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BF" w:rsidRPr="00A14861" w:rsidRDefault="003564BF" w:rsidP="00A823B4">
      <w:pPr>
        <w:shd w:val="clear" w:color="auto" w:fill="FFFFFF"/>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Ministru kabineta noteikumu projekta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w:t>
      </w:r>
      <w:r w:rsidR="00A14861">
        <w:rPr>
          <w:rFonts w:ascii="Times New Roman" w:eastAsia="Times New Roman" w:hAnsi="Times New Roman" w:cs="Times New Roman"/>
          <w:b/>
          <w:bCs/>
          <w:sz w:val="25"/>
          <w:szCs w:val="25"/>
        </w:rPr>
        <w:t>”</w:t>
      </w:r>
      <w:r w:rsidRPr="00A14861">
        <w:rPr>
          <w:rFonts w:ascii="Times New Roman" w:eastAsia="Times New Roman" w:hAnsi="Times New Roman" w:cs="Times New Roman"/>
          <w:b/>
          <w:bCs/>
          <w:sz w:val="25"/>
          <w:szCs w:val="25"/>
        </w:rPr>
        <w:t xml:space="preserve"> sākotnējās ietekmes novērtējuma ziņojums (anotācija)</w:t>
      </w:r>
    </w:p>
    <w:p w:rsidR="003564BF" w:rsidRPr="00A14861" w:rsidRDefault="003564BF" w:rsidP="003564BF">
      <w:pPr>
        <w:shd w:val="clear" w:color="auto" w:fill="FFFFFF"/>
        <w:spacing w:before="45" w:after="0" w:line="248" w:lineRule="atLeast"/>
        <w:ind w:firstLine="300"/>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4"/>
        <w:gridCol w:w="2875"/>
        <w:gridCol w:w="5935"/>
      </w:tblGrid>
      <w:tr w:rsidR="003564BF" w:rsidRPr="00A14861" w:rsidTr="00863B8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3564BF">
            <w:pPr>
              <w:spacing w:before="100" w:beforeAutospacing="1" w:after="100" w:afterAutospacing="1" w:line="293" w:lineRule="atLeast"/>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 Tiesību akta projekta izstrādes nepieciešamība</w:t>
            </w:r>
          </w:p>
        </w:tc>
      </w:tr>
      <w:tr w:rsidR="003564BF" w:rsidRPr="00A14861" w:rsidTr="003564B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3564BF">
            <w:pPr>
              <w:spacing w:before="100" w:beforeAutospacing="1" w:after="100" w:afterAutospacing="1" w:line="293" w:lineRule="atLeast"/>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5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3472B4">
            <w:pPr>
              <w:spacing w:after="0" w:line="240" w:lineRule="auto"/>
              <w:ind w:left="44"/>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564BF" w:rsidRPr="00A14861" w:rsidRDefault="00E60C87" w:rsidP="00E60C87">
            <w:pPr>
              <w:spacing w:after="0" w:line="240" w:lineRule="auto"/>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Ārstniecības likuma 34.</w:t>
            </w:r>
            <w:r w:rsidR="00B3766D" w:rsidRPr="00A14861">
              <w:rPr>
                <w:rFonts w:ascii="Times New Roman" w:eastAsia="Times New Roman" w:hAnsi="Times New Roman" w:cs="Times New Roman"/>
                <w:sz w:val="25"/>
                <w:szCs w:val="25"/>
              </w:rPr>
              <w:t xml:space="preserve"> </w:t>
            </w:r>
            <w:r w:rsidRPr="00A14861">
              <w:rPr>
                <w:rFonts w:ascii="Times New Roman" w:eastAsia="Times New Roman" w:hAnsi="Times New Roman" w:cs="Times New Roman"/>
                <w:sz w:val="25"/>
                <w:szCs w:val="25"/>
              </w:rPr>
              <w:t>panta trešā daļa</w:t>
            </w:r>
          </w:p>
        </w:tc>
      </w:tr>
      <w:tr w:rsidR="003564BF" w:rsidRPr="00A14861" w:rsidTr="00863B80">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5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3472B4">
            <w:pPr>
              <w:spacing w:after="0" w:line="240" w:lineRule="auto"/>
              <w:ind w:left="44"/>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single" w:sz="4" w:space="0" w:color="auto"/>
              <w:right w:val="outset" w:sz="6" w:space="0" w:color="414142"/>
            </w:tcBorders>
            <w:hideMark/>
          </w:tcPr>
          <w:p w:rsidR="00D020CB" w:rsidRPr="00A14861" w:rsidRDefault="007C5A7E" w:rsidP="000E7489">
            <w:pPr>
              <w:pStyle w:val="title-doc-first"/>
              <w:numPr>
                <w:ilvl w:val="0"/>
                <w:numId w:val="5"/>
              </w:numPr>
              <w:tabs>
                <w:tab w:val="left" w:pos="347"/>
                <w:tab w:val="left" w:pos="399"/>
              </w:tabs>
              <w:spacing w:after="120" w:afterAutospacing="0"/>
              <w:ind w:left="113" w:right="142" w:firstLine="51"/>
              <w:jc w:val="both"/>
              <w:rPr>
                <w:sz w:val="25"/>
                <w:szCs w:val="25"/>
              </w:rPr>
            </w:pPr>
            <w:r w:rsidRPr="00A14861">
              <w:rPr>
                <w:sz w:val="25"/>
                <w:szCs w:val="25"/>
              </w:rPr>
              <w:t xml:space="preserve"> </w:t>
            </w:r>
            <w:r w:rsidR="00690573" w:rsidRPr="00A14861">
              <w:rPr>
                <w:sz w:val="25"/>
                <w:szCs w:val="25"/>
              </w:rPr>
              <w:t>Ministru kabineta 2005. gada 27. decembra noteikumu Nr.1037 „Noteikumi par cilvēka asiņu un asins komponentu savākšanas, testēšanas, apstrādes, uzglabāšanas un izplatīšanas kvalitātes un drošības standartiem un kompensāciju par izdevumiem zaudētā asins apjoma atjaunošanai” (turpmāk – Noteikumi)</w:t>
            </w:r>
            <w:r w:rsidR="0019591C" w:rsidRPr="00A14861">
              <w:rPr>
                <w:sz w:val="25"/>
                <w:szCs w:val="25"/>
              </w:rPr>
              <w:t xml:space="preserve"> </w:t>
            </w:r>
            <w:r w:rsidR="009F49AD" w:rsidRPr="00A14861">
              <w:rPr>
                <w:sz w:val="25"/>
                <w:szCs w:val="25"/>
              </w:rPr>
              <w:t>3</w:t>
            </w:r>
            <w:r w:rsidR="00917F3A" w:rsidRPr="00A14861">
              <w:rPr>
                <w:sz w:val="25"/>
                <w:szCs w:val="25"/>
              </w:rPr>
              <w:t>.</w:t>
            </w:r>
            <w:r w:rsidR="009F49AD" w:rsidRPr="00A14861">
              <w:rPr>
                <w:sz w:val="25"/>
                <w:szCs w:val="25"/>
              </w:rPr>
              <w:t xml:space="preserve"> punkts </w:t>
            </w:r>
            <w:r w:rsidR="002F6578" w:rsidRPr="00A14861">
              <w:rPr>
                <w:sz w:val="25"/>
                <w:szCs w:val="25"/>
              </w:rPr>
              <w:t>paredz</w:t>
            </w:r>
            <w:r w:rsidR="00507B2C" w:rsidRPr="00A14861">
              <w:rPr>
                <w:sz w:val="25"/>
                <w:szCs w:val="25"/>
              </w:rPr>
              <w:t>, ka</w:t>
            </w:r>
            <w:r w:rsidR="00917F3A" w:rsidRPr="00A14861">
              <w:rPr>
                <w:sz w:val="25"/>
                <w:szCs w:val="25"/>
              </w:rPr>
              <w:t xml:space="preserve"> plazmas preparātu ražošanai izmanto valstī iegūtu izejvielu. </w:t>
            </w:r>
            <w:r w:rsidR="00902B2B" w:rsidRPr="00A14861">
              <w:rPr>
                <w:sz w:val="25"/>
                <w:szCs w:val="25"/>
              </w:rPr>
              <w:t>Nereti ierobežotu valsts finanšu līdzekļu apstākļos v</w:t>
            </w:r>
            <w:r w:rsidR="001A51B5" w:rsidRPr="00A14861">
              <w:rPr>
                <w:sz w:val="25"/>
                <w:szCs w:val="25"/>
              </w:rPr>
              <w:t>ar būt g</w:t>
            </w:r>
            <w:r w:rsidR="00797061" w:rsidRPr="00A14861">
              <w:rPr>
                <w:sz w:val="25"/>
                <w:szCs w:val="25"/>
              </w:rPr>
              <w:t>adījum</w:t>
            </w:r>
            <w:r w:rsidR="001A51B5" w:rsidRPr="00A14861">
              <w:rPr>
                <w:sz w:val="25"/>
                <w:szCs w:val="25"/>
              </w:rPr>
              <w:t>i</w:t>
            </w:r>
            <w:r w:rsidR="00797061" w:rsidRPr="00A14861">
              <w:rPr>
                <w:sz w:val="25"/>
                <w:szCs w:val="25"/>
              </w:rPr>
              <w:t xml:space="preserve">, kad </w:t>
            </w:r>
            <w:r w:rsidR="00902B2B" w:rsidRPr="00A14861">
              <w:rPr>
                <w:sz w:val="25"/>
                <w:szCs w:val="25"/>
              </w:rPr>
              <w:t>nav iespējams ārstniecības iestādes pilnībā nodrošināt ar plazmas preparātiem</w:t>
            </w:r>
            <w:r w:rsidR="000E7489" w:rsidRPr="00A14861">
              <w:rPr>
                <w:sz w:val="25"/>
                <w:szCs w:val="25"/>
              </w:rPr>
              <w:t>, kas ražoti no valstī iegūtās izejvielas (plazmas).</w:t>
            </w:r>
            <w:r w:rsidR="00902B2B" w:rsidRPr="00A14861">
              <w:rPr>
                <w:sz w:val="25"/>
                <w:szCs w:val="25"/>
              </w:rPr>
              <w:t xml:space="preserve"> Ņemot vērā minēto, </w:t>
            </w:r>
            <w:r w:rsidR="00690573" w:rsidRPr="00A14861">
              <w:rPr>
                <w:sz w:val="25"/>
                <w:szCs w:val="25"/>
              </w:rPr>
              <w:t>Noteikumos</w:t>
            </w:r>
            <w:r w:rsidR="00902B2B" w:rsidRPr="00A14861">
              <w:rPr>
                <w:sz w:val="25"/>
                <w:szCs w:val="25"/>
              </w:rPr>
              <w:t xml:space="preserve"> ir jāparedz iespēja ārstniecības iestādēm iegādāties plazmas preparātus, kas nav ražoti no </w:t>
            </w:r>
            <w:r w:rsidR="00797061" w:rsidRPr="00A14861">
              <w:rPr>
                <w:sz w:val="25"/>
                <w:szCs w:val="25"/>
              </w:rPr>
              <w:t>Latvijā iegūtā</w:t>
            </w:r>
            <w:r w:rsidR="00902B2B" w:rsidRPr="00A14861">
              <w:rPr>
                <w:sz w:val="25"/>
                <w:szCs w:val="25"/>
              </w:rPr>
              <w:t>s</w:t>
            </w:r>
            <w:r w:rsidR="00797061" w:rsidRPr="00A14861">
              <w:rPr>
                <w:sz w:val="25"/>
                <w:szCs w:val="25"/>
              </w:rPr>
              <w:t xml:space="preserve"> plazma</w:t>
            </w:r>
            <w:r w:rsidR="00902B2B" w:rsidRPr="00A14861">
              <w:rPr>
                <w:sz w:val="25"/>
                <w:szCs w:val="25"/>
              </w:rPr>
              <w:t>s</w:t>
            </w:r>
            <w:r w:rsidR="000E7489" w:rsidRPr="00A14861">
              <w:rPr>
                <w:sz w:val="25"/>
                <w:szCs w:val="25"/>
              </w:rPr>
              <w:t xml:space="preserve">. Līdz ar to Ministru kabineta noteikumu projekta „Grozījumi Ministru kabineta 2005. gada 27. decembra noteikumos Nr.1037 „Noteikumi par cilvēka asiņu un asins komponentu savākšanas, testēšanas, apstrādes, uzglabāšanas un izplatīšanas kvalitātes un drošības standartiem un kompensāciju par izdevumiem zaudētā asins apjoma atjaunošanai”” (turpmāk – Noteikumu projekts) 1.punkts paredz precizēt </w:t>
            </w:r>
            <w:r w:rsidR="00797061" w:rsidRPr="00A14861">
              <w:rPr>
                <w:sz w:val="25"/>
                <w:szCs w:val="25"/>
              </w:rPr>
              <w:t>Noteikumu 3.punktu</w:t>
            </w:r>
            <w:r w:rsidR="000E7489" w:rsidRPr="00A14861">
              <w:rPr>
                <w:sz w:val="25"/>
                <w:szCs w:val="25"/>
              </w:rPr>
              <w:t>, nosakot</w:t>
            </w:r>
            <w:r w:rsidR="00797061" w:rsidRPr="00A14861">
              <w:rPr>
                <w:sz w:val="25"/>
                <w:szCs w:val="25"/>
              </w:rPr>
              <w:t>, ka plazmas preparātu ražošanai primāri izmanto valstī iegūtu izejvielu</w:t>
            </w:r>
            <w:r w:rsidR="000E7489" w:rsidRPr="00A14861">
              <w:rPr>
                <w:sz w:val="25"/>
                <w:szCs w:val="25"/>
              </w:rPr>
              <w:t>.</w:t>
            </w:r>
            <w:r w:rsidR="00952049" w:rsidRPr="00A14861">
              <w:rPr>
                <w:sz w:val="25"/>
                <w:szCs w:val="25"/>
              </w:rPr>
              <w:t xml:space="preserve"> </w:t>
            </w:r>
          </w:p>
          <w:p w:rsidR="00B34AE6" w:rsidRPr="00A14861" w:rsidRDefault="002425CD" w:rsidP="00B34AE6">
            <w:pPr>
              <w:pStyle w:val="title-doc-first"/>
              <w:numPr>
                <w:ilvl w:val="0"/>
                <w:numId w:val="5"/>
              </w:numPr>
              <w:tabs>
                <w:tab w:val="left" w:pos="347"/>
                <w:tab w:val="left" w:pos="399"/>
              </w:tabs>
              <w:spacing w:before="0" w:beforeAutospacing="0" w:after="0" w:afterAutospacing="0"/>
              <w:ind w:left="113" w:right="142" w:firstLine="51"/>
              <w:jc w:val="both"/>
              <w:rPr>
                <w:sz w:val="25"/>
                <w:szCs w:val="25"/>
              </w:rPr>
            </w:pPr>
            <w:r w:rsidRPr="00A14861">
              <w:rPr>
                <w:color w:val="FF0000"/>
                <w:sz w:val="25"/>
                <w:szCs w:val="25"/>
              </w:rPr>
              <w:t xml:space="preserve"> </w:t>
            </w:r>
            <w:r w:rsidR="00342BE8" w:rsidRPr="00A14861">
              <w:rPr>
                <w:sz w:val="25"/>
                <w:szCs w:val="25"/>
              </w:rPr>
              <w:t>Līguma par Eiropas Savienības darbību 168.</w:t>
            </w:r>
            <w:r w:rsidR="00B41653" w:rsidRPr="00A14861">
              <w:rPr>
                <w:sz w:val="25"/>
                <w:szCs w:val="25"/>
              </w:rPr>
              <w:t xml:space="preserve"> </w:t>
            </w:r>
            <w:r w:rsidR="00342BE8" w:rsidRPr="00A14861">
              <w:rPr>
                <w:sz w:val="25"/>
                <w:szCs w:val="25"/>
              </w:rPr>
              <w:t>panta 1.</w:t>
            </w:r>
            <w:r w:rsidR="007C5A7E" w:rsidRPr="00A14861">
              <w:rPr>
                <w:sz w:val="25"/>
                <w:szCs w:val="25"/>
              </w:rPr>
              <w:t xml:space="preserve"> </w:t>
            </w:r>
            <w:r w:rsidR="00342BE8" w:rsidRPr="00A14861">
              <w:rPr>
                <w:sz w:val="25"/>
                <w:szCs w:val="25"/>
              </w:rPr>
              <w:t>pants paredz, ka, nosakot un īstenojot visu Eiropas Savienības politiku un darbības, ir jānodrošina augsts cilvēku veselības aizsardzības līmeni</w:t>
            </w:r>
            <w:r w:rsidR="00B34AE6" w:rsidRPr="00A14861">
              <w:rPr>
                <w:sz w:val="25"/>
                <w:szCs w:val="25"/>
              </w:rPr>
              <w:t>s</w:t>
            </w:r>
            <w:r w:rsidR="00342BE8" w:rsidRPr="00A14861">
              <w:rPr>
                <w:sz w:val="25"/>
                <w:szCs w:val="25"/>
              </w:rPr>
              <w:t xml:space="preserve">. </w:t>
            </w:r>
          </w:p>
          <w:p w:rsidR="002425CD" w:rsidRPr="00A14861" w:rsidRDefault="00B34AE6" w:rsidP="00B34AE6">
            <w:pPr>
              <w:pStyle w:val="title-doc-first"/>
              <w:tabs>
                <w:tab w:val="left" w:pos="347"/>
                <w:tab w:val="left" w:pos="399"/>
                <w:tab w:val="left" w:pos="489"/>
              </w:tabs>
              <w:spacing w:before="0" w:beforeAutospacing="0" w:after="0" w:afterAutospacing="0"/>
              <w:ind w:left="164" w:right="142"/>
              <w:jc w:val="both"/>
              <w:rPr>
                <w:sz w:val="25"/>
                <w:szCs w:val="25"/>
              </w:rPr>
            </w:pPr>
            <w:r w:rsidRPr="00A14861">
              <w:rPr>
                <w:sz w:val="25"/>
                <w:szCs w:val="25"/>
              </w:rPr>
              <w:t xml:space="preserve">       </w:t>
            </w:r>
            <w:r w:rsidR="0053565D" w:rsidRPr="00A14861">
              <w:rPr>
                <w:sz w:val="25"/>
                <w:szCs w:val="25"/>
              </w:rPr>
              <w:t xml:space="preserve">Ārkārtas situācijas var radīt pēkšņs resursu </w:t>
            </w:r>
            <w:r w:rsidRPr="00A14861">
              <w:rPr>
                <w:sz w:val="25"/>
                <w:szCs w:val="25"/>
              </w:rPr>
              <w:t>(valsts kopējo asins komponentu krājum</w:t>
            </w:r>
            <w:r w:rsidR="007C5A7E" w:rsidRPr="00A14861">
              <w:rPr>
                <w:sz w:val="25"/>
                <w:szCs w:val="25"/>
              </w:rPr>
              <w:t>u</w:t>
            </w:r>
            <w:r w:rsidRPr="00A14861">
              <w:rPr>
                <w:sz w:val="25"/>
                <w:szCs w:val="25"/>
              </w:rPr>
              <w:t xml:space="preserve">) </w:t>
            </w:r>
            <w:r w:rsidR="0053565D" w:rsidRPr="00A14861">
              <w:rPr>
                <w:sz w:val="25"/>
                <w:szCs w:val="25"/>
              </w:rPr>
              <w:t>paaugstināts pieprasījums vai esošo resursu pēkšņs samazinājums, kas var būtiski apdraudēt sabiedrības veselību. Lai nodrošinātu asins komponentu un asins rezervju pašpietiekamību valstī un nepieļautu gadījumus, kad valstī neatliekamā</w:t>
            </w:r>
            <w:r w:rsidR="00A14861">
              <w:rPr>
                <w:sz w:val="25"/>
                <w:szCs w:val="25"/>
              </w:rPr>
              <w:t>s</w:t>
            </w:r>
            <w:r w:rsidR="0053565D" w:rsidRPr="00A14861">
              <w:rPr>
                <w:sz w:val="25"/>
                <w:szCs w:val="25"/>
              </w:rPr>
              <w:t xml:space="preserve"> palīdzības sniegšanai ārkārtas </w:t>
            </w:r>
            <w:r w:rsidR="0053565D" w:rsidRPr="00A14861">
              <w:rPr>
                <w:sz w:val="25"/>
                <w:szCs w:val="25"/>
              </w:rPr>
              <w:lastRenderedPageBreak/>
              <w:t>situācijas gadījumā tūlītēji pieejamie asins komponentu resursi ir nepietiekami, nepieciešams noteikt, ka cilvēka asinis un asins komponentus no valsts neizved, izņemot, ja asinis un asins komponentus asins pagatavojumu ražošanai sagatavo no valsts budžeta līdzekļiem</w:t>
            </w:r>
            <w:r w:rsidR="0053565D" w:rsidRPr="00A14861">
              <w:rPr>
                <w:color w:val="000000"/>
                <w:sz w:val="25"/>
                <w:szCs w:val="25"/>
              </w:rPr>
              <w:t xml:space="preserve"> (Noteikumu projekta </w:t>
            </w:r>
            <w:r w:rsidR="00E21F38" w:rsidRPr="00A14861">
              <w:rPr>
                <w:color w:val="000000"/>
                <w:sz w:val="25"/>
                <w:szCs w:val="25"/>
              </w:rPr>
              <w:t>2.</w:t>
            </w:r>
            <w:r w:rsidR="0053565D" w:rsidRPr="00A14861">
              <w:rPr>
                <w:color w:val="000000"/>
                <w:sz w:val="25"/>
                <w:szCs w:val="25"/>
                <w:vertAlign w:val="superscript"/>
              </w:rPr>
              <w:t xml:space="preserve"> </w:t>
            </w:r>
            <w:r w:rsidR="0053565D" w:rsidRPr="00A14861">
              <w:rPr>
                <w:color w:val="000000"/>
                <w:sz w:val="25"/>
                <w:szCs w:val="25"/>
              </w:rPr>
              <w:t>punkts)</w:t>
            </w:r>
            <w:r w:rsidRPr="00A14861">
              <w:rPr>
                <w:color w:val="000000"/>
                <w:sz w:val="25"/>
                <w:szCs w:val="25"/>
              </w:rPr>
              <w:t>.</w:t>
            </w:r>
          </w:p>
          <w:p w:rsidR="00D020CB" w:rsidRPr="00A14861" w:rsidRDefault="001A0632" w:rsidP="00A31B90">
            <w:pPr>
              <w:pStyle w:val="title-doc-first"/>
              <w:tabs>
                <w:tab w:val="left" w:pos="347"/>
                <w:tab w:val="left" w:pos="399"/>
              </w:tabs>
              <w:spacing w:after="120" w:afterAutospacing="0"/>
              <w:ind w:left="164" w:right="142"/>
              <w:jc w:val="both"/>
              <w:rPr>
                <w:sz w:val="25"/>
                <w:szCs w:val="25"/>
              </w:rPr>
            </w:pPr>
            <w:r w:rsidRPr="00A14861">
              <w:rPr>
                <w:sz w:val="25"/>
                <w:szCs w:val="25"/>
              </w:rPr>
              <w:t>3</w:t>
            </w:r>
            <w:r w:rsidR="00A31B90" w:rsidRPr="00A14861">
              <w:rPr>
                <w:sz w:val="25"/>
                <w:szCs w:val="25"/>
              </w:rPr>
              <w:t xml:space="preserve">. </w:t>
            </w:r>
            <w:r w:rsidR="007F5DE9" w:rsidRPr="00A14861">
              <w:rPr>
                <w:sz w:val="25"/>
                <w:szCs w:val="25"/>
              </w:rPr>
              <w:t xml:space="preserve">Noteikumu 7.punktā ir noteikts, ka </w:t>
            </w:r>
            <w:r w:rsidR="0038695B" w:rsidRPr="00A14861">
              <w:rPr>
                <w:sz w:val="25"/>
                <w:szCs w:val="25"/>
              </w:rPr>
              <w:t>Zāļu valsts aģentūra (turpmāk – A</w:t>
            </w:r>
            <w:r w:rsidR="007F5DE9" w:rsidRPr="00A14861">
              <w:rPr>
                <w:sz w:val="25"/>
                <w:szCs w:val="25"/>
              </w:rPr>
              <w:t>ģentūra</w:t>
            </w:r>
            <w:r w:rsidR="0038695B" w:rsidRPr="00A14861">
              <w:rPr>
                <w:sz w:val="25"/>
                <w:szCs w:val="25"/>
              </w:rPr>
              <w:t>)</w:t>
            </w:r>
            <w:r w:rsidR="007F5DE9" w:rsidRPr="00A14861">
              <w:rPr>
                <w:sz w:val="25"/>
                <w:szCs w:val="25"/>
              </w:rPr>
              <w:t xml:space="preserve"> reģistrē ārstniecības iestāžu asins kabinetus, </w:t>
            </w:r>
            <w:r w:rsidR="004B7C4C" w:rsidRPr="00A14861">
              <w:rPr>
                <w:sz w:val="25"/>
                <w:szCs w:val="25"/>
              </w:rPr>
              <w:t xml:space="preserve">Valsts asinsdonoru centru (turpmāk – </w:t>
            </w:r>
            <w:r w:rsidR="00003BE6" w:rsidRPr="00A14861">
              <w:rPr>
                <w:sz w:val="25"/>
                <w:szCs w:val="25"/>
              </w:rPr>
              <w:t>C</w:t>
            </w:r>
            <w:r w:rsidR="007F5DE9" w:rsidRPr="00A14861">
              <w:rPr>
                <w:sz w:val="25"/>
                <w:szCs w:val="25"/>
              </w:rPr>
              <w:t>entr</w:t>
            </w:r>
            <w:r w:rsidR="004B7C4C" w:rsidRPr="00A14861">
              <w:rPr>
                <w:sz w:val="25"/>
                <w:szCs w:val="25"/>
              </w:rPr>
              <w:t>s)</w:t>
            </w:r>
            <w:r w:rsidR="007F5DE9" w:rsidRPr="00A14861">
              <w:rPr>
                <w:sz w:val="25"/>
                <w:szCs w:val="25"/>
              </w:rPr>
              <w:t xml:space="preserve"> </w:t>
            </w:r>
            <w:r w:rsidR="0038695B" w:rsidRPr="00A14861">
              <w:rPr>
                <w:sz w:val="25"/>
                <w:szCs w:val="25"/>
              </w:rPr>
              <w:t xml:space="preserve">un </w:t>
            </w:r>
            <w:r w:rsidR="007F5DE9" w:rsidRPr="00A14861">
              <w:rPr>
                <w:sz w:val="25"/>
                <w:szCs w:val="25"/>
              </w:rPr>
              <w:t>asins sagatavošanas nodaļas un novērtē to atbilstību šajos noteikumos noteiktajām pr</w:t>
            </w:r>
            <w:r w:rsidR="00A14861">
              <w:rPr>
                <w:sz w:val="25"/>
                <w:szCs w:val="25"/>
              </w:rPr>
              <w:t xml:space="preserve">asībām. </w:t>
            </w:r>
            <w:r w:rsidR="007F5DE9" w:rsidRPr="00A14861">
              <w:rPr>
                <w:sz w:val="25"/>
                <w:szCs w:val="25"/>
              </w:rPr>
              <w:t>Savukārt,</w:t>
            </w:r>
            <w:r w:rsidR="0038695B" w:rsidRPr="00A14861">
              <w:rPr>
                <w:sz w:val="25"/>
                <w:szCs w:val="25"/>
              </w:rPr>
              <w:t xml:space="preserve"> Noteikumu 9.punkts paredz, ka A</w:t>
            </w:r>
            <w:r w:rsidR="007F5DE9" w:rsidRPr="00A14861">
              <w:rPr>
                <w:sz w:val="25"/>
                <w:szCs w:val="25"/>
              </w:rPr>
              <w:t xml:space="preserve">ģentūra pēc atbilstības novērtēšanas nosaka, kādas darbības un ar kādiem nosacījumiem var veikt </w:t>
            </w:r>
            <w:r w:rsidR="0038695B" w:rsidRPr="00A14861">
              <w:rPr>
                <w:sz w:val="25"/>
                <w:szCs w:val="25"/>
              </w:rPr>
              <w:t>C</w:t>
            </w:r>
            <w:r w:rsidR="007F5DE9" w:rsidRPr="00A14861">
              <w:rPr>
                <w:sz w:val="25"/>
                <w:szCs w:val="25"/>
              </w:rPr>
              <w:t>entrs, asins sagatavošanas nodaļa un asins kabinets. Minēto informāciju norā</w:t>
            </w:r>
            <w:r w:rsidR="0038695B" w:rsidRPr="00A14861">
              <w:rPr>
                <w:sz w:val="25"/>
                <w:szCs w:val="25"/>
              </w:rPr>
              <w:t>da reģistrā</w:t>
            </w:r>
            <w:r w:rsidR="00A14861">
              <w:rPr>
                <w:sz w:val="25"/>
                <w:szCs w:val="25"/>
              </w:rPr>
              <w:t>,</w:t>
            </w:r>
            <w:r w:rsidR="0038695B" w:rsidRPr="00A14861">
              <w:rPr>
                <w:sz w:val="25"/>
                <w:szCs w:val="25"/>
              </w:rPr>
              <w:t xml:space="preserve"> kas pieejams A</w:t>
            </w:r>
            <w:r w:rsidR="007F5DE9" w:rsidRPr="00A14861">
              <w:rPr>
                <w:sz w:val="25"/>
                <w:szCs w:val="25"/>
              </w:rPr>
              <w:t xml:space="preserve">ģentūras </w:t>
            </w:r>
            <w:proofErr w:type="gramStart"/>
            <w:r w:rsidR="007F5DE9" w:rsidRPr="00A14861">
              <w:rPr>
                <w:sz w:val="25"/>
                <w:szCs w:val="25"/>
              </w:rPr>
              <w:t>mājas lapā</w:t>
            </w:r>
            <w:proofErr w:type="gramEnd"/>
            <w:r w:rsidR="007F5DE9" w:rsidRPr="00A14861">
              <w:rPr>
                <w:sz w:val="25"/>
                <w:szCs w:val="25"/>
              </w:rPr>
              <w:t xml:space="preserve">. </w:t>
            </w:r>
          </w:p>
          <w:p w:rsidR="00AF5697" w:rsidRPr="00A14861" w:rsidRDefault="00D020CB" w:rsidP="00686C79">
            <w:pPr>
              <w:pStyle w:val="ListParagraph"/>
              <w:numPr>
                <w:ilvl w:val="0"/>
                <w:numId w:val="5"/>
              </w:numPr>
              <w:tabs>
                <w:tab w:val="left" w:pos="138"/>
              </w:tabs>
              <w:spacing w:after="120"/>
              <w:ind w:left="138" w:right="142"/>
              <w:jc w:val="both"/>
              <w:rPr>
                <w:color w:val="auto"/>
                <w:sz w:val="25"/>
                <w:szCs w:val="25"/>
              </w:rPr>
            </w:pPr>
            <w:r w:rsidRPr="00A14861">
              <w:rPr>
                <w:color w:val="auto"/>
                <w:sz w:val="25"/>
                <w:szCs w:val="25"/>
              </w:rPr>
              <w:t>Saskaņā ar Ministru kabineta 2012.</w:t>
            </w:r>
            <w:r w:rsidR="00A238BF" w:rsidRPr="00A14861">
              <w:rPr>
                <w:color w:val="auto"/>
                <w:sz w:val="25"/>
                <w:szCs w:val="25"/>
              </w:rPr>
              <w:t xml:space="preserve"> </w:t>
            </w:r>
            <w:r w:rsidRPr="00A14861">
              <w:rPr>
                <w:color w:val="auto"/>
                <w:sz w:val="25"/>
                <w:szCs w:val="25"/>
              </w:rPr>
              <w:t>gada 31.</w:t>
            </w:r>
            <w:r w:rsidR="00EC46AF" w:rsidRPr="00A14861">
              <w:rPr>
                <w:color w:val="auto"/>
                <w:sz w:val="25"/>
                <w:szCs w:val="25"/>
              </w:rPr>
              <w:t xml:space="preserve"> </w:t>
            </w:r>
            <w:r w:rsidRPr="00A14861">
              <w:rPr>
                <w:color w:val="auto"/>
                <w:sz w:val="25"/>
                <w:szCs w:val="25"/>
              </w:rPr>
              <w:t>jūlija noteikumu Nr. 537 „Zāļu valsts aģentūras nolikums” 4.9.</w:t>
            </w:r>
            <w:r w:rsidR="00A14861">
              <w:rPr>
                <w:color w:val="auto"/>
                <w:sz w:val="25"/>
                <w:szCs w:val="25"/>
              </w:rPr>
              <w:t xml:space="preserve"> </w:t>
            </w:r>
            <w:r w:rsidRPr="00A14861">
              <w:rPr>
                <w:color w:val="auto"/>
                <w:sz w:val="25"/>
                <w:szCs w:val="25"/>
              </w:rPr>
              <w:t xml:space="preserve">apakšpunktu </w:t>
            </w:r>
            <w:r w:rsidR="0038695B" w:rsidRPr="00A14861">
              <w:rPr>
                <w:color w:val="auto"/>
                <w:sz w:val="25"/>
                <w:szCs w:val="25"/>
              </w:rPr>
              <w:t>Aģentūra</w:t>
            </w:r>
            <w:r w:rsidRPr="00A14861">
              <w:rPr>
                <w:color w:val="auto"/>
                <w:sz w:val="25"/>
                <w:szCs w:val="25"/>
              </w:rPr>
              <w:t xml:space="preserve"> izsniedz atbilstības sertifikātus ārstniecības iestāžu asins kabinetiem, asins sagatavošanas nodaļām un </w:t>
            </w:r>
            <w:r w:rsidR="0038695B" w:rsidRPr="00A14861">
              <w:rPr>
                <w:color w:val="auto"/>
                <w:sz w:val="25"/>
                <w:szCs w:val="25"/>
              </w:rPr>
              <w:t>C</w:t>
            </w:r>
            <w:r w:rsidRPr="00A14861">
              <w:rPr>
                <w:color w:val="auto"/>
                <w:sz w:val="25"/>
                <w:szCs w:val="25"/>
              </w:rPr>
              <w:t xml:space="preserve">entram. </w:t>
            </w:r>
            <w:r w:rsidR="0038695B" w:rsidRPr="00A14861">
              <w:rPr>
                <w:color w:val="auto"/>
                <w:sz w:val="25"/>
                <w:szCs w:val="25"/>
              </w:rPr>
              <w:t>Ņemot vērā, ka A</w:t>
            </w:r>
            <w:r w:rsidR="007F5DE9" w:rsidRPr="00A14861">
              <w:rPr>
                <w:color w:val="auto"/>
                <w:sz w:val="25"/>
                <w:szCs w:val="25"/>
              </w:rPr>
              <w:t xml:space="preserve">ģentūra </w:t>
            </w:r>
            <w:r w:rsidR="00686C79" w:rsidRPr="00A14861">
              <w:rPr>
                <w:color w:val="auto"/>
                <w:sz w:val="25"/>
                <w:szCs w:val="25"/>
              </w:rPr>
              <w:t>publicē informāciju (to atsevišķi nereģistrējot) par izsniegtajiem atbilstības sertifikātiem (norādot tajos arī iekļ</w:t>
            </w:r>
            <w:r w:rsidR="0038695B" w:rsidRPr="00A14861">
              <w:rPr>
                <w:color w:val="auto"/>
                <w:sz w:val="25"/>
                <w:szCs w:val="25"/>
              </w:rPr>
              <w:t>autās darbības un nosacījumus) A</w:t>
            </w:r>
            <w:r w:rsidR="00686C79" w:rsidRPr="00A14861">
              <w:rPr>
                <w:color w:val="auto"/>
                <w:sz w:val="25"/>
                <w:szCs w:val="25"/>
              </w:rPr>
              <w:t xml:space="preserve">ģentūras tīmekļa vietnē, tad nepieciešams precizēt </w:t>
            </w:r>
            <w:r w:rsidR="004B7C4C" w:rsidRPr="00A14861">
              <w:rPr>
                <w:color w:val="auto"/>
                <w:sz w:val="25"/>
                <w:szCs w:val="25"/>
              </w:rPr>
              <w:t>N</w:t>
            </w:r>
            <w:r w:rsidR="007F5DE9" w:rsidRPr="00A14861">
              <w:rPr>
                <w:color w:val="auto"/>
                <w:sz w:val="25"/>
                <w:szCs w:val="25"/>
              </w:rPr>
              <w:t xml:space="preserve">oteikumu 7. un 9. </w:t>
            </w:r>
            <w:r w:rsidR="00EA03E6" w:rsidRPr="00A14861">
              <w:rPr>
                <w:color w:val="auto"/>
                <w:sz w:val="25"/>
                <w:szCs w:val="25"/>
              </w:rPr>
              <w:t>p</w:t>
            </w:r>
            <w:r w:rsidR="007F5DE9" w:rsidRPr="00A14861">
              <w:rPr>
                <w:color w:val="auto"/>
                <w:sz w:val="25"/>
                <w:szCs w:val="25"/>
              </w:rPr>
              <w:t xml:space="preserve">unktu, paredzot, ka </w:t>
            </w:r>
            <w:r w:rsidR="0038695B" w:rsidRPr="00A14861">
              <w:rPr>
                <w:color w:val="auto"/>
                <w:sz w:val="25"/>
                <w:szCs w:val="25"/>
              </w:rPr>
              <w:t>pēc atbilstības novērtēšanas A</w:t>
            </w:r>
            <w:r w:rsidR="00EA03E6" w:rsidRPr="00A14861">
              <w:rPr>
                <w:color w:val="auto"/>
                <w:sz w:val="25"/>
                <w:szCs w:val="25"/>
              </w:rPr>
              <w:t xml:space="preserve">ģentūra izsniedz atbilstības sertifikātu, kurā nosaka, kādas darbības un ar kādiem nosacījumiem var veikt </w:t>
            </w:r>
            <w:r w:rsidR="0038695B" w:rsidRPr="00A14861">
              <w:rPr>
                <w:color w:val="auto"/>
                <w:sz w:val="25"/>
                <w:szCs w:val="25"/>
              </w:rPr>
              <w:t>C</w:t>
            </w:r>
            <w:r w:rsidR="00EA03E6" w:rsidRPr="00A14861">
              <w:rPr>
                <w:color w:val="auto"/>
                <w:sz w:val="25"/>
                <w:szCs w:val="25"/>
              </w:rPr>
              <w:t>entrs, asins sagatavošanas nodaļa un asins kabinets, kā arī</w:t>
            </w:r>
            <w:r w:rsidR="00A14861">
              <w:rPr>
                <w:color w:val="auto"/>
                <w:sz w:val="25"/>
                <w:szCs w:val="25"/>
              </w:rPr>
              <w:t>,</w:t>
            </w:r>
            <w:r w:rsidR="00EA03E6" w:rsidRPr="00A14861">
              <w:rPr>
                <w:color w:val="auto"/>
                <w:sz w:val="25"/>
                <w:szCs w:val="25"/>
              </w:rPr>
              <w:t xml:space="preserve"> nosakot, ka informāciju par izsniegtajiem atbilstības sertifikātiem un tajos iekļautajām darbī</w:t>
            </w:r>
            <w:r w:rsidR="004B7C4C" w:rsidRPr="00A14861">
              <w:rPr>
                <w:color w:val="auto"/>
                <w:sz w:val="25"/>
                <w:szCs w:val="25"/>
              </w:rPr>
              <w:t>bām un to nosacījumiem publicē A</w:t>
            </w:r>
            <w:r w:rsidR="00EA03E6" w:rsidRPr="00A14861">
              <w:rPr>
                <w:color w:val="auto"/>
                <w:sz w:val="25"/>
                <w:szCs w:val="25"/>
              </w:rPr>
              <w:t>ģentūras tīmekļa vietnē.</w:t>
            </w:r>
          </w:p>
          <w:p w:rsidR="00D65DA8" w:rsidRPr="00A14861" w:rsidRDefault="005F69D7" w:rsidP="00DB4408">
            <w:pPr>
              <w:spacing w:before="100" w:beforeAutospacing="1" w:after="100" w:afterAutospacing="1" w:line="240" w:lineRule="auto"/>
              <w:ind w:left="138" w:right="142"/>
              <w:jc w:val="both"/>
              <w:rPr>
                <w:rFonts w:ascii="Times New Roman" w:eastAsia="Times New Roman" w:hAnsi="Times New Roman" w:cs="Times New Roman"/>
                <w:sz w:val="25"/>
                <w:szCs w:val="25"/>
              </w:rPr>
            </w:pPr>
            <w:r w:rsidRPr="00A14861">
              <w:rPr>
                <w:rFonts w:ascii="Times New Roman" w:hAnsi="Times New Roman" w:cs="Times New Roman"/>
                <w:sz w:val="25"/>
                <w:szCs w:val="25"/>
              </w:rPr>
              <w:t>4</w:t>
            </w:r>
            <w:r w:rsidR="00AF5697" w:rsidRPr="00A14861">
              <w:rPr>
                <w:rFonts w:ascii="Times New Roman" w:hAnsi="Times New Roman" w:cs="Times New Roman"/>
                <w:sz w:val="25"/>
                <w:szCs w:val="25"/>
              </w:rPr>
              <w:t xml:space="preserve">. </w:t>
            </w:r>
            <w:r w:rsidR="00D65DA8" w:rsidRPr="00A14861">
              <w:rPr>
                <w:rFonts w:ascii="Times New Roman" w:hAnsi="Times New Roman" w:cs="Times New Roman"/>
                <w:sz w:val="25"/>
                <w:szCs w:val="25"/>
              </w:rPr>
              <w:t xml:space="preserve">Noteikumu 17.2. apakšpunkts nosaka, ka </w:t>
            </w:r>
            <w:r w:rsidR="00114746" w:rsidRPr="00A14861">
              <w:rPr>
                <w:rFonts w:ascii="Times New Roman" w:hAnsi="Times New Roman" w:cs="Times New Roman"/>
                <w:sz w:val="25"/>
                <w:szCs w:val="25"/>
              </w:rPr>
              <w:t>C</w:t>
            </w:r>
            <w:r w:rsidR="00D65DA8" w:rsidRPr="00A14861">
              <w:rPr>
                <w:rFonts w:ascii="Times New Roman" w:hAnsi="Times New Roman" w:cs="Times New Roman"/>
                <w:sz w:val="25"/>
                <w:szCs w:val="25"/>
              </w:rPr>
              <w:t>entrs un asins sagatavošanas nodaļas, izmantojot validētus procesus un procedūras, nodrošina asiņu un asins komponentu kvalitātes un drošības prasību ievērošanu un testēšanu akreditētā testēšanas laboratorijā saskaņā ar šo noteikumu 2.pielikumu. Tāpat minētais apakšpunkts paredz, ka pēc testēšanas rezultātu saņemšanas testēšanas pārskatu</w:t>
            </w:r>
            <w:r w:rsidR="00114746" w:rsidRPr="00A14861">
              <w:rPr>
                <w:rFonts w:ascii="Times New Roman" w:hAnsi="Times New Roman" w:cs="Times New Roman"/>
                <w:sz w:val="25"/>
                <w:szCs w:val="25"/>
              </w:rPr>
              <w:t xml:space="preserve"> kopijas mēneša laikā </w:t>
            </w:r>
            <w:r w:rsidR="00114746" w:rsidRPr="00A14861">
              <w:rPr>
                <w:rFonts w:ascii="Times New Roman" w:hAnsi="Times New Roman" w:cs="Times New Roman"/>
                <w:sz w:val="25"/>
                <w:szCs w:val="25"/>
              </w:rPr>
              <w:lastRenderedPageBreak/>
              <w:t>iesniedz A</w:t>
            </w:r>
            <w:r w:rsidR="00D65DA8" w:rsidRPr="00A14861">
              <w:rPr>
                <w:rFonts w:ascii="Times New Roman" w:hAnsi="Times New Roman" w:cs="Times New Roman"/>
                <w:sz w:val="25"/>
                <w:szCs w:val="25"/>
              </w:rPr>
              <w:t>ģentūrā. Vienlaikus Noteikumu 18.5.</w:t>
            </w:r>
            <w:r w:rsidR="00D65DA8" w:rsidRPr="00A14861">
              <w:rPr>
                <w:rFonts w:ascii="Times New Roman" w:hAnsi="Times New Roman" w:cs="Times New Roman"/>
                <w:sz w:val="25"/>
                <w:szCs w:val="25"/>
                <w:vertAlign w:val="superscript"/>
              </w:rPr>
              <w:t>1</w:t>
            </w:r>
            <w:r w:rsidR="007311A3" w:rsidRPr="00A14861">
              <w:rPr>
                <w:rFonts w:ascii="Times New Roman" w:hAnsi="Times New Roman" w:cs="Times New Roman"/>
                <w:sz w:val="25"/>
                <w:szCs w:val="25"/>
                <w:vertAlign w:val="superscript"/>
              </w:rPr>
              <w:t xml:space="preserve"> </w:t>
            </w:r>
            <w:r w:rsidR="00D65DA8" w:rsidRPr="00A14861">
              <w:rPr>
                <w:rFonts w:ascii="Times New Roman" w:hAnsi="Times New Roman" w:cs="Times New Roman"/>
                <w:sz w:val="25"/>
                <w:szCs w:val="25"/>
              </w:rPr>
              <w:t xml:space="preserve">apakšpunktā ir noteikts, ka </w:t>
            </w:r>
            <w:r w:rsidR="00114746" w:rsidRPr="00A14861">
              <w:rPr>
                <w:rFonts w:ascii="Times New Roman" w:hAnsi="Times New Roman" w:cs="Times New Roman"/>
                <w:sz w:val="25"/>
                <w:szCs w:val="25"/>
              </w:rPr>
              <w:t>C</w:t>
            </w:r>
            <w:r w:rsidR="00D65DA8" w:rsidRPr="00A14861">
              <w:rPr>
                <w:rFonts w:ascii="Times New Roman" w:hAnsi="Times New Roman" w:cs="Times New Roman"/>
                <w:sz w:val="25"/>
                <w:szCs w:val="25"/>
              </w:rPr>
              <w:t>entrs katru gadu līdz 15.</w:t>
            </w:r>
            <w:r w:rsidR="00114746" w:rsidRPr="00A14861">
              <w:rPr>
                <w:rFonts w:ascii="Times New Roman" w:hAnsi="Times New Roman" w:cs="Times New Roman"/>
                <w:sz w:val="25"/>
                <w:szCs w:val="25"/>
              </w:rPr>
              <w:t xml:space="preserve"> </w:t>
            </w:r>
            <w:r w:rsidR="00D65DA8" w:rsidRPr="00A14861">
              <w:rPr>
                <w:rFonts w:ascii="Times New Roman" w:hAnsi="Times New Roman" w:cs="Times New Roman"/>
                <w:sz w:val="25"/>
                <w:szCs w:val="25"/>
              </w:rPr>
              <w:t>februārim un asins sagatavošanas nodaļas katru gadu līdz 25.</w:t>
            </w:r>
            <w:r w:rsidR="00114746" w:rsidRPr="00A14861">
              <w:rPr>
                <w:rFonts w:ascii="Times New Roman" w:hAnsi="Times New Roman" w:cs="Times New Roman"/>
                <w:sz w:val="25"/>
                <w:szCs w:val="25"/>
              </w:rPr>
              <w:t xml:space="preserve"> </w:t>
            </w:r>
            <w:r w:rsidR="00D65DA8" w:rsidRPr="00A14861">
              <w:rPr>
                <w:rFonts w:ascii="Times New Roman" w:hAnsi="Times New Roman" w:cs="Times New Roman"/>
                <w:sz w:val="25"/>
                <w:szCs w:val="25"/>
              </w:rPr>
              <w:t>janvārim sagatavo pārskatu par iepriekšējā gada darbību, kurā iekļauj paraugu veidus un skaitu, kas testēti saskaņā ar šo noteikumu 17.2.</w:t>
            </w:r>
            <w:r w:rsidR="00114746" w:rsidRPr="00A14861">
              <w:rPr>
                <w:rFonts w:ascii="Times New Roman" w:hAnsi="Times New Roman" w:cs="Times New Roman"/>
                <w:sz w:val="25"/>
                <w:szCs w:val="25"/>
              </w:rPr>
              <w:t xml:space="preserve"> </w:t>
            </w:r>
            <w:r w:rsidR="00D65DA8" w:rsidRPr="00A14861">
              <w:rPr>
                <w:rFonts w:ascii="Times New Roman" w:hAnsi="Times New Roman" w:cs="Times New Roman"/>
                <w:sz w:val="25"/>
                <w:szCs w:val="25"/>
              </w:rPr>
              <w:t>apakšpunktā noteiktajām prasībām, un testēšanas rezultātu</w:t>
            </w:r>
            <w:r w:rsidR="00D020CB" w:rsidRPr="00A14861">
              <w:rPr>
                <w:rFonts w:ascii="Times New Roman" w:hAnsi="Times New Roman" w:cs="Times New Roman"/>
                <w:sz w:val="25"/>
                <w:szCs w:val="25"/>
              </w:rPr>
              <w:t xml:space="preserve"> kopsavilkumu.</w:t>
            </w:r>
            <w:r w:rsidR="00DB4408" w:rsidRPr="00A14861">
              <w:rPr>
                <w:rFonts w:ascii="Times New Roman" w:hAnsi="Times New Roman" w:cs="Times New Roman"/>
                <w:sz w:val="25"/>
                <w:szCs w:val="25"/>
              </w:rPr>
              <w:t xml:space="preserve"> Ņemot</w:t>
            </w:r>
            <w:r w:rsidR="00BB076F" w:rsidRPr="00A14861">
              <w:rPr>
                <w:rFonts w:ascii="Times New Roman" w:hAnsi="Times New Roman" w:cs="Times New Roman"/>
                <w:sz w:val="25"/>
                <w:szCs w:val="25"/>
              </w:rPr>
              <w:t xml:space="preserve"> </w:t>
            </w:r>
            <w:r w:rsidR="00DB4408" w:rsidRPr="00A14861">
              <w:rPr>
                <w:rFonts w:ascii="Times New Roman" w:hAnsi="Times New Roman" w:cs="Times New Roman"/>
                <w:sz w:val="25"/>
                <w:szCs w:val="25"/>
              </w:rPr>
              <w:t xml:space="preserve">vērā </w:t>
            </w:r>
            <w:r w:rsidR="00114746" w:rsidRPr="00A14861">
              <w:rPr>
                <w:rFonts w:ascii="Times New Roman" w:hAnsi="Times New Roman" w:cs="Times New Roman"/>
                <w:sz w:val="25"/>
                <w:szCs w:val="25"/>
              </w:rPr>
              <w:t>minēto</w:t>
            </w:r>
            <w:r w:rsidR="00BB076F" w:rsidRPr="00A14861">
              <w:rPr>
                <w:rFonts w:ascii="Times New Roman" w:hAnsi="Times New Roman" w:cs="Times New Roman"/>
                <w:sz w:val="25"/>
                <w:szCs w:val="25"/>
              </w:rPr>
              <w:t>,</w:t>
            </w:r>
            <w:r w:rsidR="00114746" w:rsidRPr="00A14861">
              <w:rPr>
                <w:rFonts w:ascii="Times New Roman" w:hAnsi="Times New Roman" w:cs="Times New Roman"/>
                <w:sz w:val="25"/>
                <w:szCs w:val="25"/>
              </w:rPr>
              <w:t xml:space="preserve"> 17.2. </w:t>
            </w:r>
            <w:r w:rsidR="00DB4408" w:rsidRPr="00A14861">
              <w:rPr>
                <w:rFonts w:ascii="Times New Roman" w:hAnsi="Times New Roman" w:cs="Times New Roman"/>
                <w:sz w:val="25"/>
                <w:szCs w:val="25"/>
              </w:rPr>
              <w:t>apakšpu</w:t>
            </w:r>
            <w:r w:rsidR="002C6748" w:rsidRPr="00A14861">
              <w:rPr>
                <w:rFonts w:ascii="Times New Roman" w:hAnsi="Times New Roman" w:cs="Times New Roman"/>
                <w:sz w:val="25"/>
                <w:szCs w:val="25"/>
              </w:rPr>
              <w:t>n</w:t>
            </w:r>
            <w:r w:rsidR="00DB4408" w:rsidRPr="00A14861">
              <w:rPr>
                <w:rFonts w:ascii="Times New Roman" w:hAnsi="Times New Roman" w:cs="Times New Roman"/>
                <w:sz w:val="25"/>
                <w:szCs w:val="25"/>
              </w:rPr>
              <w:t>kt</w:t>
            </w:r>
            <w:r w:rsidR="00DC03D7" w:rsidRPr="00A14861">
              <w:rPr>
                <w:rFonts w:ascii="Times New Roman" w:hAnsi="Times New Roman" w:cs="Times New Roman"/>
                <w:sz w:val="25"/>
                <w:szCs w:val="25"/>
              </w:rPr>
              <w:t>a otrais teikums</w:t>
            </w:r>
            <w:r w:rsidR="00DB4408" w:rsidRPr="00A14861">
              <w:rPr>
                <w:rFonts w:ascii="Times New Roman" w:hAnsi="Times New Roman" w:cs="Times New Roman"/>
                <w:sz w:val="25"/>
                <w:szCs w:val="25"/>
              </w:rPr>
              <w:t xml:space="preserve"> ir svītrojams.</w:t>
            </w:r>
          </w:p>
          <w:p w:rsidR="00372307" w:rsidRPr="00A14861" w:rsidRDefault="005F69D7" w:rsidP="00F26EED">
            <w:pPr>
              <w:tabs>
                <w:tab w:val="left" w:pos="399"/>
              </w:tabs>
              <w:spacing w:after="0" w:line="240" w:lineRule="auto"/>
              <w:ind w:left="113" w:right="142"/>
              <w:jc w:val="both"/>
              <w:rPr>
                <w:rFonts w:ascii="Times New Roman" w:hAnsi="Times New Roman" w:cs="Times New Roman"/>
                <w:sz w:val="25"/>
                <w:szCs w:val="25"/>
              </w:rPr>
            </w:pPr>
            <w:r w:rsidRPr="00A14861">
              <w:rPr>
                <w:rFonts w:ascii="Times New Roman" w:hAnsi="Times New Roman" w:cs="Times New Roman"/>
                <w:sz w:val="25"/>
                <w:szCs w:val="25"/>
              </w:rPr>
              <w:t>5</w:t>
            </w:r>
            <w:r w:rsidR="00853671" w:rsidRPr="00A14861">
              <w:rPr>
                <w:rFonts w:ascii="Times New Roman" w:hAnsi="Times New Roman" w:cs="Times New Roman"/>
                <w:sz w:val="25"/>
                <w:szCs w:val="25"/>
              </w:rPr>
              <w:t xml:space="preserve">. </w:t>
            </w:r>
            <w:r w:rsidR="00372307" w:rsidRPr="00A14861">
              <w:rPr>
                <w:rFonts w:ascii="Times New Roman" w:hAnsi="Times New Roman" w:cs="Times New Roman"/>
                <w:sz w:val="25"/>
                <w:szCs w:val="25"/>
              </w:rPr>
              <w:t>Nepieciešams precizēt Noteikumu 22.3. apakšpunktu, paredzot, ka Aģentūra nodrošina hemovigilances uzraudzību. Saskaņā ar Noteikumu 6.</w:t>
            </w:r>
            <w:r w:rsidR="00372307" w:rsidRPr="00A14861">
              <w:rPr>
                <w:rFonts w:ascii="Times New Roman" w:hAnsi="Times New Roman" w:cs="Times New Roman"/>
                <w:sz w:val="25"/>
                <w:szCs w:val="25"/>
                <w:vertAlign w:val="superscript"/>
              </w:rPr>
              <w:t xml:space="preserve">1 </w:t>
            </w:r>
            <w:r w:rsidR="00372307" w:rsidRPr="00A14861">
              <w:rPr>
                <w:rFonts w:ascii="Times New Roman" w:hAnsi="Times New Roman" w:cs="Times New Roman"/>
                <w:sz w:val="25"/>
                <w:szCs w:val="25"/>
              </w:rPr>
              <w:t>punktu hemovigilance ir organizētu pārraudzības procedūru kopums saistībā ar nopietniem nevēlamiem notikumiem vai nopietnām blaknēm donoriem vai recipientiem, kā arī epidemioloģiska donoru turpmākā novērošana. Aģentūra savas kompetences ietvaros Centr</w:t>
            </w:r>
            <w:r w:rsidR="00E21F38" w:rsidRPr="00A14861">
              <w:rPr>
                <w:rFonts w:ascii="Times New Roman" w:hAnsi="Times New Roman" w:cs="Times New Roman"/>
                <w:sz w:val="25"/>
                <w:szCs w:val="25"/>
              </w:rPr>
              <w:t xml:space="preserve">ā, asins sagatavošanas nodaļās </w:t>
            </w:r>
            <w:r w:rsidR="00372307" w:rsidRPr="00A14861">
              <w:rPr>
                <w:rFonts w:ascii="Times New Roman" w:hAnsi="Times New Roman" w:cs="Times New Roman"/>
                <w:sz w:val="25"/>
                <w:szCs w:val="25"/>
              </w:rPr>
              <w:t xml:space="preserve">un ārstniecības iestāžu asins kabinetos atbilstības novērtēšanas un kontroles pārbaužu laikā pārliecinās par procedūru un pierakstu esamību un to atbilstību Noteikumu prasībām, kas nepieciešami, lai ziņotu par nopietnām blaknēm un nevēlamiem notikumiem, veiktu donoru epidemioloģisko novērošanu un retrospektīvo izmeklēšanu infekcijas slimību transmisiju gadījumos. Aģentūra veic saņemto ziņojumu par nopietnām blaknēm un nevēlamiem notikumiem uzskaiti, reģistrāciju un analīzi. Pamatojoties uz veikto nopietnas blaknes vai nevēlama notikuma ietekmes izvērtējumu, Aģentūra var veikt ārkārtas kontroles pasākumus nopietnas blaknes vai nevēlama notikuma un korektīvo vai preventīvo darbību izvērtēšanai, organizēt komunikāciju ar nozares profesionāļiem, izdot ātrās reaģēšanas paziņojumu vai citādi sazināties ar citu valstu kompetentajām iestādēm. </w:t>
            </w:r>
          </w:p>
          <w:p w:rsidR="001A0632" w:rsidRPr="00A14861" w:rsidRDefault="00372307" w:rsidP="001A0632">
            <w:pPr>
              <w:spacing w:before="100" w:beforeAutospacing="1" w:after="100" w:afterAutospacing="1" w:line="240" w:lineRule="auto"/>
              <w:ind w:left="63" w:right="142"/>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xml:space="preserve">Tā kā Aģentūras kompetencē </w:t>
            </w:r>
            <w:r w:rsidR="004B7C4C" w:rsidRPr="00A14861">
              <w:rPr>
                <w:rFonts w:ascii="Times New Roman" w:eastAsia="Times New Roman" w:hAnsi="Times New Roman" w:cs="Times New Roman"/>
                <w:sz w:val="25"/>
                <w:szCs w:val="25"/>
              </w:rPr>
              <w:t xml:space="preserve">nav </w:t>
            </w:r>
            <w:r w:rsidRPr="00A14861">
              <w:rPr>
                <w:rFonts w:ascii="Times New Roman" w:eastAsia="Times New Roman" w:hAnsi="Times New Roman" w:cs="Times New Roman"/>
                <w:sz w:val="25"/>
                <w:szCs w:val="25"/>
              </w:rPr>
              <w:t>donoru turpmāk</w:t>
            </w:r>
            <w:r w:rsidR="004B7C4C" w:rsidRPr="00A14861">
              <w:rPr>
                <w:rFonts w:ascii="Times New Roman" w:eastAsia="Times New Roman" w:hAnsi="Times New Roman" w:cs="Times New Roman"/>
                <w:sz w:val="25"/>
                <w:szCs w:val="25"/>
              </w:rPr>
              <w:t>ās</w:t>
            </w:r>
            <w:r w:rsidRPr="00A14861">
              <w:rPr>
                <w:rFonts w:ascii="Times New Roman" w:eastAsia="Times New Roman" w:hAnsi="Times New Roman" w:cs="Times New Roman"/>
                <w:sz w:val="25"/>
                <w:szCs w:val="25"/>
              </w:rPr>
              <w:t xml:space="preserve"> </w:t>
            </w:r>
            <w:r w:rsidR="004B7C4C" w:rsidRPr="00A14861">
              <w:rPr>
                <w:rFonts w:ascii="Times New Roman" w:eastAsia="Times New Roman" w:hAnsi="Times New Roman" w:cs="Times New Roman"/>
                <w:sz w:val="25"/>
                <w:szCs w:val="25"/>
              </w:rPr>
              <w:t xml:space="preserve">epidemioloģiskās </w:t>
            </w:r>
            <w:r w:rsidRPr="00A14861">
              <w:rPr>
                <w:rFonts w:ascii="Times New Roman" w:eastAsia="Times New Roman" w:hAnsi="Times New Roman" w:cs="Times New Roman"/>
                <w:sz w:val="25"/>
                <w:szCs w:val="25"/>
              </w:rPr>
              <w:t>novērošan</w:t>
            </w:r>
            <w:r w:rsidR="004B7C4C" w:rsidRPr="00A14861">
              <w:rPr>
                <w:rFonts w:ascii="Times New Roman" w:eastAsia="Times New Roman" w:hAnsi="Times New Roman" w:cs="Times New Roman"/>
                <w:sz w:val="25"/>
                <w:szCs w:val="25"/>
              </w:rPr>
              <w:t>as veikšana un retrospektīvās izmeklēšanas veikšana</w:t>
            </w:r>
            <w:r w:rsidRPr="00A14861">
              <w:rPr>
                <w:rFonts w:ascii="Times New Roman" w:eastAsia="Times New Roman" w:hAnsi="Times New Roman" w:cs="Times New Roman"/>
                <w:sz w:val="25"/>
                <w:szCs w:val="25"/>
              </w:rPr>
              <w:t xml:space="preserve"> infekcijas slimību transmisijas gadījumā, nepieciešams precizēt Noteikumu 22.3.apakšpun</w:t>
            </w:r>
            <w:r w:rsidR="001A0632" w:rsidRPr="00A14861">
              <w:rPr>
                <w:rFonts w:ascii="Times New Roman" w:eastAsia="Times New Roman" w:hAnsi="Times New Roman" w:cs="Times New Roman"/>
                <w:sz w:val="25"/>
                <w:szCs w:val="25"/>
              </w:rPr>
              <w:t>ktu.</w:t>
            </w:r>
          </w:p>
          <w:p w:rsidR="005F69D7" w:rsidRPr="00A14861" w:rsidRDefault="000851F6" w:rsidP="005F69D7">
            <w:pPr>
              <w:pStyle w:val="ListParagraph"/>
              <w:numPr>
                <w:ilvl w:val="0"/>
                <w:numId w:val="12"/>
              </w:numPr>
              <w:spacing w:before="100" w:beforeAutospacing="1" w:after="100" w:afterAutospacing="1"/>
              <w:ind w:left="63" w:right="142" w:firstLine="299"/>
              <w:jc w:val="both"/>
              <w:rPr>
                <w:color w:val="auto"/>
                <w:sz w:val="25"/>
                <w:szCs w:val="25"/>
              </w:rPr>
            </w:pPr>
            <w:r w:rsidRPr="00A14861">
              <w:rPr>
                <w:rFonts w:eastAsia="Calibri"/>
                <w:color w:val="auto"/>
                <w:sz w:val="25"/>
                <w:szCs w:val="25"/>
                <w:lang w:eastAsia="en-US"/>
              </w:rPr>
              <w:t>Atbilstoši š</w:t>
            </w:r>
            <w:r w:rsidR="006F7A1A" w:rsidRPr="00A14861">
              <w:rPr>
                <w:rFonts w:eastAsia="Calibri"/>
                <w:color w:val="auto"/>
                <w:sz w:val="25"/>
                <w:szCs w:val="25"/>
                <w:lang w:eastAsia="en-US"/>
              </w:rPr>
              <w:t>obrīd Noteikumu 23.</w:t>
            </w:r>
            <w:r w:rsidR="00A14861">
              <w:rPr>
                <w:rFonts w:eastAsia="Calibri"/>
                <w:color w:val="auto"/>
                <w:sz w:val="25"/>
                <w:szCs w:val="25"/>
                <w:lang w:eastAsia="en-US"/>
              </w:rPr>
              <w:t xml:space="preserve"> </w:t>
            </w:r>
            <w:r w:rsidR="006F7A1A" w:rsidRPr="00A14861">
              <w:rPr>
                <w:rFonts w:eastAsia="Calibri"/>
                <w:color w:val="auto"/>
                <w:sz w:val="25"/>
                <w:szCs w:val="25"/>
                <w:lang w:eastAsia="en-US"/>
              </w:rPr>
              <w:t>punkt</w:t>
            </w:r>
            <w:r w:rsidRPr="00A14861">
              <w:rPr>
                <w:rFonts w:eastAsia="Calibri"/>
                <w:color w:val="auto"/>
                <w:sz w:val="25"/>
                <w:szCs w:val="25"/>
                <w:lang w:eastAsia="en-US"/>
              </w:rPr>
              <w:t>ā</w:t>
            </w:r>
            <w:r w:rsidR="006F7A1A" w:rsidRPr="00A14861">
              <w:rPr>
                <w:rFonts w:eastAsia="Calibri"/>
                <w:color w:val="auto"/>
                <w:sz w:val="25"/>
                <w:szCs w:val="25"/>
                <w:lang w:eastAsia="en-US"/>
              </w:rPr>
              <w:t xml:space="preserve"> </w:t>
            </w:r>
            <w:r w:rsidR="006F7A1A" w:rsidRPr="00A14861">
              <w:rPr>
                <w:rFonts w:eastAsia="Calibri"/>
                <w:color w:val="auto"/>
                <w:sz w:val="25"/>
                <w:szCs w:val="25"/>
                <w:lang w:eastAsia="en-US"/>
              </w:rPr>
              <w:lastRenderedPageBreak/>
              <w:t>no</w:t>
            </w:r>
            <w:r w:rsidRPr="00A14861">
              <w:rPr>
                <w:rFonts w:eastAsia="Calibri"/>
                <w:color w:val="auto"/>
                <w:sz w:val="25"/>
                <w:szCs w:val="25"/>
                <w:lang w:eastAsia="en-US"/>
              </w:rPr>
              <w:t>teiktajam</w:t>
            </w:r>
            <w:r w:rsidR="006F7A1A" w:rsidRPr="00A14861">
              <w:rPr>
                <w:rFonts w:eastAsia="Calibri"/>
                <w:color w:val="auto"/>
                <w:sz w:val="25"/>
                <w:szCs w:val="25"/>
                <w:lang w:eastAsia="en-US"/>
              </w:rPr>
              <w:t xml:space="preserve">, lai nodrošinātu Noteikumu ievērošanu, </w:t>
            </w:r>
            <w:r w:rsidRPr="00A14861">
              <w:rPr>
                <w:rFonts w:eastAsia="Calibri"/>
                <w:color w:val="auto"/>
                <w:sz w:val="25"/>
                <w:szCs w:val="25"/>
                <w:lang w:eastAsia="en-US"/>
              </w:rPr>
              <w:t>A</w:t>
            </w:r>
            <w:r w:rsidR="006F7A1A" w:rsidRPr="00A14861">
              <w:rPr>
                <w:rFonts w:eastAsia="Calibri"/>
                <w:color w:val="auto"/>
                <w:sz w:val="25"/>
                <w:szCs w:val="25"/>
                <w:lang w:eastAsia="en-US"/>
              </w:rPr>
              <w:t xml:space="preserve">ģentūra regulāri, bet ne retāk kā reizi divos gados kontrolē </w:t>
            </w:r>
            <w:r w:rsidR="006F7A1A" w:rsidRPr="00A14861">
              <w:rPr>
                <w:rFonts w:eastAsia="Calibri"/>
                <w:color w:val="auto"/>
                <w:sz w:val="25"/>
                <w:szCs w:val="25"/>
                <w:u w:val="single"/>
                <w:lang w:eastAsia="en-US"/>
              </w:rPr>
              <w:t>ārstniecības iestāžu asins kabinetu</w:t>
            </w:r>
            <w:r w:rsidR="006F7A1A" w:rsidRPr="00A14861">
              <w:rPr>
                <w:rFonts w:eastAsia="Calibri"/>
                <w:color w:val="auto"/>
                <w:sz w:val="25"/>
                <w:szCs w:val="25"/>
                <w:lang w:eastAsia="en-US"/>
              </w:rPr>
              <w:t xml:space="preserve"> atbilstību šo noteikumu 36. un 37.</w:t>
            </w:r>
            <w:r w:rsidR="00A14861">
              <w:rPr>
                <w:rFonts w:eastAsia="Calibri"/>
                <w:color w:val="auto"/>
                <w:sz w:val="25"/>
                <w:szCs w:val="25"/>
                <w:lang w:eastAsia="en-US"/>
              </w:rPr>
              <w:t xml:space="preserve"> </w:t>
            </w:r>
            <w:r w:rsidR="006F7A1A" w:rsidRPr="00A14861">
              <w:rPr>
                <w:rFonts w:eastAsia="Calibri"/>
                <w:color w:val="auto"/>
                <w:sz w:val="25"/>
                <w:szCs w:val="25"/>
                <w:lang w:eastAsia="en-US"/>
              </w:rPr>
              <w:t xml:space="preserve">punktā noteiktajām prasībām. Savukārt </w:t>
            </w:r>
            <w:r w:rsidR="003846A6" w:rsidRPr="00A14861">
              <w:rPr>
                <w:color w:val="auto"/>
                <w:sz w:val="25"/>
                <w:szCs w:val="25"/>
              </w:rPr>
              <w:t>Eiropas Parlamenta un Padomes 2003. gada 27. janvāra Direktīvas 2002/98/EK,</w:t>
            </w:r>
            <w:r w:rsidR="003846A6" w:rsidRPr="00A14861">
              <w:rPr>
                <w:rFonts w:eastAsia="Calibri"/>
                <w:color w:val="auto"/>
                <w:sz w:val="25"/>
                <w:szCs w:val="25"/>
                <w:lang w:eastAsia="en-US"/>
              </w:rPr>
              <w:t xml:space="preserve"> </w:t>
            </w:r>
            <w:r w:rsidR="003846A6" w:rsidRPr="00A14861">
              <w:rPr>
                <w:bCs/>
                <w:color w:val="auto"/>
                <w:sz w:val="25"/>
                <w:szCs w:val="25"/>
              </w:rPr>
              <w:t xml:space="preserve">ar kuru nosaka kvalitātes un drošības standartus attiecībā uz cilvēka asins un asins komponentu savākšanu, testēšanu, apstrādi, uzglabāšanu un izplatīšanu, kā arī groza Direktīvu 2001/83/EK (turpmāk – </w:t>
            </w:r>
            <w:r w:rsidR="006F7A1A" w:rsidRPr="00A14861">
              <w:rPr>
                <w:color w:val="auto"/>
                <w:sz w:val="25"/>
                <w:szCs w:val="25"/>
              </w:rPr>
              <w:t>Direktīva 2002/98/EK</w:t>
            </w:r>
            <w:r w:rsidR="003846A6" w:rsidRPr="00A14861">
              <w:rPr>
                <w:color w:val="auto"/>
                <w:sz w:val="25"/>
                <w:szCs w:val="25"/>
              </w:rPr>
              <w:t>)</w:t>
            </w:r>
            <w:r w:rsidR="00675EF0" w:rsidRPr="00A14861">
              <w:rPr>
                <w:color w:val="auto"/>
                <w:sz w:val="25"/>
                <w:szCs w:val="25"/>
              </w:rPr>
              <w:t xml:space="preserve"> </w:t>
            </w:r>
            <w:r w:rsidR="006F7A1A" w:rsidRPr="00A14861">
              <w:rPr>
                <w:rFonts w:eastAsia="Calibri"/>
                <w:color w:val="auto"/>
                <w:sz w:val="25"/>
                <w:szCs w:val="25"/>
                <w:lang w:eastAsia="en-US"/>
              </w:rPr>
              <w:t>8.</w:t>
            </w:r>
            <w:r w:rsidR="00B41653" w:rsidRPr="00A14861">
              <w:rPr>
                <w:rFonts w:eastAsia="Calibri"/>
                <w:color w:val="auto"/>
                <w:sz w:val="25"/>
                <w:szCs w:val="25"/>
                <w:lang w:eastAsia="en-US"/>
              </w:rPr>
              <w:t xml:space="preserve"> </w:t>
            </w:r>
            <w:r w:rsidR="006F7A1A" w:rsidRPr="00A14861">
              <w:rPr>
                <w:rFonts w:eastAsia="Calibri"/>
                <w:color w:val="auto"/>
                <w:sz w:val="25"/>
                <w:szCs w:val="25"/>
                <w:lang w:eastAsia="en-US"/>
              </w:rPr>
              <w:t>panta 1.</w:t>
            </w:r>
            <w:r w:rsidRPr="00A14861">
              <w:rPr>
                <w:rFonts w:eastAsia="Calibri"/>
                <w:color w:val="auto"/>
                <w:sz w:val="25"/>
                <w:szCs w:val="25"/>
                <w:lang w:eastAsia="en-US"/>
              </w:rPr>
              <w:t xml:space="preserve"> </w:t>
            </w:r>
            <w:r w:rsidR="006F7A1A" w:rsidRPr="00A14861">
              <w:rPr>
                <w:rFonts w:eastAsia="Calibri"/>
                <w:color w:val="auto"/>
                <w:sz w:val="25"/>
                <w:szCs w:val="25"/>
                <w:lang w:eastAsia="en-US"/>
              </w:rPr>
              <w:t>un 2.</w:t>
            </w:r>
            <w:r w:rsidR="00A14861">
              <w:rPr>
                <w:rFonts w:eastAsia="Calibri"/>
                <w:color w:val="auto"/>
                <w:sz w:val="25"/>
                <w:szCs w:val="25"/>
                <w:lang w:eastAsia="en-US"/>
              </w:rPr>
              <w:t xml:space="preserve"> </w:t>
            </w:r>
            <w:r w:rsidR="006F7A1A" w:rsidRPr="00A14861">
              <w:rPr>
                <w:rFonts w:eastAsia="Calibri"/>
                <w:color w:val="auto"/>
                <w:sz w:val="25"/>
                <w:szCs w:val="25"/>
                <w:lang w:eastAsia="en-US"/>
              </w:rPr>
              <w:t xml:space="preserve">punkts nosaka, - lai nodrošinātu šīs direktīvas prasību ievērošanu, kompetentā iestāde organizē inspekcijas un atbilstošus kontroles pasākumus </w:t>
            </w:r>
            <w:r w:rsidR="006F7A1A" w:rsidRPr="00A14861">
              <w:rPr>
                <w:rFonts w:eastAsia="Calibri"/>
                <w:color w:val="auto"/>
                <w:sz w:val="25"/>
                <w:szCs w:val="25"/>
                <w:u w:val="single"/>
                <w:lang w:eastAsia="en-US"/>
              </w:rPr>
              <w:t>asinsdonoru centros</w:t>
            </w:r>
            <w:r w:rsidR="006F7A1A" w:rsidRPr="00A14861">
              <w:rPr>
                <w:rFonts w:eastAsia="Calibri"/>
                <w:color w:val="auto"/>
                <w:sz w:val="25"/>
                <w:szCs w:val="25"/>
                <w:lang w:eastAsia="en-US"/>
              </w:rPr>
              <w:t>. Starplaiks starp diviem</w:t>
            </w:r>
            <w:r w:rsidR="006F7A1A" w:rsidRPr="00A14861">
              <w:rPr>
                <w:rFonts w:eastAsia="Calibri"/>
                <w:sz w:val="25"/>
                <w:szCs w:val="25"/>
                <w:lang w:eastAsia="en-US"/>
              </w:rPr>
              <w:t xml:space="preserve"> </w:t>
            </w:r>
            <w:r w:rsidR="006F7A1A" w:rsidRPr="00A14861">
              <w:rPr>
                <w:rFonts w:eastAsia="Calibri"/>
                <w:color w:val="auto"/>
                <w:sz w:val="25"/>
                <w:szCs w:val="25"/>
                <w:lang w:eastAsia="en-US"/>
              </w:rPr>
              <w:t>inspekcijas un kontroles pasākumiem nav ilgāks par diviem gadiem. Tāpat Direktīvas 2002/98/EK 6.</w:t>
            </w:r>
            <w:r w:rsidR="00A14861">
              <w:rPr>
                <w:rFonts w:eastAsia="Calibri"/>
                <w:color w:val="auto"/>
                <w:sz w:val="25"/>
                <w:szCs w:val="25"/>
                <w:lang w:eastAsia="en-US"/>
              </w:rPr>
              <w:t xml:space="preserve"> </w:t>
            </w:r>
            <w:r w:rsidR="006F7A1A" w:rsidRPr="00A14861">
              <w:rPr>
                <w:rFonts w:eastAsia="Calibri"/>
                <w:color w:val="auto"/>
                <w:sz w:val="25"/>
                <w:szCs w:val="25"/>
                <w:lang w:eastAsia="en-US"/>
              </w:rPr>
              <w:t>punktā, kas nosaka asins banku darbību, nav minēta inspekcijas un kontroles funkcija, kā tas ir noteikts attiecībā uz asinsdonoru centru</w:t>
            </w:r>
            <w:r w:rsidR="005F69D7" w:rsidRPr="00A14861">
              <w:rPr>
                <w:rFonts w:eastAsia="Calibri"/>
                <w:color w:val="auto"/>
                <w:sz w:val="25"/>
                <w:szCs w:val="25"/>
                <w:lang w:eastAsia="en-US"/>
              </w:rPr>
              <w:t>.</w:t>
            </w:r>
          </w:p>
          <w:p w:rsidR="005F69D7" w:rsidRPr="00A14861" w:rsidRDefault="006F7A1A" w:rsidP="005F69D7">
            <w:pPr>
              <w:pStyle w:val="ListParagraph"/>
              <w:spacing w:before="100" w:beforeAutospacing="1" w:after="100" w:afterAutospacing="1"/>
              <w:ind w:left="63" w:right="142" w:firstLine="299"/>
              <w:jc w:val="both"/>
              <w:rPr>
                <w:rFonts w:eastAsia="Calibri"/>
                <w:color w:val="auto"/>
                <w:sz w:val="25"/>
                <w:szCs w:val="25"/>
                <w:lang w:eastAsia="en-US"/>
              </w:rPr>
            </w:pPr>
            <w:r w:rsidRPr="00A14861">
              <w:rPr>
                <w:rFonts w:eastAsia="Calibri"/>
                <w:color w:val="auto"/>
                <w:sz w:val="25"/>
                <w:szCs w:val="25"/>
                <w:lang w:eastAsia="en-US"/>
              </w:rPr>
              <w:t xml:space="preserve">Ņemot vērā iepriekš minēto, secināms, ka prasība kontrolēt asins kabinetu atbilstību noteikumos noteiktajām prasībām ne retāk kā reizi divos gados nav ietverta starp tām Direktīvas 2002/98/EK prasībām, kas būtu attiecināmas uz asins kabinetiem kā, piemēram, cilvēka asiņu un asins komponentu izsekojamība, nopietnu nevēlamu notikumu un blakusparādību paziņošana, uzglabāšanas, pārvadāšanas un izplatīšanas nosacījumi, kur minētās prasības ir pārņemtas Noteikumos. Arī Direktīvas 2002/98/EK 12.apsvērumā </w:t>
            </w:r>
            <w:r w:rsidR="000953DA" w:rsidRPr="00A14861">
              <w:rPr>
                <w:rFonts w:eastAsia="Calibri"/>
                <w:color w:val="auto"/>
                <w:sz w:val="25"/>
                <w:szCs w:val="25"/>
                <w:lang w:eastAsia="en-US"/>
              </w:rPr>
              <w:t xml:space="preserve">ir </w:t>
            </w:r>
            <w:r w:rsidRPr="00A14861">
              <w:rPr>
                <w:rFonts w:eastAsia="Calibri"/>
                <w:color w:val="auto"/>
                <w:sz w:val="25"/>
                <w:szCs w:val="25"/>
                <w:lang w:eastAsia="en-US"/>
              </w:rPr>
              <w:t>noteikts, ka „Lai nodrošinātu asiņu un asins komponentu kvalitātes un drošības saglabāšanu visā asins pārliešanas ķēdē, ņemot vērā slimnīcas asins banku īpatnības un funkcijas, slimnīcas asins bankām jāpiemēro tikai uz šādām darbībām attiecināmi noteikumi”, savukārt Direktīvas 2002/98/EK 14.</w:t>
            </w:r>
            <w:r w:rsidR="001A0632" w:rsidRPr="00A14861">
              <w:rPr>
                <w:rFonts w:eastAsia="Calibri"/>
                <w:color w:val="auto"/>
                <w:sz w:val="25"/>
                <w:szCs w:val="25"/>
                <w:lang w:eastAsia="en-US"/>
              </w:rPr>
              <w:t xml:space="preserve"> </w:t>
            </w:r>
            <w:r w:rsidRPr="00A14861">
              <w:rPr>
                <w:rFonts w:eastAsia="Calibri"/>
                <w:color w:val="auto"/>
                <w:sz w:val="25"/>
                <w:szCs w:val="25"/>
                <w:lang w:eastAsia="en-US"/>
              </w:rPr>
              <w:t xml:space="preserve">apsvērums nosaka nepieciešamību kompetento iestāžu pārstāvošām amatpersonām organizēt inspekcijas un kontroles pasākumus, lai nodrošinātu asinsdonoru centru atbilstību šīs direktīvas noteikumiem. Tātad prasība kontrolēt asins kabinetu atbilstību noteikumos noteiktajām prasībām ne retāk kā reizi divos gados nav pamatota ar cilvēka asiņu un asins komponentu savākšanas, testēšanas, apstrādes, uzglabāšanas un izplatīšanas kvalitātes un drošības standartiem, kas ir </w:t>
            </w:r>
            <w:r w:rsidRPr="00A14861">
              <w:rPr>
                <w:rFonts w:eastAsia="Calibri"/>
                <w:color w:val="auto"/>
                <w:sz w:val="25"/>
                <w:szCs w:val="25"/>
                <w:lang w:eastAsia="en-US"/>
              </w:rPr>
              <w:lastRenderedPageBreak/>
              <w:t>noteikti Direktīvā 2002/98/EK.</w:t>
            </w:r>
          </w:p>
          <w:p w:rsidR="006F7A1A" w:rsidRPr="00A14861" w:rsidRDefault="00AA46AC" w:rsidP="005F69D7">
            <w:pPr>
              <w:pStyle w:val="ListParagraph"/>
              <w:spacing w:before="100" w:beforeAutospacing="1" w:after="100" w:afterAutospacing="1"/>
              <w:ind w:left="63" w:right="142" w:firstLine="299"/>
              <w:jc w:val="both"/>
              <w:rPr>
                <w:color w:val="auto"/>
                <w:sz w:val="25"/>
                <w:szCs w:val="25"/>
              </w:rPr>
            </w:pPr>
            <w:r w:rsidRPr="00A14861">
              <w:rPr>
                <w:rFonts w:eastAsia="Calibri"/>
                <w:color w:val="auto"/>
                <w:sz w:val="25"/>
                <w:szCs w:val="25"/>
                <w:lang w:eastAsia="en-US"/>
              </w:rPr>
              <w:t xml:space="preserve">Uzskatāmam piemēram </w:t>
            </w:r>
            <w:r w:rsidR="0030641D" w:rsidRPr="00A14861">
              <w:rPr>
                <w:rFonts w:eastAsia="Calibri"/>
                <w:color w:val="auto"/>
                <w:sz w:val="25"/>
                <w:szCs w:val="25"/>
                <w:lang w:eastAsia="en-US"/>
              </w:rPr>
              <w:t xml:space="preserve">var minēt </w:t>
            </w:r>
            <w:r w:rsidR="006F7A1A" w:rsidRPr="00A14861">
              <w:rPr>
                <w:rFonts w:eastAsia="Calibri"/>
                <w:color w:val="auto"/>
                <w:sz w:val="25"/>
                <w:szCs w:val="25"/>
                <w:lang w:eastAsia="en-US"/>
              </w:rPr>
              <w:t>Apvienotās Karalistes normatīvo regulējumu cilvēka asiņu un asins komponentu savākšanas, testēšanas, apstrādes, uzglabāšanas un izplatīšanas kvalitātes un drošības jomā – Noteikumi par asins drošības un kvalitātes standartiem (</w:t>
            </w:r>
            <w:proofErr w:type="spellStart"/>
            <w:r w:rsidR="006F7A1A" w:rsidRPr="00A14861">
              <w:rPr>
                <w:rFonts w:eastAsia="Calibri"/>
                <w:i/>
                <w:iCs/>
                <w:color w:val="auto"/>
                <w:sz w:val="25"/>
                <w:szCs w:val="25"/>
                <w:lang w:eastAsia="en-US"/>
              </w:rPr>
              <w:t>The</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Blood</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Safety</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and</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Quality</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Regulations</w:t>
            </w:r>
            <w:proofErr w:type="spellEnd"/>
            <w:r w:rsidR="006F7A1A" w:rsidRPr="00A14861">
              <w:rPr>
                <w:rFonts w:eastAsia="Calibri"/>
                <w:color w:val="auto"/>
                <w:sz w:val="25"/>
                <w:szCs w:val="25"/>
                <w:lang w:eastAsia="en-US"/>
              </w:rPr>
              <w:t xml:space="preserve">). </w:t>
            </w:r>
            <w:r w:rsidR="00B41653" w:rsidRPr="00A14861">
              <w:rPr>
                <w:rFonts w:eastAsia="Calibri"/>
                <w:color w:val="auto"/>
                <w:sz w:val="25"/>
                <w:szCs w:val="25"/>
                <w:lang w:eastAsia="en-US"/>
              </w:rPr>
              <w:t>M</w:t>
            </w:r>
            <w:r w:rsidR="006F7A1A" w:rsidRPr="00A14861">
              <w:rPr>
                <w:rFonts w:eastAsia="Calibri"/>
                <w:color w:val="auto"/>
                <w:sz w:val="25"/>
                <w:szCs w:val="25"/>
                <w:lang w:eastAsia="en-US"/>
              </w:rPr>
              <w:t>inēto Noteikumu 15.</w:t>
            </w:r>
            <w:r w:rsidR="001A0632" w:rsidRPr="00A14861">
              <w:rPr>
                <w:rFonts w:eastAsia="Calibri"/>
                <w:color w:val="auto"/>
                <w:sz w:val="25"/>
                <w:szCs w:val="25"/>
                <w:lang w:eastAsia="en-US"/>
              </w:rPr>
              <w:t xml:space="preserve"> </w:t>
            </w:r>
            <w:r w:rsidR="006F7A1A" w:rsidRPr="00A14861">
              <w:rPr>
                <w:rFonts w:eastAsia="Calibri"/>
                <w:color w:val="auto"/>
                <w:sz w:val="25"/>
                <w:szCs w:val="25"/>
                <w:lang w:eastAsia="en-US"/>
              </w:rPr>
              <w:t xml:space="preserve">panta 5.punkts nosaka, ka kontroles pasākumi asins kabinetos </w:t>
            </w:r>
            <w:r w:rsidR="006F7A1A" w:rsidRPr="00A14861">
              <w:rPr>
                <w:rFonts w:eastAsia="Calibri"/>
                <w:color w:val="auto"/>
                <w:sz w:val="25"/>
                <w:szCs w:val="25"/>
                <w:u w:val="single"/>
                <w:lang w:eastAsia="en-US"/>
              </w:rPr>
              <w:t>var tikt veikti</w:t>
            </w:r>
            <w:r w:rsidR="006F7A1A" w:rsidRPr="00A14861">
              <w:rPr>
                <w:rFonts w:eastAsia="Calibri"/>
                <w:color w:val="auto"/>
                <w:sz w:val="25"/>
                <w:szCs w:val="25"/>
                <w:lang w:eastAsia="en-US"/>
              </w:rPr>
              <w:t xml:space="preserve"> (</w:t>
            </w:r>
            <w:proofErr w:type="spellStart"/>
            <w:r w:rsidR="006F7A1A" w:rsidRPr="00A14861">
              <w:rPr>
                <w:rFonts w:eastAsia="Calibri"/>
                <w:i/>
                <w:iCs/>
                <w:color w:val="auto"/>
                <w:sz w:val="25"/>
                <w:szCs w:val="25"/>
                <w:lang w:eastAsia="en-US"/>
              </w:rPr>
              <w:t>may</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inspect</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hospital</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blood</w:t>
            </w:r>
            <w:proofErr w:type="spellEnd"/>
            <w:r w:rsidR="006F7A1A" w:rsidRPr="00A14861">
              <w:rPr>
                <w:rFonts w:eastAsia="Calibri"/>
                <w:i/>
                <w:iCs/>
                <w:color w:val="auto"/>
                <w:sz w:val="25"/>
                <w:szCs w:val="25"/>
                <w:lang w:eastAsia="en-US"/>
              </w:rPr>
              <w:t xml:space="preserve"> </w:t>
            </w:r>
            <w:proofErr w:type="spellStart"/>
            <w:r w:rsidR="006F7A1A" w:rsidRPr="00A14861">
              <w:rPr>
                <w:rFonts w:eastAsia="Calibri"/>
                <w:i/>
                <w:iCs/>
                <w:color w:val="auto"/>
                <w:sz w:val="25"/>
                <w:szCs w:val="25"/>
                <w:lang w:eastAsia="en-US"/>
              </w:rPr>
              <w:t>banks</w:t>
            </w:r>
            <w:proofErr w:type="spellEnd"/>
            <w:r w:rsidR="006F7A1A" w:rsidRPr="00A14861">
              <w:rPr>
                <w:rFonts w:eastAsia="Calibri"/>
                <w:color w:val="auto"/>
                <w:sz w:val="25"/>
                <w:szCs w:val="25"/>
                <w:lang w:eastAsia="en-US"/>
              </w:rPr>
              <w:t xml:space="preserve">), lai nodrošinātu, ka asins kabineti un atbildīgie vadītāji darbojas saskaņā ar noteikumiem, kā arī problēmjautājumi par atbilstību noteikumiem ir identificēti. Praksē tas tiek nodrošināts, nosakot atbilstības uzraudzības veikšanas biežumu, balstoties uz </w:t>
            </w:r>
            <w:proofErr w:type="spellStart"/>
            <w:r w:rsidR="006F7A1A" w:rsidRPr="00A14861">
              <w:rPr>
                <w:rFonts w:eastAsia="Calibri"/>
                <w:color w:val="auto"/>
                <w:sz w:val="25"/>
                <w:szCs w:val="25"/>
                <w:lang w:eastAsia="en-US"/>
              </w:rPr>
              <w:t>riskvadības</w:t>
            </w:r>
            <w:proofErr w:type="spellEnd"/>
            <w:r w:rsidR="006F7A1A" w:rsidRPr="00A14861">
              <w:rPr>
                <w:rFonts w:eastAsia="Calibri"/>
                <w:color w:val="auto"/>
                <w:sz w:val="25"/>
                <w:szCs w:val="25"/>
                <w:lang w:eastAsia="en-US"/>
              </w:rPr>
              <w:t xml:space="preserve"> principiem un nodrošinot asins kabinetu pārbaudes ne retāk kā reizi sešos gados, bet nepieciešamības gadījumā arī biežāk.</w:t>
            </w:r>
          </w:p>
          <w:p w:rsidR="007D315F" w:rsidRPr="00A14861" w:rsidRDefault="006F7A1A" w:rsidP="007D315F">
            <w:pPr>
              <w:spacing w:after="0" w:line="240" w:lineRule="auto"/>
              <w:ind w:left="63" w:right="142"/>
              <w:jc w:val="both"/>
              <w:rPr>
                <w:rFonts w:ascii="Times New Roman" w:eastAsia="Times New Roman" w:hAnsi="Times New Roman" w:cs="Times New Roman"/>
                <w:sz w:val="25"/>
                <w:szCs w:val="25"/>
              </w:rPr>
            </w:pPr>
            <w:r w:rsidRPr="00A14861">
              <w:rPr>
                <w:rFonts w:ascii="Times New Roman" w:eastAsia="Calibri" w:hAnsi="Times New Roman" w:cs="Times New Roman"/>
                <w:sz w:val="25"/>
                <w:szCs w:val="25"/>
                <w:lang w:eastAsia="en-US"/>
              </w:rPr>
              <w:t>Izvērtējot Direktīvas 2002/98/EK 8.</w:t>
            </w:r>
            <w:r w:rsidR="001A0632"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sz w:val="25"/>
                <w:szCs w:val="25"/>
                <w:lang w:eastAsia="en-US"/>
              </w:rPr>
              <w:t>panta regulējumu un piemērošanu attiecībā uz Noteik</w:t>
            </w:r>
            <w:r w:rsidR="00B260CA" w:rsidRPr="00A14861">
              <w:rPr>
                <w:rFonts w:ascii="Times New Roman" w:eastAsia="Calibri" w:hAnsi="Times New Roman" w:cs="Times New Roman"/>
                <w:sz w:val="25"/>
                <w:szCs w:val="25"/>
                <w:lang w:eastAsia="en-US"/>
              </w:rPr>
              <w:t>umu 23.punktu, kā arī</w:t>
            </w:r>
            <w:r w:rsidRPr="00A14861">
              <w:rPr>
                <w:rFonts w:ascii="Times New Roman" w:eastAsia="Calibri" w:hAnsi="Times New Roman" w:cs="Times New Roman"/>
                <w:sz w:val="25"/>
                <w:szCs w:val="25"/>
                <w:lang w:eastAsia="en-US"/>
              </w:rPr>
              <w:t xml:space="preserve">, </w:t>
            </w:r>
            <w:r w:rsidR="005109D9" w:rsidRPr="00A14861">
              <w:rPr>
                <w:rFonts w:ascii="Times New Roman" w:eastAsia="Calibri" w:hAnsi="Times New Roman" w:cs="Times New Roman"/>
                <w:sz w:val="25"/>
                <w:szCs w:val="25"/>
                <w:lang w:eastAsia="en-US"/>
              </w:rPr>
              <w:t>lai</w:t>
            </w:r>
            <w:r w:rsidRPr="00A14861">
              <w:rPr>
                <w:rFonts w:ascii="Times New Roman" w:eastAsia="Calibri" w:hAnsi="Times New Roman" w:cs="Times New Roman"/>
                <w:sz w:val="25"/>
                <w:szCs w:val="25"/>
                <w:lang w:eastAsia="en-US"/>
              </w:rPr>
              <w:t xml:space="preserve"> mazināt</w:t>
            </w:r>
            <w:r w:rsidR="005109D9" w:rsidRPr="00A14861">
              <w:rPr>
                <w:rFonts w:ascii="Times New Roman" w:eastAsia="Calibri" w:hAnsi="Times New Roman" w:cs="Times New Roman"/>
                <w:sz w:val="25"/>
                <w:szCs w:val="25"/>
                <w:lang w:eastAsia="en-US"/>
              </w:rPr>
              <w:t>u</w:t>
            </w:r>
            <w:r w:rsidRPr="00A14861">
              <w:rPr>
                <w:rFonts w:ascii="Times New Roman" w:eastAsia="Calibri" w:hAnsi="Times New Roman" w:cs="Times New Roman"/>
                <w:sz w:val="25"/>
                <w:szCs w:val="25"/>
                <w:lang w:eastAsia="en-US"/>
              </w:rPr>
              <w:t xml:space="preserve"> ārstniecības iestāžu administratīvo slogu, </w:t>
            </w:r>
            <w:r w:rsidR="00B260CA" w:rsidRPr="00A14861">
              <w:rPr>
                <w:rFonts w:ascii="Times New Roman" w:eastAsia="Calibri" w:hAnsi="Times New Roman" w:cs="Times New Roman"/>
                <w:sz w:val="25"/>
                <w:szCs w:val="25"/>
                <w:lang w:eastAsia="en-US"/>
              </w:rPr>
              <w:t>ir nepieciešams veikt</w:t>
            </w:r>
            <w:r w:rsidR="005109D9" w:rsidRPr="00A14861">
              <w:rPr>
                <w:rFonts w:ascii="Times New Roman" w:eastAsia="Calibri" w:hAnsi="Times New Roman" w:cs="Times New Roman"/>
                <w:sz w:val="25"/>
                <w:szCs w:val="25"/>
                <w:lang w:eastAsia="en-US"/>
              </w:rPr>
              <w:t xml:space="preserve"> grozījum</w:t>
            </w:r>
            <w:r w:rsidR="00B260CA" w:rsidRPr="00A14861">
              <w:rPr>
                <w:rFonts w:ascii="Times New Roman" w:eastAsia="Calibri" w:hAnsi="Times New Roman" w:cs="Times New Roman"/>
                <w:sz w:val="25"/>
                <w:szCs w:val="25"/>
                <w:lang w:eastAsia="en-US"/>
              </w:rPr>
              <w:t>u</w:t>
            </w:r>
            <w:r w:rsidR="005109D9" w:rsidRPr="00A14861">
              <w:rPr>
                <w:rFonts w:ascii="Times New Roman" w:eastAsia="Calibri" w:hAnsi="Times New Roman" w:cs="Times New Roman"/>
                <w:sz w:val="25"/>
                <w:szCs w:val="25"/>
                <w:lang w:eastAsia="en-US"/>
              </w:rPr>
              <w:t xml:space="preserve"> Notei</w:t>
            </w:r>
            <w:r w:rsidR="00B260CA" w:rsidRPr="00A14861">
              <w:rPr>
                <w:rFonts w:ascii="Times New Roman" w:eastAsia="Calibri" w:hAnsi="Times New Roman" w:cs="Times New Roman"/>
                <w:sz w:val="25"/>
                <w:szCs w:val="25"/>
                <w:lang w:eastAsia="en-US"/>
              </w:rPr>
              <w:t>kumu 23.punktā, kā arī precizēt</w:t>
            </w:r>
            <w:r w:rsidR="005109D9" w:rsidRPr="00A14861">
              <w:rPr>
                <w:rFonts w:ascii="Times New Roman" w:eastAsia="Calibri" w:hAnsi="Times New Roman" w:cs="Times New Roman"/>
                <w:sz w:val="25"/>
                <w:szCs w:val="25"/>
                <w:lang w:eastAsia="en-US"/>
              </w:rPr>
              <w:t xml:space="preserve"> Noteikumu 7.punkt</w:t>
            </w:r>
            <w:r w:rsidR="00B260CA" w:rsidRPr="00A14861">
              <w:rPr>
                <w:rFonts w:ascii="Times New Roman" w:eastAsia="Calibri" w:hAnsi="Times New Roman" w:cs="Times New Roman"/>
                <w:sz w:val="25"/>
                <w:szCs w:val="25"/>
                <w:lang w:eastAsia="en-US"/>
              </w:rPr>
              <w:t>u</w:t>
            </w:r>
            <w:r w:rsidR="005109D9" w:rsidRPr="00A14861">
              <w:rPr>
                <w:rFonts w:ascii="Times New Roman" w:eastAsia="Calibri" w:hAnsi="Times New Roman" w:cs="Times New Roman"/>
                <w:sz w:val="25"/>
                <w:szCs w:val="25"/>
                <w:lang w:eastAsia="en-US"/>
              </w:rPr>
              <w:t>, atceļot prasību Aģentūrai kontrolēt asins kabinetu atbilstību noteikumos noteiktajām prasībām ne retāk kā reizi divos gad</w:t>
            </w:r>
            <w:r w:rsidR="001A0632" w:rsidRPr="00A14861">
              <w:rPr>
                <w:rFonts w:ascii="Times New Roman" w:eastAsia="Calibri" w:hAnsi="Times New Roman" w:cs="Times New Roman"/>
                <w:sz w:val="25"/>
                <w:szCs w:val="25"/>
                <w:lang w:eastAsia="en-US"/>
              </w:rPr>
              <w:t>os, ņemot vērā, ka šāda prasība</w:t>
            </w:r>
            <w:r w:rsidR="005109D9" w:rsidRPr="00A14861">
              <w:rPr>
                <w:rFonts w:ascii="Times New Roman" w:eastAsia="Calibri" w:hAnsi="Times New Roman" w:cs="Times New Roman"/>
                <w:sz w:val="25"/>
                <w:szCs w:val="25"/>
                <w:lang w:eastAsia="en-US"/>
              </w:rPr>
              <w:t xml:space="preserve"> </w:t>
            </w:r>
            <w:r w:rsidR="000945C9" w:rsidRPr="00A14861">
              <w:rPr>
                <w:rFonts w:ascii="Times New Roman" w:eastAsia="Calibri" w:hAnsi="Times New Roman" w:cs="Times New Roman"/>
                <w:sz w:val="25"/>
                <w:szCs w:val="25"/>
                <w:lang w:eastAsia="en-US"/>
              </w:rPr>
              <w:t>Direktīvā 2002/98/EK nav paredzēta.</w:t>
            </w:r>
            <w:r w:rsidR="007D315F" w:rsidRPr="00A14861">
              <w:rPr>
                <w:rFonts w:ascii="Times New Roman" w:eastAsia="Calibri" w:hAnsi="Times New Roman" w:cs="Times New Roman"/>
                <w:sz w:val="25"/>
                <w:szCs w:val="25"/>
                <w:lang w:eastAsia="en-US"/>
              </w:rPr>
              <w:t xml:space="preserve"> Vienlaikus </w:t>
            </w:r>
            <w:r w:rsidR="007D315F" w:rsidRPr="00A14861">
              <w:rPr>
                <w:rFonts w:ascii="Times New Roman" w:eastAsia="Times New Roman" w:hAnsi="Times New Roman" w:cs="Times New Roman"/>
                <w:sz w:val="25"/>
                <w:szCs w:val="25"/>
              </w:rPr>
              <w:t xml:space="preserve">Direktīvas </w:t>
            </w:r>
            <w:r w:rsidR="00D9147B" w:rsidRPr="00A14861">
              <w:rPr>
                <w:rFonts w:ascii="Times New Roman" w:eastAsia="Calibri" w:hAnsi="Times New Roman" w:cs="Times New Roman"/>
                <w:sz w:val="25"/>
                <w:szCs w:val="25"/>
                <w:lang w:eastAsia="en-US"/>
              </w:rPr>
              <w:t xml:space="preserve">2002/98/EK </w:t>
            </w:r>
            <w:r w:rsidR="007D315F" w:rsidRPr="00A14861">
              <w:rPr>
                <w:rFonts w:ascii="Times New Roman" w:eastAsia="Times New Roman" w:hAnsi="Times New Roman" w:cs="Times New Roman"/>
                <w:sz w:val="25"/>
                <w:szCs w:val="25"/>
              </w:rPr>
              <w:t>17.apsvērums nosaka, ka nepieciešams izveidot atbilstošu sistēmu, lai nodrošinātu nesadalītu asiņu un asins komponentu izsekojamību. Lai gan Direktīva 2002/98/EK neparedz kontroli un uzraudzību asins kabinetiem, tomēr, lai arī turpmāk tiktu veikta asins kabinetu pārraudzība, nepieciešams noteikt, ka Aģentūra ne retāk kā reizi piecos gados kontrolē ārstniecības iestāžu asins kabinetu atbilstību Noteikum</w:t>
            </w:r>
            <w:r w:rsidR="00B24FC5" w:rsidRPr="00A14861">
              <w:rPr>
                <w:rFonts w:ascii="Times New Roman" w:eastAsia="Times New Roman" w:hAnsi="Times New Roman" w:cs="Times New Roman"/>
                <w:sz w:val="25"/>
                <w:szCs w:val="25"/>
              </w:rPr>
              <w:t>os</w:t>
            </w:r>
            <w:r w:rsidR="007D315F" w:rsidRPr="00A14861">
              <w:rPr>
                <w:rFonts w:ascii="Times New Roman" w:eastAsia="Times New Roman" w:hAnsi="Times New Roman" w:cs="Times New Roman"/>
                <w:sz w:val="25"/>
                <w:szCs w:val="25"/>
              </w:rPr>
              <w:t xml:space="preserve"> noteiktajām prasībām.</w:t>
            </w:r>
          </w:p>
          <w:p w:rsidR="00E11C0C" w:rsidRPr="00A14861" w:rsidRDefault="00E11C0C" w:rsidP="00E11C0C">
            <w:pPr>
              <w:keepLines/>
              <w:autoSpaceDE w:val="0"/>
              <w:autoSpaceDN w:val="0"/>
              <w:adjustRightInd w:val="0"/>
              <w:spacing w:after="120" w:line="240" w:lineRule="auto"/>
              <w:ind w:left="113" w:right="142" w:firstLine="244"/>
              <w:jc w:val="both"/>
              <w:rPr>
                <w:rFonts w:ascii="Times New Roman" w:eastAsia="Calibri" w:hAnsi="Times New Roman" w:cs="Times New Roman"/>
                <w:sz w:val="25"/>
                <w:szCs w:val="25"/>
                <w:lang w:eastAsia="en-US"/>
              </w:rPr>
            </w:pPr>
          </w:p>
          <w:p w:rsidR="002C6A6E" w:rsidRPr="00A14861" w:rsidRDefault="003E18C1" w:rsidP="005F69D7">
            <w:pPr>
              <w:pStyle w:val="ListParagraph"/>
              <w:keepLines/>
              <w:numPr>
                <w:ilvl w:val="0"/>
                <w:numId w:val="12"/>
              </w:numPr>
              <w:tabs>
                <w:tab w:val="left" w:pos="347"/>
              </w:tabs>
              <w:autoSpaceDE w:val="0"/>
              <w:autoSpaceDN w:val="0"/>
              <w:adjustRightInd w:val="0"/>
              <w:spacing w:after="120"/>
              <w:ind w:left="63" w:right="142" w:firstLine="299"/>
              <w:jc w:val="both"/>
              <w:rPr>
                <w:rFonts w:eastAsia="Calibri"/>
                <w:color w:val="auto"/>
                <w:sz w:val="25"/>
                <w:szCs w:val="25"/>
                <w:lang w:eastAsia="en-US"/>
              </w:rPr>
            </w:pPr>
            <w:r w:rsidRPr="00A14861">
              <w:rPr>
                <w:color w:val="auto"/>
                <w:sz w:val="25"/>
                <w:szCs w:val="25"/>
              </w:rPr>
              <w:t>C</w:t>
            </w:r>
            <w:r w:rsidR="00507B2C" w:rsidRPr="00A14861">
              <w:rPr>
                <w:color w:val="auto"/>
                <w:sz w:val="25"/>
                <w:szCs w:val="25"/>
              </w:rPr>
              <w:t>entrs un asins sagatavošanas nodaļas</w:t>
            </w:r>
            <w:r w:rsidR="008A0FF3" w:rsidRPr="00A14861">
              <w:rPr>
                <w:color w:val="auto"/>
                <w:sz w:val="25"/>
                <w:szCs w:val="25"/>
              </w:rPr>
              <w:t>,</w:t>
            </w:r>
            <w:r w:rsidR="002F6578" w:rsidRPr="00A14861">
              <w:rPr>
                <w:color w:val="auto"/>
                <w:sz w:val="25"/>
                <w:szCs w:val="25"/>
              </w:rPr>
              <w:t xml:space="preserve"> </w:t>
            </w:r>
            <w:r w:rsidR="008A0FF3" w:rsidRPr="00A14861">
              <w:rPr>
                <w:color w:val="auto"/>
                <w:sz w:val="25"/>
                <w:szCs w:val="25"/>
              </w:rPr>
              <w:t>izmantojot</w:t>
            </w:r>
            <w:r w:rsidR="008A0FF3" w:rsidRPr="00A14861">
              <w:rPr>
                <w:sz w:val="25"/>
                <w:szCs w:val="25"/>
              </w:rPr>
              <w:t xml:space="preserve"> </w:t>
            </w:r>
            <w:r w:rsidR="008A0FF3" w:rsidRPr="00A14861">
              <w:rPr>
                <w:color w:val="auto"/>
                <w:sz w:val="25"/>
                <w:szCs w:val="25"/>
              </w:rPr>
              <w:t xml:space="preserve">validētus procesus un procedūras, </w:t>
            </w:r>
            <w:r w:rsidR="00507B2C" w:rsidRPr="00A14861">
              <w:rPr>
                <w:color w:val="auto"/>
                <w:sz w:val="25"/>
                <w:szCs w:val="25"/>
              </w:rPr>
              <w:t>nodrošina</w:t>
            </w:r>
            <w:r w:rsidR="008A0FF3" w:rsidRPr="00A14861">
              <w:rPr>
                <w:color w:val="auto"/>
                <w:sz w:val="25"/>
                <w:szCs w:val="25"/>
              </w:rPr>
              <w:t xml:space="preserve"> </w:t>
            </w:r>
            <w:r w:rsidR="00F51912" w:rsidRPr="00A14861">
              <w:rPr>
                <w:color w:val="auto"/>
                <w:sz w:val="25"/>
                <w:szCs w:val="25"/>
              </w:rPr>
              <w:t xml:space="preserve">asiņu un asins komponentu </w:t>
            </w:r>
            <w:r w:rsidR="00633997" w:rsidRPr="00A14861">
              <w:rPr>
                <w:color w:val="auto"/>
                <w:sz w:val="25"/>
                <w:szCs w:val="25"/>
              </w:rPr>
              <w:t>kvalitātes un drošības prasību i</w:t>
            </w:r>
            <w:r w:rsidR="00F51912" w:rsidRPr="00A14861">
              <w:rPr>
                <w:color w:val="auto"/>
                <w:sz w:val="25"/>
                <w:szCs w:val="25"/>
              </w:rPr>
              <w:t xml:space="preserve">evērošanu un testēšanu akreditētā testēšanas laboratorijā saskaņā ar </w:t>
            </w:r>
            <w:r w:rsidR="004A2932" w:rsidRPr="00A14861">
              <w:rPr>
                <w:color w:val="auto"/>
                <w:sz w:val="25"/>
                <w:szCs w:val="25"/>
              </w:rPr>
              <w:t>N</w:t>
            </w:r>
            <w:r w:rsidR="00F51912" w:rsidRPr="00A14861">
              <w:rPr>
                <w:color w:val="auto"/>
                <w:sz w:val="25"/>
                <w:szCs w:val="25"/>
              </w:rPr>
              <w:t>oteikumu 2.pielikumu</w:t>
            </w:r>
            <w:r w:rsidR="00107A54" w:rsidRPr="00A14861">
              <w:rPr>
                <w:color w:val="auto"/>
                <w:sz w:val="25"/>
                <w:szCs w:val="25"/>
              </w:rPr>
              <w:t xml:space="preserve"> (Noteikumu – 17.2.apakšpunkts)</w:t>
            </w:r>
            <w:r w:rsidR="00F51912" w:rsidRPr="00A14861">
              <w:rPr>
                <w:color w:val="auto"/>
                <w:sz w:val="25"/>
                <w:szCs w:val="25"/>
              </w:rPr>
              <w:t xml:space="preserve">. </w:t>
            </w:r>
            <w:r w:rsidR="00507B2C" w:rsidRPr="00A14861">
              <w:rPr>
                <w:color w:val="auto"/>
                <w:sz w:val="25"/>
                <w:szCs w:val="25"/>
              </w:rPr>
              <w:t>L</w:t>
            </w:r>
            <w:r w:rsidR="009D7597" w:rsidRPr="00A14861">
              <w:rPr>
                <w:color w:val="auto"/>
                <w:sz w:val="25"/>
                <w:szCs w:val="25"/>
              </w:rPr>
              <w:t>ai</w:t>
            </w:r>
            <w:r w:rsidR="00507B2C" w:rsidRPr="00A14861">
              <w:rPr>
                <w:color w:val="auto"/>
                <w:sz w:val="25"/>
                <w:szCs w:val="25"/>
              </w:rPr>
              <w:t xml:space="preserve"> Centrs varētu</w:t>
            </w:r>
            <w:r w:rsidR="009D7597" w:rsidRPr="00A14861">
              <w:rPr>
                <w:color w:val="auto"/>
                <w:sz w:val="25"/>
                <w:szCs w:val="25"/>
              </w:rPr>
              <w:t xml:space="preserve"> pamatot</w:t>
            </w:r>
            <w:r w:rsidR="00507B2C" w:rsidRPr="00A14861">
              <w:rPr>
                <w:color w:val="auto"/>
                <w:sz w:val="25"/>
                <w:szCs w:val="25"/>
              </w:rPr>
              <w:t>i veikt</w:t>
            </w:r>
            <w:r w:rsidR="00610F08" w:rsidRPr="00A14861">
              <w:rPr>
                <w:color w:val="auto"/>
                <w:sz w:val="25"/>
                <w:szCs w:val="25"/>
              </w:rPr>
              <w:t xml:space="preserve"> jaunu a</w:t>
            </w:r>
            <w:r w:rsidR="009D7597" w:rsidRPr="00A14861">
              <w:rPr>
                <w:color w:val="auto"/>
                <w:sz w:val="25"/>
                <w:szCs w:val="25"/>
              </w:rPr>
              <w:t>sins komponentu apstrād</w:t>
            </w:r>
            <w:r w:rsidR="00507B2C" w:rsidRPr="00A14861">
              <w:rPr>
                <w:color w:val="auto"/>
                <w:sz w:val="25"/>
                <w:szCs w:val="25"/>
              </w:rPr>
              <w:t>i,</w:t>
            </w:r>
            <w:r w:rsidR="009D7597" w:rsidRPr="00A14861">
              <w:rPr>
                <w:color w:val="auto"/>
                <w:sz w:val="25"/>
                <w:szCs w:val="25"/>
              </w:rPr>
              <w:t xml:space="preserve"> </w:t>
            </w:r>
            <w:r w:rsidR="00AD7F82" w:rsidRPr="00A14861">
              <w:rPr>
                <w:color w:val="auto"/>
                <w:sz w:val="25"/>
                <w:szCs w:val="25"/>
              </w:rPr>
              <w:lastRenderedPageBreak/>
              <w:t>nepieciešams N</w:t>
            </w:r>
            <w:r w:rsidR="00507B2C" w:rsidRPr="00A14861">
              <w:rPr>
                <w:color w:val="auto"/>
                <w:sz w:val="25"/>
                <w:szCs w:val="25"/>
              </w:rPr>
              <w:t>oteikumu</w:t>
            </w:r>
            <w:r w:rsidR="009D7597" w:rsidRPr="00A14861">
              <w:rPr>
                <w:color w:val="auto"/>
                <w:sz w:val="25"/>
                <w:szCs w:val="25"/>
              </w:rPr>
              <w:t xml:space="preserve"> </w:t>
            </w:r>
            <w:r w:rsidR="009D7597" w:rsidRPr="00A14861">
              <w:rPr>
                <w:bCs/>
                <w:color w:val="auto"/>
                <w:sz w:val="25"/>
                <w:szCs w:val="25"/>
              </w:rPr>
              <w:t>2.pielikum</w:t>
            </w:r>
            <w:r w:rsidR="00FE4481" w:rsidRPr="00A14861">
              <w:rPr>
                <w:bCs/>
                <w:color w:val="auto"/>
                <w:sz w:val="25"/>
                <w:szCs w:val="25"/>
              </w:rPr>
              <w:t>ā</w:t>
            </w:r>
            <w:r w:rsidR="002C6A6E" w:rsidRPr="00A14861">
              <w:rPr>
                <w:bCs/>
                <w:color w:val="auto"/>
                <w:sz w:val="25"/>
                <w:szCs w:val="25"/>
              </w:rPr>
              <w:t xml:space="preserve"> norādītās asins un asins komponentu kvalitātes un drošības kontroles prasības</w:t>
            </w:r>
            <w:r w:rsidR="009D7597" w:rsidRPr="00A14861">
              <w:rPr>
                <w:bCs/>
                <w:color w:val="auto"/>
                <w:sz w:val="25"/>
                <w:szCs w:val="25"/>
              </w:rPr>
              <w:t xml:space="preserve"> </w:t>
            </w:r>
            <w:r w:rsidR="002C6A6E" w:rsidRPr="00A14861">
              <w:rPr>
                <w:bCs/>
                <w:color w:val="auto"/>
                <w:sz w:val="25"/>
                <w:szCs w:val="25"/>
              </w:rPr>
              <w:t>papildināt</w:t>
            </w:r>
            <w:r w:rsidR="009D7597" w:rsidRPr="00A14861">
              <w:rPr>
                <w:bCs/>
                <w:color w:val="auto"/>
                <w:sz w:val="25"/>
                <w:szCs w:val="25"/>
              </w:rPr>
              <w:t xml:space="preserve"> ar diviem jauniem trombocītu masas veidiem</w:t>
            </w:r>
            <w:r w:rsidR="002C6A6E" w:rsidRPr="00A14861">
              <w:rPr>
                <w:bCs/>
                <w:color w:val="auto"/>
                <w:sz w:val="25"/>
                <w:szCs w:val="25"/>
              </w:rPr>
              <w:t>, kuri tiktu noteikti</w:t>
            </w:r>
            <w:r w:rsidR="009D7597" w:rsidRPr="00A14861">
              <w:rPr>
                <w:bCs/>
                <w:color w:val="auto"/>
                <w:sz w:val="25"/>
                <w:szCs w:val="25"/>
              </w:rPr>
              <w:t xml:space="preserve"> </w:t>
            </w:r>
            <w:r w:rsidR="00570FA2" w:rsidRPr="00A14861">
              <w:rPr>
                <w:bCs/>
                <w:color w:val="auto"/>
                <w:sz w:val="25"/>
                <w:szCs w:val="25"/>
              </w:rPr>
              <w:t>10.</w:t>
            </w:r>
            <w:r w:rsidR="00570FA2" w:rsidRPr="00A14861">
              <w:rPr>
                <w:bCs/>
                <w:color w:val="auto"/>
                <w:sz w:val="25"/>
                <w:szCs w:val="25"/>
                <w:vertAlign w:val="superscript"/>
              </w:rPr>
              <w:t>1</w:t>
            </w:r>
            <w:r w:rsidR="009D7597" w:rsidRPr="00A14861">
              <w:rPr>
                <w:bCs/>
                <w:color w:val="auto"/>
                <w:sz w:val="25"/>
                <w:szCs w:val="25"/>
              </w:rPr>
              <w:t xml:space="preserve"> un 12</w:t>
            </w:r>
            <w:r w:rsidR="00635C85" w:rsidRPr="00A14861">
              <w:rPr>
                <w:bCs/>
                <w:color w:val="auto"/>
                <w:sz w:val="25"/>
                <w:szCs w:val="25"/>
              </w:rPr>
              <w:t>.</w:t>
            </w:r>
            <w:r w:rsidR="00570FA2" w:rsidRPr="00A14861">
              <w:rPr>
                <w:bCs/>
                <w:color w:val="auto"/>
                <w:sz w:val="25"/>
                <w:szCs w:val="25"/>
                <w:vertAlign w:val="superscript"/>
              </w:rPr>
              <w:t xml:space="preserve">1 </w:t>
            </w:r>
            <w:r w:rsidR="00570FA2" w:rsidRPr="00A14861">
              <w:rPr>
                <w:bCs/>
                <w:color w:val="auto"/>
                <w:sz w:val="25"/>
                <w:szCs w:val="25"/>
              </w:rPr>
              <w:t>punktā</w:t>
            </w:r>
            <w:r w:rsidR="00FE4481" w:rsidRPr="00A14861">
              <w:rPr>
                <w:bCs/>
                <w:color w:val="auto"/>
                <w:sz w:val="25"/>
                <w:szCs w:val="25"/>
              </w:rPr>
              <w:t xml:space="preserve"> (Noteikumu projekta </w:t>
            </w:r>
            <w:r w:rsidR="00B41653" w:rsidRPr="00A14861">
              <w:rPr>
                <w:bCs/>
                <w:color w:val="auto"/>
                <w:sz w:val="25"/>
                <w:szCs w:val="25"/>
              </w:rPr>
              <w:t>8</w:t>
            </w:r>
            <w:r w:rsidR="00FE4481" w:rsidRPr="00A14861">
              <w:rPr>
                <w:bCs/>
                <w:color w:val="auto"/>
                <w:sz w:val="25"/>
                <w:szCs w:val="25"/>
              </w:rPr>
              <w:t xml:space="preserve">. un </w:t>
            </w:r>
            <w:r w:rsidR="00B41653" w:rsidRPr="00A14861">
              <w:rPr>
                <w:bCs/>
                <w:color w:val="auto"/>
                <w:sz w:val="25"/>
                <w:szCs w:val="25"/>
              </w:rPr>
              <w:t xml:space="preserve">9. </w:t>
            </w:r>
            <w:r w:rsidR="00FE4481" w:rsidRPr="00A14861">
              <w:rPr>
                <w:bCs/>
                <w:color w:val="auto"/>
                <w:sz w:val="25"/>
                <w:szCs w:val="25"/>
              </w:rPr>
              <w:t>punkts)</w:t>
            </w:r>
            <w:r w:rsidR="00570FA2" w:rsidRPr="00A14861">
              <w:rPr>
                <w:bCs/>
                <w:color w:val="auto"/>
                <w:sz w:val="25"/>
                <w:szCs w:val="25"/>
              </w:rPr>
              <w:t>.</w:t>
            </w:r>
          </w:p>
          <w:p w:rsidR="00863B80" w:rsidRPr="00A14861" w:rsidRDefault="007A4D49" w:rsidP="00D257E6">
            <w:pPr>
              <w:autoSpaceDE w:val="0"/>
              <w:autoSpaceDN w:val="0"/>
              <w:adjustRightInd w:val="0"/>
              <w:spacing w:after="0" w:line="240" w:lineRule="auto"/>
              <w:ind w:left="115" w:right="140"/>
              <w:jc w:val="both"/>
              <w:rPr>
                <w:rFonts w:ascii="Times New Roman" w:hAnsi="Times New Roman" w:cs="Times New Roman"/>
                <w:sz w:val="25"/>
                <w:szCs w:val="25"/>
              </w:rPr>
            </w:pPr>
            <w:r w:rsidRPr="00A14861">
              <w:rPr>
                <w:rFonts w:ascii="Times New Roman" w:hAnsi="Times New Roman" w:cs="Times New Roman"/>
                <w:sz w:val="25"/>
                <w:szCs w:val="25"/>
              </w:rPr>
              <w:t xml:space="preserve">Pamatojoties </w:t>
            </w:r>
            <w:r w:rsidR="001A5C55" w:rsidRPr="00A14861">
              <w:rPr>
                <w:rFonts w:ascii="Times New Roman" w:hAnsi="Times New Roman" w:cs="Times New Roman"/>
                <w:sz w:val="25"/>
                <w:szCs w:val="25"/>
              </w:rPr>
              <w:t xml:space="preserve">uz </w:t>
            </w:r>
            <w:r w:rsidR="001238C9" w:rsidRPr="00A14861">
              <w:rPr>
                <w:rFonts w:ascii="Times New Roman" w:hAnsi="Times New Roman" w:cs="Times New Roman"/>
                <w:sz w:val="25"/>
                <w:szCs w:val="25"/>
              </w:rPr>
              <w:t>Direktīvas 2002/98/EK</w:t>
            </w:r>
            <w:r w:rsidR="00633997" w:rsidRPr="00A14861">
              <w:rPr>
                <w:rFonts w:ascii="Times New Roman" w:hAnsi="Times New Roman" w:cs="Times New Roman"/>
                <w:sz w:val="25"/>
                <w:szCs w:val="25"/>
              </w:rPr>
              <w:t xml:space="preserve"> </w:t>
            </w:r>
            <w:r w:rsidR="00D41255" w:rsidRPr="00A14861">
              <w:rPr>
                <w:rFonts w:ascii="Times New Roman" w:hAnsi="Times New Roman" w:cs="Times New Roman"/>
                <w:sz w:val="25"/>
                <w:szCs w:val="25"/>
              </w:rPr>
              <w:t>4.</w:t>
            </w:r>
            <w:r w:rsidR="00B1728C" w:rsidRPr="00A14861">
              <w:rPr>
                <w:rFonts w:ascii="Times New Roman" w:hAnsi="Times New Roman" w:cs="Times New Roman"/>
                <w:sz w:val="25"/>
                <w:szCs w:val="25"/>
              </w:rPr>
              <w:t xml:space="preserve"> </w:t>
            </w:r>
            <w:r w:rsidR="00D41255" w:rsidRPr="00A14861">
              <w:rPr>
                <w:rFonts w:ascii="Times New Roman" w:hAnsi="Times New Roman" w:cs="Times New Roman"/>
                <w:sz w:val="25"/>
                <w:szCs w:val="25"/>
              </w:rPr>
              <w:t>panta 2.punktu</w:t>
            </w:r>
            <w:r w:rsidR="001A5C55" w:rsidRPr="00A14861">
              <w:rPr>
                <w:rFonts w:ascii="Times New Roman" w:hAnsi="Times New Roman" w:cs="Times New Roman"/>
                <w:sz w:val="25"/>
                <w:szCs w:val="25"/>
              </w:rPr>
              <w:t>,</w:t>
            </w:r>
            <w:r w:rsidR="00D41255" w:rsidRPr="00A14861">
              <w:rPr>
                <w:rFonts w:ascii="Times New Roman" w:hAnsi="Times New Roman" w:cs="Times New Roman"/>
                <w:sz w:val="25"/>
                <w:szCs w:val="25"/>
              </w:rPr>
              <w:t xml:space="preserve"> šī direktīva neaizliedz dalībvalstīm atstāt spēkā vai ieviest stingrākus aizsardzības pasākumus, kas atbilst Līguma noteikumiem. </w:t>
            </w:r>
            <w:r w:rsidRPr="00A14861">
              <w:rPr>
                <w:rFonts w:ascii="Times New Roman" w:hAnsi="Times New Roman" w:cs="Times New Roman"/>
                <w:sz w:val="25"/>
                <w:szCs w:val="25"/>
              </w:rPr>
              <w:t>Eiropas Kopienas dibināšanas līguma</w:t>
            </w:r>
            <w:r w:rsidR="00C33C8C" w:rsidRPr="00A14861">
              <w:rPr>
                <w:rFonts w:ascii="Times New Roman" w:hAnsi="Times New Roman" w:cs="Times New Roman"/>
                <w:sz w:val="25"/>
                <w:szCs w:val="25"/>
              </w:rPr>
              <w:t xml:space="preserve"> 152. panta </w:t>
            </w:r>
            <w:r w:rsidR="00D41255" w:rsidRPr="00A14861">
              <w:rPr>
                <w:rFonts w:ascii="Times New Roman" w:hAnsi="Times New Roman" w:cs="Times New Roman"/>
                <w:sz w:val="25"/>
                <w:szCs w:val="25"/>
              </w:rPr>
              <w:t>4</w:t>
            </w:r>
            <w:r w:rsidR="00C33C8C" w:rsidRPr="00A14861">
              <w:rPr>
                <w:rFonts w:ascii="Times New Roman" w:hAnsi="Times New Roman" w:cs="Times New Roman"/>
                <w:sz w:val="25"/>
                <w:szCs w:val="25"/>
              </w:rPr>
              <w:t>.</w:t>
            </w:r>
            <w:r w:rsidR="00D41255" w:rsidRPr="00A14861">
              <w:rPr>
                <w:rFonts w:ascii="Times New Roman" w:hAnsi="Times New Roman" w:cs="Times New Roman"/>
                <w:sz w:val="25"/>
                <w:szCs w:val="25"/>
              </w:rPr>
              <w:t>punkta a) apakšpunkts nosaka</w:t>
            </w:r>
            <w:r w:rsidR="00C33C8C" w:rsidRPr="00A14861">
              <w:rPr>
                <w:rFonts w:ascii="Times New Roman" w:hAnsi="Times New Roman" w:cs="Times New Roman"/>
                <w:sz w:val="25"/>
                <w:szCs w:val="25"/>
              </w:rPr>
              <w:t>, ka dalībvalst</w:t>
            </w:r>
            <w:r w:rsidR="00D41255" w:rsidRPr="00A14861">
              <w:rPr>
                <w:rFonts w:ascii="Times New Roman" w:hAnsi="Times New Roman" w:cs="Times New Roman"/>
                <w:sz w:val="25"/>
                <w:szCs w:val="25"/>
              </w:rPr>
              <w:t>is</w:t>
            </w:r>
            <w:r w:rsidR="00C33C8C" w:rsidRPr="00A14861">
              <w:rPr>
                <w:rFonts w:ascii="Times New Roman" w:hAnsi="Times New Roman" w:cs="Times New Roman"/>
                <w:sz w:val="25"/>
                <w:szCs w:val="25"/>
              </w:rPr>
              <w:t xml:space="preserve"> var </w:t>
            </w:r>
            <w:r w:rsidR="00D41255" w:rsidRPr="00A14861">
              <w:rPr>
                <w:rFonts w:ascii="Times New Roman" w:hAnsi="Times New Roman" w:cs="Times New Roman"/>
                <w:sz w:val="25"/>
                <w:szCs w:val="25"/>
              </w:rPr>
              <w:t xml:space="preserve">atstāt spēkā vai ieviest stingrākus aizsargpasākumus attiecībā uz asins un asins preparātu kvalitātes un drošības standartiem. </w:t>
            </w:r>
            <w:r w:rsidR="009D7597" w:rsidRPr="00A14861">
              <w:rPr>
                <w:rFonts w:ascii="Times New Roman" w:hAnsi="Times New Roman" w:cs="Times New Roman"/>
                <w:sz w:val="25"/>
                <w:szCs w:val="25"/>
              </w:rPr>
              <w:t>Latvijas Asins dienestā obligātā donoru skr</w:t>
            </w:r>
            <w:r w:rsidR="00345F23" w:rsidRPr="00A14861">
              <w:rPr>
                <w:rFonts w:ascii="Times New Roman" w:hAnsi="Times New Roman" w:cs="Times New Roman"/>
                <w:sz w:val="25"/>
                <w:szCs w:val="25"/>
              </w:rPr>
              <w:t xml:space="preserve">īninga izmeklēšana tiek veikta </w:t>
            </w:r>
            <w:r w:rsidR="009D7597" w:rsidRPr="00A14861">
              <w:rPr>
                <w:rFonts w:ascii="Times New Roman" w:hAnsi="Times New Roman" w:cs="Times New Roman"/>
                <w:sz w:val="25"/>
                <w:szCs w:val="25"/>
              </w:rPr>
              <w:t xml:space="preserve">uz </w:t>
            </w:r>
            <w:r w:rsidR="00A15289" w:rsidRPr="00A14861">
              <w:rPr>
                <w:rFonts w:ascii="Times New Roman" w:hAnsi="Times New Roman" w:cs="Times New Roman"/>
                <w:sz w:val="25"/>
                <w:szCs w:val="25"/>
              </w:rPr>
              <w:t xml:space="preserve">B hepatīta vīrusu (turpmāk – </w:t>
            </w:r>
            <w:r w:rsidR="009D7597" w:rsidRPr="00A14861">
              <w:rPr>
                <w:rFonts w:ascii="Times New Roman" w:hAnsi="Times New Roman" w:cs="Times New Roman"/>
                <w:sz w:val="25"/>
                <w:szCs w:val="25"/>
              </w:rPr>
              <w:t>HBV</w:t>
            </w:r>
            <w:r w:rsidR="00A15289" w:rsidRPr="00A14861">
              <w:rPr>
                <w:rFonts w:ascii="Times New Roman" w:hAnsi="Times New Roman" w:cs="Times New Roman"/>
                <w:sz w:val="25"/>
                <w:szCs w:val="25"/>
              </w:rPr>
              <w:t>)</w:t>
            </w:r>
            <w:r w:rsidR="009D7597" w:rsidRPr="00A14861">
              <w:rPr>
                <w:rFonts w:ascii="Times New Roman" w:hAnsi="Times New Roman" w:cs="Times New Roman"/>
                <w:sz w:val="25"/>
                <w:szCs w:val="25"/>
              </w:rPr>
              <w:t>, HIV</w:t>
            </w:r>
            <w:r w:rsidR="009D7597" w:rsidRPr="00A14861">
              <w:rPr>
                <w:rFonts w:ascii="Times New Roman" w:hAnsi="Times New Roman" w:cs="Times New Roman"/>
                <w:sz w:val="25"/>
                <w:szCs w:val="25"/>
                <w:shd w:val="clear" w:color="auto" w:fill="FFFFFF" w:themeFill="background1"/>
              </w:rPr>
              <w:t>,</w:t>
            </w:r>
            <w:r w:rsidR="009D7597" w:rsidRPr="00A14861">
              <w:rPr>
                <w:rFonts w:ascii="Times New Roman" w:hAnsi="Times New Roman" w:cs="Times New Roman"/>
                <w:sz w:val="25"/>
                <w:szCs w:val="25"/>
              </w:rPr>
              <w:t xml:space="preserve"> HCV, sifilisu, </w:t>
            </w:r>
            <w:r w:rsidR="00A15289" w:rsidRPr="00A14861">
              <w:rPr>
                <w:rFonts w:ascii="Times New Roman" w:hAnsi="Times New Roman" w:cs="Times New Roman"/>
                <w:sz w:val="25"/>
                <w:szCs w:val="25"/>
              </w:rPr>
              <w:t>citomegalovī</w:t>
            </w:r>
            <w:bookmarkStart w:id="0" w:name="_GoBack"/>
            <w:bookmarkEnd w:id="0"/>
            <w:r w:rsidR="00A15289" w:rsidRPr="00A14861">
              <w:rPr>
                <w:rFonts w:ascii="Times New Roman" w:hAnsi="Times New Roman" w:cs="Times New Roman"/>
                <w:sz w:val="25"/>
                <w:szCs w:val="25"/>
              </w:rPr>
              <w:t>rus (turpmāk –</w:t>
            </w:r>
            <w:r w:rsidR="00831CD4" w:rsidRPr="00A14861">
              <w:rPr>
                <w:rFonts w:ascii="Times New Roman" w:hAnsi="Times New Roman" w:cs="Times New Roman"/>
                <w:sz w:val="25"/>
                <w:szCs w:val="25"/>
              </w:rPr>
              <w:t xml:space="preserve"> </w:t>
            </w:r>
            <w:r w:rsidR="00D257E6" w:rsidRPr="00A14861">
              <w:rPr>
                <w:rFonts w:ascii="Times New Roman" w:hAnsi="Times New Roman" w:cs="Times New Roman"/>
                <w:sz w:val="25"/>
                <w:szCs w:val="25"/>
              </w:rPr>
              <w:t>CMV</w:t>
            </w:r>
            <w:r w:rsidR="00A15289" w:rsidRPr="00A14861">
              <w:rPr>
                <w:rFonts w:ascii="Times New Roman" w:hAnsi="Times New Roman" w:cs="Times New Roman"/>
                <w:sz w:val="25"/>
                <w:szCs w:val="25"/>
              </w:rPr>
              <w:t xml:space="preserve">) </w:t>
            </w:r>
            <w:r w:rsidR="009D7597" w:rsidRPr="00A14861">
              <w:rPr>
                <w:rFonts w:ascii="Times New Roman" w:hAnsi="Times New Roman" w:cs="Times New Roman"/>
                <w:sz w:val="25"/>
                <w:szCs w:val="25"/>
              </w:rPr>
              <w:t xml:space="preserve">(atsevišķiem komponentu veidiem). </w:t>
            </w:r>
            <w:r w:rsidR="001238C9" w:rsidRPr="00A14861">
              <w:rPr>
                <w:rFonts w:ascii="Times New Roman" w:hAnsi="Times New Roman" w:cs="Times New Roman"/>
                <w:sz w:val="25"/>
                <w:szCs w:val="25"/>
              </w:rPr>
              <w:t>Lai nodrošinātu kvalitatīvus un drošus asins komponentus</w:t>
            </w:r>
            <w:r w:rsidR="001C4AAB" w:rsidRPr="00A14861">
              <w:rPr>
                <w:rFonts w:ascii="Times New Roman" w:hAnsi="Times New Roman" w:cs="Times New Roman"/>
                <w:sz w:val="25"/>
                <w:szCs w:val="25"/>
              </w:rPr>
              <w:t>,</w:t>
            </w:r>
            <w:r w:rsidR="009D7597" w:rsidRPr="00A14861">
              <w:rPr>
                <w:rFonts w:ascii="Times New Roman" w:hAnsi="Times New Roman" w:cs="Times New Roman"/>
                <w:sz w:val="25"/>
                <w:szCs w:val="25"/>
              </w:rPr>
              <w:t xml:space="preserve"> </w:t>
            </w:r>
            <w:r w:rsidR="00E0687B" w:rsidRPr="00A14861">
              <w:rPr>
                <w:rFonts w:ascii="Times New Roman" w:hAnsi="Times New Roman" w:cs="Times New Roman"/>
                <w:sz w:val="25"/>
                <w:szCs w:val="25"/>
              </w:rPr>
              <w:t>ir</w:t>
            </w:r>
            <w:r w:rsidR="009D7597" w:rsidRPr="00A14861">
              <w:rPr>
                <w:rFonts w:ascii="Times New Roman" w:hAnsi="Times New Roman" w:cs="Times New Roman"/>
                <w:sz w:val="25"/>
                <w:szCs w:val="25"/>
              </w:rPr>
              <w:t xml:space="preserve"> ieviestas jaunas laboratoriskās izmeklēšanas metodes asins donoru skrīninga izmeklēšanā, piemēram, nukleīnskābju </w:t>
            </w:r>
            <w:r w:rsidR="001C4AAB" w:rsidRPr="00A14861">
              <w:rPr>
                <w:rFonts w:ascii="Times New Roman" w:hAnsi="Times New Roman" w:cs="Times New Roman"/>
                <w:sz w:val="25"/>
                <w:szCs w:val="25"/>
              </w:rPr>
              <w:t xml:space="preserve">amplifikācijas tests (NAT), ko </w:t>
            </w:r>
            <w:r w:rsidR="009D7597" w:rsidRPr="00A14861">
              <w:rPr>
                <w:rFonts w:ascii="Times New Roman" w:hAnsi="Times New Roman" w:cs="Times New Roman"/>
                <w:sz w:val="25"/>
                <w:szCs w:val="25"/>
              </w:rPr>
              <w:t>izmanto arī Latvijas a</w:t>
            </w:r>
            <w:r w:rsidR="001C4AAB" w:rsidRPr="00A14861">
              <w:rPr>
                <w:rFonts w:ascii="Times New Roman" w:hAnsi="Times New Roman" w:cs="Times New Roman"/>
                <w:sz w:val="25"/>
                <w:szCs w:val="25"/>
              </w:rPr>
              <w:t xml:space="preserve">sins donoru izmeklēšanā un kas </w:t>
            </w:r>
            <w:r w:rsidR="009D7597" w:rsidRPr="00A14861">
              <w:rPr>
                <w:rFonts w:ascii="Times New Roman" w:hAnsi="Times New Roman" w:cs="Times New Roman"/>
                <w:sz w:val="25"/>
                <w:szCs w:val="25"/>
              </w:rPr>
              <w:t>ievērojami reducē infekciju „loga periodu”- laiku no inficēšanās brīža līdz vīrusu marķieru laborat</w:t>
            </w:r>
            <w:r w:rsidR="001238C9" w:rsidRPr="00A14861">
              <w:rPr>
                <w:rFonts w:ascii="Times New Roman" w:hAnsi="Times New Roman" w:cs="Times New Roman"/>
                <w:sz w:val="25"/>
                <w:szCs w:val="25"/>
              </w:rPr>
              <w:t xml:space="preserve">oriskās detekcijas iespējamībai </w:t>
            </w:r>
            <w:r w:rsidR="009D7597" w:rsidRPr="00A14861">
              <w:rPr>
                <w:rFonts w:ascii="Times New Roman" w:hAnsi="Times New Roman" w:cs="Times New Roman"/>
                <w:sz w:val="25"/>
                <w:szCs w:val="25"/>
              </w:rPr>
              <w:t>(</w:t>
            </w:r>
            <w:r w:rsidR="001C4AAB" w:rsidRPr="00A14861">
              <w:rPr>
                <w:rFonts w:ascii="Times New Roman" w:hAnsi="Times New Roman" w:cs="Times New Roman"/>
                <w:i/>
                <w:sz w:val="25"/>
                <w:szCs w:val="25"/>
              </w:rPr>
              <w:t xml:space="preserve">skatīt </w:t>
            </w:r>
            <w:r w:rsidR="009D7597" w:rsidRPr="00A14861">
              <w:rPr>
                <w:rFonts w:ascii="Times New Roman" w:hAnsi="Times New Roman" w:cs="Times New Roman"/>
                <w:i/>
                <w:sz w:val="25"/>
                <w:szCs w:val="25"/>
              </w:rPr>
              <w:t>1.</w:t>
            </w:r>
            <w:r w:rsidR="00863B80" w:rsidRPr="00A14861">
              <w:rPr>
                <w:rFonts w:ascii="Times New Roman" w:hAnsi="Times New Roman" w:cs="Times New Roman"/>
                <w:i/>
                <w:sz w:val="25"/>
                <w:szCs w:val="25"/>
              </w:rPr>
              <w:t>tabulu</w:t>
            </w:r>
            <w:r w:rsidR="00863B80" w:rsidRPr="00A14861">
              <w:rPr>
                <w:rFonts w:ascii="Times New Roman" w:hAnsi="Times New Roman" w:cs="Times New Roman"/>
                <w:sz w:val="25"/>
                <w:szCs w:val="25"/>
              </w:rPr>
              <w:t>).</w:t>
            </w:r>
            <w:r w:rsidR="00795B63" w:rsidRPr="00A14861">
              <w:rPr>
                <w:rFonts w:ascii="Times New Roman" w:hAnsi="Times New Roman" w:cs="Times New Roman"/>
                <w:sz w:val="25"/>
                <w:szCs w:val="25"/>
              </w:rPr>
              <w:t xml:space="preserve"> </w:t>
            </w:r>
          </w:p>
          <w:p w:rsidR="00863B80" w:rsidRPr="00A14861" w:rsidRDefault="00863B80" w:rsidP="00863B80">
            <w:pPr>
              <w:tabs>
                <w:tab w:val="left" w:pos="5218"/>
              </w:tabs>
              <w:spacing w:after="0" w:line="240" w:lineRule="auto"/>
              <w:ind w:left="115" w:right="424"/>
              <w:jc w:val="right"/>
              <w:rPr>
                <w:rFonts w:ascii="Times New Roman" w:hAnsi="Times New Roman" w:cs="Times New Roman"/>
                <w:i/>
                <w:sz w:val="25"/>
                <w:szCs w:val="25"/>
              </w:rPr>
            </w:pPr>
            <w:r w:rsidRPr="00A14861">
              <w:rPr>
                <w:rFonts w:ascii="Times New Roman" w:hAnsi="Times New Roman" w:cs="Times New Roman"/>
                <w:i/>
                <w:sz w:val="25"/>
                <w:szCs w:val="25"/>
              </w:rPr>
              <w:t>1.tabula</w:t>
            </w:r>
          </w:p>
          <w:p w:rsidR="00863B80" w:rsidRPr="00A14861" w:rsidRDefault="00863B80" w:rsidP="00EE43BC">
            <w:pPr>
              <w:spacing w:after="0" w:line="240" w:lineRule="auto"/>
              <w:ind w:left="115" w:right="140"/>
              <w:jc w:val="both"/>
              <w:rPr>
                <w:rFonts w:ascii="Times New Roman" w:hAnsi="Times New Roman" w:cs="Times New Roman"/>
                <w:sz w:val="25"/>
                <w:szCs w:val="25"/>
              </w:rPr>
            </w:pP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2336"/>
              <w:gridCol w:w="2660"/>
            </w:tblGrid>
            <w:tr w:rsidR="006D256E" w:rsidRPr="00A14861" w:rsidTr="006D256E">
              <w:trPr>
                <w:trHeight w:val="685"/>
              </w:trPr>
              <w:tc>
                <w:tcPr>
                  <w:tcW w:w="843"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Vīruss</w:t>
                  </w:r>
                </w:p>
              </w:tc>
              <w:tc>
                <w:tcPr>
                  <w:tcW w:w="2554"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loga periods, ja neveic NAT</w:t>
                  </w:r>
                </w:p>
              </w:tc>
              <w:tc>
                <w:tcPr>
                  <w:tcW w:w="2835"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loga periods, ja veic NAT manipulācijas</w:t>
                  </w:r>
                </w:p>
              </w:tc>
            </w:tr>
            <w:tr w:rsidR="006D256E" w:rsidRPr="00A14861" w:rsidTr="006D256E">
              <w:trPr>
                <w:trHeight w:val="324"/>
              </w:trPr>
              <w:tc>
                <w:tcPr>
                  <w:tcW w:w="843"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HIV</w:t>
                  </w:r>
                </w:p>
              </w:tc>
              <w:tc>
                <w:tcPr>
                  <w:tcW w:w="2554"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Līdz 22 dienām</w:t>
                  </w:r>
                </w:p>
              </w:tc>
              <w:tc>
                <w:tcPr>
                  <w:tcW w:w="2835"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Līdz 10 dienām</w:t>
                  </w:r>
                </w:p>
              </w:tc>
            </w:tr>
            <w:tr w:rsidR="006D256E" w:rsidRPr="00A14861" w:rsidTr="006D256E">
              <w:trPr>
                <w:trHeight w:val="324"/>
              </w:trPr>
              <w:tc>
                <w:tcPr>
                  <w:tcW w:w="843"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HCV</w:t>
                  </w:r>
                </w:p>
              </w:tc>
              <w:tc>
                <w:tcPr>
                  <w:tcW w:w="2554"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Līdz 82 dienām</w:t>
                  </w:r>
                </w:p>
              </w:tc>
              <w:tc>
                <w:tcPr>
                  <w:tcW w:w="2835"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Līdz 9 dienām</w:t>
                  </w:r>
                </w:p>
              </w:tc>
            </w:tr>
            <w:tr w:rsidR="006D256E" w:rsidRPr="00A14861" w:rsidTr="006D256E">
              <w:trPr>
                <w:trHeight w:val="378"/>
              </w:trPr>
              <w:tc>
                <w:tcPr>
                  <w:tcW w:w="843"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HBV</w:t>
                  </w:r>
                </w:p>
              </w:tc>
              <w:tc>
                <w:tcPr>
                  <w:tcW w:w="2554"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Līdz 59 dienām</w:t>
                  </w:r>
                </w:p>
              </w:tc>
              <w:tc>
                <w:tcPr>
                  <w:tcW w:w="2835" w:type="dxa"/>
                  <w:shd w:val="clear" w:color="auto" w:fill="auto"/>
                </w:tcPr>
                <w:p w:rsidR="006D256E" w:rsidRPr="00A14861" w:rsidRDefault="006D256E" w:rsidP="006D256E">
                  <w:pPr>
                    <w:spacing w:after="0" w:line="240" w:lineRule="auto"/>
                    <w:jc w:val="both"/>
                    <w:rPr>
                      <w:rFonts w:ascii="Times New Roman" w:hAnsi="Times New Roman" w:cs="Times New Roman"/>
                      <w:sz w:val="25"/>
                      <w:szCs w:val="25"/>
                    </w:rPr>
                  </w:pPr>
                  <w:r w:rsidRPr="00A14861">
                    <w:rPr>
                      <w:rFonts w:ascii="Times New Roman" w:hAnsi="Times New Roman" w:cs="Times New Roman"/>
                      <w:sz w:val="25"/>
                      <w:szCs w:val="25"/>
                    </w:rPr>
                    <w:t>Līdz 49 dienām</w:t>
                  </w:r>
                </w:p>
              </w:tc>
            </w:tr>
          </w:tbl>
          <w:p w:rsidR="009D7597" w:rsidRPr="00A14861" w:rsidRDefault="009D7597" w:rsidP="00EE43BC">
            <w:pPr>
              <w:spacing w:after="0" w:line="240" w:lineRule="auto"/>
              <w:ind w:left="115" w:right="140"/>
              <w:jc w:val="both"/>
              <w:rPr>
                <w:rFonts w:ascii="Times New Roman" w:hAnsi="Times New Roman" w:cs="Times New Roman"/>
                <w:sz w:val="25"/>
                <w:szCs w:val="25"/>
              </w:rPr>
            </w:pPr>
            <w:r w:rsidRPr="00A14861">
              <w:rPr>
                <w:rFonts w:ascii="Times New Roman" w:hAnsi="Times New Roman" w:cs="Times New Roman"/>
                <w:sz w:val="25"/>
                <w:szCs w:val="25"/>
              </w:rPr>
              <w:t>Neraugoties uz minētajiem drošības pasākumie</w:t>
            </w:r>
            <w:r w:rsidR="00B41AC6" w:rsidRPr="00A14861">
              <w:rPr>
                <w:rFonts w:ascii="Times New Roman" w:hAnsi="Times New Roman" w:cs="Times New Roman"/>
                <w:sz w:val="25"/>
                <w:szCs w:val="25"/>
              </w:rPr>
              <w:t>m, HBV transmisijas risks ir 1:</w:t>
            </w:r>
            <w:r w:rsidRPr="00A14861">
              <w:rPr>
                <w:rFonts w:ascii="Times New Roman" w:hAnsi="Times New Roman" w:cs="Times New Roman"/>
                <w:sz w:val="25"/>
                <w:szCs w:val="25"/>
              </w:rPr>
              <w:t>130 000-205000, HCV -</w:t>
            </w:r>
            <w:r w:rsidR="00B1728C" w:rsidRPr="00A14861">
              <w:rPr>
                <w:rFonts w:ascii="Times New Roman" w:hAnsi="Times New Roman" w:cs="Times New Roman"/>
                <w:sz w:val="25"/>
                <w:szCs w:val="25"/>
              </w:rPr>
              <w:t xml:space="preserve"> </w:t>
            </w:r>
            <w:r w:rsidRPr="00A14861">
              <w:rPr>
                <w:rFonts w:ascii="Times New Roman" w:hAnsi="Times New Roman" w:cs="Times New Roman"/>
                <w:sz w:val="25"/>
                <w:szCs w:val="25"/>
              </w:rPr>
              <w:t>1: 1935000, HIV -</w:t>
            </w:r>
            <w:r w:rsidR="00B1728C" w:rsidRPr="00A14861">
              <w:rPr>
                <w:rFonts w:ascii="Times New Roman" w:hAnsi="Times New Roman" w:cs="Times New Roman"/>
                <w:sz w:val="25"/>
                <w:szCs w:val="25"/>
              </w:rPr>
              <w:t xml:space="preserve"> </w:t>
            </w:r>
            <w:r w:rsidRPr="00A14861">
              <w:rPr>
                <w:rFonts w:ascii="Times New Roman" w:hAnsi="Times New Roman" w:cs="Times New Roman"/>
                <w:sz w:val="25"/>
                <w:szCs w:val="25"/>
              </w:rPr>
              <w:t>1:</w:t>
            </w:r>
            <w:r w:rsidR="00263CE3" w:rsidRPr="00A14861">
              <w:rPr>
                <w:rFonts w:ascii="Times New Roman" w:hAnsi="Times New Roman" w:cs="Times New Roman"/>
                <w:sz w:val="25"/>
                <w:szCs w:val="25"/>
              </w:rPr>
              <w:t xml:space="preserve"> 2135000</w:t>
            </w:r>
            <w:r w:rsidR="00CD5CAC" w:rsidRPr="00A14861">
              <w:rPr>
                <w:rFonts w:ascii="Times New Roman" w:hAnsi="Times New Roman" w:cs="Times New Roman"/>
                <w:sz w:val="25"/>
                <w:szCs w:val="25"/>
              </w:rPr>
              <w:t xml:space="preserve"> </w:t>
            </w:r>
            <w:r w:rsidR="00263CE3" w:rsidRPr="00A14861">
              <w:rPr>
                <w:rFonts w:ascii="Times New Roman" w:hAnsi="Times New Roman" w:cs="Times New Roman"/>
                <w:sz w:val="25"/>
                <w:szCs w:val="25"/>
              </w:rPr>
              <w:t>- 2700000 transfūzijām.</w:t>
            </w:r>
            <w:r w:rsidRPr="00A14861">
              <w:rPr>
                <w:rFonts w:ascii="Times New Roman" w:hAnsi="Times New Roman" w:cs="Times New Roman"/>
                <w:sz w:val="25"/>
                <w:szCs w:val="25"/>
              </w:rPr>
              <w:t xml:space="preserve"> Veicot donoru asins obligāto virusoloģisko skrīningu (HBV, HCV, HIV), šo infekciju transmisijas risks ievērojami samazinājies, bet bakteriālās kontaminācijas risks paliek iepriekšējā līmenī – sevišķi tas attiecas uz TM (trombocītu masu) tās uzglabāšanas nosacījumu dēļ.</w:t>
            </w:r>
          </w:p>
          <w:p w:rsidR="009D7597" w:rsidRPr="00A14861" w:rsidRDefault="00263CE3" w:rsidP="00EE43BC">
            <w:pPr>
              <w:spacing w:after="0" w:line="240" w:lineRule="auto"/>
              <w:ind w:left="115" w:right="140"/>
              <w:jc w:val="both"/>
              <w:rPr>
                <w:rFonts w:ascii="Times New Roman" w:hAnsi="Times New Roman" w:cs="Times New Roman"/>
                <w:sz w:val="25"/>
                <w:szCs w:val="25"/>
              </w:rPr>
            </w:pPr>
            <w:r w:rsidRPr="00A14861">
              <w:rPr>
                <w:rFonts w:ascii="Times New Roman" w:hAnsi="Times New Roman" w:cs="Times New Roman"/>
                <w:sz w:val="25"/>
                <w:szCs w:val="25"/>
              </w:rPr>
              <w:t>Latvijā pēdējo gadu laikā donoru populācijā</w:t>
            </w:r>
            <w:r w:rsidR="009D7597" w:rsidRPr="00A14861">
              <w:rPr>
                <w:rFonts w:ascii="Times New Roman" w:hAnsi="Times New Roman" w:cs="Times New Roman"/>
                <w:sz w:val="25"/>
                <w:szCs w:val="25"/>
              </w:rPr>
              <w:t xml:space="preserve"> </w:t>
            </w:r>
            <w:r w:rsidR="009D7597" w:rsidRPr="00A14861">
              <w:rPr>
                <w:rFonts w:ascii="Times New Roman" w:hAnsi="Times New Roman" w:cs="Times New Roman"/>
                <w:sz w:val="25"/>
                <w:szCs w:val="25"/>
              </w:rPr>
              <w:lastRenderedPageBreak/>
              <w:t>pasliktinājušies epidemioloģiskie dati attiecībā uz HIV un HCV:</w:t>
            </w:r>
          </w:p>
          <w:tbl>
            <w:tblPr>
              <w:tblStyle w:val="TableGrid"/>
              <w:tblW w:w="0" w:type="auto"/>
              <w:tblInd w:w="162" w:type="dxa"/>
              <w:tblLook w:val="04A0"/>
            </w:tblPr>
            <w:tblGrid>
              <w:gridCol w:w="1388"/>
              <w:gridCol w:w="1445"/>
              <w:gridCol w:w="1445"/>
              <w:gridCol w:w="1425"/>
            </w:tblGrid>
            <w:tr w:rsidR="009D7597" w:rsidRPr="00A14861" w:rsidTr="00635C85">
              <w:tc>
                <w:tcPr>
                  <w:tcW w:w="1518" w:type="dxa"/>
                </w:tcPr>
                <w:p w:rsidR="009D7597" w:rsidRPr="00A14861" w:rsidRDefault="009D7597" w:rsidP="00A823B4">
                  <w:pPr>
                    <w:ind w:right="43"/>
                    <w:jc w:val="both"/>
                    <w:rPr>
                      <w:rFonts w:ascii="Times New Roman" w:hAnsi="Times New Roman" w:cs="Times New Roman"/>
                      <w:bCs/>
                      <w:sz w:val="25"/>
                      <w:szCs w:val="25"/>
                    </w:rPr>
                  </w:pP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2013.g</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2014.g</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w:t>
                  </w:r>
                </w:p>
              </w:tc>
            </w:tr>
            <w:tr w:rsidR="009D7597" w:rsidRPr="00A14861" w:rsidTr="00635C85">
              <w:tc>
                <w:tcPr>
                  <w:tcW w:w="1518"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HIV</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147</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314</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+113</w:t>
                  </w:r>
                </w:p>
              </w:tc>
            </w:tr>
            <w:tr w:rsidR="009D7597" w:rsidRPr="00A14861" w:rsidTr="00635C85">
              <w:tc>
                <w:tcPr>
                  <w:tcW w:w="1518"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HCV</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2213</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3668</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+65,7</w:t>
                  </w:r>
                </w:p>
              </w:tc>
            </w:tr>
            <w:tr w:rsidR="009D7597" w:rsidRPr="00A14861" w:rsidTr="00635C85">
              <w:tc>
                <w:tcPr>
                  <w:tcW w:w="1518"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HBV</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1204</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781</w:t>
                  </w:r>
                </w:p>
              </w:tc>
              <w:tc>
                <w:tcPr>
                  <w:tcW w:w="1552" w:type="dxa"/>
                </w:tcPr>
                <w:p w:rsidR="009D7597" w:rsidRPr="00A14861" w:rsidRDefault="009D7597" w:rsidP="00A823B4">
                  <w:pPr>
                    <w:ind w:right="43"/>
                    <w:jc w:val="both"/>
                    <w:rPr>
                      <w:rFonts w:ascii="Times New Roman" w:hAnsi="Times New Roman" w:cs="Times New Roman"/>
                      <w:bCs/>
                      <w:sz w:val="25"/>
                      <w:szCs w:val="25"/>
                    </w:rPr>
                  </w:pPr>
                  <w:r w:rsidRPr="00A14861">
                    <w:rPr>
                      <w:rFonts w:ascii="Times New Roman" w:hAnsi="Times New Roman" w:cs="Times New Roman"/>
                      <w:bCs/>
                      <w:sz w:val="25"/>
                      <w:szCs w:val="25"/>
                    </w:rPr>
                    <w:t>-35,2</w:t>
                  </w:r>
                </w:p>
              </w:tc>
            </w:tr>
          </w:tbl>
          <w:p w:rsidR="009D7597" w:rsidRPr="00A14861" w:rsidRDefault="004D1BA5" w:rsidP="00A823B4">
            <w:pPr>
              <w:spacing w:after="0" w:line="240" w:lineRule="auto"/>
              <w:ind w:left="162" w:right="43"/>
              <w:jc w:val="both"/>
              <w:rPr>
                <w:rFonts w:ascii="Times New Roman" w:hAnsi="Times New Roman" w:cs="Times New Roman"/>
                <w:bCs/>
                <w:sz w:val="25"/>
                <w:szCs w:val="25"/>
              </w:rPr>
            </w:pPr>
            <w:r w:rsidRPr="00A14861">
              <w:rPr>
                <w:rFonts w:ascii="Times New Roman" w:hAnsi="Times New Roman" w:cs="Times New Roman"/>
                <w:bCs/>
                <w:sz w:val="25"/>
                <w:szCs w:val="25"/>
              </w:rPr>
              <w:t>*</w:t>
            </w:r>
            <w:r w:rsidR="009D7597" w:rsidRPr="00A14861">
              <w:rPr>
                <w:rFonts w:ascii="Times New Roman" w:hAnsi="Times New Roman" w:cs="Times New Roman"/>
                <w:bCs/>
                <w:sz w:val="25"/>
                <w:szCs w:val="25"/>
              </w:rPr>
              <w:t>Skaitļi rēķināti uz 100 000 donoriem.</w:t>
            </w:r>
          </w:p>
          <w:p w:rsidR="009D7597" w:rsidRPr="00A14861" w:rsidRDefault="009D7597" w:rsidP="00EE43BC">
            <w:pPr>
              <w:spacing w:after="0" w:line="240" w:lineRule="auto"/>
              <w:ind w:left="115" w:right="140"/>
              <w:jc w:val="both"/>
              <w:rPr>
                <w:rFonts w:ascii="Times New Roman" w:hAnsi="Times New Roman" w:cs="Times New Roman"/>
                <w:bCs/>
                <w:sz w:val="25"/>
                <w:szCs w:val="25"/>
              </w:rPr>
            </w:pPr>
            <w:r w:rsidRPr="00A14861">
              <w:rPr>
                <w:rFonts w:ascii="Times New Roman" w:hAnsi="Times New Roman" w:cs="Times New Roman"/>
                <w:bCs/>
                <w:sz w:val="25"/>
                <w:szCs w:val="25"/>
              </w:rPr>
              <w:t>Tehnoloģijas ieviešanu pamato arī tas, ka donoru asins paraugi netiek testēti uz virkni citu hepatītu, kā arī uz vēl nezināmiem vīrusiem.</w:t>
            </w:r>
          </w:p>
          <w:p w:rsidR="009D7597" w:rsidRPr="00A14861" w:rsidRDefault="004D1BA5" w:rsidP="00EE43BC">
            <w:pPr>
              <w:spacing w:after="0" w:line="240" w:lineRule="auto"/>
              <w:ind w:left="115" w:right="140"/>
              <w:jc w:val="both"/>
              <w:rPr>
                <w:rFonts w:ascii="Times New Roman" w:hAnsi="Times New Roman" w:cs="Times New Roman"/>
                <w:bCs/>
                <w:sz w:val="25"/>
                <w:szCs w:val="25"/>
              </w:rPr>
            </w:pPr>
            <w:r w:rsidRPr="00A14861">
              <w:rPr>
                <w:rFonts w:ascii="Times New Roman" w:hAnsi="Times New Roman" w:cs="Times New Roman"/>
                <w:bCs/>
                <w:sz w:val="25"/>
                <w:szCs w:val="25"/>
              </w:rPr>
              <w:t>Minēto iemeslu dēļ nepieciešams</w:t>
            </w:r>
            <w:r w:rsidR="009D7597" w:rsidRPr="00A14861">
              <w:rPr>
                <w:rFonts w:ascii="Times New Roman" w:hAnsi="Times New Roman" w:cs="Times New Roman"/>
                <w:bCs/>
                <w:sz w:val="25"/>
                <w:szCs w:val="25"/>
              </w:rPr>
              <w:t xml:space="preserve"> papildus testēšanai ieviest patogēnu inaktivācijas tehnoloģiju.</w:t>
            </w:r>
          </w:p>
          <w:p w:rsidR="009D7597" w:rsidRPr="00A14861" w:rsidRDefault="009D7597" w:rsidP="00A823B4">
            <w:pPr>
              <w:spacing w:after="0" w:line="240" w:lineRule="auto"/>
              <w:ind w:left="162" w:right="43"/>
              <w:jc w:val="both"/>
              <w:rPr>
                <w:rFonts w:ascii="Times New Roman" w:hAnsi="Times New Roman" w:cs="Times New Roman"/>
                <w:bCs/>
                <w:sz w:val="25"/>
                <w:szCs w:val="25"/>
              </w:rPr>
            </w:pPr>
            <w:r w:rsidRPr="00A14861">
              <w:rPr>
                <w:rFonts w:ascii="Times New Roman" w:hAnsi="Times New Roman" w:cs="Times New Roman"/>
                <w:bCs/>
                <w:sz w:val="25"/>
                <w:szCs w:val="25"/>
              </w:rPr>
              <w:t>Paredzamie rezultāti:</w:t>
            </w:r>
          </w:p>
          <w:p w:rsidR="009D7597" w:rsidRPr="00A14861" w:rsidRDefault="009D7597" w:rsidP="00B41AC6">
            <w:pPr>
              <w:numPr>
                <w:ilvl w:val="0"/>
                <w:numId w:val="1"/>
              </w:numPr>
              <w:tabs>
                <w:tab w:val="clear" w:pos="720"/>
                <w:tab w:val="num" w:pos="115"/>
                <w:tab w:val="left" w:pos="399"/>
              </w:tabs>
              <w:spacing w:after="0" w:line="240" w:lineRule="auto"/>
              <w:ind w:left="115" w:right="140" w:hanging="39"/>
              <w:jc w:val="both"/>
              <w:rPr>
                <w:rFonts w:ascii="Times New Roman" w:hAnsi="Times New Roman" w:cs="Times New Roman"/>
                <w:sz w:val="25"/>
                <w:szCs w:val="25"/>
              </w:rPr>
            </w:pPr>
            <w:r w:rsidRPr="00A14861">
              <w:rPr>
                <w:rFonts w:ascii="Times New Roman" w:hAnsi="Times New Roman" w:cs="Times New Roman"/>
                <w:sz w:val="25"/>
                <w:szCs w:val="25"/>
              </w:rPr>
              <w:t>risinātas asins komponentu kontaminācijas problēmas bez jaunu patogēnu detekcijas metožu ieviešanas;</w:t>
            </w:r>
          </w:p>
          <w:p w:rsidR="009D7597" w:rsidRPr="00A14861" w:rsidRDefault="009D7597" w:rsidP="00B41AC6">
            <w:pPr>
              <w:numPr>
                <w:ilvl w:val="0"/>
                <w:numId w:val="1"/>
              </w:numPr>
              <w:tabs>
                <w:tab w:val="clear" w:pos="720"/>
                <w:tab w:val="num" w:pos="115"/>
                <w:tab w:val="left" w:pos="399"/>
              </w:tabs>
              <w:spacing w:after="0" w:line="240" w:lineRule="auto"/>
              <w:ind w:left="115" w:right="140" w:hanging="39"/>
              <w:jc w:val="both"/>
              <w:rPr>
                <w:rFonts w:ascii="Times New Roman" w:hAnsi="Times New Roman" w:cs="Times New Roman"/>
                <w:sz w:val="25"/>
                <w:szCs w:val="25"/>
              </w:rPr>
            </w:pPr>
            <w:r w:rsidRPr="00A14861">
              <w:rPr>
                <w:rFonts w:ascii="Times New Roman" w:hAnsi="Times New Roman" w:cs="Times New Roman"/>
                <w:sz w:val="25"/>
                <w:szCs w:val="25"/>
              </w:rPr>
              <w:t>paaugstināta as</w:t>
            </w:r>
            <w:r w:rsidR="00B1728C" w:rsidRPr="00A14861">
              <w:rPr>
                <w:rFonts w:ascii="Times New Roman" w:hAnsi="Times New Roman" w:cs="Times New Roman"/>
                <w:sz w:val="25"/>
                <w:szCs w:val="25"/>
              </w:rPr>
              <w:t>ins komponentu aizsardzība pret</w:t>
            </w:r>
            <w:r w:rsidRPr="00A14861">
              <w:rPr>
                <w:rFonts w:ascii="Times New Roman" w:hAnsi="Times New Roman" w:cs="Times New Roman"/>
                <w:sz w:val="25"/>
                <w:szCs w:val="25"/>
              </w:rPr>
              <w:t xml:space="preserve"> patogēniem, uz ko netiek veikta skrīninga izmeklēšana;</w:t>
            </w:r>
          </w:p>
          <w:p w:rsidR="009D7597" w:rsidRPr="00A14861" w:rsidRDefault="009D7597" w:rsidP="00B41AC6">
            <w:pPr>
              <w:numPr>
                <w:ilvl w:val="0"/>
                <w:numId w:val="1"/>
              </w:numPr>
              <w:tabs>
                <w:tab w:val="clear" w:pos="720"/>
                <w:tab w:val="num" w:pos="115"/>
                <w:tab w:val="left" w:pos="399"/>
              </w:tabs>
              <w:spacing w:after="0" w:line="240" w:lineRule="auto"/>
              <w:ind w:left="115" w:right="140" w:hanging="39"/>
              <w:jc w:val="both"/>
              <w:rPr>
                <w:rFonts w:ascii="Times New Roman" w:hAnsi="Times New Roman" w:cs="Times New Roman"/>
                <w:sz w:val="25"/>
                <w:szCs w:val="25"/>
              </w:rPr>
            </w:pPr>
            <w:r w:rsidRPr="00A14861">
              <w:rPr>
                <w:rFonts w:ascii="Times New Roman" w:hAnsi="Times New Roman" w:cs="Times New Roman"/>
                <w:sz w:val="25"/>
                <w:szCs w:val="25"/>
              </w:rPr>
              <w:t>samazināts transfūziju blakņu skaits, kas saistīts ar patogēniem;</w:t>
            </w:r>
          </w:p>
          <w:p w:rsidR="009D7597" w:rsidRPr="00A14861" w:rsidRDefault="009D7597" w:rsidP="00296268">
            <w:pPr>
              <w:numPr>
                <w:ilvl w:val="0"/>
                <w:numId w:val="1"/>
              </w:numPr>
              <w:tabs>
                <w:tab w:val="clear" w:pos="720"/>
                <w:tab w:val="num" w:pos="115"/>
                <w:tab w:val="left" w:pos="399"/>
              </w:tabs>
              <w:spacing w:after="0" w:line="240" w:lineRule="auto"/>
              <w:ind w:left="0" w:right="140" w:firstLine="115"/>
              <w:jc w:val="both"/>
              <w:rPr>
                <w:rFonts w:ascii="Times New Roman" w:hAnsi="Times New Roman" w:cs="Times New Roman"/>
                <w:sz w:val="25"/>
                <w:szCs w:val="25"/>
              </w:rPr>
            </w:pPr>
            <w:r w:rsidRPr="00A14861">
              <w:rPr>
                <w:rFonts w:ascii="Times New Roman" w:hAnsi="Times New Roman" w:cs="Times New Roman"/>
                <w:sz w:val="25"/>
                <w:szCs w:val="25"/>
              </w:rPr>
              <w:t>labāka asins komponentu krājuma pārvaldīšana un pieprasījuma nodrošināšana, izmantojot patogēninaktivētus asins komponentus kā alternatīvu CMV ne</w:t>
            </w:r>
            <w:r w:rsidR="00B1728C" w:rsidRPr="00A14861">
              <w:rPr>
                <w:rFonts w:ascii="Times New Roman" w:hAnsi="Times New Roman" w:cs="Times New Roman"/>
                <w:sz w:val="25"/>
                <w:szCs w:val="25"/>
              </w:rPr>
              <w:t xml:space="preserve">gatīviem vai apstarotiem asins </w:t>
            </w:r>
            <w:r w:rsidRPr="00A14861">
              <w:rPr>
                <w:rFonts w:ascii="Times New Roman" w:hAnsi="Times New Roman" w:cs="Times New Roman"/>
                <w:sz w:val="25"/>
                <w:szCs w:val="25"/>
              </w:rPr>
              <w:t xml:space="preserve">komponentiem, TM aizvietojošā šķīdumā izmantojot 7 dienas]; </w:t>
            </w:r>
          </w:p>
          <w:p w:rsidR="009D7597" w:rsidRPr="00A14861" w:rsidRDefault="009D7597" w:rsidP="00296268">
            <w:pPr>
              <w:numPr>
                <w:ilvl w:val="0"/>
                <w:numId w:val="1"/>
              </w:numPr>
              <w:tabs>
                <w:tab w:val="clear" w:pos="720"/>
                <w:tab w:val="left" w:pos="115"/>
                <w:tab w:val="left" w:pos="399"/>
              </w:tabs>
              <w:spacing w:after="0" w:line="240" w:lineRule="auto"/>
              <w:ind w:left="115" w:right="140" w:firstLine="0"/>
              <w:jc w:val="both"/>
              <w:rPr>
                <w:rFonts w:ascii="Times New Roman" w:hAnsi="Times New Roman" w:cs="Times New Roman"/>
                <w:sz w:val="25"/>
                <w:szCs w:val="25"/>
              </w:rPr>
            </w:pPr>
            <w:r w:rsidRPr="00A14861">
              <w:rPr>
                <w:rFonts w:ascii="Times New Roman" w:hAnsi="Times New Roman" w:cs="Times New Roman"/>
                <w:sz w:val="25"/>
                <w:szCs w:val="25"/>
              </w:rPr>
              <w:t>nav nepieciešama asins komponentu apstarošana;</w:t>
            </w:r>
          </w:p>
          <w:p w:rsidR="003564BF" w:rsidRPr="00A14861" w:rsidRDefault="001A5C55" w:rsidP="00EA1E60">
            <w:pPr>
              <w:numPr>
                <w:ilvl w:val="0"/>
                <w:numId w:val="1"/>
              </w:numPr>
              <w:tabs>
                <w:tab w:val="clear" w:pos="720"/>
                <w:tab w:val="left" w:pos="115"/>
                <w:tab w:val="left" w:pos="399"/>
              </w:tabs>
              <w:spacing w:after="0" w:line="240" w:lineRule="auto"/>
              <w:ind w:left="115" w:right="140" w:firstLine="0"/>
              <w:jc w:val="both"/>
              <w:rPr>
                <w:rFonts w:ascii="Times New Roman" w:hAnsi="Times New Roman" w:cs="Times New Roman"/>
                <w:sz w:val="25"/>
                <w:szCs w:val="25"/>
              </w:rPr>
            </w:pPr>
            <w:r w:rsidRPr="00A14861">
              <w:rPr>
                <w:rFonts w:ascii="Times New Roman" w:hAnsi="Times New Roman" w:cs="Times New Roman"/>
                <w:sz w:val="25"/>
                <w:szCs w:val="25"/>
              </w:rPr>
              <w:t xml:space="preserve">samazinās </w:t>
            </w:r>
            <w:r w:rsidR="009D7597" w:rsidRPr="00A14861">
              <w:rPr>
                <w:rFonts w:ascii="Times New Roman" w:hAnsi="Times New Roman" w:cs="Times New Roman"/>
                <w:sz w:val="25"/>
                <w:szCs w:val="25"/>
              </w:rPr>
              <w:t>arī iespējamo blakņu skaits, kas saistītas ar leikocītu klātbūtni un to ietekmi uz recipientu - febrīlas nehemolītiskas transfūziju blaknes, slimība „transplantāts pret saimnieku”</w:t>
            </w:r>
            <w:r w:rsidR="007B3A0E" w:rsidRPr="00A14861">
              <w:rPr>
                <w:rFonts w:ascii="Times New Roman" w:hAnsi="Times New Roman" w:cs="Times New Roman"/>
                <w:sz w:val="25"/>
                <w:szCs w:val="25"/>
              </w:rPr>
              <w:t>.</w:t>
            </w:r>
          </w:p>
          <w:p w:rsidR="00B1728C" w:rsidRPr="00A14861" w:rsidRDefault="00B1728C" w:rsidP="00B1728C">
            <w:pPr>
              <w:tabs>
                <w:tab w:val="left" w:pos="115"/>
                <w:tab w:val="left" w:pos="399"/>
              </w:tabs>
              <w:spacing w:after="0" w:line="240" w:lineRule="auto"/>
              <w:ind w:left="115" w:right="140"/>
              <w:jc w:val="both"/>
              <w:rPr>
                <w:rFonts w:ascii="Times New Roman" w:hAnsi="Times New Roman" w:cs="Times New Roman"/>
                <w:sz w:val="25"/>
                <w:szCs w:val="25"/>
              </w:rPr>
            </w:pPr>
          </w:p>
          <w:p w:rsidR="007B3A0E" w:rsidRPr="00A14861" w:rsidRDefault="00F942F2" w:rsidP="005F69D7">
            <w:pPr>
              <w:pStyle w:val="ListParagraph"/>
              <w:numPr>
                <w:ilvl w:val="0"/>
                <w:numId w:val="12"/>
              </w:numPr>
              <w:tabs>
                <w:tab w:val="left" w:pos="63"/>
                <w:tab w:val="left" w:pos="115"/>
                <w:tab w:val="left" w:pos="347"/>
              </w:tabs>
              <w:ind w:left="63" w:right="140" w:firstLine="52"/>
              <w:jc w:val="both"/>
              <w:rPr>
                <w:color w:val="auto"/>
                <w:sz w:val="25"/>
                <w:szCs w:val="25"/>
              </w:rPr>
            </w:pPr>
            <w:r w:rsidRPr="00A14861">
              <w:rPr>
                <w:color w:val="auto"/>
                <w:sz w:val="25"/>
                <w:szCs w:val="25"/>
              </w:rPr>
              <w:t>Pašreizējā situācijā ārstniecības iestādēm nav pieejams tāds tehniskais nodrošinājums, lai būtu iespējams pārliecināties, ka asins komponents visā tā atrašanās laikā ārstniecības iestādē un transportēšanas laikā pie sagatavotāja ir glabāts tā, lai saglabātos tā kvalitāte, kā arī tas būtu drošs turpmākai izsniegšanai</w:t>
            </w:r>
            <w:r w:rsidR="0049355A" w:rsidRPr="00A14861">
              <w:rPr>
                <w:color w:val="auto"/>
                <w:sz w:val="25"/>
                <w:szCs w:val="25"/>
              </w:rPr>
              <w:t>. Ņemot vērā minēto</w:t>
            </w:r>
            <w:r w:rsidRPr="00A14861">
              <w:rPr>
                <w:color w:val="auto"/>
                <w:sz w:val="25"/>
                <w:szCs w:val="25"/>
              </w:rPr>
              <w:t xml:space="preserve">, nepieciešams </w:t>
            </w:r>
            <w:r w:rsidR="0049355A" w:rsidRPr="00A14861">
              <w:rPr>
                <w:color w:val="auto"/>
                <w:sz w:val="25"/>
                <w:szCs w:val="25"/>
              </w:rPr>
              <w:t xml:space="preserve">noteikt, ka izplatītos asins komponentus un asins pagatavojumus Centrs un asins sagatavošanas nodaļa atpakaļ nepieņem </w:t>
            </w:r>
            <w:r w:rsidR="007B3A0E" w:rsidRPr="00A14861">
              <w:rPr>
                <w:color w:val="auto"/>
                <w:sz w:val="25"/>
                <w:szCs w:val="25"/>
              </w:rPr>
              <w:t>(</w:t>
            </w:r>
            <w:r w:rsidR="001A5C55" w:rsidRPr="00A14861">
              <w:rPr>
                <w:color w:val="auto"/>
                <w:sz w:val="25"/>
                <w:szCs w:val="25"/>
              </w:rPr>
              <w:t xml:space="preserve">Noteikumu </w:t>
            </w:r>
            <w:r w:rsidR="007B3A0E" w:rsidRPr="00A14861">
              <w:rPr>
                <w:color w:val="auto"/>
                <w:sz w:val="25"/>
                <w:szCs w:val="25"/>
              </w:rPr>
              <w:t xml:space="preserve">projekta </w:t>
            </w:r>
            <w:r w:rsidR="00702661" w:rsidRPr="00A14861">
              <w:rPr>
                <w:color w:val="auto"/>
                <w:sz w:val="25"/>
                <w:szCs w:val="25"/>
              </w:rPr>
              <w:t>10</w:t>
            </w:r>
            <w:r w:rsidR="007B3A0E" w:rsidRPr="00A14861">
              <w:rPr>
                <w:color w:val="auto"/>
                <w:sz w:val="25"/>
                <w:szCs w:val="25"/>
              </w:rPr>
              <w:t>.</w:t>
            </w:r>
            <w:r w:rsidR="0010100F">
              <w:rPr>
                <w:color w:val="auto"/>
                <w:sz w:val="25"/>
                <w:szCs w:val="25"/>
              </w:rPr>
              <w:t xml:space="preserve"> </w:t>
            </w:r>
            <w:r w:rsidR="007B3A0E" w:rsidRPr="00A14861">
              <w:rPr>
                <w:color w:val="auto"/>
                <w:sz w:val="25"/>
                <w:szCs w:val="25"/>
              </w:rPr>
              <w:t>punkts)</w:t>
            </w:r>
            <w:r w:rsidRPr="00A14861">
              <w:rPr>
                <w:color w:val="auto"/>
                <w:sz w:val="25"/>
                <w:szCs w:val="25"/>
              </w:rPr>
              <w:t>.</w:t>
            </w:r>
            <w:r w:rsidR="007B3A0E" w:rsidRPr="00A14861">
              <w:rPr>
                <w:color w:val="auto"/>
                <w:sz w:val="25"/>
                <w:szCs w:val="25"/>
              </w:rPr>
              <w:t xml:space="preserve"> </w:t>
            </w:r>
          </w:p>
        </w:tc>
      </w:tr>
      <w:tr w:rsidR="003564BF" w:rsidRPr="00A14861" w:rsidTr="00863B80">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3.</w:t>
            </w:r>
          </w:p>
        </w:tc>
        <w:tc>
          <w:tcPr>
            <w:tcW w:w="1550"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izstrādē iesaistītās institūcijas</w:t>
            </w:r>
          </w:p>
        </w:tc>
        <w:tc>
          <w:tcPr>
            <w:tcW w:w="3200" w:type="pct"/>
            <w:tcBorders>
              <w:top w:val="single" w:sz="4" w:space="0" w:color="auto"/>
              <w:left w:val="outset" w:sz="6" w:space="0" w:color="414142"/>
              <w:bottom w:val="outset" w:sz="6" w:space="0" w:color="414142"/>
              <w:right w:val="outset" w:sz="6" w:space="0" w:color="414142"/>
            </w:tcBorders>
            <w:hideMark/>
          </w:tcPr>
          <w:p w:rsidR="003564BF" w:rsidRPr="00A14861" w:rsidRDefault="009F4CF1"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Valsts asinsdonoru centrs</w:t>
            </w:r>
            <w:r w:rsidR="00797AEB" w:rsidRPr="00A14861">
              <w:rPr>
                <w:rFonts w:ascii="Times New Roman" w:eastAsia="Times New Roman" w:hAnsi="Times New Roman" w:cs="Times New Roman"/>
                <w:sz w:val="25"/>
                <w:szCs w:val="25"/>
              </w:rPr>
              <w:t>, Zāļu valsts aģentūra</w:t>
            </w:r>
          </w:p>
        </w:tc>
      </w:tr>
      <w:tr w:rsidR="003564BF" w:rsidRPr="00A14861" w:rsidTr="009F7C3A">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4.</w:t>
            </w:r>
          </w:p>
        </w:tc>
        <w:tc>
          <w:tcPr>
            <w:tcW w:w="15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3564BF" w:rsidRPr="00A14861" w:rsidRDefault="00635A5B"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875"/>
        <w:gridCol w:w="5928"/>
      </w:tblGrid>
      <w:tr w:rsidR="009F7C3A" w:rsidRPr="00A14861"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A14861" w:rsidRDefault="009F7C3A" w:rsidP="009F7C3A">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II. Tiesību akta projekta ietekme uz sabiedrību, tautsaimniecības attīstību un administratīvo slogu</w:t>
            </w:r>
          </w:p>
        </w:tc>
      </w:tr>
      <w:tr w:rsidR="009F7C3A" w:rsidRPr="00A14861" w:rsidTr="00C60BC8">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550"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mērķgrupas,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ind w:left="107" w:right="140"/>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xml:space="preserve">Noteikumu projekts attiecas uz Veselības ministriju, Valsts asinsdonoru centru, un ikvienu fizisko personu sabiedrībā, kura vēlas ziedot vai ziedo asinis. </w:t>
            </w:r>
          </w:p>
        </w:tc>
      </w:tr>
      <w:tr w:rsidR="009F7C3A" w:rsidRPr="00A14861" w:rsidTr="00C60BC8">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550"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rsidR="009F7C3A" w:rsidRPr="00A14861" w:rsidRDefault="00B07061" w:rsidP="00904C60">
            <w:pPr>
              <w:spacing w:after="0" w:line="240" w:lineRule="auto"/>
              <w:ind w:left="56"/>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Zāļu valsts aģentūrai un asins kabinetiem samazināsies administratīvais slogs saistībā ar asins kabinetu pārbaudēm reizi divos gados</w:t>
            </w:r>
          </w:p>
        </w:tc>
      </w:tr>
      <w:tr w:rsidR="009F7C3A" w:rsidRPr="00A14861" w:rsidTr="009F7C3A">
        <w:trPr>
          <w:trHeight w:val="510"/>
        </w:trPr>
        <w:tc>
          <w:tcPr>
            <w:tcW w:w="254" w:type="pct"/>
            <w:tcBorders>
              <w:top w:val="outset" w:sz="6" w:space="0" w:color="414142"/>
              <w:left w:val="outset" w:sz="6" w:space="0" w:color="414142"/>
              <w:bottom w:val="nil"/>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550" w:type="pct"/>
            <w:tcBorders>
              <w:top w:val="outset" w:sz="6" w:space="0" w:color="414142"/>
              <w:left w:val="outset" w:sz="6" w:space="0" w:color="414142"/>
              <w:bottom w:val="nil"/>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Administratīvo izmaksu monetārs novērtējums</w:t>
            </w:r>
          </w:p>
        </w:tc>
        <w:tc>
          <w:tcPr>
            <w:tcW w:w="3196" w:type="pct"/>
            <w:tcBorders>
              <w:top w:val="outset" w:sz="6" w:space="0" w:color="414142"/>
              <w:left w:val="outset" w:sz="6" w:space="0" w:color="414142"/>
              <w:bottom w:val="nil"/>
              <w:right w:val="outset" w:sz="6" w:space="0" w:color="414142"/>
            </w:tcBorders>
            <w:hideMark/>
          </w:tcPr>
          <w:p w:rsidR="009F7C3A" w:rsidRPr="00A14861" w:rsidRDefault="009F7C3A" w:rsidP="00904C60">
            <w:pPr>
              <w:spacing w:after="0" w:line="240" w:lineRule="auto"/>
              <w:ind w:left="56"/>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Projekts neskar šo jomu</w:t>
            </w:r>
          </w:p>
        </w:tc>
      </w:tr>
      <w:tr w:rsidR="009F7C3A" w:rsidRPr="00A14861" w:rsidTr="009F7C3A">
        <w:trPr>
          <w:trHeight w:val="175"/>
        </w:trPr>
        <w:tc>
          <w:tcPr>
            <w:tcW w:w="254" w:type="pct"/>
            <w:tcBorders>
              <w:top w:val="nil"/>
              <w:left w:val="outset" w:sz="6" w:space="0" w:color="414142"/>
              <w:bottom w:val="single" w:sz="4" w:space="0" w:color="auto"/>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p>
        </w:tc>
        <w:tc>
          <w:tcPr>
            <w:tcW w:w="1550" w:type="pct"/>
            <w:tcBorders>
              <w:top w:val="nil"/>
              <w:left w:val="outset" w:sz="6" w:space="0" w:color="414142"/>
              <w:bottom w:val="single" w:sz="4" w:space="0" w:color="auto"/>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p>
        </w:tc>
        <w:tc>
          <w:tcPr>
            <w:tcW w:w="3196" w:type="pct"/>
            <w:tcBorders>
              <w:top w:val="nil"/>
              <w:left w:val="outset" w:sz="6" w:space="0" w:color="414142"/>
              <w:bottom w:val="single" w:sz="4" w:space="0" w:color="auto"/>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p>
        </w:tc>
      </w:tr>
      <w:tr w:rsidR="009F7C3A" w:rsidRPr="00A14861" w:rsidTr="009F7C3A">
        <w:trPr>
          <w:trHeight w:val="316"/>
        </w:trPr>
        <w:tc>
          <w:tcPr>
            <w:tcW w:w="254" w:type="pct"/>
            <w:tcBorders>
              <w:top w:val="nil"/>
              <w:left w:val="outset" w:sz="6" w:space="0" w:color="414142"/>
              <w:bottom w:val="single" w:sz="4" w:space="0" w:color="auto"/>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550" w:type="pct"/>
            <w:tcBorders>
              <w:top w:val="nil"/>
              <w:left w:val="outset" w:sz="6" w:space="0" w:color="414142"/>
              <w:bottom w:val="single" w:sz="4" w:space="0" w:color="auto"/>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196" w:type="pct"/>
            <w:tcBorders>
              <w:top w:val="nil"/>
              <w:left w:val="outset" w:sz="6" w:space="0" w:color="414142"/>
              <w:bottom w:val="single" w:sz="4" w:space="0" w:color="auto"/>
              <w:right w:val="outset" w:sz="6" w:space="0" w:color="414142"/>
            </w:tcBorders>
            <w:hideMark/>
          </w:tcPr>
          <w:p w:rsidR="009F7C3A" w:rsidRPr="00A14861" w:rsidRDefault="009F7C3A" w:rsidP="00904C60">
            <w:pPr>
              <w:spacing w:after="0" w:line="240" w:lineRule="auto"/>
              <w:ind w:firstLine="56"/>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W w:w="509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80"/>
        <w:gridCol w:w="39"/>
        <w:gridCol w:w="346"/>
        <w:gridCol w:w="2688"/>
        <w:gridCol w:w="6219"/>
        <w:gridCol w:w="80"/>
      </w:tblGrid>
      <w:tr w:rsidR="009F7C3A" w:rsidRPr="00A14861" w:rsidTr="0007065B">
        <w:trPr>
          <w:trHeight w:val="426"/>
        </w:trPr>
        <w:tc>
          <w:tcPr>
            <w:tcW w:w="42" w:type="pct"/>
            <w:tcBorders>
              <w:top w:val="single" w:sz="4" w:space="0" w:color="auto"/>
              <w:left w:val="nil"/>
              <w:bottom w:val="nil"/>
              <w:right w:val="nil"/>
            </w:tcBorders>
            <w:hideMark/>
          </w:tcPr>
          <w:p w:rsidR="0007065B" w:rsidRPr="00A14861" w:rsidRDefault="0007065B" w:rsidP="00A823B4">
            <w:pPr>
              <w:spacing w:after="0" w:line="240" w:lineRule="auto"/>
              <w:jc w:val="center"/>
              <w:rPr>
                <w:rFonts w:ascii="Times New Roman" w:eastAsia="Times New Roman" w:hAnsi="Times New Roman" w:cs="Times New Roman"/>
                <w:b/>
                <w:sz w:val="25"/>
                <w:szCs w:val="25"/>
              </w:rPr>
            </w:pPr>
          </w:p>
        </w:tc>
        <w:tc>
          <w:tcPr>
            <w:tcW w:w="4915" w:type="pct"/>
            <w:gridSpan w:val="4"/>
            <w:tcBorders>
              <w:top w:val="single" w:sz="4" w:space="0" w:color="auto"/>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p w:rsidR="0007065B" w:rsidRPr="00A14861" w:rsidRDefault="0007065B" w:rsidP="00A823B4">
            <w:pPr>
              <w:spacing w:after="0" w:line="240" w:lineRule="auto"/>
              <w:rPr>
                <w:rFonts w:ascii="Times New Roman" w:eastAsia="Times New Roman" w:hAnsi="Times New Roman" w:cs="Times New Roman"/>
                <w:b/>
                <w:sz w:val="25"/>
                <w:szCs w:val="25"/>
              </w:rPr>
            </w:pPr>
          </w:p>
          <w:tbl>
            <w:tblPr>
              <w:tblpPr w:leftFromText="180" w:rightFromText="180" w:vertAnchor="text" w:horzAnchor="margin" w:tblpX="-300" w:tblpY="1"/>
              <w:tblW w:w="920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813"/>
              <w:gridCol w:w="1780"/>
              <w:gridCol w:w="1091"/>
              <w:gridCol w:w="1129"/>
              <w:gridCol w:w="1276"/>
              <w:gridCol w:w="1117"/>
            </w:tblGrid>
            <w:tr w:rsidR="0007065B" w:rsidRPr="00A14861" w:rsidTr="0007065B">
              <w:trPr>
                <w:trHeight w:val="360"/>
              </w:trPr>
              <w:tc>
                <w:tcPr>
                  <w:tcW w:w="9206" w:type="dxa"/>
                  <w:gridSpan w:val="6"/>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ind w:right="-68"/>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III. Tiesību akta projekta ietekme uz valsts budžetu un pašvaldību budžetiem</w:t>
                  </w:r>
                </w:p>
              </w:tc>
            </w:tr>
            <w:tr w:rsidR="0007065B" w:rsidRPr="00A14861" w:rsidTr="0007065B">
              <w:tc>
                <w:tcPr>
                  <w:tcW w:w="2813" w:type="dxa"/>
                  <w:vMerge w:val="restart"/>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Rādītāji</w:t>
                  </w:r>
                </w:p>
              </w:tc>
              <w:tc>
                <w:tcPr>
                  <w:tcW w:w="2871"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2016. gads</w:t>
                  </w:r>
                </w:p>
              </w:tc>
              <w:tc>
                <w:tcPr>
                  <w:tcW w:w="3522" w:type="dxa"/>
                  <w:gridSpan w:val="3"/>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Turpmākie trīs gadi (</w:t>
                  </w:r>
                  <w:r w:rsidRPr="00A14861">
                    <w:rPr>
                      <w:rFonts w:ascii="Times New Roman" w:eastAsia="Times New Roman" w:hAnsi="Times New Roman" w:cs="Times New Roman"/>
                      <w:i/>
                      <w:iCs/>
                      <w:sz w:val="25"/>
                      <w:szCs w:val="25"/>
                    </w:rPr>
                    <w:t>euro</w:t>
                  </w:r>
                  <w:r w:rsidRPr="00A14861">
                    <w:rPr>
                      <w:rFonts w:ascii="Times New Roman" w:eastAsia="Times New Roman" w:hAnsi="Times New Roman" w:cs="Times New Roman"/>
                      <w:sz w:val="25"/>
                      <w:szCs w:val="25"/>
                    </w:rPr>
                    <w:t>)</w:t>
                  </w:r>
                </w:p>
              </w:tc>
            </w:tr>
            <w:tr w:rsidR="0007065B" w:rsidRPr="00A14861" w:rsidTr="0007065B">
              <w:tc>
                <w:tcPr>
                  <w:tcW w:w="2813"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b/>
                      <w:bCs/>
                      <w:sz w:val="25"/>
                      <w:szCs w:val="25"/>
                    </w:rPr>
                  </w:pPr>
                </w:p>
              </w:tc>
              <w:tc>
                <w:tcPr>
                  <w:tcW w:w="2871" w:type="dxa"/>
                  <w:gridSpan w:val="2"/>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b/>
                      <w:bCs/>
                      <w:sz w:val="25"/>
                      <w:szCs w:val="25"/>
                    </w:rPr>
                  </w:pPr>
                </w:p>
              </w:tc>
              <w:tc>
                <w:tcPr>
                  <w:tcW w:w="1129"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2017</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2018</w:t>
                  </w:r>
                </w:p>
              </w:tc>
              <w:tc>
                <w:tcPr>
                  <w:tcW w:w="1117"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2019</w:t>
                  </w:r>
                </w:p>
              </w:tc>
            </w:tr>
            <w:tr w:rsidR="0007065B" w:rsidRPr="00A14861" w:rsidTr="0007065B">
              <w:tc>
                <w:tcPr>
                  <w:tcW w:w="2813"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b/>
                      <w:bCs/>
                      <w:sz w:val="25"/>
                      <w:szCs w:val="25"/>
                    </w:rPr>
                  </w:pPr>
                </w:p>
              </w:tc>
              <w:tc>
                <w:tcPr>
                  <w:tcW w:w="1780"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saskaņā ar valsts budžetu kārtējam gadam</w:t>
                  </w:r>
                </w:p>
              </w:tc>
              <w:tc>
                <w:tcPr>
                  <w:tcW w:w="1091"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izmaiņas kārtējā gadā, salīdzinot ar valsts budžetu kārtējam gadam</w:t>
                  </w:r>
                </w:p>
              </w:tc>
              <w:tc>
                <w:tcPr>
                  <w:tcW w:w="1129"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izmaiņas, salīdzinot ar kārtējo (n) gadu</w:t>
                  </w:r>
                </w:p>
              </w:tc>
              <w:tc>
                <w:tcPr>
                  <w:tcW w:w="1117"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izmaiņas, salīdzinot ar kārtējo (n) gadu</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780"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091"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129"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5</w:t>
                  </w:r>
                </w:p>
              </w:tc>
              <w:tc>
                <w:tcPr>
                  <w:tcW w:w="1117"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6</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 Budžeta ieņēmumi:</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b/>
                      <w:sz w:val="25"/>
                      <w:szCs w:val="25"/>
                    </w:rPr>
                  </w:pPr>
                  <w:r w:rsidRPr="00A14861">
                    <w:rPr>
                      <w:rFonts w:ascii="Times New Roman" w:eastAsia="Times New Roman" w:hAnsi="Times New Roman" w:cs="Times New Roman"/>
                      <w:b/>
                      <w:sz w:val="25"/>
                      <w:szCs w:val="25"/>
                    </w:rPr>
                    <w:t>7 170 482</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39.03.00 „Asins un asins komponentu nodrošināšana”</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b/>
                      <w:sz w:val="25"/>
                      <w:szCs w:val="25"/>
                    </w:rPr>
                  </w:pPr>
                  <w:r w:rsidRPr="00A14861">
                    <w:rPr>
                      <w:rFonts w:ascii="Times New Roman" w:eastAsia="Times New Roman" w:hAnsi="Times New Roman" w:cs="Times New Roman"/>
                      <w:b/>
                      <w:sz w:val="25"/>
                      <w:szCs w:val="25"/>
                    </w:rPr>
                    <w:t>7 170 482</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1.1. valsts pamatbudžets, tai skaitā ieņēmumi no maksas pakalpojumiem un citi pašu ieņēmumi</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7 170 482</w:t>
                  </w:r>
                </w:p>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99 977</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rPr>
                <w:trHeight w:val="173"/>
              </w:trPr>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39.03.00 „Asins un asins komponentu nodrošināšana”</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7 170 482</w:t>
                  </w:r>
                </w:p>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99 977</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1.2. valsts speciālais 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1.3. pašvaldību 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 Budžeta izdevumi:</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b/>
                      <w:sz w:val="25"/>
                      <w:szCs w:val="25"/>
                    </w:rPr>
                  </w:pPr>
                  <w:r w:rsidRPr="00A14861">
                    <w:rPr>
                      <w:rFonts w:ascii="Times New Roman" w:eastAsia="Times New Roman" w:hAnsi="Times New Roman" w:cs="Times New Roman"/>
                      <w:b/>
                      <w:sz w:val="25"/>
                      <w:szCs w:val="25"/>
                    </w:rPr>
                    <w:t>7 170 482</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rPr>
                <w:trHeight w:val="403"/>
              </w:trPr>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39.03.00 „Asins un asins komponentu nodrošināšana”</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b/>
                      <w:sz w:val="25"/>
                      <w:szCs w:val="25"/>
                    </w:rPr>
                  </w:pPr>
                  <w:r w:rsidRPr="00A14861">
                    <w:rPr>
                      <w:rFonts w:ascii="Times New Roman" w:eastAsia="Times New Roman" w:hAnsi="Times New Roman" w:cs="Times New Roman"/>
                      <w:b/>
                      <w:sz w:val="25"/>
                      <w:szCs w:val="25"/>
                    </w:rPr>
                    <w:t>7 170 482</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2.1. valsts pamatbudžets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7 170 482</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rPr>
                <w:trHeight w:val="337"/>
              </w:trPr>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39.03.00 „Asins un asins komponentu nodrošināšana”</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7 170 482</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2.2. valsts speciālais 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2.3. pašvaldību 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 Finansiālā ietekme:</w:t>
                  </w:r>
                </w:p>
              </w:tc>
              <w:tc>
                <w:tcPr>
                  <w:tcW w:w="1780" w:type="dxa"/>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3.1. valsts pamatbudžets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3.2. speciālais 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3.3. pašvaldību budžets</w:t>
                  </w:r>
                </w:p>
              </w:tc>
              <w:tc>
                <w:tcPr>
                  <w:tcW w:w="1780"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vMerge w:val="restart"/>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 Finanšu līdzekļi papildu izdevumu finansēšanai (kompensējošu izdevumu samazinājumu norāda ar "+" zīmi)</w:t>
                  </w:r>
                </w:p>
              </w:tc>
              <w:tc>
                <w:tcPr>
                  <w:tcW w:w="1780" w:type="dxa"/>
                  <w:vMerge w:val="restart"/>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X</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780"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c>
                <w:tcPr>
                  <w:tcW w:w="2813"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780"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5. Precizēta finansiālā ietekme:</w:t>
                  </w:r>
                </w:p>
              </w:tc>
              <w:tc>
                <w:tcPr>
                  <w:tcW w:w="1780" w:type="dxa"/>
                  <w:vMerge w:val="restart"/>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X</w:t>
                  </w: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5.1. valsts pamatbudžets</w:t>
                  </w:r>
                </w:p>
              </w:tc>
              <w:tc>
                <w:tcPr>
                  <w:tcW w:w="1780"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0</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5.2. speciālais budžets</w:t>
                  </w:r>
                </w:p>
              </w:tc>
              <w:tc>
                <w:tcPr>
                  <w:tcW w:w="1780"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5.3. pašvaldību budžets</w:t>
                  </w:r>
                </w:p>
              </w:tc>
              <w:tc>
                <w:tcPr>
                  <w:tcW w:w="1780" w:type="dxa"/>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c>
                <w:tcPr>
                  <w:tcW w:w="1091"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29"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276"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c>
                <w:tcPr>
                  <w:tcW w:w="1117"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6. Detalizēts ieņēmumu un izdevumu aprēķins (ja nepieciešams, detalizētu ieņēmumu un izdevumu aprēķinu var pievienot anotācijas pielikumā):</w:t>
                  </w:r>
                </w:p>
              </w:tc>
              <w:tc>
                <w:tcPr>
                  <w:tcW w:w="639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pStyle w:val="NoSpacing"/>
                    <w:jc w:val="both"/>
                    <w:rPr>
                      <w:rFonts w:ascii="Times New Roman" w:eastAsia="Calibri" w:hAnsi="Times New Roman" w:cs="Times New Roman"/>
                      <w:bCs/>
                      <w:sz w:val="25"/>
                      <w:szCs w:val="25"/>
                    </w:rPr>
                  </w:pPr>
                  <w:r w:rsidRPr="00A14861">
                    <w:rPr>
                      <w:rFonts w:ascii="Times New Roman" w:hAnsi="Times New Roman" w:cs="Times New Roman"/>
                      <w:sz w:val="25"/>
                      <w:szCs w:val="25"/>
                    </w:rPr>
                    <w:t> </w:t>
                  </w:r>
                  <w:r w:rsidRPr="00A14861">
                    <w:rPr>
                      <w:rFonts w:ascii="Times New Roman" w:eastAsia="Calibri" w:hAnsi="Times New Roman" w:cs="Times New Roman"/>
                      <w:sz w:val="25"/>
                      <w:szCs w:val="25"/>
                      <w:lang w:eastAsia="en-US"/>
                    </w:rPr>
                    <w:t xml:space="preserve"> Atbilstoši likumam „Par valsts budžetu 2016. gadam” Veselības ministrijas budžeta apakš</w:t>
                  </w:r>
                  <w:r w:rsidRPr="00A14861">
                    <w:rPr>
                      <w:rFonts w:ascii="Times New Roman" w:eastAsia="Calibri" w:hAnsi="Times New Roman" w:cs="Times New Roman"/>
                      <w:bCs/>
                      <w:sz w:val="25"/>
                      <w:szCs w:val="25"/>
                    </w:rPr>
                    <w:t>programmā 39.03.00 „Asins un asins komponentu nodrošināšana”:</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Resursi izdevumu segšanai: 7 170 482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 xml:space="preserve"> t.sk.:</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Ieņēmumi no maksas pakalpojumiem</w:t>
                  </w:r>
                  <w:proofErr w:type="gramStart"/>
                  <w:r w:rsidRPr="00A14861">
                    <w:rPr>
                      <w:rFonts w:ascii="Times New Roman" w:eastAsia="Calibri" w:hAnsi="Times New Roman" w:cs="Times New Roman"/>
                      <w:bCs/>
                      <w:sz w:val="25"/>
                      <w:szCs w:val="25"/>
                    </w:rPr>
                    <w:t xml:space="preserve">  </w:t>
                  </w:r>
                  <w:proofErr w:type="gramEnd"/>
                  <w:r w:rsidRPr="00A14861">
                    <w:rPr>
                      <w:rFonts w:ascii="Times New Roman" w:eastAsia="Calibri" w:hAnsi="Times New Roman" w:cs="Times New Roman"/>
                      <w:bCs/>
                      <w:sz w:val="25"/>
                      <w:szCs w:val="25"/>
                    </w:rPr>
                    <w:t xml:space="preserve">un citi pašu ieņēmumi </w:t>
                  </w:r>
                  <w:r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bCs/>
                      <w:sz w:val="25"/>
                      <w:szCs w:val="25"/>
                    </w:rPr>
                    <w:t xml:space="preserve">99 977 </w:t>
                  </w:r>
                  <w:r w:rsidRPr="00A14861">
                    <w:rPr>
                      <w:rFonts w:ascii="Times New Roman" w:eastAsia="Calibri" w:hAnsi="Times New Roman" w:cs="Times New Roman"/>
                      <w:bCs/>
                      <w:i/>
                      <w:sz w:val="25"/>
                      <w:szCs w:val="25"/>
                    </w:rPr>
                    <w:t>euro;</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Dotācija no vispārējiem ieņēmumiem </w:t>
                  </w:r>
                  <w:r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bCs/>
                      <w:sz w:val="25"/>
                      <w:szCs w:val="25"/>
                    </w:rPr>
                    <w:t xml:space="preserve">7 070 505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Izdevumi: 7 170 482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 xml:space="preserve"> t.sk.:</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EKK 1000 Atlīdzība </w:t>
                  </w:r>
                  <w:r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bCs/>
                      <w:sz w:val="25"/>
                      <w:szCs w:val="25"/>
                    </w:rPr>
                    <w:t xml:space="preserve">2 577 264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EKK 1100 Atalgojums </w:t>
                  </w:r>
                  <w:r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bCs/>
                      <w:sz w:val="25"/>
                      <w:szCs w:val="25"/>
                    </w:rPr>
                    <w:t xml:space="preserve">1 959 532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EKK 2000 Preces un pakalpojumi </w:t>
                  </w:r>
                  <w:r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bCs/>
                      <w:sz w:val="25"/>
                      <w:szCs w:val="25"/>
                    </w:rPr>
                    <w:t xml:space="preserve">4 406 489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w:t>
                  </w:r>
                </w:p>
                <w:p w:rsidR="0007065B" w:rsidRPr="00A14861" w:rsidRDefault="0007065B" w:rsidP="0007065B">
                  <w:pPr>
                    <w:spacing w:after="0" w:line="240" w:lineRule="auto"/>
                    <w:ind w:left="52"/>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 xml:space="preserve">EKK 5000 Pamatkapitāla veidošana </w:t>
                  </w:r>
                  <w:r w:rsidRPr="00A14861">
                    <w:rPr>
                      <w:rFonts w:ascii="Times New Roman" w:eastAsia="Calibri" w:hAnsi="Times New Roman" w:cs="Times New Roman"/>
                      <w:sz w:val="25"/>
                      <w:szCs w:val="25"/>
                      <w:lang w:eastAsia="en-US"/>
                    </w:rPr>
                    <w:t xml:space="preserve">– </w:t>
                  </w:r>
                  <w:r w:rsidRPr="00A14861">
                    <w:rPr>
                      <w:rFonts w:ascii="Times New Roman" w:eastAsia="Calibri" w:hAnsi="Times New Roman" w:cs="Times New Roman"/>
                      <w:bCs/>
                      <w:sz w:val="25"/>
                      <w:szCs w:val="25"/>
                    </w:rPr>
                    <w:t xml:space="preserve">186 729 </w:t>
                  </w:r>
                  <w:r w:rsidRPr="00A14861">
                    <w:rPr>
                      <w:rFonts w:ascii="Times New Roman" w:eastAsia="Calibri" w:hAnsi="Times New Roman" w:cs="Times New Roman"/>
                      <w:bCs/>
                      <w:i/>
                      <w:sz w:val="25"/>
                      <w:szCs w:val="25"/>
                    </w:rPr>
                    <w:t>euro</w:t>
                  </w:r>
                  <w:r w:rsidRPr="00A14861">
                    <w:rPr>
                      <w:rFonts w:ascii="Times New Roman" w:eastAsia="Calibri" w:hAnsi="Times New Roman" w:cs="Times New Roman"/>
                      <w:bCs/>
                      <w:sz w:val="25"/>
                      <w:szCs w:val="25"/>
                    </w:rPr>
                    <w:t>.</w:t>
                  </w:r>
                </w:p>
                <w:p w:rsidR="0007065B" w:rsidRPr="00A14861" w:rsidRDefault="0007065B" w:rsidP="0007065B">
                  <w:pPr>
                    <w:pStyle w:val="ListParagraph"/>
                    <w:ind w:left="360"/>
                    <w:rPr>
                      <w:color w:val="auto"/>
                      <w:sz w:val="25"/>
                      <w:szCs w:val="25"/>
                    </w:rPr>
                  </w:pPr>
                </w:p>
                <w:p w:rsidR="0007065B" w:rsidRPr="00A14861" w:rsidRDefault="0007065B" w:rsidP="0007065B">
                  <w:pPr>
                    <w:spacing w:after="0" w:line="240" w:lineRule="auto"/>
                    <w:ind w:left="52" w:firstLine="129"/>
                    <w:jc w:val="both"/>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Patogēnu inaktivācijas sistēma paredzēta asins komponentu kvalitātes paaugstināšanai</w:t>
                  </w:r>
                  <w:proofErr w:type="gramStart"/>
                  <w:r w:rsidRPr="00A14861">
                    <w:rPr>
                      <w:rFonts w:ascii="Times New Roman" w:eastAsia="Calibri" w:hAnsi="Times New Roman" w:cs="Times New Roman"/>
                      <w:bCs/>
                      <w:sz w:val="25"/>
                      <w:szCs w:val="25"/>
                    </w:rPr>
                    <w:t xml:space="preserve">  </w:t>
                  </w:r>
                  <w:proofErr w:type="gramEnd"/>
                  <w:r w:rsidRPr="00A14861">
                    <w:rPr>
                      <w:rFonts w:ascii="Times New Roman" w:eastAsia="Calibri" w:hAnsi="Times New Roman" w:cs="Times New Roman"/>
                      <w:bCs/>
                      <w:sz w:val="25"/>
                      <w:szCs w:val="25"/>
                    </w:rPr>
                    <w:t xml:space="preserve">trombocītu masā. Šai sistēmai Latvijā nav analogu. </w:t>
                  </w:r>
                </w:p>
                <w:p w:rsidR="0007065B" w:rsidRPr="00A14861" w:rsidRDefault="0007065B" w:rsidP="0007065B">
                  <w:pPr>
                    <w:spacing w:after="0" w:line="240" w:lineRule="auto"/>
                    <w:ind w:left="52" w:firstLine="129"/>
                    <w:rPr>
                      <w:rFonts w:ascii="Times New Roman" w:eastAsia="Calibri" w:hAnsi="Times New Roman" w:cs="Times New Roman"/>
                      <w:bCs/>
                      <w:sz w:val="25"/>
                      <w:szCs w:val="25"/>
                    </w:rPr>
                  </w:pPr>
                  <w:r w:rsidRPr="00A14861">
                    <w:rPr>
                      <w:rFonts w:ascii="Times New Roman" w:eastAsia="Calibri" w:hAnsi="Times New Roman" w:cs="Times New Roman"/>
                      <w:bCs/>
                      <w:sz w:val="25"/>
                      <w:szCs w:val="25"/>
                    </w:rPr>
                    <w:t>Paredzamie rezultāti:</w:t>
                  </w:r>
                  <w:r w:rsidRPr="00A14861">
                    <w:rPr>
                      <w:rFonts w:ascii="Times New Roman" w:eastAsia="Calibri" w:hAnsi="Times New Roman" w:cs="Times New Roman"/>
                      <w:bCs/>
                      <w:sz w:val="25"/>
                      <w:szCs w:val="25"/>
                    </w:rPr>
                    <w:br/>
                    <w:t>- tiks risinātas trombocītu masas kontaminācijas problēmas;                          - nebūs nepieciešamība veikt  trombocītu masas sterilitātes kontroli;</w:t>
                  </w:r>
                  <w:r w:rsidRPr="00A14861">
                    <w:rPr>
                      <w:rFonts w:ascii="Times New Roman" w:eastAsia="Calibri" w:hAnsi="Times New Roman" w:cs="Times New Roman"/>
                      <w:bCs/>
                      <w:sz w:val="25"/>
                      <w:szCs w:val="25"/>
                    </w:rPr>
                    <w:br/>
                    <w:t>- paaugstināsies asins komponentu drošība, jo tiek inaktivēti tādi patogēni, uz ko netiek veikta skrīninga izmeklēšana;</w:t>
                  </w:r>
                  <w:r w:rsidRPr="00A14861">
                    <w:rPr>
                      <w:rFonts w:ascii="Times New Roman" w:eastAsia="Calibri" w:hAnsi="Times New Roman" w:cs="Times New Roman"/>
                      <w:bCs/>
                      <w:sz w:val="25"/>
                      <w:szCs w:val="25"/>
                    </w:rPr>
                    <w:br/>
                    <w:t>-nebūs  nepieciešama trombocītu masas apstarošana;</w:t>
                  </w:r>
                  <w:r w:rsidRPr="00A14861">
                    <w:rPr>
                      <w:rFonts w:ascii="Times New Roman" w:eastAsia="Calibri" w:hAnsi="Times New Roman" w:cs="Times New Roman"/>
                      <w:bCs/>
                      <w:sz w:val="25"/>
                      <w:szCs w:val="25"/>
                    </w:rPr>
                    <w:br/>
                    <w:t>- samazināsies    iespējamo transfūzijas  blakņu skaits recipientiem, kas saistītas ar leikocītu klātbūtni un to ietekmi uz recipientu - febrīlas nehemolītiskas transfūziju blaknes, slimība „transplantāts pret saimnieku” u.c.</w:t>
                  </w:r>
                </w:p>
                <w:p w:rsidR="0007065B" w:rsidRPr="00A14861" w:rsidRDefault="0007065B" w:rsidP="0007065B">
                  <w:pPr>
                    <w:pStyle w:val="ListParagraph"/>
                    <w:ind w:left="360"/>
                    <w:jc w:val="both"/>
                    <w:rPr>
                      <w:color w:val="auto"/>
                      <w:sz w:val="25"/>
                      <w:szCs w:val="25"/>
                    </w:rPr>
                  </w:pPr>
                </w:p>
                <w:p w:rsidR="0007065B" w:rsidRPr="00A14861" w:rsidRDefault="0007065B" w:rsidP="0007065B">
                  <w:pPr>
                    <w:pStyle w:val="ListParagraph"/>
                    <w:tabs>
                      <w:tab w:val="left" w:pos="410"/>
                    </w:tabs>
                    <w:ind w:left="126"/>
                    <w:rPr>
                      <w:color w:val="auto"/>
                      <w:sz w:val="25"/>
                      <w:szCs w:val="25"/>
                      <w:u w:val="single"/>
                    </w:rPr>
                  </w:pPr>
                  <w:r w:rsidRPr="00A14861">
                    <w:rPr>
                      <w:color w:val="auto"/>
                      <w:sz w:val="25"/>
                      <w:szCs w:val="25"/>
                      <w:u w:val="single"/>
                    </w:rPr>
                    <w:t>Aprēķini:</w:t>
                  </w:r>
                </w:p>
                <w:p w:rsidR="0007065B" w:rsidRPr="00A14861" w:rsidRDefault="0007065B" w:rsidP="0007065B">
                  <w:pPr>
                    <w:pStyle w:val="ListParagraph"/>
                    <w:tabs>
                      <w:tab w:val="left" w:pos="410"/>
                    </w:tabs>
                    <w:ind w:left="126"/>
                    <w:rPr>
                      <w:b/>
                      <w:color w:val="auto"/>
                      <w:sz w:val="25"/>
                      <w:szCs w:val="25"/>
                      <w:u w:val="single"/>
                    </w:rPr>
                  </w:pPr>
                  <w:r w:rsidRPr="00A14861">
                    <w:rPr>
                      <w:b/>
                      <w:color w:val="auto"/>
                      <w:sz w:val="25"/>
                      <w:szCs w:val="25"/>
                      <w:u w:val="single"/>
                    </w:rPr>
                    <w:t xml:space="preserve"> 2016. gadā:</w:t>
                  </w:r>
                </w:p>
                <w:p w:rsidR="0007065B" w:rsidRPr="00A14861" w:rsidRDefault="0007065B" w:rsidP="0007065B">
                  <w:pPr>
                    <w:pStyle w:val="ListParagraph"/>
                    <w:tabs>
                      <w:tab w:val="left" w:pos="410"/>
                    </w:tabs>
                    <w:ind w:left="126"/>
                    <w:rPr>
                      <w:b/>
                      <w:color w:val="auto"/>
                      <w:sz w:val="25"/>
                      <w:szCs w:val="25"/>
                    </w:rPr>
                  </w:pPr>
                  <w:r w:rsidRPr="00A14861">
                    <w:rPr>
                      <w:b/>
                      <w:color w:val="auto"/>
                      <w:sz w:val="25"/>
                      <w:szCs w:val="25"/>
                    </w:rPr>
                    <w:t xml:space="preserve">Patogēnu inaktivācijas tehnoloģijas ieviešanas izmaksas -468 207 </w:t>
                  </w:r>
                  <w:r w:rsidRPr="00A14861">
                    <w:rPr>
                      <w:b/>
                      <w:i/>
                      <w:color w:val="auto"/>
                      <w:sz w:val="25"/>
                      <w:szCs w:val="25"/>
                    </w:rPr>
                    <w:t>euro</w:t>
                  </w:r>
                  <w:r w:rsidRPr="00A14861">
                    <w:rPr>
                      <w:b/>
                      <w:color w:val="auto"/>
                      <w:sz w:val="25"/>
                      <w:szCs w:val="25"/>
                    </w:rPr>
                    <w:t xml:space="preserve"> ar PVN:</w:t>
                  </w:r>
                </w:p>
                <w:p w:rsidR="0007065B" w:rsidRPr="00A14861" w:rsidRDefault="0007065B" w:rsidP="0007065B">
                  <w:pPr>
                    <w:pStyle w:val="ListParagraph"/>
                    <w:numPr>
                      <w:ilvl w:val="0"/>
                      <w:numId w:val="2"/>
                    </w:numPr>
                    <w:tabs>
                      <w:tab w:val="left" w:pos="410"/>
                    </w:tabs>
                    <w:ind w:left="126" w:firstLine="0"/>
                    <w:jc w:val="both"/>
                    <w:rPr>
                      <w:b/>
                      <w:color w:val="auto"/>
                      <w:sz w:val="25"/>
                      <w:szCs w:val="25"/>
                    </w:rPr>
                  </w:pPr>
                  <w:r w:rsidRPr="00A14861">
                    <w:rPr>
                      <w:color w:val="auto"/>
                      <w:sz w:val="25"/>
                      <w:szCs w:val="25"/>
                    </w:rPr>
                    <w:t xml:space="preserve">ACF TM tests: 1 500 testi*68,79 vid. cena </w:t>
                  </w:r>
                  <w:r w:rsidRPr="00A14861">
                    <w:rPr>
                      <w:i/>
                      <w:color w:val="auto"/>
                      <w:sz w:val="25"/>
                      <w:szCs w:val="25"/>
                    </w:rPr>
                    <w:t xml:space="preserve">euro </w:t>
                  </w:r>
                  <w:r w:rsidRPr="00A14861">
                    <w:rPr>
                      <w:color w:val="auto"/>
                      <w:sz w:val="25"/>
                      <w:szCs w:val="25"/>
                    </w:rPr>
                    <w:t>– 103 185 </w:t>
                  </w:r>
                  <w:r w:rsidRPr="00A14861">
                    <w:rPr>
                      <w:i/>
                      <w:color w:val="auto"/>
                      <w:sz w:val="25"/>
                      <w:szCs w:val="25"/>
                    </w:rPr>
                    <w:t>euro</w:t>
                  </w:r>
                  <w:r w:rsidRPr="00A14861">
                    <w:rPr>
                      <w:color w:val="auto"/>
                      <w:sz w:val="25"/>
                      <w:szCs w:val="25"/>
                    </w:rPr>
                    <w:t xml:space="preserve"> gadā (EKK 2341);</w:t>
                  </w:r>
                </w:p>
                <w:p w:rsidR="0007065B" w:rsidRPr="00A14861" w:rsidRDefault="0007065B" w:rsidP="0007065B">
                  <w:pPr>
                    <w:pStyle w:val="ListParagraph"/>
                    <w:numPr>
                      <w:ilvl w:val="0"/>
                      <w:numId w:val="2"/>
                    </w:numPr>
                    <w:tabs>
                      <w:tab w:val="left" w:pos="410"/>
                    </w:tabs>
                    <w:ind w:left="126" w:firstLine="0"/>
                    <w:jc w:val="both"/>
                    <w:rPr>
                      <w:b/>
                      <w:color w:val="auto"/>
                      <w:sz w:val="25"/>
                      <w:szCs w:val="25"/>
                    </w:rPr>
                  </w:pPr>
                  <w:r w:rsidRPr="00A14861">
                    <w:rPr>
                      <w:color w:val="auto"/>
                      <w:sz w:val="25"/>
                      <w:szCs w:val="25"/>
                    </w:rPr>
                    <w:t xml:space="preserve">BC TM tests: 4 700 testi* 62,86 vid. cena </w:t>
                  </w:r>
                  <w:r w:rsidRPr="00A14861">
                    <w:rPr>
                      <w:i/>
                      <w:color w:val="auto"/>
                      <w:sz w:val="25"/>
                      <w:szCs w:val="25"/>
                    </w:rPr>
                    <w:t>euro</w:t>
                  </w:r>
                  <w:r w:rsidRPr="00A14861">
                    <w:rPr>
                      <w:color w:val="auto"/>
                      <w:sz w:val="25"/>
                      <w:szCs w:val="25"/>
                    </w:rPr>
                    <w:t xml:space="preserve"> – 295 442 </w:t>
                  </w:r>
                  <w:r w:rsidRPr="00A14861">
                    <w:rPr>
                      <w:i/>
                      <w:color w:val="auto"/>
                      <w:sz w:val="25"/>
                      <w:szCs w:val="25"/>
                    </w:rPr>
                    <w:t>euro</w:t>
                  </w:r>
                  <w:r w:rsidRPr="00A14861">
                    <w:rPr>
                      <w:color w:val="auto"/>
                      <w:sz w:val="25"/>
                      <w:szCs w:val="25"/>
                    </w:rPr>
                    <w:t xml:space="preserve"> gadā (EKK 2341);</w:t>
                  </w:r>
                </w:p>
                <w:p w:rsidR="0007065B" w:rsidRPr="00A14861" w:rsidRDefault="0007065B" w:rsidP="0007065B">
                  <w:pPr>
                    <w:pStyle w:val="ListParagraph"/>
                    <w:numPr>
                      <w:ilvl w:val="0"/>
                      <w:numId w:val="2"/>
                    </w:numPr>
                    <w:tabs>
                      <w:tab w:val="left" w:pos="410"/>
                    </w:tabs>
                    <w:ind w:left="126" w:firstLine="0"/>
                    <w:jc w:val="both"/>
                    <w:rPr>
                      <w:b/>
                      <w:color w:val="auto"/>
                      <w:sz w:val="25"/>
                      <w:szCs w:val="25"/>
                    </w:rPr>
                  </w:pPr>
                  <w:r w:rsidRPr="00A14861">
                    <w:rPr>
                      <w:color w:val="auto"/>
                      <w:sz w:val="25"/>
                      <w:szCs w:val="25"/>
                    </w:rPr>
                    <w:t xml:space="preserve">Vienreizējas izmaksas – pieslēgšanās </w:t>
                  </w:r>
                  <w:proofErr w:type="spellStart"/>
                  <w:r w:rsidRPr="00A14861">
                    <w:rPr>
                      <w:color w:val="auto"/>
                      <w:sz w:val="25"/>
                      <w:szCs w:val="25"/>
                    </w:rPr>
                    <w:t>ProSang</w:t>
                  </w:r>
                  <w:proofErr w:type="spellEnd"/>
                  <w:r w:rsidRPr="00A14861">
                    <w:rPr>
                      <w:color w:val="auto"/>
                      <w:sz w:val="25"/>
                      <w:szCs w:val="25"/>
                    </w:rPr>
                    <w:t xml:space="preserve"> - 40 cilvēkstundas - 6 794 </w:t>
                  </w:r>
                  <w:r w:rsidRPr="00A14861">
                    <w:rPr>
                      <w:i/>
                      <w:color w:val="auto"/>
                      <w:sz w:val="25"/>
                      <w:szCs w:val="25"/>
                    </w:rPr>
                    <w:t xml:space="preserve">euro, ( ārpakalpojums piesaistīts Zviedru programmas </w:t>
                  </w:r>
                  <w:proofErr w:type="spellStart"/>
                  <w:r w:rsidRPr="00A14861">
                    <w:rPr>
                      <w:i/>
                      <w:color w:val="auto"/>
                      <w:sz w:val="25"/>
                      <w:szCs w:val="25"/>
                    </w:rPr>
                    <w:t>ProSang</w:t>
                  </w:r>
                  <w:proofErr w:type="spellEnd"/>
                  <w:r w:rsidRPr="00A14861">
                    <w:rPr>
                      <w:i/>
                      <w:color w:val="auto"/>
                      <w:sz w:val="25"/>
                      <w:szCs w:val="25"/>
                    </w:rPr>
                    <w:t xml:space="preserve"> programmētais) </w:t>
                  </w:r>
                  <w:r w:rsidRPr="00A14861">
                    <w:rPr>
                      <w:color w:val="auto"/>
                      <w:sz w:val="25"/>
                      <w:szCs w:val="25"/>
                    </w:rPr>
                    <w:t>(EKK 2251)</w:t>
                  </w:r>
                  <w:r w:rsidRPr="00A14861">
                    <w:rPr>
                      <w:i/>
                      <w:color w:val="auto"/>
                      <w:sz w:val="25"/>
                      <w:szCs w:val="25"/>
                    </w:rPr>
                    <w:t>.</w:t>
                  </w:r>
                </w:p>
                <w:p w:rsidR="0007065B" w:rsidRPr="00A14861" w:rsidRDefault="0007065B" w:rsidP="0007065B">
                  <w:pPr>
                    <w:pStyle w:val="ListParagraph"/>
                    <w:numPr>
                      <w:ilvl w:val="0"/>
                      <w:numId w:val="2"/>
                    </w:numPr>
                    <w:tabs>
                      <w:tab w:val="left" w:pos="410"/>
                    </w:tabs>
                    <w:ind w:left="126" w:firstLine="0"/>
                    <w:jc w:val="both"/>
                    <w:rPr>
                      <w:b/>
                      <w:color w:val="auto"/>
                      <w:sz w:val="25"/>
                      <w:szCs w:val="25"/>
                    </w:rPr>
                  </w:pPr>
                  <w:r w:rsidRPr="00A14861">
                    <w:rPr>
                      <w:color w:val="auto"/>
                      <w:sz w:val="25"/>
                      <w:szCs w:val="25"/>
                    </w:rPr>
                    <w:t xml:space="preserve">Inaktivācijas iekārtas Ilaminātors (komplekts): 2 gab. vid. cena 31 393 </w:t>
                  </w:r>
                  <w:r w:rsidRPr="00A14861">
                    <w:rPr>
                      <w:i/>
                      <w:color w:val="auto"/>
                      <w:sz w:val="25"/>
                      <w:szCs w:val="25"/>
                    </w:rPr>
                    <w:t xml:space="preserve">euro </w:t>
                  </w:r>
                  <w:r w:rsidRPr="00A14861">
                    <w:rPr>
                      <w:color w:val="auto"/>
                      <w:sz w:val="25"/>
                      <w:szCs w:val="25"/>
                    </w:rPr>
                    <w:t xml:space="preserve">– 62 786 </w:t>
                  </w:r>
                  <w:r w:rsidRPr="00A14861">
                    <w:rPr>
                      <w:i/>
                      <w:color w:val="auto"/>
                      <w:sz w:val="25"/>
                      <w:szCs w:val="25"/>
                    </w:rPr>
                    <w:t xml:space="preserve">euro </w:t>
                  </w:r>
                  <w:r w:rsidRPr="00A14861">
                    <w:rPr>
                      <w:color w:val="auto"/>
                      <w:sz w:val="25"/>
                      <w:szCs w:val="25"/>
                    </w:rPr>
                    <w:t>(EKK 5220);</w:t>
                  </w:r>
                </w:p>
                <w:p w:rsidR="0007065B" w:rsidRPr="00A14861" w:rsidRDefault="0007065B" w:rsidP="0007065B">
                  <w:pPr>
                    <w:pStyle w:val="ListParagraph"/>
                    <w:tabs>
                      <w:tab w:val="left" w:pos="410"/>
                    </w:tabs>
                    <w:ind w:left="126"/>
                    <w:jc w:val="both"/>
                    <w:rPr>
                      <w:b/>
                      <w:color w:val="auto"/>
                      <w:sz w:val="25"/>
                      <w:szCs w:val="25"/>
                    </w:rPr>
                  </w:pPr>
                </w:p>
                <w:p w:rsidR="0007065B" w:rsidRPr="00A14861" w:rsidRDefault="0007065B" w:rsidP="0007065B">
                  <w:pPr>
                    <w:pStyle w:val="ListParagraph"/>
                    <w:tabs>
                      <w:tab w:val="left" w:pos="410"/>
                    </w:tabs>
                    <w:ind w:left="126"/>
                    <w:jc w:val="both"/>
                    <w:rPr>
                      <w:color w:val="auto"/>
                      <w:sz w:val="25"/>
                      <w:szCs w:val="25"/>
                    </w:rPr>
                  </w:pPr>
                  <w:r w:rsidRPr="00A14861">
                    <w:rPr>
                      <w:color w:val="auto"/>
                      <w:sz w:val="25"/>
                      <w:szCs w:val="25"/>
                    </w:rPr>
                    <w:t>Izdevumu ekonomija (2016. – 2019.</w:t>
                  </w:r>
                  <w:r w:rsidR="00904C60">
                    <w:rPr>
                      <w:color w:val="auto"/>
                      <w:sz w:val="25"/>
                      <w:szCs w:val="25"/>
                    </w:rPr>
                    <w:t xml:space="preserve"> </w:t>
                  </w:r>
                  <w:r w:rsidRPr="00A14861">
                    <w:rPr>
                      <w:color w:val="auto"/>
                      <w:sz w:val="25"/>
                      <w:szCs w:val="25"/>
                    </w:rPr>
                    <w:t xml:space="preserve">gadi) - </w:t>
                  </w:r>
                  <w:r w:rsidRPr="00A14861">
                    <w:rPr>
                      <w:color w:val="auto"/>
                      <w:sz w:val="25"/>
                      <w:szCs w:val="25"/>
                      <w:u w:val="single"/>
                    </w:rPr>
                    <w:t xml:space="preserve">95 497 </w:t>
                  </w:r>
                  <w:r w:rsidRPr="00A14861">
                    <w:rPr>
                      <w:i/>
                      <w:color w:val="auto"/>
                      <w:sz w:val="25"/>
                      <w:szCs w:val="25"/>
                      <w:u w:val="single"/>
                    </w:rPr>
                    <w:t>euro</w:t>
                  </w:r>
                  <w:r w:rsidRPr="00A14861">
                    <w:rPr>
                      <w:color w:val="auto"/>
                      <w:sz w:val="25"/>
                      <w:szCs w:val="25"/>
                      <w:u w:val="single"/>
                    </w:rPr>
                    <w:t xml:space="preserve"> gadā</w:t>
                  </w:r>
                  <w:r w:rsidRPr="00A14861">
                    <w:rPr>
                      <w:color w:val="auto"/>
                      <w:sz w:val="25"/>
                      <w:szCs w:val="25"/>
                    </w:rPr>
                    <w:t>, kas  tiks novirzīta Patogēnu inaktivācijas 1 388 ACF TM testu iegādei.</w:t>
                  </w:r>
                </w:p>
                <w:p w:rsidR="0007065B" w:rsidRPr="00A14861" w:rsidRDefault="0007065B" w:rsidP="0007065B">
                  <w:pPr>
                    <w:pStyle w:val="ListParagraph"/>
                    <w:tabs>
                      <w:tab w:val="left" w:pos="410"/>
                    </w:tabs>
                    <w:ind w:left="126"/>
                    <w:jc w:val="both"/>
                    <w:rPr>
                      <w:b/>
                      <w:color w:val="auto"/>
                      <w:sz w:val="25"/>
                      <w:szCs w:val="25"/>
                    </w:rPr>
                  </w:pPr>
                  <w:r w:rsidRPr="00A14861">
                    <w:rPr>
                      <w:color w:val="auto"/>
                      <w:sz w:val="25"/>
                      <w:szCs w:val="25"/>
                    </w:rPr>
                    <w:t xml:space="preserve">Patogēnu inaktivācijas priekšrocības ļaus ekonomēt līdzekļus </w:t>
                  </w:r>
                  <w:proofErr w:type="gramStart"/>
                  <w:r w:rsidRPr="00A14861">
                    <w:rPr>
                      <w:color w:val="auto"/>
                      <w:sz w:val="25"/>
                      <w:szCs w:val="25"/>
                    </w:rPr>
                    <w:t>(</w:t>
                  </w:r>
                  <w:proofErr w:type="gramEnd"/>
                  <w:r w:rsidRPr="00A14861">
                    <w:rPr>
                      <w:color w:val="auto"/>
                      <w:sz w:val="25"/>
                      <w:szCs w:val="25"/>
                    </w:rPr>
                    <w:t>2016.  – 2019. gadi),</w:t>
                  </w:r>
                  <w:r w:rsidRPr="00A14861">
                    <w:rPr>
                      <w:b/>
                      <w:color w:val="auto"/>
                      <w:sz w:val="25"/>
                      <w:szCs w:val="25"/>
                    </w:rPr>
                    <w:t xml:space="preserve"> </w:t>
                  </w:r>
                  <w:r w:rsidRPr="00A14861">
                    <w:rPr>
                      <w:color w:val="auto"/>
                      <w:sz w:val="25"/>
                      <w:szCs w:val="25"/>
                    </w:rPr>
                    <w:t>jo:</w:t>
                  </w:r>
                </w:p>
                <w:p w:rsidR="0007065B" w:rsidRPr="00A14861" w:rsidRDefault="0007065B" w:rsidP="0007065B">
                  <w:pPr>
                    <w:pStyle w:val="ListParagraph"/>
                    <w:numPr>
                      <w:ilvl w:val="0"/>
                      <w:numId w:val="13"/>
                    </w:numPr>
                    <w:rPr>
                      <w:color w:val="auto"/>
                      <w:sz w:val="25"/>
                      <w:szCs w:val="25"/>
                    </w:rPr>
                  </w:pPr>
                  <w:r w:rsidRPr="00A14861">
                    <w:rPr>
                      <w:b/>
                      <w:color w:val="auto"/>
                      <w:sz w:val="25"/>
                      <w:szCs w:val="25"/>
                    </w:rPr>
                    <w:t xml:space="preserve"> </w:t>
                  </w:r>
                  <w:r w:rsidRPr="00A14861">
                    <w:rPr>
                      <w:color w:val="auto"/>
                      <w:sz w:val="25"/>
                      <w:szCs w:val="25"/>
                    </w:rPr>
                    <w:t xml:space="preserve">nav nepieciešama TM apstarošana un sterilitātes kontrole, kas ļauj samazināt izdevumus – 83 707 </w:t>
                  </w:r>
                  <w:r w:rsidRPr="00A14861">
                    <w:rPr>
                      <w:i/>
                      <w:color w:val="auto"/>
                      <w:sz w:val="25"/>
                      <w:szCs w:val="25"/>
                    </w:rPr>
                    <w:t>euro</w:t>
                  </w:r>
                  <w:r w:rsidRPr="00A14861">
                    <w:rPr>
                      <w:color w:val="auto"/>
                      <w:sz w:val="25"/>
                      <w:szCs w:val="25"/>
                    </w:rPr>
                    <w:t xml:space="preserve"> gadā:</w:t>
                  </w:r>
                </w:p>
                <w:p w:rsidR="0007065B" w:rsidRPr="00A14861" w:rsidRDefault="0007065B" w:rsidP="0007065B">
                  <w:pPr>
                    <w:pStyle w:val="ListParagraph"/>
                    <w:numPr>
                      <w:ilvl w:val="0"/>
                      <w:numId w:val="3"/>
                    </w:numPr>
                    <w:ind w:left="889" w:hanging="169"/>
                    <w:rPr>
                      <w:color w:val="auto"/>
                      <w:sz w:val="25"/>
                      <w:szCs w:val="25"/>
                    </w:rPr>
                  </w:pPr>
                  <w:r w:rsidRPr="00A14861">
                    <w:rPr>
                      <w:color w:val="auto"/>
                      <w:sz w:val="25"/>
                      <w:szCs w:val="25"/>
                    </w:rPr>
                    <w:t xml:space="preserve">Apstarošanas izmaksas (izpilde 2323 devas gadā, uzskaites cena 3.26 </w:t>
                  </w:r>
                  <w:r w:rsidRPr="00A14861">
                    <w:rPr>
                      <w:i/>
                      <w:color w:val="auto"/>
                      <w:sz w:val="25"/>
                      <w:szCs w:val="25"/>
                    </w:rPr>
                    <w:t>euro</w:t>
                  </w:r>
                  <w:r w:rsidRPr="00A14861">
                    <w:rPr>
                      <w:color w:val="auto"/>
                      <w:sz w:val="25"/>
                      <w:szCs w:val="25"/>
                    </w:rPr>
                    <w:t xml:space="preserve">) - 7 573 </w:t>
                  </w:r>
                  <w:r w:rsidRPr="00A14861">
                    <w:rPr>
                      <w:i/>
                      <w:color w:val="auto"/>
                      <w:sz w:val="25"/>
                      <w:szCs w:val="25"/>
                    </w:rPr>
                    <w:t>euro</w:t>
                  </w:r>
                  <w:r w:rsidRPr="00A14861">
                    <w:rPr>
                      <w:color w:val="auto"/>
                      <w:sz w:val="25"/>
                      <w:szCs w:val="25"/>
                    </w:rPr>
                    <w:t xml:space="preserve"> gadā;</w:t>
                  </w:r>
                </w:p>
                <w:p w:rsidR="0007065B" w:rsidRPr="00A14861" w:rsidRDefault="0007065B" w:rsidP="0007065B">
                  <w:pPr>
                    <w:pStyle w:val="ListParagraph"/>
                    <w:numPr>
                      <w:ilvl w:val="0"/>
                      <w:numId w:val="3"/>
                    </w:numPr>
                    <w:ind w:left="889" w:hanging="169"/>
                    <w:rPr>
                      <w:color w:val="auto"/>
                      <w:sz w:val="25"/>
                      <w:szCs w:val="25"/>
                    </w:rPr>
                  </w:pPr>
                  <w:r w:rsidRPr="00A14861">
                    <w:rPr>
                      <w:color w:val="auto"/>
                      <w:sz w:val="25"/>
                      <w:szCs w:val="25"/>
                    </w:rPr>
                    <w:t xml:space="preserve">TM sterilitātes kontrole (Bact/Alert) (izpilde 4149 devas gadā, uzskaites cena 18.35 </w:t>
                  </w:r>
                  <w:r w:rsidRPr="00A14861">
                    <w:rPr>
                      <w:i/>
                      <w:color w:val="auto"/>
                      <w:sz w:val="25"/>
                      <w:szCs w:val="25"/>
                    </w:rPr>
                    <w:t>euro</w:t>
                  </w:r>
                  <w:r w:rsidRPr="00A14861">
                    <w:rPr>
                      <w:color w:val="auto"/>
                      <w:sz w:val="25"/>
                      <w:szCs w:val="25"/>
                    </w:rPr>
                    <w:t xml:space="preserve">) – 76 134 </w:t>
                  </w:r>
                  <w:r w:rsidRPr="00A14861">
                    <w:rPr>
                      <w:i/>
                      <w:color w:val="auto"/>
                      <w:sz w:val="25"/>
                      <w:szCs w:val="25"/>
                    </w:rPr>
                    <w:t>euro</w:t>
                  </w:r>
                  <w:r w:rsidRPr="00A14861">
                    <w:rPr>
                      <w:color w:val="auto"/>
                      <w:sz w:val="25"/>
                      <w:szCs w:val="25"/>
                    </w:rPr>
                    <w:t>.</w:t>
                  </w:r>
                </w:p>
                <w:p w:rsidR="0007065B" w:rsidRPr="00A14861" w:rsidRDefault="0007065B" w:rsidP="0007065B">
                  <w:pPr>
                    <w:pStyle w:val="ListParagraph"/>
                    <w:numPr>
                      <w:ilvl w:val="0"/>
                      <w:numId w:val="13"/>
                    </w:numPr>
                    <w:rPr>
                      <w:color w:val="auto"/>
                      <w:sz w:val="25"/>
                      <w:szCs w:val="25"/>
                    </w:rPr>
                  </w:pPr>
                  <w:r w:rsidRPr="00A14861">
                    <w:rPr>
                      <w:color w:val="auto"/>
                      <w:sz w:val="25"/>
                      <w:szCs w:val="25"/>
                    </w:rPr>
                    <w:t>nav nepieciešama medicīnas laboranta slodze:</w:t>
                  </w:r>
                </w:p>
                <w:p w:rsidR="0007065B" w:rsidRPr="00A14861" w:rsidRDefault="0007065B" w:rsidP="0007065B">
                  <w:pPr>
                    <w:pStyle w:val="ListParagraph"/>
                    <w:rPr>
                      <w:color w:val="auto"/>
                      <w:sz w:val="25"/>
                      <w:szCs w:val="25"/>
                    </w:rPr>
                  </w:pPr>
                  <w:r w:rsidRPr="00A14861">
                    <w:rPr>
                      <w:color w:val="auto"/>
                      <w:sz w:val="25"/>
                      <w:szCs w:val="25"/>
                    </w:rPr>
                    <w:t xml:space="preserve">795*12*123.59/100=11 790 </w:t>
                  </w:r>
                  <w:r w:rsidRPr="00A14861">
                    <w:rPr>
                      <w:i/>
                      <w:color w:val="auto"/>
                      <w:sz w:val="25"/>
                      <w:szCs w:val="25"/>
                    </w:rPr>
                    <w:t>euro</w:t>
                  </w:r>
                  <w:r w:rsidRPr="00A14861">
                    <w:rPr>
                      <w:color w:val="auto"/>
                      <w:sz w:val="25"/>
                      <w:szCs w:val="25"/>
                    </w:rPr>
                    <w:t>.</w:t>
                  </w:r>
                </w:p>
                <w:p w:rsidR="0007065B" w:rsidRPr="00A14861" w:rsidRDefault="0007065B" w:rsidP="0007065B">
                  <w:pPr>
                    <w:spacing w:after="0" w:line="240" w:lineRule="auto"/>
                    <w:ind w:left="360"/>
                    <w:rPr>
                      <w:rFonts w:ascii="Times New Roman" w:hAnsi="Times New Roman" w:cs="Times New Roman"/>
                      <w:b/>
                      <w:sz w:val="25"/>
                      <w:szCs w:val="25"/>
                    </w:rPr>
                  </w:pPr>
                </w:p>
                <w:p w:rsidR="0007065B" w:rsidRPr="00A14861" w:rsidRDefault="0007065B" w:rsidP="0007065B">
                  <w:pPr>
                    <w:spacing w:after="0" w:line="240" w:lineRule="auto"/>
                    <w:ind w:left="360"/>
                    <w:rPr>
                      <w:rFonts w:ascii="Times New Roman" w:hAnsi="Times New Roman" w:cs="Times New Roman"/>
                      <w:b/>
                      <w:sz w:val="25"/>
                      <w:szCs w:val="25"/>
                      <w:u w:val="single"/>
                    </w:rPr>
                  </w:pPr>
                  <w:r w:rsidRPr="00A14861">
                    <w:rPr>
                      <w:rFonts w:ascii="Times New Roman" w:hAnsi="Times New Roman" w:cs="Times New Roman"/>
                      <w:b/>
                      <w:sz w:val="25"/>
                      <w:szCs w:val="25"/>
                      <w:u w:val="single"/>
                    </w:rPr>
                    <w:t>2017. – 2019.gads:</w:t>
                  </w:r>
                </w:p>
                <w:p w:rsidR="0007065B" w:rsidRPr="00A14861" w:rsidRDefault="0007065B" w:rsidP="0007065B">
                  <w:pPr>
                    <w:spacing w:after="0" w:line="240" w:lineRule="auto"/>
                    <w:ind w:left="360"/>
                    <w:rPr>
                      <w:rFonts w:ascii="Times New Roman" w:hAnsi="Times New Roman" w:cs="Times New Roman"/>
                      <w:b/>
                      <w:sz w:val="25"/>
                      <w:szCs w:val="25"/>
                    </w:rPr>
                  </w:pPr>
                  <w:r w:rsidRPr="00A14861">
                    <w:rPr>
                      <w:rFonts w:ascii="Times New Roman" w:hAnsi="Times New Roman" w:cs="Times New Roman"/>
                      <w:b/>
                      <w:sz w:val="25"/>
                      <w:szCs w:val="25"/>
                    </w:rPr>
                    <w:t>Patogēnu inaktivācijas tehnoloģijas papildus izdevumi:</w:t>
                  </w:r>
                </w:p>
                <w:p w:rsidR="0007065B" w:rsidRPr="00A14861" w:rsidRDefault="0007065B" w:rsidP="0007065B">
                  <w:pPr>
                    <w:tabs>
                      <w:tab w:val="left" w:pos="126"/>
                    </w:tabs>
                    <w:spacing w:after="0" w:line="240" w:lineRule="auto"/>
                    <w:ind w:left="126"/>
                    <w:rPr>
                      <w:rFonts w:ascii="Times New Roman" w:hAnsi="Times New Roman" w:cs="Times New Roman"/>
                      <w:b/>
                      <w:sz w:val="25"/>
                      <w:szCs w:val="25"/>
                    </w:rPr>
                  </w:pPr>
                  <w:r w:rsidRPr="00A14861">
                    <w:rPr>
                      <w:rFonts w:ascii="Times New Roman" w:hAnsi="Times New Roman" w:cs="Times New Roman"/>
                      <w:b/>
                      <w:sz w:val="25"/>
                      <w:szCs w:val="25"/>
                    </w:rPr>
                    <w:t xml:space="preserve">– 398 627 </w:t>
                  </w:r>
                  <w:r w:rsidRPr="00A14861">
                    <w:rPr>
                      <w:rFonts w:ascii="Times New Roman" w:hAnsi="Times New Roman" w:cs="Times New Roman"/>
                      <w:b/>
                      <w:i/>
                      <w:sz w:val="25"/>
                      <w:szCs w:val="25"/>
                    </w:rPr>
                    <w:t>euro</w:t>
                  </w:r>
                  <w:r w:rsidRPr="00A14861">
                    <w:rPr>
                      <w:rFonts w:ascii="Times New Roman" w:hAnsi="Times New Roman" w:cs="Times New Roman"/>
                      <w:b/>
                      <w:sz w:val="25"/>
                      <w:szCs w:val="25"/>
                    </w:rPr>
                    <w:t xml:space="preserve"> ar PVN</w:t>
                  </w:r>
                  <w:r w:rsidRPr="00A14861">
                    <w:rPr>
                      <w:rFonts w:ascii="Times New Roman" w:hAnsi="Times New Roman" w:cs="Times New Roman"/>
                      <w:sz w:val="25"/>
                      <w:szCs w:val="25"/>
                    </w:rPr>
                    <w:t>, t.sk.</w:t>
                  </w:r>
                </w:p>
                <w:p w:rsidR="0007065B" w:rsidRPr="00A14861" w:rsidRDefault="0007065B" w:rsidP="0007065B">
                  <w:pPr>
                    <w:pStyle w:val="ListParagraph"/>
                    <w:numPr>
                      <w:ilvl w:val="0"/>
                      <w:numId w:val="2"/>
                    </w:numPr>
                    <w:tabs>
                      <w:tab w:val="left" w:pos="126"/>
                      <w:tab w:val="left" w:pos="410"/>
                    </w:tabs>
                    <w:ind w:left="126" w:firstLine="0"/>
                    <w:rPr>
                      <w:b/>
                      <w:color w:val="auto"/>
                      <w:sz w:val="25"/>
                      <w:szCs w:val="25"/>
                    </w:rPr>
                  </w:pPr>
                  <w:r w:rsidRPr="00A14861">
                    <w:rPr>
                      <w:color w:val="auto"/>
                      <w:sz w:val="25"/>
                      <w:szCs w:val="25"/>
                    </w:rPr>
                    <w:t xml:space="preserve">ACF TM tests: 1 500 testi*68,79 vid. cena </w:t>
                  </w:r>
                  <w:r w:rsidRPr="00A14861">
                    <w:rPr>
                      <w:i/>
                      <w:color w:val="auto"/>
                      <w:sz w:val="25"/>
                      <w:szCs w:val="25"/>
                    </w:rPr>
                    <w:t xml:space="preserve">euro </w:t>
                  </w:r>
                  <w:r w:rsidRPr="00A14861">
                    <w:rPr>
                      <w:color w:val="auto"/>
                      <w:sz w:val="25"/>
                      <w:szCs w:val="25"/>
                    </w:rPr>
                    <w:t>– 103 185 </w:t>
                  </w:r>
                  <w:r w:rsidRPr="00A14861">
                    <w:rPr>
                      <w:i/>
                      <w:color w:val="auto"/>
                      <w:sz w:val="25"/>
                      <w:szCs w:val="25"/>
                    </w:rPr>
                    <w:t>euro</w:t>
                  </w:r>
                  <w:r w:rsidRPr="00A14861">
                    <w:rPr>
                      <w:color w:val="auto"/>
                      <w:sz w:val="25"/>
                      <w:szCs w:val="25"/>
                    </w:rPr>
                    <w:t xml:space="preserve"> gadā (EKK 2341);</w:t>
                  </w:r>
                </w:p>
                <w:p w:rsidR="0007065B" w:rsidRPr="00A14861" w:rsidRDefault="0007065B" w:rsidP="0007065B">
                  <w:pPr>
                    <w:pStyle w:val="ListParagraph"/>
                    <w:numPr>
                      <w:ilvl w:val="0"/>
                      <w:numId w:val="2"/>
                    </w:numPr>
                    <w:tabs>
                      <w:tab w:val="left" w:pos="126"/>
                      <w:tab w:val="left" w:pos="410"/>
                    </w:tabs>
                    <w:ind w:left="126" w:firstLine="0"/>
                    <w:rPr>
                      <w:b/>
                      <w:color w:val="auto"/>
                      <w:sz w:val="25"/>
                      <w:szCs w:val="25"/>
                    </w:rPr>
                  </w:pPr>
                  <w:r w:rsidRPr="00A14861">
                    <w:rPr>
                      <w:color w:val="auto"/>
                      <w:sz w:val="25"/>
                      <w:szCs w:val="25"/>
                    </w:rPr>
                    <w:t xml:space="preserve">BC TM tests: 4 700 testi* 62,86 vid. cena </w:t>
                  </w:r>
                  <w:r w:rsidRPr="00A14861">
                    <w:rPr>
                      <w:i/>
                      <w:color w:val="auto"/>
                      <w:sz w:val="25"/>
                      <w:szCs w:val="25"/>
                    </w:rPr>
                    <w:t>euro</w:t>
                  </w:r>
                  <w:r w:rsidRPr="00A14861">
                    <w:rPr>
                      <w:color w:val="auto"/>
                      <w:sz w:val="25"/>
                      <w:szCs w:val="25"/>
                    </w:rPr>
                    <w:t xml:space="preserve"> – 295 442 </w:t>
                  </w:r>
                  <w:r w:rsidRPr="00A14861">
                    <w:rPr>
                      <w:i/>
                      <w:color w:val="auto"/>
                      <w:sz w:val="25"/>
                      <w:szCs w:val="25"/>
                    </w:rPr>
                    <w:t>euro</w:t>
                  </w:r>
                  <w:r w:rsidRPr="00A14861">
                    <w:rPr>
                      <w:color w:val="auto"/>
                      <w:sz w:val="25"/>
                      <w:szCs w:val="25"/>
                    </w:rPr>
                    <w:t xml:space="preserve"> gadā (EKK 2341).</w:t>
                  </w:r>
                </w:p>
                <w:p w:rsidR="0007065B" w:rsidRPr="00A14861" w:rsidRDefault="0007065B" w:rsidP="0007065B">
                  <w:pPr>
                    <w:tabs>
                      <w:tab w:val="left" w:pos="126"/>
                    </w:tabs>
                    <w:spacing w:after="0" w:line="240" w:lineRule="auto"/>
                    <w:ind w:left="126" w:right="140"/>
                    <w:jc w:val="both"/>
                    <w:rPr>
                      <w:rFonts w:ascii="Times New Roman" w:hAnsi="Times New Roman" w:cs="Times New Roman"/>
                      <w:sz w:val="25"/>
                      <w:szCs w:val="25"/>
                    </w:rPr>
                  </w:pPr>
                  <w:r w:rsidRPr="00A14861">
                    <w:rPr>
                      <w:rFonts w:ascii="Times New Roman" w:eastAsia="Times New Roman" w:hAnsi="Times New Roman" w:cs="Times New Roman"/>
                      <w:sz w:val="25"/>
                      <w:szCs w:val="25"/>
                    </w:rPr>
                    <w:t>Patogēnu inaktivācijas tehnoloģijas ieviešanas papildus izdevumi (2016.</w:t>
                  </w:r>
                  <w:r w:rsidR="0010100F">
                    <w:rPr>
                      <w:rFonts w:ascii="Times New Roman" w:eastAsia="Times New Roman" w:hAnsi="Times New Roman" w:cs="Times New Roman"/>
                      <w:sz w:val="25"/>
                      <w:szCs w:val="25"/>
                    </w:rPr>
                    <w:t xml:space="preserve"> </w:t>
                  </w:r>
                  <w:r w:rsidRPr="00A14861">
                    <w:rPr>
                      <w:rFonts w:ascii="Times New Roman" w:eastAsia="Times New Roman" w:hAnsi="Times New Roman" w:cs="Times New Roman"/>
                      <w:sz w:val="25"/>
                      <w:szCs w:val="25"/>
                    </w:rPr>
                    <w:t xml:space="preserve">gadā – 372 710 </w:t>
                  </w:r>
                  <w:r w:rsidRPr="00A14861">
                    <w:rPr>
                      <w:rFonts w:ascii="Times New Roman" w:eastAsia="Times New Roman" w:hAnsi="Times New Roman" w:cs="Times New Roman"/>
                      <w:i/>
                      <w:sz w:val="25"/>
                      <w:szCs w:val="25"/>
                    </w:rPr>
                    <w:t>euro</w:t>
                  </w:r>
                  <w:r w:rsidRPr="00A14861">
                    <w:rPr>
                      <w:rFonts w:ascii="Times New Roman" w:eastAsia="Times New Roman" w:hAnsi="Times New Roman" w:cs="Times New Roman"/>
                      <w:sz w:val="25"/>
                      <w:szCs w:val="25"/>
                    </w:rPr>
                    <w:t xml:space="preserve"> apmērā; </w:t>
                  </w:r>
                  <w:proofErr w:type="gramStart"/>
                  <w:r w:rsidRPr="00A14861">
                    <w:rPr>
                      <w:rFonts w:ascii="Times New Roman" w:eastAsia="Times New Roman" w:hAnsi="Times New Roman" w:cs="Times New Roman"/>
                      <w:sz w:val="25"/>
                      <w:szCs w:val="25"/>
                    </w:rPr>
                    <w:t>2017.– 2019.</w:t>
                  </w:r>
                  <w:proofErr w:type="gramEnd"/>
                  <w:r w:rsidRPr="00A14861">
                    <w:rPr>
                      <w:rFonts w:ascii="Times New Roman" w:eastAsia="Times New Roman" w:hAnsi="Times New Roman" w:cs="Times New Roman"/>
                      <w:sz w:val="25"/>
                      <w:szCs w:val="25"/>
                    </w:rPr>
                    <w:t xml:space="preserve">gados – 303 130 </w:t>
                  </w:r>
                  <w:r w:rsidRPr="00A14861">
                    <w:rPr>
                      <w:rFonts w:ascii="Times New Roman" w:eastAsia="Times New Roman" w:hAnsi="Times New Roman" w:cs="Times New Roman"/>
                      <w:i/>
                      <w:sz w:val="25"/>
                      <w:szCs w:val="25"/>
                    </w:rPr>
                    <w:t>euro</w:t>
                  </w:r>
                  <w:r w:rsidRPr="00A14861">
                    <w:rPr>
                      <w:rFonts w:ascii="Times New Roman" w:eastAsia="Times New Roman" w:hAnsi="Times New Roman" w:cs="Times New Roman"/>
                      <w:sz w:val="25"/>
                      <w:szCs w:val="25"/>
                    </w:rPr>
                    <w:t xml:space="preserve"> apmērā) tiks nodrošināti no Valsts asinsdonoru centra līdzekļiem.</w:t>
                  </w: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6.1. detalizēts ieņēmumu aprēķins</w:t>
                  </w:r>
                </w:p>
              </w:tc>
              <w:tc>
                <w:tcPr>
                  <w:tcW w:w="6393" w:type="dxa"/>
                  <w:gridSpan w:val="5"/>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r>
            <w:tr w:rsidR="0007065B" w:rsidRPr="00A14861" w:rsidTr="0007065B">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6.2. detalizēts izdevumu aprēķins</w:t>
                  </w:r>
                </w:p>
              </w:tc>
              <w:tc>
                <w:tcPr>
                  <w:tcW w:w="6393" w:type="dxa"/>
                  <w:gridSpan w:val="5"/>
                  <w:vMerge/>
                  <w:tcBorders>
                    <w:top w:val="outset" w:sz="6" w:space="0" w:color="414142"/>
                    <w:left w:val="outset" w:sz="6" w:space="0" w:color="414142"/>
                    <w:bottom w:val="outset" w:sz="6" w:space="0" w:color="414142"/>
                    <w:right w:val="outset" w:sz="6" w:space="0" w:color="414142"/>
                  </w:tcBorders>
                  <w:vAlign w:val="center"/>
                  <w:hideMark/>
                </w:tcPr>
                <w:p w:rsidR="0007065B" w:rsidRPr="00A14861" w:rsidRDefault="0007065B" w:rsidP="0007065B">
                  <w:pPr>
                    <w:spacing w:after="0" w:line="240" w:lineRule="auto"/>
                    <w:rPr>
                      <w:rFonts w:ascii="Times New Roman" w:eastAsia="Times New Roman" w:hAnsi="Times New Roman" w:cs="Times New Roman"/>
                      <w:sz w:val="25"/>
                      <w:szCs w:val="25"/>
                    </w:rPr>
                  </w:pPr>
                </w:p>
              </w:tc>
            </w:tr>
            <w:tr w:rsidR="0007065B" w:rsidRPr="00A14861" w:rsidTr="0007065B">
              <w:trPr>
                <w:trHeight w:val="555"/>
              </w:trPr>
              <w:tc>
                <w:tcPr>
                  <w:tcW w:w="2813" w:type="dxa"/>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7. Cita informācija</w:t>
                  </w:r>
                </w:p>
              </w:tc>
              <w:tc>
                <w:tcPr>
                  <w:tcW w:w="6393" w:type="dxa"/>
                  <w:gridSpan w:val="5"/>
                  <w:tcBorders>
                    <w:top w:val="outset" w:sz="6" w:space="0" w:color="414142"/>
                    <w:left w:val="outset" w:sz="6" w:space="0" w:color="414142"/>
                    <w:bottom w:val="outset" w:sz="6" w:space="0" w:color="414142"/>
                    <w:right w:val="outset" w:sz="6" w:space="0" w:color="414142"/>
                  </w:tcBorders>
                  <w:hideMark/>
                </w:tcPr>
                <w:p w:rsidR="0007065B" w:rsidRPr="00A14861" w:rsidRDefault="0007065B" w:rsidP="0007065B">
                  <w:pPr>
                    <w:spacing w:after="0" w:line="240" w:lineRule="auto"/>
                    <w:ind w:left="156" w:right="140"/>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projektā paredzētos pasākumus Veselības ministrija un Valsts asinsdonoru centrs nodrošinās tām piešķirto valsts budžeta līdzekļu ietvaros un Zāļu valsts aģentūra nodrošinās sava budžeta līdzekļu ietvaros.</w:t>
                  </w:r>
                </w:p>
              </w:tc>
            </w:tr>
          </w:tbl>
          <w:p w:rsidR="0007065B" w:rsidRPr="00A14861" w:rsidRDefault="0007065B" w:rsidP="00A823B4">
            <w:pPr>
              <w:spacing w:after="0" w:line="240" w:lineRule="auto"/>
              <w:rPr>
                <w:rFonts w:ascii="Times New Roman" w:eastAsia="Times New Roman" w:hAnsi="Times New Roman" w:cs="Times New Roman"/>
                <w:b/>
                <w:sz w:val="25"/>
                <w:szCs w:val="25"/>
              </w:rPr>
            </w:pPr>
          </w:p>
          <w:p w:rsidR="0007065B" w:rsidRPr="00A14861" w:rsidRDefault="0007065B" w:rsidP="0007065B">
            <w:pPr>
              <w:spacing w:after="0" w:line="240" w:lineRule="auto"/>
              <w:ind w:left="-80"/>
              <w:rPr>
                <w:rFonts w:ascii="Times New Roman" w:eastAsia="Times New Roman" w:hAnsi="Times New Roman" w:cs="Times New Roman"/>
                <w:b/>
                <w:sz w:val="25"/>
                <w:szCs w:val="25"/>
              </w:rPr>
            </w:pPr>
          </w:p>
        </w:tc>
        <w:tc>
          <w:tcPr>
            <w:tcW w:w="43" w:type="pct"/>
            <w:tcBorders>
              <w:top w:val="single" w:sz="4" w:space="0" w:color="auto"/>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tc>
      </w:tr>
      <w:tr w:rsidR="003564BF" w:rsidRPr="00A14861" w:rsidTr="0007065B">
        <w:tblPrEx>
          <w:jc w:val="center"/>
        </w:tblPrEx>
        <w:trPr>
          <w:gridBefore w:val="2"/>
          <w:gridAfter w:val="1"/>
          <w:wBefore w:w="63" w:type="pct"/>
          <w:wAfter w:w="43" w:type="pct"/>
          <w:trHeight w:val="450"/>
          <w:jc w:val="center"/>
        </w:trPr>
        <w:tc>
          <w:tcPr>
            <w:tcW w:w="4894"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lastRenderedPageBreak/>
              <w:t>IV. Tiesību akta projekta ietekme uz spēkā esošo tiesību normu sistēmu</w:t>
            </w:r>
          </w:p>
        </w:tc>
      </w:tr>
      <w:tr w:rsidR="003564BF" w:rsidRPr="00A14861" w:rsidTr="0007065B">
        <w:tblPrEx>
          <w:jc w:val="center"/>
        </w:tblPrEx>
        <w:trPr>
          <w:gridBefore w:val="2"/>
          <w:gridAfter w:val="1"/>
          <w:wBefore w:w="63" w:type="pct"/>
          <w:wAfter w:w="43" w:type="pct"/>
          <w:jc w:val="center"/>
        </w:trPr>
        <w:tc>
          <w:tcPr>
            <w:tcW w:w="183"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42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Nepieciešamie saistītie tiesību aktu projekti</w:t>
            </w:r>
          </w:p>
        </w:tc>
        <w:tc>
          <w:tcPr>
            <w:tcW w:w="3290" w:type="pct"/>
            <w:tcBorders>
              <w:top w:val="outset" w:sz="6" w:space="0" w:color="414142"/>
              <w:left w:val="outset" w:sz="6" w:space="0" w:color="414142"/>
              <w:bottom w:val="outset" w:sz="6" w:space="0" w:color="414142"/>
              <w:right w:val="outset" w:sz="6" w:space="0" w:color="414142"/>
            </w:tcBorders>
            <w:hideMark/>
          </w:tcPr>
          <w:p w:rsidR="00635A5B" w:rsidRPr="0010100F" w:rsidRDefault="00D6354B" w:rsidP="00961DAD">
            <w:pPr>
              <w:spacing w:after="0" w:line="240" w:lineRule="auto"/>
              <w:ind w:left="156" w:right="140"/>
              <w:jc w:val="both"/>
              <w:rPr>
                <w:rFonts w:ascii="Times New Roman" w:eastAsia="Times New Roman" w:hAnsi="Times New Roman" w:cs="Times New Roman"/>
                <w:sz w:val="25"/>
                <w:szCs w:val="25"/>
              </w:rPr>
            </w:pPr>
            <w:r w:rsidRPr="0010100F">
              <w:rPr>
                <w:rFonts w:ascii="Times New Roman" w:eastAsia="Times New Roman" w:hAnsi="Times New Roman" w:cs="Times New Roman"/>
                <w:sz w:val="25"/>
                <w:szCs w:val="25"/>
              </w:rPr>
              <w:t xml:space="preserve">Lai precizētu Valsts asinsdonoru centra </w:t>
            </w:r>
            <w:r w:rsidR="00961DAD" w:rsidRPr="0010100F">
              <w:rPr>
                <w:rFonts w:ascii="Times New Roman" w:eastAsia="Times New Roman" w:hAnsi="Times New Roman" w:cs="Times New Roman"/>
                <w:sz w:val="25"/>
                <w:szCs w:val="25"/>
              </w:rPr>
              <w:t xml:space="preserve">darbības </w:t>
            </w:r>
            <w:r w:rsidRPr="0010100F">
              <w:rPr>
                <w:rFonts w:ascii="Times New Roman" w:eastAsia="Times New Roman" w:hAnsi="Times New Roman" w:cs="Times New Roman"/>
                <w:sz w:val="25"/>
                <w:szCs w:val="25"/>
              </w:rPr>
              <w:t xml:space="preserve">mērķi un funkcijas atbilstoši </w:t>
            </w:r>
            <w:r w:rsidR="00EE42B6" w:rsidRPr="0010100F">
              <w:rPr>
                <w:rFonts w:ascii="Times New Roman" w:eastAsia="Times New Roman" w:hAnsi="Times New Roman" w:cs="Times New Roman"/>
                <w:sz w:val="25"/>
                <w:szCs w:val="25"/>
              </w:rPr>
              <w:t xml:space="preserve">noteikumu projektā </w:t>
            </w:r>
            <w:r w:rsidRPr="0010100F">
              <w:rPr>
                <w:rFonts w:ascii="Times New Roman" w:eastAsia="Times New Roman" w:hAnsi="Times New Roman" w:cs="Times New Roman"/>
                <w:sz w:val="25"/>
                <w:szCs w:val="25"/>
              </w:rPr>
              <w:t>paredzētajam</w:t>
            </w:r>
            <w:r w:rsidR="00E81845" w:rsidRPr="0010100F">
              <w:rPr>
                <w:rFonts w:ascii="Times New Roman" w:eastAsia="Times New Roman" w:hAnsi="Times New Roman" w:cs="Times New Roman"/>
                <w:sz w:val="25"/>
                <w:szCs w:val="25"/>
              </w:rPr>
              <w:t xml:space="preserve"> tiesību normām</w:t>
            </w:r>
            <w:r w:rsidR="00EE42B6" w:rsidRPr="0010100F">
              <w:rPr>
                <w:rFonts w:ascii="Times New Roman" w:eastAsia="Times New Roman" w:hAnsi="Times New Roman" w:cs="Times New Roman"/>
                <w:sz w:val="25"/>
                <w:szCs w:val="25"/>
              </w:rPr>
              <w:t xml:space="preserve">, </w:t>
            </w:r>
            <w:r w:rsidRPr="0010100F">
              <w:rPr>
                <w:rFonts w:ascii="Times New Roman" w:eastAsia="Times New Roman" w:hAnsi="Times New Roman" w:cs="Times New Roman"/>
                <w:sz w:val="25"/>
                <w:szCs w:val="25"/>
              </w:rPr>
              <w:t>ir izstrādāts un 2016. gada 28. janvāra</w:t>
            </w:r>
            <w:r w:rsidR="00EE42B6" w:rsidRPr="0010100F">
              <w:rPr>
                <w:rFonts w:ascii="Times New Roman" w:eastAsia="Times New Roman" w:hAnsi="Times New Roman" w:cs="Times New Roman"/>
                <w:sz w:val="25"/>
                <w:szCs w:val="25"/>
              </w:rPr>
              <w:t xml:space="preserve"> </w:t>
            </w:r>
            <w:r w:rsidRPr="0010100F">
              <w:rPr>
                <w:rFonts w:ascii="Times New Roman" w:eastAsia="Times New Roman" w:hAnsi="Times New Roman" w:cs="Times New Roman"/>
                <w:sz w:val="25"/>
                <w:szCs w:val="25"/>
              </w:rPr>
              <w:t xml:space="preserve">Valsts sekretāru sanāksmē </w:t>
            </w:r>
            <w:proofErr w:type="gramStart"/>
            <w:r w:rsidRPr="0010100F">
              <w:rPr>
                <w:rFonts w:ascii="Times New Roman" w:eastAsia="Times New Roman" w:hAnsi="Times New Roman" w:cs="Times New Roman"/>
                <w:sz w:val="25"/>
                <w:szCs w:val="25"/>
              </w:rPr>
              <w:t>(</w:t>
            </w:r>
            <w:proofErr w:type="gramEnd"/>
            <w:r w:rsidRPr="0010100F">
              <w:rPr>
                <w:rFonts w:ascii="Times New Roman" w:eastAsia="Times New Roman" w:hAnsi="Times New Roman" w:cs="Times New Roman"/>
                <w:sz w:val="25"/>
                <w:szCs w:val="25"/>
              </w:rPr>
              <w:t>prot. Nr. 4 14.§ (VSS – 75)) izsludināts Ministru kabineta noteikumu projekts „G</w:t>
            </w:r>
            <w:r w:rsidR="00EE42B6" w:rsidRPr="0010100F">
              <w:rPr>
                <w:rFonts w:ascii="Times New Roman" w:eastAsia="Times New Roman" w:hAnsi="Times New Roman" w:cs="Times New Roman"/>
                <w:sz w:val="25"/>
                <w:szCs w:val="25"/>
              </w:rPr>
              <w:t xml:space="preserve">rozījumi </w:t>
            </w:r>
            <w:r w:rsidR="00635A5B" w:rsidRPr="0010100F">
              <w:rPr>
                <w:rFonts w:ascii="Times New Roman" w:eastAsia="Times New Roman" w:hAnsi="Times New Roman" w:cs="Times New Roman"/>
                <w:sz w:val="25"/>
                <w:szCs w:val="25"/>
              </w:rPr>
              <w:t>Ministru kabineta</w:t>
            </w:r>
            <w:r w:rsidR="00EE42B6" w:rsidRPr="0010100F">
              <w:rPr>
                <w:rFonts w:ascii="Times New Roman" w:eastAsia="Times New Roman" w:hAnsi="Times New Roman" w:cs="Times New Roman"/>
                <w:sz w:val="25"/>
                <w:szCs w:val="25"/>
              </w:rPr>
              <w:t xml:space="preserve"> 2005.</w:t>
            </w:r>
            <w:r w:rsidR="00CD5CAC" w:rsidRPr="0010100F">
              <w:rPr>
                <w:rFonts w:ascii="Times New Roman" w:eastAsia="Times New Roman" w:hAnsi="Times New Roman" w:cs="Times New Roman"/>
                <w:sz w:val="25"/>
                <w:szCs w:val="25"/>
              </w:rPr>
              <w:t xml:space="preserve"> </w:t>
            </w:r>
            <w:r w:rsidR="00EE42B6" w:rsidRPr="0010100F">
              <w:rPr>
                <w:rFonts w:ascii="Times New Roman" w:eastAsia="Times New Roman" w:hAnsi="Times New Roman" w:cs="Times New Roman"/>
                <w:sz w:val="25"/>
                <w:szCs w:val="25"/>
              </w:rPr>
              <w:t>gada 2</w:t>
            </w:r>
            <w:r w:rsidR="009800C9" w:rsidRPr="0010100F">
              <w:rPr>
                <w:rFonts w:ascii="Times New Roman" w:eastAsia="Times New Roman" w:hAnsi="Times New Roman" w:cs="Times New Roman"/>
                <w:sz w:val="25"/>
                <w:szCs w:val="25"/>
              </w:rPr>
              <w:t>2</w:t>
            </w:r>
            <w:r w:rsidR="00EE42B6" w:rsidRPr="0010100F">
              <w:rPr>
                <w:rFonts w:ascii="Times New Roman" w:eastAsia="Times New Roman" w:hAnsi="Times New Roman" w:cs="Times New Roman"/>
                <w:sz w:val="25"/>
                <w:szCs w:val="25"/>
              </w:rPr>
              <w:t>.</w:t>
            </w:r>
            <w:r w:rsidR="00CD5CAC" w:rsidRPr="0010100F">
              <w:rPr>
                <w:rFonts w:ascii="Times New Roman" w:eastAsia="Times New Roman" w:hAnsi="Times New Roman" w:cs="Times New Roman"/>
                <w:sz w:val="25"/>
                <w:szCs w:val="25"/>
              </w:rPr>
              <w:t xml:space="preserve"> </w:t>
            </w:r>
            <w:r w:rsidR="009800C9" w:rsidRPr="0010100F">
              <w:rPr>
                <w:rFonts w:ascii="Times New Roman" w:eastAsia="Times New Roman" w:hAnsi="Times New Roman" w:cs="Times New Roman"/>
                <w:sz w:val="25"/>
                <w:szCs w:val="25"/>
              </w:rPr>
              <w:t>februāra</w:t>
            </w:r>
            <w:r w:rsidR="00EE42B6" w:rsidRPr="0010100F">
              <w:rPr>
                <w:rFonts w:ascii="Times New Roman" w:eastAsia="Times New Roman" w:hAnsi="Times New Roman" w:cs="Times New Roman"/>
                <w:sz w:val="25"/>
                <w:szCs w:val="25"/>
              </w:rPr>
              <w:t xml:space="preserve"> noteikumos</w:t>
            </w:r>
            <w:r w:rsidR="00635A5B" w:rsidRPr="0010100F">
              <w:rPr>
                <w:rFonts w:ascii="Times New Roman" w:eastAsia="Times New Roman" w:hAnsi="Times New Roman" w:cs="Times New Roman"/>
                <w:sz w:val="25"/>
                <w:szCs w:val="25"/>
              </w:rPr>
              <w:t xml:space="preserve"> Nr.1</w:t>
            </w:r>
            <w:r w:rsidR="009800C9" w:rsidRPr="0010100F">
              <w:rPr>
                <w:rFonts w:ascii="Times New Roman" w:eastAsia="Times New Roman" w:hAnsi="Times New Roman" w:cs="Times New Roman"/>
                <w:sz w:val="25"/>
                <w:szCs w:val="25"/>
              </w:rPr>
              <w:t>38</w:t>
            </w:r>
            <w:r w:rsidR="00635A5B" w:rsidRPr="0010100F">
              <w:rPr>
                <w:rFonts w:ascii="Times New Roman" w:eastAsia="Times New Roman" w:hAnsi="Times New Roman" w:cs="Times New Roman"/>
                <w:sz w:val="25"/>
                <w:szCs w:val="25"/>
              </w:rPr>
              <w:t xml:space="preserve"> „</w:t>
            </w:r>
            <w:r w:rsidR="009800C9" w:rsidRPr="0010100F">
              <w:rPr>
                <w:rFonts w:ascii="Times New Roman" w:eastAsia="Times New Roman" w:hAnsi="Times New Roman" w:cs="Times New Roman"/>
                <w:sz w:val="25"/>
                <w:szCs w:val="25"/>
              </w:rPr>
              <w:t>Valsts asins</w:t>
            </w:r>
            <w:r w:rsidR="00CD5CAC" w:rsidRPr="0010100F">
              <w:rPr>
                <w:rFonts w:ascii="Times New Roman" w:eastAsia="Times New Roman" w:hAnsi="Times New Roman" w:cs="Times New Roman"/>
                <w:sz w:val="25"/>
                <w:szCs w:val="25"/>
              </w:rPr>
              <w:t>donoru</w:t>
            </w:r>
            <w:r w:rsidR="009800C9" w:rsidRPr="0010100F">
              <w:rPr>
                <w:rFonts w:ascii="Times New Roman" w:eastAsia="Times New Roman" w:hAnsi="Times New Roman" w:cs="Times New Roman"/>
                <w:sz w:val="25"/>
                <w:szCs w:val="25"/>
              </w:rPr>
              <w:t xml:space="preserve"> centra nolikums</w:t>
            </w:r>
            <w:r w:rsidR="00635A5B" w:rsidRPr="0010100F">
              <w:rPr>
                <w:rFonts w:ascii="Times New Roman" w:eastAsia="Times New Roman" w:hAnsi="Times New Roman" w:cs="Times New Roman"/>
                <w:sz w:val="25"/>
                <w:szCs w:val="25"/>
              </w:rPr>
              <w:t>”</w:t>
            </w:r>
            <w:r w:rsidR="00961DAD" w:rsidRPr="0010100F">
              <w:rPr>
                <w:rFonts w:ascii="Times New Roman" w:eastAsia="Times New Roman" w:hAnsi="Times New Roman" w:cs="Times New Roman"/>
                <w:sz w:val="25"/>
                <w:szCs w:val="25"/>
              </w:rPr>
              <w:t>”</w:t>
            </w:r>
          </w:p>
        </w:tc>
      </w:tr>
      <w:tr w:rsidR="003564BF" w:rsidRPr="00A14861" w:rsidTr="0007065B">
        <w:tblPrEx>
          <w:jc w:val="center"/>
        </w:tblPrEx>
        <w:trPr>
          <w:gridBefore w:val="2"/>
          <w:gridAfter w:val="1"/>
          <w:wBefore w:w="63" w:type="pct"/>
          <w:wAfter w:w="43" w:type="pct"/>
          <w:jc w:val="center"/>
        </w:trPr>
        <w:tc>
          <w:tcPr>
            <w:tcW w:w="183"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42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Atbildīgā institūcija</w:t>
            </w:r>
          </w:p>
        </w:tc>
        <w:tc>
          <w:tcPr>
            <w:tcW w:w="3290" w:type="pct"/>
            <w:tcBorders>
              <w:top w:val="outset" w:sz="6" w:space="0" w:color="414142"/>
              <w:left w:val="outset" w:sz="6" w:space="0" w:color="414142"/>
              <w:bottom w:val="outset" w:sz="6" w:space="0" w:color="414142"/>
              <w:right w:val="outset" w:sz="6" w:space="0" w:color="414142"/>
            </w:tcBorders>
            <w:hideMark/>
          </w:tcPr>
          <w:p w:rsidR="003564BF" w:rsidRPr="00A14861" w:rsidRDefault="00635A5B" w:rsidP="00EE43BC">
            <w:pPr>
              <w:spacing w:after="0" w:line="240" w:lineRule="auto"/>
              <w:ind w:left="156"/>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Veselības ministrija</w:t>
            </w:r>
          </w:p>
        </w:tc>
      </w:tr>
      <w:tr w:rsidR="003564BF" w:rsidRPr="00A14861" w:rsidTr="0007065B">
        <w:tblPrEx>
          <w:jc w:val="center"/>
        </w:tblPrEx>
        <w:trPr>
          <w:gridBefore w:val="2"/>
          <w:gridAfter w:val="1"/>
          <w:wBefore w:w="63" w:type="pct"/>
          <w:wAfter w:w="43" w:type="pct"/>
          <w:jc w:val="center"/>
        </w:trPr>
        <w:tc>
          <w:tcPr>
            <w:tcW w:w="183"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42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290" w:type="pct"/>
            <w:tcBorders>
              <w:top w:val="outset" w:sz="6" w:space="0" w:color="414142"/>
              <w:left w:val="outset" w:sz="6" w:space="0" w:color="414142"/>
              <w:bottom w:val="outset" w:sz="6" w:space="0" w:color="414142"/>
              <w:right w:val="outset" w:sz="6" w:space="0" w:color="414142"/>
            </w:tcBorders>
            <w:hideMark/>
          </w:tcPr>
          <w:p w:rsidR="003564BF" w:rsidRPr="00A14861" w:rsidRDefault="00A35A39" w:rsidP="00EE43BC">
            <w:pPr>
              <w:spacing w:after="0" w:line="240" w:lineRule="auto"/>
              <w:ind w:firstLine="156"/>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p w:rsidR="003564BF" w:rsidRPr="00A14861" w:rsidRDefault="003564BF" w:rsidP="00A823B4">
      <w:pPr>
        <w:shd w:val="clear" w:color="auto" w:fill="FFFFFF"/>
        <w:spacing w:after="0" w:line="240" w:lineRule="auto"/>
        <w:rPr>
          <w:rFonts w:ascii="Times New Roman" w:eastAsia="Times New Roman" w:hAnsi="Times New Roman" w:cs="Times New Roman"/>
          <w:sz w:val="25"/>
          <w:szCs w:val="25"/>
        </w:rPr>
      </w:pPr>
    </w:p>
    <w:tbl>
      <w:tblPr>
        <w:tblW w:w="9240" w:type="dxa"/>
        <w:jc w:val="center"/>
        <w:tblInd w:w="327"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01"/>
        <w:gridCol w:w="1554"/>
        <w:gridCol w:w="267"/>
        <w:gridCol w:w="839"/>
        <w:gridCol w:w="905"/>
        <w:gridCol w:w="1236"/>
        <w:gridCol w:w="1298"/>
        <w:gridCol w:w="2840"/>
      </w:tblGrid>
      <w:tr w:rsidR="00C32444" w:rsidRPr="00A14861" w:rsidTr="00816743">
        <w:trPr>
          <w:jc w:val="center"/>
        </w:trPr>
        <w:tc>
          <w:tcPr>
            <w:tcW w:w="9240" w:type="dxa"/>
            <w:gridSpan w:val="8"/>
            <w:tcBorders>
              <w:top w:val="outset" w:sz="6" w:space="0" w:color="auto"/>
              <w:bottom w:val="outset" w:sz="6" w:space="0" w:color="auto"/>
            </w:tcBorders>
            <w:vAlign w:val="center"/>
          </w:tcPr>
          <w:p w:rsidR="00C32444" w:rsidRPr="00A14861" w:rsidRDefault="00C32444" w:rsidP="00C32444">
            <w:pPr>
              <w:spacing w:after="0" w:line="240" w:lineRule="auto"/>
              <w:jc w:val="center"/>
              <w:rPr>
                <w:rFonts w:ascii="Times New Roman" w:eastAsia="Times New Roman" w:hAnsi="Times New Roman" w:cs="Times New Roman"/>
                <w:b/>
                <w:sz w:val="25"/>
                <w:szCs w:val="25"/>
                <w:lang w:eastAsia="en-US"/>
              </w:rPr>
            </w:pPr>
            <w:r w:rsidRPr="00A14861">
              <w:rPr>
                <w:rFonts w:ascii="Times New Roman" w:eastAsia="Times New Roman" w:hAnsi="Times New Roman" w:cs="Times New Roman"/>
                <w:b/>
                <w:sz w:val="25"/>
                <w:szCs w:val="25"/>
                <w:lang w:eastAsia="en-US"/>
              </w:rPr>
              <w:t>V. Tiesību akta projekta atbilstība Latvijas Republikas starptautiskajām saistībām</w:t>
            </w:r>
          </w:p>
        </w:tc>
      </w:tr>
      <w:tr w:rsidR="00C32444" w:rsidRPr="00A14861" w:rsidTr="00816743">
        <w:trPr>
          <w:jc w:val="center"/>
        </w:trPr>
        <w:tc>
          <w:tcPr>
            <w:tcW w:w="294" w:type="dxa"/>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1.</w:t>
            </w:r>
          </w:p>
        </w:tc>
        <w:tc>
          <w:tcPr>
            <w:tcW w:w="2660"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Saistības pret Eiropas Savienību</w:t>
            </w:r>
          </w:p>
        </w:tc>
        <w:tc>
          <w:tcPr>
            <w:tcW w:w="6286" w:type="dxa"/>
            <w:gridSpan w:val="4"/>
            <w:tcBorders>
              <w:top w:val="outset" w:sz="6" w:space="0" w:color="auto"/>
              <w:left w:val="outset" w:sz="6" w:space="0" w:color="auto"/>
              <w:bottom w:val="outset" w:sz="6" w:space="0" w:color="auto"/>
            </w:tcBorders>
          </w:tcPr>
          <w:p w:rsidR="00C32444" w:rsidRPr="00A14861" w:rsidRDefault="00C32444" w:rsidP="00D9147B">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A14861">
              <w:rPr>
                <w:rFonts w:ascii="Times New Roman" w:eastAsia="Times New Roman" w:hAnsi="Times New Roman" w:cs="Times New Roman"/>
                <w:color w:val="000000"/>
                <w:sz w:val="25"/>
                <w:szCs w:val="25"/>
              </w:rPr>
              <w:t xml:space="preserve">Noteikumu projekts nodrošina </w:t>
            </w:r>
            <w:r w:rsidRPr="00A14861">
              <w:rPr>
                <w:rFonts w:ascii="Times New Roman" w:hAnsi="Times New Roman" w:cs="Times New Roman"/>
                <w:sz w:val="25"/>
                <w:szCs w:val="25"/>
              </w:rPr>
              <w:t>Direktīvas 2002/98/EK</w:t>
            </w:r>
            <w:r w:rsidRPr="00A14861">
              <w:rPr>
                <w:rFonts w:ascii="Times New Roman" w:eastAsia="Calibri" w:hAnsi="Times New Roman" w:cs="Times New Roman"/>
                <w:color w:val="FF0000"/>
                <w:sz w:val="25"/>
                <w:szCs w:val="25"/>
                <w:lang w:eastAsia="en-US"/>
              </w:rPr>
              <w:t xml:space="preserve"> </w:t>
            </w:r>
            <w:r w:rsidRPr="00A14861">
              <w:rPr>
                <w:rFonts w:ascii="Times New Roman" w:eastAsia="Times New Roman" w:hAnsi="Times New Roman" w:cs="Times New Roman"/>
                <w:color w:val="000000"/>
                <w:sz w:val="25"/>
                <w:szCs w:val="25"/>
              </w:rPr>
              <w:t>normu prasību izpildi nacionālā līmenī.</w:t>
            </w:r>
            <w:r w:rsidR="00650FDB" w:rsidRPr="00A14861">
              <w:rPr>
                <w:rFonts w:ascii="Times New Roman" w:eastAsia="Times New Roman" w:hAnsi="Times New Roman" w:cs="Times New Roman"/>
                <w:color w:val="000000"/>
                <w:sz w:val="25"/>
                <w:szCs w:val="25"/>
              </w:rPr>
              <w:t xml:space="preserve"> </w:t>
            </w:r>
          </w:p>
        </w:tc>
      </w:tr>
      <w:tr w:rsidR="00C32444" w:rsidRPr="00A14861" w:rsidTr="00816743">
        <w:trPr>
          <w:jc w:val="center"/>
        </w:trPr>
        <w:tc>
          <w:tcPr>
            <w:tcW w:w="294" w:type="dxa"/>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2.</w:t>
            </w:r>
          </w:p>
        </w:tc>
        <w:tc>
          <w:tcPr>
            <w:tcW w:w="2660"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Citas starptautiskās saistības</w:t>
            </w:r>
          </w:p>
        </w:tc>
        <w:tc>
          <w:tcPr>
            <w:tcW w:w="6286" w:type="dxa"/>
            <w:gridSpan w:val="4"/>
            <w:tcBorders>
              <w:top w:val="outset" w:sz="6" w:space="0" w:color="auto"/>
              <w:left w:val="outset" w:sz="6" w:space="0" w:color="auto"/>
              <w:bottom w:val="outset" w:sz="6" w:space="0" w:color="auto"/>
            </w:tcBorders>
          </w:tcPr>
          <w:p w:rsidR="00C32444" w:rsidRPr="00A14861" w:rsidRDefault="00904C60" w:rsidP="00904C60">
            <w:pPr>
              <w:spacing w:after="0" w:line="240" w:lineRule="auto"/>
              <w:jc w:val="both"/>
              <w:rPr>
                <w:rFonts w:ascii="Times New Roman" w:eastAsia="Times New Roman" w:hAnsi="Times New Roman" w:cs="Times New Roman"/>
                <w:sz w:val="25"/>
                <w:szCs w:val="25"/>
                <w:lang w:eastAsia="en-US"/>
              </w:rPr>
            </w:pPr>
            <w:r>
              <w:rPr>
                <w:rFonts w:ascii="Times New Roman" w:eastAsia="Times New Roman" w:hAnsi="Times New Roman" w:cs="Times New Roman"/>
                <w:sz w:val="25"/>
                <w:szCs w:val="25"/>
                <w:lang w:eastAsia="en-US"/>
              </w:rPr>
              <w:t>Noteikumu p</w:t>
            </w:r>
            <w:r w:rsidR="00C32444" w:rsidRPr="00A14861">
              <w:rPr>
                <w:rFonts w:ascii="Times New Roman" w:eastAsia="Times New Roman" w:hAnsi="Times New Roman" w:cs="Times New Roman"/>
                <w:sz w:val="25"/>
                <w:szCs w:val="25"/>
                <w:lang w:eastAsia="en-US"/>
              </w:rPr>
              <w:t>rojekts šo jomu neskar</w:t>
            </w:r>
          </w:p>
        </w:tc>
      </w:tr>
      <w:tr w:rsidR="00C32444" w:rsidRPr="00A14861" w:rsidTr="00816743">
        <w:trPr>
          <w:jc w:val="center"/>
        </w:trPr>
        <w:tc>
          <w:tcPr>
            <w:tcW w:w="294" w:type="dxa"/>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3.</w:t>
            </w:r>
          </w:p>
        </w:tc>
        <w:tc>
          <w:tcPr>
            <w:tcW w:w="2660"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Cita informācija</w:t>
            </w:r>
          </w:p>
        </w:tc>
        <w:tc>
          <w:tcPr>
            <w:tcW w:w="6286" w:type="dxa"/>
            <w:gridSpan w:val="4"/>
            <w:tcBorders>
              <w:top w:val="outset" w:sz="6" w:space="0" w:color="auto"/>
              <w:left w:val="outset" w:sz="6" w:space="0" w:color="auto"/>
              <w:bottom w:val="outset" w:sz="6" w:space="0" w:color="auto"/>
            </w:tcBorders>
          </w:tcPr>
          <w:p w:rsidR="00C32444" w:rsidRPr="00A14861" w:rsidRDefault="00904C60" w:rsidP="00904C60">
            <w:pPr>
              <w:spacing w:after="0" w:line="240" w:lineRule="auto"/>
              <w:jc w:val="both"/>
              <w:rPr>
                <w:rFonts w:ascii="Times New Roman" w:eastAsia="Times New Roman" w:hAnsi="Times New Roman" w:cs="Times New Roman"/>
                <w:sz w:val="25"/>
                <w:szCs w:val="25"/>
                <w:lang w:eastAsia="en-US"/>
              </w:rPr>
            </w:pPr>
            <w:r>
              <w:rPr>
                <w:rFonts w:ascii="Times New Roman" w:eastAsia="Times New Roman" w:hAnsi="Times New Roman" w:cs="Times New Roman"/>
                <w:sz w:val="25"/>
                <w:szCs w:val="25"/>
                <w:lang w:eastAsia="en-US"/>
              </w:rPr>
              <w:t>Noteikumu p</w:t>
            </w:r>
            <w:r w:rsidR="00C32444" w:rsidRPr="00A14861">
              <w:rPr>
                <w:rFonts w:ascii="Times New Roman" w:eastAsia="Times New Roman" w:hAnsi="Times New Roman" w:cs="Times New Roman"/>
                <w:sz w:val="25"/>
                <w:szCs w:val="25"/>
                <w:lang w:eastAsia="en-US"/>
              </w:rPr>
              <w:t>rojekts šo jomu neskar</w:t>
            </w:r>
          </w:p>
        </w:tc>
      </w:tr>
      <w:tr w:rsidR="00C32444" w:rsidRPr="00A14861" w:rsidTr="00816743">
        <w:trPr>
          <w:jc w:val="center"/>
        </w:trPr>
        <w:tc>
          <w:tcPr>
            <w:tcW w:w="9240" w:type="dxa"/>
            <w:gridSpan w:val="8"/>
            <w:tcBorders>
              <w:top w:val="outset" w:sz="6" w:space="0" w:color="auto"/>
              <w:bottom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b/>
                <w:sz w:val="25"/>
                <w:szCs w:val="25"/>
                <w:lang w:eastAsia="en-US"/>
              </w:rPr>
            </w:pPr>
            <w:r w:rsidRPr="00A14861">
              <w:rPr>
                <w:rFonts w:ascii="Times New Roman" w:eastAsia="Times New Roman" w:hAnsi="Times New Roman" w:cs="Times New Roman"/>
                <w:b/>
                <w:sz w:val="25"/>
                <w:szCs w:val="25"/>
                <w:lang w:eastAsia="en-US"/>
              </w:rPr>
              <w:t>1.tabula</w:t>
            </w:r>
          </w:p>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b/>
                <w:sz w:val="25"/>
                <w:szCs w:val="25"/>
                <w:lang w:eastAsia="en-US"/>
              </w:rPr>
              <w:t>Tiesību akta projekta atbilstība ES tiesību aktiem</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 xml:space="preserve">Attiecīgā ES tiesību akta </w:t>
            </w:r>
            <w:r w:rsidRPr="00A14861">
              <w:rPr>
                <w:rFonts w:ascii="Times New Roman" w:eastAsia="Times New Roman" w:hAnsi="Times New Roman" w:cs="Times New Roman"/>
                <w:sz w:val="25"/>
                <w:szCs w:val="25"/>
                <w:lang w:eastAsia="en-US"/>
              </w:rPr>
              <w:lastRenderedPageBreak/>
              <w:t>datums, numurs un nosaukums</w:t>
            </w:r>
          </w:p>
        </w:tc>
        <w:tc>
          <w:tcPr>
            <w:tcW w:w="7392" w:type="dxa"/>
            <w:gridSpan w:val="6"/>
            <w:tcBorders>
              <w:top w:val="outset" w:sz="6" w:space="0" w:color="auto"/>
              <w:left w:val="outset" w:sz="6" w:space="0" w:color="auto"/>
              <w:bottom w:val="outset" w:sz="6" w:space="0" w:color="auto"/>
            </w:tcBorders>
          </w:tcPr>
          <w:p w:rsidR="00C32444" w:rsidRPr="00A14861" w:rsidRDefault="00650FDB" w:rsidP="00650FDB">
            <w:pPr>
              <w:autoSpaceDE w:val="0"/>
              <w:autoSpaceDN w:val="0"/>
              <w:adjustRightInd w:val="0"/>
              <w:spacing w:after="0" w:line="240" w:lineRule="auto"/>
              <w:ind w:left="135" w:right="140"/>
              <w:jc w:val="both"/>
              <w:rPr>
                <w:rFonts w:ascii="Times New Roman" w:hAnsi="Times New Roman" w:cs="Times New Roman"/>
                <w:bCs/>
                <w:sz w:val="25"/>
                <w:szCs w:val="25"/>
              </w:rPr>
            </w:pPr>
            <w:r w:rsidRPr="00A14861">
              <w:rPr>
                <w:rFonts w:ascii="Times New Roman" w:hAnsi="Times New Roman" w:cs="Times New Roman"/>
                <w:sz w:val="25"/>
                <w:szCs w:val="25"/>
              </w:rPr>
              <w:lastRenderedPageBreak/>
              <w:t>Eiropas Parlamenta un Padomes 2003.</w:t>
            </w:r>
            <w:r w:rsidR="00CD5CAC" w:rsidRPr="00A14861">
              <w:rPr>
                <w:rFonts w:ascii="Times New Roman" w:hAnsi="Times New Roman" w:cs="Times New Roman"/>
                <w:sz w:val="25"/>
                <w:szCs w:val="25"/>
              </w:rPr>
              <w:t xml:space="preserve"> </w:t>
            </w:r>
            <w:r w:rsidRPr="00A14861">
              <w:rPr>
                <w:rFonts w:ascii="Times New Roman" w:hAnsi="Times New Roman" w:cs="Times New Roman"/>
                <w:sz w:val="25"/>
                <w:szCs w:val="25"/>
              </w:rPr>
              <w:t>gada 27.</w:t>
            </w:r>
            <w:r w:rsidR="00CD5CAC" w:rsidRPr="00A14861">
              <w:rPr>
                <w:rFonts w:ascii="Times New Roman" w:hAnsi="Times New Roman" w:cs="Times New Roman"/>
                <w:sz w:val="25"/>
                <w:szCs w:val="25"/>
              </w:rPr>
              <w:t xml:space="preserve"> </w:t>
            </w:r>
            <w:r w:rsidRPr="00A14861">
              <w:rPr>
                <w:rFonts w:ascii="Times New Roman" w:hAnsi="Times New Roman" w:cs="Times New Roman"/>
                <w:sz w:val="25"/>
                <w:szCs w:val="25"/>
              </w:rPr>
              <w:t>janvāra Direktīva 2002/98/EK,</w:t>
            </w:r>
            <w:r w:rsidRPr="00A14861">
              <w:rPr>
                <w:rFonts w:ascii="Times New Roman" w:eastAsia="Calibri" w:hAnsi="Times New Roman" w:cs="Times New Roman"/>
                <w:sz w:val="25"/>
                <w:szCs w:val="25"/>
                <w:lang w:eastAsia="en-US"/>
              </w:rPr>
              <w:t xml:space="preserve"> </w:t>
            </w:r>
            <w:r w:rsidRPr="00A14861">
              <w:rPr>
                <w:rFonts w:ascii="Times New Roman" w:hAnsi="Times New Roman" w:cs="Times New Roman"/>
                <w:bCs/>
                <w:sz w:val="25"/>
                <w:szCs w:val="25"/>
              </w:rPr>
              <w:t xml:space="preserve">ar kuru nosaka kvalitātes un drošības standartus attiecībā </w:t>
            </w:r>
            <w:r w:rsidRPr="00A14861">
              <w:rPr>
                <w:rFonts w:ascii="Times New Roman" w:hAnsi="Times New Roman" w:cs="Times New Roman"/>
                <w:bCs/>
                <w:sz w:val="25"/>
                <w:szCs w:val="25"/>
              </w:rPr>
              <w:lastRenderedPageBreak/>
              <w:t>uz cilvēka asins un asins komponentu savākšanu, testēšanu, apstrādi, uzglabāšanu un izplatīšanu, kā arī groza Direktīvu 2001/83/EK</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lastRenderedPageBreak/>
              <w:t>A</w:t>
            </w:r>
          </w:p>
        </w:tc>
        <w:tc>
          <w:tcPr>
            <w:tcW w:w="2013" w:type="dxa"/>
            <w:gridSpan w:val="3"/>
            <w:tcBorders>
              <w:top w:val="outset" w:sz="6" w:space="0" w:color="auto"/>
              <w:left w:val="outset" w:sz="6" w:space="0" w:color="auto"/>
              <w:bottom w:val="outset" w:sz="6" w:space="0" w:color="auto"/>
              <w:right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B</w:t>
            </w:r>
          </w:p>
        </w:tc>
        <w:tc>
          <w:tcPr>
            <w:tcW w:w="2537" w:type="dxa"/>
            <w:gridSpan w:val="2"/>
            <w:tcBorders>
              <w:top w:val="outset" w:sz="6" w:space="0" w:color="auto"/>
              <w:left w:val="outset" w:sz="6" w:space="0" w:color="auto"/>
              <w:bottom w:val="outset" w:sz="6" w:space="0" w:color="auto"/>
              <w:right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C</w:t>
            </w:r>
          </w:p>
        </w:tc>
        <w:tc>
          <w:tcPr>
            <w:tcW w:w="2842" w:type="dxa"/>
            <w:tcBorders>
              <w:top w:val="outset" w:sz="6" w:space="0" w:color="auto"/>
              <w:left w:val="outset" w:sz="6" w:space="0" w:color="auto"/>
              <w:bottom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D</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t>Attiecīgā ES tiesību akta panta numurs (uzskaitot katru tiesību akta vienību – pantu, daļu, punktu, apakšpunktu)</w:t>
            </w:r>
          </w:p>
        </w:tc>
        <w:tc>
          <w:tcPr>
            <w:tcW w:w="2013"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t>Projekta vienība, kas pārņem vai ievieš katru šīs tabulas A ailē minēto ES tiesību akta vienību, vai tiesību akts, kur attiecīgā ES tiesību akta vienība pārņemta vai ieviesta</w:t>
            </w:r>
          </w:p>
        </w:tc>
        <w:tc>
          <w:tcPr>
            <w:tcW w:w="2537" w:type="dxa"/>
            <w:gridSpan w:val="2"/>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t>Informācija par to, vai šīs tabulas A ailē minētās ES tiesību akta vienības tiek pārņemtas vai ieviestas pilnībā vai daļēji.</w:t>
            </w:r>
          </w:p>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t>Ja attiecīgā ES tiesību akta vienība tiek pārņemta vai ieviesta daļēji, sniedz attiecīgu skaidrojumu, kā arī precīzi norāda, kad un kādā veidā ES tiesību akta vienība tiks pārņemta vai ieviesta pilnībā.</w:t>
            </w:r>
          </w:p>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t>Norāda institūciju, kas ir atbildīga par šo saistību izpildi pilnībā</w:t>
            </w:r>
          </w:p>
        </w:tc>
        <w:tc>
          <w:tcPr>
            <w:tcW w:w="2842" w:type="dxa"/>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pacing w:val="-3"/>
                <w:sz w:val="25"/>
                <w:szCs w:val="25"/>
                <w:lang w:eastAsia="en-US"/>
              </w:rPr>
              <w:t xml:space="preserve">Informācija par to, vai šīs </w:t>
            </w:r>
            <w:r w:rsidRPr="00A14861">
              <w:rPr>
                <w:rFonts w:ascii="Times New Roman" w:eastAsia="Times New Roman" w:hAnsi="Times New Roman" w:cs="Times New Roman"/>
                <w:sz w:val="25"/>
                <w:szCs w:val="25"/>
                <w:lang w:eastAsia="en-US"/>
              </w:rPr>
              <w:t>tabulas B ailē minētās projekta vienības paredz stingrākas prasības nekā šīs tabulas A ailē minētās ES tiesību akta vienības.</w:t>
            </w:r>
          </w:p>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Ja projekts satur stingrā</w:t>
            </w:r>
            <w:r w:rsidRPr="00A14861">
              <w:rPr>
                <w:rFonts w:ascii="Times New Roman" w:eastAsia="Times New Roman" w:hAnsi="Times New Roman" w:cs="Times New Roman"/>
                <w:sz w:val="25"/>
                <w:szCs w:val="25"/>
                <w:lang w:eastAsia="en-US"/>
              </w:rPr>
              <w:softHyphen/>
              <w:t>kas prasības nekā attie</w:t>
            </w:r>
            <w:r w:rsidRPr="00A14861">
              <w:rPr>
                <w:rFonts w:ascii="Times New Roman" w:eastAsia="Times New Roman" w:hAnsi="Times New Roman" w:cs="Times New Roman"/>
                <w:sz w:val="25"/>
                <w:szCs w:val="25"/>
                <w:lang w:eastAsia="en-US"/>
              </w:rPr>
              <w:softHyphen/>
              <w:t>cīgais ES tiesību akts, norāda pamatojumu un samērīgumu.</w:t>
            </w:r>
          </w:p>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z w:val="25"/>
                <w:szCs w:val="25"/>
                <w:lang w:eastAsia="en-US"/>
              </w:rPr>
              <w:t>Norāda iespējamās alternatīvas (t.sk. alternatīvas, kas neparedz tiesiskā regulējuma izstrādi) – kādos gadījumos būtu iespējams izvairīties no stingrāku prasību</w:t>
            </w:r>
            <w:r w:rsidRPr="00A14861">
              <w:rPr>
                <w:rFonts w:ascii="Times New Roman" w:eastAsia="Times New Roman" w:hAnsi="Times New Roman" w:cs="Times New Roman"/>
                <w:spacing w:val="-3"/>
                <w:sz w:val="25"/>
                <w:szCs w:val="25"/>
                <w:lang w:eastAsia="en-US"/>
              </w:rPr>
              <w:t xml:space="preserve"> noteikšanas, nekā paredzēts attiecīgajos ES tiesību aktos</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C32444" w:rsidRPr="00A14861" w:rsidRDefault="00A93704" w:rsidP="00A93704">
            <w:pPr>
              <w:spacing w:after="0" w:line="240" w:lineRule="auto"/>
              <w:ind w:left="57"/>
              <w:rPr>
                <w:rFonts w:ascii="Times New Roman" w:eastAsia="Times New Roman" w:hAnsi="Times New Roman" w:cs="Times New Roman"/>
                <w:bCs/>
                <w:sz w:val="25"/>
                <w:szCs w:val="25"/>
                <w:lang w:eastAsia="en-US"/>
              </w:rPr>
            </w:pPr>
            <w:r w:rsidRPr="00A14861">
              <w:rPr>
                <w:rFonts w:ascii="Times New Roman" w:hAnsi="Times New Roman" w:cs="Times New Roman"/>
                <w:sz w:val="25"/>
                <w:szCs w:val="25"/>
              </w:rPr>
              <w:t>Eiropas Parlamenta un Padomes Direktīvas 2002/98/EK 8.</w:t>
            </w:r>
            <w:r w:rsidR="00C2287A" w:rsidRPr="00A14861">
              <w:rPr>
                <w:rFonts w:ascii="Times New Roman" w:hAnsi="Times New Roman" w:cs="Times New Roman"/>
                <w:sz w:val="25"/>
                <w:szCs w:val="25"/>
              </w:rPr>
              <w:t xml:space="preserve"> </w:t>
            </w:r>
            <w:r w:rsidRPr="00A14861">
              <w:rPr>
                <w:rFonts w:ascii="Times New Roman" w:hAnsi="Times New Roman" w:cs="Times New Roman"/>
                <w:sz w:val="25"/>
                <w:szCs w:val="25"/>
              </w:rPr>
              <w:t>panta</w:t>
            </w:r>
            <w:r w:rsidR="00AA5139" w:rsidRPr="00A14861">
              <w:rPr>
                <w:rFonts w:ascii="Times New Roman" w:hAnsi="Times New Roman" w:cs="Times New Roman"/>
                <w:sz w:val="25"/>
                <w:szCs w:val="25"/>
              </w:rPr>
              <w:t xml:space="preserve"> 1. un</w:t>
            </w:r>
            <w:r w:rsidRPr="00A14861">
              <w:rPr>
                <w:rFonts w:ascii="Times New Roman" w:hAnsi="Times New Roman" w:cs="Times New Roman"/>
                <w:sz w:val="25"/>
                <w:szCs w:val="25"/>
              </w:rPr>
              <w:t xml:space="preserve"> 2.punkts</w:t>
            </w:r>
          </w:p>
        </w:tc>
        <w:tc>
          <w:tcPr>
            <w:tcW w:w="2013"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3262CB">
            <w:pPr>
              <w:spacing w:after="0" w:line="240" w:lineRule="auto"/>
              <w:ind w:left="57"/>
              <w:rPr>
                <w:rFonts w:ascii="Times New Roman" w:eastAsia="Times New Roman" w:hAnsi="Times New Roman" w:cs="Times New Roman"/>
                <w:bCs/>
                <w:sz w:val="25"/>
                <w:szCs w:val="25"/>
                <w:lang w:eastAsia="en-US"/>
              </w:rPr>
            </w:pPr>
            <w:r w:rsidRPr="00A14861">
              <w:rPr>
                <w:rFonts w:ascii="Times New Roman" w:eastAsia="Times New Roman" w:hAnsi="Times New Roman" w:cs="Times New Roman"/>
                <w:bCs/>
                <w:sz w:val="25"/>
                <w:szCs w:val="25"/>
                <w:lang w:eastAsia="en-US"/>
              </w:rPr>
              <w:t>Noteikumu projekta</w:t>
            </w:r>
            <w:r w:rsidR="003262CB" w:rsidRPr="00A14861">
              <w:rPr>
                <w:rFonts w:ascii="Times New Roman" w:eastAsia="Times New Roman" w:hAnsi="Times New Roman" w:cs="Times New Roman"/>
                <w:bCs/>
                <w:sz w:val="25"/>
                <w:szCs w:val="25"/>
                <w:lang w:eastAsia="en-US"/>
              </w:rPr>
              <w:t xml:space="preserve"> 8.punkts</w:t>
            </w:r>
            <w:r w:rsidRPr="00A14861">
              <w:rPr>
                <w:rFonts w:ascii="Times New Roman" w:eastAsia="Times New Roman" w:hAnsi="Times New Roman" w:cs="Times New Roman"/>
                <w:bCs/>
                <w:sz w:val="25"/>
                <w:szCs w:val="25"/>
                <w:lang w:eastAsia="en-US"/>
              </w:rPr>
              <w:t xml:space="preserve"> </w:t>
            </w:r>
          </w:p>
        </w:tc>
        <w:tc>
          <w:tcPr>
            <w:tcW w:w="2537" w:type="dxa"/>
            <w:gridSpan w:val="2"/>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2"/>
                <w:sz w:val="25"/>
                <w:szCs w:val="25"/>
                <w:lang w:eastAsia="en-US"/>
              </w:rPr>
            </w:pPr>
            <w:r w:rsidRPr="00A14861">
              <w:rPr>
                <w:rFonts w:ascii="Times New Roman" w:eastAsia="Times New Roman" w:hAnsi="Times New Roman" w:cs="Times New Roman"/>
                <w:iCs/>
                <w:sz w:val="25"/>
                <w:szCs w:val="25"/>
                <w:lang w:eastAsia="en-US"/>
              </w:rPr>
              <w:t>Tiesību norma ieviesta pilnībā.</w:t>
            </w:r>
          </w:p>
        </w:tc>
        <w:tc>
          <w:tcPr>
            <w:tcW w:w="2842" w:type="dxa"/>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2"/>
                <w:sz w:val="25"/>
                <w:szCs w:val="25"/>
                <w:lang w:eastAsia="en-US"/>
              </w:rPr>
            </w:pPr>
            <w:r w:rsidRPr="00A14861">
              <w:rPr>
                <w:rFonts w:ascii="Times New Roman" w:eastAsia="Times New Roman" w:hAnsi="Times New Roman" w:cs="Times New Roman"/>
                <w:spacing w:val="-2"/>
                <w:sz w:val="25"/>
                <w:szCs w:val="25"/>
                <w:lang w:eastAsia="en-US"/>
              </w:rPr>
              <w:t>Stingrākas prasības netiek</w:t>
            </w:r>
            <w:proofErr w:type="gramStart"/>
            <w:r w:rsidRPr="00A14861">
              <w:rPr>
                <w:rFonts w:ascii="Times New Roman" w:eastAsia="Times New Roman" w:hAnsi="Times New Roman" w:cs="Times New Roman"/>
                <w:spacing w:val="-2"/>
                <w:sz w:val="25"/>
                <w:szCs w:val="25"/>
                <w:lang w:eastAsia="en-US"/>
              </w:rPr>
              <w:t xml:space="preserve">  </w:t>
            </w:r>
            <w:proofErr w:type="gramEnd"/>
            <w:r w:rsidRPr="00A14861">
              <w:rPr>
                <w:rFonts w:ascii="Times New Roman" w:eastAsia="Times New Roman" w:hAnsi="Times New Roman" w:cs="Times New Roman"/>
                <w:spacing w:val="-2"/>
                <w:sz w:val="25"/>
                <w:szCs w:val="25"/>
                <w:lang w:eastAsia="en-US"/>
              </w:rPr>
              <w:t>piemērotas.</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F30CE9" w:rsidRPr="00A14861" w:rsidRDefault="00F30CE9" w:rsidP="00B3766D">
            <w:pPr>
              <w:spacing w:after="0" w:line="240" w:lineRule="auto"/>
              <w:ind w:left="127" w:right="106"/>
              <w:jc w:val="both"/>
              <w:rPr>
                <w:rFonts w:ascii="Times New Roman" w:eastAsia="Times New Roman" w:hAnsi="Times New Roman" w:cs="Times New Roman"/>
                <w:sz w:val="25"/>
                <w:szCs w:val="25"/>
                <w:lang w:eastAsia="fr-BE"/>
              </w:rPr>
            </w:pPr>
            <w:r w:rsidRPr="00A14861">
              <w:rPr>
                <w:rFonts w:ascii="Times New Roman" w:eastAsia="Times New Roman" w:hAnsi="Times New Roman" w:cs="Times New Roman"/>
                <w:sz w:val="25"/>
                <w:szCs w:val="25"/>
                <w:lang w:eastAsia="fr-BE"/>
              </w:rPr>
              <w:t>Eiropas Komisijas 2004. gada 22.</w:t>
            </w:r>
            <w:r w:rsidR="00B3766D" w:rsidRPr="00A14861">
              <w:rPr>
                <w:rFonts w:ascii="Times New Roman" w:eastAsia="Times New Roman" w:hAnsi="Times New Roman" w:cs="Times New Roman"/>
                <w:sz w:val="25"/>
                <w:szCs w:val="25"/>
                <w:lang w:eastAsia="fr-BE"/>
              </w:rPr>
              <w:t xml:space="preserve"> </w:t>
            </w:r>
            <w:r w:rsidRPr="00A14861">
              <w:rPr>
                <w:rFonts w:ascii="Times New Roman" w:eastAsia="Times New Roman" w:hAnsi="Times New Roman" w:cs="Times New Roman"/>
                <w:sz w:val="25"/>
                <w:szCs w:val="25"/>
                <w:lang w:eastAsia="fr-BE"/>
              </w:rPr>
              <w:t>marta direktīva</w:t>
            </w:r>
            <w:r w:rsidR="00B3766D" w:rsidRPr="00A14861">
              <w:rPr>
                <w:rFonts w:ascii="Times New Roman" w:eastAsia="Times New Roman" w:hAnsi="Times New Roman" w:cs="Times New Roman"/>
                <w:sz w:val="25"/>
                <w:szCs w:val="25"/>
                <w:lang w:eastAsia="fr-BE"/>
              </w:rPr>
              <w:t>s</w:t>
            </w:r>
            <w:r w:rsidR="0010100F">
              <w:rPr>
                <w:rFonts w:ascii="Times New Roman" w:eastAsia="Times New Roman" w:hAnsi="Times New Roman" w:cs="Times New Roman"/>
                <w:sz w:val="25"/>
                <w:szCs w:val="25"/>
                <w:lang w:eastAsia="fr-BE"/>
              </w:rPr>
              <w:t xml:space="preserve"> 2004/33/EK </w:t>
            </w:r>
            <w:proofErr w:type="gramStart"/>
            <w:r w:rsidR="0010100F">
              <w:rPr>
                <w:rFonts w:ascii="Times New Roman" w:eastAsia="Times New Roman" w:hAnsi="Times New Roman" w:cs="Times New Roman"/>
                <w:sz w:val="25"/>
                <w:szCs w:val="25"/>
                <w:lang w:eastAsia="fr-BE"/>
              </w:rPr>
              <w:t xml:space="preserve">par </w:t>
            </w:r>
            <w:r w:rsidRPr="00A14861">
              <w:rPr>
                <w:rFonts w:ascii="Times New Roman" w:eastAsia="Times New Roman" w:hAnsi="Times New Roman" w:cs="Times New Roman"/>
                <w:sz w:val="25"/>
                <w:szCs w:val="25"/>
                <w:lang w:eastAsia="fr-BE"/>
              </w:rPr>
              <w:t>Eiropas Parlamenta un Padomes</w:t>
            </w:r>
            <w:proofErr w:type="gramEnd"/>
            <w:r w:rsidRPr="00A14861">
              <w:rPr>
                <w:rFonts w:ascii="Times New Roman" w:eastAsia="Times New Roman" w:hAnsi="Times New Roman" w:cs="Times New Roman"/>
                <w:sz w:val="25"/>
                <w:szCs w:val="25"/>
                <w:lang w:eastAsia="fr-BE"/>
              </w:rPr>
              <w:t xml:space="preserve"> Direktīvas 2002/98/EK piemērošanu </w:t>
            </w:r>
            <w:r w:rsidRPr="00A14861">
              <w:rPr>
                <w:rFonts w:ascii="Times New Roman" w:eastAsia="Times New Roman" w:hAnsi="Times New Roman" w:cs="Times New Roman"/>
                <w:sz w:val="25"/>
                <w:szCs w:val="25"/>
                <w:lang w:eastAsia="fr-BE"/>
              </w:rPr>
              <w:lastRenderedPageBreak/>
              <w:t xml:space="preserve">attiecībā uz dažām tehniskajām prasībām asinīm un asins komponentiem </w:t>
            </w:r>
            <w:r w:rsidR="00A478E5" w:rsidRPr="00A14861">
              <w:rPr>
                <w:rFonts w:ascii="Times New Roman" w:eastAsia="Times New Roman" w:hAnsi="Times New Roman" w:cs="Times New Roman"/>
                <w:sz w:val="25"/>
                <w:szCs w:val="25"/>
                <w:lang w:eastAsia="fr-BE"/>
              </w:rPr>
              <w:t>6. pants</w:t>
            </w:r>
          </w:p>
          <w:p w:rsidR="00F30CE9" w:rsidRPr="00A14861" w:rsidRDefault="00F30CE9" w:rsidP="00F30CE9">
            <w:pPr>
              <w:spacing w:after="0" w:line="360" w:lineRule="auto"/>
              <w:jc w:val="both"/>
              <w:rPr>
                <w:rFonts w:ascii="Times New Roman" w:eastAsia="Times New Roman" w:hAnsi="Times New Roman" w:cs="Times New Roman"/>
                <w:sz w:val="25"/>
                <w:szCs w:val="25"/>
                <w:lang w:eastAsia="fr-BE"/>
              </w:rPr>
            </w:pPr>
          </w:p>
          <w:p w:rsidR="00C32444" w:rsidRPr="00A14861" w:rsidRDefault="00C32444" w:rsidP="00D5669E">
            <w:pPr>
              <w:spacing w:after="0" w:line="240" w:lineRule="auto"/>
              <w:ind w:left="57"/>
              <w:rPr>
                <w:rFonts w:ascii="Times New Roman" w:eastAsia="Times New Roman" w:hAnsi="Times New Roman" w:cs="Times New Roman"/>
                <w:bCs/>
                <w:sz w:val="25"/>
                <w:szCs w:val="25"/>
                <w:lang w:eastAsia="en-US"/>
              </w:rPr>
            </w:pPr>
          </w:p>
        </w:tc>
        <w:tc>
          <w:tcPr>
            <w:tcW w:w="2013"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3262CB">
            <w:pPr>
              <w:spacing w:after="0" w:line="240" w:lineRule="auto"/>
              <w:ind w:left="57"/>
              <w:rPr>
                <w:rFonts w:ascii="Times New Roman" w:eastAsia="Times New Roman" w:hAnsi="Times New Roman" w:cs="Times New Roman"/>
                <w:bCs/>
                <w:sz w:val="25"/>
                <w:szCs w:val="25"/>
                <w:lang w:eastAsia="en-US"/>
              </w:rPr>
            </w:pPr>
            <w:r w:rsidRPr="00A14861">
              <w:rPr>
                <w:rFonts w:ascii="Times New Roman" w:eastAsia="Times New Roman" w:hAnsi="Times New Roman" w:cs="Times New Roman"/>
                <w:bCs/>
                <w:sz w:val="25"/>
                <w:szCs w:val="25"/>
                <w:lang w:eastAsia="en-US"/>
              </w:rPr>
              <w:lastRenderedPageBreak/>
              <w:t xml:space="preserve">Noteikumu projekta </w:t>
            </w:r>
            <w:r w:rsidR="003262CB" w:rsidRPr="00A14861">
              <w:rPr>
                <w:rFonts w:ascii="Times New Roman" w:eastAsia="Times New Roman" w:hAnsi="Times New Roman" w:cs="Times New Roman"/>
                <w:bCs/>
                <w:sz w:val="25"/>
                <w:szCs w:val="25"/>
                <w:lang w:eastAsia="en-US"/>
              </w:rPr>
              <w:t xml:space="preserve">9., 10.  un 11.punkts </w:t>
            </w:r>
          </w:p>
        </w:tc>
        <w:tc>
          <w:tcPr>
            <w:tcW w:w="2537" w:type="dxa"/>
            <w:gridSpan w:val="2"/>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2"/>
                <w:sz w:val="25"/>
                <w:szCs w:val="25"/>
                <w:lang w:eastAsia="en-US"/>
              </w:rPr>
            </w:pPr>
            <w:r w:rsidRPr="00A14861">
              <w:rPr>
                <w:rFonts w:ascii="Times New Roman" w:eastAsia="Times New Roman" w:hAnsi="Times New Roman" w:cs="Times New Roman"/>
                <w:iCs/>
                <w:sz w:val="25"/>
                <w:szCs w:val="25"/>
                <w:lang w:eastAsia="en-US"/>
              </w:rPr>
              <w:t>Tiesību norma ieviesta pilnībā.</w:t>
            </w:r>
          </w:p>
        </w:tc>
        <w:tc>
          <w:tcPr>
            <w:tcW w:w="2842" w:type="dxa"/>
            <w:tcBorders>
              <w:top w:val="outset" w:sz="6" w:space="0" w:color="auto"/>
              <w:left w:val="outset" w:sz="6" w:space="0" w:color="auto"/>
              <w:bottom w:val="outset" w:sz="6" w:space="0" w:color="auto"/>
            </w:tcBorders>
          </w:tcPr>
          <w:p w:rsidR="005424F2" w:rsidRPr="00A14861" w:rsidRDefault="003262CB" w:rsidP="00816743">
            <w:pPr>
              <w:spacing w:after="0" w:line="240" w:lineRule="auto"/>
              <w:ind w:left="57" w:right="127"/>
              <w:jc w:val="both"/>
              <w:rPr>
                <w:rFonts w:ascii="Times New Roman" w:hAnsi="Times New Roman" w:cs="Times New Roman"/>
                <w:sz w:val="25"/>
                <w:szCs w:val="25"/>
              </w:rPr>
            </w:pPr>
            <w:r w:rsidRPr="00A14861">
              <w:rPr>
                <w:rFonts w:ascii="Times New Roman" w:hAnsi="Times New Roman" w:cs="Times New Roman"/>
                <w:sz w:val="25"/>
                <w:szCs w:val="25"/>
              </w:rPr>
              <w:t>Saskaņā ar Eiropas Parlamenta un Padomes Direktīvas 2002/98/EK 4.</w:t>
            </w:r>
            <w:r w:rsidR="00B3766D" w:rsidRPr="00A14861">
              <w:rPr>
                <w:rFonts w:ascii="Times New Roman" w:hAnsi="Times New Roman" w:cs="Times New Roman"/>
                <w:sz w:val="25"/>
                <w:szCs w:val="25"/>
              </w:rPr>
              <w:t xml:space="preserve"> </w:t>
            </w:r>
            <w:r w:rsidRPr="00A14861">
              <w:rPr>
                <w:rFonts w:ascii="Times New Roman" w:hAnsi="Times New Roman" w:cs="Times New Roman"/>
                <w:sz w:val="25"/>
                <w:szCs w:val="25"/>
              </w:rPr>
              <w:t xml:space="preserve">panta 2.punktu šī direktīva neaizliedz dalībvalstīm atstāt spēkā vai ieviest stingrākus aizsardzības pasākumus, kas atbilst Līguma noteikumiem. </w:t>
            </w:r>
            <w:r w:rsidR="00B016FA" w:rsidRPr="00A14861">
              <w:rPr>
                <w:rFonts w:ascii="Times New Roman" w:hAnsi="Times New Roman" w:cs="Times New Roman"/>
                <w:sz w:val="25"/>
                <w:szCs w:val="25"/>
              </w:rPr>
              <w:t xml:space="preserve">Lai nodrošinātu kvalitatīvus un drošus asins </w:t>
            </w:r>
            <w:r w:rsidR="00B016FA" w:rsidRPr="00A14861">
              <w:rPr>
                <w:rFonts w:ascii="Times New Roman" w:hAnsi="Times New Roman" w:cs="Times New Roman"/>
                <w:sz w:val="25"/>
                <w:szCs w:val="25"/>
              </w:rPr>
              <w:lastRenderedPageBreak/>
              <w:t>komponentus</w:t>
            </w:r>
            <w:r w:rsidR="00B76518" w:rsidRPr="00A14861">
              <w:rPr>
                <w:rFonts w:ascii="Times New Roman" w:hAnsi="Times New Roman" w:cs="Times New Roman"/>
                <w:sz w:val="25"/>
                <w:szCs w:val="25"/>
              </w:rPr>
              <w:t xml:space="preserve"> (šajā gadījumā trombocītu masu)</w:t>
            </w:r>
            <w:r w:rsidR="00B016FA" w:rsidRPr="00A14861">
              <w:rPr>
                <w:rFonts w:ascii="Times New Roman" w:eastAsia="Times New Roman" w:hAnsi="Times New Roman" w:cs="Times New Roman"/>
                <w:spacing w:val="-2"/>
                <w:sz w:val="25"/>
                <w:szCs w:val="25"/>
                <w:lang w:eastAsia="en-US"/>
              </w:rPr>
              <w:t xml:space="preserve">, tiek </w:t>
            </w:r>
            <w:r w:rsidR="007E4087" w:rsidRPr="00A14861">
              <w:rPr>
                <w:rFonts w:ascii="Times New Roman" w:eastAsia="Times New Roman" w:hAnsi="Times New Roman" w:cs="Times New Roman"/>
                <w:spacing w:val="-2"/>
                <w:sz w:val="25"/>
                <w:szCs w:val="25"/>
                <w:lang w:eastAsia="en-US"/>
              </w:rPr>
              <w:t xml:space="preserve">piemērotas stingrākas </w:t>
            </w:r>
            <w:r w:rsidR="006B5CAE" w:rsidRPr="00A14861">
              <w:rPr>
                <w:rFonts w:ascii="Times New Roman" w:eastAsia="Times New Roman" w:hAnsi="Times New Roman" w:cs="Times New Roman"/>
                <w:spacing w:val="-2"/>
                <w:sz w:val="25"/>
                <w:szCs w:val="25"/>
                <w:lang w:eastAsia="en-US"/>
              </w:rPr>
              <w:t xml:space="preserve">asins un asins komponentu kvalitātes un drošības </w:t>
            </w:r>
            <w:r w:rsidR="00B016FA" w:rsidRPr="00A14861">
              <w:rPr>
                <w:rFonts w:ascii="Times New Roman" w:eastAsia="Times New Roman" w:hAnsi="Times New Roman" w:cs="Times New Roman"/>
                <w:spacing w:val="-2"/>
                <w:sz w:val="25"/>
                <w:szCs w:val="25"/>
                <w:lang w:eastAsia="en-US"/>
              </w:rPr>
              <w:t xml:space="preserve">kontroles </w:t>
            </w:r>
            <w:r w:rsidR="007E4087" w:rsidRPr="00A14861">
              <w:rPr>
                <w:rFonts w:ascii="Times New Roman" w:eastAsia="Times New Roman" w:hAnsi="Times New Roman" w:cs="Times New Roman"/>
                <w:spacing w:val="-2"/>
                <w:sz w:val="25"/>
                <w:szCs w:val="25"/>
                <w:lang w:eastAsia="en-US"/>
              </w:rPr>
              <w:t>prasības</w:t>
            </w:r>
            <w:r w:rsidR="00B016FA" w:rsidRPr="00A14861">
              <w:rPr>
                <w:rFonts w:ascii="Times New Roman" w:eastAsia="Times New Roman" w:hAnsi="Times New Roman" w:cs="Times New Roman"/>
                <w:spacing w:val="-2"/>
                <w:sz w:val="25"/>
                <w:szCs w:val="25"/>
                <w:lang w:eastAsia="en-US"/>
              </w:rPr>
              <w:t xml:space="preserve">, </w:t>
            </w:r>
            <w:r w:rsidR="00623010" w:rsidRPr="00A14861">
              <w:rPr>
                <w:rFonts w:ascii="Times New Roman" w:eastAsia="Times New Roman" w:hAnsi="Times New Roman" w:cs="Times New Roman"/>
                <w:spacing w:val="-2"/>
                <w:sz w:val="25"/>
                <w:szCs w:val="25"/>
                <w:lang w:eastAsia="en-US"/>
              </w:rPr>
              <w:t xml:space="preserve">asins donoru izmeklēšanā papildus </w:t>
            </w:r>
            <w:r w:rsidR="00623010" w:rsidRPr="00A14861">
              <w:rPr>
                <w:rFonts w:ascii="Times New Roman" w:hAnsi="Times New Roman" w:cs="Times New Roman"/>
                <w:sz w:val="25"/>
                <w:szCs w:val="25"/>
              </w:rPr>
              <w:t xml:space="preserve">testēšanai </w:t>
            </w:r>
            <w:r w:rsidR="00B76518" w:rsidRPr="00A14861">
              <w:rPr>
                <w:rFonts w:ascii="Times New Roman" w:hAnsi="Times New Roman" w:cs="Times New Roman"/>
                <w:sz w:val="25"/>
                <w:szCs w:val="25"/>
              </w:rPr>
              <w:t xml:space="preserve">(nukleīnskābju amplifikācijas tests) </w:t>
            </w:r>
            <w:r w:rsidR="00623010" w:rsidRPr="00A14861">
              <w:rPr>
                <w:rFonts w:ascii="Times New Roman" w:hAnsi="Times New Roman" w:cs="Times New Roman"/>
                <w:sz w:val="25"/>
                <w:szCs w:val="25"/>
              </w:rPr>
              <w:t>ieviešot patogēnu inaktivācijas tehnoloģiju</w:t>
            </w:r>
            <w:r w:rsidR="00B76518" w:rsidRPr="00A14861">
              <w:rPr>
                <w:rFonts w:ascii="Times New Roman" w:hAnsi="Times New Roman" w:cs="Times New Roman"/>
                <w:sz w:val="25"/>
                <w:szCs w:val="25"/>
              </w:rPr>
              <w:t>, tādējādi samazinot bakteriālās kontaminācijas risku</w:t>
            </w:r>
            <w:r w:rsidR="00A81D8E" w:rsidRPr="00A14861">
              <w:rPr>
                <w:rFonts w:ascii="Times New Roman" w:hAnsi="Times New Roman" w:cs="Times New Roman"/>
                <w:sz w:val="25"/>
                <w:szCs w:val="25"/>
              </w:rPr>
              <w:t xml:space="preserve"> un paaugstinot asins komponentu aizsardzību pret patogēniem.</w:t>
            </w:r>
            <w:r w:rsidR="00B76518" w:rsidRPr="00A14861">
              <w:rPr>
                <w:rFonts w:ascii="Times New Roman" w:hAnsi="Times New Roman" w:cs="Times New Roman"/>
                <w:sz w:val="25"/>
                <w:szCs w:val="25"/>
              </w:rPr>
              <w:t xml:space="preserve"> </w:t>
            </w:r>
          </w:p>
          <w:p w:rsidR="006B5CAE" w:rsidRPr="00A14861" w:rsidRDefault="002B5EC7" w:rsidP="000578E4">
            <w:pPr>
              <w:spacing w:after="0" w:line="240" w:lineRule="auto"/>
              <w:ind w:left="57" w:right="140"/>
              <w:jc w:val="both"/>
              <w:rPr>
                <w:rFonts w:ascii="Times New Roman" w:eastAsia="Times New Roman" w:hAnsi="Times New Roman" w:cs="Times New Roman"/>
                <w:spacing w:val="-2"/>
                <w:sz w:val="25"/>
                <w:szCs w:val="25"/>
                <w:lang w:eastAsia="en-US"/>
              </w:rPr>
            </w:pPr>
            <w:r w:rsidRPr="00A14861">
              <w:rPr>
                <w:rFonts w:ascii="Times New Roman" w:hAnsi="Times New Roman" w:cs="Times New Roman"/>
                <w:sz w:val="25"/>
                <w:szCs w:val="25"/>
              </w:rPr>
              <w:t>S</w:t>
            </w:r>
            <w:r w:rsidR="005424F2" w:rsidRPr="00A14861">
              <w:rPr>
                <w:rFonts w:ascii="Times New Roman" w:hAnsi="Times New Roman" w:cs="Times New Roman"/>
                <w:sz w:val="25"/>
                <w:szCs w:val="25"/>
              </w:rPr>
              <w:t xml:space="preserve">tingrākas prasības </w:t>
            </w:r>
            <w:r w:rsidRPr="00A14861">
              <w:rPr>
                <w:rFonts w:ascii="Times New Roman" w:hAnsi="Times New Roman" w:cs="Times New Roman"/>
                <w:sz w:val="25"/>
                <w:szCs w:val="25"/>
              </w:rPr>
              <w:t xml:space="preserve">tiek paredzētas </w:t>
            </w:r>
            <w:r w:rsidR="005424F2" w:rsidRPr="00A14861">
              <w:rPr>
                <w:rFonts w:ascii="Times New Roman" w:hAnsi="Times New Roman" w:cs="Times New Roman"/>
                <w:sz w:val="25"/>
                <w:szCs w:val="25"/>
              </w:rPr>
              <w:t>attiecībā uz izplatīto asins komponentu un asins pagatavojumu pieņemšanu atpakaļ</w:t>
            </w:r>
            <w:r w:rsidR="00816743" w:rsidRPr="00A14861">
              <w:rPr>
                <w:rFonts w:ascii="Times New Roman" w:hAnsi="Times New Roman" w:cs="Times New Roman"/>
                <w:sz w:val="25"/>
                <w:szCs w:val="25"/>
              </w:rPr>
              <w:t xml:space="preserve"> (</w:t>
            </w:r>
            <w:r w:rsidR="00A96380" w:rsidRPr="00A14861">
              <w:rPr>
                <w:rFonts w:ascii="Times New Roman" w:hAnsi="Times New Roman" w:cs="Times New Roman"/>
                <w:sz w:val="25"/>
                <w:szCs w:val="25"/>
              </w:rPr>
              <w:t xml:space="preserve">Noteikumu </w:t>
            </w:r>
            <w:r w:rsidR="00816743" w:rsidRPr="00A14861">
              <w:rPr>
                <w:rFonts w:ascii="Times New Roman" w:hAnsi="Times New Roman" w:cs="Times New Roman"/>
                <w:sz w:val="25"/>
                <w:szCs w:val="25"/>
              </w:rPr>
              <w:t xml:space="preserve">projekta </w:t>
            </w:r>
            <w:r w:rsidR="000578E4" w:rsidRPr="00A14861">
              <w:rPr>
                <w:rFonts w:ascii="Times New Roman" w:hAnsi="Times New Roman" w:cs="Times New Roman"/>
                <w:sz w:val="25"/>
                <w:szCs w:val="25"/>
              </w:rPr>
              <w:t>11</w:t>
            </w:r>
            <w:r w:rsidR="00816743" w:rsidRPr="00A14861">
              <w:rPr>
                <w:rFonts w:ascii="Times New Roman" w:hAnsi="Times New Roman" w:cs="Times New Roman"/>
                <w:sz w:val="25"/>
                <w:szCs w:val="25"/>
              </w:rPr>
              <w:t>.</w:t>
            </w:r>
            <w:r w:rsidR="000578E4" w:rsidRPr="00A14861">
              <w:rPr>
                <w:rFonts w:ascii="Times New Roman" w:hAnsi="Times New Roman" w:cs="Times New Roman"/>
                <w:sz w:val="25"/>
                <w:szCs w:val="25"/>
              </w:rPr>
              <w:t xml:space="preserve"> </w:t>
            </w:r>
            <w:r w:rsidR="00816743" w:rsidRPr="00A14861">
              <w:rPr>
                <w:rFonts w:ascii="Times New Roman" w:hAnsi="Times New Roman" w:cs="Times New Roman"/>
                <w:sz w:val="25"/>
                <w:szCs w:val="25"/>
              </w:rPr>
              <w:t>punkts), ņemot vērā, ka pašreizējā situācijā ārstniecības iestādes nevar</w:t>
            </w:r>
            <w:r w:rsidR="003C1714" w:rsidRPr="00A14861">
              <w:rPr>
                <w:rFonts w:ascii="Times New Roman" w:hAnsi="Times New Roman" w:cs="Times New Roman"/>
                <w:sz w:val="25"/>
                <w:szCs w:val="25"/>
              </w:rPr>
              <w:t xml:space="preserve"> nodrošināt tādu</w:t>
            </w:r>
            <w:r w:rsidR="00816743" w:rsidRPr="00A14861">
              <w:rPr>
                <w:rFonts w:ascii="Times New Roman" w:hAnsi="Times New Roman" w:cs="Times New Roman"/>
                <w:sz w:val="25"/>
                <w:szCs w:val="25"/>
              </w:rPr>
              <w:t xml:space="preserve"> tehnisk</w:t>
            </w:r>
            <w:r w:rsidR="003C1714" w:rsidRPr="00A14861">
              <w:rPr>
                <w:rFonts w:ascii="Times New Roman" w:hAnsi="Times New Roman" w:cs="Times New Roman"/>
                <w:sz w:val="25"/>
                <w:szCs w:val="25"/>
              </w:rPr>
              <w:t>o</w:t>
            </w:r>
            <w:r w:rsidR="00816743" w:rsidRPr="00A14861">
              <w:rPr>
                <w:rFonts w:ascii="Times New Roman" w:hAnsi="Times New Roman" w:cs="Times New Roman"/>
                <w:sz w:val="25"/>
                <w:szCs w:val="25"/>
              </w:rPr>
              <w:t xml:space="preserve"> nodrošinā</w:t>
            </w:r>
            <w:r w:rsidR="003C1714" w:rsidRPr="00A14861">
              <w:rPr>
                <w:rFonts w:ascii="Times New Roman" w:hAnsi="Times New Roman" w:cs="Times New Roman"/>
                <w:sz w:val="25"/>
                <w:szCs w:val="25"/>
              </w:rPr>
              <w:t xml:space="preserve">jumu, lai būtu iespējams pārliecināties, ka </w:t>
            </w:r>
            <w:r w:rsidR="00816743" w:rsidRPr="00A14861">
              <w:rPr>
                <w:rFonts w:ascii="Times New Roman" w:hAnsi="Times New Roman" w:cs="Times New Roman"/>
                <w:sz w:val="25"/>
                <w:szCs w:val="25"/>
              </w:rPr>
              <w:t>asins komponents visā tā atrašanās laikā ārstniecības iestādē un transportēšanas laikā pie sagatavotāja ir glabāts tā, lai neciestu tā kvalitāte, un tas būtu drošs turpmākai izsniegšanai.</w:t>
            </w:r>
            <w:r w:rsidR="00816743" w:rsidRPr="00A14861">
              <w:rPr>
                <w:rFonts w:ascii="Times New Roman" w:eastAsia="Times New Roman" w:hAnsi="Times New Roman" w:cs="Times New Roman"/>
                <w:spacing w:val="-2"/>
                <w:sz w:val="25"/>
                <w:szCs w:val="25"/>
                <w:lang w:eastAsia="en-US"/>
              </w:rPr>
              <w:t xml:space="preserve"> </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lastRenderedPageBreak/>
              <w:t>Kā ir izmantota ES tiesību aktā paredzētā rīcības brīvība dalīb</w:t>
            </w:r>
            <w:r w:rsidRPr="00A14861">
              <w:rPr>
                <w:rFonts w:ascii="Times New Roman" w:eastAsia="Times New Roman" w:hAnsi="Times New Roman" w:cs="Times New Roman"/>
                <w:spacing w:val="-3"/>
                <w:sz w:val="25"/>
                <w:szCs w:val="25"/>
                <w:lang w:eastAsia="en-US"/>
              </w:rPr>
              <w:softHyphen/>
            </w:r>
            <w:r w:rsidRPr="00A14861">
              <w:rPr>
                <w:rFonts w:ascii="Times New Roman" w:eastAsia="Times New Roman" w:hAnsi="Times New Roman" w:cs="Times New Roman"/>
                <w:spacing w:val="-3"/>
                <w:sz w:val="25"/>
                <w:szCs w:val="25"/>
                <w:lang w:eastAsia="en-US"/>
              </w:rPr>
              <w:lastRenderedPageBreak/>
              <w:t>valstij pārņemt vai ieviest noteiktas ES tiesību akta normas?</w:t>
            </w:r>
          </w:p>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3"/>
                <w:sz w:val="25"/>
                <w:szCs w:val="25"/>
                <w:lang w:eastAsia="en-US"/>
              </w:rPr>
              <w:t>Kādēļ?</w:t>
            </w:r>
          </w:p>
        </w:tc>
        <w:tc>
          <w:tcPr>
            <w:tcW w:w="7392" w:type="dxa"/>
            <w:gridSpan w:val="6"/>
            <w:tcBorders>
              <w:top w:val="outset" w:sz="6" w:space="0" w:color="auto"/>
              <w:left w:val="outset" w:sz="6" w:space="0" w:color="auto"/>
              <w:bottom w:val="outset" w:sz="6" w:space="0" w:color="auto"/>
            </w:tcBorders>
          </w:tcPr>
          <w:p w:rsidR="00C32444" w:rsidRPr="00A14861" w:rsidRDefault="00904C60" w:rsidP="00904C60">
            <w:pPr>
              <w:spacing w:after="0" w:line="240" w:lineRule="auto"/>
              <w:ind w:left="57"/>
              <w:rPr>
                <w:rFonts w:ascii="Times New Roman" w:eastAsia="Times New Roman" w:hAnsi="Times New Roman" w:cs="Times New Roman"/>
                <w:sz w:val="25"/>
                <w:szCs w:val="25"/>
                <w:lang w:eastAsia="en-US"/>
              </w:rPr>
            </w:pPr>
            <w:r>
              <w:rPr>
                <w:rFonts w:ascii="Times New Roman" w:eastAsia="Times New Roman" w:hAnsi="Times New Roman" w:cs="Times New Roman"/>
                <w:sz w:val="25"/>
                <w:szCs w:val="25"/>
                <w:lang w:eastAsia="en-US"/>
              </w:rPr>
              <w:lastRenderedPageBreak/>
              <w:t>Noteikumu p</w:t>
            </w:r>
            <w:r w:rsidR="00C32444" w:rsidRPr="00A14861">
              <w:rPr>
                <w:rFonts w:ascii="Times New Roman" w:eastAsia="Times New Roman" w:hAnsi="Times New Roman" w:cs="Times New Roman"/>
                <w:sz w:val="25"/>
                <w:szCs w:val="25"/>
                <w:lang w:eastAsia="en-US"/>
              </w:rPr>
              <w:t>rojekts šo jomu neskar</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pacing w:val="-3"/>
                <w:sz w:val="25"/>
                <w:szCs w:val="25"/>
                <w:lang w:eastAsia="en-US"/>
              </w:rPr>
            </w:pPr>
            <w:r w:rsidRPr="00A14861">
              <w:rPr>
                <w:rFonts w:ascii="Times New Roman" w:eastAsia="Times New Roman" w:hAnsi="Times New Roman" w:cs="Times New Roman"/>
                <w:spacing w:val="-4"/>
                <w:sz w:val="25"/>
                <w:szCs w:val="25"/>
                <w:lang w:eastAsia="en-US"/>
              </w:rPr>
              <w:lastRenderedPageBreak/>
              <w:t>Saistības sniegt paziņojumu ES insti</w:t>
            </w:r>
            <w:r w:rsidRPr="00A14861">
              <w:rPr>
                <w:rFonts w:ascii="Times New Roman" w:eastAsia="Times New Roman" w:hAnsi="Times New Roman" w:cs="Times New Roman"/>
                <w:spacing w:val="-4"/>
                <w:sz w:val="25"/>
                <w:szCs w:val="25"/>
                <w:lang w:eastAsia="en-US"/>
              </w:rPr>
              <w:softHyphen/>
              <w:t>tūcijām un ES dalīb</w:t>
            </w:r>
            <w:r w:rsidRPr="00A14861">
              <w:rPr>
                <w:rFonts w:ascii="Times New Roman" w:eastAsia="Times New Roman" w:hAnsi="Times New Roman" w:cs="Times New Roman"/>
                <w:spacing w:val="-4"/>
                <w:sz w:val="25"/>
                <w:szCs w:val="25"/>
                <w:lang w:eastAsia="en-US"/>
              </w:rPr>
              <w:softHyphen/>
              <w:t>valstīm atbilstoši normatīvajiem aktiem, kas regulē informā</w:t>
            </w:r>
            <w:r w:rsidRPr="00A14861">
              <w:rPr>
                <w:rFonts w:ascii="Times New Roman" w:eastAsia="Times New Roman" w:hAnsi="Times New Roman" w:cs="Times New Roman"/>
                <w:spacing w:val="-4"/>
                <w:sz w:val="25"/>
                <w:szCs w:val="25"/>
                <w:lang w:eastAsia="en-US"/>
              </w:rPr>
              <w:softHyphen/>
              <w:t>cijas sniegšanu par tehnisko noteikumu, valsts atbalsta piešķir</w:t>
            </w:r>
            <w:r w:rsidRPr="00A14861">
              <w:rPr>
                <w:rFonts w:ascii="Times New Roman" w:eastAsia="Times New Roman" w:hAnsi="Times New Roman" w:cs="Times New Roman"/>
                <w:spacing w:val="-4"/>
                <w:sz w:val="25"/>
                <w:szCs w:val="25"/>
                <w:lang w:eastAsia="en-US"/>
              </w:rPr>
              <w:softHyphen/>
              <w:t>šanas un finanšu noteikumu (attiecībā uz monetāro politiku) projektiem</w:t>
            </w:r>
          </w:p>
        </w:tc>
        <w:tc>
          <w:tcPr>
            <w:tcW w:w="7392" w:type="dxa"/>
            <w:gridSpan w:val="6"/>
            <w:tcBorders>
              <w:top w:val="outset" w:sz="6" w:space="0" w:color="auto"/>
              <w:left w:val="outset" w:sz="6" w:space="0" w:color="auto"/>
              <w:bottom w:val="outset" w:sz="6" w:space="0" w:color="auto"/>
            </w:tcBorders>
          </w:tcPr>
          <w:p w:rsidR="00C32444" w:rsidRPr="00A14861" w:rsidRDefault="00904C60" w:rsidP="00904C60">
            <w:pPr>
              <w:spacing w:after="0" w:line="240" w:lineRule="auto"/>
              <w:ind w:left="57"/>
              <w:rPr>
                <w:rFonts w:ascii="Times New Roman" w:eastAsia="Times New Roman" w:hAnsi="Times New Roman" w:cs="Times New Roman"/>
                <w:sz w:val="25"/>
                <w:szCs w:val="25"/>
                <w:lang w:eastAsia="en-US"/>
              </w:rPr>
            </w:pPr>
            <w:r>
              <w:rPr>
                <w:rFonts w:ascii="Times New Roman" w:eastAsia="Times New Roman" w:hAnsi="Times New Roman" w:cs="Times New Roman"/>
                <w:sz w:val="25"/>
                <w:szCs w:val="25"/>
                <w:lang w:eastAsia="en-US"/>
              </w:rPr>
              <w:t>Noteikumu p</w:t>
            </w:r>
            <w:r w:rsidR="00C32444" w:rsidRPr="00A14861">
              <w:rPr>
                <w:rFonts w:ascii="Times New Roman" w:eastAsia="Times New Roman" w:hAnsi="Times New Roman" w:cs="Times New Roman"/>
                <w:sz w:val="25"/>
                <w:szCs w:val="25"/>
                <w:lang w:eastAsia="en-US"/>
              </w:rPr>
              <w:t>rojekts šo jomu neskar</w:t>
            </w:r>
          </w:p>
        </w:tc>
      </w:tr>
      <w:tr w:rsidR="00C32444" w:rsidRPr="00A14861" w:rsidTr="00816743">
        <w:trPr>
          <w:jc w:val="center"/>
        </w:trPr>
        <w:tc>
          <w:tcPr>
            <w:tcW w:w="1848" w:type="dxa"/>
            <w:gridSpan w:val="2"/>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Cita informācija</w:t>
            </w:r>
          </w:p>
        </w:tc>
        <w:tc>
          <w:tcPr>
            <w:tcW w:w="7392" w:type="dxa"/>
            <w:gridSpan w:val="6"/>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Nav</w:t>
            </w:r>
          </w:p>
        </w:tc>
      </w:tr>
      <w:tr w:rsidR="00C32444" w:rsidRPr="00A14861" w:rsidTr="00816743">
        <w:trPr>
          <w:jc w:val="center"/>
        </w:trPr>
        <w:tc>
          <w:tcPr>
            <w:tcW w:w="9240" w:type="dxa"/>
            <w:gridSpan w:val="8"/>
            <w:tcBorders>
              <w:top w:val="outset" w:sz="6" w:space="0" w:color="auto"/>
              <w:bottom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b/>
                <w:sz w:val="25"/>
                <w:szCs w:val="25"/>
                <w:lang w:eastAsia="en-US"/>
              </w:rPr>
            </w:pPr>
            <w:r w:rsidRPr="00A14861">
              <w:rPr>
                <w:rFonts w:ascii="Times New Roman" w:eastAsia="Times New Roman" w:hAnsi="Times New Roman" w:cs="Times New Roman"/>
                <w:b/>
                <w:sz w:val="25"/>
                <w:szCs w:val="25"/>
                <w:lang w:eastAsia="en-US"/>
              </w:rPr>
              <w:t>2.tabula</w:t>
            </w:r>
          </w:p>
          <w:p w:rsidR="00C32444" w:rsidRPr="00A14861" w:rsidRDefault="00C32444" w:rsidP="00C32444">
            <w:pPr>
              <w:spacing w:after="0" w:line="240" w:lineRule="auto"/>
              <w:ind w:left="57"/>
              <w:jc w:val="center"/>
              <w:rPr>
                <w:rFonts w:ascii="Times New Roman" w:eastAsia="Times New Roman" w:hAnsi="Times New Roman" w:cs="Times New Roman"/>
                <w:b/>
                <w:sz w:val="25"/>
                <w:szCs w:val="25"/>
                <w:lang w:eastAsia="en-US"/>
              </w:rPr>
            </w:pPr>
            <w:r w:rsidRPr="00A14861">
              <w:rPr>
                <w:rFonts w:ascii="Times New Roman" w:eastAsia="Times New Roman" w:hAnsi="Times New Roman" w:cs="Times New Roman"/>
                <w:b/>
                <w:sz w:val="25"/>
                <w:szCs w:val="25"/>
                <w:lang w:eastAsia="en-US"/>
              </w:rPr>
              <w:t>Ar tiesību akta projektu izpildītās vai uzņemtās saistības, kas izriet no starptautiskajiem tiesību aktiem vai starptautiskas institūcijas vai organizācijas dokumentiem.</w:t>
            </w:r>
          </w:p>
          <w:p w:rsidR="00C32444" w:rsidRPr="00A14861" w:rsidRDefault="00C32444" w:rsidP="00C32444">
            <w:pPr>
              <w:spacing w:after="0" w:line="240" w:lineRule="auto"/>
              <w:ind w:left="57"/>
              <w:jc w:val="center"/>
              <w:rPr>
                <w:rFonts w:ascii="Times New Roman" w:eastAsia="Times New Roman" w:hAnsi="Times New Roman" w:cs="Times New Roman"/>
                <w:b/>
                <w:sz w:val="25"/>
                <w:szCs w:val="25"/>
                <w:lang w:eastAsia="en-US"/>
              </w:rPr>
            </w:pPr>
            <w:r w:rsidRPr="00A14861">
              <w:rPr>
                <w:rFonts w:ascii="Times New Roman" w:eastAsia="Times New Roman" w:hAnsi="Times New Roman" w:cs="Times New Roman"/>
                <w:b/>
                <w:sz w:val="25"/>
                <w:szCs w:val="25"/>
                <w:lang w:eastAsia="en-US"/>
              </w:rPr>
              <w:t>Pasākumi šo saistību izpildei</w:t>
            </w:r>
          </w:p>
        </w:tc>
      </w:tr>
      <w:tr w:rsidR="00C32444" w:rsidRPr="00A14861" w:rsidTr="00816743">
        <w:trPr>
          <w:jc w:val="center"/>
        </w:trPr>
        <w:tc>
          <w:tcPr>
            <w:tcW w:w="2115" w:type="dxa"/>
            <w:gridSpan w:val="3"/>
            <w:tcBorders>
              <w:top w:val="outset" w:sz="6" w:space="0" w:color="auto"/>
              <w:bottom w:val="outset" w:sz="6" w:space="0" w:color="auto"/>
              <w:right w:val="outset" w:sz="6" w:space="0" w:color="auto"/>
            </w:tcBorders>
            <w:vAlign w:val="center"/>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Attiecīgā starptautiskā tiesību akta vai starptautiskas institūcijas vai organizācijas dokumenta (turpmāk – starptautiskais dokuments) datums, numurs un nosaukums</w:t>
            </w:r>
          </w:p>
        </w:tc>
        <w:tc>
          <w:tcPr>
            <w:tcW w:w="7125" w:type="dxa"/>
            <w:gridSpan w:val="5"/>
            <w:tcBorders>
              <w:top w:val="outset" w:sz="6" w:space="0" w:color="auto"/>
              <w:left w:val="outset" w:sz="6" w:space="0" w:color="auto"/>
              <w:bottom w:val="outset" w:sz="6" w:space="0" w:color="auto"/>
            </w:tcBorders>
          </w:tcPr>
          <w:p w:rsidR="00C32444" w:rsidRPr="00A14861" w:rsidRDefault="00B01168" w:rsidP="00B01168">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Noteikumu p</w:t>
            </w:r>
            <w:r w:rsidR="00C32444" w:rsidRPr="00A14861">
              <w:rPr>
                <w:rFonts w:ascii="Times New Roman" w:eastAsia="Times New Roman" w:hAnsi="Times New Roman" w:cs="Times New Roman"/>
                <w:sz w:val="25"/>
                <w:szCs w:val="25"/>
                <w:lang w:eastAsia="en-US"/>
              </w:rPr>
              <w:t>rojekts šo jomu neskar</w:t>
            </w:r>
          </w:p>
        </w:tc>
      </w:tr>
      <w:tr w:rsidR="00C32444" w:rsidRPr="00A14861" w:rsidTr="00816743">
        <w:trPr>
          <w:jc w:val="center"/>
        </w:trPr>
        <w:tc>
          <w:tcPr>
            <w:tcW w:w="2115" w:type="dxa"/>
            <w:gridSpan w:val="3"/>
            <w:tcBorders>
              <w:top w:val="outset" w:sz="6" w:space="0" w:color="auto"/>
              <w:bottom w:val="outset" w:sz="6" w:space="0" w:color="auto"/>
              <w:right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A</w:t>
            </w:r>
          </w:p>
        </w:tc>
        <w:tc>
          <w:tcPr>
            <w:tcW w:w="2983" w:type="dxa"/>
            <w:gridSpan w:val="3"/>
            <w:tcBorders>
              <w:top w:val="outset" w:sz="6" w:space="0" w:color="auto"/>
              <w:left w:val="outset" w:sz="6" w:space="0" w:color="auto"/>
              <w:bottom w:val="outset" w:sz="6" w:space="0" w:color="auto"/>
              <w:right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B</w:t>
            </w:r>
          </w:p>
        </w:tc>
        <w:tc>
          <w:tcPr>
            <w:tcW w:w="4142" w:type="dxa"/>
            <w:gridSpan w:val="2"/>
            <w:tcBorders>
              <w:top w:val="outset" w:sz="6" w:space="0" w:color="auto"/>
              <w:left w:val="outset" w:sz="6" w:space="0" w:color="auto"/>
              <w:bottom w:val="outset" w:sz="6" w:space="0" w:color="auto"/>
            </w:tcBorders>
            <w:vAlign w:val="center"/>
          </w:tcPr>
          <w:p w:rsidR="00C32444" w:rsidRPr="00A14861" w:rsidRDefault="00C32444" w:rsidP="00C32444">
            <w:pPr>
              <w:spacing w:after="0" w:line="240" w:lineRule="auto"/>
              <w:ind w:left="57"/>
              <w:jc w:val="center"/>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C</w:t>
            </w:r>
          </w:p>
        </w:tc>
      </w:tr>
      <w:tr w:rsidR="00C32444" w:rsidRPr="00A14861" w:rsidTr="00816743">
        <w:trPr>
          <w:jc w:val="center"/>
        </w:trPr>
        <w:tc>
          <w:tcPr>
            <w:tcW w:w="2115" w:type="dxa"/>
            <w:gridSpan w:val="3"/>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lastRenderedPageBreak/>
              <w:t>Starptautiskās saistības (pēc būtības), kas izriet no norādītā starptautis</w:t>
            </w:r>
            <w:r w:rsidRPr="00A14861">
              <w:rPr>
                <w:rFonts w:ascii="Times New Roman" w:eastAsia="Times New Roman" w:hAnsi="Times New Roman" w:cs="Times New Roman"/>
                <w:sz w:val="25"/>
                <w:szCs w:val="25"/>
                <w:lang w:eastAsia="en-US"/>
              </w:rPr>
              <w:softHyphen/>
              <w:t>kā dokumenta.</w:t>
            </w:r>
          </w:p>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Konkrēti veicamie pasākumi vai uzdevumi, kas nepieciešami šo starptautisko saistību izpildei</w:t>
            </w:r>
          </w:p>
        </w:tc>
        <w:tc>
          <w:tcPr>
            <w:tcW w:w="2983"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142" w:type="dxa"/>
            <w:gridSpan w:val="2"/>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Informācija par to, vai starptautiskās saistības, kas minētas šīs tabulas A ailē, tiek izpildītas pilnībā vai daļēji.</w:t>
            </w:r>
          </w:p>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Ja attiecīgās starptautiskās saistības tiek izpildītas daļēji, sniedz skaidrojumu, kā arī precīzi norāda, kad un kādā veidā starptautiskās saistības tiks izpildītas pilnībā.</w:t>
            </w:r>
          </w:p>
          <w:p w:rsidR="00C32444" w:rsidRPr="00A14861" w:rsidRDefault="00C32444" w:rsidP="00C32444">
            <w:pPr>
              <w:spacing w:after="0" w:line="240" w:lineRule="auto"/>
              <w:ind w:left="57" w:righ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Norāda institūciju, kas ir atbildīga par šo saistību izpildi pilnībā</w:t>
            </w:r>
          </w:p>
        </w:tc>
      </w:tr>
      <w:tr w:rsidR="00C32444" w:rsidRPr="00A14861" w:rsidTr="00816743">
        <w:trPr>
          <w:jc w:val="center"/>
        </w:trPr>
        <w:tc>
          <w:tcPr>
            <w:tcW w:w="2115" w:type="dxa"/>
            <w:gridSpan w:val="3"/>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Nav</w:t>
            </w:r>
          </w:p>
        </w:tc>
        <w:tc>
          <w:tcPr>
            <w:tcW w:w="2983" w:type="dxa"/>
            <w:gridSpan w:val="3"/>
            <w:tcBorders>
              <w:top w:val="outset" w:sz="6" w:space="0" w:color="auto"/>
              <w:left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Nav</w:t>
            </w:r>
          </w:p>
        </w:tc>
        <w:tc>
          <w:tcPr>
            <w:tcW w:w="4142" w:type="dxa"/>
            <w:gridSpan w:val="2"/>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Nav</w:t>
            </w:r>
          </w:p>
        </w:tc>
      </w:tr>
      <w:tr w:rsidR="00C32444" w:rsidRPr="00A14861" w:rsidTr="00816743">
        <w:trPr>
          <w:jc w:val="center"/>
        </w:trPr>
        <w:tc>
          <w:tcPr>
            <w:tcW w:w="2115" w:type="dxa"/>
            <w:gridSpan w:val="3"/>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Vai starptautiskajā dokumentā paredzētās saistības nav pretrunā ar jau esošajām Latvijas Republikas starptautis</w:t>
            </w:r>
            <w:r w:rsidRPr="00A14861">
              <w:rPr>
                <w:rFonts w:ascii="Times New Roman" w:eastAsia="Times New Roman" w:hAnsi="Times New Roman" w:cs="Times New Roman"/>
                <w:sz w:val="25"/>
                <w:szCs w:val="25"/>
                <w:lang w:eastAsia="en-US"/>
              </w:rPr>
              <w:softHyphen/>
              <w:t>kajām saistībām</w:t>
            </w:r>
          </w:p>
        </w:tc>
        <w:tc>
          <w:tcPr>
            <w:tcW w:w="7125" w:type="dxa"/>
            <w:gridSpan w:val="5"/>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Nav</w:t>
            </w:r>
          </w:p>
        </w:tc>
      </w:tr>
      <w:tr w:rsidR="00C32444" w:rsidRPr="00A14861" w:rsidTr="00816743">
        <w:trPr>
          <w:jc w:val="center"/>
        </w:trPr>
        <w:tc>
          <w:tcPr>
            <w:tcW w:w="2115" w:type="dxa"/>
            <w:gridSpan w:val="3"/>
            <w:tcBorders>
              <w:top w:val="outset" w:sz="6" w:space="0" w:color="auto"/>
              <w:bottom w:val="outset" w:sz="6" w:space="0" w:color="auto"/>
              <w:right w:val="outset" w:sz="6" w:space="0" w:color="auto"/>
            </w:tcBorders>
          </w:tcPr>
          <w:p w:rsidR="00C32444" w:rsidRPr="00A14861" w:rsidRDefault="00C32444" w:rsidP="00C32444">
            <w:pPr>
              <w:spacing w:after="0" w:line="240" w:lineRule="auto"/>
              <w:ind w:left="57"/>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Cita informācija</w:t>
            </w:r>
          </w:p>
        </w:tc>
        <w:tc>
          <w:tcPr>
            <w:tcW w:w="7125" w:type="dxa"/>
            <w:gridSpan w:val="5"/>
            <w:tcBorders>
              <w:top w:val="outset" w:sz="6" w:space="0" w:color="auto"/>
              <w:left w:val="outset" w:sz="6" w:space="0" w:color="auto"/>
              <w:bottom w:val="outset" w:sz="6" w:space="0" w:color="auto"/>
            </w:tcBorders>
          </w:tcPr>
          <w:p w:rsidR="00C32444" w:rsidRPr="00A14861" w:rsidRDefault="00C32444" w:rsidP="00C32444">
            <w:pPr>
              <w:spacing w:after="0" w:line="240" w:lineRule="auto"/>
              <w:ind w:left="57"/>
              <w:jc w:val="both"/>
              <w:rPr>
                <w:rFonts w:ascii="Times New Roman" w:eastAsia="Times New Roman" w:hAnsi="Times New Roman" w:cs="Times New Roman"/>
                <w:sz w:val="25"/>
                <w:szCs w:val="25"/>
                <w:lang w:eastAsia="en-US"/>
              </w:rPr>
            </w:pPr>
            <w:r w:rsidRPr="00A14861">
              <w:rPr>
                <w:rFonts w:ascii="Times New Roman" w:eastAsia="Times New Roman" w:hAnsi="Times New Roman" w:cs="Times New Roman"/>
                <w:sz w:val="25"/>
                <w:szCs w:val="25"/>
                <w:lang w:eastAsia="en-US"/>
              </w:rPr>
              <w:t>Nav</w:t>
            </w:r>
          </w:p>
        </w:tc>
      </w:tr>
    </w:tbl>
    <w:p w:rsidR="00C32444" w:rsidRPr="00A14861" w:rsidRDefault="00C32444" w:rsidP="00A823B4">
      <w:pPr>
        <w:shd w:val="clear" w:color="auto" w:fill="FFFFFF"/>
        <w:spacing w:after="0" w:line="240" w:lineRule="auto"/>
        <w:rPr>
          <w:rFonts w:ascii="Times New Roman" w:eastAsia="Times New Roman" w:hAnsi="Times New Roman" w:cs="Times New Roman"/>
          <w:sz w:val="25"/>
          <w:szCs w:val="25"/>
        </w:rPr>
      </w:pPr>
    </w:p>
    <w:p w:rsidR="00C32444" w:rsidRPr="00A14861" w:rsidRDefault="00C32444" w:rsidP="00A823B4">
      <w:pPr>
        <w:shd w:val="clear" w:color="auto" w:fill="FFFFFF"/>
        <w:spacing w:after="0" w:line="240" w:lineRule="auto"/>
        <w:rPr>
          <w:rFonts w:ascii="Times New Roman" w:eastAsia="Times New Roman" w:hAnsi="Times New Roman" w:cs="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3"/>
        <w:gridCol w:w="3454"/>
        <w:gridCol w:w="5357"/>
      </w:tblGrid>
      <w:tr w:rsidR="003564BF" w:rsidRPr="00A14861" w:rsidTr="003564BF">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 Sabiedrības līdzdalība un komunikācijas aktivitātes</w:t>
            </w:r>
          </w:p>
        </w:tc>
      </w:tr>
      <w:tr w:rsidR="003564BF" w:rsidRPr="00A14861" w:rsidTr="00AB034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Plānotās sabiedrības līdzdalības un komunikācijas aktivitātes saistībā ar projektu</w:t>
            </w:r>
          </w:p>
        </w:tc>
        <w:tc>
          <w:tcPr>
            <w:tcW w:w="2888" w:type="pct"/>
            <w:tcBorders>
              <w:top w:val="outset" w:sz="6" w:space="0" w:color="414142"/>
              <w:left w:val="outset" w:sz="6" w:space="0" w:color="414142"/>
              <w:bottom w:val="outset" w:sz="6" w:space="0" w:color="414142"/>
              <w:right w:val="outset" w:sz="6" w:space="0" w:color="414142"/>
            </w:tcBorders>
            <w:hideMark/>
          </w:tcPr>
          <w:p w:rsidR="00A238BF" w:rsidRPr="00A14861" w:rsidRDefault="00A238BF" w:rsidP="00A238BF">
            <w:pPr>
              <w:spacing w:after="0" w:line="240" w:lineRule="auto"/>
              <w:ind w:firstLine="238"/>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 2015. gada 15. novembrī tika ieviet</w:t>
            </w:r>
            <w:r w:rsidR="00322EEC" w:rsidRPr="00A14861">
              <w:rPr>
                <w:rFonts w:ascii="Times New Roman" w:eastAsia="Times New Roman" w:hAnsi="Times New Roman" w:cs="Times New Roman"/>
                <w:sz w:val="25"/>
                <w:szCs w:val="25"/>
              </w:rPr>
              <w:t xml:space="preserve">ots Veselības ministrijas mājas </w:t>
            </w:r>
            <w:r w:rsidRPr="00A14861">
              <w:rPr>
                <w:rFonts w:ascii="Times New Roman" w:eastAsia="Times New Roman" w:hAnsi="Times New Roman" w:cs="Times New Roman"/>
                <w:sz w:val="25"/>
                <w:szCs w:val="25"/>
              </w:rPr>
              <w:t>lapā publiskai apspriešanai.</w:t>
            </w:r>
          </w:p>
          <w:p w:rsidR="003564BF" w:rsidRPr="00A14861" w:rsidRDefault="00A238BF" w:rsidP="00A238BF">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Priekšlikumi un iebildumi par noteikumu projektu mēneša laikā no tā ievietošanas Veselības ministrijas mājas lapā netika saņemti.</w:t>
            </w:r>
            <w:r w:rsidRPr="00A14861">
              <w:rPr>
                <w:rFonts w:ascii="Times New Roman" w:eastAsia="Times New Roman" w:hAnsi="Times New Roman" w:cs="Times New Roman"/>
                <w:color w:val="FF0000"/>
                <w:sz w:val="25"/>
                <w:szCs w:val="25"/>
              </w:rPr>
              <w:t xml:space="preserve"> </w:t>
            </w:r>
          </w:p>
        </w:tc>
      </w:tr>
      <w:tr w:rsidR="003564BF" w:rsidRPr="00A14861" w:rsidTr="00AB034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 projekta izstrādē</w:t>
            </w:r>
          </w:p>
        </w:tc>
        <w:tc>
          <w:tcPr>
            <w:tcW w:w="2888" w:type="pct"/>
            <w:tcBorders>
              <w:top w:val="outset" w:sz="6" w:space="0" w:color="414142"/>
              <w:left w:val="outset" w:sz="6" w:space="0" w:color="414142"/>
              <w:bottom w:val="outset" w:sz="6" w:space="0" w:color="414142"/>
              <w:right w:val="outset" w:sz="6" w:space="0" w:color="414142"/>
            </w:tcBorders>
            <w:hideMark/>
          </w:tcPr>
          <w:p w:rsidR="003564BF" w:rsidRPr="00A14861" w:rsidRDefault="0010100F" w:rsidP="0010100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Noteikumu p</w:t>
            </w:r>
            <w:r w:rsidR="00166908" w:rsidRPr="00A14861">
              <w:rPr>
                <w:rFonts w:ascii="Times New Roman" w:eastAsia="Times New Roman" w:hAnsi="Times New Roman" w:cs="Times New Roman"/>
                <w:sz w:val="25"/>
                <w:szCs w:val="25"/>
              </w:rPr>
              <w:t>rojekts šo jomu neskar</w:t>
            </w:r>
          </w:p>
        </w:tc>
      </w:tr>
      <w:tr w:rsidR="003564BF" w:rsidRPr="00A14861" w:rsidTr="00AB034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highlight w:val="yellow"/>
              </w:rPr>
            </w:pPr>
            <w:r w:rsidRPr="00A14861">
              <w:rPr>
                <w:rFonts w:ascii="Times New Roman" w:eastAsia="Times New Roman" w:hAnsi="Times New Roman" w:cs="Times New Roman"/>
                <w:sz w:val="25"/>
                <w:szCs w:val="25"/>
              </w:rPr>
              <w:t>3.</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līdzdalības rezultāti</w:t>
            </w:r>
          </w:p>
        </w:tc>
        <w:tc>
          <w:tcPr>
            <w:tcW w:w="2888" w:type="pct"/>
            <w:tcBorders>
              <w:top w:val="outset" w:sz="6" w:space="0" w:color="414142"/>
              <w:left w:val="outset" w:sz="6" w:space="0" w:color="414142"/>
              <w:bottom w:val="outset" w:sz="6" w:space="0" w:color="414142"/>
              <w:right w:val="outset" w:sz="6" w:space="0" w:color="414142"/>
            </w:tcBorders>
            <w:hideMark/>
          </w:tcPr>
          <w:p w:rsidR="003564BF" w:rsidRPr="00A14861" w:rsidRDefault="0010100F" w:rsidP="0010100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Noteikumu p</w:t>
            </w:r>
            <w:r w:rsidR="00166908" w:rsidRPr="00A14861">
              <w:rPr>
                <w:rFonts w:ascii="Times New Roman" w:eastAsia="Times New Roman" w:hAnsi="Times New Roman" w:cs="Times New Roman"/>
                <w:sz w:val="25"/>
                <w:szCs w:val="25"/>
              </w:rPr>
              <w:t>rojekts šo jomu neskar</w:t>
            </w:r>
          </w:p>
        </w:tc>
      </w:tr>
      <w:tr w:rsidR="003564BF" w:rsidRPr="00A14861" w:rsidTr="00AB034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2888"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EE43BC">
            <w:pPr>
              <w:spacing w:after="0" w:line="240" w:lineRule="auto"/>
              <w:ind w:firstLine="65"/>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4"/>
        <w:gridCol w:w="3524"/>
        <w:gridCol w:w="5286"/>
      </w:tblGrid>
      <w:tr w:rsidR="00D0507E" w:rsidRPr="00A14861" w:rsidTr="00D0507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507E" w:rsidRPr="00A14861" w:rsidRDefault="00D0507E"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VII. Tiesību akta projekta izpildes nodrošināšana un tās ietekme uz institūcijām</w:t>
            </w:r>
          </w:p>
        </w:tc>
      </w:tr>
      <w:tr w:rsidR="00D0507E" w:rsidRPr="00A14861" w:rsidTr="00D0507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90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0507E" w:rsidRPr="00A14861" w:rsidRDefault="00EE42B6"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Veselības ministrija, Valsts asinsdonoru centrs</w:t>
            </w:r>
            <w:r w:rsidR="00797AEB" w:rsidRPr="00A14861">
              <w:rPr>
                <w:rFonts w:ascii="Times New Roman" w:eastAsia="Times New Roman" w:hAnsi="Times New Roman" w:cs="Times New Roman"/>
                <w:sz w:val="25"/>
                <w:szCs w:val="25"/>
              </w:rPr>
              <w:t>, Zāļu valsts aģentūra</w:t>
            </w:r>
            <w:r w:rsidRPr="00A14861">
              <w:rPr>
                <w:rFonts w:ascii="Times New Roman" w:eastAsia="Times New Roman" w:hAnsi="Times New Roman" w:cs="Times New Roman"/>
                <w:sz w:val="25"/>
                <w:szCs w:val="25"/>
              </w:rPr>
              <w:t xml:space="preserve"> </w:t>
            </w:r>
          </w:p>
        </w:tc>
      </w:tr>
      <w:tr w:rsidR="00D0507E" w:rsidRPr="00A14861" w:rsidTr="00D0507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izpildes ietekme uz pārvaldes funkcijām un institucionālo struktūru.</w:t>
            </w:r>
            <w:r w:rsidR="00EE42B6" w:rsidRPr="00A14861">
              <w:rPr>
                <w:rFonts w:ascii="Times New Roman" w:eastAsia="Times New Roman" w:hAnsi="Times New Roman" w:cs="Times New Roman"/>
                <w:sz w:val="25"/>
                <w:szCs w:val="25"/>
              </w:rPr>
              <w:t xml:space="preserve"> </w:t>
            </w:r>
            <w:r w:rsidRPr="00A14861">
              <w:rPr>
                <w:rFonts w:ascii="Times New Roman" w:eastAsia="Times New Roman" w:hAnsi="Times New Roman" w:cs="Times New Roman"/>
                <w:sz w:val="25"/>
                <w:szCs w:val="25"/>
              </w:rPr>
              <w:t>Jaunu institūciju izveide, esošu institūciju likvidācija vai reorganizācija, to ietekme uz institūcijas cilvēkresursiem</w:t>
            </w:r>
            <w:r w:rsidR="007F47B0" w:rsidRPr="00A14861">
              <w:rPr>
                <w:rFonts w:ascii="Times New Roman" w:eastAsia="Times New Roman" w:hAnsi="Times New Roman" w:cs="Times New Roman"/>
                <w:sz w:val="25"/>
                <w:szCs w:val="25"/>
              </w:rPr>
              <w:t>.</w:t>
            </w:r>
          </w:p>
        </w:tc>
        <w:tc>
          <w:tcPr>
            <w:tcW w:w="2850" w:type="pct"/>
            <w:tcBorders>
              <w:top w:val="outset" w:sz="6" w:space="0" w:color="414142"/>
              <w:left w:val="outset" w:sz="6" w:space="0" w:color="414142"/>
              <w:bottom w:val="outset" w:sz="6" w:space="0" w:color="414142"/>
              <w:right w:val="outset" w:sz="6" w:space="0" w:color="414142"/>
            </w:tcBorders>
            <w:hideMark/>
          </w:tcPr>
          <w:p w:rsidR="00D0507E" w:rsidRPr="00A14861" w:rsidRDefault="00322EEC"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w:t>
            </w:r>
            <w:r w:rsidR="00EE42B6" w:rsidRPr="00A14861">
              <w:rPr>
                <w:rFonts w:ascii="Times New Roman" w:eastAsia="Times New Roman" w:hAnsi="Times New Roman" w:cs="Times New Roman"/>
                <w:sz w:val="25"/>
                <w:szCs w:val="25"/>
              </w:rPr>
              <w:t xml:space="preserve"> šo jomu neskar</w:t>
            </w:r>
          </w:p>
        </w:tc>
      </w:tr>
      <w:tr w:rsidR="00D0507E" w:rsidRPr="00A14861" w:rsidTr="00D0507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90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p w:rsidR="00AB0348" w:rsidRPr="00A14861" w:rsidRDefault="00AB0348" w:rsidP="00EC6E8F">
      <w:pPr>
        <w:shd w:val="clear" w:color="auto" w:fill="FFFFFF"/>
        <w:spacing w:before="100" w:beforeAutospacing="1" w:after="100" w:afterAutospacing="1" w:line="293" w:lineRule="atLeast"/>
        <w:rPr>
          <w:rFonts w:ascii="Times New Roman" w:eastAsia="Times New Roman" w:hAnsi="Times New Roman" w:cs="Times New Roman"/>
          <w:sz w:val="25"/>
          <w:szCs w:val="25"/>
        </w:rPr>
      </w:pPr>
    </w:p>
    <w:p w:rsidR="008A5991" w:rsidRPr="00A14861" w:rsidRDefault="003564BF" w:rsidP="00EC6E8F">
      <w:pPr>
        <w:shd w:val="clear" w:color="auto" w:fill="FFFFFF"/>
        <w:spacing w:before="100" w:beforeAutospacing="1" w:after="100" w:afterAutospacing="1" w:line="293" w:lineRule="atLeast"/>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 </w:t>
      </w:r>
    </w:p>
    <w:p w:rsidR="005851A0" w:rsidRPr="00CD5CAC" w:rsidRDefault="008A5991" w:rsidP="008A5991">
      <w:pPr>
        <w:pStyle w:val="NoSpacing"/>
        <w:rPr>
          <w:rFonts w:ascii="Times New Roman" w:hAnsi="Times New Roman" w:cs="Times New Roman"/>
          <w:sz w:val="28"/>
          <w:szCs w:val="28"/>
        </w:rPr>
      </w:pPr>
      <w:r w:rsidRPr="00CD5CAC">
        <w:rPr>
          <w:rFonts w:ascii="Times New Roman" w:hAnsi="Times New Roman" w:cs="Times New Roman"/>
          <w:sz w:val="28"/>
          <w:szCs w:val="28"/>
        </w:rPr>
        <w:t xml:space="preserve">Veselības ministrs           </w:t>
      </w:r>
      <w:r w:rsidRPr="00CD5CAC">
        <w:rPr>
          <w:rFonts w:ascii="Times New Roman" w:hAnsi="Times New Roman" w:cs="Times New Roman"/>
          <w:sz w:val="28"/>
          <w:szCs w:val="28"/>
        </w:rPr>
        <w:tab/>
      </w:r>
      <w:r w:rsidRPr="00CD5CAC">
        <w:rPr>
          <w:rFonts w:ascii="Times New Roman" w:hAnsi="Times New Roman" w:cs="Times New Roman"/>
          <w:sz w:val="28"/>
          <w:szCs w:val="28"/>
        </w:rPr>
        <w:tab/>
      </w:r>
      <w:r w:rsidRPr="00CD5CAC">
        <w:rPr>
          <w:rFonts w:ascii="Times New Roman" w:hAnsi="Times New Roman" w:cs="Times New Roman"/>
          <w:sz w:val="28"/>
          <w:szCs w:val="28"/>
        </w:rPr>
        <w:tab/>
      </w:r>
      <w:r w:rsidRPr="00CD5CAC">
        <w:rPr>
          <w:rFonts w:ascii="Times New Roman" w:hAnsi="Times New Roman" w:cs="Times New Roman"/>
          <w:sz w:val="28"/>
          <w:szCs w:val="28"/>
        </w:rPr>
        <w:tab/>
      </w:r>
      <w:r w:rsidRPr="00CD5CAC">
        <w:rPr>
          <w:rFonts w:ascii="Times New Roman" w:hAnsi="Times New Roman" w:cs="Times New Roman"/>
          <w:sz w:val="28"/>
          <w:szCs w:val="28"/>
        </w:rPr>
        <w:tab/>
      </w:r>
      <w:r w:rsidRPr="00CD5CAC">
        <w:rPr>
          <w:rFonts w:ascii="Times New Roman" w:hAnsi="Times New Roman" w:cs="Times New Roman"/>
          <w:sz w:val="28"/>
          <w:szCs w:val="28"/>
        </w:rPr>
        <w:tab/>
        <w:t xml:space="preserve">      </w:t>
      </w:r>
      <w:r w:rsidR="001A0632" w:rsidRPr="00CD5CAC">
        <w:rPr>
          <w:rFonts w:ascii="Times New Roman" w:hAnsi="Times New Roman" w:cs="Times New Roman"/>
          <w:sz w:val="28"/>
          <w:szCs w:val="28"/>
        </w:rPr>
        <w:tab/>
      </w:r>
      <w:r w:rsidR="00CD5CAC">
        <w:rPr>
          <w:rFonts w:ascii="Times New Roman" w:hAnsi="Times New Roman" w:cs="Times New Roman"/>
          <w:sz w:val="28"/>
          <w:szCs w:val="28"/>
        </w:rPr>
        <w:t xml:space="preserve">Guntis </w:t>
      </w:r>
      <w:proofErr w:type="spellStart"/>
      <w:r w:rsidRPr="00CD5CAC">
        <w:rPr>
          <w:rFonts w:ascii="Times New Roman" w:hAnsi="Times New Roman" w:cs="Times New Roman"/>
          <w:sz w:val="28"/>
          <w:szCs w:val="28"/>
        </w:rPr>
        <w:t>Belēvičs</w:t>
      </w:r>
      <w:proofErr w:type="spellEnd"/>
    </w:p>
    <w:p w:rsidR="00AB0348" w:rsidRPr="00CD5CAC" w:rsidRDefault="00AB0348" w:rsidP="008A5991">
      <w:pPr>
        <w:pStyle w:val="NoSpacing"/>
        <w:rPr>
          <w:rFonts w:ascii="Times New Roman" w:hAnsi="Times New Roman" w:cs="Times New Roman"/>
          <w:sz w:val="28"/>
          <w:szCs w:val="28"/>
        </w:rPr>
      </w:pPr>
    </w:p>
    <w:p w:rsidR="00AB0348" w:rsidRPr="00CD5CAC" w:rsidRDefault="00AB0348" w:rsidP="008A5991">
      <w:pPr>
        <w:pStyle w:val="NoSpacing"/>
        <w:rPr>
          <w:rFonts w:ascii="Times New Roman" w:hAnsi="Times New Roman" w:cs="Times New Roman"/>
          <w:sz w:val="28"/>
          <w:szCs w:val="28"/>
        </w:rPr>
      </w:pPr>
    </w:p>
    <w:p w:rsidR="00AB0348" w:rsidRDefault="00AB0348" w:rsidP="00CD5CAC">
      <w:pPr>
        <w:tabs>
          <w:tab w:val="right" w:pos="9072"/>
        </w:tabs>
        <w:spacing w:after="0" w:line="240" w:lineRule="auto"/>
        <w:rPr>
          <w:rFonts w:ascii="Times New Roman" w:eastAsia="Calibri" w:hAnsi="Times New Roman" w:cs="Times New Roman"/>
          <w:sz w:val="28"/>
          <w:szCs w:val="28"/>
          <w:lang w:eastAsia="en-US"/>
        </w:rPr>
      </w:pPr>
      <w:r w:rsidRPr="00CD5CAC">
        <w:rPr>
          <w:rFonts w:ascii="Times New Roman" w:eastAsia="Calibri" w:hAnsi="Times New Roman" w:cs="Times New Roman"/>
          <w:sz w:val="28"/>
          <w:szCs w:val="28"/>
          <w:lang w:eastAsia="en-US"/>
        </w:rPr>
        <w:t xml:space="preserve">Vīza: Valsts sekretāre                                                  </w:t>
      </w:r>
      <w:r w:rsidR="00CD5CAC">
        <w:rPr>
          <w:rFonts w:ascii="Times New Roman" w:eastAsia="Calibri" w:hAnsi="Times New Roman" w:cs="Times New Roman"/>
          <w:sz w:val="28"/>
          <w:szCs w:val="28"/>
          <w:lang w:eastAsia="en-US"/>
        </w:rPr>
        <w:t xml:space="preserve">                 </w:t>
      </w:r>
      <w:r w:rsidR="001A0632" w:rsidRPr="00CD5CAC">
        <w:rPr>
          <w:rFonts w:ascii="Times New Roman" w:eastAsia="Calibri" w:hAnsi="Times New Roman" w:cs="Times New Roman"/>
          <w:sz w:val="28"/>
          <w:szCs w:val="28"/>
          <w:lang w:eastAsia="en-US"/>
        </w:rPr>
        <w:t xml:space="preserve">Solvita </w:t>
      </w:r>
      <w:proofErr w:type="spellStart"/>
      <w:r w:rsidRPr="00CD5CAC">
        <w:rPr>
          <w:rFonts w:ascii="Times New Roman" w:eastAsia="Calibri" w:hAnsi="Times New Roman" w:cs="Times New Roman"/>
          <w:sz w:val="28"/>
          <w:szCs w:val="28"/>
          <w:lang w:eastAsia="en-US"/>
        </w:rPr>
        <w:t>Zvidriņa</w:t>
      </w:r>
      <w:proofErr w:type="spellEnd"/>
    </w:p>
    <w:p w:rsidR="00CD5CAC" w:rsidRDefault="00CD5CAC" w:rsidP="00CD5CAC">
      <w:pPr>
        <w:tabs>
          <w:tab w:val="right" w:pos="9072"/>
        </w:tabs>
        <w:spacing w:after="0" w:line="240" w:lineRule="auto"/>
        <w:rPr>
          <w:rFonts w:ascii="Times New Roman" w:eastAsia="Calibri" w:hAnsi="Times New Roman" w:cs="Times New Roman"/>
          <w:sz w:val="28"/>
          <w:szCs w:val="28"/>
          <w:lang w:eastAsia="en-US"/>
        </w:rPr>
      </w:pPr>
    </w:p>
    <w:p w:rsidR="00CD5CAC" w:rsidRPr="00CD5CAC" w:rsidRDefault="00CD5CAC" w:rsidP="00CD5CAC">
      <w:pPr>
        <w:tabs>
          <w:tab w:val="right" w:pos="9072"/>
        </w:tabs>
        <w:spacing w:after="0" w:line="240" w:lineRule="auto"/>
        <w:rPr>
          <w:rFonts w:ascii="Times New Roman" w:eastAsia="Calibri" w:hAnsi="Times New Roman" w:cs="Times New Roman"/>
          <w:sz w:val="28"/>
          <w:szCs w:val="28"/>
          <w:lang w:eastAsia="en-US"/>
        </w:rPr>
      </w:pPr>
    </w:p>
    <w:p w:rsidR="00AB0348" w:rsidRPr="00CD5CAC" w:rsidRDefault="00AB0348" w:rsidP="00AB0348">
      <w:pPr>
        <w:tabs>
          <w:tab w:val="right" w:pos="9072"/>
        </w:tabs>
        <w:spacing w:after="0" w:line="240" w:lineRule="auto"/>
        <w:ind w:right="-766"/>
        <w:rPr>
          <w:rFonts w:ascii="Times New Roman" w:eastAsia="Calibri" w:hAnsi="Times New Roman" w:cs="Times New Roman"/>
          <w:sz w:val="28"/>
          <w:szCs w:val="28"/>
          <w:lang w:eastAsia="en-US"/>
        </w:rPr>
      </w:pPr>
    </w:p>
    <w:p w:rsidR="00AB0348" w:rsidRDefault="00AB0348" w:rsidP="008A5991">
      <w:pPr>
        <w:pStyle w:val="NoSpacing"/>
        <w:rPr>
          <w:rFonts w:ascii="Times New Roman" w:hAnsi="Times New Roman" w:cs="Times New Roman"/>
          <w:sz w:val="24"/>
          <w:szCs w:val="24"/>
        </w:rPr>
      </w:pPr>
    </w:p>
    <w:p w:rsidR="00272F4C" w:rsidRDefault="00272F4C" w:rsidP="008A5991">
      <w:pPr>
        <w:pStyle w:val="NoSpacing"/>
        <w:rPr>
          <w:rFonts w:ascii="Times New Roman" w:hAnsi="Times New Roman" w:cs="Times New Roman"/>
          <w:sz w:val="20"/>
          <w:szCs w:val="20"/>
        </w:rPr>
      </w:pPr>
      <w:r>
        <w:rPr>
          <w:rFonts w:ascii="Times New Roman" w:hAnsi="Times New Roman" w:cs="Times New Roman"/>
          <w:sz w:val="20"/>
          <w:szCs w:val="20"/>
        </w:rPr>
        <w:t>16.02.2016 12:02</w:t>
      </w:r>
    </w:p>
    <w:p w:rsidR="005851A0" w:rsidRPr="005851A0" w:rsidRDefault="00E047C6" w:rsidP="008A5991">
      <w:pPr>
        <w:pStyle w:val="NoSpacing"/>
        <w:rPr>
          <w:rFonts w:ascii="Times New Roman" w:hAnsi="Times New Roman" w:cs="Times New Roman"/>
          <w:sz w:val="20"/>
          <w:szCs w:val="20"/>
        </w:rPr>
      </w:pPr>
      <w:r>
        <w:rPr>
          <w:rFonts w:ascii="Times New Roman" w:hAnsi="Times New Roman" w:cs="Times New Roman"/>
          <w:sz w:val="20"/>
          <w:szCs w:val="20"/>
        </w:rPr>
        <w:t>3</w:t>
      </w:r>
      <w:r w:rsidR="00904C60">
        <w:rPr>
          <w:rFonts w:ascii="Times New Roman" w:hAnsi="Times New Roman" w:cs="Times New Roman"/>
          <w:sz w:val="20"/>
          <w:szCs w:val="20"/>
        </w:rPr>
        <w:t>5</w:t>
      </w:r>
      <w:r w:rsidR="00166908">
        <w:rPr>
          <w:rFonts w:ascii="Times New Roman" w:hAnsi="Times New Roman" w:cs="Times New Roman"/>
          <w:sz w:val="20"/>
          <w:szCs w:val="20"/>
        </w:rPr>
        <w:t>04</w:t>
      </w:r>
    </w:p>
    <w:p w:rsidR="008A5991" w:rsidRPr="005851A0" w:rsidRDefault="00EE43BC" w:rsidP="008A5991">
      <w:pPr>
        <w:pStyle w:val="NoSpacing"/>
        <w:rPr>
          <w:rFonts w:ascii="Times New Roman" w:hAnsi="Times New Roman" w:cs="Times New Roman"/>
          <w:sz w:val="20"/>
          <w:szCs w:val="20"/>
        </w:rPr>
      </w:pPr>
      <w:proofErr w:type="spellStart"/>
      <w:r w:rsidRPr="005851A0">
        <w:rPr>
          <w:rFonts w:ascii="Times New Roman" w:hAnsi="Times New Roman" w:cs="Times New Roman"/>
          <w:sz w:val="20"/>
          <w:szCs w:val="20"/>
        </w:rPr>
        <w:t>V.Korņenkova</w:t>
      </w:r>
      <w:proofErr w:type="spellEnd"/>
    </w:p>
    <w:p w:rsidR="00B1009B" w:rsidRPr="00D56B7B" w:rsidRDefault="008A5991" w:rsidP="00D56B7B">
      <w:pPr>
        <w:pStyle w:val="NoSpacing"/>
        <w:spacing w:after="120"/>
        <w:rPr>
          <w:rFonts w:ascii="Times New Roman" w:hAnsi="Times New Roman" w:cs="Times New Roman"/>
          <w:sz w:val="20"/>
          <w:szCs w:val="20"/>
        </w:rPr>
      </w:pPr>
      <w:r w:rsidRPr="005851A0">
        <w:rPr>
          <w:rFonts w:ascii="Times New Roman" w:hAnsi="Times New Roman" w:cs="Times New Roman"/>
          <w:sz w:val="20"/>
          <w:szCs w:val="20"/>
        </w:rPr>
        <w:t>678760</w:t>
      </w:r>
      <w:r w:rsidR="00EE43BC" w:rsidRPr="005851A0">
        <w:rPr>
          <w:rFonts w:ascii="Times New Roman" w:hAnsi="Times New Roman" w:cs="Times New Roman"/>
          <w:sz w:val="20"/>
          <w:szCs w:val="20"/>
        </w:rPr>
        <w:t>98</w:t>
      </w:r>
      <w:r w:rsidRPr="005851A0">
        <w:rPr>
          <w:rFonts w:ascii="Times New Roman" w:hAnsi="Times New Roman" w:cs="Times New Roman"/>
          <w:sz w:val="20"/>
          <w:szCs w:val="20"/>
        </w:rPr>
        <w:t xml:space="preserve">, </w:t>
      </w:r>
      <w:hyperlink r:id="rId8" w:history="1">
        <w:r w:rsidR="005851A0" w:rsidRPr="00D56B7B">
          <w:rPr>
            <w:rStyle w:val="Hyperlink"/>
            <w:rFonts w:ascii="Times New Roman" w:hAnsi="Times New Roman" w:cs="Times New Roman"/>
            <w:sz w:val="20"/>
            <w:szCs w:val="20"/>
          </w:rPr>
          <w:t>Viktorija.Kornenkova@vm.gov.lv</w:t>
        </w:r>
      </w:hyperlink>
      <w:r w:rsidR="007F47B0" w:rsidRPr="00D56B7B">
        <w:rPr>
          <w:rFonts w:ascii="Times New Roman" w:hAnsi="Times New Roman" w:cs="Times New Roman"/>
          <w:sz w:val="20"/>
          <w:szCs w:val="20"/>
        </w:rPr>
        <w:t xml:space="preserve"> </w:t>
      </w:r>
    </w:p>
    <w:p w:rsidR="00D56B7B" w:rsidRPr="00D56B7B" w:rsidRDefault="00D56B7B" w:rsidP="00D56B7B">
      <w:pPr>
        <w:pStyle w:val="NoSpacing"/>
        <w:rPr>
          <w:rFonts w:ascii="Times New Roman" w:hAnsi="Times New Roman" w:cs="Times New Roman"/>
          <w:sz w:val="20"/>
          <w:szCs w:val="20"/>
        </w:rPr>
      </w:pPr>
      <w:proofErr w:type="spellStart"/>
      <w:r w:rsidRPr="00D56B7B">
        <w:rPr>
          <w:rFonts w:ascii="Times New Roman" w:hAnsi="Times New Roman" w:cs="Times New Roman"/>
          <w:sz w:val="20"/>
          <w:szCs w:val="20"/>
        </w:rPr>
        <w:t>I.Vinničenko</w:t>
      </w:r>
      <w:proofErr w:type="spellEnd"/>
    </w:p>
    <w:p w:rsidR="00D56B7B" w:rsidRPr="00D56B7B" w:rsidRDefault="00D56B7B" w:rsidP="00D56B7B">
      <w:pPr>
        <w:pStyle w:val="NoSpacing"/>
        <w:rPr>
          <w:rFonts w:ascii="Times New Roman" w:hAnsi="Times New Roman" w:cs="Times New Roman"/>
          <w:sz w:val="20"/>
          <w:szCs w:val="20"/>
        </w:rPr>
      </w:pPr>
      <w:r w:rsidRPr="00D56B7B">
        <w:rPr>
          <w:rFonts w:ascii="Times New Roman" w:hAnsi="Times New Roman" w:cs="Times New Roman"/>
          <w:color w:val="000000"/>
          <w:sz w:val="20"/>
          <w:szCs w:val="20"/>
        </w:rPr>
        <w:t xml:space="preserve">67876029, </w:t>
      </w:r>
      <w:hyperlink r:id="rId9" w:history="1">
        <w:r w:rsidRPr="00D56B7B">
          <w:rPr>
            <w:rStyle w:val="Hyperlink"/>
            <w:rFonts w:ascii="Times New Roman" w:hAnsi="Times New Roman" w:cs="Times New Roman"/>
            <w:sz w:val="20"/>
            <w:szCs w:val="20"/>
          </w:rPr>
          <w:t>Inga.Vinnicenko@vm.gov.lv</w:t>
        </w:r>
      </w:hyperlink>
      <w:r w:rsidRPr="00D56B7B">
        <w:rPr>
          <w:rFonts w:ascii="Times New Roman" w:hAnsi="Times New Roman" w:cs="Times New Roman"/>
          <w:color w:val="000000"/>
          <w:sz w:val="20"/>
          <w:szCs w:val="20"/>
        </w:rPr>
        <w:t xml:space="preserve"> </w:t>
      </w:r>
    </w:p>
    <w:p w:rsidR="00D56B7B" w:rsidRPr="00D56B7B" w:rsidRDefault="00D56B7B" w:rsidP="00D56B7B">
      <w:pPr>
        <w:pStyle w:val="NoSpacing"/>
        <w:spacing w:after="120"/>
        <w:rPr>
          <w:rFonts w:ascii="Times New Roman" w:hAnsi="Times New Roman" w:cs="Times New Roman"/>
          <w:sz w:val="20"/>
          <w:szCs w:val="20"/>
        </w:rPr>
      </w:pPr>
    </w:p>
    <w:p w:rsidR="00D56B7B" w:rsidRPr="00EC6E8F" w:rsidRDefault="00D56B7B" w:rsidP="008A5991">
      <w:pPr>
        <w:pStyle w:val="NoSpacing"/>
        <w:rPr>
          <w:rFonts w:ascii="Times New Roman" w:hAnsi="Times New Roman" w:cs="Times New Roman"/>
        </w:rPr>
      </w:pPr>
    </w:p>
    <w:sectPr w:rsidR="00D56B7B" w:rsidRPr="00EC6E8F" w:rsidSect="0007065B">
      <w:headerReference w:type="default" r:id="rId10"/>
      <w:footerReference w:type="default" r:id="rId11"/>
      <w:footerReference w:type="first" r:id="rId12"/>
      <w:pgSz w:w="11906" w:h="16838"/>
      <w:pgMar w:top="993" w:right="991" w:bottom="1134" w:left="1701" w:header="709"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0F" w:rsidRDefault="0010100F" w:rsidP="00E108F9">
      <w:pPr>
        <w:spacing w:after="0" w:line="240" w:lineRule="auto"/>
      </w:pPr>
      <w:r>
        <w:separator/>
      </w:r>
    </w:p>
  </w:endnote>
  <w:endnote w:type="continuationSeparator" w:id="0">
    <w:p w:rsidR="0010100F" w:rsidRDefault="0010100F" w:rsidP="00E10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0F" w:rsidRDefault="0010100F" w:rsidP="00B23F2C">
    <w:pPr>
      <w:pStyle w:val="Heading3"/>
      <w:spacing w:before="0" w:after="0"/>
      <w:ind w:right="-483"/>
      <w:jc w:val="both"/>
      <w:rPr>
        <w:rFonts w:ascii="Times New Roman" w:hAnsi="Times New Roman" w:cs="Times New Roman"/>
        <w:b w:val="0"/>
        <w:sz w:val="20"/>
        <w:szCs w:val="24"/>
      </w:rPr>
    </w:pPr>
  </w:p>
  <w:p w:rsidR="0010100F" w:rsidRPr="001A0632" w:rsidRDefault="00904C60" w:rsidP="00A823B4">
    <w:pPr>
      <w:pStyle w:val="Heading3"/>
      <w:spacing w:before="0" w:after="0"/>
      <w:ind w:right="-1"/>
      <w:jc w:val="both"/>
      <w:rPr>
        <w:rFonts w:ascii="Times New Roman" w:hAnsi="Times New Roman" w:cs="Times New Roman"/>
        <w:b w:val="0"/>
        <w:bCs w:val="0"/>
        <w:sz w:val="22"/>
        <w:szCs w:val="22"/>
      </w:rPr>
    </w:pPr>
    <w:r>
      <w:rPr>
        <w:rFonts w:ascii="Times New Roman" w:hAnsi="Times New Roman" w:cs="Times New Roman"/>
        <w:b w:val="0"/>
        <w:sz w:val="22"/>
        <w:szCs w:val="22"/>
      </w:rPr>
      <w:t>VManot_1</w:t>
    </w:r>
    <w:r w:rsidR="00272F4C">
      <w:rPr>
        <w:rFonts w:ascii="Times New Roman" w:hAnsi="Times New Roman" w:cs="Times New Roman"/>
        <w:b w:val="0"/>
        <w:sz w:val="22"/>
        <w:szCs w:val="22"/>
      </w:rPr>
      <w:t>6</w:t>
    </w:r>
    <w:r w:rsidR="0010100F">
      <w:rPr>
        <w:rFonts w:ascii="Times New Roman" w:hAnsi="Times New Roman" w:cs="Times New Roman"/>
        <w:b w:val="0"/>
        <w:sz w:val="22"/>
        <w:szCs w:val="22"/>
      </w:rPr>
      <w:t>02</w:t>
    </w:r>
    <w:r w:rsidR="0010100F" w:rsidRPr="001A0632">
      <w:rPr>
        <w:rFonts w:ascii="Times New Roman" w:hAnsi="Times New Roman" w:cs="Times New Roman"/>
        <w:b w:val="0"/>
        <w:sz w:val="22"/>
        <w:szCs w:val="22"/>
      </w:rPr>
      <w:t>16</w:t>
    </w:r>
    <w:r w:rsidR="0010100F">
      <w:rPr>
        <w:rFonts w:ascii="Times New Roman" w:hAnsi="Times New Roman" w:cs="Times New Roman"/>
        <w:b w:val="0"/>
        <w:sz w:val="22"/>
        <w:szCs w:val="22"/>
      </w:rPr>
      <w:t>_1037</w:t>
    </w:r>
    <w:r w:rsidR="0010100F" w:rsidRPr="001A0632">
      <w:rPr>
        <w:rFonts w:ascii="Times New Roman" w:hAnsi="Times New Roman" w:cs="Times New Roman"/>
        <w:b w:val="0"/>
        <w:sz w:val="22"/>
        <w:szCs w:val="22"/>
      </w:rPr>
      <w:t xml:space="preserve">; </w:t>
    </w:r>
    <w:r w:rsidR="0010100F" w:rsidRPr="001A0632">
      <w:rPr>
        <w:rFonts w:ascii="Times New Roman" w:hAnsi="Times New Roman" w:cs="Times New Roman"/>
        <w:b w:val="0"/>
        <w:bCs w:val="0"/>
        <w:sz w:val="22"/>
        <w:szCs w:val="22"/>
      </w:rPr>
      <w:t>Ministru kabineta noteikumu projekta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0F" w:rsidRDefault="0010100F" w:rsidP="00D556C9">
    <w:pPr>
      <w:pStyle w:val="Heading3"/>
      <w:spacing w:before="0" w:after="0"/>
      <w:ind w:right="-1"/>
      <w:jc w:val="both"/>
      <w:rPr>
        <w:rFonts w:ascii="Times New Roman" w:hAnsi="Times New Roman" w:cs="Times New Roman"/>
        <w:b w:val="0"/>
        <w:sz w:val="20"/>
        <w:szCs w:val="24"/>
      </w:rPr>
    </w:pPr>
  </w:p>
  <w:p w:rsidR="0010100F" w:rsidRPr="007C5A7E" w:rsidRDefault="00272F4C" w:rsidP="00D556C9">
    <w:pPr>
      <w:pStyle w:val="Heading3"/>
      <w:spacing w:before="0" w:after="0"/>
      <w:ind w:right="-1"/>
      <w:jc w:val="both"/>
      <w:rPr>
        <w:rFonts w:ascii="Times New Roman" w:hAnsi="Times New Roman" w:cs="Times New Roman"/>
        <w:b w:val="0"/>
        <w:bCs w:val="0"/>
        <w:sz w:val="22"/>
        <w:szCs w:val="22"/>
      </w:rPr>
    </w:pPr>
    <w:r>
      <w:rPr>
        <w:rFonts w:ascii="Times New Roman" w:hAnsi="Times New Roman" w:cs="Times New Roman"/>
        <w:b w:val="0"/>
        <w:sz w:val="22"/>
        <w:szCs w:val="22"/>
      </w:rPr>
      <w:t>VManot_16</w:t>
    </w:r>
    <w:r w:rsidR="0010100F">
      <w:rPr>
        <w:rFonts w:ascii="Times New Roman" w:hAnsi="Times New Roman" w:cs="Times New Roman"/>
        <w:b w:val="0"/>
        <w:sz w:val="22"/>
        <w:szCs w:val="22"/>
      </w:rPr>
      <w:t>0216_1037</w:t>
    </w:r>
    <w:r w:rsidR="0010100F" w:rsidRPr="007C5A7E">
      <w:rPr>
        <w:rFonts w:ascii="Times New Roman" w:hAnsi="Times New Roman" w:cs="Times New Roman"/>
        <w:b w:val="0"/>
        <w:sz w:val="22"/>
        <w:szCs w:val="22"/>
      </w:rPr>
      <w:t xml:space="preserve">; </w:t>
    </w:r>
    <w:bookmarkStart w:id="1" w:name="OLE_LINK1"/>
    <w:bookmarkStart w:id="2" w:name="OLE_LINK2"/>
    <w:bookmarkStart w:id="3" w:name="_Hlk440957310"/>
    <w:r w:rsidR="0010100F" w:rsidRPr="007C5A7E">
      <w:rPr>
        <w:rFonts w:ascii="Times New Roman" w:hAnsi="Times New Roman" w:cs="Times New Roman"/>
        <w:b w:val="0"/>
        <w:bCs w:val="0"/>
        <w:sz w:val="22"/>
        <w:szCs w:val="22"/>
      </w:rPr>
      <w:t>Ministru kabineta noteikumu projekta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 sākotnējās ietekmes novērtējuma ziņojums (anotācija)</w:t>
    </w:r>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0F" w:rsidRDefault="0010100F" w:rsidP="00E108F9">
      <w:pPr>
        <w:spacing w:after="0" w:line="240" w:lineRule="auto"/>
      </w:pPr>
      <w:r>
        <w:separator/>
      </w:r>
    </w:p>
  </w:footnote>
  <w:footnote w:type="continuationSeparator" w:id="0">
    <w:p w:rsidR="0010100F" w:rsidRDefault="0010100F" w:rsidP="00E10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6091"/>
      <w:docPartObj>
        <w:docPartGallery w:val="Page Numbers (Top of Page)"/>
        <w:docPartUnique/>
      </w:docPartObj>
    </w:sdtPr>
    <w:sdtEndPr>
      <w:rPr>
        <w:rFonts w:ascii="Times New Roman" w:hAnsi="Times New Roman" w:cs="Times New Roman"/>
        <w:sz w:val="24"/>
        <w:szCs w:val="24"/>
      </w:rPr>
    </w:sdtEndPr>
    <w:sdtContent>
      <w:p w:rsidR="0010100F" w:rsidRDefault="00D44ECA">
        <w:pPr>
          <w:pStyle w:val="Header"/>
          <w:jc w:val="center"/>
        </w:pPr>
        <w:r w:rsidRPr="00650FDB">
          <w:rPr>
            <w:rFonts w:ascii="Times New Roman" w:hAnsi="Times New Roman" w:cs="Times New Roman"/>
            <w:sz w:val="24"/>
            <w:szCs w:val="24"/>
          </w:rPr>
          <w:fldChar w:fldCharType="begin"/>
        </w:r>
        <w:r w:rsidR="0010100F"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272F4C">
          <w:rPr>
            <w:rFonts w:ascii="Times New Roman" w:hAnsi="Times New Roman" w:cs="Times New Roman"/>
            <w:noProof/>
            <w:sz w:val="24"/>
            <w:szCs w:val="24"/>
          </w:rPr>
          <w:t>16</w:t>
        </w:r>
        <w:r w:rsidRPr="00650FDB">
          <w:rPr>
            <w:rFonts w:ascii="Times New Roman" w:hAnsi="Times New Roman" w:cs="Times New Roman"/>
            <w:sz w:val="24"/>
            <w:szCs w:val="24"/>
          </w:rPr>
          <w:fldChar w:fldCharType="end"/>
        </w:r>
      </w:p>
    </w:sdtContent>
  </w:sdt>
  <w:p w:rsidR="0010100F" w:rsidRDefault="00101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nsid w:val="31427342"/>
    <w:multiLevelType w:val="hybridMultilevel"/>
    <w:tmpl w:val="7DEC26B4"/>
    <w:lvl w:ilvl="0" w:tplc="2CDC4BA6">
      <w:start w:val="1"/>
      <w:numFmt w:val="decimal"/>
      <w:lvlText w:val="%1."/>
      <w:lvlJc w:val="left"/>
      <w:pPr>
        <w:ind w:left="722" w:hanging="360"/>
      </w:pPr>
      <w:rPr>
        <w:rFonts w:ascii="Times New Roman" w:eastAsia="Times New Roman" w:hAnsi="Times New Roman" w:cs="Times New Roman"/>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3">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6">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7">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8">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num w:numId="1">
    <w:abstractNumId w:val="8"/>
  </w:num>
  <w:num w:numId="2">
    <w:abstractNumId w:val="0"/>
  </w:num>
  <w:num w:numId="3">
    <w:abstractNumId w:val="4"/>
  </w:num>
  <w:num w:numId="4">
    <w:abstractNumId w:val="11"/>
  </w:num>
  <w:num w:numId="5">
    <w:abstractNumId w:val="2"/>
  </w:num>
  <w:num w:numId="6">
    <w:abstractNumId w:val="9"/>
  </w:num>
  <w:num w:numId="7">
    <w:abstractNumId w:val="1"/>
  </w:num>
  <w:num w:numId="8">
    <w:abstractNumId w:val="7"/>
  </w:num>
  <w:num w:numId="9">
    <w:abstractNumId w:val="10"/>
  </w:num>
  <w:num w:numId="10">
    <w:abstractNumId w:val="5"/>
  </w:num>
  <w:num w:numId="11">
    <w:abstractNumId w:val="6"/>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64BF"/>
    <w:rsid w:val="0000180D"/>
    <w:rsid w:val="00003BE6"/>
    <w:rsid w:val="00014D17"/>
    <w:rsid w:val="00035A62"/>
    <w:rsid w:val="00041E1B"/>
    <w:rsid w:val="00042844"/>
    <w:rsid w:val="000561CA"/>
    <w:rsid w:val="000578E4"/>
    <w:rsid w:val="0007065B"/>
    <w:rsid w:val="000709F0"/>
    <w:rsid w:val="000851F6"/>
    <w:rsid w:val="000945C9"/>
    <w:rsid w:val="000947DB"/>
    <w:rsid w:val="000953DA"/>
    <w:rsid w:val="000B0322"/>
    <w:rsid w:val="000D7568"/>
    <w:rsid w:val="000E7489"/>
    <w:rsid w:val="000F0F94"/>
    <w:rsid w:val="0010100F"/>
    <w:rsid w:val="00107A54"/>
    <w:rsid w:val="00114746"/>
    <w:rsid w:val="001155CE"/>
    <w:rsid w:val="00117B2B"/>
    <w:rsid w:val="001238C9"/>
    <w:rsid w:val="00130768"/>
    <w:rsid w:val="0015094C"/>
    <w:rsid w:val="00150E5E"/>
    <w:rsid w:val="00154A32"/>
    <w:rsid w:val="00161ECC"/>
    <w:rsid w:val="00166908"/>
    <w:rsid w:val="0019591C"/>
    <w:rsid w:val="001A0632"/>
    <w:rsid w:val="001A51B5"/>
    <w:rsid w:val="001A5C55"/>
    <w:rsid w:val="001A7614"/>
    <w:rsid w:val="001B3175"/>
    <w:rsid w:val="001C4AAB"/>
    <w:rsid w:val="001E1785"/>
    <w:rsid w:val="001F6002"/>
    <w:rsid w:val="00211C5A"/>
    <w:rsid w:val="002425CD"/>
    <w:rsid w:val="00250CDE"/>
    <w:rsid w:val="00260399"/>
    <w:rsid w:val="00263CE3"/>
    <w:rsid w:val="00272F4C"/>
    <w:rsid w:val="002818EF"/>
    <w:rsid w:val="00296268"/>
    <w:rsid w:val="002B0822"/>
    <w:rsid w:val="002B5EC7"/>
    <w:rsid w:val="002C0690"/>
    <w:rsid w:val="002C6748"/>
    <w:rsid w:val="002C6A6E"/>
    <w:rsid w:val="002D3419"/>
    <w:rsid w:val="002D40CE"/>
    <w:rsid w:val="002F6578"/>
    <w:rsid w:val="00301274"/>
    <w:rsid w:val="0030641D"/>
    <w:rsid w:val="00322EEC"/>
    <w:rsid w:val="003262CB"/>
    <w:rsid w:val="00342BE8"/>
    <w:rsid w:val="00345F23"/>
    <w:rsid w:val="003472B4"/>
    <w:rsid w:val="003564BF"/>
    <w:rsid w:val="00367D0A"/>
    <w:rsid w:val="00372307"/>
    <w:rsid w:val="003846A6"/>
    <w:rsid w:val="0038695B"/>
    <w:rsid w:val="003A0254"/>
    <w:rsid w:val="003C1714"/>
    <w:rsid w:val="003C4058"/>
    <w:rsid w:val="003E18C1"/>
    <w:rsid w:val="003E56E7"/>
    <w:rsid w:val="003F24F9"/>
    <w:rsid w:val="00405A85"/>
    <w:rsid w:val="004264CB"/>
    <w:rsid w:val="0043382B"/>
    <w:rsid w:val="0046458A"/>
    <w:rsid w:val="00471D42"/>
    <w:rsid w:val="0049355A"/>
    <w:rsid w:val="004A2932"/>
    <w:rsid w:val="004B3B65"/>
    <w:rsid w:val="004B441F"/>
    <w:rsid w:val="004B4FA7"/>
    <w:rsid w:val="004B7C4C"/>
    <w:rsid w:val="004D1BA5"/>
    <w:rsid w:val="004F7AEC"/>
    <w:rsid w:val="00500D90"/>
    <w:rsid w:val="00502F4F"/>
    <w:rsid w:val="00502F64"/>
    <w:rsid w:val="00507B2C"/>
    <w:rsid w:val="005109D9"/>
    <w:rsid w:val="0053565D"/>
    <w:rsid w:val="005424F2"/>
    <w:rsid w:val="00552A29"/>
    <w:rsid w:val="00570FA2"/>
    <w:rsid w:val="005851A0"/>
    <w:rsid w:val="005A1682"/>
    <w:rsid w:val="005C2BB7"/>
    <w:rsid w:val="005E0E88"/>
    <w:rsid w:val="005F288A"/>
    <w:rsid w:val="005F69D7"/>
    <w:rsid w:val="00610F08"/>
    <w:rsid w:val="00615BBE"/>
    <w:rsid w:val="006161B4"/>
    <w:rsid w:val="00623010"/>
    <w:rsid w:val="00633997"/>
    <w:rsid w:val="00635A5B"/>
    <w:rsid w:val="00635C85"/>
    <w:rsid w:val="00650FDB"/>
    <w:rsid w:val="00660289"/>
    <w:rsid w:val="00662AE5"/>
    <w:rsid w:val="00674427"/>
    <w:rsid w:val="00675EF0"/>
    <w:rsid w:val="00686C79"/>
    <w:rsid w:val="00690573"/>
    <w:rsid w:val="006907C6"/>
    <w:rsid w:val="006A0FD6"/>
    <w:rsid w:val="006B5CAE"/>
    <w:rsid w:val="006D256E"/>
    <w:rsid w:val="006E3411"/>
    <w:rsid w:val="006F7625"/>
    <w:rsid w:val="006F7A1A"/>
    <w:rsid w:val="00702661"/>
    <w:rsid w:val="0070362E"/>
    <w:rsid w:val="007112AE"/>
    <w:rsid w:val="00724326"/>
    <w:rsid w:val="007311A3"/>
    <w:rsid w:val="00740CFA"/>
    <w:rsid w:val="00777172"/>
    <w:rsid w:val="00795B63"/>
    <w:rsid w:val="00797061"/>
    <w:rsid w:val="00797AEB"/>
    <w:rsid w:val="007A4D49"/>
    <w:rsid w:val="007B01EC"/>
    <w:rsid w:val="007B283C"/>
    <w:rsid w:val="007B3A0E"/>
    <w:rsid w:val="007C42C2"/>
    <w:rsid w:val="007C5A7E"/>
    <w:rsid w:val="007D315F"/>
    <w:rsid w:val="007E4087"/>
    <w:rsid w:val="007F47B0"/>
    <w:rsid w:val="007F5DE9"/>
    <w:rsid w:val="007F667B"/>
    <w:rsid w:val="00816743"/>
    <w:rsid w:val="00816F86"/>
    <w:rsid w:val="00822E6E"/>
    <w:rsid w:val="00831CD4"/>
    <w:rsid w:val="00845C58"/>
    <w:rsid w:val="00853671"/>
    <w:rsid w:val="00854C8E"/>
    <w:rsid w:val="00863B80"/>
    <w:rsid w:val="008834E8"/>
    <w:rsid w:val="00885FC1"/>
    <w:rsid w:val="008A0957"/>
    <w:rsid w:val="008A0FF3"/>
    <w:rsid w:val="008A21FC"/>
    <w:rsid w:val="008A3A60"/>
    <w:rsid w:val="008A5991"/>
    <w:rsid w:val="008B6E72"/>
    <w:rsid w:val="008B7478"/>
    <w:rsid w:val="008C3BFA"/>
    <w:rsid w:val="008D4404"/>
    <w:rsid w:val="00902B2B"/>
    <w:rsid w:val="00904C60"/>
    <w:rsid w:val="00912243"/>
    <w:rsid w:val="009152C2"/>
    <w:rsid w:val="00917F3A"/>
    <w:rsid w:val="00925F98"/>
    <w:rsid w:val="00952049"/>
    <w:rsid w:val="00961DAD"/>
    <w:rsid w:val="00962B52"/>
    <w:rsid w:val="00971E16"/>
    <w:rsid w:val="009800C9"/>
    <w:rsid w:val="00991ACC"/>
    <w:rsid w:val="009C6EA1"/>
    <w:rsid w:val="009D7597"/>
    <w:rsid w:val="009F35AB"/>
    <w:rsid w:val="009F3A3A"/>
    <w:rsid w:val="009F49AD"/>
    <w:rsid w:val="009F4CF1"/>
    <w:rsid w:val="009F700C"/>
    <w:rsid w:val="009F7C3A"/>
    <w:rsid w:val="00A076F7"/>
    <w:rsid w:val="00A14861"/>
    <w:rsid w:val="00A15289"/>
    <w:rsid w:val="00A238BF"/>
    <w:rsid w:val="00A31633"/>
    <w:rsid w:val="00A31B90"/>
    <w:rsid w:val="00A35A39"/>
    <w:rsid w:val="00A360AC"/>
    <w:rsid w:val="00A478E5"/>
    <w:rsid w:val="00A7556B"/>
    <w:rsid w:val="00A80380"/>
    <w:rsid w:val="00A81D8E"/>
    <w:rsid w:val="00A823B4"/>
    <w:rsid w:val="00A93704"/>
    <w:rsid w:val="00A96380"/>
    <w:rsid w:val="00AA46AC"/>
    <w:rsid w:val="00AA5139"/>
    <w:rsid w:val="00AB0348"/>
    <w:rsid w:val="00AC5644"/>
    <w:rsid w:val="00AC6F0A"/>
    <w:rsid w:val="00AC79AE"/>
    <w:rsid w:val="00AD7F82"/>
    <w:rsid w:val="00AE5E28"/>
    <w:rsid w:val="00AF5697"/>
    <w:rsid w:val="00B01168"/>
    <w:rsid w:val="00B016FA"/>
    <w:rsid w:val="00B05FB3"/>
    <w:rsid w:val="00B07061"/>
    <w:rsid w:val="00B1009B"/>
    <w:rsid w:val="00B1728C"/>
    <w:rsid w:val="00B23F2C"/>
    <w:rsid w:val="00B24FC5"/>
    <w:rsid w:val="00B260CA"/>
    <w:rsid w:val="00B34AE6"/>
    <w:rsid w:val="00B3766D"/>
    <w:rsid w:val="00B41653"/>
    <w:rsid w:val="00B41AC6"/>
    <w:rsid w:val="00B47370"/>
    <w:rsid w:val="00B70817"/>
    <w:rsid w:val="00B76518"/>
    <w:rsid w:val="00B81357"/>
    <w:rsid w:val="00B96857"/>
    <w:rsid w:val="00BB076F"/>
    <w:rsid w:val="00BD2AE0"/>
    <w:rsid w:val="00BE1F11"/>
    <w:rsid w:val="00BE232D"/>
    <w:rsid w:val="00C01C14"/>
    <w:rsid w:val="00C17A24"/>
    <w:rsid w:val="00C2287A"/>
    <w:rsid w:val="00C32444"/>
    <w:rsid w:val="00C33C8C"/>
    <w:rsid w:val="00C531C3"/>
    <w:rsid w:val="00C60BC8"/>
    <w:rsid w:val="00C90470"/>
    <w:rsid w:val="00C93DFB"/>
    <w:rsid w:val="00C968BF"/>
    <w:rsid w:val="00CD5CAC"/>
    <w:rsid w:val="00CD7867"/>
    <w:rsid w:val="00CE7CA7"/>
    <w:rsid w:val="00CF259E"/>
    <w:rsid w:val="00D020CB"/>
    <w:rsid w:val="00D0507E"/>
    <w:rsid w:val="00D1567F"/>
    <w:rsid w:val="00D23B49"/>
    <w:rsid w:val="00D257E6"/>
    <w:rsid w:val="00D347AD"/>
    <w:rsid w:val="00D40C80"/>
    <w:rsid w:val="00D41255"/>
    <w:rsid w:val="00D44ECA"/>
    <w:rsid w:val="00D556C9"/>
    <w:rsid w:val="00D5669E"/>
    <w:rsid w:val="00D56B7B"/>
    <w:rsid w:val="00D6354B"/>
    <w:rsid w:val="00D65DA8"/>
    <w:rsid w:val="00D83DBC"/>
    <w:rsid w:val="00D9147B"/>
    <w:rsid w:val="00D92283"/>
    <w:rsid w:val="00DB4408"/>
    <w:rsid w:val="00DB732B"/>
    <w:rsid w:val="00DC03D7"/>
    <w:rsid w:val="00E047C6"/>
    <w:rsid w:val="00E0687B"/>
    <w:rsid w:val="00E108F9"/>
    <w:rsid w:val="00E11C0C"/>
    <w:rsid w:val="00E20C6F"/>
    <w:rsid w:val="00E21F38"/>
    <w:rsid w:val="00E225E6"/>
    <w:rsid w:val="00E31810"/>
    <w:rsid w:val="00E53276"/>
    <w:rsid w:val="00E573F3"/>
    <w:rsid w:val="00E60C87"/>
    <w:rsid w:val="00E62CFF"/>
    <w:rsid w:val="00E81845"/>
    <w:rsid w:val="00E940F3"/>
    <w:rsid w:val="00EA03E6"/>
    <w:rsid w:val="00EA1E60"/>
    <w:rsid w:val="00EA7C5D"/>
    <w:rsid w:val="00EC46AF"/>
    <w:rsid w:val="00EC6DCE"/>
    <w:rsid w:val="00EC6E8F"/>
    <w:rsid w:val="00EE33AF"/>
    <w:rsid w:val="00EE42B6"/>
    <w:rsid w:val="00EE43BC"/>
    <w:rsid w:val="00EF4EC8"/>
    <w:rsid w:val="00F22F1C"/>
    <w:rsid w:val="00F26EED"/>
    <w:rsid w:val="00F26FD5"/>
    <w:rsid w:val="00F27889"/>
    <w:rsid w:val="00F30CE9"/>
    <w:rsid w:val="00F51912"/>
    <w:rsid w:val="00F93ADF"/>
    <w:rsid w:val="00F942F2"/>
    <w:rsid w:val="00FC5F7E"/>
    <w:rsid w:val="00FE0C2C"/>
    <w:rsid w:val="00FE44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32"/>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semiHidden/>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Vinnic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F438F-49E3-427C-A129-F7968491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17354</Words>
  <Characters>9892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 gada 27. decembra noteikumos Nr. 1037 „Noteikumi par cilvēka asiņu un asins komponentu savākšanas, testēšanas, apstrādes, uzglabāšanas un izplatīšanas kvalitātes un drošības standarti</vt:lpstr>
    </vt:vector>
  </TitlesOfParts>
  <Company>Veselíbas ministrija</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 sākotnējās ietekmes novērtējuma ziņojums (anotācija)</dc:title>
  <dc:subject>Projekta anotācija</dc:subject>
  <dc:creator>Viktorija Korņenkova</dc:creator>
  <dc:description>Viktorija Korņenkova, viktorija.kornenkova@vm.gov.lv, 67876098</dc:description>
  <cp:lastModifiedBy>vkornenkova</cp:lastModifiedBy>
  <cp:revision>2</cp:revision>
  <cp:lastPrinted>2016-01-18T11:39:00Z</cp:lastPrinted>
  <dcterms:created xsi:type="dcterms:W3CDTF">2016-02-16T10:02:00Z</dcterms:created>
  <dcterms:modified xsi:type="dcterms:W3CDTF">2016-02-16T10:02:00Z</dcterms:modified>
</cp:coreProperties>
</file>