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61C7" w14:textId="77777777" w:rsidR="00A708AD" w:rsidRPr="00F5458C" w:rsidRDefault="00A708AD" w:rsidP="00DD6762">
      <w:pPr>
        <w:tabs>
          <w:tab w:val="left" w:pos="6663"/>
        </w:tabs>
        <w:rPr>
          <w:sz w:val="28"/>
          <w:szCs w:val="28"/>
        </w:rPr>
      </w:pPr>
    </w:p>
    <w:p w14:paraId="6E43F03F" w14:textId="77777777" w:rsidR="00A708AD" w:rsidRPr="00F5458C" w:rsidRDefault="00A708AD" w:rsidP="00DD6762">
      <w:pPr>
        <w:tabs>
          <w:tab w:val="left" w:pos="6663"/>
        </w:tabs>
        <w:rPr>
          <w:sz w:val="28"/>
          <w:szCs w:val="28"/>
        </w:rPr>
      </w:pPr>
    </w:p>
    <w:p w14:paraId="3F64A2BD" w14:textId="5C635DF9" w:rsidR="00A708AD" w:rsidRPr="008C4EDF" w:rsidRDefault="00A708AD"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765FD7" w:rsidRPr="00765FD7">
        <w:rPr>
          <w:sz w:val="28"/>
          <w:szCs w:val="28"/>
        </w:rPr>
        <w:t>5. aprīlī</w:t>
      </w:r>
      <w:r w:rsidRPr="008C4EDF">
        <w:rPr>
          <w:sz w:val="28"/>
          <w:szCs w:val="28"/>
        </w:rPr>
        <w:tab/>
        <w:t>Noteikumi Nr.</w:t>
      </w:r>
      <w:r w:rsidR="00765FD7">
        <w:rPr>
          <w:sz w:val="28"/>
          <w:szCs w:val="28"/>
        </w:rPr>
        <w:t> 200</w:t>
      </w:r>
    </w:p>
    <w:p w14:paraId="12C3FE43" w14:textId="7F8EF55B" w:rsidR="00A708AD" w:rsidRPr="00E9501F" w:rsidRDefault="00A708AD"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65FD7">
        <w:rPr>
          <w:sz w:val="28"/>
          <w:szCs w:val="28"/>
        </w:rPr>
        <w:t>16</w:t>
      </w:r>
      <w:r>
        <w:rPr>
          <w:sz w:val="28"/>
          <w:szCs w:val="28"/>
        </w:rPr>
        <w:t>  </w:t>
      </w:r>
      <w:r w:rsidR="00765FD7">
        <w:rPr>
          <w:sz w:val="28"/>
          <w:szCs w:val="28"/>
        </w:rPr>
        <w:t>17</w:t>
      </w:r>
      <w:bookmarkStart w:id="0" w:name="_GoBack"/>
      <w:bookmarkEnd w:id="0"/>
      <w:r w:rsidRPr="00F5458C">
        <w:rPr>
          <w:sz w:val="28"/>
          <w:szCs w:val="28"/>
        </w:rPr>
        <w:t>.</w:t>
      </w:r>
      <w:r>
        <w:rPr>
          <w:sz w:val="28"/>
          <w:szCs w:val="28"/>
        </w:rPr>
        <w:t> </w:t>
      </w:r>
      <w:r w:rsidRPr="00F5458C">
        <w:rPr>
          <w:sz w:val="28"/>
          <w:szCs w:val="28"/>
        </w:rPr>
        <w:t>§)</w:t>
      </w:r>
    </w:p>
    <w:p w14:paraId="60BFFBF3" w14:textId="77777777" w:rsidR="00074283" w:rsidRPr="001E0596" w:rsidRDefault="00074283" w:rsidP="00074283">
      <w:pPr>
        <w:pStyle w:val="NoSpacing"/>
        <w:jc w:val="both"/>
        <w:rPr>
          <w:rFonts w:ascii="Times New Roman" w:hAnsi="Times New Roman"/>
          <w:sz w:val="28"/>
          <w:szCs w:val="28"/>
          <w:lang w:val="lv-LV"/>
        </w:rPr>
      </w:pPr>
    </w:p>
    <w:p w14:paraId="60BFFBF4" w14:textId="67D23DCA" w:rsidR="00074283" w:rsidRPr="00074283" w:rsidRDefault="00263127" w:rsidP="00074283">
      <w:pPr>
        <w:jc w:val="center"/>
        <w:rPr>
          <w:b/>
          <w:sz w:val="28"/>
          <w:szCs w:val="28"/>
        </w:rPr>
      </w:pPr>
      <w:bookmarkStart w:id="1" w:name="OLE_LINK1"/>
      <w:r>
        <w:rPr>
          <w:b/>
          <w:sz w:val="28"/>
          <w:szCs w:val="28"/>
        </w:rPr>
        <w:t>Grozījumi Ministru kabineta 2005.</w:t>
      </w:r>
      <w:r w:rsidR="008F256A">
        <w:rPr>
          <w:b/>
          <w:sz w:val="28"/>
          <w:szCs w:val="28"/>
        </w:rPr>
        <w:t> </w:t>
      </w:r>
      <w:r>
        <w:rPr>
          <w:b/>
          <w:sz w:val="28"/>
          <w:szCs w:val="28"/>
        </w:rPr>
        <w:t>gada 27.</w:t>
      </w:r>
      <w:r w:rsidR="008F256A">
        <w:rPr>
          <w:b/>
          <w:sz w:val="28"/>
          <w:szCs w:val="28"/>
        </w:rPr>
        <w:t> </w:t>
      </w:r>
      <w:r>
        <w:rPr>
          <w:b/>
          <w:sz w:val="28"/>
          <w:szCs w:val="28"/>
        </w:rPr>
        <w:t>decembra noteikumos Nr.</w:t>
      </w:r>
      <w:r w:rsidR="008F256A">
        <w:rPr>
          <w:b/>
          <w:sz w:val="28"/>
          <w:szCs w:val="28"/>
        </w:rPr>
        <w:t> </w:t>
      </w:r>
      <w:r>
        <w:rPr>
          <w:b/>
          <w:sz w:val="28"/>
          <w:szCs w:val="28"/>
        </w:rPr>
        <w:t xml:space="preserve">1037 </w:t>
      </w:r>
      <w:r w:rsidR="008F256A">
        <w:rPr>
          <w:b/>
          <w:sz w:val="28"/>
          <w:szCs w:val="28"/>
        </w:rPr>
        <w:t>"</w:t>
      </w:r>
      <w:r>
        <w:rPr>
          <w:b/>
          <w:sz w:val="28"/>
          <w:szCs w:val="28"/>
        </w:rPr>
        <w:t>Noteikumi par cilvēka asiņu un asins komponentu savākšanas, testēšanas, apstrādes, uzglabāšanas un izplatīšanas kvalitātes un drošības standartiem un kompensāciju par izdevumiem zaudētā asins apjoma atjaunošanai</w:t>
      </w:r>
      <w:r w:rsidR="00A708AD">
        <w:rPr>
          <w:b/>
          <w:sz w:val="28"/>
          <w:szCs w:val="28"/>
        </w:rPr>
        <w:t>"</w:t>
      </w:r>
    </w:p>
    <w:bookmarkEnd w:id="1"/>
    <w:p w14:paraId="60BFFBF5" w14:textId="77777777" w:rsidR="00074283" w:rsidRPr="008F256A" w:rsidRDefault="00074283" w:rsidP="00074283">
      <w:pPr>
        <w:jc w:val="center"/>
        <w:rPr>
          <w:bCs/>
          <w:sz w:val="28"/>
          <w:szCs w:val="28"/>
        </w:rPr>
      </w:pPr>
    </w:p>
    <w:p w14:paraId="07996632" w14:textId="77777777" w:rsidR="008F256A" w:rsidRDefault="00074283" w:rsidP="00074283">
      <w:pPr>
        <w:pStyle w:val="NoSpacing"/>
        <w:jc w:val="right"/>
        <w:rPr>
          <w:rFonts w:ascii="Times New Roman" w:hAnsi="Times New Roman"/>
          <w:sz w:val="28"/>
          <w:szCs w:val="28"/>
          <w:lang w:val="lv-LV"/>
        </w:rPr>
      </w:pPr>
      <w:r w:rsidRPr="00074283">
        <w:rPr>
          <w:rFonts w:ascii="Times New Roman" w:hAnsi="Times New Roman"/>
          <w:sz w:val="28"/>
          <w:szCs w:val="28"/>
          <w:lang w:val="lv-LV"/>
        </w:rPr>
        <w:t xml:space="preserve">Izdoti saskaņā ar </w:t>
      </w:r>
    </w:p>
    <w:p w14:paraId="60BFFBF6" w14:textId="5926F1F9" w:rsidR="00074283" w:rsidRPr="00074283" w:rsidRDefault="00074283" w:rsidP="00074283">
      <w:pPr>
        <w:pStyle w:val="NoSpacing"/>
        <w:jc w:val="right"/>
        <w:rPr>
          <w:rFonts w:ascii="Times New Roman" w:hAnsi="Times New Roman"/>
          <w:sz w:val="28"/>
          <w:szCs w:val="28"/>
          <w:lang w:val="lv-LV"/>
        </w:rPr>
      </w:pPr>
      <w:r w:rsidRPr="00074283">
        <w:rPr>
          <w:rFonts w:ascii="Times New Roman" w:hAnsi="Times New Roman"/>
          <w:sz w:val="28"/>
          <w:szCs w:val="28"/>
          <w:lang w:val="lv-LV"/>
        </w:rPr>
        <w:t>Ārstniecības</w:t>
      </w:r>
      <w:r w:rsidR="008F256A" w:rsidRPr="008F256A">
        <w:rPr>
          <w:rFonts w:ascii="Times New Roman" w:hAnsi="Times New Roman"/>
          <w:sz w:val="28"/>
          <w:szCs w:val="28"/>
          <w:lang w:val="lv-LV"/>
        </w:rPr>
        <w:t xml:space="preserve"> </w:t>
      </w:r>
      <w:r w:rsidR="008F256A" w:rsidRPr="00074283">
        <w:rPr>
          <w:rFonts w:ascii="Times New Roman" w:hAnsi="Times New Roman"/>
          <w:sz w:val="28"/>
          <w:szCs w:val="28"/>
          <w:lang w:val="lv-LV"/>
        </w:rPr>
        <w:t>likuma</w:t>
      </w:r>
    </w:p>
    <w:p w14:paraId="60BFFBF7" w14:textId="69EF9F32" w:rsidR="00074283" w:rsidRDefault="00263127" w:rsidP="00074283">
      <w:pPr>
        <w:pStyle w:val="NoSpacing"/>
        <w:jc w:val="right"/>
        <w:rPr>
          <w:rFonts w:ascii="Times New Roman" w:hAnsi="Times New Roman"/>
          <w:sz w:val="28"/>
          <w:szCs w:val="28"/>
          <w:lang w:val="lv-LV"/>
        </w:rPr>
      </w:pPr>
      <w:r>
        <w:rPr>
          <w:rFonts w:ascii="Times New Roman" w:hAnsi="Times New Roman"/>
          <w:sz w:val="28"/>
          <w:szCs w:val="28"/>
          <w:lang w:val="lv-LV"/>
        </w:rPr>
        <w:t>34</w:t>
      </w:r>
      <w:r w:rsidR="00074283" w:rsidRPr="00074283">
        <w:rPr>
          <w:rFonts w:ascii="Times New Roman" w:hAnsi="Times New Roman"/>
          <w:sz w:val="28"/>
          <w:szCs w:val="28"/>
          <w:lang w:val="lv-LV"/>
        </w:rPr>
        <w:t>.</w:t>
      </w:r>
      <w:r w:rsidR="008F256A">
        <w:rPr>
          <w:rFonts w:ascii="Times New Roman" w:hAnsi="Times New Roman"/>
          <w:sz w:val="28"/>
          <w:szCs w:val="28"/>
          <w:lang w:val="lv-LV"/>
        </w:rPr>
        <w:t> </w:t>
      </w:r>
      <w:r w:rsidR="00074283" w:rsidRPr="00074283">
        <w:rPr>
          <w:rFonts w:ascii="Times New Roman" w:hAnsi="Times New Roman"/>
          <w:sz w:val="28"/>
          <w:szCs w:val="28"/>
          <w:lang w:val="lv-LV"/>
        </w:rPr>
        <w:t>pant</w:t>
      </w:r>
      <w:r w:rsidR="00AF4637" w:rsidRPr="00263127">
        <w:rPr>
          <w:rFonts w:ascii="Times New Roman" w:hAnsi="Times New Roman"/>
          <w:sz w:val="28"/>
          <w:szCs w:val="28"/>
          <w:lang w:val="lv-LV"/>
        </w:rPr>
        <w:t xml:space="preserve">a </w:t>
      </w:r>
      <w:r>
        <w:rPr>
          <w:rFonts w:ascii="Times New Roman" w:hAnsi="Times New Roman"/>
          <w:sz w:val="28"/>
          <w:szCs w:val="28"/>
          <w:lang w:val="lv-LV"/>
        </w:rPr>
        <w:t>trešo daļu</w:t>
      </w:r>
    </w:p>
    <w:p w14:paraId="60BFFBF9" w14:textId="77777777" w:rsidR="00440F47" w:rsidRPr="008F256A" w:rsidRDefault="00440F47" w:rsidP="00355C21">
      <w:pPr>
        <w:tabs>
          <w:tab w:val="left" w:pos="0"/>
        </w:tabs>
        <w:jc w:val="center"/>
        <w:rPr>
          <w:sz w:val="28"/>
          <w:szCs w:val="28"/>
        </w:rPr>
      </w:pPr>
    </w:p>
    <w:p w14:paraId="60BFFBFA" w14:textId="710F4F8D" w:rsidR="00952999" w:rsidRDefault="00440F47" w:rsidP="008F256A">
      <w:pPr>
        <w:ind w:firstLine="720"/>
        <w:jc w:val="both"/>
        <w:rPr>
          <w:sz w:val="28"/>
          <w:szCs w:val="28"/>
          <w:lang w:eastAsia="en-US"/>
        </w:rPr>
      </w:pPr>
      <w:r w:rsidRPr="008D6E18">
        <w:rPr>
          <w:sz w:val="28"/>
          <w:szCs w:val="28"/>
          <w:lang w:eastAsia="en-US"/>
        </w:rPr>
        <w:t xml:space="preserve">Izdarīt </w:t>
      </w:r>
      <w:r w:rsidRPr="008D6E18">
        <w:rPr>
          <w:noProof/>
          <w:sz w:val="28"/>
          <w:szCs w:val="28"/>
          <w:lang w:eastAsia="en-US"/>
        </w:rPr>
        <w:t xml:space="preserve">Ministru kabineta </w:t>
      </w:r>
      <w:r w:rsidRPr="008D6E18">
        <w:rPr>
          <w:sz w:val="28"/>
          <w:szCs w:val="28"/>
          <w:lang w:eastAsia="en-US" w:bidi="en-US"/>
        </w:rPr>
        <w:t>2005.</w:t>
      </w:r>
      <w:r w:rsidR="00C577D5">
        <w:rPr>
          <w:sz w:val="28"/>
          <w:szCs w:val="28"/>
          <w:lang w:eastAsia="en-US" w:bidi="en-US"/>
        </w:rPr>
        <w:t> </w:t>
      </w:r>
      <w:r w:rsidRPr="008D6E18">
        <w:rPr>
          <w:sz w:val="28"/>
          <w:szCs w:val="28"/>
          <w:lang w:eastAsia="en-US" w:bidi="en-US"/>
        </w:rPr>
        <w:t>gada 27.</w:t>
      </w:r>
      <w:r w:rsidR="00C577D5">
        <w:rPr>
          <w:sz w:val="28"/>
          <w:szCs w:val="28"/>
          <w:lang w:eastAsia="en-US" w:bidi="en-US"/>
        </w:rPr>
        <w:t> </w:t>
      </w:r>
      <w:r w:rsidRPr="008D6E18">
        <w:rPr>
          <w:sz w:val="28"/>
          <w:szCs w:val="28"/>
          <w:lang w:eastAsia="en-US" w:bidi="en-US"/>
        </w:rPr>
        <w:t>decembra noteikumos Nr.</w:t>
      </w:r>
      <w:r w:rsidR="00C577D5">
        <w:rPr>
          <w:sz w:val="28"/>
          <w:szCs w:val="28"/>
          <w:lang w:eastAsia="en-US" w:bidi="en-US"/>
        </w:rPr>
        <w:t> </w:t>
      </w:r>
      <w:r w:rsidRPr="008D6E18">
        <w:rPr>
          <w:sz w:val="28"/>
          <w:szCs w:val="28"/>
          <w:lang w:eastAsia="en-US" w:bidi="en-US"/>
        </w:rPr>
        <w:t xml:space="preserve">1037 </w:t>
      </w:r>
      <w:r w:rsidR="008F256A">
        <w:rPr>
          <w:sz w:val="28"/>
          <w:szCs w:val="28"/>
        </w:rPr>
        <w:t>"</w:t>
      </w:r>
      <w:r w:rsidRPr="008D6E18">
        <w:rPr>
          <w:sz w:val="28"/>
          <w:szCs w:val="28"/>
        </w:rPr>
        <w:t>Noteikumi par cilvēka asiņu un asins komponentu savākšanas, testēšanas, apstrādes, uzglabāšanas un izplatīšanas kvalitātes un drošības standartiem un kompensāciju par izdevumiem zaudētā asins apjoma atjaunošanai</w:t>
      </w:r>
      <w:r w:rsidR="00A708AD">
        <w:rPr>
          <w:sz w:val="28"/>
          <w:szCs w:val="28"/>
        </w:rPr>
        <w:t>"</w:t>
      </w:r>
      <w:r w:rsidRPr="008D6E18">
        <w:rPr>
          <w:sz w:val="28"/>
          <w:szCs w:val="28"/>
        </w:rPr>
        <w:t xml:space="preserve"> </w:t>
      </w:r>
      <w:r w:rsidRPr="008D6E18">
        <w:rPr>
          <w:noProof/>
          <w:sz w:val="28"/>
          <w:szCs w:val="28"/>
          <w:lang w:eastAsia="en-US"/>
        </w:rPr>
        <w:t>(</w:t>
      </w:r>
      <w:r w:rsidRPr="008D6E18">
        <w:rPr>
          <w:sz w:val="28"/>
          <w:szCs w:val="28"/>
          <w:lang w:eastAsia="en-US"/>
        </w:rPr>
        <w:t xml:space="preserve">Latvijas Vēstnesis, 2006, </w:t>
      </w:r>
      <w:r w:rsidR="002F616D" w:rsidRPr="008D6E18">
        <w:rPr>
          <w:sz w:val="28"/>
          <w:szCs w:val="28"/>
          <w:lang w:eastAsia="en-US"/>
        </w:rPr>
        <w:t>8.,</w:t>
      </w:r>
      <w:r w:rsidR="007307AE">
        <w:rPr>
          <w:sz w:val="28"/>
          <w:szCs w:val="28"/>
          <w:lang w:eastAsia="en-US"/>
        </w:rPr>
        <w:t xml:space="preserve"> </w:t>
      </w:r>
      <w:r w:rsidR="00264F06" w:rsidRPr="008D6E18">
        <w:rPr>
          <w:sz w:val="28"/>
          <w:szCs w:val="28"/>
          <w:lang w:eastAsia="en-US"/>
        </w:rPr>
        <w:t>163.</w:t>
      </w:r>
      <w:r w:rsidR="00C577D5">
        <w:rPr>
          <w:sz w:val="28"/>
          <w:szCs w:val="28"/>
          <w:lang w:eastAsia="en-US"/>
        </w:rPr>
        <w:t> </w:t>
      </w:r>
      <w:r w:rsidR="00264F06" w:rsidRPr="008D6E18">
        <w:rPr>
          <w:sz w:val="28"/>
          <w:szCs w:val="28"/>
          <w:lang w:eastAsia="en-US"/>
        </w:rPr>
        <w:t>nr.; 2009</w:t>
      </w:r>
      <w:r w:rsidRPr="008D6E18">
        <w:rPr>
          <w:sz w:val="28"/>
          <w:szCs w:val="28"/>
          <w:lang w:eastAsia="en-US"/>
        </w:rPr>
        <w:t xml:space="preserve">, </w:t>
      </w:r>
      <w:r w:rsidR="00264F06" w:rsidRPr="008D6E18">
        <w:rPr>
          <w:sz w:val="28"/>
          <w:szCs w:val="28"/>
          <w:lang w:eastAsia="en-US"/>
        </w:rPr>
        <w:t>205</w:t>
      </w:r>
      <w:r w:rsidRPr="008D6E18">
        <w:rPr>
          <w:sz w:val="28"/>
          <w:szCs w:val="28"/>
          <w:lang w:eastAsia="en-US"/>
        </w:rPr>
        <w:t>.</w:t>
      </w:r>
      <w:r w:rsidR="00C577D5">
        <w:rPr>
          <w:sz w:val="28"/>
          <w:szCs w:val="28"/>
          <w:lang w:eastAsia="en-US"/>
        </w:rPr>
        <w:t> </w:t>
      </w:r>
      <w:r w:rsidRPr="008D6E18">
        <w:rPr>
          <w:sz w:val="28"/>
          <w:szCs w:val="28"/>
          <w:lang w:eastAsia="en-US"/>
        </w:rPr>
        <w:t>nr.; 20</w:t>
      </w:r>
      <w:r w:rsidR="00264F06" w:rsidRPr="008D6E18">
        <w:rPr>
          <w:sz w:val="28"/>
          <w:szCs w:val="28"/>
          <w:lang w:eastAsia="en-US"/>
        </w:rPr>
        <w:t>11</w:t>
      </w:r>
      <w:r w:rsidRPr="008D6E18">
        <w:rPr>
          <w:sz w:val="28"/>
          <w:szCs w:val="28"/>
          <w:lang w:eastAsia="en-US"/>
        </w:rPr>
        <w:t>, 1</w:t>
      </w:r>
      <w:r w:rsidR="00264F06" w:rsidRPr="008D6E18">
        <w:rPr>
          <w:sz w:val="28"/>
          <w:szCs w:val="28"/>
          <w:lang w:eastAsia="en-US"/>
        </w:rPr>
        <w:t>02.</w:t>
      </w:r>
      <w:r w:rsidR="00C577D5">
        <w:rPr>
          <w:sz w:val="28"/>
          <w:szCs w:val="28"/>
          <w:lang w:eastAsia="en-US"/>
        </w:rPr>
        <w:t> </w:t>
      </w:r>
      <w:r w:rsidR="00264F06" w:rsidRPr="008D6E18">
        <w:rPr>
          <w:sz w:val="28"/>
          <w:szCs w:val="28"/>
          <w:lang w:eastAsia="en-US"/>
        </w:rPr>
        <w:t>nr.; 2012</w:t>
      </w:r>
      <w:r w:rsidRPr="008D6E18">
        <w:rPr>
          <w:sz w:val="28"/>
          <w:szCs w:val="28"/>
          <w:lang w:eastAsia="en-US"/>
        </w:rPr>
        <w:t>, 1</w:t>
      </w:r>
      <w:r w:rsidR="00264F06" w:rsidRPr="008D6E18">
        <w:rPr>
          <w:sz w:val="28"/>
          <w:szCs w:val="28"/>
          <w:lang w:eastAsia="en-US"/>
        </w:rPr>
        <w:t>88</w:t>
      </w:r>
      <w:r w:rsidRPr="008D6E18">
        <w:rPr>
          <w:sz w:val="28"/>
          <w:szCs w:val="28"/>
          <w:lang w:eastAsia="en-US"/>
        </w:rPr>
        <w:t>. nr.; 201</w:t>
      </w:r>
      <w:r w:rsidR="00264F06" w:rsidRPr="008D6E18">
        <w:rPr>
          <w:sz w:val="28"/>
          <w:szCs w:val="28"/>
          <w:lang w:eastAsia="en-US"/>
        </w:rPr>
        <w:t>3</w:t>
      </w:r>
      <w:r w:rsidRPr="008D6E18">
        <w:rPr>
          <w:sz w:val="28"/>
          <w:szCs w:val="28"/>
          <w:lang w:eastAsia="en-US"/>
        </w:rPr>
        <w:t xml:space="preserve">, </w:t>
      </w:r>
      <w:r w:rsidR="002F616D" w:rsidRPr="008D6E18">
        <w:rPr>
          <w:sz w:val="28"/>
          <w:szCs w:val="28"/>
          <w:lang w:eastAsia="en-US"/>
        </w:rPr>
        <w:t>169</w:t>
      </w:r>
      <w:r w:rsidRPr="008D6E18">
        <w:rPr>
          <w:sz w:val="28"/>
          <w:szCs w:val="28"/>
          <w:lang w:eastAsia="en-US"/>
        </w:rPr>
        <w:t>. nr.</w:t>
      </w:r>
      <w:r w:rsidRPr="008D6E18">
        <w:rPr>
          <w:noProof/>
          <w:sz w:val="28"/>
          <w:szCs w:val="28"/>
          <w:lang w:eastAsia="en-US"/>
        </w:rPr>
        <w:t>)</w:t>
      </w:r>
      <w:r w:rsidRPr="008D6E18">
        <w:rPr>
          <w:rFonts w:ascii="Arial" w:hAnsi="Arial" w:cs="Arial"/>
          <w:sz w:val="28"/>
          <w:szCs w:val="28"/>
          <w:lang w:eastAsia="en-US"/>
        </w:rPr>
        <w:t xml:space="preserve"> </w:t>
      </w:r>
      <w:r w:rsidRPr="008D6E18">
        <w:rPr>
          <w:sz w:val="28"/>
          <w:szCs w:val="28"/>
          <w:lang w:eastAsia="en-US"/>
        </w:rPr>
        <w:t>šādus</w:t>
      </w:r>
      <w:r w:rsidRPr="008D6E18">
        <w:rPr>
          <w:rFonts w:ascii="Arial" w:hAnsi="Arial" w:cs="Arial"/>
          <w:sz w:val="28"/>
          <w:szCs w:val="28"/>
          <w:lang w:eastAsia="en-US"/>
        </w:rPr>
        <w:t xml:space="preserve"> </w:t>
      </w:r>
      <w:r w:rsidRPr="008D6E18">
        <w:rPr>
          <w:sz w:val="28"/>
          <w:szCs w:val="28"/>
          <w:lang w:eastAsia="en-US"/>
        </w:rPr>
        <w:t>grozījumus:</w:t>
      </w:r>
    </w:p>
    <w:p w14:paraId="371AE878" w14:textId="77777777" w:rsidR="008F256A" w:rsidRDefault="008F256A" w:rsidP="008F256A">
      <w:pPr>
        <w:tabs>
          <w:tab w:val="left" w:pos="0"/>
          <w:tab w:val="left" w:pos="993"/>
        </w:tabs>
        <w:ind w:firstLine="709"/>
        <w:jc w:val="both"/>
        <w:rPr>
          <w:noProof/>
          <w:sz w:val="28"/>
          <w:szCs w:val="28"/>
          <w:lang w:eastAsia="en-US"/>
        </w:rPr>
      </w:pPr>
    </w:p>
    <w:p w14:paraId="60BFFBFB" w14:textId="26225EC1" w:rsidR="00164CF6" w:rsidRPr="008F256A" w:rsidRDefault="008F256A" w:rsidP="008F256A">
      <w:pPr>
        <w:tabs>
          <w:tab w:val="left" w:pos="0"/>
          <w:tab w:val="left" w:pos="993"/>
        </w:tabs>
        <w:ind w:firstLine="709"/>
        <w:jc w:val="both"/>
        <w:rPr>
          <w:sz w:val="28"/>
          <w:szCs w:val="28"/>
        </w:rPr>
      </w:pPr>
      <w:r>
        <w:rPr>
          <w:noProof/>
          <w:sz w:val="28"/>
          <w:szCs w:val="28"/>
          <w:lang w:eastAsia="en-US"/>
        </w:rPr>
        <w:t>1. </w:t>
      </w:r>
      <w:r w:rsidR="00E73976" w:rsidRPr="008F256A">
        <w:rPr>
          <w:noProof/>
          <w:sz w:val="28"/>
          <w:szCs w:val="28"/>
          <w:lang w:eastAsia="en-US"/>
        </w:rPr>
        <w:t>Papildināt 3.</w:t>
      </w:r>
      <w:r>
        <w:rPr>
          <w:noProof/>
          <w:sz w:val="28"/>
          <w:szCs w:val="28"/>
          <w:lang w:eastAsia="en-US"/>
        </w:rPr>
        <w:t> </w:t>
      </w:r>
      <w:r w:rsidR="00E73976" w:rsidRPr="008F256A">
        <w:rPr>
          <w:noProof/>
          <w:sz w:val="28"/>
          <w:szCs w:val="28"/>
          <w:lang w:eastAsia="en-US"/>
        </w:rPr>
        <w:t>punkta</w:t>
      </w:r>
      <w:r w:rsidR="00440F47" w:rsidRPr="008F256A">
        <w:rPr>
          <w:noProof/>
          <w:sz w:val="28"/>
          <w:szCs w:val="28"/>
          <w:lang w:eastAsia="en-US"/>
        </w:rPr>
        <w:t xml:space="preserve"> </w:t>
      </w:r>
      <w:r w:rsidR="00E73976" w:rsidRPr="008F256A">
        <w:rPr>
          <w:noProof/>
          <w:sz w:val="28"/>
          <w:szCs w:val="28"/>
          <w:lang w:eastAsia="en-US"/>
        </w:rPr>
        <w:t>otro teikumu</w:t>
      </w:r>
      <w:r w:rsidRPr="008F256A">
        <w:rPr>
          <w:noProof/>
          <w:sz w:val="28"/>
          <w:szCs w:val="28"/>
          <w:lang w:eastAsia="en-US"/>
        </w:rPr>
        <w:t xml:space="preserve"> aiz vārda </w:t>
      </w:r>
      <w:r w:rsidRPr="008F256A">
        <w:rPr>
          <w:sz w:val="28"/>
          <w:szCs w:val="28"/>
        </w:rPr>
        <w:t>"</w:t>
      </w:r>
      <w:r w:rsidR="00F06474" w:rsidRPr="008F256A">
        <w:rPr>
          <w:noProof/>
          <w:sz w:val="28"/>
          <w:szCs w:val="28"/>
          <w:lang w:eastAsia="en-US"/>
        </w:rPr>
        <w:t>ražošanai</w:t>
      </w:r>
      <w:r w:rsidR="00A708AD" w:rsidRPr="008F256A">
        <w:rPr>
          <w:noProof/>
          <w:sz w:val="28"/>
          <w:szCs w:val="28"/>
          <w:lang w:eastAsia="en-US"/>
        </w:rPr>
        <w:t>"</w:t>
      </w:r>
      <w:r w:rsidR="00F06474" w:rsidRPr="008F256A">
        <w:rPr>
          <w:noProof/>
          <w:sz w:val="28"/>
          <w:szCs w:val="28"/>
          <w:lang w:eastAsia="en-US"/>
        </w:rPr>
        <w:t xml:space="preserve"> ar vārdu </w:t>
      </w:r>
      <w:r>
        <w:rPr>
          <w:noProof/>
          <w:sz w:val="28"/>
          <w:szCs w:val="28"/>
          <w:lang w:eastAsia="en-US"/>
        </w:rPr>
        <w:t>"</w:t>
      </w:r>
      <w:r w:rsidR="00E73976" w:rsidRPr="008F256A">
        <w:rPr>
          <w:noProof/>
          <w:sz w:val="28"/>
          <w:szCs w:val="28"/>
          <w:lang w:eastAsia="en-US"/>
        </w:rPr>
        <w:t>primāri</w:t>
      </w:r>
      <w:r w:rsidR="00A708AD" w:rsidRPr="008F256A">
        <w:rPr>
          <w:noProof/>
          <w:sz w:val="28"/>
          <w:szCs w:val="28"/>
          <w:lang w:eastAsia="en-US"/>
        </w:rPr>
        <w:t>"</w:t>
      </w:r>
      <w:r w:rsidR="00E73976" w:rsidRPr="008F256A">
        <w:rPr>
          <w:noProof/>
          <w:sz w:val="28"/>
          <w:szCs w:val="28"/>
          <w:lang w:eastAsia="en-US"/>
        </w:rPr>
        <w:t>.</w:t>
      </w:r>
    </w:p>
    <w:p w14:paraId="1E5520BB" w14:textId="77777777" w:rsidR="008F256A" w:rsidRDefault="008F256A" w:rsidP="008F256A">
      <w:pPr>
        <w:tabs>
          <w:tab w:val="left" w:pos="0"/>
          <w:tab w:val="left" w:pos="993"/>
        </w:tabs>
        <w:ind w:firstLine="709"/>
        <w:jc w:val="both"/>
        <w:rPr>
          <w:noProof/>
          <w:sz w:val="28"/>
          <w:szCs w:val="28"/>
          <w:lang w:eastAsia="en-US"/>
        </w:rPr>
      </w:pPr>
    </w:p>
    <w:p w14:paraId="60BFFBFC" w14:textId="225B1FC8" w:rsidR="00164CF6" w:rsidRPr="008F256A" w:rsidRDefault="008F256A" w:rsidP="008F256A">
      <w:pPr>
        <w:tabs>
          <w:tab w:val="left" w:pos="0"/>
          <w:tab w:val="left" w:pos="993"/>
        </w:tabs>
        <w:ind w:firstLine="709"/>
        <w:jc w:val="both"/>
        <w:rPr>
          <w:sz w:val="28"/>
          <w:szCs w:val="28"/>
        </w:rPr>
      </w:pPr>
      <w:r>
        <w:rPr>
          <w:noProof/>
          <w:sz w:val="28"/>
          <w:szCs w:val="28"/>
          <w:lang w:eastAsia="en-US"/>
        </w:rPr>
        <w:t>2. </w:t>
      </w:r>
      <w:r w:rsidR="00164CF6" w:rsidRPr="008F256A">
        <w:rPr>
          <w:noProof/>
          <w:sz w:val="28"/>
          <w:szCs w:val="28"/>
          <w:lang w:eastAsia="en-US"/>
        </w:rPr>
        <w:t>Papild</w:t>
      </w:r>
      <w:r w:rsidR="000F1D1F" w:rsidRPr="008F256A">
        <w:rPr>
          <w:noProof/>
          <w:sz w:val="28"/>
          <w:szCs w:val="28"/>
          <w:lang w:eastAsia="en-US"/>
        </w:rPr>
        <w:t>i</w:t>
      </w:r>
      <w:r w:rsidR="00164CF6" w:rsidRPr="008F256A">
        <w:rPr>
          <w:noProof/>
          <w:sz w:val="28"/>
          <w:szCs w:val="28"/>
          <w:lang w:eastAsia="en-US"/>
        </w:rPr>
        <w:t>nāt noteikumus ar 3.</w:t>
      </w:r>
      <w:r w:rsidR="00164CF6" w:rsidRPr="008F256A">
        <w:rPr>
          <w:noProof/>
          <w:sz w:val="28"/>
          <w:szCs w:val="28"/>
          <w:vertAlign w:val="superscript"/>
          <w:lang w:eastAsia="en-US"/>
        </w:rPr>
        <w:t>1</w:t>
      </w:r>
      <w:r>
        <w:rPr>
          <w:noProof/>
          <w:sz w:val="28"/>
          <w:szCs w:val="28"/>
          <w:vertAlign w:val="superscript"/>
          <w:lang w:eastAsia="en-US"/>
        </w:rPr>
        <w:t> </w:t>
      </w:r>
      <w:r w:rsidR="00164CF6" w:rsidRPr="008F256A">
        <w:rPr>
          <w:noProof/>
          <w:sz w:val="28"/>
          <w:szCs w:val="28"/>
          <w:lang w:eastAsia="en-US"/>
        </w:rPr>
        <w:t>punktu šādā redakcijā:</w:t>
      </w:r>
    </w:p>
    <w:p w14:paraId="5354C6E7" w14:textId="77777777" w:rsidR="00C577D5" w:rsidRDefault="00C577D5" w:rsidP="008F256A">
      <w:pPr>
        <w:tabs>
          <w:tab w:val="left" w:pos="0"/>
          <w:tab w:val="left" w:pos="993"/>
        </w:tabs>
        <w:ind w:firstLine="709"/>
        <w:jc w:val="both"/>
        <w:rPr>
          <w:noProof/>
          <w:sz w:val="28"/>
          <w:szCs w:val="28"/>
          <w:lang w:eastAsia="en-US"/>
        </w:rPr>
      </w:pPr>
    </w:p>
    <w:p w14:paraId="60BFFBFD" w14:textId="2B6B1140" w:rsidR="00F57D00" w:rsidRPr="008F256A" w:rsidRDefault="008F256A" w:rsidP="008F256A">
      <w:pPr>
        <w:tabs>
          <w:tab w:val="left" w:pos="0"/>
          <w:tab w:val="left" w:pos="993"/>
        </w:tabs>
        <w:ind w:firstLine="709"/>
        <w:jc w:val="both"/>
        <w:rPr>
          <w:sz w:val="28"/>
          <w:szCs w:val="28"/>
        </w:rPr>
      </w:pPr>
      <w:r w:rsidRPr="008F256A">
        <w:rPr>
          <w:noProof/>
          <w:sz w:val="28"/>
          <w:szCs w:val="28"/>
          <w:lang w:eastAsia="en-US"/>
        </w:rPr>
        <w:t>"</w:t>
      </w:r>
      <w:r w:rsidR="00164CF6" w:rsidRPr="008F256A">
        <w:rPr>
          <w:noProof/>
          <w:sz w:val="28"/>
          <w:szCs w:val="28"/>
          <w:lang w:eastAsia="en-US"/>
        </w:rPr>
        <w:t>3.</w:t>
      </w:r>
      <w:r w:rsidR="00164CF6" w:rsidRPr="008F256A">
        <w:rPr>
          <w:noProof/>
          <w:sz w:val="28"/>
          <w:szCs w:val="28"/>
          <w:vertAlign w:val="superscript"/>
          <w:lang w:eastAsia="en-US"/>
        </w:rPr>
        <w:t>1</w:t>
      </w:r>
      <w:r>
        <w:rPr>
          <w:noProof/>
          <w:sz w:val="28"/>
          <w:szCs w:val="28"/>
          <w:lang w:eastAsia="en-US"/>
        </w:rPr>
        <w:t> </w:t>
      </w:r>
      <w:r w:rsidR="009E5981" w:rsidRPr="008F256A">
        <w:rPr>
          <w:sz w:val="28"/>
          <w:szCs w:val="28"/>
        </w:rPr>
        <w:t>Cilvēka asinis un asins komponentus no valsts neizved, izņemot par valsts budžeta līdzekļiem sagatavotus asins komponentus asins pagatavojumu ražošanai.</w:t>
      </w:r>
      <w:r w:rsidR="00A708AD" w:rsidRPr="008F256A">
        <w:rPr>
          <w:sz w:val="28"/>
          <w:szCs w:val="28"/>
        </w:rPr>
        <w:t>"</w:t>
      </w:r>
    </w:p>
    <w:p w14:paraId="42D5774E" w14:textId="77777777" w:rsidR="008F256A" w:rsidRDefault="00F57D00" w:rsidP="008F256A">
      <w:pPr>
        <w:tabs>
          <w:tab w:val="left" w:pos="709"/>
          <w:tab w:val="left" w:pos="993"/>
        </w:tabs>
        <w:jc w:val="both"/>
        <w:rPr>
          <w:sz w:val="28"/>
          <w:szCs w:val="28"/>
        </w:rPr>
      </w:pPr>
      <w:r>
        <w:rPr>
          <w:sz w:val="28"/>
          <w:szCs w:val="28"/>
        </w:rPr>
        <w:tab/>
      </w:r>
    </w:p>
    <w:p w14:paraId="60BFFBFE" w14:textId="124ECF38" w:rsidR="00826784" w:rsidRPr="0047210F" w:rsidRDefault="00F57D00" w:rsidP="008F256A">
      <w:pPr>
        <w:tabs>
          <w:tab w:val="left" w:pos="709"/>
          <w:tab w:val="left" w:pos="993"/>
        </w:tabs>
        <w:ind w:firstLine="709"/>
        <w:jc w:val="both"/>
        <w:rPr>
          <w:sz w:val="28"/>
          <w:szCs w:val="28"/>
        </w:rPr>
      </w:pPr>
      <w:r>
        <w:rPr>
          <w:sz w:val="28"/>
          <w:szCs w:val="28"/>
        </w:rPr>
        <w:t>3.</w:t>
      </w:r>
      <w:r w:rsidR="008F256A">
        <w:rPr>
          <w:sz w:val="28"/>
          <w:szCs w:val="28"/>
        </w:rPr>
        <w:t> </w:t>
      </w:r>
      <w:r w:rsidR="00826784" w:rsidRPr="0047210F">
        <w:rPr>
          <w:noProof/>
          <w:sz w:val="28"/>
          <w:szCs w:val="28"/>
          <w:lang w:eastAsia="en-US"/>
        </w:rPr>
        <w:t>Izteikt 7.</w:t>
      </w:r>
      <w:r w:rsidR="008F256A">
        <w:rPr>
          <w:noProof/>
          <w:sz w:val="28"/>
          <w:szCs w:val="28"/>
          <w:lang w:eastAsia="en-US"/>
        </w:rPr>
        <w:t> </w:t>
      </w:r>
      <w:r w:rsidR="00826784" w:rsidRPr="0047210F">
        <w:rPr>
          <w:noProof/>
          <w:sz w:val="28"/>
          <w:szCs w:val="28"/>
          <w:lang w:eastAsia="en-US"/>
        </w:rPr>
        <w:t>punktu šādā redakcijā:</w:t>
      </w:r>
    </w:p>
    <w:p w14:paraId="74704FB0" w14:textId="77777777" w:rsidR="008F256A" w:rsidRDefault="008F256A" w:rsidP="008F256A">
      <w:pPr>
        <w:ind w:firstLine="709"/>
        <w:jc w:val="both"/>
        <w:rPr>
          <w:noProof/>
          <w:sz w:val="28"/>
          <w:szCs w:val="28"/>
          <w:lang w:eastAsia="en-US"/>
        </w:rPr>
      </w:pPr>
    </w:p>
    <w:p w14:paraId="60BFFBFF" w14:textId="765F5F3C" w:rsidR="00AC0B1B" w:rsidRPr="00BF2D00" w:rsidRDefault="008F256A" w:rsidP="008F256A">
      <w:pPr>
        <w:ind w:firstLine="709"/>
        <w:jc w:val="both"/>
        <w:rPr>
          <w:sz w:val="28"/>
          <w:szCs w:val="28"/>
        </w:rPr>
      </w:pPr>
      <w:r>
        <w:rPr>
          <w:noProof/>
          <w:sz w:val="28"/>
          <w:szCs w:val="28"/>
          <w:lang w:eastAsia="en-US"/>
        </w:rPr>
        <w:t>"</w:t>
      </w:r>
      <w:r w:rsidR="00AC0B1B" w:rsidRPr="00BF2D00">
        <w:rPr>
          <w:sz w:val="28"/>
          <w:szCs w:val="28"/>
        </w:rPr>
        <w:t>7.</w:t>
      </w:r>
      <w:r>
        <w:rPr>
          <w:sz w:val="28"/>
          <w:szCs w:val="28"/>
        </w:rPr>
        <w:t> </w:t>
      </w:r>
      <w:r w:rsidR="00AC0B1B" w:rsidRPr="00BF2D00">
        <w:rPr>
          <w:sz w:val="28"/>
          <w:szCs w:val="28"/>
        </w:rPr>
        <w:t>Zāļu valsts aģentūra (turpmāk – aģentūra) novērtē ārstniecības iestāžu asins kabinetu (turpmāk – asins kabinets), Valsts asinsdonoru centra un asins sagatavošanas nodaļu atbilstību šajos noteikumos noteiktajām prasībām</w:t>
      </w:r>
      <w:r w:rsidR="00D525A4" w:rsidRPr="00BF2D00">
        <w:rPr>
          <w:sz w:val="28"/>
          <w:szCs w:val="28"/>
        </w:rPr>
        <w:t>.</w:t>
      </w:r>
      <w:r w:rsidR="00A708AD">
        <w:rPr>
          <w:sz w:val="28"/>
          <w:szCs w:val="28"/>
        </w:rPr>
        <w:t>"</w:t>
      </w:r>
    </w:p>
    <w:p w14:paraId="13AE038F" w14:textId="77777777" w:rsidR="008F256A" w:rsidRDefault="008F256A" w:rsidP="008F256A">
      <w:pPr>
        <w:ind w:left="720"/>
        <w:jc w:val="both"/>
        <w:rPr>
          <w:sz w:val="28"/>
          <w:szCs w:val="28"/>
        </w:rPr>
      </w:pPr>
    </w:p>
    <w:p w14:paraId="60BFFC00" w14:textId="621FB7DE" w:rsidR="00F57D00" w:rsidRDefault="00F57D00" w:rsidP="008F256A">
      <w:pPr>
        <w:ind w:left="720"/>
        <w:jc w:val="both"/>
        <w:rPr>
          <w:sz w:val="28"/>
          <w:szCs w:val="28"/>
        </w:rPr>
      </w:pPr>
      <w:r>
        <w:rPr>
          <w:sz w:val="28"/>
          <w:szCs w:val="28"/>
        </w:rPr>
        <w:t>4.</w:t>
      </w:r>
      <w:r w:rsidR="008F256A">
        <w:rPr>
          <w:sz w:val="28"/>
          <w:szCs w:val="28"/>
        </w:rPr>
        <w:t> </w:t>
      </w:r>
      <w:r w:rsidR="00AC0B1B" w:rsidRPr="00F57D00">
        <w:rPr>
          <w:sz w:val="28"/>
          <w:szCs w:val="28"/>
        </w:rPr>
        <w:t>Izteikt 9</w:t>
      </w:r>
      <w:r w:rsidR="00A708AD">
        <w:rPr>
          <w:sz w:val="28"/>
          <w:szCs w:val="28"/>
        </w:rPr>
        <w:t>.</w:t>
      </w:r>
      <w:r w:rsidR="008F256A">
        <w:rPr>
          <w:sz w:val="28"/>
          <w:szCs w:val="28"/>
        </w:rPr>
        <w:t> </w:t>
      </w:r>
      <w:r w:rsidR="00A708AD">
        <w:rPr>
          <w:sz w:val="28"/>
          <w:szCs w:val="28"/>
        </w:rPr>
        <w:t>p</w:t>
      </w:r>
      <w:r w:rsidR="00AC0B1B" w:rsidRPr="00F57D00">
        <w:rPr>
          <w:sz w:val="28"/>
          <w:szCs w:val="28"/>
        </w:rPr>
        <w:t xml:space="preserve">unktu šādā redakcijā: </w:t>
      </w:r>
    </w:p>
    <w:p w14:paraId="15CB38BA" w14:textId="77777777" w:rsidR="008F256A" w:rsidRDefault="008F256A" w:rsidP="008F256A">
      <w:pPr>
        <w:ind w:firstLine="720"/>
        <w:jc w:val="both"/>
        <w:rPr>
          <w:sz w:val="28"/>
          <w:szCs w:val="28"/>
        </w:rPr>
      </w:pPr>
    </w:p>
    <w:p w14:paraId="60BFFC01" w14:textId="6D29558B" w:rsidR="00F57D00" w:rsidRPr="00F57D00" w:rsidRDefault="008F256A" w:rsidP="008F256A">
      <w:pPr>
        <w:ind w:firstLine="720"/>
        <w:jc w:val="both"/>
        <w:rPr>
          <w:sz w:val="28"/>
          <w:szCs w:val="28"/>
        </w:rPr>
      </w:pPr>
      <w:r>
        <w:rPr>
          <w:sz w:val="28"/>
          <w:szCs w:val="28"/>
        </w:rPr>
        <w:t>"</w:t>
      </w:r>
      <w:r w:rsidR="00AC0B1B" w:rsidRPr="00F57D00">
        <w:rPr>
          <w:sz w:val="28"/>
          <w:szCs w:val="28"/>
        </w:rPr>
        <w:t>9.</w:t>
      </w:r>
      <w:r w:rsidR="00C577D5">
        <w:rPr>
          <w:sz w:val="28"/>
          <w:szCs w:val="28"/>
        </w:rPr>
        <w:t> </w:t>
      </w:r>
      <w:r w:rsidR="00D525A4" w:rsidRPr="00F57D00">
        <w:rPr>
          <w:sz w:val="28"/>
          <w:szCs w:val="28"/>
        </w:rPr>
        <w:t xml:space="preserve">Ja Valsts asinsdonoru centrs, asins sagatavošanas nodaļa vai asins kabinets atbilst šo noteikumu prasībām, </w:t>
      </w:r>
      <w:r w:rsidR="00C577D5" w:rsidRPr="00F57D00">
        <w:rPr>
          <w:sz w:val="28"/>
          <w:szCs w:val="28"/>
        </w:rPr>
        <w:t xml:space="preserve">aģentūra </w:t>
      </w:r>
      <w:r w:rsidR="00D525A4" w:rsidRPr="00F57D00">
        <w:rPr>
          <w:sz w:val="28"/>
          <w:szCs w:val="28"/>
        </w:rPr>
        <w:t>p</w:t>
      </w:r>
      <w:r w:rsidR="00AC0B1B" w:rsidRPr="00F57D00">
        <w:rPr>
          <w:sz w:val="28"/>
          <w:szCs w:val="28"/>
        </w:rPr>
        <w:t>ēc atbilstības novērtēšanas</w:t>
      </w:r>
      <w:r w:rsidR="00D525A4" w:rsidRPr="00F57D00">
        <w:rPr>
          <w:sz w:val="28"/>
          <w:szCs w:val="28"/>
        </w:rPr>
        <w:t xml:space="preserve"> </w:t>
      </w:r>
      <w:r w:rsidR="00D525A4" w:rsidRPr="00F57D00">
        <w:rPr>
          <w:sz w:val="28"/>
          <w:szCs w:val="28"/>
        </w:rPr>
        <w:lastRenderedPageBreak/>
        <w:t>izsniedz atbilstības sertifikātu</w:t>
      </w:r>
      <w:r w:rsidR="00C577D5">
        <w:rPr>
          <w:sz w:val="28"/>
          <w:szCs w:val="28"/>
        </w:rPr>
        <w:t>.</w:t>
      </w:r>
      <w:r w:rsidR="00D525A4" w:rsidRPr="00F57D00">
        <w:rPr>
          <w:sz w:val="28"/>
          <w:szCs w:val="28"/>
        </w:rPr>
        <w:t xml:space="preserve"> </w:t>
      </w:r>
      <w:r w:rsidR="00C577D5">
        <w:rPr>
          <w:sz w:val="28"/>
          <w:szCs w:val="28"/>
        </w:rPr>
        <w:t>Sertifikāt</w:t>
      </w:r>
      <w:r w:rsidR="00D525A4" w:rsidRPr="00F57D00">
        <w:rPr>
          <w:sz w:val="28"/>
          <w:szCs w:val="28"/>
        </w:rPr>
        <w:t>ā no</w:t>
      </w:r>
      <w:r w:rsidR="00C577D5">
        <w:rPr>
          <w:sz w:val="28"/>
          <w:szCs w:val="28"/>
        </w:rPr>
        <w:t>rād</w:t>
      </w:r>
      <w:r w:rsidR="00D525A4" w:rsidRPr="00F57D00">
        <w:rPr>
          <w:sz w:val="28"/>
          <w:szCs w:val="28"/>
        </w:rPr>
        <w:t>a</w:t>
      </w:r>
      <w:r w:rsidR="005A350A" w:rsidRPr="005A350A">
        <w:rPr>
          <w:sz w:val="28"/>
          <w:szCs w:val="28"/>
        </w:rPr>
        <w:t xml:space="preserve"> </w:t>
      </w:r>
      <w:r w:rsidR="005A350A" w:rsidRPr="00F57D00">
        <w:rPr>
          <w:sz w:val="28"/>
          <w:szCs w:val="28"/>
        </w:rPr>
        <w:t>darbības</w:t>
      </w:r>
      <w:r w:rsidR="00D525A4" w:rsidRPr="00F57D00">
        <w:rPr>
          <w:sz w:val="28"/>
          <w:szCs w:val="28"/>
        </w:rPr>
        <w:t xml:space="preserve">, kādas </w:t>
      </w:r>
      <w:r w:rsidR="005A350A" w:rsidRPr="00F57D00">
        <w:rPr>
          <w:sz w:val="28"/>
          <w:szCs w:val="28"/>
        </w:rPr>
        <w:t>Valsts asinsdonoru centrs, asins sagatavošanas nodaļa un asins kabinets</w:t>
      </w:r>
      <w:r w:rsidR="005A350A" w:rsidRPr="0092324C">
        <w:rPr>
          <w:sz w:val="28"/>
          <w:szCs w:val="28"/>
        </w:rPr>
        <w:t xml:space="preserve"> </w:t>
      </w:r>
      <w:r w:rsidR="005A350A" w:rsidRPr="00F57D00">
        <w:rPr>
          <w:sz w:val="28"/>
          <w:szCs w:val="28"/>
        </w:rPr>
        <w:t>var veikt</w:t>
      </w:r>
      <w:r w:rsidR="005A350A">
        <w:rPr>
          <w:sz w:val="28"/>
          <w:szCs w:val="28"/>
        </w:rPr>
        <w:t>,</w:t>
      </w:r>
      <w:r w:rsidR="005A350A" w:rsidRPr="00F57D00">
        <w:rPr>
          <w:sz w:val="28"/>
          <w:szCs w:val="28"/>
        </w:rPr>
        <w:t xml:space="preserve"> </w:t>
      </w:r>
      <w:r w:rsidR="005A350A">
        <w:rPr>
          <w:sz w:val="28"/>
          <w:szCs w:val="28"/>
        </w:rPr>
        <w:t xml:space="preserve">kā arī </w:t>
      </w:r>
      <w:r w:rsidR="005A350A" w:rsidRPr="00503E66">
        <w:rPr>
          <w:sz w:val="28"/>
          <w:szCs w:val="28"/>
        </w:rPr>
        <w:t>darbīb</w:t>
      </w:r>
      <w:r w:rsidR="00BD68F3">
        <w:rPr>
          <w:sz w:val="28"/>
          <w:szCs w:val="28"/>
        </w:rPr>
        <w:t>u</w:t>
      </w:r>
      <w:r w:rsidR="00D525A4" w:rsidRPr="00503E66">
        <w:rPr>
          <w:sz w:val="28"/>
          <w:szCs w:val="28"/>
        </w:rPr>
        <w:t xml:space="preserve"> nosacījum</w:t>
      </w:r>
      <w:r w:rsidR="005A350A" w:rsidRPr="00503E66">
        <w:rPr>
          <w:sz w:val="28"/>
          <w:szCs w:val="28"/>
        </w:rPr>
        <w:t>us</w:t>
      </w:r>
      <w:r w:rsidR="001C5B73" w:rsidRPr="00F57D00">
        <w:rPr>
          <w:sz w:val="28"/>
          <w:szCs w:val="28"/>
        </w:rPr>
        <w:t>. Informāciju par izsniegtajiem atbilstības</w:t>
      </w:r>
      <w:r w:rsidR="00294F35" w:rsidRPr="00F57D00">
        <w:rPr>
          <w:sz w:val="28"/>
          <w:szCs w:val="28"/>
        </w:rPr>
        <w:t xml:space="preserve"> sertifikātiem</w:t>
      </w:r>
      <w:r w:rsidR="001C5B73" w:rsidRPr="00F57D00">
        <w:rPr>
          <w:sz w:val="28"/>
          <w:szCs w:val="28"/>
        </w:rPr>
        <w:t xml:space="preserve"> un tajos iekļautajām darbībām un to nosacījumiem publicē aģentūras tīmekļvietnē.</w:t>
      </w:r>
      <w:r w:rsidR="00A708AD">
        <w:rPr>
          <w:sz w:val="28"/>
          <w:szCs w:val="28"/>
        </w:rPr>
        <w:t>"</w:t>
      </w:r>
    </w:p>
    <w:p w14:paraId="304BFEC1" w14:textId="77777777" w:rsidR="008F256A" w:rsidRDefault="008F256A" w:rsidP="008F256A">
      <w:pPr>
        <w:ind w:left="709"/>
        <w:jc w:val="both"/>
        <w:rPr>
          <w:sz w:val="28"/>
          <w:szCs w:val="28"/>
        </w:rPr>
      </w:pPr>
    </w:p>
    <w:p w14:paraId="60BFFC02" w14:textId="0E8776BE" w:rsidR="00F57D00" w:rsidRDefault="00F57D00" w:rsidP="008F256A">
      <w:pPr>
        <w:ind w:left="709"/>
        <w:jc w:val="both"/>
        <w:rPr>
          <w:sz w:val="28"/>
          <w:szCs w:val="28"/>
        </w:rPr>
      </w:pPr>
      <w:r>
        <w:rPr>
          <w:sz w:val="28"/>
          <w:szCs w:val="28"/>
        </w:rPr>
        <w:t>5.</w:t>
      </w:r>
      <w:r w:rsidR="008F256A">
        <w:rPr>
          <w:sz w:val="28"/>
          <w:szCs w:val="28"/>
        </w:rPr>
        <w:t> </w:t>
      </w:r>
      <w:r w:rsidR="00503E66">
        <w:rPr>
          <w:noProof/>
          <w:sz w:val="28"/>
          <w:szCs w:val="28"/>
          <w:lang w:eastAsia="en-US"/>
        </w:rPr>
        <w:t>Izteik</w:t>
      </w:r>
      <w:r w:rsidR="00D83A72" w:rsidRPr="00F57D00">
        <w:rPr>
          <w:noProof/>
          <w:sz w:val="28"/>
          <w:szCs w:val="28"/>
          <w:lang w:eastAsia="en-US"/>
        </w:rPr>
        <w:t>t 17.2.</w:t>
      </w:r>
      <w:r w:rsidR="008F256A">
        <w:rPr>
          <w:noProof/>
          <w:sz w:val="28"/>
          <w:szCs w:val="28"/>
          <w:lang w:eastAsia="en-US"/>
        </w:rPr>
        <w:t> </w:t>
      </w:r>
      <w:r w:rsidR="00D83A72" w:rsidRPr="00F57D00">
        <w:rPr>
          <w:noProof/>
          <w:sz w:val="28"/>
          <w:szCs w:val="28"/>
          <w:lang w:eastAsia="en-US"/>
        </w:rPr>
        <w:t>apakšpunkt</w:t>
      </w:r>
      <w:r w:rsidR="00503E66">
        <w:rPr>
          <w:noProof/>
          <w:sz w:val="28"/>
          <w:szCs w:val="28"/>
          <w:lang w:eastAsia="en-US"/>
        </w:rPr>
        <w:t>u</w:t>
      </w:r>
      <w:r w:rsidR="00D83A72" w:rsidRPr="00F57D00">
        <w:rPr>
          <w:noProof/>
          <w:sz w:val="28"/>
          <w:szCs w:val="28"/>
          <w:lang w:eastAsia="en-US"/>
        </w:rPr>
        <w:t xml:space="preserve"> </w:t>
      </w:r>
      <w:r w:rsidR="00503E66">
        <w:rPr>
          <w:noProof/>
          <w:sz w:val="28"/>
          <w:szCs w:val="28"/>
          <w:lang w:eastAsia="en-US"/>
        </w:rPr>
        <w:t>šādā redakcijā:</w:t>
      </w:r>
    </w:p>
    <w:p w14:paraId="6E78FB04" w14:textId="77777777" w:rsidR="008F256A" w:rsidRPr="00503E66" w:rsidRDefault="008F256A" w:rsidP="00503E66">
      <w:pPr>
        <w:ind w:firstLine="709"/>
        <w:rPr>
          <w:sz w:val="28"/>
          <w:szCs w:val="28"/>
        </w:rPr>
      </w:pPr>
    </w:p>
    <w:p w14:paraId="66300F4F" w14:textId="3B964BE2" w:rsidR="00503E66" w:rsidRPr="00503E66" w:rsidRDefault="00503E66" w:rsidP="00503E66">
      <w:pPr>
        <w:ind w:firstLine="709"/>
        <w:jc w:val="both"/>
        <w:rPr>
          <w:sz w:val="28"/>
          <w:szCs w:val="28"/>
        </w:rPr>
      </w:pPr>
      <w:r>
        <w:rPr>
          <w:sz w:val="28"/>
          <w:szCs w:val="28"/>
        </w:rPr>
        <w:t>"</w:t>
      </w:r>
      <w:r w:rsidRPr="00503E66">
        <w:rPr>
          <w:sz w:val="28"/>
          <w:szCs w:val="28"/>
        </w:rPr>
        <w:t>17.2.</w:t>
      </w:r>
      <w:r>
        <w:rPr>
          <w:sz w:val="28"/>
          <w:szCs w:val="28"/>
        </w:rPr>
        <w:t> </w:t>
      </w:r>
      <w:r w:rsidRPr="00503E66">
        <w:rPr>
          <w:sz w:val="28"/>
          <w:szCs w:val="28"/>
        </w:rPr>
        <w:t>asiņu un asins komponentu kvalitātes un drošības prasību ievērošanu un testēšanu akreditētā testēšanas laboratorijā saskaņā ar šo noteikumu</w:t>
      </w:r>
      <w:r>
        <w:rPr>
          <w:sz w:val="28"/>
          <w:szCs w:val="28"/>
        </w:rPr>
        <w:t xml:space="preserve"> </w:t>
      </w:r>
      <w:hyperlink r:id="rId9" w:anchor="piel2" w:tgtFrame="_blank" w:history="1">
        <w:r w:rsidRPr="00503E66">
          <w:rPr>
            <w:rStyle w:val="Hyperlink"/>
            <w:color w:val="auto"/>
            <w:sz w:val="28"/>
            <w:szCs w:val="28"/>
            <w:u w:val="none"/>
          </w:rPr>
          <w:t>2.</w:t>
        </w:r>
        <w:r>
          <w:rPr>
            <w:rStyle w:val="Hyperlink"/>
            <w:color w:val="auto"/>
            <w:sz w:val="28"/>
            <w:szCs w:val="28"/>
            <w:u w:val="none"/>
          </w:rPr>
          <w:t> </w:t>
        </w:r>
        <w:r w:rsidRPr="00503E66">
          <w:rPr>
            <w:rStyle w:val="Hyperlink"/>
            <w:color w:val="auto"/>
            <w:sz w:val="28"/>
            <w:szCs w:val="28"/>
            <w:u w:val="none"/>
          </w:rPr>
          <w:t>pielikumu</w:t>
        </w:r>
      </w:hyperlink>
      <w:r w:rsidRPr="00503E66">
        <w:rPr>
          <w:sz w:val="28"/>
          <w:szCs w:val="28"/>
        </w:rPr>
        <w:t>;</w:t>
      </w:r>
      <w:r>
        <w:rPr>
          <w:sz w:val="28"/>
          <w:szCs w:val="28"/>
        </w:rPr>
        <w:t>".</w:t>
      </w:r>
    </w:p>
    <w:p w14:paraId="5CC83AEA" w14:textId="77777777" w:rsidR="00503E66" w:rsidRPr="00503E66" w:rsidRDefault="00503E66" w:rsidP="00503E66">
      <w:pPr>
        <w:ind w:firstLine="709"/>
        <w:rPr>
          <w:sz w:val="28"/>
          <w:szCs w:val="28"/>
        </w:rPr>
      </w:pPr>
    </w:p>
    <w:p w14:paraId="60BFFC03" w14:textId="2E72116C" w:rsidR="00D83A72" w:rsidRPr="00503E66" w:rsidRDefault="00F57D00" w:rsidP="00503E66">
      <w:pPr>
        <w:ind w:firstLine="709"/>
        <w:rPr>
          <w:sz w:val="28"/>
          <w:szCs w:val="28"/>
        </w:rPr>
      </w:pPr>
      <w:r w:rsidRPr="00503E66">
        <w:rPr>
          <w:sz w:val="28"/>
          <w:szCs w:val="28"/>
        </w:rPr>
        <w:t>6.</w:t>
      </w:r>
      <w:r w:rsidR="008F256A" w:rsidRPr="00503E66">
        <w:rPr>
          <w:sz w:val="28"/>
          <w:szCs w:val="28"/>
        </w:rPr>
        <w:t> </w:t>
      </w:r>
      <w:r w:rsidR="00D83A72" w:rsidRPr="00503E66">
        <w:rPr>
          <w:sz w:val="28"/>
          <w:szCs w:val="28"/>
        </w:rPr>
        <w:t>Izteikt 22.3.</w:t>
      </w:r>
      <w:r w:rsidR="008F256A" w:rsidRPr="00503E66">
        <w:rPr>
          <w:sz w:val="28"/>
          <w:szCs w:val="28"/>
        </w:rPr>
        <w:t> </w:t>
      </w:r>
      <w:r w:rsidR="00D83A72" w:rsidRPr="00503E66">
        <w:rPr>
          <w:sz w:val="28"/>
          <w:szCs w:val="28"/>
        </w:rPr>
        <w:t>apakšpunktu šādā redakcijā:</w:t>
      </w:r>
    </w:p>
    <w:p w14:paraId="3242BE8B" w14:textId="77777777" w:rsidR="008F256A" w:rsidRDefault="008F256A" w:rsidP="008F256A">
      <w:pPr>
        <w:jc w:val="both"/>
        <w:rPr>
          <w:sz w:val="28"/>
          <w:szCs w:val="28"/>
        </w:rPr>
      </w:pPr>
    </w:p>
    <w:p w14:paraId="60BFFC04" w14:textId="1F567C5D" w:rsidR="00F57D00" w:rsidRDefault="008F256A" w:rsidP="008F256A">
      <w:pPr>
        <w:ind w:firstLine="709"/>
        <w:jc w:val="both"/>
        <w:rPr>
          <w:sz w:val="28"/>
          <w:szCs w:val="28"/>
        </w:rPr>
      </w:pPr>
      <w:r>
        <w:rPr>
          <w:sz w:val="28"/>
          <w:szCs w:val="28"/>
        </w:rPr>
        <w:t>"</w:t>
      </w:r>
      <w:r w:rsidR="00D83A72" w:rsidRPr="00BF2D00">
        <w:rPr>
          <w:sz w:val="28"/>
          <w:szCs w:val="28"/>
        </w:rPr>
        <w:t xml:space="preserve">22.3. </w:t>
      </w:r>
      <w:proofErr w:type="spellStart"/>
      <w:r w:rsidR="00D83A72" w:rsidRPr="00BF2D00">
        <w:rPr>
          <w:sz w:val="28"/>
          <w:szCs w:val="28"/>
        </w:rPr>
        <w:t>hemovigilances</w:t>
      </w:r>
      <w:proofErr w:type="spellEnd"/>
      <w:r w:rsidR="00D83A72" w:rsidRPr="00BF2D00">
        <w:rPr>
          <w:sz w:val="28"/>
          <w:szCs w:val="28"/>
        </w:rPr>
        <w:t xml:space="preserve"> pārraudzību;</w:t>
      </w:r>
      <w:r w:rsidR="00A708AD">
        <w:rPr>
          <w:sz w:val="28"/>
          <w:szCs w:val="28"/>
        </w:rPr>
        <w:t>"</w:t>
      </w:r>
      <w:r w:rsidR="00F57D00">
        <w:rPr>
          <w:sz w:val="28"/>
          <w:szCs w:val="28"/>
        </w:rPr>
        <w:t>.</w:t>
      </w:r>
    </w:p>
    <w:p w14:paraId="45949829" w14:textId="77777777" w:rsidR="008F256A" w:rsidRDefault="008F256A" w:rsidP="008F256A">
      <w:pPr>
        <w:ind w:firstLine="720"/>
        <w:jc w:val="both"/>
        <w:rPr>
          <w:rFonts w:eastAsia="Calibri"/>
          <w:sz w:val="28"/>
          <w:szCs w:val="28"/>
          <w:lang w:eastAsia="en-US"/>
        </w:rPr>
      </w:pPr>
    </w:p>
    <w:p w14:paraId="60BFFC05" w14:textId="7CFE35B0" w:rsidR="005E4111" w:rsidRPr="00F57D00" w:rsidRDefault="00F57D00" w:rsidP="008F256A">
      <w:pPr>
        <w:ind w:firstLine="720"/>
        <w:jc w:val="both"/>
        <w:rPr>
          <w:sz w:val="28"/>
          <w:szCs w:val="28"/>
        </w:rPr>
      </w:pPr>
      <w:r w:rsidRPr="00F57D00">
        <w:rPr>
          <w:rFonts w:eastAsia="Calibri"/>
          <w:sz w:val="28"/>
          <w:szCs w:val="28"/>
          <w:lang w:eastAsia="en-US"/>
        </w:rPr>
        <w:t>7.</w:t>
      </w:r>
      <w:r w:rsidR="008F256A">
        <w:rPr>
          <w:rFonts w:eastAsia="Calibri"/>
          <w:sz w:val="28"/>
          <w:szCs w:val="28"/>
          <w:lang w:eastAsia="en-US"/>
        </w:rPr>
        <w:t> </w:t>
      </w:r>
      <w:r w:rsidR="005E4111" w:rsidRPr="00F57D00">
        <w:rPr>
          <w:rFonts w:eastAsia="Calibri"/>
          <w:sz w:val="28"/>
          <w:szCs w:val="28"/>
          <w:lang w:eastAsia="en-US"/>
        </w:rPr>
        <w:t>Izteikt 23</w:t>
      </w:r>
      <w:r w:rsidR="00A708AD">
        <w:rPr>
          <w:rFonts w:eastAsia="Calibri"/>
          <w:sz w:val="28"/>
          <w:szCs w:val="28"/>
          <w:lang w:eastAsia="en-US"/>
        </w:rPr>
        <w:t>.</w:t>
      </w:r>
      <w:r w:rsidR="008F256A">
        <w:rPr>
          <w:rFonts w:eastAsia="Calibri"/>
          <w:sz w:val="28"/>
          <w:szCs w:val="28"/>
          <w:lang w:eastAsia="en-US"/>
        </w:rPr>
        <w:t> </w:t>
      </w:r>
      <w:r w:rsidR="00A708AD">
        <w:rPr>
          <w:rFonts w:eastAsia="Calibri"/>
          <w:sz w:val="28"/>
          <w:szCs w:val="28"/>
          <w:lang w:eastAsia="en-US"/>
        </w:rPr>
        <w:t>p</w:t>
      </w:r>
      <w:r w:rsidR="005E4111" w:rsidRPr="00F57D00">
        <w:rPr>
          <w:rFonts w:eastAsia="Calibri"/>
          <w:sz w:val="28"/>
          <w:szCs w:val="28"/>
          <w:lang w:eastAsia="en-US"/>
        </w:rPr>
        <w:t>unktu šādā redakcijā:</w:t>
      </w:r>
    </w:p>
    <w:p w14:paraId="709E498A" w14:textId="77777777" w:rsidR="008F256A" w:rsidRDefault="008F256A" w:rsidP="008F256A">
      <w:pPr>
        <w:rPr>
          <w:sz w:val="28"/>
          <w:szCs w:val="28"/>
        </w:rPr>
      </w:pPr>
    </w:p>
    <w:p w14:paraId="60BFFC06" w14:textId="7229809E" w:rsidR="005E4111" w:rsidRPr="00244CB9" w:rsidRDefault="008F256A" w:rsidP="008F256A">
      <w:pPr>
        <w:ind w:firstLine="709"/>
        <w:rPr>
          <w:sz w:val="28"/>
          <w:szCs w:val="28"/>
        </w:rPr>
      </w:pPr>
      <w:r>
        <w:rPr>
          <w:sz w:val="28"/>
          <w:szCs w:val="28"/>
        </w:rPr>
        <w:t>"</w:t>
      </w:r>
      <w:r w:rsidR="005E4111" w:rsidRPr="00244CB9">
        <w:rPr>
          <w:sz w:val="28"/>
          <w:szCs w:val="28"/>
        </w:rPr>
        <w:t>23.</w:t>
      </w:r>
      <w:r w:rsidR="00C577D5">
        <w:rPr>
          <w:sz w:val="28"/>
          <w:szCs w:val="28"/>
        </w:rPr>
        <w:t> </w:t>
      </w:r>
      <w:r w:rsidR="005E4111" w:rsidRPr="00244CB9">
        <w:rPr>
          <w:sz w:val="28"/>
          <w:szCs w:val="28"/>
        </w:rPr>
        <w:t>Lai nodrošinātu šo noteikumu ievērošanu, aģentūra:</w:t>
      </w:r>
    </w:p>
    <w:p w14:paraId="60BFFC07" w14:textId="4BC213D2" w:rsidR="005E4111" w:rsidRPr="00244CB9" w:rsidRDefault="005E4111" w:rsidP="008F256A">
      <w:pPr>
        <w:ind w:firstLine="709"/>
        <w:jc w:val="both"/>
        <w:rPr>
          <w:sz w:val="28"/>
          <w:szCs w:val="28"/>
        </w:rPr>
      </w:pPr>
      <w:r w:rsidRPr="00244CB9">
        <w:rPr>
          <w:sz w:val="28"/>
          <w:szCs w:val="28"/>
        </w:rPr>
        <w:t>23.1.</w:t>
      </w:r>
      <w:r w:rsidR="00C577D5">
        <w:rPr>
          <w:sz w:val="28"/>
          <w:szCs w:val="28"/>
        </w:rPr>
        <w:t> </w:t>
      </w:r>
      <w:r w:rsidRPr="00244CB9">
        <w:rPr>
          <w:sz w:val="28"/>
          <w:szCs w:val="28"/>
        </w:rPr>
        <w:t xml:space="preserve">ne retāk kā reizi divos gados </w:t>
      </w:r>
      <w:r w:rsidRPr="00453563">
        <w:rPr>
          <w:sz w:val="28"/>
          <w:szCs w:val="28"/>
        </w:rPr>
        <w:t>kontrolē</w:t>
      </w:r>
      <w:r w:rsidRPr="00244CB9">
        <w:rPr>
          <w:sz w:val="28"/>
          <w:szCs w:val="28"/>
        </w:rPr>
        <w:t xml:space="preserve"> Valsts asinsdonoru centru un asins sagatavošanas nodaļas, tai skaitā to mobilās vietnes, ja tādas ir, kā arī trešās puses, kam asins sagatavošanas iestāde uzticējusi veikt šo noteikumu </w:t>
      </w:r>
      <w:hyperlink r:id="rId10" w:anchor="p17" w:history="1">
        <w:r w:rsidRPr="000F1D1F">
          <w:rPr>
            <w:sz w:val="28"/>
            <w:szCs w:val="28"/>
          </w:rPr>
          <w:t>17.5.</w:t>
        </w:r>
        <w:r w:rsidR="00C577D5">
          <w:rPr>
            <w:sz w:val="28"/>
            <w:szCs w:val="28"/>
          </w:rPr>
          <w:t> </w:t>
        </w:r>
        <w:r w:rsidRPr="000F1D1F">
          <w:rPr>
            <w:sz w:val="28"/>
            <w:szCs w:val="28"/>
          </w:rPr>
          <w:t>apakšpunktā</w:t>
        </w:r>
      </w:hyperlink>
      <w:r w:rsidRPr="000F1D1F">
        <w:rPr>
          <w:sz w:val="28"/>
          <w:szCs w:val="28"/>
        </w:rPr>
        <w:t xml:space="preserve"> </w:t>
      </w:r>
      <w:r w:rsidRPr="00244CB9">
        <w:rPr>
          <w:sz w:val="28"/>
          <w:szCs w:val="28"/>
        </w:rPr>
        <w:t>minētās donoru novērtēšanas un testēšanas procedūras;</w:t>
      </w:r>
    </w:p>
    <w:p w14:paraId="60BFFC08" w14:textId="7FF8CA8F" w:rsidR="005E4111" w:rsidRPr="00244CB9" w:rsidRDefault="005E4111" w:rsidP="008F256A">
      <w:pPr>
        <w:ind w:firstLine="709"/>
        <w:jc w:val="both"/>
        <w:rPr>
          <w:sz w:val="28"/>
          <w:szCs w:val="28"/>
        </w:rPr>
      </w:pPr>
      <w:r w:rsidRPr="00244CB9">
        <w:rPr>
          <w:sz w:val="28"/>
          <w:szCs w:val="28"/>
        </w:rPr>
        <w:t>23.2.</w:t>
      </w:r>
      <w:r w:rsidR="00C577D5">
        <w:rPr>
          <w:sz w:val="28"/>
          <w:szCs w:val="28"/>
        </w:rPr>
        <w:t> </w:t>
      </w:r>
      <w:r w:rsidRPr="00244CB9">
        <w:rPr>
          <w:sz w:val="28"/>
          <w:szCs w:val="28"/>
        </w:rPr>
        <w:t>ir tiesīga ņemt paraugus pārbaudei un analīzei;</w:t>
      </w:r>
    </w:p>
    <w:p w14:paraId="60BFFC09" w14:textId="71FF274A" w:rsidR="005E4111" w:rsidRPr="00244CB9" w:rsidRDefault="005E4111" w:rsidP="008F256A">
      <w:pPr>
        <w:ind w:firstLine="709"/>
        <w:jc w:val="both"/>
        <w:rPr>
          <w:sz w:val="28"/>
          <w:szCs w:val="28"/>
        </w:rPr>
      </w:pPr>
      <w:r w:rsidRPr="00244CB9">
        <w:rPr>
          <w:sz w:val="28"/>
          <w:szCs w:val="28"/>
        </w:rPr>
        <w:t>23.3.</w:t>
      </w:r>
      <w:r w:rsidR="00C577D5">
        <w:rPr>
          <w:sz w:val="28"/>
          <w:szCs w:val="28"/>
        </w:rPr>
        <w:t> </w:t>
      </w:r>
      <w:r w:rsidRPr="00244CB9">
        <w:rPr>
          <w:sz w:val="28"/>
          <w:szCs w:val="28"/>
        </w:rPr>
        <w:t>pārbauda visus ar kontroli saistītos dokumentus;</w:t>
      </w:r>
    </w:p>
    <w:p w14:paraId="60BFFC0A" w14:textId="7D099D38" w:rsidR="005E4111" w:rsidRPr="00244CB9" w:rsidRDefault="005E4111" w:rsidP="008F256A">
      <w:pPr>
        <w:ind w:firstLine="709"/>
        <w:jc w:val="both"/>
        <w:rPr>
          <w:sz w:val="28"/>
          <w:szCs w:val="28"/>
        </w:rPr>
      </w:pPr>
      <w:r w:rsidRPr="00244CB9">
        <w:rPr>
          <w:sz w:val="28"/>
          <w:szCs w:val="28"/>
        </w:rPr>
        <w:t>23.4.</w:t>
      </w:r>
      <w:r w:rsidR="00C577D5">
        <w:rPr>
          <w:sz w:val="28"/>
          <w:szCs w:val="28"/>
        </w:rPr>
        <w:t> </w:t>
      </w:r>
      <w:r w:rsidR="00715B56" w:rsidRPr="00BF2D00">
        <w:rPr>
          <w:sz w:val="28"/>
          <w:szCs w:val="28"/>
        </w:rPr>
        <w:t xml:space="preserve">ne retāk kā reizi piecos gados </w:t>
      </w:r>
      <w:r w:rsidRPr="00BF2D00">
        <w:rPr>
          <w:sz w:val="28"/>
          <w:szCs w:val="28"/>
        </w:rPr>
        <w:t xml:space="preserve">kontrolē </w:t>
      </w:r>
      <w:r w:rsidRPr="00244CB9">
        <w:rPr>
          <w:sz w:val="28"/>
          <w:szCs w:val="28"/>
        </w:rPr>
        <w:t>asins kabinetu atbilstību šo noteikumu 36. un 37</w:t>
      </w:r>
      <w:r w:rsidR="00A708AD">
        <w:rPr>
          <w:sz w:val="28"/>
          <w:szCs w:val="28"/>
        </w:rPr>
        <w:t>.</w:t>
      </w:r>
      <w:r w:rsidR="00C577D5">
        <w:rPr>
          <w:sz w:val="28"/>
          <w:szCs w:val="28"/>
        </w:rPr>
        <w:t> </w:t>
      </w:r>
      <w:r w:rsidR="00A708AD">
        <w:rPr>
          <w:sz w:val="28"/>
          <w:szCs w:val="28"/>
        </w:rPr>
        <w:t>p</w:t>
      </w:r>
      <w:r w:rsidRPr="00244CB9">
        <w:rPr>
          <w:sz w:val="28"/>
          <w:szCs w:val="28"/>
        </w:rPr>
        <w:t xml:space="preserve">unktā </w:t>
      </w:r>
      <w:r w:rsidR="005A350A">
        <w:rPr>
          <w:sz w:val="28"/>
          <w:szCs w:val="28"/>
        </w:rPr>
        <w:t>minē</w:t>
      </w:r>
      <w:r w:rsidRPr="00244CB9">
        <w:rPr>
          <w:sz w:val="28"/>
          <w:szCs w:val="28"/>
        </w:rPr>
        <w:t>tajām prasībām.</w:t>
      </w:r>
      <w:r w:rsidR="00A708AD">
        <w:rPr>
          <w:sz w:val="28"/>
          <w:szCs w:val="28"/>
        </w:rPr>
        <w:t>"</w:t>
      </w:r>
    </w:p>
    <w:p w14:paraId="2B645EE5" w14:textId="77777777" w:rsidR="008F256A" w:rsidRDefault="008F256A" w:rsidP="008F256A">
      <w:pPr>
        <w:ind w:firstLine="720"/>
        <w:jc w:val="both"/>
        <w:rPr>
          <w:sz w:val="28"/>
          <w:szCs w:val="28"/>
        </w:rPr>
      </w:pPr>
    </w:p>
    <w:p w14:paraId="60BFFC0B" w14:textId="5A739A08" w:rsidR="0071304F" w:rsidRDefault="00F57D00" w:rsidP="008F256A">
      <w:pPr>
        <w:ind w:firstLine="720"/>
        <w:jc w:val="both"/>
        <w:rPr>
          <w:sz w:val="28"/>
          <w:szCs w:val="28"/>
        </w:rPr>
      </w:pPr>
      <w:r>
        <w:rPr>
          <w:sz w:val="28"/>
          <w:szCs w:val="28"/>
        </w:rPr>
        <w:t>8</w:t>
      </w:r>
      <w:r w:rsidR="005E4111" w:rsidRPr="00BF2D00">
        <w:rPr>
          <w:sz w:val="28"/>
          <w:szCs w:val="28"/>
        </w:rPr>
        <w:t>.</w:t>
      </w:r>
      <w:r w:rsidR="008F256A">
        <w:rPr>
          <w:sz w:val="28"/>
          <w:szCs w:val="28"/>
        </w:rPr>
        <w:t> </w:t>
      </w:r>
      <w:r w:rsidR="0071304F" w:rsidRPr="005E4111">
        <w:rPr>
          <w:sz w:val="28"/>
          <w:szCs w:val="28"/>
        </w:rPr>
        <w:t>Papildināt 2.</w:t>
      </w:r>
      <w:r w:rsidR="008F256A">
        <w:rPr>
          <w:sz w:val="28"/>
          <w:szCs w:val="28"/>
        </w:rPr>
        <w:t> </w:t>
      </w:r>
      <w:r w:rsidR="006F2D7B" w:rsidRPr="005E4111">
        <w:rPr>
          <w:sz w:val="28"/>
          <w:szCs w:val="28"/>
        </w:rPr>
        <w:t>p</w:t>
      </w:r>
      <w:r w:rsidR="0071304F" w:rsidRPr="005E4111">
        <w:rPr>
          <w:sz w:val="28"/>
          <w:szCs w:val="28"/>
        </w:rPr>
        <w:t xml:space="preserve">ielikuma tabulu </w:t>
      </w:r>
      <w:r w:rsidR="00C14975" w:rsidRPr="005E4111">
        <w:rPr>
          <w:sz w:val="28"/>
          <w:szCs w:val="28"/>
        </w:rPr>
        <w:t>ar 10.</w:t>
      </w:r>
      <w:r w:rsidR="00C14975" w:rsidRPr="005E4111">
        <w:rPr>
          <w:sz w:val="28"/>
          <w:szCs w:val="28"/>
          <w:vertAlign w:val="superscript"/>
        </w:rPr>
        <w:t>1</w:t>
      </w:r>
      <w:r w:rsidR="008F256A">
        <w:rPr>
          <w:sz w:val="28"/>
          <w:szCs w:val="28"/>
          <w:vertAlign w:val="superscript"/>
        </w:rPr>
        <w:t> </w:t>
      </w:r>
      <w:r w:rsidR="00F842F9">
        <w:rPr>
          <w:sz w:val="28"/>
          <w:szCs w:val="28"/>
        </w:rPr>
        <w:t xml:space="preserve">punktu </w:t>
      </w:r>
      <w:r w:rsidR="0071304F" w:rsidRPr="005E4111">
        <w:rPr>
          <w:sz w:val="28"/>
          <w:szCs w:val="28"/>
        </w:rPr>
        <w:t>šādā redakcijā:</w:t>
      </w:r>
    </w:p>
    <w:p w14:paraId="60BFFC0C" w14:textId="77777777" w:rsidR="00E073CC" w:rsidRPr="005E4111" w:rsidRDefault="00E073CC" w:rsidP="008F256A">
      <w:pPr>
        <w:ind w:firstLine="720"/>
        <w:jc w:val="both"/>
        <w:rPr>
          <w:sz w:val="28"/>
          <w:szCs w:val="28"/>
        </w:rPr>
      </w:pPr>
    </w:p>
    <w:tbl>
      <w:tblPr>
        <w:tblStyle w:val="TableGrid"/>
        <w:tblW w:w="0" w:type="auto"/>
        <w:tblLook w:val="04A0" w:firstRow="1" w:lastRow="0" w:firstColumn="1" w:lastColumn="0" w:noHBand="0" w:noVBand="1"/>
      </w:tblPr>
      <w:tblGrid>
        <w:gridCol w:w="694"/>
        <w:gridCol w:w="2108"/>
        <w:gridCol w:w="1603"/>
        <w:gridCol w:w="4883"/>
      </w:tblGrid>
      <w:tr w:rsidR="00503E66" w:rsidRPr="008F256A" w14:paraId="60BFFC16" w14:textId="77777777" w:rsidTr="000A69F2">
        <w:trPr>
          <w:trHeight w:val="392"/>
        </w:trPr>
        <w:tc>
          <w:tcPr>
            <w:tcW w:w="694" w:type="dxa"/>
            <w:vMerge w:val="restart"/>
          </w:tcPr>
          <w:p w14:paraId="60BFFC0D" w14:textId="2F727E42" w:rsidR="00503E66" w:rsidRPr="008F256A" w:rsidRDefault="00503E66" w:rsidP="008F256A">
            <w:pPr>
              <w:pStyle w:val="ListParagraph"/>
              <w:ind w:left="0"/>
            </w:pPr>
            <w:r>
              <w:t>"</w:t>
            </w:r>
            <w:r w:rsidRPr="008F256A">
              <w:t>10.</w:t>
            </w:r>
            <w:r w:rsidRPr="008F256A">
              <w:rPr>
                <w:vertAlign w:val="superscript"/>
              </w:rPr>
              <w:t>1</w:t>
            </w:r>
          </w:p>
        </w:tc>
        <w:tc>
          <w:tcPr>
            <w:tcW w:w="2108" w:type="dxa"/>
            <w:vMerge w:val="restart"/>
          </w:tcPr>
          <w:p w14:paraId="60BFFC0E" w14:textId="77777777" w:rsidR="00503E66" w:rsidRPr="008F256A" w:rsidRDefault="00503E66" w:rsidP="008F256A">
            <w:pPr>
              <w:pStyle w:val="ListParagraph"/>
              <w:ind w:left="0"/>
              <w:rPr>
                <w:vertAlign w:val="superscript"/>
              </w:rPr>
            </w:pPr>
            <w:r w:rsidRPr="008F256A">
              <w:t>Trombocītu masa bez leikocītiem, sagatavota aferēzē</w:t>
            </w:r>
            <w:r w:rsidRPr="008F256A">
              <w:rPr>
                <w:vertAlign w:val="superscript"/>
              </w:rPr>
              <w:t>11)</w:t>
            </w:r>
          </w:p>
          <w:p w14:paraId="60BFFC0F" w14:textId="77777777" w:rsidR="00503E66" w:rsidRPr="008F256A" w:rsidRDefault="00503E66" w:rsidP="008F256A">
            <w:pPr>
              <w:pStyle w:val="ListParagraph"/>
              <w:ind w:left="0"/>
              <w:rPr>
                <w:vertAlign w:val="superscript"/>
              </w:rPr>
            </w:pPr>
            <w:r w:rsidRPr="008F256A">
              <w:t>PĒC PATOGĒNU INAKTIVĀCIJAS</w:t>
            </w:r>
          </w:p>
        </w:tc>
        <w:tc>
          <w:tcPr>
            <w:tcW w:w="1603" w:type="dxa"/>
          </w:tcPr>
          <w:p w14:paraId="60BFFC12" w14:textId="440B32F2" w:rsidR="00503E66" w:rsidRPr="008F256A" w:rsidRDefault="00503E66" w:rsidP="00503E66">
            <w:pPr>
              <w:pStyle w:val="ListParagraph"/>
              <w:ind w:left="0"/>
              <w:jc w:val="both"/>
            </w:pPr>
            <w:r w:rsidRPr="008F256A">
              <w:t>Tilpums</w:t>
            </w:r>
          </w:p>
        </w:tc>
        <w:tc>
          <w:tcPr>
            <w:tcW w:w="4883" w:type="dxa"/>
          </w:tcPr>
          <w:p w14:paraId="60BFFC15" w14:textId="7CAE395D" w:rsidR="00503E66" w:rsidRPr="008F256A" w:rsidRDefault="00503E66" w:rsidP="000A69F2">
            <w:r w:rsidRPr="008F256A">
              <w:t xml:space="preserve">Atbilstoši kritērijiem, kas uztur </w:t>
            </w:r>
            <w:proofErr w:type="spellStart"/>
            <w:r w:rsidRPr="008F256A">
              <w:t>pH</w:t>
            </w:r>
            <w:proofErr w:type="spellEnd"/>
            <w:r w:rsidRPr="008F256A">
              <w:t xml:space="preserve"> specifikāciju</w:t>
            </w:r>
          </w:p>
        </w:tc>
      </w:tr>
      <w:tr w:rsidR="00503E66" w:rsidRPr="008F256A" w14:paraId="32014697" w14:textId="77777777" w:rsidTr="005A350A">
        <w:trPr>
          <w:trHeight w:val="688"/>
        </w:trPr>
        <w:tc>
          <w:tcPr>
            <w:tcW w:w="694" w:type="dxa"/>
            <w:vMerge/>
          </w:tcPr>
          <w:p w14:paraId="653B4AA1" w14:textId="77777777" w:rsidR="00503E66" w:rsidRDefault="00503E66" w:rsidP="008F256A">
            <w:pPr>
              <w:pStyle w:val="ListParagraph"/>
              <w:ind w:left="0"/>
            </w:pPr>
          </w:p>
        </w:tc>
        <w:tc>
          <w:tcPr>
            <w:tcW w:w="2108" w:type="dxa"/>
            <w:vMerge/>
          </w:tcPr>
          <w:p w14:paraId="2EAAFECC" w14:textId="77777777" w:rsidR="00503E66" w:rsidRPr="008F256A" w:rsidRDefault="00503E66" w:rsidP="008F256A">
            <w:pPr>
              <w:pStyle w:val="ListParagraph"/>
              <w:ind w:left="0"/>
            </w:pPr>
          </w:p>
        </w:tc>
        <w:tc>
          <w:tcPr>
            <w:tcW w:w="1603" w:type="dxa"/>
          </w:tcPr>
          <w:p w14:paraId="70FD98B2" w14:textId="479C088B" w:rsidR="00503E66" w:rsidRPr="008F256A" w:rsidRDefault="00503E66" w:rsidP="008F256A">
            <w:pPr>
              <w:pStyle w:val="ListParagraph"/>
              <w:ind w:left="0"/>
              <w:jc w:val="both"/>
            </w:pPr>
            <w:r w:rsidRPr="008F256A">
              <w:t>Trombocītu skaits</w:t>
            </w:r>
          </w:p>
        </w:tc>
        <w:tc>
          <w:tcPr>
            <w:tcW w:w="4883" w:type="dxa"/>
          </w:tcPr>
          <w:p w14:paraId="4BD7D488" w14:textId="7979785B" w:rsidR="00503E66" w:rsidRPr="008F256A" w:rsidRDefault="00503E66" w:rsidP="000A69F2">
            <w:r w:rsidRPr="008F256A">
              <w:t xml:space="preserve">Trombocītu skaita izmaiņas vienā </w:t>
            </w:r>
            <w:proofErr w:type="spellStart"/>
            <w:r w:rsidRPr="008F256A">
              <w:t>inaktivizācijas</w:t>
            </w:r>
            <w:proofErr w:type="spellEnd"/>
            <w:r w:rsidRPr="008F256A">
              <w:t xml:space="preserve"> reizē ir pieļaujamas, ja tās nepārsniedz robežas, kas atbilst validētiem sagatavošanas un uzglabāšanas nosacījumiem</w:t>
            </w:r>
            <w:r>
              <w:t>"</w:t>
            </w:r>
          </w:p>
        </w:tc>
      </w:tr>
    </w:tbl>
    <w:p w14:paraId="7E60A873" w14:textId="77777777" w:rsidR="008F256A" w:rsidRDefault="008F256A" w:rsidP="008F256A">
      <w:pPr>
        <w:tabs>
          <w:tab w:val="left" w:pos="1276"/>
        </w:tabs>
        <w:jc w:val="both"/>
        <w:rPr>
          <w:sz w:val="28"/>
          <w:szCs w:val="28"/>
        </w:rPr>
      </w:pPr>
    </w:p>
    <w:p w14:paraId="60BFFC17" w14:textId="011684B5" w:rsidR="00C14975" w:rsidRDefault="00F57D00" w:rsidP="008F256A">
      <w:pPr>
        <w:tabs>
          <w:tab w:val="left" w:pos="1276"/>
        </w:tabs>
        <w:ind w:firstLine="709"/>
        <w:jc w:val="both"/>
        <w:rPr>
          <w:sz w:val="28"/>
          <w:szCs w:val="28"/>
        </w:rPr>
      </w:pPr>
      <w:r>
        <w:rPr>
          <w:sz w:val="28"/>
          <w:szCs w:val="28"/>
        </w:rPr>
        <w:t>9</w:t>
      </w:r>
      <w:r w:rsidR="008D6E18" w:rsidRPr="00BF2D00">
        <w:rPr>
          <w:sz w:val="28"/>
          <w:szCs w:val="28"/>
        </w:rPr>
        <w:t>.</w:t>
      </w:r>
      <w:r w:rsidR="008F256A">
        <w:rPr>
          <w:sz w:val="28"/>
          <w:szCs w:val="28"/>
        </w:rPr>
        <w:t> </w:t>
      </w:r>
      <w:r w:rsidR="006F2D7B" w:rsidRPr="008D6E18">
        <w:rPr>
          <w:sz w:val="28"/>
          <w:szCs w:val="28"/>
        </w:rPr>
        <w:t>Papildināt 2</w:t>
      </w:r>
      <w:r w:rsidR="00A708AD">
        <w:rPr>
          <w:sz w:val="28"/>
          <w:szCs w:val="28"/>
        </w:rPr>
        <w:t>.</w:t>
      </w:r>
      <w:r w:rsidR="008F256A">
        <w:rPr>
          <w:sz w:val="28"/>
          <w:szCs w:val="28"/>
        </w:rPr>
        <w:t> </w:t>
      </w:r>
      <w:r w:rsidR="00A708AD">
        <w:rPr>
          <w:sz w:val="28"/>
          <w:szCs w:val="28"/>
        </w:rPr>
        <w:t>p</w:t>
      </w:r>
      <w:r w:rsidR="006F2D7B" w:rsidRPr="008D6E18">
        <w:rPr>
          <w:sz w:val="28"/>
          <w:szCs w:val="28"/>
        </w:rPr>
        <w:t>ielikuma tabulu ar 12.</w:t>
      </w:r>
      <w:r w:rsidR="006F2D7B" w:rsidRPr="008D6E18">
        <w:rPr>
          <w:sz w:val="28"/>
          <w:szCs w:val="28"/>
          <w:vertAlign w:val="superscript"/>
        </w:rPr>
        <w:t>1</w:t>
      </w:r>
      <w:r w:rsidR="008F256A">
        <w:rPr>
          <w:sz w:val="28"/>
          <w:szCs w:val="28"/>
          <w:vertAlign w:val="superscript"/>
        </w:rPr>
        <w:t> </w:t>
      </w:r>
      <w:r w:rsidR="00F842F9">
        <w:rPr>
          <w:sz w:val="28"/>
          <w:szCs w:val="28"/>
        </w:rPr>
        <w:t xml:space="preserve">punktu </w:t>
      </w:r>
      <w:r w:rsidR="006F2D7B" w:rsidRPr="008D6E18">
        <w:rPr>
          <w:sz w:val="28"/>
          <w:szCs w:val="28"/>
        </w:rPr>
        <w:t>šādā redakcijā:</w:t>
      </w:r>
    </w:p>
    <w:p w14:paraId="1F87B6DC" w14:textId="77777777" w:rsidR="00E073CC" w:rsidRPr="008D6E18" w:rsidRDefault="00E073CC" w:rsidP="008F256A">
      <w:pPr>
        <w:tabs>
          <w:tab w:val="left" w:pos="1276"/>
        </w:tabs>
        <w:jc w:val="both"/>
        <w:rPr>
          <w:sz w:val="28"/>
          <w:szCs w:val="28"/>
        </w:rPr>
      </w:pPr>
    </w:p>
    <w:tbl>
      <w:tblPr>
        <w:tblStyle w:val="TableGrid"/>
        <w:tblW w:w="0" w:type="auto"/>
        <w:tblLook w:val="04A0" w:firstRow="1" w:lastRow="0" w:firstColumn="1" w:lastColumn="0" w:noHBand="0" w:noVBand="1"/>
      </w:tblPr>
      <w:tblGrid>
        <w:gridCol w:w="694"/>
        <w:gridCol w:w="2108"/>
        <w:gridCol w:w="1604"/>
        <w:gridCol w:w="4882"/>
      </w:tblGrid>
      <w:tr w:rsidR="00503E66" w:rsidRPr="008F256A" w14:paraId="60BFFC23" w14:textId="77777777" w:rsidTr="00503E66">
        <w:trPr>
          <w:trHeight w:val="464"/>
        </w:trPr>
        <w:tc>
          <w:tcPr>
            <w:tcW w:w="694" w:type="dxa"/>
            <w:vMerge w:val="restart"/>
          </w:tcPr>
          <w:p w14:paraId="60BFFC19" w14:textId="307F2086" w:rsidR="00503E66" w:rsidRPr="008F256A" w:rsidRDefault="00503E66" w:rsidP="008F256A">
            <w:pPr>
              <w:pStyle w:val="ListParagraph"/>
              <w:ind w:left="0"/>
            </w:pPr>
            <w:r>
              <w:t>"</w:t>
            </w:r>
            <w:r w:rsidRPr="008F256A">
              <w:t>12.</w:t>
            </w:r>
            <w:r w:rsidRPr="008F256A">
              <w:rPr>
                <w:vertAlign w:val="superscript"/>
              </w:rPr>
              <w:t>1</w:t>
            </w:r>
          </w:p>
        </w:tc>
        <w:tc>
          <w:tcPr>
            <w:tcW w:w="2108" w:type="dxa"/>
            <w:vMerge w:val="restart"/>
          </w:tcPr>
          <w:p w14:paraId="60BFFC1A" w14:textId="5C539EE1" w:rsidR="00503E66" w:rsidRPr="008F256A" w:rsidRDefault="00503E66" w:rsidP="008F256A">
            <w:pPr>
              <w:pStyle w:val="ListParagraph"/>
              <w:ind w:left="0"/>
              <w:rPr>
                <w:vertAlign w:val="superscript"/>
              </w:rPr>
            </w:pPr>
            <w:r w:rsidRPr="008F256A">
              <w:t>Trombocītu masa bez leikocītiem, sagatavota no vairākām pilnasiņu devām</w:t>
            </w:r>
            <w:r w:rsidRPr="008F256A">
              <w:rPr>
                <w:vertAlign w:val="superscript"/>
              </w:rPr>
              <w:t xml:space="preserve">13) </w:t>
            </w:r>
          </w:p>
          <w:p w14:paraId="60BFFC1C" w14:textId="5555AF6C" w:rsidR="00503E66" w:rsidRPr="008F256A" w:rsidRDefault="00503E66" w:rsidP="005A350A">
            <w:pPr>
              <w:pStyle w:val="ListParagraph"/>
              <w:ind w:left="0"/>
              <w:rPr>
                <w:vertAlign w:val="superscript"/>
              </w:rPr>
            </w:pPr>
            <w:r w:rsidRPr="008F256A">
              <w:t>PĒC PATOGĒNU INAKTIVĀCIJAS</w:t>
            </w:r>
          </w:p>
        </w:tc>
        <w:tc>
          <w:tcPr>
            <w:tcW w:w="1604" w:type="dxa"/>
          </w:tcPr>
          <w:p w14:paraId="60BFFC1F" w14:textId="2166E66E" w:rsidR="00503E66" w:rsidRPr="008F256A" w:rsidRDefault="00503E66" w:rsidP="00503E66">
            <w:pPr>
              <w:pStyle w:val="ListParagraph"/>
              <w:ind w:left="0"/>
              <w:jc w:val="both"/>
            </w:pPr>
            <w:r w:rsidRPr="008F256A">
              <w:t>Tilpums</w:t>
            </w:r>
          </w:p>
        </w:tc>
        <w:tc>
          <w:tcPr>
            <w:tcW w:w="4882" w:type="dxa"/>
          </w:tcPr>
          <w:p w14:paraId="60BFFC22" w14:textId="28D02D9B" w:rsidR="00503E66" w:rsidRPr="008F256A" w:rsidRDefault="00503E66" w:rsidP="000A69F2">
            <w:r w:rsidRPr="008F256A">
              <w:t xml:space="preserve">Atbilstoši kritērijiem, kas uztur </w:t>
            </w:r>
            <w:proofErr w:type="spellStart"/>
            <w:r w:rsidRPr="008F256A">
              <w:t>pH</w:t>
            </w:r>
            <w:proofErr w:type="spellEnd"/>
            <w:r w:rsidRPr="008F256A">
              <w:t xml:space="preserve"> specifikāciju</w:t>
            </w:r>
          </w:p>
        </w:tc>
      </w:tr>
      <w:tr w:rsidR="00503E66" w:rsidRPr="008F256A" w14:paraId="56195219" w14:textId="77777777" w:rsidTr="00503E66">
        <w:trPr>
          <w:trHeight w:val="463"/>
        </w:trPr>
        <w:tc>
          <w:tcPr>
            <w:tcW w:w="694" w:type="dxa"/>
            <w:vMerge/>
          </w:tcPr>
          <w:p w14:paraId="3285B2F9" w14:textId="77777777" w:rsidR="00503E66" w:rsidRDefault="00503E66" w:rsidP="008F256A">
            <w:pPr>
              <w:pStyle w:val="ListParagraph"/>
              <w:ind w:left="0"/>
            </w:pPr>
          </w:p>
        </w:tc>
        <w:tc>
          <w:tcPr>
            <w:tcW w:w="2108" w:type="dxa"/>
            <w:vMerge/>
          </w:tcPr>
          <w:p w14:paraId="4E2FD4AC" w14:textId="77777777" w:rsidR="00503E66" w:rsidRPr="008F256A" w:rsidRDefault="00503E66" w:rsidP="008F256A">
            <w:pPr>
              <w:pStyle w:val="ListParagraph"/>
              <w:ind w:left="0"/>
            </w:pPr>
          </w:p>
        </w:tc>
        <w:tc>
          <w:tcPr>
            <w:tcW w:w="1604" w:type="dxa"/>
          </w:tcPr>
          <w:p w14:paraId="1BFE98A3" w14:textId="7B5FB31A" w:rsidR="00503E66" w:rsidRPr="008F256A" w:rsidRDefault="00503E66" w:rsidP="008F256A">
            <w:pPr>
              <w:pStyle w:val="ListParagraph"/>
              <w:ind w:left="0"/>
              <w:jc w:val="both"/>
            </w:pPr>
            <w:r w:rsidRPr="008F256A">
              <w:t>Trombocītu skaits</w:t>
            </w:r>
          </w:p>
        </w:tc>
        <w:tc>
          <w:tcPr>
            <w:tcW w:w="4882" w:type="dxa"/>
          </w:tcPr>
          <w:p w14:paraId="11326A01" w14:textId="51232406" w:rsidR="00503E66" w:rsidRPr="008F256A" w:rsidRDefault="00503E66" w:rsidP="000A69F2">
            <w:r w:rsidRPr="008F256A">
              <w:t xml:space="preserve">Trombocītu skaita izmaiņas vienā </w:t>
            </w:r>
            <w:proofErr w:type="spellStart"/>
            <w:r w:rsidRPr="008F256A">
              <w:t>inaktivizācijas</w:t>
            </w:r>
            <w:proofErr w:type="spellEnd"/>
            <w:r w:rsidRPr="008F256A">
              <w:t xml:space="preserve"> reizē ir pieļaujamas, ja tās nepārsniedz robežas, kas atbilst validētiem sagatavošanas un uzglabāšanas nosacījumiem</w:t>
            </w:r>
            <w:r>
              <w:t>"</w:t>
            </w:r>
          </w:p>
        </w:tc>
      </w:tr>
    </w:tbl>
    <w:p w14:paraId="60BFFC24" w14:textId="77777777" w:rsidR="00E073CC" w:rsidRDefault="008D6E18" w:rsidP="008F256A">
      <w:pPr>
        <w:tabs>
          <w:tab w:val="left" w:pos="851"/>
        </w:tabs>
        <w:jc w:val="both"/>
        <w:rPr>
          <w:sz w:val="28"/>
          <w:szCs w:val="28"/>
        </w:rPr>
      </w:pPr>
      <w:r>
        <w:rPr>
          <w:sz w:val="28"/>
          <w:szCs w:val="28"/>
        </w:rPr>
        <w:lastRenderedPageBreak/>
        <w:tab/>
      </w:r>
    </w:p>
    <w:p w14:paraId="60BFFC25" w14:textId="08A476F0" w:rsidR="006F2D7B" w:rsidRPr="00453563" w:rsidRDefault="00E073CC" w:rsidP="008F256A">
      <w:pPr>
        <w:tabs>
          <w:tab w:val="left" w:pos="851"/>
        </w:tabs>
        <w:jc w:val="both"/>
        <w:rPr>
          <w:sz w:val="28"/>
          <w:szCs w:val="28"/>
        </w:rPr>
      </w:pPr>
      <w:r>
        <w:rPr>
          <w:sz w:val="28"/>
          <w:szCs w:val="28"/>
        </w:rPr>
        <w:tab/>
      </w:r>
      <w:r w:rsidR="00F57D00">
        <w:rPr>
          <w:sz w:val="28"/>
          <w:szCs w:val="28"/>
        </w:rPr>
        <w:t>10</w:t>
      </w:r>
      <w:r w:rsidR="008D6E18" w:rsidRPr="00BF2D00">
        <w:rPr>
          <w:sz w:val="28"/>
          <w:szCs w:val="28"/>
        </w:rPr>
        <w:t>.</w:t>
      </w:r>
      <w:r w:rsidR="00C577D5">
        <w:rPr>
          <w:sz w:val="28"/>
          <w:szCs w:val="28"/>
        </w:rPr>
        <w:t> </w:t>
      </w:r>
      <w:r w:rsidR="0029677D" w:rsidRPr="00453563">
        <w:rPr>
          <w:sz w:val="28"/>
          <w:szCs w:val="28"/>
        </w:rPr>
        <w:t>Izteikt 6</w:t>
      </w:r>
      <w:r w:rsidR="00A708AD">
        <w:rPr>
          <w:sz w:val="28"/>
          <w:szCs w:val="28"/>
        </w:rPr>
        <w:t>.</w:t>
      </w:r>
      <w:r w:rsidR="00C577D5">
        <w:rPr>
          <w:sz w:val="28"/>
          <w:szCs w:val="28"/>
        </w:rPr>
        <w:t> </w:t>
      </w:r>
      <w:r w:rsidR="00A708AD">
        <w:rPr>
          <w:sz w:val="28"/>
          <w:szCs w:val="28"/>
        </w:rPr>
        <w:t>p</w:t>
      </w:r>
      <w:r w:rsidR="0029677D" w:rsidRPr="00453563">
        <w:rPr>
          <w:sz w:val="28"/>
          <w:szCs w:val="28"/>
        </w:rPr>
        <w:t>ielikuma 18.6</w:t>
      </w:r>
      <w:r w:rsidR="00A708AD">
        <w:rPr>
          <w:sz w:val="28"/>
          <w:szCs w:val="28"/>
        </w:rPr>
        <w:t>.</w:t>
      </w:r>
      <w:r w:rsidR="00C577D5">
        <w:rPr>
          <w:sz w:val="28"/>
          <w:szCs w:val="28"/>
        </w:rPr>
        <w:t> </w:t>
      </w:r>
      <w:r w:rsidR="00A708AD">
        <w:rPr>
          <w:sz w:val="28"/>
          <w:szCs w:val="28"/>
        </w:rPr>
        <w:t>a</w:t>
      </w:r>
      <w:r w:rsidR="0029677D" w:rsidRPr="00453563">
        <w:rPr>
          <w:sz w:val="28"/>
          <w:szCs w:val="28"/>
        </w:rPr>
        <w:t>pakšpunktu šādā redakcijā:</w:t>
      </w:r>
    </w:p>
    <w:p w14:paraId="0801CAEE" w14:textId="77777777" w:rsidR="008F256A" w:rsidRDefault="008F256A" w:rsidP="008F256A">
      <w:pPr>
        <w:jc w:val="both"/>
        <w:rPr>
          <w:sz w:val="28"/>
          <w:szCs w:val="28"/>
        </w:rPr>
      </w:pPr>
    </w:p>
    <w:p w14:paraId="60BFFC26" w14:textId="46CC63B3" w:rsidR="0029677D" w:rsidRDefault="008F256A" w:rsidP="008F256A">
      <w:pPr>
        <w:ind w:firstLine="709"/>
        <w:jc w:val="both"/>
        <w:rPr>
          <w:sz w:val="28"/>
          <w:szCs w:val="28"/>
        </w:rPr>
      </w:pPr>
      <w:r>
        <w:rPr>
          <w:sz w:val="28"/>
          <w:szCs w:val="28"/>
        </w:rPr>
        <w:t>"</w:t>
      </w:r>
      <w:r w:rsidR="0029677D" w:rsidRPr="00453563">
        <w:rPr>
          <w:sz w:val="28"/>
          <w:szCs w:val="28"/>
        </w:rPr>
        <w:t>18.6.</w:t>
      </w:r>
      <w:r w:rsidR="00C577D5">
        <w:rPr>
          <w:sz w:val="28"/>
          <w:szCs w:val="28"/>
        </w:rPr>
        <w:t> </w:t>
      </w:r>
      <w:r w:rsidR="0029677D" w:rsidRPr="00453563">
        <w:rPr>
          <w:sz w:val="28"/>
          <w:szCs w:val="28"/>
        </w:rPr>
        <w:t>Izplatītos asins komponentus un asins pagatavojumus Valsts asins donoru centrs un asins sagatavošanas nodaļa atpakaļ nepieņem.</w:t>
      </w:r>
      <w:r w:rsidR="00A708AD">
        <w:rPr>
          <w:sz w:val="28"/>
          <w:szCs w:val="28"/>
        </w:rPr>
        <w:t>"</w:t>
      </w:r>
    </w:p>
    <w:p w14:paraId="570B175C" w14:textId="77777777" w:rsidR="00DF7FA4" w:rsidRPr="00C514FD" w:rsidRDefault="00DF7FA4" w:rsidP="00C27BE4">
      <w:pPr>
        <w:jc w:val="both"/>
        <w:rPr>
          <w:sz w:val="28"/>
          <w:szCs w:val="28"/>
        </w:rPr>
      </w:pPr>
    </w:p>
    <w:p w14:paraId="5F8C1929" w14:textId="77777777" w:rsidR="00DF7FA4" w:rsidRPr="00C514FD" w:rsidRDefault="00DF7FA4" w:rsidP="00C27BE4">
      <w:pPr>
        <w:jc w:val="both"/>
        <w:rPr>
          <w:sz w:val="28"/>
          <w:szCs w:val="28"/>
        </w:rPr>
      </w:pPr>
    </w:p>
    <w:p w14:paraId="1CAE1396" w14:textId="77777777" w:rsidR="00DF7FA4" w:rsidRPr="00C514FD" w:rsidRDefault="00DF7FA4" w:rsidP="00C27BE4">
      <w:pPr>
        <w:jc w:val="both"/>
        <w:rPr>
          <w:sz w:val="28"/>
          <w:szCs w:val="28"/>
        </w:rPr>
      </w:pPr>
    </w:p>
    <w:p w14:paraId="5D32253A" w14:textId="77777777" w:rsidR="00DF7FA4" w:rsidRPr="00C514FD" w:rsidRDefault="00DF7FA4" w:rsidP="008F256A">
      <w:pPr>
        <w:pStyle w:val="naisf"/>
        <w:tabs>
          <w:tab w:val="left" w:pos="6663"/>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7CB03B3" w14:textId="77777777" w:rsidR="00DF7FA4" w:rsidRPr="00C514FD" w:rsidRDefault="00DF7FA4" w:rsidP="008F256A">
      <w:pPr>
        <w:pStyle w:val="naisf"/>
        <w:tabs>
          <w:tab w:val="left" w:pos="6663"/>
          <w:tab w:val="right" w:pos="9000"/>
        </w:tabs>
        <w:spacing w:before="0" w:after="0"/>
        <w:ind w:firstLine="709"/>
        <w:rPr>
          <w:sz w:val="28"/>
          <w:szCs w:val="28"/>
        </w:rPr>
      </w:pPr>
    </w:p>
    <w:p w14:paraId="7259DDDD" w14:textId="77777777" w:rsidR="00DF7FA4" w:rsidRPr="00C514FD" w:rsidRDefault="00DF7FA4" w:rsidP="008F256A">
      <w:pPr>
        <w:pStyle w:val="naisf"/>
        <w:tabs>
          <w:tab w:val="left" w:pos="6663"/>
          <w:tab w:val="right" w:pos="9000"/>
        </w:tabs>
        <w:spacing w:before="0" w:after="0"/>
        <w:ind w:firstLine="709"/>
        <w:rPr>
          <w:sz w:val="28"/>
          <w:szCs w:val="28"/>
        </w:rPr>
      </w:pPr>
    </w:p>
    <w:p w14:paraId="7CA16071" w14:textId="77777777" w:rsidR="00DF7FA4" w:rsidRPr="00C514FD" w:rsidRDefault="00DF7FA4" w:rsidP="008F256A">
      <w:pPr>
        <w:pStyle w:val="naisf"/>
        <w:tabs>
          <w:tab w:val="left" w:pos="6663"/>
          <w:tab w:val="right" w:pos="9000"/>
        </w:tabs>
        <w:spacing w:before="0" w:after="0"/>
        <w:ind w:firstLine="709"/>
        <w:rPr>
          <w:sz w:val="28"/>
          <w:szCs w:val="28"/>
        </w:rPr>
      </w:pPr>
    </w:p>
    <w:p w14:paraId="55FDC450" w14:textId="77777777" w:rsidR="00DF7FA4" w:rsidRPr="00C514FD" w:rsidRDefault="00DF7FA4" w:rsidP="008F256A">
      <w:pPr>
        <w:tabs>
          <w:tab w:val="left" w:pos="6663"/>
          <w:tab w:val="right" w:pos="8820"/>
        </w:tabs>
        <w:ind w:firstLine="709"/>
        <w:rPr>
          <w:sz w:val="28"/>
          <w:szCs w:val="28"/>
        </w:rPr>
      </w:pPr>
      <w:r>
        <w:rPr>
          <w:sz w:val="28"/>
          <w:szCs w:val="28"/>
        </w:rPr>
        <w:t xml:space="preserve">Veselības ministrs </w:t>
      </w:r>
      <w:r>
        <w:rPr>
          <w:sz w:val="28"/>
          <w:szCs w:val="28"/>
        </w:rPr>
        <w:tab/>
        <w:t>Guntis Belēvičs</w:t>
      </w:r>
    </w:p>
    <w:sectPr w:rsidR="00DF7FA4" w:rsidRPr="00C514FD" w:rsidSect="00A708AD">
      <w:headerReference w:type="even" r:id="rId11"/>
      <w:headerReference w:type="default" r:id="rId12"/>
      <w:footerReference w:type="even" r:id="rId13"/>
      <w:footerReference w:type="default" r:id="rId14"/>
      <w:headerReference w:type="first" r:id="rId15"/>
      <w:footerReference w:type="first" r:id="rId16"/>
      <w:pgSz w:w="11907" w:h="16840" w:code="9"/>
      <w:pgMar w:top="1417"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FC3A" w14:textId="77777777" w:rsidR="00035669" w:rsidRDefault="00035669">
      <w:r>
        <w:separator/>
      </w:r>
    </w:p>
  </w:endnote>
  <w:endnote w:type="continuationSeparator" w:id="0">
    <w:p w14:paraId="60BFFC3B" w14:textId="77777777" w:rsidR="00035669" w:rsidRDefault="000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C3F" w14:textId="77777777" w:rsidR="00035669" w:rsidRDefault="00BD18D1" w:rsidP="00E66A10">
    <w:pPr>
      <w:pStyle w:val="Footer"/>
      <w:framePr w:wrap="around" w:vAnchor="text" w:hAnchor="margin" w:xAlign="center" w:y="1"/>
      <w:rPr>
        <w:rStyle w:val="PageNumber"/>
      </w:rPr>
    </w:pPr>
    <w:r>
      <w:rPr>
        <w:rStyle w:val="PageNumber"/>
      </w:rPr>
      <w:fldChar w:fldCharType="begin"/>
    </w:r>
    <w:r w:rsidR="00035669">
      <w:rPr>
        <w:rStyle w:val="PageNumber"/>
      </w:rPr>
      <w:instrText xml:space="preserve">PAGE  </w:instrText>
    </w:r>
    <w:r>
      <w:rPr>
        <w:rStyle w:val="PageNumber"/>
      </w:rPr>
      <w:fldChar w:fldCharType="separate"/>
    </w:r>
    <w:r w:rsidR="00035669">
      <w:rPr>
        <w:rStyle w:val="PageNumber"/>
        <w:noProof/>
      </w:rPr>
      <w:t>1</w:t>
    </w:r>
    <w:r>
      <w:rPr>
        <w:rStyle w:val="PageNumber"/>
      </w:rPr>
      <w:fldChar w:fldCharType="end"/>
    </w:r>
  </w:p>
  <w:p w14:paraId="60BFFC40" w14:textId="77777777" w:rsidR="00035669" w:rsidRDefault="00035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C41" w14:textId="77777777" w:rsidR="00035669" w:rsidRDefault="00035669" w:rsidP="00E66A10">
    <w:pPr>
      <w:pStyle w:val="Footer"/>
      <w:framePr w:wrap="around" w:vAnchor="text" w:hAnchor="margin" w:xAlign="center" w:y="1"/>
      <w:rPr>
        <w:rStyle w:val="PageNumber"/>
      </w:rPr>
    </w:pPr>
  </w:p>
  <w:p w14:paraId="747B1B0B" w14:textId="77777777" w:rsidR="00A708AD" w:rsidRPr="00A708AD" w:rsidRDefault="00A708AD" w:rsidP="00A708AD">
    <w:pPr>
      <w:pStyle w:val="Footer"/>
      <w:rPr>
        <w:sz w:val="16"/>
        <w:szCs w:val="16"/>
        <w:lang w:val="lv-LV"/>
      </w:rPr>
    </w:pPr>
    <w:r w:rsidRPr="00A708AD">
      <w:rPr>
        <w:sz w:val="16"/>
        <w:szCs w:val="16"/>
        <w:lang w:val="lv-LV"/>
      </w:rPr>
      <w:t>N0452_6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2488" w14:textId="20D57430" w:rsidR="00A708AD" w:rsidRPr="00A708AD" w:rsidRDefault="00A708AD">
    <w:pPr>
      <w:pStyle w:val="Footer"/>
      <w:rPr>
        <w:sz w:val="16"/>
        <w:szCs w:val="16"/>
        <w:lang w:val="lv-LV"/>
      </w:rPr>
    </w:pPr>
    <w:r w:rsidRPr="00A708AD">
      <w:rPr>
        <w:sz w:val="16"/>
        <w:szCs w:val="16"/>
        <w:lang w:val="lv-LV"/>
      </w:rPr>
      <w:t>N0452_6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FFC38" w14:textId="77777777" w:rsidR="00035669" w:rsidRDefault="00035669">
      <w:r>
        <w:separator/>
      </w:r>
    </w:p>
  </w:footnote>
  <w:footnote w:type="continuationSeparator" w:id="0">
    <w:p w14:paraId="60BFFC39" w14:textId="77777777" w:rsidR="00035669" w:rsidRDefault="0003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C3C" w14:textId="77777777" w:rsidR="00035669" w:rsidRDefault="00BD18D1">
    <w:pPr>
      <w:pStyle w:val="Header"/>
      <w:framePr w:wrap="around" w:vAnchor="text" w:hAnchor="margin" w:xAlign="center" w:y="1"/>
      <w:rPr>
        <w:rStyle w:val="PageNumber"/>
      </w:rPr>
    </w:pPr>
    <w:r>
      <w:rPr>
        <w:rStyle w:val="PageNumber"/>
      </w:rPr>
      <w:fldChar w:fldCharType="begin"/>
    </w:r>
    <w:r w:rsidR="00035669">
      <w:rPr>
        <w:rStyle w:val="PageNumber"/>
      </w:rPr>
      <w:instrText xml:space="preserve">PAGE  </w:instrText>
    </w:r>
    <w:r>
      <w:rPr>
        <w:rStyle w:val="PageNumber"/>
      </w:rPr>
      <w:fldChar w:fldCharType="end"/>
    </w:r>
  </w:p>
  <w:p w14:paraId="60BFFC3D" w14:textId="77777777" w:rsidR="00035669" w:rsidRDefault="00035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C3E" w14:textId="77777777" w:rsidR="00035669" w:rsidRPr="00D24B5B" w:rsidRDefault="00BD18D1">
    <w:pPr>
      <w:pStyle w:val="Header"/>
      <w:jc w:val="center"/>
      <w:rPr>
        <w:sz w:val="24"/>
        <w:szCs w:val="24"/>
      </w:rPr>
    </w:pPr>
    <w:r w:rsidRPr="00D24B5B">
      <w:rPr>
        <w:sz w:val="24"/>
        <w:szCs w:val="24"/>
      </w:rPr>
      <w:fldChar w:fldCharType="begin"/>
    </w:r>
    <w:r w:rsidR="00035669" w:rsidRPr="00D24B5B">
      <w:rPr>
        <w:sz w:val="24"/>
        <w:szCs w:val="24"/>
      </w:rPr>
      <w:instrText xml:space="preserve"> PAGE   \* MERGEFORMAT </w:instrText>
    </w:r>
    <w:r w:rsidRPr="00D24B5B">
      <w:rPr>
        <w:sz w:val="24"/>
        <w:szCs w:val="24"/>
      </w:rPr>
      <w:fldChar w:fldCharType="separate"/>
    </w:r>
    <w:r w:rsidR="00765FD7">
      <w:rPr>
        <w:noProof/>
        <w:sz w:val="24"/>
        <w:szCs w:val="24"/>
      </w:rPr>
      <w:t>3</w:t>
    </w:r>
    <w:r w:rsidRPr="00D24B5B">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7AEE" w14:textId="6C003E54" w:rsidR="00A708AD" w:rsidRPr="00A708AD" w:rsidRDefault="00A708AD">
    <w:pPr>
      <w:pStyle w:val="Header"/>
      <w:rPr>
        <w:sz w:val="28"/>
        <w:szCs w:val="28"/>
      </w:rPr>
    </w:pPr>
  </w:p>
  <w:p w14:paraId="60641C1E" w14:textId="666D779E" w:rsidR="00A708AD" w:rsidRPr="00A708AD" w:rsidRDefault="00A708AD">
    <w:pPr>
      <w:pStyle w:val="Header"/>
      <w:rPr>
        <w:sz w:val="28"/>
        <w:szCs w:val="28"/>
      </w:rPr>
    </w:pPr>
    <w:r w:rsidRPr="00A708AD">
      <w:rPr>
        <w:noProof/>
        <w:sz w:val="32"/>
        <w:szCs w:val="28"/>
        <w:lang w:val="lv-LV" w:eastAsia="lv-LV"/>
      </w:rPr>
      <w:drawing>
        <wp:inline distT="0" distB="0" distL="0" distR="0" wp14:anchorId="0CEB11D2" wp14:editId="3117503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9B2"/>
    <w:multiLevelType w:val="multilevel"/>
    <w:tmpl w:val="1C0A363E"/>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0A6B6C5F"/>
    <w:multiLevelType w:val="hybridMultilevel"/>
    <w:tmpl w:val="BC1613C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B061FD2"/>
    <w:multiLevelType w:val="multilevel"/>
    <w:tmpl w:val="5B94A3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30B34DB"/>
    <w:multiLevelType w:val="multilevel"/>
    <w:tmpl w:val="D25EEBB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5EC3E8F"/>
    <w:multiLevelType w:val="multilevel"/>
    <w:tmpl w:val="893AE064"/>
    <w:lvl w:ilvl="0">
      <w:start w:val="1"/>
      <w:numFmt w:val="decimal"/>
      <w:lvlText w:val="%1."/>
      <w:lvlJc w:val="left"/>
      <w:pPr>
        <w:ind w:left="450" w:hanging="450"/>
      </w:pPr>
      <w:rPr>
        <w:rFonts w:hint="default"/>
      </w:rPr>
    </w:lvl>
    <w:lvl w:ilvl="1">
      <w:start w:val="7"/>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188975C4"/>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89B3602"/>
    <w:multiLevelType w:val="multilevel"/>
    <w:tmpl w:val="84CC288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8D260B4"/>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A7A6560"/>
    <w:multiLevelType w:val="hybridMultilevel"/>
    <w:tmpl w:val="434624B6"/>
    <w:lvl w:ilvl="0" w:tplc="F5BCF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3C1678F"/>
    <w:multiLevelType w:val="hybridMultilevel"/>
    <w:tmpl w:val="CDD86DB0"/>
    <w:lvl w:ilvl="0" w:tplc="7FBE35A0">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nsid w:val="23C323CA"/>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nsid w:val="272E39D2"/>
    <w:multiLevelType w:val="multilevel"/>
    <w:tmpl w:val="2780DCC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28C1312F"/>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297114A6"/>
    <w:multiLevelType w:val="multilevel"/>
    <w:tmpl w:val="84CC288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nsid w:val="2EDE431A"/>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2F6E534D"/>
    <w:multiLevelType w:val="multilevel"/>
    <w:tmpl w:val="1C0A363E"/>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355251C1"/>
    <w:multiLevelType w:val="multilevel"/>
    <w:tmpl w:val="B61C0260"/>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391B7FE6"/>
    <w:multiLevelType w:val="multilevel"/>
    <w:tmpl w:val="DEC84FE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EB1BAB"/>
    <w:multiLevelType w:val="hybridMultilevel"/>
    <w:tmpl w:val="5306A2C6"/>
    <w:lvl w:ilvl="0" w:tplc="C22CA49A">
      <w:start w:val="7"/>
      <w:numFmt w:val="decimal"/>
      <w:lvlText w:val="%1."/>
      <w:lvlJc w:val="left"/>
      <w:pPr>
        <w:ind w:left="1080" w:hanging="360"/>
      </w:pPr>
      <w:rPr>
        <w:rFonts w:hint="default"/>
        <w:color w:val="FF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EF738F2"/>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3F6A73E9"/>
    <w:multiLevelType w:val="multilevel"/>
    <w:tmpl w:val="5B94A3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45050B2C"/>
    <w:multiLevelType w:val="multilevel"/>
    <w:tmpl w:val="2F4E327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4998171E"/>
    <w:multiLevelType w:val="hybridMultilevel"/>
    <w:tmpl w:val="3F7CF1C8"/>
    <w:lvl w:ilvl="0" w:tplc="27F090E4">
      <w:start w:val="7"/>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FBD4B8E"/>
    <w:multiLevelType w:val="multilevel"/>
    <w:tmpl w:val="AE7AFFF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EE6376"/>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nsid w:val="539D6BDD"/>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nsid w:val="55056120"/>
    <w:multiLevelType w:val="multilevel"/>
    <w:tmpl w:val="919A28DA"/>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584D49EC"/>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5C447395"/>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61E31980"/>
    <w:multiLevelType w:val="multilevel"/>
    <w:tmpl w:val="7E668D6E"/>
    <w:lvl w:ilvl="0">
      <w:start w:val="1"/>
      <w:numFmt w:val="decimal"/>
      <w:lvlText w:val="%1."/>
      <w:lvlJc w:val="left"/>
      <w:pPr>
        <w:ind w:left="360" w:hanging="360"/>
      </w:pPr>
      <w:rPr>
        <w:rFonts w:eastAsia="Calibri" w:hint="default"/>
        <w:sz w:val="24"/>
      </w:rPr>
    </w:lvl>
    <w:lvl w:ilvl="1">
      <w:start w:val="5"/>
      <w:numFmt w:val="decimal"/>
      <w:lvlText w:val="%1.%2."/>
      <w:lvlJc w:val="left"/>
      <w:pPr>
        <w:ind w:left="1571" w:hanging="720"/>
      </w:pPr>
      <w:rPr>
        <w:rFonts w:eastAsia="Calibri" w:hint="default"/>
        <w:sz w:val="28"/>
        <w:szCs w:val="28"/>
      </w:rPr>
    </w:lvl>
    <w:lvl w:ilvl="2">
      <w:start w:val="1"/>
      <w:numFmt w:val="decimal"/>
      <w:lvlText w:val="%1.%2.%3."/>
      <w:lvlJc w:val="left"/>
      <w:pPr>
        <w:ind w:left="2990" w:hanging="720"/>
      </w:pPr>
      <w:rPr>
        <w:rFonts w:eastAsia="Calibri" w:hint="default"/>
        <w:sz w:val="24"/>
      </w:rPr>
    </w:lvl>
    <w:lvl w:ilvl="3">
      <w:start w:val="1"/>
      <w:numFmt w:val="decimal"/>
      <w:lvlText w:val="%1.%2.%3.%4."/>
      <w:lvlJc w:val="left"/>
      <w:pPr>
        <w:ind w:left="4485" w:hanging="1080"/>
      </w:pPr>
      <w:rPr>
        <w:rFonts w:eastAsia="Calibri" w:hint="default"/>
        <w:sz w:val="24"/>
      </w:rPr>
    </w:lvl>
    <w:lvl w:ilvl="4">
      <w:start w:val="1"/>
      <w:numFmt w:val="decimal"/>
      <w:lvlText w:val="%1.%2.%3.%4.%5."/>
      <w:lvlJc w:val="left"/>
      <w:pPr>
        <w:ind w:left="5620" w:hanging="1080"/>
      </w:pPr>
      <w:rPr>
        <w:rFonts w:eastAsia="Calibri" w:hint="default"/>
        <w:sz w:val="24"/>
      </w:rPr>
    </w:lvl>
    <w:lvl w:ilvl="5">
      <w:start w:val="1"/>
      <w:numFmt w:val="decimal"/>
      <w:lvlText w:val="%1.%2.%3.%4.%5.%6."/>
      <w:lvlJc w:val="left"/>
      <w:pPr>
        <w:ind w:left="7115" w:hanging="1440"/>
      </w:pPr>
      <w:rPr>
        <w:rFonts w:eastAsia="Calibri" w:hint="default"/>
        <w:sz w:val="24"/>
      </w:rPr>
    </w:lvl>
    <w:lvl w:ilvl="6">
      <w:start w:val="1"/>
      <w:numFmt w:val="decimal"/>
      <w:lvlText w:val="%1.%2.%3.%4.%5.%6.%7."/>
      <w:lvlJc w:val="left"/>
      <w:pPr>
        <w:ind w:left="8610" w:hanging="1800"/>
      </w:pPr>
      <w:rPr>
        <w:rFonts w:eastAsia="Calibri" w:hint="default"/>
        <w:sz w:val="24"/>
      </w:rPr>
    </w:lvl>
    <w:lvl w:ilvl="7">
      <w:start w:val="1"/>
      <w:numFmt w:val="decimal"/>
      <w:lvlText w:val="%1.%2.%3.%4.%5.%6.%7.%8."/>
      <w:lvlJc w:val="left"/>
      <w:pPr>
        <w:ind w:left="9745" w:hanging="1800"/>
      </w:pPr>
      <w:rPr>
        <w:rFonts w:eastAsia="Calibri" w:hint="default"/>
        <w:sz w:val="24"/>
      </w:rPr>
    </w:lvl>
    <w:lvl w:ilvl="8">
      <w:start w:val="1"/>
      <w:numFmt w:val="decimal"/>
      <w:lvlText w:val="%1.%2.%3.%4.%5.%6.%7.%8.%9."/>
      <w:lvlJc w:val="left"/>
      <w:pPr>
        <w:ind w:left="11240" w:hanging="2160"/>
      </w:pPr>
      <w:rPr>
        <w:rFonts w:eastAsia="Calibri" w:hint="default"/>
        <w:sz w:val="24"/>
      </w:rPr>
    </w:lvl>
  </w:abstractNum>
  <w:abstractNum w:abstractNumId="31">
    <w:nsid w:val="62CD1F78"/>
    <w:multiLevelType w:val="multilevel"/>
    <w:tmpl w:val="73E4586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64B53DBB"/>
    <w:multiLevelType w:val="hybridMultilevel"/>
    <w:tmpl w:val="FB4AE07E"/>
    <w:lvl w:ilvl="0" w:tplc="7D7EDF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A9654D6"/>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nsid w:val="6DC4443D"/>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6ED950DD"/>
    <w:multiLevelType w:val="hybridMultilevel"/>
    <w:tmpl w:val="E9C6E5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71644D1B"/>
    <w:multiLevelType w:val="multilevel"/>
    <w:tmpl w:val="73E4586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nsid w:val="79F504D4"/>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A1376E3"/>
    <w:multiLevelType w:val="hybridMultilevel"/>
    <w:tmpl w:val="8C52B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5"/>
  </w:num>
  <w:num w:numId="3">
    <w:abstractNumId w:val="12"/>
  </w:num>
  <w:num w:numId="4">
    <w:abstractNumId w:val="33"/>
  </w:num>
  <w:num w:numId="5">
    <w:abstractNumId w:val="34"/>
  </w:num>
  <w:num w:numId="6">
    <w:abstractNumId w:val="5"/>
  </w:num>
  <w:num w:numId="7">
    <w:abstractNumId w:val="19"/>
  </w:num>
  <w:num w:numId="8">
    <w:abstractNumId w:val="25"/>
  </w:num>
  <w:num w:numId="9">
    <w:abstractNumId w:val="1"/>
  </w:num>
  <w:num w:numId="10">
    <w:abstractNumId w:val="29"/>
  </w:num>
  <w:num w:numId="11">
    <w:abstractNumId w:val="14"/>
  </w:num>
  <w:num w:numId="12">
    <w:abstractNumId w:val="20"/>
  </w:num>
  <w:num w:numId="13">
    <w:abstractNumId w:val="2"/>
  </w:num>
  <w:num w:numId="14">
    <w:abstractNumId w:val="10"/>
  </w:num>
  <w:num w:numId="15">
    <w:abstractNumId w:val="21"/>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16">
    <w:abstractNumId w:val="28"/>
  </w:num>
  <w:num w:numId="17">
    <w:abstractNumId w:val="21"/>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18">
    <w:abstractNumId w:val="7"/>
  </w:num>
  <w:num w:numId="19">
    <w:abstractNumId w:val="21"/>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20">
    <w:abstractNumId w:val="16"/>
  </w:num>
  <w:num w:numId="21">
    <w:abstractNumId w:val="26"/>
  </w:num>
  <w:num w:numId="22">
    <w:abstractNumId w:val="22"/>
  </w:num>
  <w:num w:numId="23">
    <w:abstractNumId w:val="15"/>
  </w:num>
  <w:num w:numId="24">
    <w:abstractNumId w:val="0"/>
  </w:num>
  <w:num w:numId="25">
    <w:abstractNumId w:val="31"/>
  </w:num>
  <w:num w:numId="26">
    <w:abstractNumId w:val="11"/>
  </w:num>
  <w:num w:numId="27">
    <w:abstractNumId w:val="6"/>
  </w:num>
  <w:num w:numId="28">
    <w:abstractNumId w:val="13"/>
  </w:num>
  <w:num w:numId="29">
    <w:abstractNumId w:val="37"/>
  </w:num>
  <w:num w:numId="30">
    <w:abstractNumId w:val="36"/>
  </w:num>
  <w:num w:numId="31">
    <w:abstractNumId w:val="3"/>
  </w:num>
  <w:num w:numId="32">
    <w:abstractNumId w:val="9"/>
  </w:num>
  <w:num w:numId="33">
    <w:abstractNumId w:val="24"/>
  </w:num>
  <w:num w:numId="34">
    <w:abstractNumId w:val="17"/>
  </w:num>
  <w:num w:numId="35">
    <w:abstractNumId w:val="27"/>
  </w:num>
  <w:num w:numId="36">
    <w:abstractNumId w:val="32"/>
  </w:num>
  <w:num w:numId="37">
    <w:abstractNumId w:val="30"/>
  </w:num>
  <w:num w:numId="38">
    <w:abstractNumId w:val="4"/>
  </w:num>
  <w:num w:numId="39">
    <w:abstractNumId w:val="8"/>
  </w:num>
  <w:num w:numId="40">
    <w:abstractNumId w:val="18"/>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93D75"/>
    <w:rsid w:val="00003561"/>
    <w:rsid w:val="00004A52"/>
    <w:rsid w:val="00011F8D"/>
    <w:rsid w:val="00023F56"/>
    <w:rsid w:val="00026CA8"/>
    <w:rsid w:val="00035669"/>
    <w:rsid w:val="000358D6"/>
    <w:rsid w:val="000366BA"/>
    <w:rsid w:val="00042888"/>
    <w:rsid w:val="00045DEB"/>
    <w:rsid w:val="00046BEF"/>
    <w:rsid w:val="00052D78"/>
    <w:rsid w:val="00066FA4"/>
    <w:rsid w:val="00073D3A"/>
    <w:rsid w:val="00074283"/>
    <w:rsid w:val="00074804"/>
    <w:rsid w:val="00087EE4"/>
    <w:rsid w:val="00092367"/>
    <w:rsid w:val="000A69F2"/>
    <w:rsid w:val="000B6746"/>
    <w:rsid w:val="000B7B10"/>
    <w:rsid w:val="000C354A"/>
    <w:rsid w:val="000D5227"/>
    <w:rsid w:val="000E05A3"/>
    <w:rsid w:val="000F1D1F"/>
    <w:rsid w:val="000F2A67"/>
    <w:rsid w:val="000F5590"/>
    <w:rsid w:val="00101BE7"/>
    <w:rsid w:val="00112023"/>
    <w:rsid w:val="00121E5B"/>
    <w:rsid w:val="00131D1E"/>
    <w:rsid w:val="00132806"/>
    <w:rsid w:val="00134E27"/>
    <w:rsid w:val="00143F3B"/>
    <w:rsid w:val="001450D3"/>
    <w:rsid w:val="0014586A"/>
    <w:rsid w:val="00160CC3"/>
    <w:rsid w:val="00164CF6"/>
    <w:rsid w:val="00167838"/>
    <w:rsid w:val="00167E07"/>
    <w:rsid w:val="00174E18"/>
    <w:rsid w:val="00175D2E"/>
    <w:rsid w:val="00180EAD"/>
    <w:rsid w:val="0018601E"/>
    <w:rsid w:val="001969A6"/>
    <w:rsid w:val="001C1DA9"/>
    <w:rsid w:val="001C5B73"/>
    <w:rsid w:val="001D11C0"/>
    <w:rsid w:val="001D1A77"/>
    <w:rsid w:val="001F763E"/>
    <w:rsid w:val="00200834"/>
    <w:rsid w:val="00204DA5"/>
    <w:rsid w:val="00217E59"/>
    <w:rsid w:val="002209AB"/>
    <w:rsid w:val="00224963"/>
    <w:rsid w:val="0023213E"/>
    <w:rsid w:val="00244CB9"/>
    <w:rsid w:val="0026301D"/>
    <w:rsid w:val="00263127"/>
    <w:rsid w:val="00264F06"/>
    <w:rsid w:val="00281536"/>
    <w:rsid w:val="00287738"/>
    <w:rsid w:val="00291D59"/>
    <w:rsid w:val="00294F35"/>
    <w:rsid w:val="0029677D"/>
    <w:rsid w:val="00296A75"/>
    <w:rsid w:val="002A0258"/>
    <w:rsid w:val="002A491C"/>
    <w:rsid w:val="002B383A"/>
    <w:rsid w:val="002B4B7B"/>
    <w:rsid w:val="002C031B"/>
    <w:rsid w:val="002C20AF"/>
    <w:rsid w:val="002C4690"/>
    <w:rsid w:val="002D0F28"/>
    <w:rsid w:val="002F616D"/>
    <w:rsid w:val="002F734F"/>
    <w:rsid w:val="00305EE3"/>
    <w:rsid w:val="00306312"/>
    <w:rsid w:val="00310212"/>
    <w:rsid w:val="00316DA7"/>
    <w:rsid w:val="00322A37"/>
    <w:rsid w:val="00322BD6"/>
    <w:rsid w:val="00326235"/>
    <w:rsid w:val="00326D98"/>
    <w:rsid w:val="00331AE0"/>
    <w:rsid w:val="003342FA"/>
    <w:rsid w:val="00345506"/>
    <w:rsid w:val="00350040"/>
    <w:rsid w:val="00355C21"/>
    <w:rsid w:val="0036356A"/>
    <w:rsid w:val="00373AE6"/>
    <w:rsid w:val="00385BB0"/>
    <w:rsid w:val="00393D75"/>
    <w:rsid w:val="00395F13"/>
    <w:rsid w:val="003B1634"/>
    <w:rsid w:val="003C672D"/>
    <w:rsid w:val="003D042B"/>
    <w:rsid w:val="003D4CEE"/>
    <w:rsid w:val="003E47C2"/>
    <w:rsid w:val="004139F9"/>
    <w:rsid w:val="00416A2D"/>
    <w:rsid w:val="004244A6"/>
    <w:rsid w:val="00424AF0"/>
    <w:rsid w:val="004302B4"/>
    <w:rsid w:val="00433481"/>
    <w:rsid w:val="00440F47"/>
    <w:rsid w:val="00444E95"/>
    <w:rsid w:val="00446322"/>
    <w:rsid w:val="00453563"/>
    <w:rsid w:val="00461FDE"/>
    <w:rsid w:val="004625A2"/>
    <w:rsid w:val="0047210F"/>
    <w:rsid w:val="00476C90"/>
    <w:rsid w:val="00486FF9"/>
    <w:rsid w:val="004A261F"/>
    <w:rsid w:val="004A3F91"/>
    <w:rsid w:val="004B21D0"/>
    <w:rsid w:val="004B47FA"/>
    <w:rsid w:val="004B6098"/>
    <w:rsid w:val="004C140C"/>
    <w:rsid w:val="004C420B"/>
    <w:rsid w:val="004C6B77"/>
    <w:rsid w:val="004D5FC2"/>
    <w:rsid w:val="004F0704"/>
    <w:rsid w:val="0050356F"/>
    <w:rsid w:val="00503E66"/>
    <w:rsid w:val="00511B65"/>
    <w:rsid w:val="005263CA"/>
    <w:rsid w:val="005309FD"/>
    <w:rsid w:val="005525B7"/>
    <w:rsid w:val="005564BC"/>
    <w:rsid w:val="005604A2"/>
    <w:rsid w:val="00561073"/>
    <w:rsid w:val="0056150F"/>
    <w:rsid w:val="0056298D"/>
    <w:rsid w:val="005656B3"/>
    <w:rsid w:val="0056596B"/>
    <w:rsid w:val="00575E28"/>
    <w:rsid w:val="005A350A"/>
    <w:rsid w:val="005B3224"/>
    <w:rsid w:val="005B48BE"/>
    <w:rsid w:val="005B4DC6"/>
    <w:rsid w:val="005B54CC"/>
    <w:rsid w:val="005C09E5"/>
    <w:rsid w:val="005D0DC8"/>
    <w:rsid w:val="005D3751"/>
    <w:rsid w:val="005E4111"/>
    <w:rsid w:val="005E7864"/>
    <w:rsid w:val="005F074D"/>
    <w:rsid w:val="005F73FC"/>
    <w:rsid w:val="006068CE"/>
    <w:rsid w:val="006170A4"/>
    <w:rsid w:val="0062439A"/>
    <w:rsid w:val="00624F4E"/>
    <w:rsid w:val="00632EF5"/>
    <w:rsid w:val="00635CF6"/>
    <w:rsid w:val="00636CA1"/>
    <w:rsid w:val="006431EB"/>
    <w:rsid w:val="006440B1"/>
    <w:rsid w:val="0065769F"/>
    <w:rsid w:val="00673F4F"/>
    <w:rsid w:val="00680426"/>
    <w:rsid w:val="00681827"/>
    <w:rsid w:val="006975BA"/>
    <w:rsid w:val="006A349B"/>
    <w:rsid w:val="006B1679"/>
    <w:rsid w:val="006B67C1"/>
    <w:rsid w:val="006B71FE"/>
    <w:rsid w:val="006D2036"/>
    <w:rsid w:val="006E40E9"/>
    <w:rsid w:val="006E55F5"/>
    <w:rsid w:val="006F2339"/>
    <w:rsid w:val="006F2D7B"/>
    <w:rsid w:val="006F484A"/>
    <w:rsid w:val="00702E11"/>
    <w:rsid w:val="00710015"/>
    <w:rsid w:val="0071025E"/>
    <w:rsid w:val="0071304F"/>
    <w:rsid w:val="00715B56"/>
    <w:rsid w:val="007307AE"/>
    <w:rsid w:val="0073352F"/>
    <w:rsid w:val="00734D21"/>
    <w:rsid w:val="007416FD"/>
    <w:rsid w:val="007552EB"/>
    <w:rsid w:val="00760FE4"/>
    <w:rsid w:val="00762162"/>
    <w:rsid w:val="00765FD7"/>
    <w:rsid w:val="00786EFE"/>
    <w:rsid w:val="00795111"/>
    <w:rsid w:val="00797816"/>
    <w:rsid w:val="0079792F"/>
    <w:rsid w:val="007B3B24"/>
    <w:rsid w:val="007B7C79"/>
    <w:rsid w:val="007C00C3"/>
    <w:rsid w:val="007C173D"/>
    <w:rsid w:val="007C5D47"/>
    <w:rsid w:val="007E0D52"/>
    <w:rsid w:val="007E2CF4"/>
    <w:rsid w:val="007F0E2A"/>
    <w:rsid w:val="007F4D50"/>
    <w:rsid w:val="008005BC"/>
    <w:rsid w:val="008034F2"/>
    <w:rsid w:val="008055E6"/>
    <w:rsid w:val="00806743"/>
    <w:rsid w:val="00810AC0"/>
    <w:rsid w:val="008220CC"/>
    <w:rsid w:val="00825F74"/>
    <w:rsid w:val="00826784"/>
    <w:rsid w:val="0083264A"/>
    <w:rsid w:val="00834327"/>
    <w:rsid w:val="00847A06"/>
    <w:rsid w:val="00877F38"/>
    <w:rsid w:val="008802AD"/>
    <w:rsid w:val="0088292E"/>
    <w:rsid w:val="008836FF"/>
    <w:rsid w:val="008858B9"/>
    <w:rsid w:val="008A1489"/>
    <w:rsid w:val="008A24B2"/>
    <w:rsid w:val="008C02D2"/>
    <w:rsid w:val="008C4C68"/>
    <w:rsid w:val="008D41BF"/>
    <w:rsid w:val="008D6E18"/>
    <w:rsid w:val="008E2120"/>
    <w:rsid w:val="008E301E"/>
    <w:rsid w:val="008E6FB3"/>
    <w:rsid w:val="008F20DA"/>
    <w:rsid w:val="008F256A"/>
    <w:rsid w:val="00907802"/>
    <w:rsid w:val="00913BB6"/>
    <w:rsid w:val="00916C39"/>
    <w:rsid w:val="0092324C"/>
    <w:rsid w:val="00926ADB"/>
    <w:rsid w:val="009325A9"/>
    <w:rsid w:val="00940455"/>
    <w:rsid w:val="00944822"/>
    <w:rsid w:val="00947A5E"/>
    <w:rsid w:val="00952999"/>
    <w:rsid w:val="00962245"/>
    <w:rsid w:val="009637D8"/>
    <w:rsid w:val="00964896"/>
    <w:rsid w:val="00965AB0"/>
    <w:rsid w:val="0097176F"/>
    <w:rsid w:val="00976347"/>
    <w:rsid w:val="00986A66"/>
    <w:rsid w:val="00992A0C"/>
    <w:rsid w:val="009B2245"/>
    <w:rsid w:val="009B4E8C"/>
    <w:rsid w:val="009B6AFB"/>
    <w:rsid w:val="009C0F7E"/>
    <w:rsid w:val="009D0284"/>
    <w:rsid w:val="009D20DC"/>
    <w:rsid w:val="009D2F15"/>
    <w:rsid w:val="009E5981"/>
    <w:rsid w:val="009F0A41"/>
    <w:rsid w:val="009F2679"/>
    <w:rsid w:val="00A03181"/>
    <w:rsid w:val="00A1124A"/>
    <w:rsid w:val="00A2261D"/>
    <w:rsid w:val="00A23903"/>
    <w:rsid w:val="00A30BD7"/>
    <w:rsid w:val="00A52CD0"/>
    <w:rsid w:val="00A57B60"/>
    <w:rsid w:val="00A708AD"/>
    <w:rsid w:val="00A86576"/>
    <w:rsid w:val="00A9082B"/>
    <w:rsid w:val="00A9453D"/>
    <w:rsid w:val="00A94DC7"/>
    <w:rsid w:val="00AA04E0"/>
    <w:rsid w:val="00AA2543"/>
    <w:rsid w:val="00AA5B9F"/>
    <w:rsid w:val="00AB7269"/>
    <w:rsid w:val="00AC0B1B"/>
    <w:rsid w:val="00AC1531"/>
    <w:rsid w:val="00AD2B1F"/>
    <w:rsid w:val="00AE0F9A"/>
    <w:rsid w:val="00AF0E6E"/>
    <w:rsid w:val="00AF4637"/>
    <w:rsid w:val="00AF47BA"/>
    <w:rsid w:val="00B10F04"/>
    <w:rsid w:val="00B117D6"/>
    <w:rsid w:val="00B16060"/>
    <w:rsid w:val="00B21522"/>
    <w:rsid w:val="00B3427A"/>
    <w:rsid w:val="00B41B98"/>
    <w:rsid w:val="00B4374F"/>
    <w:rsid w:val="00B7067D"/>
    <w:rsid w:val="00B778FC"/>
    <w:rsid w:val="00B84758"/>
    <w:rsid w:val="00B86594"/>
    <w:rsid w:val="00B90871"/>
    <w:rsid w:val="00B96D10"/>
    <w:rsid w:val="00BA2FFC"/>
    <w:rsid w:val="00BA3418"/>
    <w:rsid w:val="00BB108F"/>
    <w:rsid w:val="00BD18D1"/>
    <w:rsid w:val="00BD422F"/>
    <w:rsid w:val="00BD68F3"/>
    <w:rsid w:val="00BE426D"/>
    <w:rsid w:val="00BE5D98"/>
    <w:rsid w:val="00BE65E7"/>
    <w:rsid w:val="00BF2D00"/>
    <w:rsid w:val="00BF644E"/>
    <w:rsid w:val="00BF77DE"/>
    <w:rsid w:val="00C008C6"/>
    <w:rsid w:val="00C1433D"/>
    <w:rsid w:val="00C14975"/>
    <w:rsid w:val="00C2392D"/>
    <w:rsid w:val="00C341A3"/>
    <w:rsid w:val="00C40256"/>
    <w:rsid w:val="00C577D5"/>
    <w:rsid w:val="00C6338F"/>
    <w:rsid w:val="00C655D1"/>
    <w:rsid w:val="00C71F0E"/>
    <w:rsid w:val="00C77AFD"/>
    <w:rsid w:val="00C8188F"/>
    <w:rsid w:val="00C828FA"/>
    <w:rsid w:val="00C847F8"/>
    <w:rsid w:val="00C849C8"/>
    <w:rsid w:val="00C87912"/>
    <w:rsid w:val="00C925F9"/>
    <w:rsid w:val="00C95692"/>
    <w:rsid w:val="00C97315"/>
    <w:rsid w:val="00CA28E1"/>
    <w:rsid w:val="00CA7066"/>
    <w:rsid w:val="00CB2726"/>
    <w:rsid w:val="00CC70F7"/>
    <w:rsid w:val="00CC7684"/>
    <w:rsid w:val="00D014CF"/>
    <w:rsid w:val="00D04A93"/>
    <w:rsid w:val="00D07842"/>
    <w:rsid w:val="00D07F22"/>
    <w:rsid w:val="00D24B5B"/>
    <w:rsid w:val="00D4785F"/>
    <w:rsid w:val="00D50BD7"/>
    <w:rsid w:val="00D524C3"/>
    <w:rsid w:val="00D525A4"/>
    <w:rsid w:val="00D52EAD"/>
    <w:rsid w:val="00D6453C"/>
    <w:rsid w:val="00D64B5D"/>
    <w:rsid w:val="00D66296"/>
    <w:rsid w:val="00D83A72"/>
    <w:rsid w:val="00D85B7C"/>
    <w:rsid w:val="00D9071E"/>
    <w:rsid w:val="00D9710E"/>
    <w:rsid w:val="00DA72D4"/>
    <w:rsid w:val="00DA7AC3"/>
    <w:rsid w:val="00DB0024"/>
    <w:rsid w:val="00DC5624"/>
    <w:rsid w:val="00DD6671"/>
    <w:rsid w:val="00DE0108"/>
    <w:rsid w:val="00DE1C94"/>
    <w:rsid w:val="00DF0178"/>
    <w:rsid w:val="00DF0B56"/>
    <w:rsid w:val="00DF3EA7"/>
    <w:rsid w:val="00DF626D"/>
    <w:rsid w:val="00DF7FA4"/>
    <w:rsid w:val="00E00475"/>
    <w:rsid w:val="00E00B1F"/>
    <w:rsid w:val="00E02A8C"/>
    <w:rsid w:val="00E073CC"/>
    <w:rsid w:val="00E247AB"/>
    <w:rsid w:val="00E26193"/>
    <w:rsid w:val="00E317F6"/>
    <w:rsid w:val="00E42D2E"/>
    <w:rsid w:val="00E43C72"/>
    <w:rsid w:val="00E463DA"/>
    <w:rsid w:val="00E606E0"/>
    <w:rsid w:val="00E61F3C"/>
    <w:rsid w:val="00E652FD"/>
    <w:rsid w:val="00E66405"/>
    <w:rsid w:val="00E66A10"/>
    <w:rsid w:val="00E73976"/>
    <w:rsid w:val="00E87C6D"/>
    <w:rsid w:val="00E9705E"/>
    <w:rsid w:val="00EA0E3E"/>
    <w:rsid w:val="00EA1778"/>
    <w:rsid w:val="00EA3F81"/>
    <w:rsid w:val="00EB10B6"/>
    <w:rsid w:val="00EB1A78"/>
    <w:rsid w:val="00EB31B8"/>
    <w:rsid w:val="00ED5322"/>
    <w:rsid w:val="00EE55BC"/>
    <w:rsid w:val="00EF0FDC"/>
    <w:rsid w:val="00F06474"/>
    <w:rsid w:val="00F13FFD"/>
    <w:rsid w:val="00F16F03"/>
    <w:rsid w:val="00F23A40"/>
    <w:rsid w:val="00F257EB"/>
    <w:rsid w:val="00F404D8"/>
    <w:rsid w:val="00F463E9"/>
    <w:rsid w:val="00F52CC4"/>
    <w:rsid w:val="00F57D00"/>
    <w:rsid w:val="00F64AFA"/>
    <w:rsid w:val="00F842F9"/>
    <w:rsid w:val="00F87AF2"/>
    <w:rsid w:val="00FA1787"/>
    <w:rsid w:val="00FB462B"/>
    <w:rsid w:val="00FB5A29"/>
    <w:rsid w:val="00FC615B"/>
    <w:rsid w:val="00FD59A6"/>
    <w:rsid w:val="00FE1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F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75"/>
    <w:rPr>
      <w:sz w:val="24"/>
      <w:szCs w:val="24"/>
    </w:rPr>
  </w:style>
  <w:style w:type="paragraph" w:styleId="Heading1">
    <w:name w:val="heading 1"/>
    <w:basedOn w:val="Normal"/>
    <w:next w:val="Normal"/>
    <w:qFormat/>
    <w:rsid w:val="00393D75"/>
    <w:pPr>
      <w:keepNext/>
      <w:jc w:val="center"/>
      <w:outlineLvl w:val="0"/>
    </w:pPr>
    <w:rPr>
      <w:b/>
      <w:szCs w:val="22"/>
      <w:lang w:eastAsia="en-US"/>
    </w:rPr>
  </w:style>
  <w:style w:type="paragraph" w:styleId="Heading2">
    <w:name w:val="heading 2"/>
    <w:basedOn w:val="Normal"/>
    <w:next w:val="Normal"/>
    <w:qFormat/>
    <w:rsid w:val="00393D75"/>
    <w:pPr>
      <w:keepNext/>
      <w:jc w:val="center"/>
      <w:outlineLvl w:val="1"/>
    </w:pPr>
    <w:rPr>
      <w:b/>
      <w:szCs w:val="20"/>
      <w:lang w:eastAsia="en-US"/>
    </w:rPr>
  </w:style>
  <w:style w:type="paragraph" w:styleId="Heading3">
    <w:name w:val="heading 3"/>
    <w:basedOn w:val="Normal"/>
    <w:next w:val="Normal"/>
    <w:qFormat/>
    <w:rsid w:val="00393D75"/>
    <w:pPr>
      <w:keepNext/>
      <w:spacing w:before="240" w:after="60"/>
      <w:outlineLvl w:val="2"/>
    </w:pPr>
    <w:rPr>
      <w:rFonts w:ascii="Arial" w:hAnsi="Arial" w:cs="Arial"/>
      <w:b/>
      <w:bCs/>
      <w:sz w:val="26"/>
      <w:szCs w:val="26"/>
    </w:rPr>
  </w:style>
  <w:style w:type="paragraph" w:styleId="Heading4">
    <w:name w:val="heading 4"/>
    <w:basedOn w:val="Normal"/>
    <w:next w:val="Normal"/>
    <w:qFormat/>
    <w:rsid w:val="00393D75"/>
    <w:pPr>
      <w:keepNext/>
      <w:spacing w:before="120"/>
      <w:ind w:left="720"/>
      <w:jc w:val="both"/>
      <w:outlineLvl w:val="3"/>
    </w:pPr>
    <w:rPr>
      <w:iCs/>
      <w:szCs w:val="20"/>
      <w:lang w:eastAsia="en-US"/>
    </w:rPr>
  </w:style>
  <w:style w:type="paragraph" w:styleId="Heading5">
    <w:name w:val="heading 5"/>
    <w:basedOn w:val="Normal"/>
    <w:next w:val="Normal"/>
    <w:qFormat/>
    <w:rsid w:val="00393D75"/>
    <w:pPr>
      <w:spacing w:before="240" w:after="60"/>
      <w:outlineLvl w:val="4"/>
    </w:pPr>
    <w:rPr>
      <w:b/>
      <w:bCs/>
      <w:i/>
      <w:iCs/>
      <w:sz w:val="26"/>
      <w:szCs w:val="26"/>
    </w:rPr>
  </w:style>
  <w:style w:type="paragraph" w:styleId="Heading6">
    <w:name w:val="heading 6"/>
    <w:basedOn w:val="Normal"/>
    <w:next w:val="Normal"/>
    <w:qFormat/>
    <w:rsid w:val="00393D75"/>
    <w:pPr>
      <w:spacing w:before="240" w:after="60"/>
      <w:outlineLvl w:val="5"/>
    </w:pPr>
    <w:rPr>
      <w:b/>
      <w:bCs/>
      <w:sz w:val="22"/>
      <w:szCs w:val="22"/>
    </w:rPr>
  </w:style>
  <w:style w:type="paragraph" w:styleId="Heading7">
    <w:name w:val="heading 7"/>
    <w:basedOn w:val="Normal"/>
    <w:next w:val="Normal"/>
    <w:qFormat/>
    <w:rsid w:val="00393D75"/>
    <w:pPr>
      <w:keepNext/>
      <w:jc w:val="center"/>
      <w:outlineLvl w:val="6"/>
    </w:pPr>
    <w:rPr>
      <w:b/>
      <w:sz w:val="28"/>
      <w:szCs w:val="20"/>
      <w:lang w:eastAsia="en-US"/>
    </w:rPr>
  </w:style>
  <w:style w:type="paragraph" w:styleId="Heading8">
    <w:name w:val="heading 8"/>
    <w:basedOn w:val="Normal"/>
    <w:next w:val="Normal"/>
    <w:qFormat/>
    <w:rsid w:val="00393D75"/>
    <w:pPr>
      <w:keepNext/>
      <w:spacing w:before="120"/>
      <w:ind w:firstLine="720"/>
      <w:jc w:val="center"/>
      <w:outlineLvl w:val="7"/>
    </w:pPr>
    <w:rPr>
      <w:b/>
      <w:bCs/>
      <w:sz w:val="18"/>
      <w:szCs w:val="20"/>
      <w:lang w:eastAsia="en-US"/>
    </w:rPr>
  </w:style>
  <w:style w:type="paragraph" w:styleId="Heading9">
    <w:name w:val="heading 9"/>
    <w:basedOn w:val="Normal"/>
    <w:next w:val="Normal"/>
    <w:qFormat/>
    <w:rsid w:val="00393D75"/>
    <w:pPr>
      <w:keepNext/>
      <w:outlineLvl w:val="8"/>
    </w:pPr>
    <w:rPr>
      <w:rFonts w:ascii="Arial Narrow" w:hAnsi="Arial Narrow"/>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3D75"/>
    <w:pPr>
      <w:spacing w:before="100" w:beforeAutospacing="1" w:after="100" w:afterAutospacing="1"/>
    </w:pPr>
  </w:style>
  <w:style w:type="paragraph" w:styleId="BodyText">
    <w:name w:val="Body Text"/>
    <w:basedOn w:val="Normal"/>
    <w:rsid w:val="00393D75"/>
    <w:pPr>
      <w:spacing w:before="120"/>
      <w:jc w:val="both"/>
    </w:pPr>
    <w:rPr>
      <w:sz w:val="22"/>
      <w:szCs w:val="20"/>
      <w:lang w:eastAsia="en-US"/>
    </w:rPr>
  </w:style>
  <w:style w:type="character" w:styleId="Strong">
    <w:name w:val="Strong"/>
    <w:qFormat/>
    <w:rsid w:val="00393D75"/>
    <w:rPr>
      <w:b/>
      <w:bCs/>
    </w:rPr>
  </w:style>
  <w:style w:type="paragraph" w:styleId="Title">
    <w:name w:val="Title"/>
    <w:basedOn w:val="Normal"/>
    <w:qFormat/>
    <w:rsid w:val="00393D75"/>
    <w:pPr>
      <w:jc w:val="center"/>
    </w:pPr>
    <w:rPr>
      <w:rFonts w:ascii="Arial" w:hAnsi="Arial"/>
      <w:b/>
      <w:szCs w:val="20"/>
      <w:lang w:eastAsia="en-US"/>
    </w:rPr>
  </w:style>
  <w:style w:type="paragraph" w:styleId="BodyText3">
    <w:name w:val="Body Text 3"/>
    <w:basedOn w:val="Normal"/>
    <w:rsid w:val="00393D75"/>
    <w:pPr>
      <w:spacing w:before="120"/>
      <w:jc w:val="center"/>
    </w:pPr>
    <w:rPr>
      <w:b/>
      <w:sz w:val="28"/>
      <w:szCs w:val="20"/>
      <w:lang w:eastAsia="en-US"/>
    </w:rPr>
  </w:style>
  <w:style w:type="paragraph" w:styleId="BodyTextIndent3">
    <w:name w:val="Body Text Indent 3"/>
    <w:basedOn w:val="Normal"/>
    <w:rsid w:val="00393D75"/>
    <w:pPr>
      <w:spacing w:before="120"/>
      <w:ind w:left="2381" w:hanging="2381"/>
      <w:jc w:val="both"/>
    </w:pPr>
    <w:rPr>
      <w:sz w:val="22"/>
      <w:szCs w:val="20"/>
      <w:lang w:eastAsia="en-US"/>
    </w:rPr>
  </w:style>
  <w:style w:type="paragraph" w:styleId="Footer">
    <w:name w:val="footer"/>
    <w:basedOn w:val="Normal"/>
    <w:rsid w:val="00393D75"/>
    <w:pPr>
      <w:tabs>
        <w:tab w:val="center" w:pos="4320"/>
        <w:tab w:val="right" w:pos="8640"/>
      </w:tabs>
    </w:pPr>
    <w:rPr>
      <w:sz w:val="20"/>
      <w:szCs w:val="20"/>
      <w:lang w:val="en-US" w:eastAsia="en-US"/>
    </w:rPr>
  </w:style>
  <w:style w:type="character" w:styleId="PageNumber">
    <w:name w:val="page number"/>
    <w:basedOn w:val="DefaultParagraphFont"/>
    <w:rsid w:val="00393D75"/>
  </w:style>
  <w:style w:type="paragraph" w:styleId="Header">
    <w:name w:val="header"/>
    <w:basedOn w:val="Normal"/>
    <w:link w:val="HeaderChar"/>
    <w:uiPriority w:val="99"/>
    <w:rsid w:val="00393D75"/>
    <w:pPr>
      <w:tabs>
        <w:tab w:val="center" w:pos="4320"/>
        <w:tab w:val="right" w:pos="8640"/>
      </w:tabs>
    </w:pPr>
    <w:rPr>
      <w:sz w:val="20"/>
      <w:szCs w:val="20"/>
      <w:lang w:val="en-US" w:eastAsia="en-US"/>
    </w:rPr>
  </w:style>
  <w:style w:type="paragraph" w:styleId="BodyTextIndent">
    <w:name w:val="Body Text Indent"/>
    <w:basedOn w:val="Normal"/>
    <w:rsid w:val="00393D75"/>
    <w:pPr>
      <w:spacing w:before="120"/>
      <w:ind w:firstLine="680"/>
      <w:jc w:val="both"/>
    </w:pPr>
    <w:rPr>
      <w:szCs w:val="20"/>
      <w:lang w:eastAsia="en-US"/>
    </w:rPr>
  </w:style>
  <w:style w:type="paragraph" w:styleId="TOC2">
    <w:name w:val="toc 2"/>
    <w:basedOn w:val="Normal"/>
    <w:next w:val="Normal"/>
    <w:autoRedefine/>
    <w:semiHidden/>
    <w:rsid w:val="00393D75"/>
    <w:rPr>
      <w:bCs/>
      <w:sz w:val="18"/>
      <w:lang w:val="en-US" w:eastAsia="en-US"/>
    </w:rPr>
  </w:style>
  <w:style w:type="paragraph" w:styleId="BodyTextIndent2">
    <w:name w:val="Body Text Indent 2"/>
    <w:basedOn w:val="Normal"/>
    <w:rsid w:val="00393D75"/>
    <w:pPr>
      <w:tabs>
        <w:tab w:val="left" w:pos="540"/>
      </w:tabs>
      <w:ind w:left="360"/>
      <w:jc w:val="both"/>
    </w:pPr>
    <w:rPr>
      <w:lang w:eastAsia="en-US"/>
    </w:rPr>
  </w:style>
  <w:style w:type="paragraph" w:styleId="BodyText2">
    <w:name w:val="Body Text 2"/>
    <w:basedOn w:val="Normal"/>
    <w:rsid w:val="00393D75"/>
    <w:pPr>
      <w:tabs>
        <w:tab w:val="left" w:pos="720"/>
      </w:tabs>
      <w:ind w:right="-540"/>
    </w:pPr>
    <w:rPr>
      <w:lang w:eastAsia="en-US"/>
    </w:rPr>
  </w:style>
  <w:style w:type="paragraph" w:customStyle="1" w:styleId="font5">
    <w:name w:val="font5"/>
    <w:basedOn w:val="Normal"/>
    <w:rsid w:val="00393D75"/>
    <w:pPr>
      <w:spacing w:before="100" w:beforeAutospacing="1" w:after="100" w:afterAutospacing="1"/>
    </w:pPr>
    <w:rPr>
      <w:rFonts w:eastAsia="Arial Unicode MS"/>
      <w:sz w:val="16"/>
      <w:szCs w:val="16"/>
      <w:lang w:val="en-GB" w:eastAsia="en-US"/>
    </w:rPr>
  </w:style>
  <w:style w:type="paragraph" w:customStyle="1" w:styleId="xl24">
    <w:name w:val="xl24"/>
    <w:basedOn w:val="Normal"/>
    <w:rsid w:val="00393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5">
    <w:name w:val="xl25"/>
    <w:basedOn w:val="Normal"/>
    <w:rsid w:val="00393D75"/>
    <w:pPr>
      <w:spacing w:before="100" w:beforeAutospacing="1" w:after="100" w:afterAutospacing="1"/>
    </w:pPr>
    <w:rPr>
      <w:rFonts w:eastAsia="Arial Unicode MS"/>
      <w:sz w:val="16"/>
      <w:szCs w:val="16"/>
      <w:lang w:val="en-GB" w:eastAsia="en-US"/>
    </w:rPr>
  </w:style>
  <w:style w:type="paragraph" w:customStyle="1" w:styleId="xl26">
    <w:name w:val="xl26"/>
    <w:basedOn w:val="Normal"/>
    <w:rsid w:val="00393D7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7">
    <w:name w:val="xl27"/>
    <w:basedOn w:val="Normal"/>
    <w:rsid w:val="00393D7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8">
    <w:name w:val="xl28"/>
    <w:basedOn w:val="Normal"/>
    <w:rsid w:val="00393D75"/>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9">
    <w:name w:val="xl29"/>
    <w:basedOn w:val="Normal"/>
    <w:rsid w:val="00393D7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0">
    <w:name w:val="xl30"/>
    <w:basedOn w:val="Normal"/>
    <w:rsid w:val="00393D75"/>
    <w:pPr>
      <w:spacing w:before="100" w:beforeAutospacing="1" w:after="100" w:afterAutospacing="1"/>
    </w:pPr>
    <w:rPr>
      <w:rFonts w:eastAsia="Arial Unicode MS"/>
      <w:b/>
      <w:bCs/>
      <w:lang w:val="en-GB" w:eastAsia="en-US"/>
    </w:rPr>
  </w:style>
  <w:style w:type="paragraph" w:customStyle="1" w:styleId="xl31">
    <w:name w:val="xl31"/>
    <w:basedOn w:val="Normal"/>
    <w:rsid w:val="00393D75"/>
    <w:pPr>
      <w:pBdr>
        <w:bottom w:val="single" w:sz="4" w:space="0" w:color="auto"/>
      </w:pBdr>
      <w:spacing w:before="100" w:beforeAutospacing="1" w:after="100" w:afterAutospacing="1"/>
    </w:pPr>
    <w:rPr>
      <w:rFonts w:eastAsia="Arial Unicode MS"/>
      <w:lang w:val="en-GB" w:eastAsia="en-US"/>
    </w:rPr>
  </w:style>
  <w:style w:type="paragraph" w:customStyle="1" w:styleId="xl32">
    <w:name w:val="xl32"/>
    <w:basedOn w:val="Normal"/>
    <w:rsid w:val="00393D75"/>
    <w:pPr>
      <w:pBdr>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3">
    <w:name w:val="xl33"/>
    <w:basedOn w:val="Normal"/>
    <w:rsid w:val="00393D75"/>
    <w:pPr>
      <w:pBdr>
        <w:lef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4">
    <w:name w:val="xl34"/>
    <w:basedOn w:val="Normal"/>
    <w:rsid w:val="00393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eastAsia="en-US"/>
    </w:rPr>
  </w:style>
  <w:style w:type="paragraph" w:customStyle="1" w:styleId="xl35">
    <w:name w:val="xl35"/>
    <w:basedOn w:val="Normal"/>
    <w:rsid w:val="00393D7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styleId="ListParagraph">
    <w:name w:val="List Paragraph"/>
    <w:basedOn w:val="Normal"/>
    <w:qFormat/>
    <w:rsid w:val="00393D75"/>
    <w:pPr>
      <w:ind w:left="720"/>
    </w:pPr>
  </w:style>
  <w:style w:type="character" w:styleId="CommentReference">
    <w:name w:val="annotation reference"/>
    <w:rsid w:val="00393D75"/>
    <w:rPr>
      <w:sz w:val="16"/>
      <w:szCs w:val="16"/>
    </w:rPr>
  </w:style>
  <w:style w:type="paragraph" w:styleId="CommentText">
    <w:name w:val="annotation text"/>
    <w:basedOn w:val="Normal"/>
    <w:link w:val="CommentTextChar"/>
    <w:rsid w:val="00393D75"/>
    <w:rPr>
      <w:sz w:val="20"/>
      <w:szCs w:val="20"/>
    </w:rPr>
  </w:style>
  <w:style w:type="character" w:customStyle="1" w:styleId="CommentTextChar">
    <w:name w:val="Comment Text Char"/>
    <w:link w:val="CommentText"/>
    <w:rsid w:val="00393D75"/>
    <w:rPr>
      <w:lang w:val="lv-LV" w:eastAsia="lv-LV" w:bidi="ar-SA"/>
    </w:rPr>
  </w:style>
  <w:style w:type="paragraph" w:styleId="CommentSubject">
    <w:name w:val="annotation subject"/>
    <w:basedOn w:val="CommentText"/>
    <w:next w:val="CommentText"/>
    <w:link w:val="CommentSubjectChar"/>
    <w:rsid w:val="00393D75"/>
    <w:rPr>
      <w:b/>
      <w:bCs/>
    </w:rPr>
  </w:style>
  <w:style w:type="character" w:customStyle="1" w:styleId="CommentSubjectChar">
    <w:name w:val="Comment Subject Char"/>
    <w:link w:val="CommentSubject"/>
    <w:rsid w:val="00393D75"/>
    <w:rPr>
      <w:b/>
      <w:bCs/>
      <w:lang w:val="lv-LV" w:eastAsia="lv-LV" w:bidi="ar-SA"/>
    </w:rPr>
  </w:style>
  <w:style w:type="paragraph" w:styleId="BalloonText">
    <w:name w:val="Balloon Text"/>
    <w:basedOn w:val="Normal"/>
    <w:semiHidden/>
    <w:rsid w:val="000F5590"/>
    <w:rPr>
      <w:rFonts w:ascii="Tahoma" w:hAnsi="Tahoma" w:cs="Tahoma"/>
      <w:sz w:val="16"/>
      <w:szCs w:val="16"/>
    </w:rPr>
  </w:style>
  <w:style w:type="character" w:customStyle="1" w:styleId="HeaderChar">
    <w:name w:val="Header Char"/>
    <w:link w:val="Header"/>
    <w:uiPriority w:val="99"/>
    <w:rsid w:val="00074283"/>
    <w:rPr>
      <w:lang w:val="en-US" w:eastAsia="en-US"/>
    </w:rPr>
  </w:style>
  <w:style w:type="paragraph" w:styleId="NoSpacing">
    <w:name w:val="No Spacing"/>
    <w:uiPriority w:val="1"/>
    <w:qFormat/>
    <w:rsid w:val="00074283"/>
    <w:rPr>
      <w:rFonts w:ascii="Calibri" w:eastAsia="Calibri" w:hAnsi="Calibri"/>
      <w:sz w:val="22"/>
      <w:szCs w:val="22"/>
      <w:lang w:val="en-US" w:eastAsia="en-US"/>
    </w:rPr>
  </w:style>
  <w:style w:type="character" w:styleId="Hyperlink">
    <w:name w:val="Hyperlink"/>
    <w:unhideWhenUsed/>
    <w:rsid w:val="00DA7AC3"/>
    <w:rPr>
      <w:color w:val="0000FF"/>
      <w:u w:val="single"/>
    </w:rPr>
  </w:style>
  <w:style w:type="character" w:styleId="Emphasis">
    <w:name w:val="Emphasis"/>
    <w:uiPriority w:val="20"/>
    <w:qFormat/>
    <w:rsid w:val="006F484A"/>
    <w:rPr>
      <w:i/>
      <w:iCs/>
    </w:rPr>
  </w:style>
  <w:style w:type="table" w:styleId="TableGrid">
    <w:name w:val="Table Grid"/>
    <w:basedOn w:val="TableNormal"/>
    <w:rsid w:val="00C1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F7FA4"/>
    <w:pPr>
      <w:spacing w:before="75" w:after="75"/>
      <w:ind w:firstLine="375"/>
      <w:jc w:val="both"/>
    </w:pPr>
  </w:style>
  <w:style w:type="character" w:customStyle="1" w:styleId="apple-converted-space">
    <w:name w:val="apple-converted-space"/>
    <w:basedOn w:val="DefaultParagraphFont"/>
    <w:rsid w:val="0050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doc.php?id=125683" TargetMode="External"/><Relationship Id="rId4" Type="http://schemas.microsoft.com/office/2007/relationships/stylesWithEffects" Target="stylesWithEffects.xml"/><Relationship Id="rId9" Type="http://schemas.openxmlformats.org/officeDocument/2006/relationships/hyperlink" Target="http://likumi.lv/doc.php?id=12568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54D2-659A-4E4A-98E5-B5393081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2581</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2005.gada 27.decembra noteikumos Nr.1037 „Noteikumi par cilvēka asiņu un asins komponentu savākšanas, testēšanas, apstrādes, uzglabāšanas un izplatīšanas kvalitātes un drošības standartiem un kompensāciju par izdevumiem zaudētā</vt:lpstr>
    </vt:vector>
  </TitlesOfParts>
  <Company>Veselības ministrija</Company>
  <LinksUpToDate>false</LinksUpToDate>
  <CharactersWithSpaces>4045</CharactersWithSpaces>
  <SharedDoc>false</SharedDoc>
  <HLinks>
    <vt:vector size="12" baseType="variant">
      <vt:variant>
        <vt:i4>3866650</vt:i4>
      </vt:variant>
      <vt:variant>
        <vt:i4>3</vt:i4>
      </vt:variant>
      <vt:variant>
        <vt:i4>0</vt:i4>
      </vt:variant>
      <vt:variant>
        <vt:i4>5</vt:i4>
      </vt:variant>
      <vt:variant>
        <vt:lpwstr>mailto:irisa.zila@spkc.gov.lv</vt:lpwstr>
      </vt:variant>
      <vt:variant>
        <vt:lpwstr/>
      </vt:variant>
      <vt:variant>
        <vt:i4>2687001</vt:i4>
      </vt:variant>
      <vt:variant>
        <vt:i4>0</vt:i4>
      </vt:variant>
      <vt:variant>
        <vt:i4>0</vt:i4>
      </vt:variant>
      <vt:variant>
        <vt:i4>5</vt:i4>
      </vt:variant>
      <vt:variant>
        <vt:lpwstr>mailto:viktorija.kornenkova@vm.gov.lv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dc:title>
  <dc:subject>Ministru kabineta noteikumu projekts</dc:subject>
  <dc:creator>Viktorija Korņenkova</dc:creator>
  <dc:description>V.Korņenkova, 67876098
viktorija.kornenkova@vm.gov.lv</dc:description>
  <cp:lastModifiedBy>Leontīne Babkina</cp:lastModifiedBy>
  <cp:revision>15</cp:revision>
  <cp:lastPrinted>2016-03-30T07:00:00Z</cp:lastPrinted>
  <dcterms:created xsi:type="dcterms:W3CDTF">2016-02-16T10:10:00Z</dcterms:created>
  <dcterms:modified xsi:type="dcterms:W3CDTF">2016-04-06T09:08:00Z</dcterms:modified>
</cp:coreProperties>
</file>