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E" w:rsidRPr="00FE3A42" w:rsidRDefault="0067460A" w:rsidP="00BE627D">
      <w:pPr>
        <w:spacing w:after="0" w:line="360" w:lineRule="auto"/>
        <w:ind w:firstLine="301"/>
        <w:jc w:val="right"/>
        <w:rPr>
          <w:rFonts w:ascii="Times New Roman" w:hAnsi="Times New Roman" w:cs="Times New Roman"/>
          <w:i/>
          <w:sz w:val="28"/>
          <w:szCs w:val="28"/>
        </w:rPr>
      </w:pPr>
      <w:r w:rsidRPr="00FE3A42">
        <w:rPr>
          <w:rFonts w:ascii="Times New Roman" w:hAnsi="Times New Roman" w:cs="Times New Roman"/>
          <w:i/>
          <w:sz w:val="28"/>
          <w:szCs w:val="28"/>
        </w:rPr>
        <w:t>Projekts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lang w:eastAsia="lv-LV"/>
        </w:rPr>
      </w:pPr>
      <w:r w:rsidRPr="00FE3A42">
        <w:rPr>
          <w:rFonts w:ascii="Times New Roman" w:eastAsia="Times New Roman" w:hAnsi="Times New Roman" w:cs="Times New Roman"/>
          <w:sz w:val="28"/>
          <w:szCs w:val="28"/>
          <w:lang w:eastAsia="lv-LV"/>
        </w:rPr>
        <w:t>LATVIJAS REPUBLIKAS MINISTRU KABINETS</w:t>
      </w:r>
    </w:p>
    <w:p w:rsidR="00F37DEE" w:rsidRPr="00FE3A42" w:rsidRDefault="00F37DEE" w:rsidP="00F37DEE">
      <w:pPr>
        <w:spacing w:after="0" w:line="240" w:lineRule="auto"/>
        <w:jc w:val="center"/>
        <w:outlineLvl w:val="0"/>
        <w:rPr>
          <w:rFonts w:ascii="Times New Roman" w:eastAsia="Times New Roman" w:hAnsi="Times New Roman" w:cs="Times New Roman"/>
          <w:sz w:val="28"/>
          <w:szCs w:val="28"/>
          <w:lang w:eastAsia="lv-LV"/>
        </w:rPr>
      </w:pPr>
    </w:p>
    <w:p w:rsidR="00F37DEE" w:rsidRPr="00FE3A42" w:rsidRDefault="007050B2" w:rsidP="00F37DEE">
      <w:pPr>
        <w:tabs>
          <w:tab w:val="right" w:pos="9000"/>
        </w:tabs>
        <w:spacing w:after="0" w:line="240" w:lineRule="auto"/>
        <w:rPr>
          <w:rFonts w:ascii="Times New Roman" w:eastAsia="Times New Roman" w:hAnsi="Times New Roman" w:cs="Times New Roman"/>
          <w:color w:val="000000"/>
          <w:sz w:val="28"/>
          <w:szCs w:val="28"/>
          <w:lang w:eastAsia="lv-LV"/>
        </w:rPr>
      </w:pPr>
      <w:r w:rsidRPr="00FE3A42">
        <w:rPr>
          <w:rFonts w:ascii="Times New Roman" w:eastAsia="Times New Roman" w:hAnsi="Times New Roman" w:cs="Times New Roman"/>
          <w:sz w:val="28"/>
          <w:szCs w:val="28"/>
          <w:lang w:eastAsia="lv-LV"/>
        </w:rPr>
        <w:t>201</w:t>
      </w:r>
      <w:r w:rsidR="002F4334" w:rsidRPr="00A05F67">
        <w:rPr>
          <w:rFonts w:ascii="Times New Roman" w:eastAsia="Times New Roman" w:hAnsi="Times New Roman" w:cs="Times New Roman"/>
          <w:sz w:val="28"/>
          <w:szCs w:val="28"/>
          <w:lang w:eastAsia="lv-LV"/>
        </w:rPr>
        <w:t>6</w:t>
      </w:r>
      <w:r w:rsidR="00F37DEE" w:rsidRPr="00037F72">
        <w:rPr>
          <w:rFonts w:ascii="Times New Roman" w:eastAsia="Times New Roman" w:hAnsi="Times New Roman" w:cs="Times New Roman"/>
          <w:color w:val="1F497D" w:themeColor="text2"/>
          <w:sz w:val="28"/>
          <w:szCs w:val="28"/>
          <w:lang w:eastAsia="lv-LV"/>
        </w:rPr>
        <w:t>.</w:t>
      </w:r>
      <w:r w:rsidR="00F37DEE" w:rsidRPr="00FE3A42">
        <w:rPr>
          <w:rFonts w:ascii="Times New Roman" w:eastAsia="Times New Roman" w:hAnsi="Times New Roman" w:cs="Times New Roman"/>
          <w:sz w:val="28"/>
          <w:szCs w:val="28"/>
          <w:lang w:eastAsia="lv-LV"/>
        </w:rPr>
        <w:t> gada __. ___</w:t>
      </w:r>
      <w:r w:rsidR="00F37DEE" w:rsidRPr="00FE3A42">
        <w:rPr>
          <w:rFonts w:ascii="Times New Roman" w:eastAsia="Times New Roman" w:hAnsi="Times New Roman" w:cs="Times New Roman"/>
          <w:sz w:val="28"/>
          <w:szCs w:val="28"/>
          <w:lang w:eastAsia="lv-LV"/>
        </w:rPr>
        <w:tab/>
      </w:r>
      <w:r w:rsidR="00F37DEE" w:rsidRPr="00FE3A42">
        <w:rPr>
          <w:rFonts w:ascii="Times New Roman" w:eastAsia="Times New Roman" w:hAnsi="Times New Roman" w:cs="Times New Roman"/>
          <w:color w:val="000000"/>
          <w:sz w:val="28"/>
          <w:szCs w:val="28"/>
          <w:lang w:eastAsia="lv-LV"/>
        </w:rPr>
        <w:t>Noteikumi Nr. __</w:t>
      </w:r>
    </w:p>
    <w:p w:rsidR="00F37DEE" w:rsidRPr="00FE3A42" w:rsidRDefault="00F37DEE" w:rsidP="00F37DEE">
      <w:pPr>
        <w:tabs>
          <w:tab w:val="right" w:pos="9000"/>
        </w:tabs>
        <w:spacing w:after="0" w:line="240" w:lineRule="auto"/>
        <w:rPr>
          <w:rFonts w:ascii="Times New Roman" w:eastAsia="Times New Roman" w:hAnsi="Times New Roman" w:cs="Times New Roman"/>
          <w:color w:val="000000"/>
          <w:sz w:val="28"/>
          <w:szCs w:val="28"/>
          <w:lang w:eastAsia="lv-LV"/>
        </w:rPr>
      </w:pPr>
      <w:r w:rsidRPr="00FE3A42">
        <w:rPr>
          <w:rFonts w:ascii="Times New Roman" w:eastAsia="Times New Roman" w:hAnsi="Times New Roman" w:cs="Times New Roman"/>
          <w:color w:val="000000"/>
          <w:sz w:val="28"/>
          <w:szCs w:val="28"/>
          <w:lang w:eastAsia="lv-LV"/>
        </w:rPr>
        <w:t>Rīgā</w:t>
      </w:r>
      <w:r w:rsidRPr="00FE3A42">
        <w:rPr>
          <w:rFonts w:ascii="Times New Roman" w:eastAsia="Times New Roman" w:hAnsi="Times New Roman" w:cs="Times New Roman"/>
          <w:color w:val="000000"/>
          <w:sz w:val="28"/>
          <w:szCs w:val="28"/>
          <w:lang w:eastAsia="lv-LV"/>
        </w:rPr>
        <w:tab/>
        <w:t>(prot. Nr. __ __. §)</w:t>
      </w:r>
    </w:p>
    <w:p w:rsidR="00FB0D9C" w:rsidRPr="009C25C1" w:rsidRDefault="00FB0D9C" w:rsidP="0067460A">
      <w:pPr>
        <w:spacing w:before="100" w:beforeAutospacing="1" w:after="100" w:afterAutospacing="1" w:line="240" w:lineRule="auto"/>
        <w:ind w:firstLine="300"/>
        <w:jc w:val="right"/>
        <w:rPr>
          <w:rFonts w:ascii="Times New Roman" w:hAnsi="Times New Roman" w:cs="Times New Roman"/>
          <w:b/>
          <w:sz w:val="28"/>
          <w:szCs w:val="28"/>
        </w:rPr>
      </w:pPr>
      <w:r w:rsidRPr="009C25C1">
        <w:rPr>
          <w:rFonts w:ascii="Times New Roman" w:hAnsi="Times New Roman" w:cs="Times New Roman"/>
          <w:b/>
          <w:sz w:val="28"/>
          <w:szCs w:val="28"/>
        </w:rPr>
        <w:t>Grozījumi Ministru kabineta 20</w:t>
      </w:r>
      <w:r w:rsidR="00807F3B" w:rsidRPr="009C25C1">
        <w:rPr>
          <w:rFonts w:ascii="Times New Roman" w:hAnsi="Times New Roman" w:cs="Times New Roman"/>
          <w:b/>
          <w:sz w:val="28"/>
          <w:szCs w:val="28"/>
        </w:rPr>
        <w:t>13</w:t>
      </w:r>
      <w:r w:rsidRPr="009C25C1">
        <w:rPr>
          <w:rFonts w:ascii="Times New Roman" w:hAnsi="Times New Roman" w:cs="Times New Roman"/>
          <w:b/>
          <w:sz w:val="28"/>
          <w:szCs w:val="28"/>
        </w:rPr>
        <w:t>.gad</w:t>
      </w:r>
      <w:r w:rsidR="00A81D9B" w:rsidRPr="009C25C1">
        <w:rPr>
          <w:rFonts w:ascii="Times New Roman" w:hAnsi="Times New Roman" w:cs="Times New Roman"/>
          <w:b/>
          <w:sz w:val="28"/>
          <w:szCs w:val="28"/>
        </w:rPr>
        <w:t xml:space="preserve">a </w:t>
      </w:r>
      <w:r w:rsidR="00807F3B" w:rsidRPr="009C25C1">
        <w:rPr>
          <w:rFonts w:ascii="Times New Roman" w:hAnsi="Times New Roman" w:cs="Times New Roman"/>
          <w:b/>
          <w:sz w:val="28"/>
          <w:szCs w:val="28"/>
        </w:rPr>
        <w:t>1</w:t>
      </w:r>
      <w:r w:rsidR="00A81D9B" w:rsidRPr="009C25C1">
        <w:rPr>
          <w:rFonts w:ascii="Times New Roman" w:hAnsi="Times New Roman" w:cs="Times New Roman"/>
          <w:b/>
          <w:sz w:val="28"/>
          <w:szCs w:val="28"/>
        </w:rPr>
        <w:t>7.</w:t>
      </w:r>
      <w:r w:rsidR="00807F3B" w:rsidRPr="009C25C1">
        <w:rPr>
          <w:rFonts w:ascii="Times New Roman" w:hAnsi="Times New Roman" w:cs="Times New Roman"/>
          <w:b/>
          <w:sz w:val="28"/>
          <w:szCs w:val="28"/>
        </w:rPr>
        <w:t>decembra</w:t>
      </w:r>
      <w:r w:rsidR="00A81D9B" w:rsidRPr="009C25C1">
        <w:rPr>
          <w:rFonts w:ascii="Times New Roman" w:hAnsi="Times New Roman" w:cs="Times New Roman"/>
          <w:b/>
          <w:sz w:val="28"/>
          <w:szCs w:val="28"/>
        </w:rPr>
        <w:t xml:space="preserve"> noteikumos Nr.</w:t>
      </w:r>
      <w:r w:rsidR="00807F3B" w:rsidRPr="009C25C1">
        <w:rPr>
          <w:rFonts w:ascii="Times New Roman" w:hAnsi="Times New Roman" w:cs="Times New Roman"/>
          <w:b/>
          <w:sz w:val="28"/>
          <w:szCs w:val="28"/>
        </w:rPr>
        <w:t>1529</w:t>
      </w:r>
      <w:r w:rsidR="00A81D9B" w:rsidRPr="009C25C1">
        <w:rPr>
          <w:rFonts w:ascii="Times New Roman" w:hAnsi="Times New Roman" w:cs="Times New Roman"/>
          <w:b/>
          <w:sz w:val="28"/>
          <w:szCs w:val="28"/>
        </w:rPr>
        <w:t xml:space="preserve"> ”</w:t>
      </w:r>
      <w:r w:rsidR="00807F3B" w:rsidRPr="009C25C1">
        <w:rPr>
          <w:rFonts w:ascii="Times New Roman" w:hAnsi="Times New Roman" w:cs="Times New Roman"/>
          <w:b/>
          <w:sz w:val="28"/>
          <w:szCs w:val="28"/>
        </w:rPr>
        <w:t>Veselības aprūpes organizēšanas un finansēšanas kārtība</w:t>
      </w:r>
      <w:r w:rsidRPr="009C25C1">
        <w:rPr>
          <w:rFonts w:ascii="Times New Roman" w:hAnsi="Times New Roman" w:cs="Times New Roman"/>
          <w:b/>
          <w:sz w:val="28"/>
          <w:szCs w:val="28"/>
        </w:rPr>
        <w:t>”</w:t>
      </w:r>
    </w:p>
    <w:p w:rsidR="00FB0D9C" w:rsidRPr="00441EE9" w:rsidRDefault="00FB0D9C" w:rsidP="00441EE9">
      <w:pPr>
        <w:spacing w:before="100" w:beforeAutospacing="1" w:after="100" w:afterAutospacing="1" w:line="240" w:lineRule="auto"/>
        <w:ind w:firstLine="301"/>
        <w:contextualSpacing/>
        <w:jc w:val="right"/>
        <w:rPr>
          <w:rFonts w:ascii="Times New Roman" w:hAnsi="Times New Roman" w:cs="Times New Roman"/>
          <w:b/>
          <w:sz w:val="28"/>
          <w:szCs w:val="28"/>
        </w:rPr>
      </w:pPr>
    </w:p>
    <w:p w:rsidR="002A21D2" w:rsidRPr="009C25C1" w:rsidRDefault="00922BEE" w:rsidP="00FB0D9C">
      <w:pPr>
        <w:spacing w:after="0" w:line="240" w:lineRule="auto"/>
        <w:ind w:firstLine="301"/>
        <w:jc w:val="right"/>
        <w:rPr>
          <w:rFonts w:ascii="Times New Roman" w:eastAsia="Times New Roman" w:hAnsi="Times New Roman" w:cs="Times New Roman"/>
          <w:sz w:val="28"/>
          <w:szCs w:val="28"/>
          <w:lang w:eastAsia="lv-LV"/>
        </w:rPr>
      </w:pPr>
      <w:r w:rsidRPr="009C25C1">
        <w:rPr>
          <w:rFonts w:ascii="Times New Roman" w:eastAsia="Times New Roman" w:hAnsi="Times New Roman" w:cs="Times New Roman"/>
          <w:sz w:val="28"/>
          <w:szCs w:val="28"/>
          <w:lang w:eastAsia="lv-LV"/>
        </w:rPr>
        <w:t xml:space="preserve">Izdoti saskaņā ar </w:t>
      </w:r>
    </w:p>
    <w:p w:rsidR="00807F3B" w:rsidRPr="009C25C1" w:rsidRDefault="00807F3B" w:rsidP="00FB0D9C">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 xml:space="preserve">Ārstniecības likuma </w:t>
      </w:r>
    </w:p>
    <w:p w:rsidR="00FB0D9C" w:rsidRPr="009C25C1" w:rsidRDefault="00807F3B" w:rsidP="00FB0D9C">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4.panta pirmo daļu</w:t>
      </w:r>
    </w:p>
    <w:p w:rsidR="0067460A" w:rsidRPr="009C25C1" w:rsidRDefault="0067460A" w:rsidP="00441EE9">
      <w:pPr>
        <w:spacing w:before="100" w:beforeAutospacing="1" w:after="100" w:afterAutospacing="1" w:line="240" w:lineRule="auto"/>
        <w:ind w:firstLine="301"/>
        <w:contextualSpacing/>
        <w:jc w:val="both"/>
        <w:rPr>
          <w:rFonts w:ascii="Times New Roman" w:eastAsia="Times New Roman" w:hAnsi="Times New Roman" w:cs="Times New Roman"/>
          <w:sz w:val="28"/>
          <w:szCs w:val="28"/>
          <w:lang w:eastAsia="lv-LV"/>
        </w:rPr>
      </w:pPr>
    </w:p>
    <w:p w:rsidR="00A453A1" w:rsidRPr="009C25C1" w:rsidRDefault="00DF11E5" w:rsidP="00354386">
      <w:pPr>
        <w:spacing w:after="0" w:line="240" w:lineRule="auto"/>
        <w:ind w:firstLine="720"/>
        <w:jc w:val="both"/>
        <w:rPr>
          <w:rFonts w:ascii="Times New Roman" w:eastAsia="Times New Roman" w:hAnsi="Times New Roman" w:cs="Times New Roman"/>
          <w:sz w:val="28"/>
          <w:szCs w:val="28"/>
          <w:lang w:eastAsia="lv-LV"/>
        </w:rPr>
      </w:pPr>
      <w:r w:rsidRPr="009C25C1">
        <w:rPr>
          <w:rFonts w:ascii="Times New Roman" w:eastAsia="Times New Roman" w:hAnsi="Times New Roman" w:cs="Times New Roman"/>
          <w:sz w:val="28"/>
          <w:szCs w:val="28"/>
          <w:lang w:eastAsia="lv-LV"/>
        </w:rPr>
        <w:t xml:space="preserve">Izdarīt </w:t>
      </w:r>
      <w:r w:rsidR="00FB0D9C" w:rsidRPr="009C25C1">
        <w:rPr>
          <w:rFonts w:ascii="Times New Roman" w:eastAsia="Times New Roman" w:hAnsi="Times New Roman" w:cs="Times New Roman"/>
          <w:sz w:val="28"/>
          <w:szCs w:val="28"/>
          <w:lang w:eastAsia="lv-LV"/>
        </w:rPr>
        <w:t>Ministru kabineta 20</w:t>
      </w:r>
      <w:r w:rsidR="00807F3B" w:rsidRPr="009C25C1">
        <w:rPr>
          <w:rFonts w:ascii="Times New Roman" w:eastAsia="Times New Roman" w:hAnsi="Times New Roman" w:cs="Times New Roman"/>
          <w:sz w:val="28"/>
          <w:szCs w:val="28"/>
          <w:lang w:eastAsia="lv-LV"/>
        </w:rPr>
        <w:t>13</w:t>
      </w:r>
      <w:r w:rsidR="00FB0D9C" w:rsidRPr="009C25C1">
        <w:rPr>
          <w:rFonts w:ascii="Times New Roman" w:eastAsia="Times New Roman" w:hAnsi="Times New Roman" w:cs="Times New Roman"/>
          <w:sz w:val="28"/>
          <w:szCs w:val="28"/>
          <w:lang w:eastAsia="lv-LV"/>
        </w:rPr>
        <w:t xml:space="preserve">.gada </w:t>
      </w:r>
      <w:r w:rsidR="00807F3B" w:rsidRPr="009C25C1">
        <w:rPr>
          <w:rFonts w:ascii="Times New Roman" w:eastAsia="Times New Roman" w:hAnsi="Times New Roman" w:cs="Times New Roman"/>
          <w:sz w:val="28"/>
          <w:szCs w:val="28"/>
          <w:lang w:eastAsia="lv-LV"/>
        </w:rPr>
        <w:t>1</w:t>
      </w:r>
      <w:r w:rsidR="00FB0D9C" w:rsidRPr="009C25C1">
        <w:rPr>
          <w:rFonts w:ascii="Times New Roman" w:eastAsia="Times New Roman" w:hAnsi="Times New Roman" w:cs="Times New Roman"/>
          <w:sz w:val="28"/>
          <w:szCs w:val="28"/>
          <w:lang w:eastAsia="lv-LV"/>
        </w:rPr>
        <w:t>7.</w:t>
      </w:r>
      <w:r w:rsidR="00807F3B" w:rsidRPr="009C25C1">
        <w:rPr>
          <w:rFonts w:ascii="Times New Roman" w:eastAsia="Times New Roman" w:hAnsi="Times New Roman" w:cs="Times New Roman"/>
          <w:sz w:val="28"/>
          <w:szCs w:val="28"/>
          <w:lang w:eastAsia="lv-LV"/>
        </w:rPr>
        <w:t>decembra</w:t>
      </w:r>
      <w:r w:rsidR="00FB0D9C" w:rsidRPr="009C25C1">
        <w:rPr>
          <w:rFonts w:ascii="Times New Roman" w:eastAsia="Times New Roman" w:hAnsi="Times New Roman" w:cs="Times New Roman"/>
          <w:sz w:val="28"/>
          <w:szCs w:val="28"/>
          <w:lang w:eastAsia="lv-LV"/>
        </w:rPr>
        <w:t xml:space="preserve"> noteikumos Nr.1</w:t>
      </w:r>
      <w:r w:rsidR="00807F3B" w:rsidRPr="009C25C1">
        <w:rPr>
          <w:rFonts w:ascii="Times New Roman" w:eastAsia="Times New Roman" w:hAnsi="Times New Roman" w:cs="Times New Roman"/>
          <w:sz w:val="28"/>
          <w:szCs w:val="28"/>
          <w:lang w:eastAsia="lv-LV"/>
        </w:rPr>
        <w:t>529</w:t>
      </w:r>
      <w:r w:rsidR="00FB0D9C" w:rsidRPr="009C25C1">
        <w:rPr>
          <w:rFonts w:ascii="Times New Roman" w:eastAsia="Times New Roman" w:hAnsi="Times New Roman" w:cs="Times New Roman"/>
          <w:sz w:val="28"/>
          <w:szCs w:val="28"/>
          <w:lang w:eastAsia="lv-LV"/>
        </w:rPr>
        <w:t xml:space="preserve"> „</w:t>
      </w:r>
      <w:r w:rsidR="00807F3B" w:rsidRPr="009C25C1">
        <w:rPr>
          <w:rFonts w:ascii="Times New Roman" w:eastAsia="Times New Roman" w:hAnsi="Times New Roman" w:cs="Times New Roman"/>
          <w:sz w:val="28"/>
          <w:szCs w:val="28"/>
          <w:lang w:eastAsia="lv-LV"/>
        </w:rPr>
        <w:t>Veselības aprūpes organizēšanas un finansēšanas kārtība</w:t>
      </w:r>
      <w:r w:rsidR="00FB0D9C" w:rsidRPr="009C25C1">
        <w:rPr>
          <w:rFonts w:ascii="Times New Roman" w:eastAsia="Times New Roman" w:hAnsi="Times New Roman" w:cs="Times New Roman"/>
          <w:sz w:val="28"/>
          <w:szCs w:val="28"/>
          <w:lang w:eastAsia="lv-LV"/>
        </w:rPr>
        <w:t>”</w:t>
      </w:r>
      <w:r w:rsidRPr="009C25C1">
        <w:rPr>
          <w:rFonts w:ascii="Times New Roman" w:eastAsia="Times New Roman" w:hAnsi="Times New Roman" w:cs="Times New Roman"/>
          <w:sz w:val="28"/>
          <w:szCs w:val="28"/>
          <w:lang w:eastAsia="lv-LV"/>
        </w:rPr>
        <w:t xml:space="preserve"> </w:t>
      </w:r>
      <w:r w:rsidR="000029E2" w:rsidRPr="009C25C1">
        <w:rPr>
          <w:rFonts w:ascii="Times New Roman" w:eastAsia="Times New Roman" w:hAnsi="Times New Roman" w:cs="Times New Roman"/>
          <w:sz w:val="28"/>
          <w:szCs w:val="28"/>
          <w:lang w:eastAsia="lv-LV"/>
        </w:rPr>
        <w:t>(Lat</w:t>
      </w:r>
      <w:r w:rsidR="00FB0D9C" w:rsidRPr="009C25C1">
        <w:rPr>
          <w:rFonts w:ascii="Times New Roman" w:eastAsia="Times New Roman" w:hAnsi="Times New Roman" w:cs="Times New Roman"/>
          <w:sz w:val="28"/>
          <w:szCs w:val="28"/>
          <w:lang w:eastAsia="lv-LV"/>
        </w:rPr>
        <w:t>vijas Vēstnesis, 20</w:t>
      </w:r>
      <w:r w:rsidR="00807F3B" w:rsidRPr="009C25C1">
        <w:rPr>
          <w:rFonts w:ascii="Times New Roman" w:eastAsia="Times New Roman" w:hAnsi="Times New Roman" w:cs="Times New Roman"/>
          <w:sz w:val="28"/>
          <w:szCs w:val="28"/>
          <w:lang w:eastAsia="lv-LV"/>
        </w:rPr>
        <w:t>13</w:t>
      </w:r>
      <w:r w:rsidR="00473AFC">
        <w:rPr>
          <w:rFonts w:ascii="Times New Roman" w:eastAsia="Times New Roman" w:hAnsi="Times New Roman" w:cs="Times New Roman"/>
          <w:sz w:val="28"/>
          <w:szCs w:val="28"/>
          <w:lang w:eastAsia="lv-LV"/>
        </w:rPr>
        <w:t>,</w:t>
      </w:r>
      <w:r w:rsidR="00FB0D9C" w:rsidRPr="009C25C1">
        <w:rPr>
          <w:rFonts w:ascii="Times New Roman" w:eastAsia="Times New Roman" w:hAnsi="Times New Roman" w:cs="Times New Roman"/>
          <w:sz w:val="28"/>
          <w:szCs w:val="28"/>
          <w:lang w:eastAsia="lv-LV"/>
        </w:rPr>
        <w:t>25</w:t>
      </w:r>
      <w:r w:rsidR="00807F3B" w:rsidRPr="009C25C1">
        <w:rPr>
          <w:rFonts w:ascii="Times New Roman" w:eastAsia="Times New Roman" w:hAnsi="Times New Roman" w:cs="Times New Roman"/>
          <w:sz w:val="28"/>
          <w:szCs w:val="28"/>
          <w:lang w:eastAsia="lv-LV"/>
        </w:rPr>
        <w:t>3</w:t>
      </w:r>
      <w:r w:rsidR="000029E2" w:rsidRPr="009C25C1">
        <w:rPr>
          <w:rFonts w:ascii="Times New Roman" w:eastAsia="Times New Roman" w:hAnsi="Times New Roman" w:cs="Times New Roman"/>
          <w:sz w:val="28"/>
          <w:szCs w:val="28"/>
          <w:lang w:eastAsia="lv-LV"/>
        </w:rPr>
        <w:t>.nr.</w:t>
      </w:r>
      <w:r w:rsidR="00807F3B" w:rsidRPr="009C25C1">
        <w:rPr>
          <w:rFonts w:ascii="Times New Roman" w:eastAsia="Times New Roman" w:hAnsi="Times New Roman" w:cs="Times New Roman"/>
          <w:sz w:val="28"/>
          <w:szCs w:val="28"/>
          <w:lang w:eastAsia="lv-LV"/>
        </w:rPr>
        <w:t>,</w:t>
      </w:r>
      <w:r w:rsidR="002D7B6A" w:rsidRPr="009C25C1">
        <w:rPr>
          <w:rFonts w:ascii="Times New Roman" w:eastAsia="Times New Roman" w:hAnsi="Times New Roman" w:cs="Times New Roman"/>
          <w:sz w:val="28"/>
          <w:szCs w:val="28"/>
          <w:lang w:eastAsia="lv-LV"/>
        </w:rPr>
        <w:t>201</w:t>
      </w:r>
      <w:r w:rsidR="00807F3B" w:rsidRPr="009C25C1">
        <w:rPr>
          <w:rFonts w:ascii="Times New Roman" w:eastAsia="Times New Roman" w:hAnsi="Times New Roman" w:cs="Times New Roman"/>
          <w:sz w:val="28"/>
          <w:szCs w:val="28"/>
          <w:lang w:eastAsia="lv-LV"/>
        </w:rPr>
        <w:t>5</w:t>
      </w:r>
      <w:r w:rsidR="002D7B6A" w:rsidRPr="009C25C1">
        <w:rPr>
          <w:rFonts w:ascii="Times New Roman" w:eastAsia="Times New Roman" w:hAnsi="Times New Roman" w:cs="Times New Roman"/>
          <w:sz w:val="28"/>
          <w:szCs w:val="28"/>
          <w:lang w:eastAsia="lv-LV"/>
        </w:rPr>
        <w:t>,</w:t>
      </w:r>
      <w:r w:rsidR="00807F3B" w:rsidRPr="009C25C1">
        <w:rPr>
          <w:rFonts w:ascii="Times New Roman" w:eastAsia="Times New Roman" w:hAnsi="Times New Roman" w:cs="Times New Roman"/>
          <w:sz w:val="28"/>
          <w:szCs w:val="28"/>
          <w:lang w:eastAsia="lv-LV"/>
        </w:rPr>
        <w:t>5.,</w:t>
      </w:r>
      <w:r w:rsidR="00FB0D9C" w:rsidRPr="009C25C1">
        <w:rPr>
          <w:rFonts w:ascii="Times New Roman" w:eastAsia="Times New Roman" w:hAnsi="Times New Roman" w:cs="Times New Roman"/>
          <w:sz w:val="28"/>
          <w:szCs w:val="28"/>
          <w:lang w:eastAsia="lv-LV"/>
        </w:rPr>
        <w:t>1</w:t>
      </w:r>
      <w:r w:rsidR="009C25C1" w:rsidRPr="009C25C1">
        <w:rPr>
          <w:rFonts w:ascii="Times New Roman" w:eastAsia="Times New Roman" w:hAnsi="Times New Roman" w:cs="Times New Roman"/>
          <w:sz w:val="28"/>
          <w:szCs w:val="28"/>
          <w:lang w:eastAsia="lv-LV"/>
        </w:rPr>
        <w:t>24</w:t>
      </w:r>
      <w:r w:rsidR="002D7B6A" w:rsidRPr="009C25C1">
        <w:rPr>
          <w:rFonts w:ascii="Times New Roman" w:eastAsia="Times New Roman" w:hAnsi="Times New Roman" w:cs="Times New Roman"/>
          <w:sz w:val="28"/>
          <w:szCs w:val="28"/>
          <w:lang w:eastAsia="lv-LV"/>
        </w:rPr>
        <w:t>.</w:t>
      </w:r>
      <w:r w:rsidR="009C25C1" w:rsidRPr="009C25C1">
        <w:rPr>
          <w:rFonts w:ascii="Times New Roman" w:eastAsia="Times New Roman" w:hAnsi="Times New Roman" w:cs="Times New Roman"/>
          <w:sz w:val="28"/>
          <w:szCs w:val="28"/>
          <w:lang w:eastAsia="lv-LV"/>
        </w:rPr>
        <w:t>,193,254.</w:t>
      </w:r>
      <w:r w:rsidR="002D7B6A" w:rsidRPr="009C25C1">
        <w:rPr>
          <w:rFonts w:ascii="Times New Roman" w:eastAsia="Times New Roman" w:hAnsi="Times New Roman" w:cs="Times New Roman"/>
          <w:sz w:val="28"/>
          <w:szCs w:val="28"/>
          <w:lang w:eastAsia="lv-LV"/>
        </w:rPr>
        <w:t>nr.</w:t>
      </w:r>
      <w:r w:rsidR="000029E2" w:rsidRPr="009C25C1">
        <w:rPr>
          <w:rFonts w:ascii="Times New Roman" w:eastAsia="Times New Roman" w:hAnsi="Times New Roman" w:cs="Times New Roman"/>
          <w:sz w:val="28"/>
          <w:szCs w:val="28"/>
          <w:lang w:eastAsia="lv-LV"/>
        </w:rPr>
        <w:t xml:space="preserve">) </w:t>
      </w:r>
      <w:r w:rsidR="002D7B6A" w:rsidRPr="009C25C1">
        <w:rPr>
          <w:rFonts w:ascii="Times New Roman" w:eastAsia="Times New Roman" w:hAnsi="Times New Roman" w:cs="Times New Roman"/>
          <w:sz w:val="28"/>
          <w:szCs w:val="28"/>
          <w:lang w:eastAsia="lv-LV"/>
        </w:rPr>
        <w:t>šādu</w:t>
      </w:r>
      <w:r w:rsidR="00FB0D9C" w:rsidRPr="009C25C1">
        <w:rPr>
          <w:rFonts w:ascii="Times New Roman" w:eastAsia="Times New Roman" w:hAnsi="Times New Roman" w:cs="Times New Roman"/>
          <w:sz w:val="28"/>
          <w:szCs w:val="28"/>
          <w:lang w:eastAsia="lv-LV"/>
        </w:rPr>
        <w:t>s</w:t>
      </w:r>
      <w:r w:rsidR="00963389" w:rsidRPr="009C25C1">
        <w:rPr>
          <w:rFonts w:ascii="Times New Roman" w:eastAsia="Times New Roman" w:hAnsi="Times New Roman" w:cs="Times New Roman"/>
          <w:sz w:val="28"/>
          <w:szCs w:val="28"/>
          <w:lang w:eastAsia="lv-LV"/>
        </w:rPr>
        <w:t xml:space="preserve"> grozījumu</w:t>
      </w:r>
      <w:r w:rsidR="00FB0D9C" w:rsidRPr="009C25C1">
        <w:rPr>
          <w:rFonts w:ascii="Times New Roman" w:eastAsia="Times New Roman" w:hAnsi="Times New Roman" w:cs="Times New Roman"/>
          <w:sz w:val="28"/>
          <w:szCs w:val="28"/>
          <w:lang w:eastAsia="lv-LV"/>
        </w:rPr>
        <w:t>s</w:t>
      </w:r>
      <w:r w:rsidR="002D7B6A" w:rsidRPr="009C25C1">
        <w:rPr>
          <w:rFonts w:ascii="Times New Roman" w:eastAsia="Times New Roman" w:hAnsi="Times New Roman" w:cs="Times New Roman"/>
          <w:sz w:val="28"/>
          <w:szCs w:val="28"/>
          <w:lang w:eastAsia="lv-LV"/>
        </w:rPr>
        <w:t>:</w:t>
      </w:r>
    </w:p>
    <w:p w:rsidR="00354386" w:rsidRPr="009C25C1" w:rsidRDefault="00354386" w:rsidP="00354386">
      <w:pPr>
        <w:spacing w:after="0" w:line="240" w:lineRule="auto"/>
        <w:ind w:firstLine="720"/>
        <w:jc w:val="both"/>
        <w:rPr>
          <w:rFonts w:ascii="Times New Roman" w:eastAsia="Times New Roman" w:hAnsi="Times New Roman" w:cs="Times New Roman"/>
          <w:sz w:val="28"/>
          <w:szCs w:val="28"/>
          <w:lang w:eastAsia="lv-LV"/>
        </w:rPr>
      </w:pPr>
    </w:p>
    <w:p w:rsidR="009741AD" w:rsidRDefault="00773FF7" w:rsidP="001A001B">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366EC">
        <w:rPr>
          <w:rFonts w:ascii="Times New Roman" w:eastAsia="Times New Roman" w:hAnsi="Times New Roman" w:cs="Times New Roman"/>
          <w:sz w:val="28"/>
          <w:szCs w:val="28"/>
          <w:lang w:eastAsia="lv-LV"/>
        </w:rPr>
        <w:t xml:space="preserve">. </w:t>
      </w:r>
      <w:r w:rsidR="003F01EB">
        <w:rPr>
          <w:rFonts w:ascii="Times New Roman" w:eastAsia="Times New Roman" w:hAnsi="Times New Roman" w:cs="Times New Roman"/>
          <w:sz w:val="28"/>
          <w:szCs w:val="28"/>
          <w:lang w:eastAsia="lv-LV"/>
        </w:rPr>
        <w:t xml:space="preserve">Izteikt noteikumu </w:t>
      </w:r>
      <w:r w:rsidR="009741AD">
        <w:rPr>
          <w:rFonts w:ascii="Times New Roman" w:eastAsia="Times New Roman" w:hAnsi="Times New Roman" w:cs="Times New Roman"/>
          <w:sz w:val="28"/>
          <w:szCs w:val="28"/>
          <w:lang w:eastAsia="lv-LV"/>
        </w:rPr>
        <w:t>13.3.</w:t>
      </w:r>
      <w:r w:rsidR="003F01EB">
        <w:rPr>
          <w:rFonts w:ascii="Times New Roman" w:eastAsia="Times New Roman" w:hAnsi="Times New Roman" w:cs="Times New Roman"/>
          <w:sz w:val="28"/>
          <w:szCs w:val="28"/>
          <w:lang w:eastAsia="lv-LV"/>
        </w:rPr>
        <w:t>1.apakšpunktu</w:t>
      </w:r>
      <w:r w:rsidR="009741AD">
        <w:rPr>
          <w:rFonts w:ascii="Times New Roman" w:eastAsia="Times New Roman" w:hAnsi="Times New Roman" w:cs="Times New Roman"/>
          <w:sz w:val="28"/>
          <w:szCs w:val="28"/>
          <w:lang w:eastAsia="lv-LV"/>
        </w:rPr>
        <w:t xml:space="preserve"> šādā redakcijā: </w:t>
      </w:r>
    </w:p>
    <w:p w:rsidR="00556032" w:rsidRDefault="009741AD" w:rsidP="00207C9A">
      <w:pPr>
        <w:spacing w:after="0" w:line="240" w:lineRule="auto"/>
        <w:ind w:firstLine="709"/>
        <w:jc w:val="both"/>
        <w:rPr>
          <w:rFonts w:ascii="Times New Roman" w:eastAsia="Times New Roman" w:hAnsi="Times New Roman" w:cs="Times New Roman"/>
          <w:sz w:val="28"/>
          <w:szCs w:val="28"/>
          <w:lang w:eastAsia="lv-LV"/>
        </w:rPr>
      </w:pPr>
      <w:r w:rsidRPr="009741AD">
        <w:rPr>
          <w:rFonts w:ascii="Times New Roman" w:eastAsia="Times New Roman" w:hAnsi="Times New Roman" w:cs="Times New Roman"/>
          <w:sz w:val="28"/>
          <w:szCs w:val="28"/>
          <w:lang w:eastAsia="lv-LV"/>
        </w:rPr>
        <w:t>„13.3.</w:t>
      </w:r>
      <w:r w:rsidR="003F01EB">
        <w:rPr>
          <w:rFonts w:ascii="Times New Roman" w:eastAsia="Times New Roman" w:hAnsi="Times New Roman" w:cs="Times New Roman"/>
          <w:sz w:val="28"/>
          <w:szCs w:val="28"/>
          <w:lang w:eastAsia="lv-LV"/>
        </w:rPr>
        <w:t>1.</w:t>
      </w:r>
      <w:r w:rsidRPr="009741AD">
        <w:rPr>
          <w:rFonts w:ascii="Times New Roman" w:eastAsia="Times New Roman" w:hAnsi="Times New Roman" w:cs="Times New Roman"/>
          <w:sz w:val="28"/>
          <w:szCs w:val="28"/>
          <w:lang w:eastAsia="lv-LV"/>
        </w:rPr>
        <w:t xml:space="preserve"> </w:t>
      </w:r>
      <w:r w:rsidR="003F01EB">
        <w:rPr>
          <w:rFonts w:ascii="Times New Roman" w:eastAsia="Times New Roman" w:hAnsi="Times New Roman" w:cs="Times New Roman"/>
          <w:sz w:val="28"/>
          <w:szCs w:val="28"/>
          <w:lang w:eastAsia="lv-LV"/>
        </w:rPr>
        <w:t>Iekšlietu ministrijas sistēmas iestāžu un Tieslietu ministrijas Ieslodzījuma vietu pārvaldes amatpersonām ar speciālajām dienesta pakāpēm, sedz pacientu iemaksas un maksu par veselības aprūpes pakalpojumiem, kurus šīm personām ir tiesības saņemt saskaņā ar iekšlietu jomu regulējošiem normatīvajiem aktiem un kurus neapmaksā no veselības aprūpei paredzētajiem valsts budžeta līdzekļiem;</w:t>
      </w:r>
      <w:r w:rsidR="00B773F5">
        <w:rPr>
          <w:rFonts w:ascii="Times New Roman" w:eastAsia="Times New Roman" w:hAnsi="Times New Roman" w:cs="Times New Roman"/>
          <w:sz w:val="28"/>
          <w:szCs w:val="28"/>
          <w:lang w:eastAsia="lv-LV"/>
        </w:rPr>
        <w:t>”</w:t>
      </w:r>
      <w:r w:rsidR="009F21FB">
        <w:rPr>
          <w:rFonts w:ascii="Times New Roman" w:eastAsia="Times New Roman" w:hAnsi="Times New Roman" w:cs="Times New Roman"/>
          <w:sz w:val="28"/>
          <w:szCs w:val="28"/>
          <w:lang w:eastAsia="lv-LV"/>
        </w:rPr>
        <w:t>;</w:t>
      </w:r>
    </w:p>
    <w:p w:rsidR="00BA1F8F" w:rsidRDefault="00773FF7" w:rsidP="00BA1F8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BA1F8F">
        <w:rPr>
          <w:rFonts w:ascii="Times New Roman" w:eastAsia="Times New Roman" w:hAnsi="Times New Roman" w:cs="Times New Roman"/>
          <w:sz w:val="28"/>
          <w:szCs w:val="28"/>
          <w:lang w:eastAsia="lv-LV"/>
        </w:rPr>
        <w:t>.</w:t>
      </w:r>
      <w:r w:rsidR="00BA1F8F">
        <w:t xml:space="preserve"> </w:t>
      </w:r>
      <w:r w:rsidR="00BA1F8F" w:rsidRPr="009F21FB">
        <w:rPr>
          <w:rFonts w:ascii="Times New Roman" w:eastAsia="Times New Roman" w:hAnsi="Times New Roman" w:cs="Times New Roman"/>
          <w:sz w:val="28"/>
          <w:szCs w:val="28"/>
          <w:lang w:eastAsia="lv-LV"/>
        </w:rPr>
        <w:t>Papildināt noteikumus ar 13.</w:t>
      </w:r>
      <w:r w:rsidR="00BA1F8F" w:rsidRPr="009F21FB">
        <w:rPr>
          <w:rFonts w:ascii="Times New Roman" w:eastAsia="Times New Roman" w:hAnsi="Times New Roman" w:cs="Times New Roman"/>
          <w:sz w:val="28"/>
          <w:szCs w:val="28"/>
          <w:vertAlign w:val="superscript"/>
          <w:lang w:eastAsia="lv-LV"/>
        </w:rPr>
        <w:t xml:space="preserve">1 </w:t>
      </w:r>
      <w:r w:rsidR="00BA1F8F" w:rsidRPr="009F21FB">
        <w:rPr>
          <w:rFonts w:ascii="Times New Roman" w:eastAsia="Times New Roman" w:hAnsi="Times New Roman" w:cs="Times New Roman"/>
          <w:sz w:val="28"/>
          <w:szCs w:val="28"/>
          <w:lang w:eastAsia="lv-LV"/>
        </w:rPr>
        <w:t xml:space="preserve">punktu šādā redakcijā: </w:t>
      </w:r>
    </w:p>
    <w:p w:rsidR="00BA1F8F" w:rsidRPr="00207C9A" w:rsidRDefault="00BA1F8F" w:rsidP="00BA1F8F">
      <w:pPr>
        <w:spacing w:after="0" w:line="240" w:lineRule="auto"/>
        <w:ind w:firstLine="709"/>
        <w:jc w:val="both"/>
        <w:rPr>
          <w:rFonts w:ascii="Times New Roman" w:eastAsia="Times New Roman" w:hAnsi="Times New Roman" w:cs="Times New Roman"/>
          <w:sz w:val="28"/>
          <w:szCs w:val="28"/>
          <w:lang w:eastAsia="lv-LV"/>
        </w:rPr>
      </w:pPr>
      <w:r w:rsidRPr="009F21FB">
        <w:rPr>
          <w:rFonts w:ascii="Times New Roman" w:eastAsia="Times New Roman" w:hAnsi="Times New Roman" w:cs="Times New Roman"/>
          <w:sz w:val="28"/>
          <w:szCs w:val="28"/>
          <w:lang w:eastAsia="lv-LV"/>
        </w:rPr>
        <w:t>„13.</w:t>
      </w:r>
      <w:r w:rsidRPr="009F21FB">
        <w:rPr>
          <w:rFonts w:ascii="Times New Roman" w:eastAsia="Times New Roman" w:hAnsi="Times New Roman" w:cs="Times New Roman"/>
          <w:sz w:val="28"/>
          <w:szCs w:val="28"/>
          <w:vertAlign w:val="superscript"/>
          <w:lang w:eastAsia="lv-LV"/>
        </w:rPr>
        <w:t>1</w:t>
      </w:r>
      <w:r w:rsidR="00E2665D">
        <w:rPr>
          <w:rFonts w:ascii="Times New Roman" w:eastAsia="Times New Roman" w:hAnsi="Times New Roman" w:cs="Times New Roman"/>
          <w:sz w:val="28"/>
          <w:szCs w:val="28"/>
          <w:lang w:eastAsia="lv-LV"/>
        </w:rPr>
        <w:t xml:space="preserve"> </w:t>
      </w:r>
      <w:r w:rsidR="00E2665D" w:rsidRPr="00E2665D">
        <w:rPr>
          <w:rFonts w:ascii="Times New Roman" w:eastAsia="Times New Roman" w:hAnsi="Times New Roman" w:cs="Times New Roman"/>
          <w:sz w:val="28"/>
          <w:szCs w:val="28"/>
          <w:lang w:eastAsia="lv-LV"/>
        </w:rPr>
        <w:t xml:space="preserve">No veselības aprūpei paredzētajiem valsts budžeta līdzekļiem patvēruma meklētājiem apmaksā šādus veselības aprūpes pakalpojumus – neatliekamo medicīnisko palīdzību, dzemdību palīdzību, zobārstniecības palīdzību akūtos gadījumos, primāro veselības aprūpi, psihiatrisko palīdzību un </w:t>
      </w:r>
      <w:r w:rsidR="003948D1">
        <w:rPr>
          <w:rFonts w:ascii="Times New Roman" w:eastAsia="Times New Roman" w:hAnsi="Times New Roman" w:cs="Times New Roman"/>
          <w:sz w:val="28"/>
          <w:szCs w:val="28"/>
          <w:lang w:eastAsia="lv-LV"/>
        </w:rPr>
        <w:t xml:space="preserve">medicīnisko </w:t>
      </w:r>
      <w:r w:rsidR="00E2665D" w:rsidRPr="00E2665D">
        <w:rPr>
          <w:rFonts w:ascii="Times New Roman" w:eastAsia="Times New Roman" w:hAnsi="Times New Roman" w:cs="Times New Roman"/>
          <w:sz w:val="28"/>
          <w:szCs w:val="28"/>
          <w:lang w:eastAsia="lv-LV"/>
        </w:rPr>
        <w:t xml:space="preserve">palīdzību </w:t>
      </w:r>
      <w:r w:rsidR="00066569">
        <w:rPr>
          <w:rFonts w:ascii="Times New Roman" w:eastAsia="Times New Roman" w:hAnsi="Times New Roman" w:cs="Times New Roman"/>
          <w:sz w:val="28"/>
          <w:szCs w:val="28"/>
          <w:lang w:eastAsia="lv-LV"/>
        </w:rPr>
        <w:t>nepilngadīgām personām</w:t>
      </w:r>
      <w:r w:rsidR="00E2665D" w:rsidRPr="00E2665D">
        <w:rPr>
          <w:rFonts w:ascii="Times New Roman" w:eastAsia="Times New Roman" w:hAnsi="Times New Roman" w:cs="Times New Roman"/>
          <w:sz w:val="28"/>
          <w:szCs w:val="28"/>
          <w:lang w:eastAsia="lv-LV"/>
        </w:rPr>
        <w:t>, kā arī Epidemioloģiskās drošības likumā noteiktos gadījumus un tuberkulozes ārstēšanai nepieciešamos medikamentus</w:t>
      </w:r>
      <w:r w:rsidRPr="009F21F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B773F5" w:rsidRDefault="00773FF7" w:rsidP="001A001B">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F366EC">
        <w:rPr>
          <w:rFonts w:ascii="Times New Roman" w:eastAsia="Times New Roman" w:hAnsi="Times New Roman" w:cs="Times New Roman"/>
          <w:sz w:val="28"/>
          <w:szCs w:val="28"/>
          <w:lang w:eastAsia="lv-LV"/>
        </w:rPr>
        <w:t xml:space="preserve">. </w:t>
      </w:r>
      <w:r w:rsidR="00B773F5">
        <w:rPr>
          <w:rFonts w:ascii="Times New Roman" w:eastAsia="Times New Roman" w:hAnsi="Times New Roman" w:cs="Times New Roman"/>
          <w:sz w:val="28"/>
          <w:szCs w:val="28"/>
          <w:lang w:eastAsia="lv-LV"/>
        </w:rPr>
        <w:t>Izteikt 360.punktu šādā redakcijā:</w:t>
      </w:r>
    </w:p>
    <w:p w:rsidR="00556032" w:rsidRDefault="00B773F5" w:rsidP="001A001B">
      <w:pPr>
        <w:spacing w:after="0" w:line="240" w:lineRule="auto"/>
        <w:ind w:firstLine="720"/>
        <w:jc w:val="both"/>
        <w:rPr>
          <w:rFonts w:ascii="Times New Roman" w:eastAsia="Times New Roman" w:hAnsi="Times New Roman" w:cs="Times New Roman"/>
          <w:sz w:val="28"/>
          <w:szCs w:val="28"/>
          <w:lang w:eastAsia="lv-LV"/>
        </w:rPr>
      </w:pPr>
      <w:r w:rsidRPr="00C854E4">
        <w:rPr>
          <w:rFonts w:ascii="Times New Roman" w:eastAsia="Times New Roman" w:hAnsi="Times New Roman" w:cs="Times New Roman"/>
          <w:sz w:val="28"/>
          <w:szCs w:val="28"/>
          <w:lang w:eastAsia="lv-LV"/>
        </w:rPr>
        <w:t>„</w:t>
      </w:r>
      <w:r w:rsidR="000E4C5D">
        <w:rPr>
          <w:rFonts w:ascii="Times New Roman" w:eastAsia="Times New Roman" w:hAnsi="Times New Roman" w:cs="Times New Roman"/>
          <w:sz w:val="28"/>
          <w:szCs w:val="28"/>
          <w:lang w:eastAsia="lv-LV"/>
        </w:rPr>
        <w:t xml:space="preserve">360. </w:t>
      </w:r>
      <w:r w:rsidR="00194F99" w:rsidRPr="00C854E4">
        <w:rPr>
          <w:rFonts w:ascii="Times New Roman" w:eastAsia="Times New Roman" w:hAnsi="Times New Roman" w:cs="Times New Roman"/>
          <w:bCs/>
          <w:sz w:val="28"/>
          <w:szCs w:val="28"/>
          <w:lang w:eastAsia="lv-LV"/>
        </w:rPr>
        <w:t>DRG</w:t>
      </w:r>
      <w:r w:rsidR="009B73C3">
        <w:rPr>
          <w:rFonts w:ascii="Times New Roman" w:eastAsia="Times New Roman" w:hAnsi="Times New Roman" w:cs="Times New Roman"/>
          <w:bCs/>
          <w:sz w:val="28"/>
          <w:szCs w:val="28"/>
          <w:lang w:eastAsia="lv-LV"/>
        </w:rPr>
        <w:t xml:space="preserve"> grupas</w:t>
      </w:r>
      <w:r w:rsidR="00194F99" w:rsidRPr="00C854E4">
        <w:rPr>
          <w:rFonts w:ascii="Times New Roman" w:eastAsia="Times New Roman" w:hAnsi="Times New Roman" w:cs="Times New Roman"/>
          <w:bCs/>
          <w:sz w:val="28"/>
          <w:szCs w:val="28"/>
          <w:lang w:eastAsia="lv-LV"/>
        </w:rPr>
        <w:t xml:space="preserve"> apmaksas sistēmas ieviešanas periodā </w:t>
      </w:r>
      <w:r w:rsidR="009B73C3">
        <w:rPr>
          <w:rFonts w:ascii="Times New Roman" w:eastAsia="Times New Roman" w:hAnsi="Times New Roman" w:cs="Times New Roman"/>
          <w:bCs/>
          <w:sz w:val="28"/>
          <w:szCs w:val="28"/>
          <w:lang w:eastAsia="lv-LV"/>
        </w:rPr>
        <w:t>d</w:t>
      </w:r>
      <w:r w:rsidR="00194F99" w:rsidRPr="00C854E4">
        <w:rPr>
          <w:rFonts w:ascii="Times New Roman" w:eastAsia="Times New Roman" w:hAnsi="Times New Roman" w:cs="Times New Roman"/>
          <w:bCs/>
          <w:sz w:val="28"/>
          <w:szCs w:val="28"/>
          <w:lang w:eastAsia="lv-LV"/>
        </w:rPr>
        <w:t xml:space="preserve">ienests līguma finanšu apmēru stacionārās veselības aprūpes pakalpojumu sniedzējiem 2016.gadam plāno iepriekšējā gada apmērā, izvērtējot iepriekšējā gada līguma izpildi, rindu garumu, veselības aprūpes pakalpojumu pieejamību, kā arī veic korekcijas par apjomu, kas nepieciešams hemodialīzes, </w:t>
      </w:r>
      <w:proofErr w:type="spellStart"/>
      <w:r w:rsidR="00194F99" w:rsidRPr="00C854E4">
        <w:rPr>
          <w:rFonts w:ascii="Times New Roman" w:eastAsia="Times New Roman" w:hAnsi="Times New Roman" w:cs="Times New Roman"/>
          <w:bCs/>
          <w:sz w:val="28"/>
          <w:szCs w:val="28"/>
          <w:lang w:eastAsia="lv-LV"/>
        </w:rPr>
        <w:t>hemofiltrācijas</w:t>
      </w:r>
      <w:proofErr w:type="spellEnd"/>
      <w:r w:rsidR="00194F99" w:rsidRPr="00C854E4">
        <w:rPr>
          <w:rFonts w:ascii="Times New Roman" w:eastAsia="Times New Roman" w:hAnsi="Times New Roman" w:cs="Times New Roman"/>
          <w:bCs/>
          <w:sz w:val="28"/>
          <w:szCs w:val="28"/>
          <w:lang w:eastAsia="lv-LV"/>
        </w:rPr>
        <w:t xml:space="preserve"> un trombolītisko līdzekļu apmaksai atbilstoši faktiski sniegtajam apjomam, un kompensējuma maksājumam par DRG</w:t>
      </w:r>
      <w:r w:rsidR="009B73C3">
        <w:rPr>
          <w:rFonts w:ascii="Times New Roman" w:eastAsia="Times New Roman" w:hAnsi="Times New Roman" w:cs="Times New Roman"/>
          <w:bCs/>
          <w:sz w:val="28"/>
          <w:szCs w:val="28"/>
          <w:lang w:eastAsia="lv-LV"/>
        </w:rPr>
        <w:t xml:space="preserve"> grupas</w:t>
      </w:r>
      <w:r w:rsidR="00194F99" w:rsidRPr="00C854E4">
        <w:rPr>
          <w:rFonts w:ascii="Times New Roman" w:eastAsia="Times New Roman" w:hAnsi="Times New Roman" w:cs="Times New Roman"/>
          <w:bCs/>
          <w:sz w:val="28"/>
          <w:szCs w:val="28"/>
          <w:lang w:eastAsia="lv-LV"/>
        </w:rPr>
        <w:t xml:space="preserve"> grupas programmas ieviešanu </w:t>
      </w:r>
      <w:r w:rsidR="00194F99" w:rsidRPr="00C854E4">
        <w:rPr>
          <w:rFonts w:ascii="Times New Roman" w:eastAsia="Times New Roman" w:hAnsi="Times New Roman" w:cs="Times New Roman"/>
          <w:bCs/>
          <w:sz w:val="28"/>
          <w:szCs w:val="28"/>
          <w:lang w:eastAsia="lv-LV"/>
        </w:rPr>
        <w:lastRenderedPageBreak/>
        <w:t>piemēro attiecīgo koeficientu, lai iekļautos likumā par valsts budžetu kārtējam gada</w:t>
      </w:r>
      <w:r w:rsidR="00C854E4">
        <w:rPr>
          <w:rFonts w:ascii="Times New Roman" w:eastAsia="Times New Roman" w:hAnsi="Times New Roman" w:cs="Times New Roman"/>
          <w:bCs/>
          <w:sz w:val="28"/>
          <w:szCs w:val="28"/>
          <w:lang w:eastAsia="lv-LV"/>
        </w:rPr>
        <w:t>m noteiktajā finansējuma apjomā.</w:t>
      </w:r>
      <w:r w:rsidR="00082A85">
        <w:rPr>
          <w:rFonts w:ascii="Times New Roman" w:eastAsia="Times New Roman" w:hAnsi="Times New Roman" w:cs="Times New Roman"/>
          <w:sz w:val="28"/>
          <w:szCs w:val="28"/>
          <w:lang w:eastAsia="lv-LV"/>
        </w:rPr>
        <w:t>”</w:t>
      </w:r>
      <w:r w:rsidR="00082A85" w:rsidRPr="00473AFC">
        <w:rPr>
          <w:rFonts w:ascii="Times New Roman" w:eastAsia="Times New Roman" w:hAnsi="Times New Roman" w:cs="Times New Roman"/>
          <w:sz w:val="28"/>
          <w:szCs w:val="28"/>
          <w:lang w:eastAsia="lv-LV"/>
        </w:rPr>
        <w:t>;</w:t>
      </w:r>
    </w:p>
    <w:p w:rsidR="00E7799C" w:rsidRDefault="00441EE9" w:rsidP="00C545EA">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3C7C4C">
        <w:rPr>
          <w:rFonts w:ascii="Times New Roman" w:eastAsia="Times New Roman" w:hAnsi="Times New Roman" w:cs="Times New Roman"/>
          <w:sz w:val="28"/>
          <w:szCs w:val="28"/>
          <w:lang w:eastAsia="lv-LV"/>
        </w:rPr>
        <w:t>.</w:t>
      </w:r>
      <w:r w:rsidR="00C545EA">
        <w:rPr>
          <w:rFonts w:ascii="Times New Roman" w:eastAsia="Times New Roman" w:hAnsi="Times New Roman" w:cs="Times New Roman"/>
          <w:sz w:val="28"/>
          <w:szCs w:val="28"/>
          <w:lang w:eastAsia="lv-LV"/>
        </w:rPr>
        <w:t xml:space="preserve"> </w:t>
      </w:r>
      <w:r w:rsidR="00E7799C">
        <w:rPr>
          <w:rFonts w:ascii="Times New Roman" w:eastAsia="Times New Roman" w:hAnsi="Times New Roman" w:cs="Times New Roman"/>
          <w:sz w:val="28"/>
          <w:szCs w:val="28"/>
          <w:lang w:eastAsia="lv-LV"/>
        </w:rPr>
        <w:t>Izteikt 3.pielikuma 2.1.28.2.apakšpunktu šādā redakcijā:</w:t>
      </w:r>
    </w:p>
    <w:tbl>
      <w:tblPr>
        <w:tblStyle w:val="TableGrid"/>
        <w:tblW w:w="4884" w:type="pct"/>
        <w:tblInd w:w="108" w:type="dxa"/>
        <w:tblLayout w:type="fixed"/>
        <w:tblLook w:val="04A0"/>
      </w:tblPr>
      <w:tblGrid>
        <w:gridCol w:w="789"/>
        <w:gridCol w:w="2610"/>
        <w:gridCol w:w="1347"/>
        <w:gridCol w:w="3007"/>
        <w:gridCol w:w="1319"/>
      </w:tblGrid>
      <w:tr w:rsidR="00E7799C" w:rsidRPr="00172819" w:rsidTr="005E1E9A">
        <w:tc>
          <w:tcPr>
            <w:tcW w:w="789" w:type="dxa"/>
            <w:hideMark/>
          </w:tcPr>
          <w:p w:rsidR="00E7799C" w:rsidRPr="00E7799C" w:rsidRDefault="00E7799C" w:rsidP="008A7E4C">
            <w:pPr>
              <w:rPr>
                <w:rFonts w:ascii="Times New Roman" w:hAnsi="Times New Roman" w:cs="Times New Roman"/>
                <w:sz w:val="28"/>
              </w:rPr>
            </w:pPr>
            <w:r>
              <w:rPr>
                <w:rFonts w:ascii="Times New Roman" w:hAnsi="Times New Roman" w:cs="Times New Roman"/>
                <w:sz w:val="28"/>
              </w:rPr>
              <w:t>„</w:t>
            </w:r>
            <w:r w:rsidRPr="00E7799C">
              <w:rPr>
                <w:rFonts w:ascii="Times New Roman" w:hAnsi="Times New Roman" w:cs="Times New Roman"/>
                <w:sz w:val="28"/>
              </w:rPr>
              <w:t>2.1.28.2.</w:t>
            </w:r>
          </w:p>
        </w:tc>
        <w:tc>
          <w:tcPr>
            <w:tcW w:w="2610" w:type="dxa"/>
            <w:hideMark/>
          </w:tcPr>
          <w:p w:rsidR="00E7799C" w:rsidRPr="00E7799C" w:rsidRDefault="00E7799C" w:rsidP="008A7E4C">
            <w:pPr>
              <w:rPr>
                <w:rFonts w:ascii="Times New Roman" w:hAnsi="Times New Roman" w:cs="Times New Roman"/>
                <w:sz w:val="28"/>
              </w:rPr>
            </w:pPr>
            <w:r w:rsidRPr="00E7799C">
              <w:rPr>
                <w:rFonts w:ascii="Times New Roman" w:hAnsi="Times New Roman" w:cs="Times New Roman"/>
                <w:sz w:val="28"/>
              </w:rPr>
              <w:t xml:space="preserve">revīzijas endoprotēžu implantēšana, </w:t>
            </w:r>
            <w:proofErr w:type="spellStart"/>
            <w:r w:rsidRPr="00E7799C">
              <w:rPr>
                <w:rFonts w:ascii="Times New Roman" w:hAnsi="Times New Roman" w:cs="Times New Roman"/>
                <w:sz w:val="28"/>
              </w:rPr>
              <w:t>endoprotezēšana</w:t>
            </w:r>
            <w:proofErr w:type="spellEnd"/>
            <w:r w:rsidRPr="00E7799C">
              <w:rPr>
                <w:rFonts w:ascii="Times New Roman" w:hAnsi="Times New Roman" w:cs="Times New Roman"/>
                <w:sz w:val="28"/>
              </w:rPr>
              <w:t xml:space="preserve"> </w:t>
            </w:r>
            <w:proofErr w:type="spellStart"/>
            <w:r w:rsidRPr="00E7799C">
              <w:rPr>
                <w:rFonts w:ascii="Times New Roman" w:hAnsi="Times New Roman" w:cs="Times New Roman"/>
                <w:sz w:val="28"/>
              </w:rPr>
              <w:t>osteomielīta</w:t>
            </w:r>
            <w:proofErr w:type="spellEnd"/>
            <w:r w:rsidRPr="00E7799C">
              <w:rPr>
                <w:rFonts w:ascii="Times New Roman" w:hAnsi="Times New Roman" w:cs="Times New Roman"/>
                <w:sz w:val="28"/>
              </w:rPr>
              <w:t xml:space="preserve"> un onkoloģijas pacientiem (bez implanta vērtības) </w:t>
            </w:r>
          </w:p>
        </w:tc>
        <w:tc>
          <w:tcPr>
            <w:tcW w:w="1347" w:type="dxa"/>
            <w:hideMark/>
          </w:tcPr>
          <w:p w:rsidR="00E7799C" w:rsidRPr="00E7799C" w:rsidRDefault="00E7799C" w:rsidP="008A7E4C">
            <w:pPr>
              <w:rPr>
                <w:rFonts w:ascii="Times New Roman" w:hAnsi="Times New Roman" w:cs="Times New Roman"/>
                <w:sz w:val="28"/>
              </w:rPr>
            </w:pPr>
            <w:r w:rsidRPr="00E7799C">
              <w:rPr>
                <w:rFonts w:ascii="Times New Roman" w:hAnsi="Times New Roman" w:cs="Times New Roman"/>
                <w:sz w:val="28"/>
              </w:rPr>
              <w:t> </w:t>
            </w:r>
          </w:p>
        </w:tc>
        <w:tc>
          <w:tcPr>
            <w:tcW w:w="3007" w:type="dxa"/>
            <w:hideMark/>
          </w:tcPr>
          <w:p w:rsidR="00E7799C" w:rsidRPr="00E7799C" w:rsidRDefault="00E7799C" w:rsidP="008A7E4C">
            <w:pPr>
              <w:rPr>
                <w:rFonts w:ascii="Times New Roman" w:hAnsi="Times New Roman" w:cs="Times New Roman"/>
                <w:sz w:val="28"/>
              </w:rPr>
            </w:pPr>
            <w:r w:rsidRPr="00E7799C">
              <w:rPr>
                <w:rFonts w:ascii="Times New Roman" w:hAnsi="Times New Roman" w:cs="Times New Roman"/>
                <w:sz w:val="28"/>
              </w:rPr>
              <w:t>D48; C40.0-C40.9; C41.8, C41.9; C76.4; C76.5; C76.7; C79.5;C79.8; M06.8; M16.0-M16.9; M17.0-M17.9; M84.0; M84.1; M84.4; M87.0; M96.0; M96.6; S72; S82; T02.6; T84.0; T84.1; T84.5, T84.8</w:t>
            </w:r>
          </w:p>
        </w:tc>
        <w:tc>
          <w:tcPr>
            <w:tcW w:w="1319" w:type="dxa"/>
            <w:hideMark/>
          </w:tcPr>
          <w:p w:rsidR="00E7799C" w:rsidRPr="00E7799C" w:rsidRDefault="00E7799C" w:rsidP="008A7E4C">
            <w:pPr>
              <w:rPr>
                <w:rFonts w:ascii="Times New Roman" w:hAnsi="Times New Roman" w:cs="Times New Roman"/>
                <w:sz w:val="28"/>
              </w:rPr>
            </w:pPr>
            <w:r w:rsidRPr="00E7799C">
              <w:rPr>
                <w:rFonts w:ascii="Times New Roman" w:hAnsi="Times New Roman" w:cs="Times New Roman"/>
                <w:sz w:val="28"/>
              </w:rPr>
              <w:t>20240; 20241; 20242</w:t>
            </w:r>
            <w:r>
              <w:rPr>
                <w:rFonts w:ascii="Times New Roman" w:hAnsi="Times New Roman" w:cs="Times New Roman"/>
                <w:sz w:val="28"/>
              </w:rPr>
              <w:t>”</w:t>
            </w:r>
          </w:p>
        </w:tc>
      </w:tr>
    </w:tbl>
    <w:p w:rsidR="00E7799C" w:rsidRPr="00E7799C" w:rsidRDefault="00441EE9" w:rsidP="00C545EA">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C7C4C">
        <w:rPr>
          <w:rFonts w:ascii="Times New Roman" w:eastAsia="Times New Roman" w:hAnsi="Times New Roman" w:cs="Times New Roman"/>
          <w:sz w:val="28"/>
          <w:szCs w:val="28"/>
          <w:lang w:eastAsia="lv-LV"/>
        </w:rPr>
        <w:t>.</w:t>
      </w:r>
      <w:r w:rsidR="00C545EA">
        <w:rPr>
          <w:rFonts w:ascii="Times New Roman" w:eastAsia="Times New Roman" w:hAnsi="Times New Roman" w:cs="Times New Roman"/>
          <w:sz w:val="28"/>
          <w:szCs w:val="28"/>
          <w:lang w:eastAsia="lv-LV"/>
        </w:rPr>
        <w:t xml:space="preserve"> </w:t>
      </w:r>
      <w:r w:rsidR="00E7799C">
        <w:rPr>
          <w:rFonts w:ascii="Times New Roman" w:eastAsia="Times New Roman" w:hAnsi="Times New Roman" w:cs="Times New Roman"/>
          <w:sz w:val="28"/>
          <w:szCs w:val="28"/>
          <w:lang w:eastAsia="lv-LV"/>
        </w:rPr>
        <w:t>Izteikt 3.pielikuma 2.1.41.apakšpunktu šādā redakcijā:</w:t>
      </w:r>
    </w:p>
    <w:tbl>
      <w:tblPr>
        <w:tblStyle w:val="TableGrid"/>
        <w:tblW w:w="4970" w:type="pct"/>
        <w:tblInd w:w="28" w:type="dxa"/>
        <w:tblLayout w:type="fixed"/>
        <w:tblCellMar>
          <w:left w:w="28" w:type="dxa"/>
          <w:right w:w="28" w:type="dxa"/>
        </w:tblCellMar>
        <w:tblLook w:val="04A0"/>
      </w:tblPr>
      <w:tblGrid>
        <w:gridCol w:w="983"/>
        <w:gridCol w:w="1550"/>
        <w:gridCol w:w="1123"/>
        <w:gridCol w:w="2266"/>
        <w:gridCol w:w="3150"/>
      </w:tblGrid>
      <w:tr w:rsidR="00E7799C" w:rsidRPr="00090722" w:rsidTr="005E1E9A">
        <w:tc>
          <w:tcPr>
            <w:tcW w:w="541" w:type="pct"/>
            <w:hideMark/>
          </w:tcPr>
          <w:p w:rsidR="00E7799C" w:rsidRPr="00090722" w:rsidRDefault="00E7799C" w:rsidP="008A7E4C">
            <w:pPr>
              <w:jc w:val="center"/>
              <w:rPr>
                <w:rFonts w:ascii="Times New Roman" w:hAnsi="Times New Roman" w:cs="Times New Roman"/>
                <w:sz w:val="28"/>
              </w:rPr>
            </w:pPr>
            <w:r>
              <w:rPr>
                <w:rFonts w:ascii="Times New Roman" w:hAnsi="Times New Roman" w:cs="Times New Roman"/>
                <w:sz w:val="28"/>
              </w:rPr>
              <w:t>„</w:t>
            </w:r>
            <w:r w:rsidRPr="00090722">
              <w:rPr>
                <w:rFonts w:ascii="Times New Roman" w:hAnsi="Times New Roman" w:cs="Times New Roman"/>
                <w:sz w:val="28"/>
              </w:rPr>
              <w:t>2.1.41.</w:t>
            </w:r>
          </w:p>
        </w:tc>
        <w:tc>
          <w:tcPr>
            <w:tcW w:w="854" w:type="pct"/>
            <w:hideMark/>
          </w:tcPr>
          <w:p w:rsidR="00E7799C" w:rsidRPr="00090722" w:rsidRDefault="00E7799C" w:rsidP="008A7E4C">
            <w:pPr>
              <w:rPr>
                <w:rFonts w:ascii="Times New Roman" w:hAnsi="Times New Roman" w:cs="Times New Roman"/>
                <w:sz w:val="28"/>
              </w:rPr>
            </w:pPr>
            <w:proofErr w:type="spellStart"/>
            <w:r w:rsidRPr="00090722">
              <w:rPr>
                <w:rFonts w:ascii="Times New Roman" w:hAnsi="Times New Roman" w:cs="Times New Roman"/>
                <w:sz w:val="28"/>
              </w:rPr>
              <w:t>Osteomielīts</w:t>
            </w:r>
            <w:proofErr w:type="spellEnd"/>
          </w:p>
        </w:tc>
        <w:tc>
          <w:tcPr>
            <w:tcW w:w="619" w:type="pct"/>
            <w:hideMark/>
          </w:tcPr>
          <w:p w:rsidR="00E7799C" w:rsidRPr="00090722" w:rsidRDefault="00E7799C" w:rsidP="008A7E4C">
            <w:pPr>
              <w:rPr>
                <w:rFonts w:ascii="Times New Roman" w:hAnsi="Times New Roman" w:cs="Times New Roman"/>
                <w:sz w:val="28"/>
                <w:szCs w:val="20"/>
              </w:rPr>
            </w:pPr>
          </w:p>
        </w:tc>
        <w:tc>
          <w:tcPr>
            <w:tcW w:w="1249" w:type="pct"/>
            <w:hideMark/>
          </w:tcPr>
          <w:p w:rsidR="00E7799C" w:rsidRPr="00090722" w:rsidRDefault="00E7799C" w:rsidP="008A7E4C">
            <w:pPr>
              <w:rPr>
                <w:rFonts w:ascii="Times New Roman" w:hAnsi="Times New Roman" w:cs="Times New Roman"/>
                <w:sz w:val="28"/>
              </w:rPr>
            </w:pPr>
            <w:r w:rsidRPr="00090722">
              <w:rPr>
                <w:rFonts w:ascii="Times New Roman" w:hAnsi="Times New Roman" w:cs="Times New Roman"/>
                <w:sz w:val="28"/>
              </w:rPr>
              <w:t>M86; T84.5-T84.7</w:t>
            </w:r>
          </w:p>
        </w:tc>
        <w:tc>
          <w:tcPr>
            <w:tcW w:w="1736" w:type="pct"/>
            <w:hideMark/>
          </w:tcPr>
          <w:p w:rsidR="00E7799C" w:rsidRPr="00090722" w:rsidRDefault="00E7799C" w:rsidP="008A7E4C">
            <w:pPr>
              <w:rPr>
                <w:rFonts w:ascii="Times New Roman" w:hAnsi="Times New Roman" w:cs="Times New Roman"/>
                <w:sz w:val="28"/>
              </w:rPr>
            </w:pPr>
            <w:r w:rsidRPr="00090722">
              <w:rPr>
                <w:rFonts w:ascii="Times New Roman" w:hAnsi="Times New Roman" w:cs="Times New Roman"/>
                <w:sz w:val="28"/>
              </w:rPr>
              <w:t>20043; 20128; 20140; 20147; 20159; 20201; 20204; 20206; 20209; 20210; 20212; 20215; 20218; 20263; 20264; 20281</w:t>
            </w:r>
            <w:r>
              <w:rPr>
                <w:rFonts w:ascii="Times New Roman" w:hAnsi="Times New Roman" w:cs="Times New Roman"/>
                <w:sz w:val="28"/>
              </w:rPr>
              <w:t>”</w:t>
            </w:r>
          </w:p>
        </w:tc>
      </w:tr>
    </w:tbl>
    <w:p w:rsidR="008A7E4C" w:rsidRDefault="00441EE9" w:rsidP="00C545EA">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C7C4C">
        <w:rPr>
          <w:rFonts w:ascii="Times New Roman" w:eastAsia="Times New Roman" w:hAnsi="Times New Roman" w:cs="Times New Roman"/>
          <w:sz w:val="28"/>
          <w:szCs w:val="28"/>
          <w:lang w:eastAsia="lv-LV"/>
        </w:rPr>
        <w:t>.</w:t>
      </w:r>
      <w:r w:rsidR="00C545EA">
        <w:rPr>
          <w:rFonts w:ascii="Times New Roman" w:eastAsia="Times New Roman" w:hAnsi="Times New Roman" w:cs="Times New Roman"/>
          <w:sz w:val="28"/>
          <w:szCs w:val="28"/>
          <w:lang w:eastAsia="lv-LV"/>
        </w:rPr>
        <w:t xml:space="preserve"> </w:t>
      </w:r>
      <w:r w:rsidR="008A7E4C">
        <w:rPr>
          <w:rFonts w:ascii="Times New Roman" w:eastAsia="Times New Roman" w:hAnsi="Times New Roman" w:cs="Times New Roman"/>
          <w:sz w:val="28"/>
          <w:szCs w:val="28"/>
          <w:lang w:eastAsia="lv-LV"/>
        </w:rPr>
        <w:t>Izteikt 3.pielikuma 3.2.28.2.apakšpunktu šādā redakcijā:</w:t>
      </w:r>
    </w:p>
    <w:tbl>
      <w:tblPr>
        <w:tblStyle w:val="TableGrid"/>
        <w:tblW w:w="9214" w:type="dxa"/>
        <w:tblInd w:w="108" w:type="dxa"/>
        <w:tblLayout w:type="fixed"/>
        <w:tblLook w:val="04A0"/>
      </w:tblPr>
      <w:tblGrid>
        <w:gridCol w:w="688"/>
        <w:gridCol w:w="5174"/>
        <w:gridCol w:w="237"/>
        <w:gridCol w:w="237"/>
        <w:gridCol w:w="237"/>
        <w:gridCol w:w="237"/>
        <w:gridCol w:w="237"/>
        <w:gridCol w:w="738"/>
        <w:gridCol w:w="237"/>
        <w:gridCol w:w="237"/>
        <w:gridCol w:w="237"/>
        <w:gridCol w:w="237"/>
        <w:gridCol w:w="237"/>
        <w:gridCol w:w="244"/>
      </w:tblGrid>
      <w:tr w:rsidR="008A7E4C" w:rsidRPr="00172819" w:rsidTr="005E1E9A">
        <w:trPr>
          <w:trHeight w:val="1387"/>
        </w:trPr>
        <w:tc>
          <w:tcPr>
            <w:tcW w:w="688"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„3.2.28.2.</w:t>
            </w:r>
          </w:p>
        </w:tc>
        <w:tc>
          <w:tcPr>
            <w:tcW w:w="5174"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xml:space="preserve">revīzijas endoprotēžu implantēšana, </w:t>
            </w:r>
            <w:proofErr w:type="spellStart"/>
            <w:r w:rsidRPr="008A7E4C">
              <w:rPr>
                <w:rFonts w:ascii="Times New Roman" w:hAnsi="Times New Roman" w:cs="Times New Roman"/>
                <w:sz w:val="28"/>
                <w:szCs w:val="28"/>
              </w:rPr>
              <w:t>endoprotezēšana</w:t>
            </w:r>
            <w:proofErr w:type="spellEnd"/>
            <w:r w:rsidRPr="008A7E4C">
              <w:rPr>
                <w:rFonts w:ascii="Times New Roman" w:hAnsi="Times New Roman" w:cs="Times New Roman"/>
                <w:sz w:val="28"/>
                <w:szCs w:val="28"/>
              </w:rPr>
              <w:t xml:space="preserve"> </w:t>
            </w:r>
            <w:proofErr w:type="spellStart"/>
            <w:r w:rsidRPr="008A7E4C">
              <w:rPr>
                <w:rFonts w:ascii="Times New Roman" w:hAnsi="Times New Roman" w:cs="Times New Roman"/>
                <w:sz w:val="28"/>
                <w:szCs w:val="28"/>
              </w:rPr>
              <w:t>osteomielīta</w:t>
            </w:r>
            <w:proofErr w:type="spellEnd"/>
            <w:r w:rsidRPr="008A7E4C">
              <w:rPr>
                <w:rFonts w:ascii="Times New Roman" w:hAnsi="Times New Roman" w:cs="Times New Roman"/>
                <w:sz w:val="28"/>
                <w:szCs w:val="28"/>
              </w:rPr>
              <w:t xml:space="preserve"> un onkoloģijas pacientiem (bez implanta vērtības)</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738" w:type="dxa"/>
            <w:hideMark/>
          </w:tcPr>
          <w:p w:rsidR="008A7E4C" w:rsidRPr="008A7E4C" w:rsidRDefault="008A7E4C" w:rsidP="008A7E4C">
            <w:pPr>
              <w:jc w:val="center"/>
              <w:rPr>
                <w:rFonts w:ascii="Times New Roman" w:hAnsi="Times New Roman" w:cs="Times New Roman"/>
                <w:sz w:val="28"/>
                <w:szCs w:val="28"/>
              </w:rPr>
            </w:pPr>
            <w:r w:rsidRPr="008A7E4C">
              <w:rPr>
                <w:rFonts w:ascii="Times New Roman" w:hAnsi="Times New Roman" w:cs="Times New Roman"/>
                <w:sz w:val="28"/>
                <w:szCs w:val="28"/>
              </w:rPr>
              <w:t>1951,97</w:t>
            </w:r>
          </w:p>
        </w:tc>
        <w:tc>
          <w:tcPr>
            <w:tcW w:w="237" w:type="dxa"/>
            <w:hideMark/>
          </w:tcPr>
          <w:p w:rsidR="008A7E4C" w:rsidRPr="008A7E4C" w:rsidRDefault="008A7E4C" w:rsidP="008A7E4C">
            <w:pPr>
              <w:jc w:val="cente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37"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c>
          <w:tcPr>
            <w:tcW w:w="244" w:type="dxa"/>
            <w:hideMark/>
          </w:tcPr>
          <w:p w:rsidR="008A7E4C" w:rsidRPr="008A7E4C" w:rsidRDefault="008A7E4C" w:rsidP="008A7E4C">
            <w:pPr>
              <w:rPr>
                <w:rFonts w:ascii="Times New Roman" w:hAnsi="Times New Roman" w:cs="Times New Roman"/>
                <w:sz w:val="28"/>
                <w:szCs w:val="28"/>
              </w:rPr>
            </w:pPr>
            <w:r w:rsidRPr="008A7E4C">
              <w:rPr>
                <w:rFonts w:ascii="Times New Roman" w:hAnsi="Times New Roman" w:cs="Times New Roman"/>
                <w:sz w:val="28"/>
                <w:szCs w:val="28"/>
              </w:rPr>
              <w:t> „</w:t>
            </w:r>
          </w:p>
        </w:tc>
      </w:tr>
    </w:tbl>
    <w:p w:rsidR="008A7E4C" w:rsidRDefault="00441EE9" w:rsidP="00C545EA">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3C7C4C">
        <w:rPr>
          <w:rFonts w:ascii="Times New Roman" w:eastAsia="Times New Roman" w:hAnsi="Times New Roman" w:cs="Times New Roman"/>
          <w:sz w:val="28"/>
          <w:szCs w:val="28"/>
          <w:lang w:eastAsia="lv-LV"/>
        </w:rPr>
        <w:t>.</w:t>
      </w:r>
      <w:r w:rsidR="00C545EA">
        <w:rPr>
          <w:rFonts w:ascii="Times New Roman" w:eastAsia="Times New Roman" w:hAnsi="Times New Roman" w:cs="Times New Roman"/>
          <w:sz w:val="28"/>
          <w:szCs w:val="28"/>
          <w:lang w:eastAsia="lv-LV"/>
        </w:rPr>
        <w:t xml:space="preserve"> </w:t>
      </w:r>
      <w:r w:rsidR="008A7E4C">
        <w:rPr>
          <w:rFonts w:ascii="Times New Roman" w:eastAsia="Times New Roman" w:hAnsi="Times New Roman" w:cs="Times New Roman"/>
          <w:sz w:val="28"/>
          <w:szCs w:val="28"/>
          <w:lang w:eastAsia="lv-LV"/>
        </w:rPr>
        <w:t xml:space="preserve">Izteikt 16.pielikuma </w:t>
      </w:r>
      <w:r w:rsidR="00C23488">
        <w:rPr>
          <w:rFonts w:ascii="Times New Roman" w:eastAsia="Times New Roman" w:hAnsi="Times New Roman" w:cs="Times New Roman"/>
          <w:sz w:val="28"/>
          <w:szCs w:val="28"/>
          <w:lang w:eastAsia="lv-LV"/>
        </w:rPr>
        <w:t xml:space="preserve">1179. </w:t>
      </w:r>
      <w:r w:rsidR="00D67C92">
        <w:rPr>
          <w:rFonts w:ascii="Times New Roman" w:eastAsia="Times New Roman" w:hAnsi="Times New Roman" w:cs="Times New Roman"/>
          <w:sz w:val="28"/>
          <w:szCs w:val="28"/>
          <w:lang w:eastAsia="lv-LV"/>
        </w:rPr>
        <w:t>u</w:t>
      </w:r>
      <w:r w:rsidR="00C23488">
        <w:rPr>
          <w:rFonts w:ascii="Times New Roman" w:eastAsia="Times New Roman" w:hAnsi="Times New Roman" w:cs="Times New Roman"/>
          <w:sz w:val="28"/>
          <w:szCs w:val="28"/>
          <w:lang w:eastAsia="lv-LV"/>
        </w:rPr>
        <w:t>n 1180.punktu šādā redakcijā:</w:t>
      </w:r>
    </w:p>
    <w:tbl>
      <w:tblPr>
        <w:tblStyle w:val="TableGrid"/>
        <w:tblW w:w="4985" w:type="pct"/>
        <w:tblLayout w:type="fixed"/>
        <w:tblCellMar>
          <w:left w:w="28" w:type="dxa"/>
          <w:right w:w="28" w:type="dxa"/>
        </w:tblCellMar>
        <w:tblLook w:val="04A0"/>
      </w:tblPr>
      <w:tblGrid>
        <w:gridCol w:w="988"/>
        <w:gridCol w:w="1225"/>
        <w:gridCol w:w="5808"/>
        <w:gridCol w:w="1079"/>
      </w:tblGrid>
      <w:tr w:rsidR="00C23488" w:rsidRPr="00B801C5" w:rsidTr="005E1E9A">
        <w:tc>
          <w:tcPr>
            <w:tcW w:w="54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„1179.</w:t>
            </w:r>
          </w:p>
        </w:tc>
        <w:tc>
          <w:tcPr>
            <w:tcW w:w="67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20241*</w:t>
            </w:r>
          </w:p>
        </w:tc>
        <w:tc>
          <w:tcPr>
            <w:tcW w:w="3191" w:type="pct"/>
            <w:hideMark/>
          </w:tcPr>
          <w:p w:rsidR="00C23488" w:rsidRPr="00C23488" w:rsidRDefault="00C23488" w:rsidP="00F366EC">
            <w:pPr>
              <w:rPr>
                <w:rFonts w:ascii="Times New Roman" w:hAnsi="Times New Roman" w:cs="Times New Roman"/>
                <w:sz w:val="28"/>
              </w:rPr>
            </w:pPr>
            <w:proofErr w:type="spellStart"/>
            <w:r w:rsidRPr="00C23488">
              <w:rPr>
                <w:rFonts w:ascii="Times New Roman" w:hAnsi="Times New Roman" w:cs="Times New Roman"/>
                <w:sz w:val="28"/>
              </w:rPr>
              <w:t>Bezcementa</w:t>
            </w:r>
            <w:proofErr w:type="spellEnd"/>
            <w:r w:rsidRPr="00C23488">
              <w:rPr>
                <w:rFonts w:ascii="Times New Roman" w:hAnsi="Times New Roman" w:cs="Times New Roman"/>
                <w:sz w:val="28"/>
              </w:rPr>
              <w:t xml:space="preserve"> gūžas locītavas revīzijas endoprotēzes implantēšana (bez protēzes vērtības)</w:t>
            </w:r>
          </w:p>
        </w:tc>
        <w:tc>
          <w:tcPr>
            <w:tcW w:w="59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343.87</w:t>
            </w:r>
          </w:p>
        </w:tc>
      </w:tr>
      <w:tr w:rsidR="00C23488" w:rsidRPr="00B801C5" w:rsidTr="005E1E9A">
        <w:tc>
          <w:tcPr>
            <w:tcW w:w="54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1180.</w:t>
            </w:r>
          </w:p>
        </w:tc>
        <w:tc>
          <w:tcPr>
            <w:tcW w:w="67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20242*</w:t>
            </w:r>
          </w:p>
        </w:tc>
        <w:tc>
          <w:tcPr>
            <w:tcW w:w="3191" w:type="pct"/>
            <w:hideMark/>
          </w:tcPr>
          <w:p w:rsidR="00C23488" w:rsidRPr="00C23488" w:rsidRDefault="00C23488" w:rsidP="00F366EC">
            <w:pPr>
              <w:rPr>
                <w:rFonts w:ascii="Times New Roman" w:hAnsi="Times New Roman" w:cs="Times New Roman"/>
                <w:sz w:val="28"/>
              </w:rPr>
            </w:pPr>
            <w:r w:rsidRPr="00C23488">
              <w:rPr>
                <w:rFonts w:ascii="Times New Roman" w:hAnsi="Times New Roman" w:cs="Times New Roman"/>
                <w:sz w:val="28"/>
              </w:rPr>
              <w:t>Ceļa locītavas revīzijas endoprotēzes implantēšana (bez protēzes vērtības)</w:t>
            </w:r>
          </w:p>
        </w:tc>
        <w:tc>
          <w:tcPr>
            <w:tcW w:w="593" w:type="pct"/>
            <w:hideMark/>
          </w:tcPr>
          <w:p w:rsidR="00C23488" w:rsidRPr="00C23488" w:rsidRDefault="00C23488" w:rsidP="00F366EC">
            <w:pPr>
              <w:jc w:val="center"/>
              <w:rPr>
                <w:rFonts w:ascii="Times New Roman" w:hAnsi="Times New Roman" w:cs="Times New Roman"/>
                <w:sz w:val="28"/>
              </w:rPr>
            </w:pPr>
            <w:r w:rsidRPr="00C23488">
              <w:rPr>
                <w:rFonts w:ascii="Times New Roman" w:hAnsi="Times New Roman" w:cs="Times New Roman"/>
                <w:sz w:val="28"/>
              </w:rPr>
              <w:t>412.78”</w:t>
            </w:r>
          </w:p>
        </w:tc>
      </w:tr>
    </w:tbl>
    <w:p w:rsidR="00C23488" w:rsidRDefault="00441EE9" w:rsidP="001A001B">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3C7C4C">
        <w:rPr>
          <w:rFonts w:ascii="Times New Roman" w:eastAsia="Times New Roman" w:hAnsi="Times New Roman" w:cs="Times New Roman"/>
          <w:sz w:val="28"/>
          <w:szCs w:val="28"/>
          <w:lang w:eastAsia="lv-LV"/>
        </w:rPr>
        <w:t>.</w:t>
      </w:r>
      <w:r w:rsidR="00C23488">
        <w:rPr>
          <w:rFonts w:ascii="Times New Roman" w:eastAsia="Times New Roman" w:hAnsi="Times New Roman" w:cs="Times New Roman"/>
          <w:sz w:val="28"/>
          <w:szCs w:val="28"/>
          <w:lang w:eastAsia="lv-LV"/>
        </w:rPr>
        <w:t>Izteikt 22.pielikuma 1.punktu šādā redakcijā:</w:t>
      </w:r>
    </w:p>
    <w:p w:rsidR="00C23488" w:rsidRPr="00C23488" w:rsidRDefault="00C23488" w:rsidP="001A001B">
      <w:pPr>
        <w:spacing w:after="0" w:line="240" w:lineRule="auto"/>
        <w:ind w:firstLine="709"/>
        <w:jc w:val="both"/>
        <w:rPr>
          <w:rFonts w:ascii="Times New Roman" w:eastAsia="Times New Roman" w:hAnsi="Times New Roman" w:cs="Times New Roman"/>
          <w:sz w:val="36"/>
          <w:szCs w:val="28"/>
          <w:lang w:eastAsia="lv-LV"/>
        </w:rPr>
      </w:pPr>
      <w:r w:rsidRPr="00C23488">
        <w:rPr>
          <w:rFonts w:ascii="Times New Roman" w:hAnsi="Times New Roman" w:cs="Times New Roman"/>
          <w:sz w:val="28"/>
        </w:rPr>
        <w:t xml:space="preserve">„1. Valsts sabiedrībai ar ierobežotu atbildību </w:t>
      </w:r>
      <w:r>
        <w:rPr>
          <w:rFonts w:ascii="Times New Roman" w:hAnsi="Times New Roman" w:cs="Times New Roman"/>
          <w:sz w:val="28"/>
        </w:rPr>
        <w:t>„</w:t>
      </w:r>
      <w:r w:rsidRPr="00C23488">
        <w:rPr>
          <w:rFonts w:ascii="Times New Roman" w:hAnsi="Times New Roman" w:cs="Times New Roman"/>
          <w:sz w:val="28"/>
        </w:rPr>
        <w:t>Traumatoloģijas un ortopēdijas slimnīca</w:t>
      </w:r>
      <w:r>
        <w:rPr>
          <w:rFonts w:ascii="Times New Roman" w:hAnsi="Times New Roman" w:cs="Times New Roman"/>
          <w:sz w:val="28"/>
        </w:rPr>
        <w:t>”</w:t>
      </w:r>
      <w:r w:rsidRPr="00C23488">
        <w:rPr>
          <w:rFonts w:ascii="Times New Roman" w:hAnsi="Times New Roman" w:cs="Times New Roman"/>
          <w:sz w:val="28"/>
        </w:rPr>
        <w:t xml:space="preserve"> dienests apmaksā lielo locītavu endoprotēzes, endoprotēžu daļas un implantus pacientiem, kuri ir ārstējušies pakalpojumu programmā </w:t>
      </w:r>
      <w:r>
        <w:rPr>
          <w:rFonts w:ascii="Times New Roman" w:hAnsi="Times New Roman" w:cs="Times New Roman"/>
          <w:sz w:val="28"/>
        </w:rPr>
        <w:t>„</w:t>
      </w:r>
      <w:r w:rsidRPr="00C23488">
        <w:rPr>
          <w:rFonts w:ascii="Times New Roman" w:hAnsi="Times New Roman" w:cs="Times New Roman"/>
          <w:sz w:val="28"/>
        </w:rPr>
        <w:t>Revīzi</w:t>
      </w:r>
      <w:r w:rsidR="00207C9A">
        <w:rPr>
          <w:rFonts w:ascii="Times New Roman" w:hAnsi="Times New Roman" w:cs="Times New Roman"/>
          <w:sz w:val="28"/>
        </w:rPr>
        <w:t xml:space="preserve">jas endoprotēžu implantēšana, </w:t>
      </w:r>
      <w:proofErr w:type="spellStart"/>
      <w:r w:rsidRPr="00C23488">
        <w:rPr>
          <w:rFonts w:ascii="Times New Roman" w:hAnsi="Times New Roman" w:cs="Times New Roman"/>
          <w:sz w:val="28"/>
        </w:rPr>
        <w:t>endoprotezēšana</w:t>
      </w:r>
      <w:proofErr w:type="spellEnd"/>
      <w:r w:rsidRPr="00C23488">
        <w:rPr>
          <w:rFonts w:ascii="Times New Roman" w:hAnsi="Times New Roman" w:cs="Times New Roman"/>
          <w:sz w:val="28"/>
        </w:rPr>
        <w:t xml:space="preserve"> </w:t>
      </w:r>
      <w:proofErr w:type="spellStart"/>
      <w:r w:rsidRPr="00C23488">
        <w:rPr>
          <w:rFonts w:ascii="Times New Roman" w:hAnsi="Times New Roman" w:cs="Times New Roman"/>
          <w:sz w:val="28"/>
        </w:rPr>
        <w:t>osteomielīta</w:t>
      </w:r>
      <w:proofErr w:type="spellEnd"/>
      <w:r w:rsidRPr="00C23488">
        <w:rPr>
          <w:rFonts w:ascii="Times New Roman" w:hAnsi="Times New Roman" w:cs="Times New Roman"/>
          <w:sz w:val="28"/>
        </w:rPr>
        <w:t xml:space="preserve"> un onkoloģijas pacientiem</w:t>
      </w:r>
      <w:r>
        <w:rPr>
          <w:rFonts w:ascii="Times New Roman" w:hAnsi="Times New Roman" w:cs="Times New Roman"/>
          <w:sz w:val="28"/>
        </w:rPr>
        <w:t>”</w:t>
      </w:r>
      <w:r w:rsidRPr="00C23488">
        <w:rPr>
          <w:rFonts w:ascii="Times New Roman" w:hAnsi="Times New Roman" w:cs="Times New Roman"/>
          <w:sz w:val="28"/>
        </w:rPr>
        <w:t>.”</w:t>
      </w:r>
    </w:p>
    <w:p w:rsidR="0036444A" w:rsidRDefault="0036444A" w:rsidP="001A001B">
      <w:pPr>
        <w:spacing w:after="0" w:line="240" w:lineRule="auto"/>
        <w:ind w:firstLine="709"/>
        <w:jc w:val="both"/>
        <w:rPr>
          <w:rFonts w:ascii="Times New Roman" w:eastAsia="Times New Roman" w:hAnsi="Times New Roman" w:cs="Times New Roman"/>
          <w:sz w:val="28"/>
          <w:szCs w:val="28"/>
          <w:lang w:eastAsia="lv-LV"/>
        </w:rPr>
      </w:pPr>
    </w:p>
    <w:p w:rsidR="00441EE9" w:rsidRPr="0036444A" w:rsidRDefault="00441EE9" w:rsidP="001A001B">
      <w:pPr>
        <w:spacing w:after="0" w:line="240" w:lineRule="auto"/>
        <w:ind w:firstLine="709"/>
        <w:jc w:val="both"/>
        <w:rPr>
          <w:rFonts w:ascii="Times New Roman" w:eastAsia="Times New Roman" w:hAnsi="Times New Roman" w:cs="Times New Roman"/>
          <w:sz w:val="28"/>
          <w:szCs w:val="28"/>
          <w:lang w:eastAsia="lv-LV"/>
        </w:rPr>
      </w:pPr>
    </w:p>
    <w:p w:rsidR="00EC22E8" w:rsidRPr="009C25C1" w:rsidRDefault="00EC22E8" w:rsidP="00EC22E8">
      <w:pPr>
        <w:spacing w:after="480" w:line="240" w:lineRule="auto"/>
        <w:ind w:right="-766"/>
        <w:rPr>
          <w:rFonts w:ascii="Times New Roman" w:eastAsia="Calibri" w:hAnsi="Times New Roman" w:cs="Times New Roman"/>
          <w:sz w:val="28"/>
          <w:szCs w:val="28"/>
        </w:rPr>
      </w:pPr>
      <w:r w:rsidRPr="00F55348">
        <w:rPr>
          <w:rFonts w:ascii="Times New Roman" w:eastAsia="Calibri" w:hAnsi="Times New Roman" w:cs="Times New Roman"/>
          <w:sz w:val="28"/>
          <w:szCs w:val="28"/>
        </w:rPr>
        <w:t>Ministru prezident</w:t>
      </w:r>
      <w:r w:rsidR="00F55348" w:rsidRPr="00F55348">
        <w:rPr>
          <w:rFonts w:ascii="Times New Roman" w:eastAsia="Calibri" w:hAnsi="Times New Roman" w:cs="Times New Roman"/>
          <w:sz w:val="28"/>
          <w:szCs w:val="28"/>
        </w:rPr>
        <w:t>s</w:t>
      </w:r>
      <w:r w:rsidRPr="00F55348">
        <w:rPr>
          <w:rFonts w:ascii="Times New Roman" w:eastAsia="Calibri" w:hAnsi="Times New Roman" w:cs="Times New Roman"/>
          <w:sz w:val="28"/>
          <w:szCs w:val="28"/>
        </w:rPr>
        <w:tab/>
      </w:r>
      <w:r w:rsidRPr="00F55348">
        <w:rPr>
          <w:rFonts w:ascii="Times New Roman" w:eastAsia="Calibri" w:hAnsi="Times New Roman" w:cs="Times New Roman"/>
          <w:sz w:val="28"/>
          <w:szCs w:val="28"/>
        </w:rPr>
        <w:tab/>
      </w:r>
      <w:r w:rsidRPr="00F55348">
        <w:rPr>
          <w:rFonts w:ascii="Times New Roman" w:eastAsia="Calibri" w:hAnsi="Times New Roman" w:cs="Times New Roman"/>
          <w:sz w:val="28"/>
          <w:szCs w:val="28"/>
        </w:rPr>
        <w:tab/>
      </w:r>
      <w:r w:rsidRPr="00F55348">
        <w:rPr>
          <w:rFonts w:ascii="Times New Roman" w:eastAsia="Calibri" w:hAnsi="Times New Roman" w:cs="Times New Roman"/>
          <w:sz w:val="28"/>
          <w:szCs w:val="28"/>
        </w:rPr>
        <w:tab/>
      </w:r>
      <w:r w:rsidRPr="00F55348">
        <w:rPr>
          <w:rFonts w:ascii="Times New Roman" w:eastAsia="Calibri" w:hAnsi="Times New Roman" w:cs="Times New Roman"/>
          <w:sz w:val="28"/>
          <w:szCs w:val="28"/>
        </w:rPr>
        <w:tab/>
        <w:t xml:space="preserve"> </w:t>
      </w:r>
      <w:r w:rsidRPr="00F55348">
        <w:rPr>
          <w:rFonts w:ascii="Times New Roman" w:eastAsia="Calibri" w:hAnsi="Times New Roman" w:cs="Times New Roman"/>
          <w:sz w:val="28"/>
          <w:szCs w:val="28"/>
        </w:rPr>
        <w:tab/>
        <w:t xml:space="preserve">        </w:t>
      </w:r>
      <w:r w:rsidR="00556032">
        <w:rPr>
          <w:rFonts w:ascii="Times New Roman" w:eastAsia="Calibri" w:hAnsi="Times New Roman" w:cs="Times New Roman"/>
          <w:sz w:val="28"/>
          <w:szCs w:val="28"/>
        </w:rPr>
        <w:t xml:space="preserve">Māris </w:t>
      </w:r>
      <w:proofErr w:type="spellStart"/>
      <w:r w:rsidR="00556032">
        <w:rPr>
          <w:rFonts w:ascii="Times New Roman" w:eastAsia="Calibri" w:hAnsi="Times New Roman" w:cs="Times New Roman"/>
          <w:sz w:val="28"/>
          <w:szCs w:val="28"/>
        </w:rPr>
        <w:t>Kučinskis</w:t>
      </w:r>
      <w:proofErr w:type="spellEnd"/>
    </w:p>
    <w:p w:rsidR="00EC22E8" w:rsidRPr="009C25C1" w:rsidRDefault="00EC22E8" w:rsidP="00EC22E8">
      <w:pPr>
        <w:spacing w:after="480" w:line="240" w:lineRule="auto"/>
        <w:ind w:right="-766"/>
        <w:rPr>
          <w:rFonts w:ascii="Times New Roman" w:eastAsia="Calibri" w:hAnsi="Times New Roman" w:cs="Times New Roman"/>
          <w:sz w:val="28"/>
          <w:szCs w:val="28"/>
        </w:rPr>
      </w:pPr>
      <w:r w:rsidRPr="009C25C1">
        <w:rPr>
          <w:rFonts w:ascii="Times New Roman" w:eastAsia="Calibri" w:hAnsi="Times New Roman" w:cs="Times New Roman"/>
          <w:sz w:val="28"/>
          <w:szCs w:val="28"/>
        </w:rPr>
        <w:t>Veselības ministrs</w:t>
      </w:r>
      <w:r w:rsidRPr="009C25C1">
        <w:rPr>
          <w:rFonts w:ascii="Times New Roman" w:eastAsia="Calibri" w:hAnsi="Times New Roman" w:cs="Times New Roman"/>
          <w:sz w:val="28"/>
          <w:szCs w:val="28"/>
        </w:rPr>
        <w:tab/>
      </w:r>
      <w:r w:rsidRPr="009C25C1">
        <w:rPr>
          <w:rFonts w:ascii="Times New Roman" w:eastAsia="Calibri" w:hAnsi="Times New Roman" w:cs="Times New Roman"/>
          <w:sz w:val="28"/>
          <w:szCs w:val="28"/>
        </w:rPr>
        <w:tab/>
      </w:r>
      <w:r w:rsidRPr="009C25C1">
        <w:rPr>
          <w:rFonts w:ascii="Times New Roman" w:eastAsia="Calibri" w:hAnsi="Times New Roman" w:cs="Times New Roman"/>
          <w:sz w:val="28"/>
          <w:szCs w:val="28"/>
        </w:rPr>
        <w:tab/>
      </w:r>
      <w:r w:rsidRPr="009C25C1">
        <w:rPr>
          <w:rFonts w:ascii="Times New Roman" w:eastAsia="Calibri" w:hAnsi="Times New Roman" w:cs="Times New Roman"/>
          <w:sz w:val="28"/>
          <w:szCs w:val="28"/>
        </w:rPr>
        <w:tab/>
      </w:r>
      <w:r w:rsidRPr="009C25C1">
        <w:rPr>
          <w:rFonts w:ascii="Times New Roman" w:eastAsia="Calibri" w:hAnsi="Times New Roman" w:cs="Times New Roman"/>
          <w:sz w:val="28"/>
          <w:szCs w:val="28"/>
        </w:rPr>
        <w:tab/>
      </w:r>
      <w:r w:rsidRPr="009C25C1">
        <w:rPr>
          <w:rFonts w:ascii="Times New Roman" w:eastAsia="Calibri" w:hAnsi="Times New Roman" w:cs="Times New Roman"/>
          <w:sz w:val="28"/>
          <w:szCs w:val="28"/>
        </w:rPr>
        <w:tab/>
        <w:t xml:space="preserve"> </w:t>
      </w:r>
      <w:r w:rsidRPr="009C25C1">
        <w:rPr>
          <w:rFonts w:ascii="Times New Roman" w:eastAsia="Calibri" w:hAnsi="Times New Roman" w:cs="Times New Roman"/>
          <w:sz w:val="28"/>
          <w:szCs w:val="28"/>
        </w:rPr>
        <w:tab/>
        <w:t xml:space="preserve">        Guntis Belēvičs</w:t>
      </w:r>
    </w:p>
    <w:p w:rsidR="00EC22E8" w:rsidRPr="009C25C1" w:rsidRDefault="00EC22E8" w:rsidP="00EC22E8">
      <w:pPr>
        <w:tabs>
          <w:tab w:val="right" w:pos="9072"/>
        </w:tabs>
        <w:spacing w:after="480" w:line="240" w:lineRule="auto"/>
        <w:ind w:right="-766"/>
        <w:rPr>
          <w:rFonts w:ascii="Times New Roman" w:eastAsia="Calibri" w:hAnsi="Times New Roman" w:cs="Times New Roman"/>
          <w:sz w:val="28"/>
          <w:szCs w:val="28"/>
        </w:rPr>
      </w:pPr>
      <w:r w:rsidRPr="009C25C1">
        <w:rPr>
          <w:rFonts w:ascii="Times New Roman" w:eastAsia="Calibri" w:hAnsi="Times New Roman" w:cs="Times New Roman"/>
          <w:sz w:val="28"/>
          <w:szCs w:val="28"/>
        </w:rPr>
        <w:lastRenderedPageBreak/>
        <w:t>Iesniedzējs: Veselības ministrs                                                   Guntis Belēvičs</w:t>
      </w:r>
    </w:p>
    <w:p w:rsidR="00EC22E8" w:rsidRPr="009C25C1" w:rsidRDefault="00EC22E8" w:rsidP="00EC22E8">
      <w:pPr>
        <w:tabs>
          <w:tab w:val="right" w:pos="9072"/>
        </w:tabs>
        <w:spacing w:after="0" w:line="240" w:lineRule="auto"/>
        <w:ind w:right="-766"/>
        <w:rPr>
          <w:rFonts w:ascii="Times New Roman" w:eastAsia="Calibri" w:hAnsi="Times New Roman" w:cs="Times New Roman"/>
          <w:sz w:val="28"/>
          <w:szCs w:val="28"/>
        </w:rPr>
      </w:pPr>
      <w:r w:rsidRPr="009C25C1">
        <w:rPr>
          <w:rFonts w:ascii="Times New Roman" w:eastAsia="Calibri" w:hAnsi="Times New Roman" w:cs="Times New Roman"/>
          <w:sz w:val="28"/>
          <w:szCs w:val="28"/>
        </w:rPr>
        <w:t xml:space="preserve">Vīza: Valsts sekretāre                                         </w:t>
      </w:r>
      <w:r w:rsidR="00476407" w:rsidRPr="009C25C1">
        <w:rPr>
          <w:rFonts w:ascii="Times New Roman" w:eastAsia="Calibri" w:hAnsi="Times New Roman" w:cs="Times New Roman"/>
          <w:sz w:val="28"/>
          <w:szCs w:val="28"/>
        </w:rPr>
        <w:t xml:space="preserve">                        Solvita </w:t>
      </w:r>
      <w:proofErr w:type="spellStart"/>
      <w:r w:rsidRPr="009C25C1">
        <w:rPr>
          <w:rFonts w:ascii="Times New Roman" w:eastAsia="Calibri" w:hAnsi="Times New Roman" w:cs="Times New Roman"/>
          <w:sz w:val="28"/>
          <w:szCs w:val="28"/>
        </w:rPr>
        <w:t>Zvidriņa</w:t>
      </w:r>
      <w:proofErr w:type="spellEnd"/>
    </w:p>
    <w:p w:rsidR="00037F72" w:rsidRPr="009C25C1" w:rsidRDefault="00037F72" w:rsidP="00037F72">
      <w:pPr>
        <w:tabs>
          <w:tab w:val="right" w:pos="9072"/>
        </w:tabs>
        <w:spacing w:after="0" w:line="240" w:lineRule="auto"/>
        <w:ind w:right="-766"/>
        <w:rPr>
          <w:rFonts w:ascii="Times New Roman" w:eastAsia="Calibri" w:hAnsi="Times New Roman" w:cs="Times New Roman"/>
          <w:sz w:val="28"/>
          <w:szCs w:val="28"/>
        </w:rPr>
      </w:pPr>
    </w:p>
    <w:p w:rsidR="00037F72" w:rsidRPr="009C25C1" w:rsidRDefault="00037F72" w:rsidP="00037F72">
      <w:pPr>
        <w:tabs>
          <w:tab w:val="right" w:pos="9072"/>
        </w:tabs>
        <w:spacing w:after="0" w:line="240" w:lineRule="auto"/>
        <w:ind w:right="-766"/>
        <w:rPr>
          <w:rFonts w:ascii="Times New Roman" w:eastAsia="Calibri" w:hAnsi="Times New Roman" w:cs="Times New Roman"/>
          <w:sz w:val="28"/>
          <w:szCs w:val="28"/>
        </w:rPr>
      </w:pPr>
    </w:p>
    <w:p w:rsidR="00037F72" w:rsidRPr="009C25C1" w:rsidRDefault="00037F72" w:rsidP="00037F72">
      <w:pPr>
        <w:tabs>
          <w:tab w:val="right" w:pos="9072"/>
        </w:tabs>
        <w:spacing w:after="0" w:line="240" w:lineRule="auto"/>
        <w:ind w:right="-766"/>
        <w:rPr>
          <w:rFonts w:ascii="Times New Roman" w:eastAsia="Lucida Sans Unicode" w:hAnsi="Times New Roman" w:cs="Times New Roman"/>
          <w:kern w:val="3"/>
          <w:sz w:val="28"/>
          <w:szCs w:val="28"/>
        </w:rPr>
      </w:pPr>
    </w:p>
    <w:p w:rsidR="0083666E" w:rsidRDefault="0083666E" w:rsidP="00037F72">
      <w:pPr>
        <w:spacing w:after="0" w:line="240" w:lineRule="auto"/>
        <w:ind w:right="-3228"/>
        <w:rPr>
          <w:rFonts w:ascii="Times New Roman" w:eastAsia="Times New Roman" w:hAnsi="Times New Roman" w:cs="Times New Roman"/>
          <w:sz w:val="20"/>
          <w:szCs w:val="20"/>
          <w:lang w:val="en-AU" w:eastAsia="lv-LV"/>
        </w:rPr>
      </w:pPr>
    </w:p>
    <w:p w:rsidR="009B73C3" w:rsidRDefault="009B73C3" w:rsidP="00037F72">
      <w:pPr>
        <w:spacing w:after="0" w:line="240" w:lineRule="auto"/>
        <w:ind w:right="-3228"/>
        <w:rPr>
          <w:rFonts w:ascii="Times New Roman" w:eastAsia="Times New Roman" w:hAnsi="Times New Roman" w:cs="Times New Roman"/>
          <w:sz w:val="20"/>
          <w:szCs w:val="20"/>
          <w:lang w:val="en-AU" w:eastAsia="lv-LV"/>
        </w:rPr>
      </w:pPr>
    </w:p>
    <w:p w:rsidR="00037F72" w:rsidRPr="00DB4604" w:rsidRDefault="00773FF7" w:rsidP="00037F72">
      <w:pPr>
        <w:spacing w:after="0" w:line="240" w:lineRule="auto"/>
        <w:ind w:right="-3228"/>
        <w:rPr>
          <w:rFonts w:ascii="Times New Roman" w:eastAsia="Calibri" w:hAnsi="Times New Roman" w:cs="Times New Roman"/>
          <w:sz w:val="20"/>
          <w:szCs w:val="20"/>
          <w:lang w:val="en-AU" w:eastAsia="lv-LV"/>
        </w:rPr>
      </w:pPr>
      <w:r>
        <w:rPr>
          <w:rFonts w:ascii="Times New Roman" w:eastAsia="Times New Roman" w:hAnsi="Times New Roman" w:cs="Times New Roman"/>
          <w:sz w:val="20"/>
          <w:szCs w:val="20"/>
          <w:lang w:val="en-AU" w:eastAsia="lv-LV"/>
        </w:rPr>
        <w:t>3</w:t>
      </w:r>
      <w:r w:rsidR="00EB2457">
        <w:rPr>
          <w:rFonts w:ascii="Times New Roman" w:eastAsia="Times New Roman" w:hAnsi="Times New Roman" w:cs="Times New Roman"/>
          <w:sz w:val="20"/>
          <w:szCs w:val="20"/>
          <w:lang w:val="en-AU" w:eastAsia="lv-LV"/>
        </w:rPr>
        <w:t>1</w:t>
      </w:r>
      <w:r w:rsidR="00037F72" w:rsidRPr="00DB4604">
        <w:rPr>
          <w:rFonts w:ascii="Times New Roman" w:eastAsia="Times New Roman" w:hAnsi="Times New Roman" w:cs="Times New Roman"/>
          <w:sz w:val="20"/>
          <w:szCs w:val="20"/>
          <w:lang w:val="en-AU" w:eastAsia="lv-LV"/>
        </w:rPr>
        <w:t>.</w:t>
      </w:r>
      <w:r w:rsidR="00990A00" w:rsidRPr="00DB4604">
        <w:rPr>
          <w:rFonts w:ascii="Times New Roman" w:eastAsia="Times New Roman" w:hAnsi="Times New Roman" w:cs="Times New Roman"/>
          <w:sz w:val="20"/>
          <w:szCs w:val="20"/>
          <w:lang w:val="en-AU" w:eastAsia="lv-LV"/>
        </w:rPr>
        <w:t>0</w:t>
      </w:r>
      <w:r w:rsidR="002A6256" w:rsidRPr="00DB4604">
        <w:rPr>
          <w:rFonts w:ascii="Times New Roman" w:eastAsia="Times New Roman" w:hAnsi="Times New Roman" w:cs="Times New Roman"/>
          <w:sz w:val="20"/>
          <w:szCs w:val="20"/>
          <w:lang w:val="en-AU" w:eastAsia="lv-LV"/>
        </w:rPr>
        <w:t>3</w:t>
      </w:r>
      <w:r w:rsidR="00037F72" w:rsidRPr="00DB4604">
        <w:rPr>
          <w:rFonts w:ascii="Times New Roman" w:eastAsia="Times New Roman" w:hAnsi="Times New Roman" w:cs="Times New Roman"/>
          <w:sz w:val="20"/>
          <w:szCs w:val="20"/>
          <w:lang w:val="en-AU" w:eastAsia="lv-LV"/>
        </w:rPr>
        <w:t>.201</w:t>
      </w:r>
      <w:r w:rsidR="00990A00" w:rsidRPr="00DB4604">
        <w:rPr>
          <w:rFonts w:ascii="Times New Roman" w:eastAsia="Times New Roman" w:hAnsi="Times New Roman" w:cs="Times New Roman"/>
          <w:sz w:val="20"/>
          <w:szCs w:val="20"/>
          <w:lang w:val="en-AU" w:eastAsia="lv-LV"/>
        </w:rPr>
        <w:t>6</w:t>
      </w:r>
      <w:r w:rsidR="00E6088F">
        <w:rPr>
          <w:rFonts w:ascii="Times New Roman" w:eastAsia="Times New Roman" w:hAnsi="Times New Roman" w:cs="Times New Roman"/>
          <w:sz w:val="20"/>
          <w:szCs w:val="20"/>
          <w:lang w:val="en-AU" w:eastAsia="lv-LV"/>
        </w:rPr>
        <w:t xml:space="preserve"> </w:t>
      </w:r>
      <w:r w:rsidR="00441EE9">
        <w:rPr>
          <w:rFonts w:ascii="Times New Roman" w:eastAsia="Times New Roman" w:hAnsi="Times New Roman" w:cs="Times New Roman"/>
          <w:sz w:val="20"/>
          <w:szCs w:val="20"/>
          <w:lang w:val="en-AU" w:eastAsia="lv-LV"/>
        </w:rPr>
        <w:t>13</w:t>
      </w:r>
      <w:r w:rsidR="00AC70F1" w:rsidRPr="00DB4604">
        <w:rPr>
          <w:rFonts w:ascii="Times New Roman" w:eastAsia="Times New Roman" w:hAnsi="Times New Roman" w:cs="Times New Roman"/>
          <w:sz w:val="20"/>
          <w:szCs w:val="20"/>
          <w:lang w:val="en-AU" w:eastAsia="lv-LV"/>
        </w:rPr>
        <w:t>:</w:t>
      </w:r>
      <w:r w:rsidR="00A44A1B">
        <w:rPr>
          <w:rFonts w:ascii="Times New Roman" w:eastAsia="Times New Roman" w:hAnsi="Times New Roman" w:cs="Times New Roman"/>
          <w:sz w:val="20"/>
          <w:szCs w:val="20"/>
          <w:lang w:val="en-AU" w:eastAsia="lv-LV"/>
        </w:rPr>
        <w:t>3</w:t>
      </w:r>
      <w:r w:rsidR="00454FA2">
        <w:rPr>
          <w:rFonts w:ascii="Times New Roman" w:eastAsia="Times New Roman" w:hAnsi="Times New Roman" w:cs="Times New Roman"/>
          <w:sz w:val="20"/>
          <w:szCs w:val="20"/>
          <w:lang w:val="en-AU" w:eastAsia="lv-LV"/>
        </w:rPr>
        <w:t>5</w:t>
      </w:r>
    </w:p>
    <w:p w:rsidR="00037F72" w:rsidRPr="00DB4604" w:rsidRDefault="00441EE9" w:rsidP="00037F72">
      <w:pPr>
        <w:spacing w:after="0" w:line="240" w:lineRule="auto"/>
        <w:ind w:right="-3228"/>
        <w:rPr>
          <w:rFonts w:ascii="Times New Roman" w:eastAsia="Times New Roman" w:hAnsi="Times New Roman" w:cs="Times New Roman"/>
          <w:sz w:val="20"/>
          <w:szCs w:val="20"/>
          <w:lang w:val="en-AU" w:eastAsia="lv-LV"/>
        </w:rPr>
      </w:pPr>
      <w:r>
        <w:rPr>
          <w:rFonts w:ascii="Times New Roman" w:eastAsia="Times New Roman" w:hAnsi="Times New Roman" w:cs="Times New Roman"/>
          <w:sz w:val="20"/>
          <w:szCs w:val="20"/>
          <w:lang w:val="en-AU" w:eastAsia="lv-LV"/>
        </w:rPr>
        <w:t>427</w:t>
      </w:r>
    </w:p>
    <w:p w:rsidR="00037F72" w:rsidRPr="009C25C1" w:rsidRDefault="00556032" w:rsidP="00037F72">
      <w:pPr>
        <w:spacing w:after="0" w:line="240" w:lineRule="auto"/>
        <w:ind w:right="-3228"/>
        <w:rPr>
          <w:rFonts w:ascii="Times New Roman" w:eastAsia="Calibri" w:hAnsi="Times New Roman" w:cs="Times New Roman"/>
          <w:sz w:val="20"/>
          <w:szCs w:val="20"/>
          <w:lang w:val="en-AU"/>
        </w:rPr>
      </w:pPr>
      <w:proofErr w:type="spellStart"/>
      <w:r w:rsidRPr="00DB4604">
        <w:rPr>
          <w:rFonts w:ascii="Times New Roman" w:eastAsia="Calibri" w:hAnsi="Times New Roman" w:cs="Times New Roman"/>
          <w:sz w:val="20"/>
          <w:szCs w:val="20"/>
          <w:lang w:val="en-AU" w:eastAsia="lv-LV"/>
        </w:rPr>
        <w:t>A</w:t>
      </w:r>
      <w:r w:rsidR="00037F72" w:rsidRPr="00DB4604">
        <w:rPr>
          <w:rFonts w:ascii="Times New Roman" w:eastAsia="Calibri" w:hAnsi="Times New Roman" w:cs="Times New Roman"/>
          <w:sz w:val="20"/>
          <w:szCs w:val="20"/>
          <w:lang w:val="en-AU" w:eastAsia="lv-LV"/>
        </w:rPr>
        <w:t>.</w:t>
      </w:r>
      <w:r w:rsidRPr="00DB4604">
        <w:rPr>
          <w:rFonts w:ascii="Times New Roman" w:eastAsia="Calibri" w:hAnsi="Times New Roman" w:cs="Times New Roman"/>
          <w:sz w:val="20"/>
          <w:szCs w:val="20"/>
          <w:lang w:val="en-AU" w:eastAsia="lv-LV"/>
        </w:rPr>
        <w:t>Bless</w:t>
      </w:r>
      <w:proofErr w:type="spellEnd"/>
    </w:p>
    <w:p w:rsidR="00037F72" w:rsidRPr="002A6256" w:rsidRDefault="00037F72" w:rsidP="00942299">
      <w:pPr>
        <w:spacing w:after="0" w:line="240" w:lineRule="auto"/>
        <w:rPr>
          <w:rFonts w:ascii="Times New Roman" w:eastAsia="Times New Roman" w:hAnsi="Times New Roman" w:cs="Times New Roman"/>
          <w:lang w:val="en-AU" w:eastAsia="lv-LV"/>
        </w:rPr>
      </w:pPr>
      <w:bookmarkStart w:id="0" w:name="OLE_LINK3"/>
      <w:bookmarkStart w:id="1" w:name="OLE_LINK4"/>
      <w:r w:rsidRPr="009C25C1">
        <w:rPr>
          <w:rFonts w:ascii="Times New Roman" w:eastAsia="Times New Roman" w:hAnsi="Times New Roman" w:cs="Times New Roman"/>
          <w:sz w:val="20"/>
          <w:szCs w:val="20"/>
          <w:lang w:val="en-AU" w:eastAsia="lv-LV"/>
        </w:rPr>
        <w:t>67876</w:t>
      </w:r>
      <w:r w:rsidR="00556032">
        <w:rPr>
          <w:rFonts w:ascii="Times New Roman" w:eastAsia="Times New Roman" w:hAnsi="Times New Roman" w:cs="Times New Roman"/>
          <w:sz w:val="20"/>
          <w:szCs w:val="20"/>
          <w:lang w:val="en-AU" w:eastAsia="lv-LV"/>
        </w:rPr>
        <w:t>122</w:t>
      </w:r>
      <w:r w:rsidRPr="009C25C1">
        <w:rPr>
          <w:rFonts w:ascii="Times New Roman" w:eastAsia="Times New Roman" w:hAnsi="Times New Roman" w:cs="Times New Roman"/>
          <w:sz w:val="20"/>
          <w:szCs w:val="20"/>
          <w:lang w:val="en-AU" w:eastAsia="lv-LV"/>
        </w:rPr>
        <w:t xml:space="preserve">, </w:t>
      </w:r>
      <w:r w:rsidR="003B0485">
        <w:rPr>
          <w:rFonts w:ascii="Times New Roman" w:eastAsia="Times New Roman" w:hAnsi="Times New Roman" w:cs="Times New Roman"/>
          <w:sz w:val="20"/>
          <w:szCs w:val="20"/>
          <w:lang w:val="en-AU" w:eastAsia="lv-LV"/>
        </w:rPr>
        <w:t>A</w:t>
      </w:r>
      <w:r w:rsidR="00556032">
        <w:rPr>
          <w:rFonts w:ascii="Times New Roman" w:eastAsia="Times New Roman" w:hAnsi="Times New Roman" w:cs="Times New Roman"/>
          <w:sz w:val="20"/>
          <w:szCs w:val="20"/>
          <w:lang w:val="en-AU" w:eastAsia="lv-LV"/>
        </w:rPr>
        <w:t>lvis</w:t>
      </w:r>
      <w:r w:rsidRPr="009C25C1">
        <w:rPr>
          <w:rFonts w:ascii="Times New Roman" w:eastAsia="Times New Roman" w:hAnsi="Times New Roman" w:cs="Times New Roman"/>
          <w:sz w:val="20"/>
          <w:szCs w:val="20"/>
          <w:lang w:val="en-AU" w:eastAsia="lv-LV"/>
        </w:rPr>
        <w:t>.</w:t>
      </w:r>
      <w:r w:rsidR="003B0485">
        <w:rPr>
          <w:rFonts w:ascii="Times New Roman" w:eastAsia="Times New Roman" w:hAnsi="Times New Roman" w:cs="Times New Roman"/>
          <w:sz w:val="20"/>
          <w:szCs w:val="20"/>
          <w:lang w:val="en-AU" w:eastAsia="lv-LV"/>
        </w:rPr>
        <w:t>B</w:t>
      </w:r>
      <w:r w:rsidR="00556032">
        <w:rPr>
          <w:rFonts w:ascii="Times New Roman" w:eastAsia="Times New Roman" w:hAnsi="Times New Roman" w:cs="Times New Roman"/>
          <w:sz w:val="20"/>
          <w:szCs w:val="20"/>
          <w:lang w:val="en-AU" w:eastAsia="lv-LV"/>
        </w:rPr>
        <w:t>less</w:t>
      </w:r>
      <w:r w:rsidRPr="009C25C1">
        <w:rPr>
          <w:rFonts w:ascii="Times New Roman" w:eastAsia="Times New Roman" w:hAnsi="Times New Roman" w:cs="Times New Roman"/>
          <w:sz w:val="20"/>
          <w:szCs w:val="20"/>
          <w:lang w:val="en-AU" w:eastAsia="lv-LV"/>
        </w:rPr>
        <w:t>@vm.gov.lv</w:t>
      </w:r>
      <w:bookmarkEnd w:id="0"/>
      <w:bookmarkEnd w:id="1"/>
    </w:p>
    <w:sectPr w:rsidR="00037F72" w:rsidRPr="002A6256" w:rsidSect="00F11131">
      <w:headerReference w:type="default" r:id="rId8"/>
      <w:footerReference w:type="default" r:id="rId9"/>
      <w:footerReference w:type="first" r:id="rId10"/>
      <w:pgSz w:w="11906" w:h="16838"/>
      <w:pgMar w:top="1418" w:right="1134" w:bottom="1134" w:left="170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8AD" w:rsidRDefault="008A48AD" w:rsidP="00963389">
      <w:pPr>
        <w:spacing w:after="0" w:line="240" w:lineRule="auto"/>
      </w:pPr>
      <w:r>
        <w:separator/>
      </w:r>
    </w:p>
  </w:endnote>
  <w:endnote w:type="continuationSeparator" w:id="0">
    <w:p w:rsidR="008A48AD" w:rsidRDefault="008A48AD" w:rsidP="0096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AD" w:rsidRPr="00BE208B" w:rsidRDefault="008A48AD" w:rsidP="002F4334">
    <w:pPr>
      <w:spacing w:after="0" w:line="240" w:lineRule="auto"/>
      <w:jc w:val="both"/>
      <w:rPr>
        <w:sz w:val="18"/>
      </w:rPr>
    </w:pPr>
    <w:r w:rsidRPr="00BE208B">
      <w:rPr>
        <w:rFonts w:ascii="Times New Roman" w:eastAsia="Times New Roman" w:hAnsi="Times New Roman" w:cs="Times New Roman"/>
        <w:sz w:val="20"/>
        <w:szCs w:val="24"/>
        <w:lang w:eastAsia="lv-LV"/>
      </w:rPr>
      <w:t>VMnot_</w:t>
    </w:r>
    <w:r w:rsidR="006A5C25">
      <w:rPr>
        <w:rFonts w:ascii="Times New Roman" w:eastAsia="Times New Roman" w:hAnsi="Times New Roman" w:cs="Times New Roman"/>
        <w:sz w:val="20"/>
        <w:szCs w:val="24"/>
        <w:lang w:eastAsia="lv-LV"/>
      </w:rPr>
      <w:t>3</w:t>
    </w:r>
    <w:r w:rsidR="003948D1">
      <w:rPr>
        <w:rFonts w:ascii="Times New Roman" w:eastAsia="Times New Roman" w:hAnsi="Times New Roman" w:cs="Times New Roman"/>
        <w:sz w:val="20"/>
        <w:szCs w:val="24"/>
        <w:lang w:eastAsia="lv-LV"/>
      </w:rPr>
      <w:t>1</w:t>
    </w:r>
    <w:r w:rsidRPr="00BE208B">
      <w:rPr>
        <w:rFonts w:ascii="Times New Roman" w:eastAsia="Times New Roman" w:hAnsi="Times New Roman" w:cs="Times New Roman"/>
        <w:sz w:val="20"/>
        <w:szCs w:val="24"/>
        <w:lang w:eastAsia="lv-LV"/>
      </w:rPr>
      <w:t>0316_groz_1529 ; Ministru kabineta noteikumu projekt</w:t>
    </w:r>
    <w:r w:rsidR="00A44A1B">
      <w:rPr>
        <w:rFonts w:ascii="Times New Roman" w:eastAsia="Times New Roman" w:hAnsi="Times New Roman" w:cs="Times New Roman"/>
        <w:sz w:val="20"/>
        <w:szCs w:val="24"/>
        <w:lang w:eastAsia="lv-LV"/>
      </w:rPr>
      <w:t xml:space="preserve">s </w:t>
    </w:r>
    <w:r w:rsidRPr="00BE208B">
      <w:rPr>
        <w:rFonts w:ascii="Times New Roman" w:eastAsia="Times New Roman" w:hAnsi="Times New Roman" w:cs="Times New Roman"/>
        <w:bCs/>
        <w:sz w:val="20"/>
        <w:szCs w:val="24"/>
        <w:lang w:eastAsia="lv-LV"/>
      </w:rPr>
      <w:t>”Grozījumi Ministru kabineta 2013.gada 17.decembra noteikumos Nr.1529 ”Veselības aprūpes organizēšanas un finansēšanas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AD" w:rsidRPr="00BE208B" w:rsidRDefault="008A48AD" w:rsidP="004B23A2">
    <w:pPr>
      <w:spacing w:after="0" w:line="240" w:lineRule="auto"/>
      <w:jc w:val="both"/>
      <w:rPr>
        <w:sz w:val="18"/>
      </w:rPr>
    </w:pPr>
    <w:r w:rsidRPr="00BE208B">
      <w:rPr>
        <w:rFonts w:ascii="Times New Roman" w:eastAsia="Times New Roman" w:hAnsi="Times New Roman" w:cs="Times New Roman"/>
        <w:sz w:val="20"/>
        <w:szCs w:val="24"/>
        <w:lang w:eastAsia="lv-LV"/>
      </w:rPr>
      <w:t>VMnot_</w:t>
    </w:r>
    <w:r w:rsidR="006A5C25">
      <w:rPr>
        <w:rFonts w:ascii="Times New Roman" w:eastAsia="Times New Roman" w:hAnsi="Times New Roman" w:cs="Times New Roman"/>
        <w:sz w:val="20"/>
        <w:szCs w:val="24"/>
        <w:lang w:eastAsia="lv-LV"/>
      </w:rPr>
      <w:t>3</w:t>
    </w:r>
    <w:r w:rsidR="003948D1">
      <w:rPr>
        <w:rFonts w:ascii="Times New Roman" w:eastAsia="Times New Roman" w:hAnsi="Times New Roman" w:cs="Times New Roman"/>
        <w:sz w:val="20"/>
        <w:szCs w:val="24"/>
        <w:lang w:eastAsia="lv-LV"/>
      </w:rPr>
      <w:t>1</w:t>
    </w:r>
    <w:r w:rsidRPr="00BE208B">
      <w:rPr>
        <w:rFonts w:ascii="Times New Roman" w:eastAsia="Times New Roman" w:hAnsi="Times New Roman" w:cs="Times New Roman"/>
        <w:sz w:val="20"/>
        <w:szCs w:val="24"/>
        <w:lang w:eastAsia="lv-LV"/>
      </w:rPr>
      <w:t>0316_groz_1529 ; Ministru kabineta noteikumu projekt</w:t>
    </w:r>
    <w:r w:rsidR="00A44A1B">
      <w:rPr>
        <w:rFonts w:ascii="Times New Roman" w:eastAsia="Times New Roman" w:hAnsi="Times New Roman" w:cs="Times New Roman"/>
        <w:sz w:val="20"/>
        <w:szCs w:val="24"/>
        <w:lang w:eastAsia="lv-LV"/>
      </w:rPr>
      <w:t>s</w:t>
    </w:r>
    <w:r w:rsidRPr="00BE208B">
      <w:rPr>
        <w:rFonts w:ascii="Times New Roman" w:eastAsia="Times New Roman" w:hAnsi="Times New Roman" w:cs="Times New Roman"/>
        <w:sz w:val="20"/>
        <w:szCs w:val="24"/>
        <w:lang w:eastAsia="lv-LV"/>
      </w:rPr>
      <w:t xml:space="preserve"> </w:t>
    </w:r>
    <w:r w:rsidRPr="00BE208B">
      <w:rPr>
        <w:rFonts w:ascii="Times New Roman" w:eastAsia="Times New Roman" w:hAnsi="Times New Roman" w:cs="Times New Roman"/>
        <w:bCs/>
        <w:sz w:val="20"/>
        <w:szCs w:val="24"/>
        <w:lang w:eastAsia="lv-LV"/>
      </w:rPr>
      <w:t>”Grozījumi Ministru kabineta 2013.gada 17.decembra noteikumos Nr.1529 ”Veselības aprūpes organizēšanas un finansēšanas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8AD" w:rsidRDefault="008A48AD" w:rsidP="00963389">
      <w:pPr>
        <w:spacing w:after="0" w:line="240" w:lineRule="auto"/>
      </w:pPr>
      <w:r>
        <w:separator/>
      </w:r>
    </w:p>
  </w:footnote>
  <w:footnote w:type="continuationSeparator" w:id="0">
    <w:p w:rsidR="008A48AD" w:rsidRDefault="008A48AD" w:rsidP="00963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8110"/>
      <w:docPartObj>
        <w:docPartGallery w:val="Page Numbers (Top of Page)"/>
        <w:docPartUnique/>
      </w:docPartObj>
    </w:sdtPr>
    <w:sdtEndPr>
      <w:rPr>
        <w:noProof/>
      </w:rPr>
    </w:sdtEndPr>
    <w:sdtContent>
      <w:p w:rsidR="008A48AD" w:rsidRDefault="00C01B6E">
        <w:pPr>
          <w:pStyle w:val="Header"/>
          <w:jc w:val="center"/>
        </w:pPr>
        <w:r w:rsidRPr="00AC70F1">
          <w:rPr>
            <w:rFonts w:ascii="Times New Roman" w:hAnsi="Times New Roman" w:cs="Times New Roman"/>
            <w:sz w:val="24"/>
            <w:szCs w:val="24"/>
          </w:rPr>
          <w:fldChar w:fldCharType="begin"/>
        </w:r>
        <w:r w:rsidR="008A48AD" w:rsidRPr="00AC70F1">
          <w:rPr>
            <w:rFonts w:ascii="Times New Roman" w:hAnsi="Times New Roman" w:cs="Times New Roman"/>
            <w:sz w:val="24"/>
            <w:szCs w:val="24"/>
          </w:rPr>
          <w:instrText xml:space="preserve"> PAGE   \* MERGEFORMAT </w:instrText>
        </w:r>
        <w:r w:rsidRPr="00AC70F1">
          <w:rPr>
            <w:rFonts w:ascii="Times New Roman" w:hAnsi="Times New Roman" w:cs="Times New Roman"/>
            <w:sz w:val="24"/>
            <w:szCs w:val="24"/>
          </w:rPr>
          <w:fldChar w:fldCharType="separate"/>
        </w:r>
        <w:r w:rsidR="00454FA2">
          <w:rPr>
            <w:rFonts w:ascii="Times New Roman" w:hAnsi="Times New Roman" w:cs="Times New Roman"/>
            <w:noProof/>
            <w:sz w:val="24"/>
            <w:szCs w:val="24"/>
          </w:rPr>
          <w:t>3</w:t>
        </w:r>
        <w:r w:rsidRPr="00AC70F1">
          <w:rPr>
            <w:rFonts w:ascii="Times New Roman" w:hAnsi="Times New Roman" w:cs="Times New Roman"/>
            <w:noProof/>
            <w:sz w:val="24"/>
            <w:szCs w:val="24"/>
          </w:rPr>
          <w:fldChar w:fldCharType="end"/>
        </w:r>
      </w:p>
    </w:sdtContent>
  </w:sdt>
  <w:p w:rsidR="008A48AD" w:rsidRDefault="008A4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C11"/>
    <w:multiLevelType w:val="hybridMultilevel"/>
    <w:tmpl w:val="743ED572"/>
    <w:lvl w:ilvl="0" w:tplc="103AD74E">
      <w:start w:val="5"/>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27692FD3"/>
    <w:multiLevelType w:val="hybridMultilevel"/>
    <w:tmpl w:val="40021A50"/>
    <w:lvl w:ilvl="0" w:tplc="CABE653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7D25C5D"/>
    <w:multiLevelType w:val="hybridMultilevel"/>
    <w:tmpl w:val="29B21E6E"/>
    <w:lvl w:ilvl="0" w:tplc="249823F0">
      <w:start w:val="8"/>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60108D4"/>
    <w:multiLevelType w:val="hybridMultilevel"/>
    <w:tmpl w:val="34AE6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3F3EAF"/>
    <w:multiLevelType w:val="hybridMultilevel"/>
    <w:tmpl w:val="E0001E78"/>
    <w:lvl w:ilvl="0" w:tplc="230C074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AAB2BE3"/>
    <w:multiLevelType w:val="hybridMultilevel"/>
    <w:tmpl w:val="2BBC5288"/>
    <w:lvl w:ilvl="0" w:tplc="3FDE7F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E7C627B"/>
    <w:multiLevelType w:val="hybridMultilevel"/>
    <w:tmpl w:val="B8E0E24A"/>
    <w:lvl w:ilvl="0" w:tplc="175EBA3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F80AA1"/>
    <w:multiLevelType w:val="hybridMultilevel"/>
    <w:tmpl w:val="44946678"/>
    <w:lvl w:ilvl="0" w:tplc="7714996C">
      <w:start w:val="10"/>
      <w:numFmt w:val="decimal"/>
      <w:lvlText w:val="%1."/>
      <w:lvlJc w:val="left"/>
      <w:pPr>
        <w:ind w:left="1455"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4911FBD"/>
    <w:multiLevelType w:val="hybridMultilevel"/>
    <w:tmpl w:val="7ADA79B4"/>
    <w:lvl w:ilvl="0" w:tplc="5B228AA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
  </w:num>
  <w:num w:numId="5">
    <w:abstractNumId w:val="0"/>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807F3B"/>
    <w:rsid w:val="000029E2"/>
    <w:rsid w:val="00006D3D"/>
    <w:rsid w:val="00024577"/>
    <w:rsid w:val="000309A8"/>
    <w:rsid w:val="00037F72"/>
    <w:rsid w:val="00041EB2"/>
    <w:rsid w:val="00046A39"/>
    <w:rsid w:val="00066569"/>
    <w:rsid w:val="000739C4"/>
    <w:rsid w:val="00082A85"/>
    <w:rsid w:val="00090722"/>
    <w:rsid w:val="00095B06"/>
    <w:rsid w:val="000A49AC"/>
    <w:rsid w:val="000A5EE3"/>
    <w:rsid w:val="000B7EE0"/>
    <w:rsid w:val="000E2D1F"/>
    <w:rsid w:val="000E4C5D"/>
    <w:rsid w:val="000E6578"/>
    <w:rsid w:val="00107878"/>
    <w:rsid w:val="0011735A"/>
    <w:rsid w:val="00126137"/>
    <w:rsid w:val="001342C5"/>
    <w:rsid w:val="0014412B"/>
    <w:rsid w:val="001502AE"/>
    <w:rsid w:val="00157939"/>
    <w:rsid w:val="001672CF"/>
    <w:rsid w:val="00181BC5"/>
    <w:rsid w:val="00187C8E"/>
    <w:rsid w:val="00194F99"/>
    <w:rsid w:val="001A001B"/>
    <w:rsid w:val="001C6962"/>
    <w:rsid w:val="0020190F"/>
    <w:rsid w:val="0020750E"/>
    <w:rsid w:val="00207C9A"/>
    <w:rsid w:val="00211F58"/>
    <w:rsid w:val="002343FF"/>
    <w:rsid w:val="0023582A"/>
    <w:rsid w:val="00237182"/>
    <w:rsid w:val="00242610"/>
    <w:rsid w:val="00246B19"/>
    <w:rsid w:val="00272F6D"/>
    <w:rsid w:val="00297874"/>
    <w:rsid w:val="002A21D2"/>
    <w:rsid w:val="002A562C"/>
    <w:rsid w:val="002A6256"/>
    <w:rsid w:val="002B0C30"/>
    <w:rsid w:val="002B5186"/>
    <w:rsid w:val="002D7B6A"/>
    <w:rsid w:val="002D7FC7"/>
    <w:rsid w:val="002F4334"/>
    <w:rsid w:val="002F6393"/>
    <w:rsid w:val="00302C7A"/>
    <w:rsid w:val="003214BF"/>
    <w:rsid w:val="003265A6"/>
    <w:rsid w:val="0033465B"/>
    <w:rsid w:val="00336B52"/>
    <w:rsid w:val="00354386"/>
    <w:rsid w:val="003564CA"/>
    <w:rsid w:val="0036444A"/>
    <w:rsid w:val="00367A93"/>
    <w:rsid w:val="0038237B"/>
    <w:rsid w:val="00384E9A"/>
    <w:rsid w:val="003948D1"/>
    <w:rsid w:val="003B0485"/>
    <w:rsid w:val="003C7C4C"/>
    <w:rsid w:val="003D385E"/>
    <w:rsid w:val="003F01EB"/>
    <w:rsid w:val="004069FA"/>
    <w:rsid w:val="00411C8A"/>
    <w:rsid w:val="00427DE5"/>
    <w:rsid w:val="00441EE9"/>
    <w:rsid w:val="00447A50"/>
    <w:rsid w:val="00454FA2"/>
    <w:rsid w:val="00467AD6"/>
    <w:rsid w:val="00473AFC"/>
    <w:rsid w:val="00476407"/>
    <w:rsid w:val="00476AFD"/>
    <w:rsid w:val="00486B6A"/>
    <w:rsid w:val="004B23A2"/>
    <w:rsid w:val="004B425F"/>
    <w:rsid w:val="004C7489"/>
    <w:rsid w:val="004D5BE7"/>
    <w:rsid w:val="004E4555"/>
    <w:rsid w:val="004E7B46"/>
    <w:rsid w:val="004F0337"/>
    <w:rsid w:val="004F7C3B"/>
    <w:rsid w:val="005007F6"/>
    <w:rsid w:val="00556032"/>
    <w:rsid w:val="005679EE"/>
    <w:rsid w:val="0058405B"/>
    <w:rsid w:val="005C1102"/>
    <w:rsid w:val="005C4067"/>
    <w:rsid w:val="005C71D3"/>
    <w:rsid w:val="005D6A39"/>
    <w:rsid w:val="005E071E"/>
    <w:rsid w:val="005E17AC"/>
    <w:rsid w:val="005E1E9A"/>
    <w:rsid w:val="006000D9"/>
    <w:rsid w:val="00620AD0"/>
    <w:rsid w:val="006211AB"/>
    <w:rsid w:val="00621636"/>
    <w:rsid w:val="00624FA0"/>
    <w:rsid w:val="00633581"/>
    <w:rsid w:val="0064042D"/>
    <w:rsid w:val="00655456"/>
    <w:rsid w:val="00656CA9"/>
    <w:rsid w:val="0067460A"/>
    <w:rsid w:val="006A5C25"/>
    <w:rsid w:val="006B1EF0"/>
    <w:rsid w:val="006D4293"/>
    <w:rsid w:val="007050B2"/>
    <w:rsid w:val="007151B7"/>
    <w:rsid w:val="00723C08"/>
    <w:rsid w:val="0077239B"/>
    <w:rsid w:val="00773FF7"/>
    <w:rsid w:val="00797F65"/>
    <w:rsid w:val="007A3064"/>
    <w:rsid w:val="007A5692"/>
    <w:rsid w:val="007D2D01"/>
    <w:rsid w:val="007F1304"/>
    <w:rsid w:val="0080095A"/>
    <w:rsid w:val="008047C9"/>
    <w:rsid w:val="00807F3B"/>
    <w:rsid w:val="00820C4F"/>
    <w:rsid w:val="00835A7D"/>
    <w:rsid w:val="0083666E"/>
    <w:rsid w:val="00871F76"/>
    <w:rsid w:val="0087330A"/>
    <w:rsid w:val="008866A2"/>
    <w:rsid w:val="00890B89"/>
    <w:rsid w:val="00894288"/>
    <w:rsid w:val="008A2D2B"/>
    <w:rsid w:val="008A48AD"/>
    <w:rsid w:val="008A7E4C"/>
    <w:rsid w:val="008D0269"/>
    <w:rsid w:val="008E2073"/>
    <w:rsid w:val="008E44CD"/>
    <w:rsid w:val="008F04B0"/>
    <w:rsid w:val="00904650"/>
    <w:rsid w:val="0091242B"/>
    <w:rsid w:val="00920156"/>
    <w:rsid w:val="00922BEE"/>
    <w:rsid w:val="00937C37"/>
    <w:rsid w:val="00940040"/>
    <w:rsid w:val="00942299"/>
    <w:rsid w:val="00951312"/>
    <w:rsid w:val="00957A5C"/>
    <w:rsid w:val="00963389"/>
    <w:rsid w:val="009652E5"/>
    <w:rsid w:val="00971452"/>
    <w:rsid w:val="009741AD"/>
    <w:rsid w:val="009750C3"/>
    <w:rsid w:val="009800B7"/>
    <w:rsid w:val="00990A00"/>
    <w:rsid w:val="00992450"/>
    <w:rsid w:val="00997068"/>
    <w:rsid w:val="009B03D3"/>
    <w:rsid w:val="009B227A"/>
    <w:rsid w:val="009B73C3"/>
    <w:rsid w:val="009C25C1"/>
    <w:rsid w:val="009D4173"/>
    <w:rsid w:val="009D7DCF"/>
    <w:rsid w:val="009F21FB"/>
    <w:rsid w:val="009F5CD0"/>
    <w:rsid w:val="00A05F67"/>
    <w:rsid w:val="00A17D5A"/>
    <w:rsid w:val="00A43AFE"/>
    <w:rsid w:val="00A44A1B"/>
    <w:rsid w:val="00A453A1"/>
    <w:rsid w:val="00A607E8"/>
    <w:rsid w:val="00A74750"/>
    <w:rsid w:val="00A7521E"/>
    <w:rsid w:val="00A81D9B"/>
    <w:rsid w:val="00AC05EB"/>
    <w:rsid w:val="00AC55BF"/>
    <w:rsid w:val="00AC70F1"/>
    <w:rsid w:val="00AD15EE"/>
    <w:rsid w:val="00B45BCB"/>
    <w:rsid w:val="00B64EF1"/>
    <w:rsid w:val="00B665EB"/>
    <w:rsid w:val="00B677B5"/>
    <w:rsid w:val="00B70B91"/>
    <w:rsid w:val="00B773F5"/>
    <w:rsid w:val="00BA1F8F"/>
    <w:rsid w:val="00BA6788"/>
    <w:rsid w:val="00BC02B5"/>
    <w:rsid w:val="00BE208B"/>
    <w:rsid w:val="00BE627D"/>
    <w:rsid w:val="00C01B6E"/>
    <w:rsid w:val="00C029F8"/>
    <w:rsid w:val="00C23488"/>
    <w:rsid w:val="00C24058"/>
    <w:rsid w:val="00C2439B"/>
    <w:rsid w:val="00C35800"/>
    <w:rsid w:val="00C359FC"/>
    <w:rsid w:val="00C41AAB"/>
    <w:rsid w:val="00C545EA"/>
    <w:rsid w:val="00C6145D"/>
    <w:rsid w:val="00C729F1"/>
    <w:rsid w:val="00C72CCE"/>
    <w:rsid w:val="00C854E4"/>
    <w:rsid w:val="00C85CC1"/>
    <w:rsid w:val="00C877AD"/>
    <w:rsid w:val="00CB4C1D"/>
    <w:rsid w:val="00CB7CCB"/>
    <w:rsid w:val="00CC69BA"/>
    <w:rsid w:val="00CF0E54"/>
    <w:rsid w:val="00CF2729"/>
    <w:rsid w:val="00CF738D"/>
    <w:rsid w:val="00D033B5"/>
    <w:rsid w:val="00D053BA"/>
    <w:rsid w:val="00D55DBD"/>
    <w:rsid w:val="00D67C92"/>
    <w:rsid w:val="00D725B2"/>
    <w:rsid w:val="00D84126"/>
    <w:rsid w:val="00D94B91"/>
    <w:rsid w:val="00DA775D"/>
    <w:rsid w:val="00DB4604"/>
    <w:rsid w:val="00DE529C"/>
    <w:rsid w:val="00DE6490"/>
    <w:rsid w:val="00DF11E5"/>
    <w:rsid w:val="00E060C0"/>
    <w:rsid w:val="00E13C8D"/>
    <w:rsid w:val="00E2665D"/>
    <w:rsid w:val="00E30164"/>
    <w:rsid w:val="00E35941"/>
    <w:rsid w:val="00E4168B"/>
    <w:rsid w:val="00E44663"/>
    <w:rsid w:val="00E605EC"/>
    <w:rsid w:val="00E6088F"/>
    <w:rsid w:val="00E641A1"/>
    <w:rsid w:val="00E74EE6"/>
    <w:rsid w:val="00E7799C"/>
    <w:rsid w:val="00E94C25"/>
    <w:rsid w:val="00EA1F68"/>
    <w:rsid w:val="00EB2457"/>
    <w:rsid w:val="00EB703C"/>
    <w:rsid w:val="00EC22E8"/>
    <w:rsid w:val="00ED3A61"/>
    <w:rsid w:val="00ED5C67"/>
    <w:rsid w:val="00ED6E08"/>
    <w:rsid w:val="00EF1BDB"/>
    <w:rsid w:val="00F11131"/>
    <w:rsid w:val="00F366EC"/>
    <w:rsid w:val="00F37DEE"/>
    <w:rsid w:val="00F4015D"/>
    <w:rsid w:val="00F4635F"/>
    <w:rsid w:val="00F525ED"/>
    <w:rsid w:val="00F55348"/>
    <w:rsid w:val="00F70006"/>
    <w:rsid w:val="00FB0D9C"/>
    <w:rsid w:val="00FC4E3E"/>
    <w:rsid w:val="00FE3A42"/>
    <w:rsid w:val="00FE5392"/>
    <w:rsid w:val="00FF1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 w:type="character" w:styleId="Hyperlink">
    <w:name w:val="Hyperlink"/>
    <w:basedOn w:val="DefaultParagraphFont"/>
    <w:uiPriority w:val="99"/>
    <w:unhideWhenUsed/>
    <w:rsid w:val="009741AD"/>
    <w:rPr>
      <w:color w:val="0000FF" w:themeColor="hyperlink"/>
      <w:u w:val="single"/>
    </w:rPr>
  </w:style>
  <w:style w:type="table" w:styleId="TableGrid">
    <w:name w:val="Table Grid"/>
    <w:basedOn w:val="TableNormal"/>
    <w:uiPriority w:val="59"/>
    <w:rsid w:val="0047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3155680">
      <w:bodyDiv w:val="1"/>
      <w:marLeft w:val="0"/>
      <w:marRight w:val="0"/>
      <w:marTop w:val="0"/>
      <w:marBottom w:val="0"/>
      <w:divBdr>
        <w:top w:val="none" w:sz="0" w:space="0" w:color="auto"/>
        <w:left w:val="none" w:sz="0" w:space="0" w:color="auto"/>
        <w:bottom w:val="none" w:sz="0" w:space="0" w:color="auto"/>
        <w:right w:val="none" w:sz="0" w:space="0" w:color="auto"/>
      </w:divBdr>
      <w:divsChild>
        <w:div w:id="480584238">
          <w:marLeft w:val="0"/>
          <w:marRight w:val="0"/>
          <w:marTop w:val="0"/>
          <w:marBottom w:val="0"/>
          <w:divBdr>
            <w:top w:val="none" w:sz="0" w:space="0" w:color="auto"/>
            <w:left w:val="none" w:sz="0" w:space="0" w:color="auto"/>
            <w:bottom w:val="none" w:sz="0" w:space="0" w:color="auto"/>
            <w:right w:val="none" w:sz="0" w:space="0" w:color="auto"/>
          </w:divBdr>
          <w:divsChild>
            <w:div w:id="1777750576">
              <w:marLeft w:val="0"/>
              <w:marRight w:val="0"/>
              <w:marTop w:val="0"/>
              <w:marBottom w:val="0"/>
              <w:divBdr>
                <w:top w:val="none" w:sz="0" w:space="0" w:color="auto"/>
                <w:left w:val="none" w:sz="0" w:space="0" w:color="auto"/>
                <w:bottom w:val="none" w:sz="0" w:space="0" w:color="auto"/>
                <w:right w:val="none" w:sz="0" w:space="0" w:color="auto"/>
              </w:divBdr>
              <w:divsChild>
                <w:div w:id="692724788">
                  <w:marLeft w:val="0"/>
                  <w:marRight w:val="0"/>
                  <w:marTop w:val="0"/>
                  <w:marBottom w:val="0"/>
                  <w:divBdr>
                    <w:top w:val="none" w:sz="0" w:space="0" w:color="auto"/>
                    <w:left w:val="none" w:sz="0" w:space="0" w:color="auto"/>
                    <w:bottom w:val="none" w:sz="0" w:space="0" w:color="auto"/>
                    <w:right w:val="none" w:sz="0" w:space="0" w:color="auto"/>
                  </w:divBdr>
                  <w:divsChild>
                    <w:div w:id="1664048452">
                      <w:marLeft w:val="0"/>
                      <w:marRight w:val="0"/>
                      <w:marTop w:val="0"/>
                      <w:marBottom w:val="0"/>
                      <w:divBdr>
                        <w:top w:val="none" w:sz="0" w:space="0" w:color="auto"/>
                        <w:left w:val="none" w:sz="0" w:space="0" w:color="auto"/>
                        <w:bottom w:val="none" w:sz="0" w:space="0" w:color="auto"/>
                        <w:right w:val="none" w:sz="0" w:space="0" w:color="auto"/>
                      </w:divBdr>
                      <w:divsChild>
                        <w:div w:id="341517609">
                          <w:marLeft w:val="0"/>
                          <w:marRight w:val="0"/>
                          <w:marTop w:val="300"/>
                          <w:marBottom w:val="0"/>
                          <w:divBdr>
                            <w:top w:val="none" w:sz="0" w:space="0" w:color="auto"/>
                            <w:left w:val="none" w:sz="0" w:space="0" w:color="auto"/>
                            <w:bottom w:val="none" w:sz="0" w:space="0" w:color="auto"/>
                            <w:right w:val="none" w:sz="0" w:space="0" w:color="auto"/>
                          </w:divBdr>
                          <w:divsChild>
                            <w:div w:id="17452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994">
      <w:bodyDiv w:val="1"/>
      <w:marLeft w:val="0"/>
      <w:marRight w:val="0"/>
      <w:marTop w:val="0"/>
      <w:marBottom w:val="0"/>
      <w:divBdr>
        <w:top w:val="none" w:sz="0" w:space="0" w:color="auto"/>
        <w:left w:val="none" w:sz="0" w:space="0" w:color="auto"/>
        <w:bottom w:val="none" w:sz="0" w:space="0" w:color="auto"/>
        <w:right w:val="none" w:sz="0" w:space="0" w:color="auto"/>
      </w:divBdr>
    </w:div>
    <w:div w:id="1683434185">
      <w:bodyDiv w:val="1"/>
      <w:marLeft w:val="0"/>
      <w:marRight w:val="0"/>
      <w:marTop w:val="0"/>
      <w:marBottom w:val="0"/>
      <w:divBdr>
        <w:top w:val="none" w:sz="0" w:space="0" w:color="auto"/>
        <w:left w:val="none" w:sz="0" w:space="0" w:color="auto"/>
        <w:bottom w:val="none" w:sz="0" w:space="0" w:color="auto"/>
        <w:right w:val="none" w:sz="0" w:space="0" w:color="auto"/>
      </w:divBdr>
      <w:divsChild>
        <w:div w:id="762455929">
          <w:marLeft w:val="0"/>
          <w:marRight w:val="0"/>
          <w:marTop w:val="0"/>
          <w:marBottom w:val="0"/>
          <w:divBdr>
            <w:top w:val="none" w:sz="0" w:space="0" w:color="auto"/>
            <w:left w:val="none" w:sz="0" w:space="0" w:color="auto"/>
            <w:bottom w:val="none" w:sz="0" w:space="0" w:color="auto"/>
            <w:right w:val="none" w:sz="0" w:space="0" w:color="auto"/>
          </w:divBdr>
          <w:divsChild>
            <w:div w:id="998268215">
              <w:marLeft w:val="0"/>
              <w:marRight w:val="0"/>
              <w:marTop w:val="0"/>
              <w:marBottom w:val="0"/>
              <w:divBdr>
                <w:top w:val="none" w:sz="0" w:space="0" w:color="auto"/>
                <w:left w:val="none" w:sz="0" w:space="0" w:color="auto"/>
                <w:bottom w:val="none" w:sz="0" w:space="0" w:color="auto"/>
                <w:right w:val="none" w:sz="0" w:space="0" w:color="auto"/>
              </w:divBdr>
              <w:divsChild>
                <w:div w:id="1644188556">
                  <w:marLeft w:val="0"/>
                  <w:marRight w:val="0"/>
                  <w:marTop w:val="0"/>
                  <w:marBottom w:val="0"/>
                  <w:divBdr>
                    <w:top w:val="none" w:sz="0" w:space="0" w:color="auto"/>
                    <w:left w:val="none" w:sz="0" w:space="0" w:color="auto"/>
                    <w:bottom w:val="none" w:sz="0" w:space="0" w:color="auto"/>
                    <w:right w:val="none" w:sz="0" w:space="0" w:color="auto"/>
                  </w:divBdr>
                  <w:divsChild>
                    <w:div w:id="680350938">
                      <w:marLeft w:val="0"/>
                      <w:marRight w:val="0"/>
                      <w:marTop w:val="0"/>
                      <w:marBottom w:val="0"/>
                      <w:divBdr>
                        <w:top w:val="none" w:sz="0" w:space="0" w:color="auto"/>
                        <w:left w:val="none" w:sz="0" w:space="0" w:color="auto"/>
                        <w:bottom w:val="none" w:sz="0" w:space="0" w:color="auto"/>
                        <w:right w:val="none" w:sz="0" w:space="0" w:color="auto"/>
                      </w:divBdr>
                      <w:divsChild>
                        <w:div w:id="1088422691">
                          <w:marLeft w:val="0"/>
                          <w:marRight w:val="0"/>
                          <w:marTop w:val="300"/>
                          <w:marBottom w:val="0"/>
                          <w:divBdr>
                            <w:top w:val="none" w:sz="0" w:space="0" w:color="auto"/>
                            <w:left w:val="none" w:sz="0" w:space="0" w:color="auto"/>
                            <w:bottom w:val="none" w:sz="0" w:space="0" w:color="auto"/>
                            <w:right w:val="none" w:sz="0" w:space="0" w:color="auto"/>
                          </w:divBdr>
                          <w:divsChild>
                            <w:div w:id="18894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CB7B-25C5-4035-80CB-75511407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2518</Words>
  <Characters>1436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2013.gada 17.decembra noteikumos Nr.1529 ”Veselības aprūpes organizēšanas un finansēšanas kārtība””</vt:lpstr>
      <vt:lpstr>Ministru kabineta noteikumu projekts „Grozījumi Ministru kabineta 2006.gada 7.februāra noteikumos Nr.107 „Noteikumi par valsts nodrošinātās juridiskās palīdzības reģistru””</vt:lpstr>
    </vt:vector>
  </TitlesOfParts>
  <Company>Veselības ministrija</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Nr.1529 ”Veselības aprūpes organizēšanas un finansēšanas kārtība””</dc:title>
  <dc:subject>Ministru kabineta noteikumu projekts</dc:subject>
  <dc:creator>Alvis Bless</dc:creator>
  <dc:description>A.Bless, 67876122
Alvis.Bless@vm.gov.lv</dc:description>
  <cp:lastModifiedBy>abless</cp:lastModifiedBy>
  <cp:revision>58</cp:revision>
  <cp:lastPrinted>2016-03-24T14:07:00Z</cp:lastPrinted>
  <dcterms:created xsi:type="dcterms:W3CDTF">2016-03-03T09:09:00Z</dcterms:created>
  <dcterms:modified xsi:type="dcterms:W3CDTF">2016-03-31T10:35:00Z</dcterms:modified>
</cp:coreProperties>
</file>