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D3" w:rsidRPr="003D504B" w:rsidRDefault="00A529D3" w:rsidP="003D50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8"/>
        </w:rPr>
      </w:pPr>
      <w:r w:rsidRPr="003D504B">
        <w:rPr>
          <w:rFonts w:ascii="Times New Roman" w:hAnsi="Times New Roman"/>
          <w:b/>
          <w:sz w:val="24"/>
          <w:szCs w:val="28"/>
        </w:rPr>
        <w:t xml:space="preserve">Ministru kabineta noteikumu projekta </w:t>
      </w:r>
      <w:r w:rsidR="00705A7D" w:rsidRPr="003D504B">
        <w:rPr>
          <w:rFonts w:ascii="Times New Roman" w:hAnsi="Times New Roman"/>
          <w:b/>
          <w:sz w:val="24"/>
          <w:szCs w:val="28"/>
        </w:rPr>
        <w:t xml:space="preserve">"Grozījumi </w:t>
      </w:r>
      <w:r w:rsidR="00E6188A" w:rsidRPr="003D504B">
        <w:rPr>
          <w:rFonts w:ascii="Times New Roman" w:hAnsi="Times New Roman"/>
          <w:b/>
          <w:sz w:val="24"/>
          <w:szCs w:val="28"/>
        </w:rPr>
        <w:t>M</w:t>
      </w:r>
      <w:r w:rsidR="00705A7D" w:rsidRPr="003D504B">
        <w:rPr>
          <w:rFonts w:ascii="Times New Roman" w:hAnsi="Times New Roman"/>
          <w:b/>
          <w:sz w:val="24"/>
          <w:szCs w:val="28"/>
        </w:rPr>
        <w:t>inistru kabineta 2015.gada 29.septembra noteikumos Nr.557 "</w:t>
      </w:r>
      <w:r w:rsidR="00705A7D" w:rsidRPr="003D504B">
        <w:rPr>
          <w:rFonts w:ascii="Times New Roman" w:hAnsi="Times New Roman"/>
          <w:b/>
          <w:i/>
          <w:sz w:val="24"/>
          <w:szCs w:val="28"/>
        </w:rPr>
        <w:t>De minimis</w:t>
      </w:r>
      <w:r w:rsidR="00705A7D" w:rsidRPr="003D504B">
        <w:rPr>
          <w:rFonts w:ascii="Times New Roman" w:hAnsi="Times New Roman"/>
          <w:b/>
          <w:sz w:val="24"/>
          <w:szCs w:val="28"/>
        </w:rPr>
        <w:t xml:space="preserve"> atbalsta uzskaites un piešķiršanas kārtība lauksaimniecības nozarē""</w:t>
      </w:r>
      <w:r w:rsidR="00705A7D" w:rsidRPr="003D504B">
        <w:rPr>
          <w:rFonts w:ascii="Times New Roman" w:hAnsi="Times New Roman"/>
          <w:b/>
          <w:bCs/>
          <w:sz w:val="24"/>
          <w:szCs w:val="28"/>
          <w:lang w:eastAsia="lv-LV"/>
        </w:rPr>
        <w:t xml:space="preserve"> </w:t>
      </w:r>
      <w:r w:rsidRPr="003D504B">
        <w:rPr>
          <w:rFonts w:ascii="Times New Roman" w:hAnsi="Times New Roman"/>
          <w:b/>
          <w:sz w:val="24"/>
          <w:szCs w:val="28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72"/>
        <w:gridCol w:w="6262"/>
      </w:tblGrid>
      <w:tr w:rsidR="00A529D3" w:rsidRPr="00E26B11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A529D3" w:rsidRPr="00E26B11" w:rsidTr="00D121F2">
        <w:trPr>
          <w:trHeight w:val="415"/>
        </w:trPr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:rsidR="00A529D3" w:rsidRPr="000B5361" w:rsidRDefault="00591E32" w:rsidP="009276DC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Eiropas Komisijas (ES)</w:t>
            </w:r>
            <w:r w:rsidR="0069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 w:rsidR="00694561">
              <w:rPr>
                <w:rFonts w:ascii="Times New Roman" w:hAnsi="Times New Roman"/>
                <w:sz w:val="24"/>
                <w:szCs w:val="24"/>
              </w:rPr>
              <w:t>3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694561">
              <w:rPr>
                <w:rFonts w:ascii="Times New Roman" w:hAnsi="Times New Roman"/>
                <w:sz w:val="24"/>
                <w:szCs w:val="24"/>
              </w:rPr>
              <w:t>18.decembra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6DC">
              <w:rPr>
                <w:rFonts w:ascii="Times New Roman" w:hAnsi="Times New Roman"/>
                <w:sz w:val="24"/>
                <w:szCs w:val="24"/>
              </w:rPr>
              <w:t>R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egula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lauksaimniecības </w:t>
            </w:r>
            <w:r>
              <w:rPr>
                <w:rFonts w:ascii="Times New Roman" w:hAnsi="Times New Roman"/>
                <w:sz w:val="24"/>
                <w:szCs w:val="24"/>
              </w:rPr>
              <w:t>nozarē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 xml:space="preserve"> (turpmāk – Komisijas regula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>)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Lauksaimniecības un lauku a</w:t>
            </w:r>
            <w:r w:rsidR="002E3E65">
              <w:rPr>
                <w:rFonts w:ascii="Times New Roman" w:hAnsi="Times New Roman"/>
                <w:sz w:val="24"/>
                <w:szCs w:val="24"/>
              </w:rPr>
              <w:t>ttīstības likuma 5.panta septītā daļa</w:t>
            </w:r>
          </w:p>
        </w:tc>
      </w:tr>
      <w:tr w:rsidR="00A529D3" w:rsidRPr="00E26B11" w:rsidTr="00D121F2">
        <w:trPr>
          <w:trHeight w:val="472"/>
        </w:trPr>
        <w:tc>
          <w:tcPr>
            <w:tcW w:w="286" w:type="pct"/>
          </w:tcPr>
          <w:p w:rsidR="00D75701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:rsidR="00D75701" w:rsidRPr="00E26B11" w:rsidRDefault="00A529D3" w:rsidP="0023126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:rsidR="0079142A" w:rsidRDefault="0079142A" w:rsidP="0053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Paš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laik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 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lauksaimniecības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.gada 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29.septembra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noteikumiem Nr.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="008B1A70" w:rsidRPr="008E0A9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8B1A70" w:rsidRPr="008B1A70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lauksaimniecības nozarē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” (turpmāk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054D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noteikumi Nr.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557</w:t>
            </w:r>
            <w:r w:rsidR="002D52F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  <w:r w:rsidR="003B28A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FA4A43">
              <w:rPr>
                <w:rFonts w:ascii="Times New Roman" w:hAnsi="Times New Roman"/>
                <w:sz w:val="24"/>
                <w:szCs w:val="24"/>
              </w:rPr>
              <w:t xml:space="preserve">varētu </w:t>
            </w:r>
            <w:r>
              <w:rPr>
                <w:rFonts w:ascii="Times New Roman" w:hAnsi="Times New Roman"/>
                <w:sz w:val="24"/>
                <w:szCs w:val="24"/>
              </w:rPr>
              <w:t>precīz</w:t>
            </w:r>
            <w:r w:rsidR="00FA4A43">
              <w:rPr>
                <w:rFonts w:ascii="Times New Roman" w:hAnsi="Times New Roman"/>
                <w:sz w:val="24"/>
                <w:szCs w:val="24"/>
              </w:rPr>
              <w:t>i piemērot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Komisijas </w:t>
            </w:r>
            <w:r w:rsidR="00BD002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egul</w:t>
            </w:r>
            <w:r w:rsidR="00FA4A4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387FF9">
              <w:rPr>
                <w:rFonts w:ascii="Times New Roman" w:hAnsi="Times New Roman"/>
                <w:sz w:val="24"/>
                <w:szCs w:val="24"/>
              </w:rPr>
              <w:t xml:space="preserve"> un Lauku atbalsta dienests varētu reģistrēt un apkopot visu informāciju par šīs regulas piemērošanu,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 kā arī lai nepieļautu, ka tiek pārsniegta </w:t>
            </w:r>
            <w:r w:rsidR="00C0105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 atbalsta robežvērtība vienam</w:t>
            </w:r>
            <w:r w:rsidR="0006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051">
              <w:rPr>
                <w:rFonts w:ascii="Times New Roman" w:hAnsi="Times New Roman"/>
                <w:sz w:val="24"/>
                <w:szCs w:val="24"/>
              </w:rPr>
              <w:t>atbalsta pretendentam, kas noteikta Komisijas regulas Nr.140</w:t>
            </w:r>
            <w:r w:rsidR="00AF3BBD">
              <w:rPr>
                <w:rFonts w:ascii="Times New Roman" w:hAnsi="Times New Roman"/>
                <w:sz w:val="24"/>
                <w:szCs w:val="24"/>
              </w:rPr>
              <w:t>8</w:t>
            </w:r>
            <w:r w:rsidR="00C01051">
              <w:rPr>
                <w:rFonts w:ascii="Times New Roman" w:hAnsi="Times New Roman"/>
                <w:sz w:val="24"/>
                <w:szCs w:val="24"/>
              </w:rPr>
              <w:t>/2013 3.panta 2.punktā</w:t>
            </w:r>
            <w:r w:rsidR="00497057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BD002C">
              <w:rPr>
                <w:rFonts w:ascii="Times New Roman" w:hAnsi="Times New Roman"/>
                <w:sz w:val="24"/>
                <w:szCs w:val="24"/>
              </w:rPr>
              <w:t>maksim</w:t>
            </w:r>
            <w:r w:rsidR="00D67FE2">
              <w:rPr>
                <w:rFonts w:ascii="Times New Roman" w:hAnsi="Times New Roman"/>
                <w:sz w:val="24"/>
                <w:szCs w:val="24"/>
              </w:rPr>
              <w:t>ālā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kumulat</w:t>
            </w:r>
            <w:r w:rsidR="00D67FE2">
              <w:rPr>
                <w:rFonts w:ascii="Times New Roman" w:hAnsi="Times New Roman"/>
                <w:sz w:val="24"/>
                <w:szCs w:val="24"/>
              </w:rPr>
              <w:t>īvā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02C" w:rsidRPr="00D67FE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atbalsta </w:t>
            </w:r>
            <w:r w:rsidR="00D67FE2">
              <w:rPr>
                <w:rFonts w:ascii="Times New Roman" w:hAnsi="Times New Roman"/>
                <w:sz w:val="24"/>
                <w:szCs w:val="24"/>
              </w:rPr>
              <w:t>summa</w:t>
            </w:r>
            <w:r w:rsidR="00BD002C">
              <w:rPr>
                <w:rFonts w:ascii="Times New Roman" w:hAnsi="Times New Roman"/>
                <w:sz w:val="24"/>
                <w:szCs w:val="24"/>
              </w:rPr>
              <w:t>, k</w:t>
            </w:r>
            <w:r w:rsidR="00157163">
              <w:rPr>
                <w:rFonts w:ascii="Times New Roman" w:hAnsi="Times New Roman"/>
                <w:sz w:val="24"/>
                <w:szCs w:val="24"/>
              </w:rPr>
              <w:t>uru</w:t>
            </w:r>
            <w:r w:rsidR="00BD002C">
              <w:rPr>
                <w:rFonts w:ascii="Times New Roman" w:hAnsi="Times New Roman"/>
                <w:sz w:val="24"/>
                <w:szCs w:val="24"/>
              </w:rPr>
              <w:t xml:space="preserve"> dalībvalsts drīkst piešķirt saskaņā ar   Komisijas regulas Nr.1408/2013 3.panta 3.punktu,</w:t>
            </w:r>
            <w:r w:rsidR="00C01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FF9">
              <w:rPr>
                <w:rFonts w:ascii="Times New Roman" w:hAnsi="Times New Roman"/>
                <w:sz w:val="24"/>
                <w:szCs w:val="24"/>
              </w:rPr>
              <w:t>noteikumu projektā paredzēts</w:t>
            </w:r>
            <w:r w:rsidR="006E5F96">
              <w:rPr>
                <w:rFonts w:ascii="Times New Roman" w:hAnsi="Times New Roman"/>
                <w:sz w:val="24"/>
                <w:szCs w:val="24"/>
              </w:rPr>
              <w:t>, ka</w:t>
            </w:r>
            <w:r w:rsidR="0038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F96" w:rsidRPr="00E96CA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6E5F96">
              <w:rPr>
                <w:rFonts w:ascii="Times New Roman" w:hAnsi="Times New Roman"/>
                <w:sz w:val="24"/>
                <w:szCs w:val="24"/>
              </w:rPr>
              <w:t xml:space="preserve"> atbalsta sniedzējam ir</w:t>
            </w:r>
            <w:r w:rsidR="00387FF9">
              <w:rPr>
                <w:rFonts w:ascii="Times New Roman" w:hAnsi="Times New Roman"/>
                <w:sz w:val="24"/>
                <w:szCs w:val="24"/>
              </w:rPr>
              <w:t xml:space="preserve"> pienākum</w:t>
            </w:r>
            <w:r w:rsidR="006E5F96">
              <w:rPr>
                <w:rFonts w:ascii="Times New Roman" w:hAnsi="Times New Roman"/>
                <w:sz w:val="24"/>
                <w:szCs w:val="24"/>
              </w:rPr>
              <w:t>s</w:t>
            </w:r>
            <w:r w:rsidR="00387FF9">
              <w:rPr>
                <w:rFonts w:ascii="Times New Roman" w:hAnsi="Times New Roman"/>
                <w:sz w:val="24"/>
                <w:szCs w:val="24"/>
              </w:rPr>
              <w:t xml:space="preserve"> noslēgt</w:t>
            </w:r>
            <w:r w:rsidR="006E5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FF9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līgumu ar Lauku atbalsta dienestu par elektroniskās pieteikšanās sistēmas (EPS)</w:t>
            </w:r>
            <w:r w:rsid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87FF9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lietošanu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lai nodrošinātu, </w:t>
            </w:r>
            <w:r w:rsidR="009F3CBD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ka turpmāk </w:t>
            </w:r>
            <w:r w:rsidR="00E96CAE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F3CBD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atbalsta sniedz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ējs uzskaites veidlapu </w:t>
            </w:r>
            <w:r w:rsidR="006E5F96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(2.pielikums) </w:t>
            </w:r>
            <w:r w:rsidR="002857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izveido un 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aizpilda</w:t>
            </w:r>
            <w:r w:rsidR="009F3CBD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</w:t>
            </w:r>
            <w:r w:rsidR="009F3CBD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auku atbalsta dienesta elektroniskajā pieteikšanās sistēmā (EPS)</w:t>
            </w:r>
            <w:r w:rsidR="00C0105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Aizpildot </w:t>
            </w:r>
            <w:r w:rsidR="00C01051" w:rsidRPr="0073354C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C0105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uzskaites veidlapu</w:t>
            </w:r>
            <w:r w:rsidR="009C24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C24D5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dienesta elektroniskajā pieteikšanās sistēmā (EPS)</w:t>
            </w:r>
            <w:r w:rsidR="00C0105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atbalsta sniedzējam </w:t>
            </w:r>
            <w:r w:rsidR="0053262C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būs pieejami </w:t>
            </w:r>
            <w:r w:rsidR="00E96CAE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</w:t>
            </w:r>
            <w:r w:rsidR="0053262C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auku atbalsta dienesta rīcībā esošie dati </w:t>
            </w:r>
            <w:r w:rsidR="00E96CAE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53262C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atbalsta pretendentam </w:t>
            </w:r>
            <w:r w:rsidR="00E96CAE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iepriekš piešķirto </w:t>
            </w:r>
            <w:r w:rsidR="00E96CAE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E96CAE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</w:t>
            </w:r>
            <w:r w:rsidR="00694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saskaņā ar Komisijas regulu Nr.1408/2013, Komisijas 2014.gada 27.jūnija Regulu (ES) Nr.717/2014 par Līguma par Eiropas Savienības darbību 107. un 108.panta piemērošanu </w:t>
            </w:r>
            <w:r w:rsidR="00694561" w:rsidRPr="0069456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694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 zvejniecības un akvakultūras nozarē un Lauku atbalsta dienesta piešķirto </w:t>
            </w:r>
            <w:r w:rsidR="00694561" w:rsidRPr="0069456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694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saskaņā ar 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Eiropas Komisijas (ES)</w:t>
            </w:r>
            <w:r w:rsidR="0069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 w:rsidR="00694561">
              <w:rPr>
                <w:rFonts w:ascii="Times New Roman" w:hAnsi="Times New Roman"/>
                <w:sz w:val="24"/>
                <w:szCs w:val="24"/>
              </w:rPr>
              <w:t>3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694561">
              <w:rPr>
                <w:rFonts w:ascii="Times New Roman" w:hAnsi="Times New Roman"/>
                <w:sz w:val="24"/>
                <w:szCs w:val="24"/>
              </w:rPr>
              <w:t>18.decembra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561">
              <w:rPr>
                <w:rFonts w:ascii="Times New Roman" w:hAnsi="Times New Roman"/>
                <w:sz w:val="24"/>
                <w:szCs w:val="24"/>
              </w:rPr>
              <w:t xml:space="preserve"> regulu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694561">
              <w:rPr>
                <w:rFonts w:ascii="Times New Roman" w:hAnsi="Times New Roman"/>
                <w:sz w:val="24"/>
                <w:szCs w:val="24"/>
              </w:rPr>
              <w:t>1407/2013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="00694561"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 w:rsidR="006945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262C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Jaunā prasība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5716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ļaus 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nodrošinā</w:t>
            </w:r>
            <w:r w:rsidR="00157163">
              <w:rPr>
                <w:rFonts w:ascii="Times New Roman" w:hAnsi="Times New Roman"/>
                <w:sz w:val="24"/>
                <w:szCs w:val="24"/>
                <w:lang w:eastAsia="lv-LV"/>
              </w:rPr>
              <w:t>t to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ka informācija par atbalsta pretendentiem piešķirto </w:t>
            </w:r>
            <w:r w:rsidR="006E5F96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</w:t>
            </w:r>
            <w:r w:rsidR="00694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lauksaimniecības, zvejniecības un akvakultūras jomā, kā arī </w:t>
            </w:r>
            <w:r w:rsidR="002857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par </w:t>
            </w:r>
            <w:r w:rsidR="00694561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dienesta pieš</w:t>
            </w:r>
            <w:r w:rsidR="002857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ķirto citu </w:t>
            </w:r>
            <w:r w:rsidR="00285778" w:rsidRPr="00285778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2857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</w:t>
            </w:r>
            <w:r w:rsidR="006E5F96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tiks apkopota </w:t>
            </w:r>
            <w:r w:rsidR="00C01051">
              <w:rPr>
                <w:rFonts w:ascii="Times New Roman" w:hAnsi="Times New Roman"/>
                <w:sz w:val="24"/>
                <w:szCs w:val="24"/>
                <w:lang w:eastAsia="lv-LV"/>
              </w:rPr>
              <w:t>vienotā datubāzē.</w:t>
            </w:r>
          </w:p>
          <w:p w:rsidR="00285778" w:rsidRDefault="00285778" w:rsidP="00285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15716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Nr.557 nosaka, ka atbalsta pretendentam ir nepieciešams sniegt informāciju ne tikai par kārtējā un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iepriekšējos divos fiskālajos gados saņemto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atbalstu un citu valsts atbalstu, bet arī par atbalsta pretendenta plānoto citu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atbalstu un citu valsts atbalstu. 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 xml:space="preserve">Lai nodrošinātu skaidrāku šī regulējuma uztveri, Ministru kabineta noteikumu projekts "Grozījumi </w:t>
            </w:r>
            <w:r w:rsidR="00CD7511">
              <w:rPr>
                <w:rFonts w:ascii="Times New Roman" w:hAnsi="Times New Roman"/>
                <w:sz w:val="24"/>
                <w:szCs w:val="24"/>
              </w:rPr>
              <w:t>M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>inistru kabineta 2015.gada 29.septembra noteikumos Nr.557 "</w:t>
            </w:r>
            <w:r w:rsidRPr="00AF3BBD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AF3BBD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lauksaimniecības nozarē""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8D02AB">
              <w:rPr>
                <w:rFonts w:ascii="Times New Roman" w:hAnsi="Times New Roman"/>
                <w:sz w:val="24"/>
                <w:szCs w:val="24"/>
                <w:lang w:eastAsia="lv-LV"/>
              </w:rPr>
              <w:t>(turpmāk – noteikumu projekts) ir papildināts a</w:t>
            </w:r>
            <w:r w:rsidRPr="00157163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</w:t>
            </w:r>
            <w:r w:rsidR="0015716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“plānotais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atbalsts” un “plānotais cits valsts atbalsts” skaidrojumu. </w:t>
            </w:r>
            <w:r>
              <w:rPr>
                <w:rFonts w:ascii="Times New Roman" w:hAnsi="Times New Roman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 termin</w:t>
            </w:r>
            <w:r w:rsidR="00157163">
              <w:rPr>
                <w:rFonts w:ascii="Times New Roman" w:hAnsi="Times New Roman"/>
                <w:sz w:val="24"/>
                <w:szCs w:val="24"/>
              </w:rPr>
              <w:t>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“plānotais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atbalsts” un “plānotais cits valsts atbalsts” ir </w:t>
            </w:r>
            <w:r w:rsidR="00157163">
              <w:rPr>
                <w:rFonts w:ascii="Times New Roman" w:hAnsi="Times New Roman"/>
                <w:sz w:val="24"/>
                <w:szCs w:val="24"/>
              </w:rPr>
              <w:t>apzīmēts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tād</w:t>
            </w:r>
            <w:r w:rsidR="0015716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</w:t>
            </w:r>
            <w:r w:rsidR="0015716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uz kuru atbalsta pretendents ir paralēli pieteicies citā atbalsta programmā vai pieteicies individuālam atbalstam, bet par kuru atbalsta sniedzējs vēl nav pieņēmis lēmumu.</w:t>
            </w:r>
            <w:r w:rsidR="00F15064">
              <w:rPr>
                <w:rFonts w:ascii="Times New Roman" w:hAnsi="Times New Roman"/>
                <w:sz w:val="24"/>
                <w:szCs w:val="24"/>
              </w:rPr>
              <w:t xml:space="preserve"> Ievērojot minēto, precizēts arī 1.pielikuma 2.1., 2.2. un 2.3.apakšpunkts.</w:t>
            </w:r>
          </w:p>
          <w:p w:rsidR="008B1A70" w:rsidRDefault="008B1A70" w:rsidP="0073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korekti tiktu ievēroti Komisijas regulas Nr.140</w:t>
            </w:r>
            <w:r w:rsidR="005326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/2013 6.panta 4.punkta nosacījumi attiecībā uz datu</w:t>
            </w:r>
            <w:r w:rsidR="00157163">
              <w:rPr>
                <w:rFonts w:ascii="Times New Roman" w:hAnsi="Times New Roman"/>
                <w:sz w:val="24"/>
                <w:szCs w:val="24"/>
              </w:rPr>
              <w:t xml:space="preserve"> to glabāšanu</w:t>
            </w:r>
            <w:r>
              <w:rPr>
                <w:rFonts w:ascii="Times New Roman" w:hAnsi="Times New Roman"/>
                <w:sz w:val="24"/>
                <w:szCs w:val="24"/>
              </w:rPr>
              <w:t>, k</w:t>
            </w:r>
            <w:r w:rsidR="00157163">
              <w:rPr>
                <w:rFonts w:ascii="Times New Roman" w:hAnsi="Times New Roman"/>
                <w:sz w:val="24"/>
                <w:szCs w:val="24"/>
              </w:rPr>
              <w:t>uri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nepieciešami, lai pierādītu Komisijas regulas Nr.140</w:t>
            </w:r>
            <w:r w:rsidR="005326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/2013 nosacījumu ievērošanu, noteikumu projekts paredz precizēt MK noteikumus Nr.</w:t>
            </w:r>
            <w:r w:rsidR="0053262C">
              <w:rPr>
                <w:rFonts w:ascii="Times New Roman" w:hAnsi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nosakot, ka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pretendentam ir pienākums glabāt ne tikai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uzskaites veidlapas, bet </w:t>
            </w:r>
            <w:r w:rsidR="00157163">
              <w:rPr>
                <w:rFonts w:ascii="Times New Roman" w:hAnsi="Times New Roman"/>
                <w:sz w:val="24"/>
                <w:szCs w:val="24"/>
              </w:rPr>
              <w:t>arī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visus datus par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piešķiršanu 10 gadus no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piešķiršanas</w:t>
            </w:r>
            <w:r w:rsidR="00D94308">
              <w:rPr>
                <w:rFonts w:ascii="Times New Roman" w:hAnsi="Times New Roman"/>
                <w:sz w:val="24"/>
                <w:szCs w:val="24"/>
              </w:rPr>
              <w:t xml:space="preserve"> dienas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A70" w:rsidRPr="00E26B11" w:rsidRDefault="008B1A70" w:rsidP="00BD002C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atbalsta sniedzējam būtu skaidrs, ka, izvērtējot piešķiramā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apmēru, ir nepieciešams ņemt vērā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pretendenta iepriekš saņemto citu valsts atbalstu par tām pašām attiecināmajām izmaksām, lai netiktu pārsniegta nedz maksimāli pieļaujamā atbalsta intensitāte, kas noteikta citā atbalsta programmā vai individuālajā atbalsta projektā, nedz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Nr.140</w:t>
            </w:r>
            <w:r w:rsidR="00BD00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/2013 3.panta 2.punktā, noteikumu projekts paredz attiecīgus papildinājumus 2.pielikumā. </w:t>
            </w:r>
          </w:p>
        </w:tc>
      </w:tr>
      <w:tr w:rsidR="00A529D3" w:rsidRPr="00E26B11" w:rsidTr="00D121F2">
        <w:trPr>
          <w:trHeight w:val="476"/>
        </w:trPr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:rsidR="00A529D3" w:rsidRPr="00E26B11" w:rsidRDefault="00FA4A43" w:rsidP="007914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 w:rsidR="00133562"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="00475210"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="00A529D3" w:rsidRPr="00E26B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E26B11" w:rsidTr="00D121F2"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</w:p>
        </w:tc>
      </w:tr>
    </w:tbl>
    <w:p w:rsidR="00F32A94" w:rsidRPr="00E26B11" w:rsidRDefault="00F32A94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E26B11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A529D3" w:rsidRPr="00E26B11" w:rsidTr="00EC6F22">
        <w:trPr>
          <w:trHeight w:val="467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Sabiedrības mērķgrupas, kuras tiesiskais regulējums ietekmē vai varētu ietekmēt</w:t>
            </w:r>
          </w:p>
        </w:tc>
        <w:tc>
          <w:tcPr>
            <w:tcW w:w="6389" w:type="dxa"/>
          </w:tcPr>
          <w:p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</w:t>
            </w:r>
            <w:r w:rsidR="007453E5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="002E3E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E26B11" w:rsidTr="00EC6F22">
        <w:trPr>
          <w:trHeight w:val="523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2.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A529D3" w:rsidRPr="00E26B11" w:rsidRDefault="00AC3AF4" w:rsidP="00BD2022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Tiesiskajam regulējuma nav ietekmes uz tautsaimniecību, jo noteikumu projekts nosaka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nevis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kārtību.</w:t>
            </w:r>
            <w:r w:rsidR="00420910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</w:t>
            </w:r>
            <w:r w:rsidR="00225F78">
              <w:rPr>
                <w:rFonts w:ascii="Times New Roman" w:hAnsi="Times New Roman"/>
                <w:sz w:val="24"/>
                <w:szCs w:val="24"/>
                <w:lang w:eastAsia="lv-LV"/>
              </w:rPr>
              <w:t>nepalielināsies</w:t>
            </w:r>
            <w:r w:rsidR="00420910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jo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projektā ietvertās prasības </w:t>
            </w:r>
            <w:r w:rsidR="00D67F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nosaka kārtību, kādā atbalsta sniedzējs, aizpildot </w:t>
            </w:r>
            <w:r w:rsidR="00D67FE2" w:rsidRPr="00D67FE2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D67F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uzskaites veidlapu Lauku atbalsta </w:t>
            </w:r>
            <w:r w:rsidR="00D67FE2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dienesta elektroniskajā pietikšanās sistēmā (EPS)</w:t>
            </w:r>
            <w:r w:rsidR="00157163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D67F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nodrošina, ka pēc iespējas tiks samazināts</w:t>
            </w:r>
            <w:r w:rsidR="00BD202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risks, </w:t>
            </w:r>
            <w:r w:rsidR="00BD2022">
              <w:rPr>
                <w:rFonts w:ascii="Times New Roman" w:hAnsi="Times New Roman"/>
                <w:sz w:val="24"/>
                <w:szCs w:val="24"/>
              </w:rPr>
              <w:t xml:space="preserve">ka tiek pārsniegta </w:t>
            </w:r>
            <w:r w:rsidR="00BD202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BD2022">
              <w:rPr>
                <w:rFonts w:ascii="Times New Roman" w:hAnsi="Times New Roman"/>
                <w:sz w:val="24"/>
                <w:szCs w:val="24"/>
              </w:rPr>
              <w:t xml:space="preserve"> atbalsta robežvērtība vienam </w:t>
            </w:r>
            <w:r w:rsidR="00BD2022" w:rsidRPr="00C0105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BD2022">
              <w:rPr>
                <w:rFonts w:ascii="Times New Roman" w:hAnsi="Times New Roman"/>
                <w:sz w:val="24"/>
                <w:szCs w:val="24"/>
              </w:rPr>
              <w:t xml:space="preserve"> atbalsta pretendentam, k</w:t>
            </w:r>
            <w:r w:rsidR="00157163">
              <w:rPr>
                <w:rFonts w:ascii="Times New Roman" w:hAnsi="Times New Roman"/>
                <w:sz w:val="24"/>
                <w:szCs w:val="24"/>
              </w:rPr>
              <w:t>ura</w:t>
            </w:r>
            <w:r w:rsidR="00BD2022">
              <w:rPr>
                <w:rFonts w:ascii="Times New Roman" w:hAnsi="Times New Roman"/>
                <w:sz w:val="24"/>
                <w:szCs w:val="24"/>
              </w:rPr>
              <w:t xml:space="preserve"> noteikta Komisijas regulas Nr.1408/2013 3.panta 2.punktā, kā arī maksimālā kumulatīvā </w:t>
            </w:r>
            <w:r w:rsidR="00BD2022" w:rsidRPr="00D67FE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BD2022">
              <w:rPr>
                <w:rFonts w:ascii="Times New Roman" w:hAnsi="Times New Roman"/>
                <w:sz w:val="24"/>
                <w:szCs w:val="24"/>
              </w:rPr>
              <w:t xml:space="preserve"> atbalsta summa, ko dalībvalsts drīkst piešķirt saskaņā ar Komisijas regulas Nr.1408/2013 3.panta 3.punktu.</w:t>
            </w:r>
          </w:p>
        </w:tc>
      </w:tr>
      <w:tr w:rsidR="00A529D3" w:rsidRPr="00E26B11" w:rsidTr="00EC6F22">
        <w:trPr>
          <w:trHeight w:val="523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3.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:rsidR="00A529D3" w:rsidRPr="00E26B11" w:rsidRDefault="00CD6808" w:rsidP="00CD680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atbalsta programmas,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E26B11" w:rsidTr="00EC6F22">
        <w:trPr>
          <w:trHeight w:val="357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E26B11" w:rsidRPr="003D002A" w:rsidRDefault="00E26B1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A529D3" w:rsidRPr="00E26B11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E26B11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5033" w:rsidRPr="00E26B11" w:rsidRDefault="003924FE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E26B11">
              <w:rPr>
                <w:rFonts w:ascii="Times New Roman" w:hAnsi="Times New Roman" w:cs="Times New Roman"/>
              </w:rPr>
              <w:t xml:space="preserve">nodrošina </w:t>
            </w:r>
            <w:r w:rsidRPr="00E26B11">
              <w:rPr>
                <w:rFonts w:ascii="Times New Roman" w:hAnsi="Times New Roman" w:cs="Times New Roman"/>
              </w:rPr>
              <w:t>Komisijas regulas Nr.</w:t>
            </w:r>
            <w:r w:rsidR="000067C4">
              <w:rPr>
                <w:rFonts w:ascii="Times New Roman" w:hAnsi="Times New Roman"/>
              </w:rPr>
              <w:t xml:space="preserve"> 1408/2013</w:t>
            </w:r>
            <w:r w:rsidR="00B416E0" w:rsidRPr="00E26B11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E26B11">
              <w:rPr>
                <w:rFonts w:ascii="Times New Roman" w:hAnsi="Times New Roman" w:cs="Times New Roman"/>
              </w:rPr>
              <w:t>.</w:t>
            </w:r>
          </w:p>
          <w:p w:rsidR="00A529D3" w:rsidRPr="00E26B11" w:rsidRDefault="00A529D3" w:rsidP="00231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9D3" w:rsidRPr="00E26B11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E26B11" w:rsidRDefault="00473639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E26B11" w:rsidTr="002E258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BCC" w:rsidRPr="00E26B11" w:rsidRDefault="00995BCC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5BCC" w:rsidRPr="00E26B11" w:rsidRDefault="00995BCC" w:rsidP="0023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E26B11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Default="000067C4" w:rsidP="00225F7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>
              <w:rPr>
                <w:rFonts w:ascii="Times New Roman" w:hAnsi="Times New Roman"/>
                <w:sz w:val="24"/>
                <w:szCs w:val="24"/>
              </w:rPr>
              <w:t>18.decembra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Eiropas Komisijas (ES) regula Nr.</w:t>
            </w:r>
            <w:r>
              <w:rPr>
                <w:rFonts w:ascii="Times New Roman" w:hAnsi="Times New Roman"/>
                <w:sz w:val="24"/>
                <w:szCs w:val="24"/>
              </w:rPr>
              <w:t>1408/2013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lauksaimniecības nozarē</w:t>
            </w:r>
            <w:r w:rsidR="00914C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CEA" w:rsidRPr="00E26B11" w:rsidRDefault="00914CEA" w:rsidP="00914C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D3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29D3" w:rsidRPr="00E26B11" w:rsidRDefault="00A529D3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A529D3" w:rsidRPr="00E26B11" w:rsidRDefault="00A529D3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tiesību aktos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EC38C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1408/2013 6. panta 4.punkts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97333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9733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C23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punkts</w:t>
            </w: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  <w:p w:rsidR="00EC38C5" w:rsidRPr="00E26B11" w:rsidRDefault="00EC38C5" w:rsidP="006E4DC3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piemērotas.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5E2586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8C5" w:rsidRPr="00E26B11" w:rsidRDefault="00EC38C5" w:rsidP="00231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Starptautiskās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saistības (pēc būtības), kas izriet no 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 pasākumi vai uzdevumi, ar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Informācija par to, vai starptautiskās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saistības, kas minētas šīs tabulas A ailē, tiek izpildītas pilnībā vai daļēji.</w:t>
            </w:r>
          </w:p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EC38C5" w:rsidRPr="00E26B11" w:rsidRDefault="00EC38C5" w:rsidP="0023126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8C5" w:rsidRPr="00E26B11" w:rsidTr="002E258B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8C5" w:rsidRPr="00E26B11" w:rsidRDefault="00EC38C5" w:rsidP="002312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29D3" w:rsidRDefault="00A529D3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693"/>
        <w:gridCol w:w="6709"/>
      </w:tblGrid>
      <w:tr w:rsidR="000B5361" w:rsidRPr="000B5361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5361" w:rsidRPr="000B5361" w:rsidRDefault="000B536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54C70" w:rsidRPr="000B5361" w:rsidTr="00D121F2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C70" w:rsidRPr="000B5361" w:rsidTr="00D121F2">
        <w:trPr>
          <w:trHeight w:val="330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C70" w:rsidRPr="000B5361" w:rsidTr="00D121F2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28D" w:rsidRPr="000B5361" w:rsidTr="00D121F2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133562" w:rsidP="0005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 n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oteikumu projekts nosaka tikai </w:t>
            </w:r>
            <w:r w:rsidR="000B5361"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5C4BCA">
              <w:rPr>
                <w:rFonts w:ascii="Times New Roman" w:hAnsi="Times New Roman"/>
                <w:sz w:val="24"/>
                <w:szCs w:val="24"/>
              </w:rPr>
              <w:t xml:space="preserve"> atbalsta uzskaites,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piešķiršanas </w:t>
            </w:r>
            <w:r w:rsidR="005C4BCA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0B5361">
              <w:rPr>
                <w:rFonts w:ascii="Times New Roman" w:hAnsi="Times New Roman"/>
                <w:sz w:val="24"/>
                <w:szCs w:val="24"/>
              </w:rPr>
              <w:t>kontroles kārtību un paredz nosacījumus, kas izriet tieši no Komisijas regulas Nr.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 1408/2013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noteikumu projekta izstrād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nav nepieciešams iesaistīt sabiedrības pārstāvjus. </w:t>
            </w:r>
          </w:p>
        </w:tc>
      </w:tr>
    </w:tbl>
    <w:p w:rsidR="007966F6" w:rsidRPr="00E26B11" w:rsidRDefault="007966F6" w:rsidP="00231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 w:rsidR="000B5361">
        <w:rPr>
          <w:rFonts w:ascii="Times New Roman" w:hAnsi="Times New Roman"/>
          <w:i/>
          <w:sz w:val="24"/>
          <w:szCs w:val="24"/>
        </w:rPr>
        <w:t>I</w:t>
      </w:r>
      <w:r w:rsidR="00927D48">
        <w:rPr>
          <w:rFonts w:ascii="Times New Roman" w:hAnsi="Times New Roman"/>
          <w:i/>
          <w:sz w:val="24"/>
          <w:szCs w:val="24"/>
        </w:rPr>
        <w:t>, IV</w:t>
      </w:r>
      <w:r w:rsidR="000B5361">
        <w:rPr>
          <w:rFonts w:ascii="Times New Roman" w:hAnsi="Times New Roman"/>
          <w:i/>
          <w:sz w:val="24"/>
          <w:szCs w:val="24"/>
        </w:rPr>
        <w:t xml:space="preserve"> </w:t>
      </w:r>
      <w:r w:rsidRPr="00E26B11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E26B11">
        <w:rPr>
          <w:rFonts w:ascii="Times New Roman" w:hAnsi="Times New Roman"/>
          <w:i/>
          <w:sz w:val="24"/>
          <w:szCs w:val="24"/>
        </w:rPr>
        <w:t xml:space="preserve">sadaļa – </w:t>
      </w:r>
      <w:r w:rsidRPr="00E26B11">
        <w:rPr>
          <w:rFonts w:ascii="Times New Roman" w:hAnsi="Times New Roman"/>
          <w:i/>
          <w:sz w:val="24"/>
          <w:szCs w:val="24"/>
        </w:rPr>
        <w:t>projekts šīs jomas neskar.</w:t>
      </w:r>
    </w:p>
    <w:p w:rsidR="001D41F2" w:rsidRDefault="001D41F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8BA" w:rsidRPr="00E26B11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6F6" w:rsidRPr="000B5361" w:rsidRDefault="00591E3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Zemkopības</w:t>
      </w:r>
      <w:r w:rsidR="007966F6" w:rsidRPr="00E26B11">
        <w:rPr>
          <w:rFonts w:ascii="Times New Roman" w:hAnsi="Times New Roman"/>
          <w:color w:val="000000"/>
          <w:sz w:val="24"/>
          <w:szCs w:val="24"/>
        </w:rPr>
        <w:t xml:space="preserve"> ministrs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E26B11">
        <w:rPr>
          <w:rFonts w:ascii="Times New Roman" w:hAnsi="Times New Roman"/>
          <w:color w:val="000000"/>
          <w:sz w:val="24"/>
          <w:szCs w:val="24"/>
        </w:rPr>
        <w:tab/>
      </w:r>
      <w:r w:rsidR="003A3F3C">
        <w:rPr>
          <w:rFonts w:ascii="Times New Roman" w:hAnsi="Times New Roman"/>
          <w:color w:val="000000"/>
          <w:sz w:val="24"/>
          <w:szCs w:val="24"/>
        </w:rPr>
        <w:t>J</w:t>
      </w:r>
      <w:r w:rsidR="003D504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Dūklavs</w:t>
      </w:r>
    </w:p>
    <w:p w:rsidR="00027E38" w:rsidRDefault="00027E3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Pr="00E26B11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pStyle w:val="nais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15.03.2016. 11:19</w:t>
      </w:r>
    </w:p>
    <w:p w:rsidR="003D504B" w:rsidRDefault="003D504B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1413</w:t>
      </w:r>
      <w:r>
        <w:rPr>
          <w:sz w:val="20"/>
          <w:szCs w:val="20"/>
        </w:rPr>
        <w:fldChar w:fldCharType="end"/>
      </w:r>
    </w:p>
    <w:p w:rsidR="00A529D3" w:rsidRPr="002C028D" w:rsidRDefault="003924FE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_GoBack"/>
      <w:bookmarkEnd w:id="1"/>
      <w:r w:rsidRPr="002C028D">
        <w:rPr>
          <w:sz w:val="20"/>
          <w:szCs w:val="20"/>
        </w:rPr>
        <w:t>I.</w:t>
      </w:r>
      <w:r w:rsidR="00591E32">
        <w:rPr>
          <w:sz w:val="20"/>
          <w:szCs w:val="20"/>
        </w:rPr>
        <w:t>Štromberga</w:t>
      </w:r>
      <w:r w:rsidR="00A529D3" w:rsidRPr="002C028D">
        <w:rPr>
          <w:sz w:val="20"/>
          <w:szCs w:val="20"/>
        </w:rPr>
        <w:t>, 670</w:t>
      </w:r>
      <w:r w:rsidR="00591E32">
        <w:rPr>
          <w:sz w:val="20"/>
          <w:szCs w:val="20"/>
        </w:rPr>
        <w:t>27216</w:t>
      </w:r>
    </w:p>
    <w:p w:rsidR="003341BD" w:rsidRPr="00591F24" w:rsidRDefault="00591E32" w:rsidP="00231264">
      <w:pPr>
        <w:pStyle w:val="naisf"/>
        <w:spacing w:before="0" w:beforeAutospacing="0" w:after="0" w:afterAutospacing="0"/>
        <w:rPr>
          <w:sz w:val="20"/>
          <w:szCs w:val="20"/>
        </w:rPr>
      </w:pPr>
      <w:r w:rsidRPr="00591E32">
        <w:rPr>
          <w:sz w:val="20"/>
          <w:szCs w:val="20"/>
        </w:rPr>
        <w:t>Inese.Stromberga@zm.</w:t>
      </w:r>
      <w:r>
        <w:rPr>
          <w:sz w:val="20"/>
          <w:szCs w:val="20"/>
        </w:rPr>
        <w:t>gov.lv</w:t>
      </w:r>
    </w:p>
    <w:sectPr w:rsidR="003341BD" w:rsidRPr="00591F24" w:rsidSect="003D504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8" w:bottom="1440" w:left="179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78" w:rsidRDefault="00113E78" w:rsidP="001615B9">
      <w:pPr>
        <w:spacing w:after="0" w:line="240" w:lineRule="auto"/>
      </w:pPr>
      <w:r>
        <w:separator/>
      </w:r>
    </w:p>
  </w:endnote>
  <w:endnote w:type="continuationSeparator" w:id="0">
    <w:p w:rsidR="00113E78" w:rsidRDefault="00113E78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4B" w:rsidRDefault="003D504B" w:rsidP="003D504B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5C4BCA" w:rsidRDefault="00F918BA" w:rsidP="003D504B">
    <w:pPr>
      <w:spacing w:line="240" w:lineRule="auto"/>
      <w:jc w:val="both"/>
      <w:rPr>
        <w:b/>
        <w:sz w:val="28"/>
        <w:szCs w:val="28"/>
      </w:rPr>
    </w:pPr>
    <w:r w:rsidRPr="00D121F2">
      <w:rPr>
        <w:rFonts w:ascii="Times New Roman" w:hAnsi="Times New Roman"/>
        <w:sz w:val="20"/>
        <w:szCs w:val="16"/>
      </w:rPr>
      <w:fldChar w:fldCharType="begin"/>
    </w:r>
    <w:r w:rsidRPr="00D121F2">
      <w:rPr>
        <w:rFonts w:ascii="Times New Roman" w:hAnsi="Times New Roman"/>
        <w:sz w:val="20"/>
        <w:szCs w:val="16"/>
      </w:rPr>
      <w:instrText xml:space="preserve"> FILENAME   \* MERGEFORMAT </w:instrText>
    </w:r>
    <w:r w:rsidRPr="00D121F2">
      <w:rPr>
        <w:rFonts w:ascii="Times New Roman" w:hAnsi="Times New Roman"/>
        <w:sz w:val="20"/>
        <w:szCs w:val="16"/>
      </w:rPr>
      <w:fldChar w:fldCharType="separate"/>
    </w:r>
    <w:r w:rsidR="008E0A9E">
      <w:rPr>
        <w:rFonts w:ascii="Times New Roman" w:hAnsi="Times New Roman"/>
        <w:noProof/>
        <w:sz w:val="20"/>
        <w:szCs w:val="16"/>
      </w:rPr>
      <w:t>ZMAnot_</w:t>
    </w:r>
    <w:r w:rsidR="00F15064">
      <w:rPr>
        <w:rFonts w:ascii="Times New Roman" w:hAnsi="Times New Roman"/>
        <w:noProof/>
        <w:sz w:val="20"/>
        <w:szCs w:val="16"/>
      </w:rPr>
      <w:t>0803</w:t>
    </w:r>
    <w:r w:rsidR="008E0A9E">
      <w:rPr>
        <w:rFonts w:ascii="Times New Roman" w:hAnsi="Times New Roman"/>
        <w:noProof/>
        <w:sz w:val="20"/>
        <w:szCs w:val="16"/>
      </w:rPr>
      <w:t>16_demin_lauki</w:t>
    </w:r>
    <w:r w:rsidRPr="00D121F2">
      <w:rPr>
        <w:rFonts w:ascii="Times New Roman" w:hAnsi="Times New Roman"/>
        <w:sz w:val="20"/>
        <w:szCs w:val="16"/>
      </w:rPr>
      <w:fldChar w:fldCharType="end"/>
    </w:r>
    <w:r w:rsidR="003D504B">
      <w:rPr>
        <w:rFonts w:ascii="Times New Roman" w:hAnsi="Times New Roman"/>
        <w:sz w:val="20"/>
        <w:szCs w:val="16"/>
      </w:rPr>
      <w:t>;</w:t>
    </w:r>
    <w:r w:rsidR="00D67FE2" w:rsidRPr="005C4BCA">
      <w:rPr>
        <w:rFonts w:ascii="Times New Roman" w:hAnsi="Times New Roman"/>
        <w:sz w:val="20"/>
        <w:szCs w:val="20"/>
      </w:rPr>
      <w:t>"</w:t>
    </w:r>
    <w:r w:rsidR="005C4BCA" w:rsidRPr="005C4BCA">
      <w:rPr>
        <w:rFonts w:ascii="Times New Roman" w:hAnsi="Times New Roman"/>
        <w:sz w:val="20"/>
        <w:szCs w:val="20"/>
      </w:rPr>
      <w:t xml:space="preserve">Grozījumi </w:t>
    </w:r>
    <w:r w:rsidR="00E6188A">
      <w:rPr>
        <w:rFonts w:ascii="Times New Roman" w:hAnsi="Times New Roman"/>
        <w:sz w:val="20"/>
        <w:szCs w:val="20"/>
      </w:rPr>
      <w:t>M</w:t>
    </w:r>
    <w:r w:rsidR="005C4BCA" w:rsidRPr="005C4BCA">
      <w:rPr>
        <w:rFonts w:ascii="Times New Roman" w:hAnsi="Times New Roman"/>
        <w:sz w:val="20"/>
        <w:szCs w:val="20"/>
      </w:rPr>
      <w:t>inistru kabineta 2015.gada 29.septembra noteikumos Nr.557 "</w:t>
    </w:r>
    <w:r w:rsidR="005C4BCA" w:rsidRPr="005C4BCA">
      <w:rPr>
        <w:rFonts w:ascii="Times New Roman" w:hAnsi="Times New Roman"/>
        <w:i/>
        <w:sz w:val="20"/>
        <w:szCs w:val="20"/>
      </w:rPr>
      <w:t>De minimis</w:t>
    </w:r>
    <w:r w:rsidR="005C4BCA" w:rsidRPr="005C4BCA">
      <w:rPr>
        <w:rFonts w:ascii="Times New Roman" w:hAnsi="Times New Roman"/>
        <w:sz w:val="20"/>
        <w:szCs w:val="20"/>
      </w:rPr>
      <w:t xml:space="preserve"> atbalsta uzskaites un piešķiršanas kārtība lauksaimniecības nozarē"</w:t>
    </w:r>
    <w:r w:rsidR="00D67FE2" w:rsidRPr="005C4BCA">
      <w:rPr>
        <w:rFonts w:ascii="Times New Roman" w:hAnsi="Times New Roman"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8D" w:rsidRPr="00E6188A" w:rsidRDefault="00E6188A" w:rsidP="00E6188A">
    <w:pPr>
      <w:pStyle w:val="Kjene"/>
    </w:pPr>
    <w:r w:rsidRPr="00D121F2">
      <w:rPr>
        <w:rFonts w:ascii="Times New Roman" w:hAnsi="Times New Roman"/>
        <w:sz w:val="20"/>
        <w:szCs w:val="16"/>
      </w:rPr>
      <w:fldChar w:fldCharType="begin"/>
    </w:r>
    <w:r w:rsidRPr="00D121F2">
      <w:rPr>
        <w:rFonts w:ascii="Times New Roman" w:hAnsi="Times New Roman"/>
        <w:sz w:val="20"/>
        <w:szCs w:val="16"/>
      </w:rPr>
      <w:instrText xml:space="preserve"> FILENAME   \* MERGEFORMAT </w:instrText>
    </w:r>
    <w:r w:rsidRPr="00D121F2">
      <w:rPr>
        <w:rFonts w:ascii="Times New Roman" w:hAnsi="Times New Roman"/>
        <w:sz w:val="20"/>
        <w:szCs w:val="16"/>
      </w:rPr>
      <w:fldChar w:fldCharType="separate"/>
    </w:r>
    <w:r>
      <w:rPr>
        <w:rFonts w:ascii="Times New Roman" w:hAnsi="Times New Roman"/>
        <w:noProof/>
        <w:sz w:val="20"/>
        <w:szCs w:val="16"/>
      </w:rPr>
      <w:t>ZMAnot_</w:t>
    </w:r>
    <w:r w:rsidR="00F15064">
      <w:rPr>
        <w:rFonts w:ascii="Times New Roman" w:hAnsi="Times New Roman"/>
        <w:noProof/>
        <w:sz w:val="20"/>
        <w:szCs w:val="16"/>
      </w:rPr>
      <w:t>0803</w:t>
    </w:r>
    <w:r>
      <w:rPr>
        <w:rFonts w:ascii="Times New Roman" w:hAnsi="Times New Roman"/>
        <w:noProof/>
        <w:sz w:val="20"/>
        <w:szCs w:val="16"/>
      </w:rPr>
      <w:t>16_demin_lauki</w:t>
    </w:r>
    <w:r w:rsidRPr="00D121F2">
      <w:rPr>
        <w:rFonts w:ascii="Times New Roman" w:hAnsi="Times New Roman"/>
        <w:sz w:val="20"/>
        <w:szCs w:val="16"/>
      </w:rPr>
      <w:fldChar w:fldCharType="end"/>
    </w:r>
    <w:r>
      <w:rPr>
        <w:rFonts w:ascii="Times New Roman" w:hAnsi="Times New Roman"/>
        <w:sz w:val="20"/>
        <w:szCs w:val="16"/>
      </w:rPr>
      <w:t>_</w:t>
    </w:r>
    <w:r w:rsidRPr="005C4BCA">
      <w:rPr>
        <w:rFonts w:ascii="Times New Roman" w:hAnsi="Times New Roman"/>
        <w:sz w:val="20"/>
        <w:szCs w:val="20"/>
      </w:rPr>
      <w:t xml:space="preserve">"Grozījumi </w:t>
    </w:r>
    <w:r>
      <w:rPr>
        <w:rFonts w:ascii="Times New Roman" w:hAnsi="Times New Roman"/>
        <w:sz w:val="20"/>
        <w:szCs w:val="20"/>
      </w:rPr>
      <w:t>M</w:t>
    </w:r>
    <w:r w:rsidRPr="005C4BCA">
      <w:rPr>
        <w:rFonts w:ascii="Times New Roman" w:hAnsi="Times New Roman"/>
        <w:sz w:val="20"/>
        <w:szCs w:val="20"/>
      </w:rPr>
      <w:t>inistru kabineta 2015.gada 29.septembra noteikumos Nr.557 "</w:t>
    </w:r>
    <w:r w:rsidRPr="005C4BCA">
      <w:rPr>
        <w:rFonts w:ascii="Times New Roman" w:hAnsi="Times New Roman"/>
        <w:i/>
        <w:sz w:val="20"/>
        <w:szCs w:val="20"/>
      </w:rPr>
      <w:t>De minimis</w:t>
    </w:r>
    <w:r w:rsidRPr="005C4BCA">
      <w:rPr>
        <w:rFonts w:ascii="Times New Roman" w:hAnsi="Times New Roman"/>
        <w:sz w:val="20"/>
        <w:szCs w:val="20"/>
      </w:rPr>
      <w:t xml:space="preserve"> atbalsta uzskaites un piešķiršanas kārtība lauksaimniecības nozarē""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78" w:rsidRDefault="00113E78" w:rsidP="001615B9">
      <w:pPr>
        <w:spacing w:after="0" w:line="240" w:lineRule="auto"/>
      </w:pPr>
      <w:r>
        <w:separator/>
      </w:r>
    </w:p>
  </w:footnote>
  <w:footnote w:type="continuationSeparator" w:id="0">
    <w:p w:rsidR="00113E78" w:rsidRDefault="00113E78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190B" w:rsidRDefault="00DF190B">
        <w:pPr>
          <w:pStyle w:val="Galvene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3D504B">
          <w:rPr>
            <w:rFonts w:ascii="Times New Roman" w:hAnsi="Times New Roman"/>
            <w:noProof/>
            <w:sz w:val="28"/>
            <w:szCs w:val="28"/>
          </w:rPr>
          <w:t>5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F190B" w:rsidRDefault="00DF190B" w:rsidP="003D504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 w15:restartNumberingAfterBreak="0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 w15:restartNumberingAfterBreak="0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 w15:restartNumberingAfterBreak="0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 w15:restartNumberingAfterBreak="0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F"/>
    <w:rsid w:val="00002D40"/>
    <w:rsid w:val="000067C4"/>
    <w:rsid w:val="00007C73"/>
    <w:rsid w:val="000101F3"/>
    <w:rsid w:val="00023C06"/>
    <w:rsid w:val="00027E38"/>
    <w:rsid w:val="00035661"/>
    <w:rsid w:val="00043915"/>
    <w:rsid w:val="0004488D"/>
    <w:rsid w:val="00054736"/>
    <w:rsid w:val="00054DE2"/>
    <w:rsid w:val="00057603"/>
    <w:rsid w:val="000603F8"/>
    <w:rsid w:val="00062DF9"/>
    <w:rsid w:val="00062E4C"/>
    <w:rsid w:val="00067245"/>
    <w:rsid w:val="00083CCB"/>
    <w:rsid w:val="00094DC2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23DA"/>
    <w:rsid w:val="000C68B4"/>
    <w:rsid w:val="000D018D"/>
    <w:rsid w:val="000D18CA"/>
    <w:rsid w:val="000E58E5"/>
    <w:rsid w:val="000E59CC"/>
    <w:rsid w:val="000F2271"/>
    <w:rsid w:val="00103BAE"/>
    <w:rsid w:val="00110C02"/>
    <w:rsid w:val="00113E78"/>
    <w:rsid w:val="001164B0"/>
    <w:rsid w:val="001237D3"/>
    <w:rsid w:val="00124118"/>
    <w:rsid w:val="00125033"/>
    <w:rsid w:val="00133562"/>
    <w:rsid w:val="00134F5A"/>
    <w:rsid w:val="00157163"/>
    <w:rsid w:val="001615B9"/>
    <w:rsid w:val="001675FD"/>
    <w:rsid w:val="00173299"/>
    <w:rsid w:val="001843F3"/>
    <w:rsid w:val="001B3E83"/>
    <w:rsid w:val="001B45E1"/>
    <w:rsid w:val="001B53BF"/>
    <w:rsid w:val="001B6149"/>
    <w:rsid w:val="001D41F2"/>
    <w:rsid w:val="001D47C1"/>
    <w:rsid w:val="001D495A"/>
    <w:rsid w:val="001E452A"/>
    <w:rsid w:val="001F1C17"/>
    <w:rsid w:val="00202516"/>
    <w:rsid w:val="00222D46"/>
    <w:rsid w:val="00225F78"/>
    <w:rsid w:val="0022628D"/>
    <w:rsid w:val="00231264"/>
    <w:rsid w:val="00231D3A"/>
    <w:rsid w:val="002456FC"/>
    <w:rsid w:val="00252E53"/>
    <w:rsid w:val="00260537"/>
    <w:rsid w:val="0026594B"/>
    <w:rsid w:val="00285778"/>
    <w:rsid w:val="002951E5"/>
    <w:rsid w:val="002A4474"/>
    <w:rsid w:val="002B3237"/>
    <w:rsid w:val="002B5F71"/>
    <w:rsid w:val="002B7916"/>
    <w:rsid w:val="002C028D"/>
    <w:rsid w:val="002C0FCC"/>
    <w:rsid w:val="002D4477"/>
    <w:rsid w:val="002D52F1"/>
    <w:rsid w:val="002E258B"/>
    <w:rsid w:val="002E3E65"/>
    <w:rsid w:val="002E63FA"/>
    <w:rsid w:val="002E691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4C70"/>
    <w:rsid w:val="003577FC"/>
    <w:rsid w:val="00364FDC"/>
    <w:rsid w:val="003731F1"/>
    <w:rsid w:val="00387FF9"/>
    <w:rsid w:val="00391BD5"/>
    <w:rsid w:val="003924FE"/>
    <w:rsid w:val="003926A0"/>
    <w:rsid w:val="003A3F3C"/>
    <w:rsid w:val="003A6AB0"/>
    <w:rsid w:val="003B28A0"/>
    <w:rsid w:val="003C1BB5"/>
    <w:rsid w:val="003D002A"/>
    <w:rsid w:val="003D185C"/>
    <w:rsid w:val="003D504B"/>
    <w:rsid w:val="003D79A3"/>
    <w:rsid w:val="003E0D3D"/>
    <w:rsid w:val="003F0FF1"/>
    <w:rsid w:val="003F3E58"/>
    <w:rsid w:val="00406259"/>
    <w:rsid w:val="004151D3"/>
    <w:rsid w:val="0041774E"/>
    <w:rsid w:val="00420910"/>
    <w:rsid w:val="00421937"/>
    <w:rsid w:val="0043201C"/>
    <w:rsid w:val="004328DE"/>
    <w:rsid w:val="00434E6E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97057"/>
    <w:rsid w:val="004C2549"/>
    <w:rsid w:val="004C3E36"/>
    <w:rsid w:val="004D3509"/>
    <w:rsid w:val="004D7489"/>
    <w:rsid w:val="004E0F41"/>
    <w:rsid w:val="004E2AEC"/>
    <w:rsid w:val="004E7FA8"/>
    <w:rsid w:val="004F2237"/>
    <w:rsid w:val="004F3292"/>
    <w:rsid w:val="004F5AFF"/>
    <w:rsid w:val="004F77E2"/>
    <w:rsid w:val="00504DCD"/>
    <w:rsid w:val="00507196"/>
    <w:rsid w:val="00507E4D"/>
    <w:rsid w:val="0051744A"/>
    <w:rsid w:val="005224CF"/>
    <w:rsid w:val="0053262C"/>
    <w:rsid w:val="00535E99"/>
    <w:rsid w:val="00536ADB"/>
    <w:rsid w:val="00541DD8"/>
    <w:rsid w:val="00546CAA"/>
    <w:rsid w:val="005510E6"/>
    <w:rsid w:val="00565B96"/>
    <w:rsid w:val="005725DC"/>
    <w:rsid w:val="00574783"/>
    <w:rsid w:val="005754AF"/>
    <w:rsid w:val="00577D3A"/>
    <w:rsid w:val="00581732"/>
    <w:rsid w:val="00591E32"/>
    <w:rsid w:val="00591F24"/>
    <w:rsid w:val="00592E59"/>
    <w:rsid w:val="00597457"/>
    <w:rsid w:val="005A2804"/>
    <w:rsid w:val="005A391C"/>
    <w:rsid w:val="005A65AA"/>
    <w:rsid w:val="005B49E5"/>
    <w:rsid w:val="005B4D3D"/>
    <w:rsid w:val="005C4A25"/>
    <w:rsid w:val="005C4BCA"/>
    <w:rsid w:val="005C644C"/>
    <w:rsid w:val="005D11DA"/>
    <w:rsid w:val="005D3E75"/>
    <w:rsid w:val="005E024B"/>
    <w:rsid w:val="005E2586"/>
    <w:rsid w:val="005F26AC"/>
    <w:rsid w:val="005F5DA1"/>
    <w:rsid w:val="005F5EA8"/>
    <w:rsid w:val="00601925"/>
    <w:rsid w:val="00601A8C"/>
    <w:rsid w:val="0061029D"/>
    <w:rsid w:val="00610EC6"/>
    <w:rsid w:val="00616102"/>
    <w:rsid w:val="00624B4B"/>
    <w:rsid w:val="006260CB"/>
    <w:rsid w:val="006274D6"/>
    <w:rsid w:val="00642020"/>
    <w:rsid w:val="006475C4"/>
    <w:rsid w:val="00647764"/>
    <w:rsid w:val="0065491E"/>
    <w:rsid w:val="00661E5E"/>
    <w:rsid w:val="00671CA0"/>
    <w:rsid w:val="0067345F"/>
    <w:rsid w:val="0067487E"/>
    <w:rsid w:val="006926E0"/>
    <w:rsid w:val="00692D38"/>
    <w:rsid w:val="00693F77"/>
    <w:rsid w:val="00694561"/>
    <w:rsid w:val="006969F4"/>
    <w:rsid w:val="006A27DC"/>
    <w:rsid w:val="006A29D0"/>
    <w:rsid w:val="006A4807"/>
    <w:rsid w:val="006A55E2"/>
    <w:rsid w:val="006A5910"/>
    <w:rsid w:val="006B6E36"/>
    <w:rsid w:val="006C3547"/>
    <w:rsid w:val="006C4941"/>
    <w:rsid w:val="006D0302"/>
    <w:rsid w:val="006D0AF4"/>
    <w:rsid w:val="006D14C5"/>
    <w:rsid w:val="006D65D0"/>
    <w:rsid w:val="006E10DB"/>
    <w:rsid w:val="006E2328"/>
    <w:rsid w:val="006E5F96"/>
    <w:rsid w:val="006E69F9"/>
    <w:rsid w:val="006F5250"/>
    <w:rsid w:val="00705A7D"/>
    <w:rsid w:val="00711E3B"/>
    <w:rsid w:val="007177BA"/>
    <w:rsid w:val="0073354C"/>
    <w:rsid w:val="0074067B"/>
    <w:rsid w:val="00740AA7"/>
    <w:rsid w:val="007418B5"/>
    <w:rsid w:val="007453E5"/>
    <w:rsid w:val="0075065D"/>
    <w:rsid w:val="00753115"/>
    <w:rsid w:val="00754127"/>
    <w:rsid w:val="00755F19"/>
    <w:rsid w:val="00757F5D"/>
    <w:rsid w:val="00762DFD"/>
    <w:rsid w:val="00763068"/>
    <w:rsid w:val="0076486E"/>
    <w:rsid w:val="007738BE"/>
    <w:rsid w:val="007747B8"/>
    <w:rsid w:val="0078455F"/>
    <w:rsid w:val="007875D5"/>
    <w:rsid w:val="007910B0"/>
    <w:rsid w:val="0079142A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07C27"/>
    <w:rsid w:val="00812D81"/>
    <w:rsid w:val="0081498A"/>
    <w:rsid w:val="008170CE"/>
    <w:rsid w:val="00832359"/>
    <w:rsid w:val="00832FD4"/>
    <w:rsid w:val="00835EC1"/>
    <w:rsid w:val="00850050"/>
    <w:rsid w:val="00852799"/>
    <w:rsid w:val="00854907"/>
    <w:rsid w:val="00870A31"/>
    <w:rsid w:val="008872BF"/>
    <w:rsid w:val="0089414F"/>
    <w:rsid w:val="008947AD"/>
    <w:rsid w:val="008978AC"/>
    <w:rsid w:val="00897FB2"/>
    <w:rsid w:val="008B1A70"/>
    <w:rsid w:val="008B32FB"/>
    <w:rsid w:val="008B3531"/>
    <w:rsid w:val="008B6B20"/>
    <w:rsid w:val="008C2FFE"/>
    <w:rsid w:val="008D02AB"/>
    <w:rsid w:val="008D03EB"/>
    <w:rsid w:val="008D2178"/>
    <w:rsid w:val="008D2D4F"/>
    <w:rsid w:val="008D50AE"/>
    <w:rsid w:val="008D5AB3"/>
    <w:rsid w:val="008E0A9E"/>
    <w:rsid w:val="008E29BD"/>
    <w:rsid w:val="008E4C53"/>
    <w:rsid w:val="008E5C65"/>
    <w:rsid w:val="008F7FE8"/>
    <w:rsid w:val="009037F1"/>
    <w:rsid w:val="00905332"/>
    <w:rsid w:val="00914CEA"/>
    <w:rsid w:val="0092444B"/>
    <w:rsid w:val="009276DC"/>
    <w:rsid w:val="00927D48"/>
    <w:rsid w:val="00935341"/>
    <w:rsid w:val="009358F9"/>
    <w:rsid w:val="009377CF"/>
    <w:rsid w:val="00945641"/>
    <w:rsid w:val="009520FA"/>
    <w:rsid w:val="009641FA"/>
    <w:rsid w:val="0097333F"/>
    <w:rsid w:val="009848E7"/>
    <w:rsid w:val="00995BCC"/>
    <w:rsid w:val="009C24D5"/>
    <w:rsid w:val="009D117D"/>
    <w:rsid w:val="009D1634"/>
    <w:rsid w:val="009D5BAB"/>
    <w:rsid w:val="009E13A5"/>
    <w:rsid w:val="009F1135"/>
    <w:rsid w:val="009F3CBD"/>
    <w:rsid w:val="00A15A33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3BBD"/>
    <w:rsid w:val="00AF43A1"/>
    <w:rsid w:val="00AF5943"/>
    <w:rsid w:val="00AF6642"/>
    <w:rsid w:val="00B00312"/>
    <w:rsid w:val="00B10193"/>
    <w:rsid w:val="00B118EE"/>
    <w:rsid w:val="00B13CF4"/>
    <w:rsid w:val="00B14BEF"/>
    <w:rsid w:val="00B257FE"/>
    <w:rsid w:val="00B277E3"/>
    <w:rsid w:val="00B3659E"/>
    <w:rsid w:val="00B37A43"/>
    <w:rsid w:val="00B416E0"/>
    <w:rsid w:val="00B43410"/>
    <w:rsid w:val="00B447B4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002C"/>
    <w:rsid w:val="00BD2022"/>
    <w:rsid w:val="00BD72AE"/>
    <w:rsid w:val="00BE2116"/>
    <w:rsid w:val="00BE679D"/>
    <w:rsid w:val="00BE711E"/>
    <w:rsid w:val="00BE7A16"/>
    <w:rsid w:val="00BF3A3A"/>
    <w:rsid w:val="00C01051"/>
    <w:rsid w:val="00C02924"/>
    <w:rsid w:val="00C03790"/>
    <w:rsid w:val="00C157FF"/>
    <w:rsid w:val="00C3171D"/>
    <w:rsid w:val="00C34950"/>
    <w:rsid w:val="00C35AC3"/>
    <w:rsid w:val="00C403E9"/>
    <w:rsid w:val="00C6216B"/>
    <w:rsid w:val="00C64802"/>
    <w:rsid w:val="00C6697F"/>
    <w:rsid w:val="00C71D2B"/>
    <w:rsid w:val="00C76201"/>
    <w:rsid w:val="00C86948"/>
    <w:rsid w:val="00C87BB2"/>
    <w:rsid w:val="00C909D3"/>
    <w:rsid w:val="00C9770B"/>
    <w:rsid w:val="00C97F52"/>
    <w:rsid w:val="00CA442C"/>
    <w:rsid w:val="00CC0C54"/>
    <w:rsid w:val="00CC58E2"/>
    <w:rsid w:val="00CD6808"/>
    <w:rsid w:val="00CD6B91"/>
    <w:rsid w:val="00CD7511"/>
    <w:rsid w:val="00CD7A8D"/>
    <w:rsid w:val="00CD7C2C"/>
    <w:rsid w:val="00CE1593"/>
    <w:rsid w:val="00CE5F30"/>
    <w:rsid w:val="00D065CF"/>
    <w:rsid w:val="00D121F2"/>
    <w:rsid w:val="00D13B50"/>
    <w:rsid w:val="00D1597B"/>
    <w:rsid w:val="00D204EC"/>
    <w:rsid w:val="00D3181C"/>
    <w:rsid w:val="00D354DA"/>
    <w:rsid w:val="00D43CFD"/>
    <w:rsid w:val="00D46EDE"/>
    <w:rsid w:val="00D515A1"/>
    <w:rsid w:val="00D6476E"/>
    <w:rsid w:val="00D67FE2"/>
    <w:rsid w:val="00D74FF7"/>
    <w:rsid w:val="00D75701"/>
    <w:rsid w:val="00D8146E"/>
    <w:rsid w:val="00D845AD"/>
    <w:rsid w:val="00D8573F"/>
    <w:rsid w:val="00D94308"/>
    <w:rsid w:val="00D96F80"/>
    <w:rsid w:val="00DB164F"/>
    <w:rsid w:val="00DB7DFB"/>
    <w:rsid w:val="00DC56D9"/>
    <w:rsid w:val="00DD1235"/>
    <w:rsid w:val="00DD2034"/>
    <w:rsid w:val="00DD2A6D"/>
    <w:rsid w:val="00DD455C"/>
    <w:rsid w:val="00DD6080"/>
    <w:rsid w:val="00DE3174"/>
    <w:rsid w:val="00DE456B"/>
    <w:rsid w:val="00DF190B"/>
    <w:rsid w:val="00E05585"/>
    <w:rsid w:val="00E102BD"/>
    <w:rsid w:val="00E105DB"/>
    <w:rsid w:val="00E268DB"/>
    <w:rsid w:val="00E26B11"/>
    <w:rsid w:val="00E30BA1"/>
    <w:rsid w:val="00E32AD6"/>
    <w:rsid w:val="00E4228A"/>
    <w:rsid w:val="00E51FBC"/>
    <w:rsid w:val="00E602C1"/>
    <w:rsid w:val="00E6188A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96CAE"/>
    <w:rsid w:val="00EA0190"/>
    <w:rsid w:val="00EA26D0"/>
    <w:rsid w:val="00EB061E"/>
    <w:rsid w:val="00EB1BF4"/>
    <w:rsid w:val="00EC38C5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15064"/>
    <w:rsid w:val="00F25464"/>
    <w:rsid w:val="00F25ED0"/>
    <w:rsid w:val="00F25F3F"/>
    <w:rsid w:val="00F31469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18BA"/>
    <w:rsid w:val="00F97C58"/>
    <w:rsid w:val="00FA4A43"/>
    <w:rsid w:val="00FB06C5"/>
    <w:rsid w:val="00FB34B3"/>
    <w:rsid w:val="00FB5A1D"/>
    <w:rsid w:val="00FB69D4"/>
    <w:rsid w:val="00FC122D"/>
    <w:rsid w:val="00FD4C4A"/>
    <w:rsid w:val="00FE01FF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0F3ADDE-81C4-432E-9280-FC0CDB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Parasts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Parasts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Sarakstarindkopa">
    <w:name w:val="List Paragraph"/>
    <w:basedOn w:val="Parasts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D96F80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6F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6F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Bezatstarpm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Parasts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Noklusjumarindkopasfonts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  <w:style w:type="paragraph" w:customStyle="1" w:styleId="tv2132">
    <w:name w:val="tv2132"/>
    <w:basedOn w:val="Parasts"/>
    <w:rsid w:val="00705A7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0435-4D33-4736-A2EC-778A1DFD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1429</Words>
  <Characters>9834</Characters>
  <Application>Microsoft Office Word</Application>
  <DocSecurity>0</DocSecurity>
  <Lines>378</Lines>
  <Paragraphs>122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"Noteikumi par de minimis atbalsta uzskaites un piešķiršanas kārtību un uzskaites veidlapu paraugiem" anotācija</vt:lpstr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dc:description>67095481, ieva.mazuika@fm.gov.lv</dc:description>
  <cp:lastModifiedBy>Sanita Žagare</cp:lastModifiedBy>
  <cp:revision>7</cp:revision>
  <cp:lastPrinted>2016-01-20T11:47:00Z</cp:lastPrinted>
  <dcterms:created xsi:type="dcterms:W3CDTF">2016-03-14T14:24:00Z</dcterms:created>
  <dcterms:modified xsi:type="dcterms:W3CDTF">2016-03-15T09:19:00Z</dcterms:modified>
  <cp:category>Noteikumu projekta anotācija</cp:category>
</cp:coreProperties>
</file>