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D152" w14:textId="13FF2BFB" w:rsidR="00496F75" w:rsidRPr="00496F75" w:rsidRDefault="00496F75" w:rsidP="00496F75">
      <w:pPr>
        <w:spacing w:after="40" w:line="312" w:lineRule="auto"/>
        <w:ind w:left="567" w:right="284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lv-LV"/>
        </w:rPr>
      </w:pPr>
      <w:bookmarkStart w:id="0" w:name="_GoBack"/>
      <w:bookmarkEnd w:id="0"/>
      <w:r w:rsidRPr="00496F75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lv-LV"/>
        </w:rPr>
        <w:t>2.pielikums</w:t>
      </w:r>
    </w:p>
    <w:p w14:paraId="2FAB16F6" w14:textId="519CAA44" w:rsidR="006667E0" w:rsidRPr="008A6311" w:rsidRDefault="006667E0" w:rsidP="006667E0">
      <w:pPr>
        <w:spacing w:after="40" w:line="312" w:lineRule="auto"/>
        <w:ind w:left="567" w:right="28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lv-LV"/>
        </w:rPr>
        <w:t>Ministru kabineta p</w:t>
      </w:r>
      <w:r w:rsidR="008A6311" w:rsidRPr="008A63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lv-LV"/>
        </w:rPr>
        <w:t>riori</w:t>
      </w:r>
      <w:r w:rsidR="00205E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lv-LV"/>
        </w:rPr>
        <w:t>tārie rīcības virzieni</w:t>
      </w:r>
      <w:r w:rsidR="0037710C" w:rsidRPr="003771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3771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lv-LV"/>
        </w:rPr>
        <w:t>tautsaimniecības attīstībai</w:t>
      </w:r>
    </w:p>
    <w:p w14:paraId="3F46FE7F" w14:textId="77777777" w:rsidR="00496F75" w:rsidRDefault="00496F75" w:rsidP="00C350DF">
      <w:pPr>
        <w:spacing w:before="60" w:after="0" w:line="264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74CFA4" w14:textId="480A7C4C" w:rsidR="00B97DD3" w:rsidRPr="008C41CC" w:rsidRDefault="00744067" w:rsidP="00C350DF">
      <w:pPr>
        <w:spacing w:before="60" w:after="0" w:line="264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ES un globālie ekonomiskie un sociālie procesi </w:t>
      </w:r>
      <w:r w:rsidR="008C41CC">
        <w:rPr>
          <w:rFonts w:ascii="Times New Roman" w:hAnsi="Times New Roman" w:cs="Times New Roman"/>
          <w:sz w:val="24"/>
          <w:szCs w:val="24"/>
          <w:lang w:val="lv-LV"/>
        </w:rPr>
        <w:t xml:space="preserve">aktualizē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arī izaicinājumus Latvijas atvērtās ekonomikas </w:t>
      </w:r>
      <w:r w:rsidR="002A2BB4">
        <w:rPr>
          <w:rFonts w:ascii="Times New Roman" w:hAnsi="Times New Roman" w:cs="Times New Roman"/>
          <w:sz w:val="24"/>
          <w:szCs w:val="24"/>
          <w:lang w:val="lv-LV"/>
        </w:rPr>
        <w:t xml:space="preserve">izaugsmei 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konkurētspējai. </w:t>
      </w:r>
      <w:r w:rsidR="008C41CC" w:rsidRPr="008C41CC">
        <w:rPr>
          <w:rFonts w:ascii="Times New Roman" w:hAnsi="Times New Roman" w:cs="Times New Roman"/>
          <w:sz w:val="24"/>
          <w:szCs w:val="24"/>
          <w:lang w:val="lv-LV"/>
        </w:rPr>
        <w:t xml:space="preserve">Turpinās </w:t>
      </w:r>
      <w:r w:rsidRPr="008C41CC">
        <w:rPr>
          <w:rFonts w:ascii="Times New Roman" w:hAnsi="Times New Roman" w:cs="Times New Roman"/>
          <w:sz w:val="24"/>
          <w:szCs w:val="24"/>
          <w:lang w:val="lv-LV"/>
        </w:rPr>
        <w:t>zemo izmaksu produktu un segment</w:t>
      </w:r>
      <w:r w:rsidR="008C41CC" w:rsidRPr="008C41CC">
        <w:rPr>
          <w:rFonts w:ascii="Times New Roman" w:hAnsi="Times New Roman" w:cs="Times New Roman"/>
          <w:sz w:val="24"/>
          <w:szCs w:val="24"/>
          <w:lang w:val="lv-LV"/>
        </w:rPr>
        <w:t>u dominance un</w:t>
      </w:r>
      <w:r w:rsidRPr="008C41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97DD3" w:rsidRPr="008C41CC">
        <w:rPr>
          <w:rFonts w:ascii="Times New Roman" w:hAnsi="Times New Roman" w:cs="Times New Roman"/>
          <w:sz w:val="24"/>
          <w:szCs w:val="24"/>
          <w:lang w:val="lv-LV"/>
        </w:rPr>
        <w:t>lielais ēnu ekonomikas īpatsvars (23,6% no IKP)</w:t>
      </w:r>
      <w:r w:rsidRPr="008C41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C41CC"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valsts </w:t>
      </w:r>
      <w:r w:rsidR="00D4723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budžeta telpa jebkādā</w:t>
      </w:r>
      <w:r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m atbalsta un modernizācijas </w:t>
      </w:r>
      <w:r w:rsidR="008C41CC"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iniciatīvām</w:t>
      </w:r>
      <w:r w:rsidR="003849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ir ļoti ierobežota</w:t>
      </w:r>
      <w:r w:rsidR="008C41CC"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 w:rsidR="00B97DD3" w:rsidRPr="008C41CC">
        <w:rPr>
          <w:rFonts w:ascii="Times New Roman" w:hAnsi="Times New Roman" w:cs="Times New Roman"/>
          <w:sz w:val="24"/>
          <w:szCs w:val="24"/>
          <w:lang w:val="lv-LV"/>
        </w:rPr>
        <w:t>publisk</w:t>
      </w:r>
      <w:r w:rsidR="008C41CC" w:rsidRPr="008C41CC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B97DD3" w:rsidRPr="008C41CC">
        <w:rPr>
          <w:rFonts w:ascii="Times New Roman" w:hAnsi="Times New Roman" w:cs="Times New Roman"/>
          <w:sz w:val="24"/>
          <w:szCs w:val="24"/>
          <w:lang w:val="lv-LV"/>
        </w:rPr>
        <w:t xml:space="preserve"> pakalpojum</w:t>
      </w:r>
      <w:r w:rsidR="008C41CC" w:rsidRPr="008C41C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8C41CC"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kval</w:t>
      </w:r>
      <w:r w:rsidR="008C41CC" w:rsidRPr="008C41CC">
        <w:rPr>
          <w:rFonts w:ascii="Times New Roman" w:hAnsi="Times New Roman" w:cs="Times New Roman"/>
          <w:sz w:val="24"/>
          <w:szCs w:val="24"/>
          <w:lang w:val="lv-LV"/>
        </w:rPr>
        <w:t>itāte joprojām ir zema.</w:t>
      </w:r>
      <w:r w:rsidRPr="008C41CC">
        <w:rPr>
          <w:rFonts w:ascii="Times New Roman" w:hAnsi="Times New Roman" w:cs="Times New Roman"/>
          <w:sz w:val="24"/>
          <w:szCs w:val="24"/>
          <w:lang w:val="lv-LV"/>
        </w:rPr>
        <w:t xml:space="preserve"> Neizbēgams </w:t>
      </w:r>
      <w:r w:rsidR="008C41CC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8C41CC" w:rsidRPr="008C41CC">
        <w:rPr>
          <w:rFonts w:ascii="Times New Roman" w:hAnsi="Times New Roman" w:cs="Times New Roman"/>
          <w:sz w:val="24"/>
          <w:szCs w:val="24"/>
          <w:lang w:val="lv-LV"/>
        </w:rPr>
        <w:t xml:space="preserve">tālāks </w:t>
      </w:r>
      <w:r w:rsidRPr="008C41CC">
        <w:rPr>
          <w:rFonts w:ascii="Times New Roman" w:hAnsi="Times New Roman" w:cs="Times New Roman"/>
          <w:sz w:val="24"/>
          <w:szCs w:val="24"/>
          <w:lang w:val="lv-LV"/>
        </w:rPr>
        <w:t>darbaspēka izmaksu pieaugums</w:t>
      </w:r>
      <w:r w:rsidR="008C41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68C8"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vidējā termiņā</w:t>
      </w:r>
      <w:r w:rsidR="003A68C8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8C41CC" w:rsidRPr="008C41CC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8C41CC"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ES fondu finansējuma </w:t>
      </w:r>
      <w:r w:rsidR="00A20EB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apjoma </w:t>
      </w:r>
      <w:r w:rsidR="008C41CC" w:rsidRPr="008C41C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krass samazinājums </w:t>
      </w:r>
      <w:r w:rsidR="003A68C8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2022.</w:t>
      </w:r>
      <w:r w:rsidR="002E6F4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3A68C8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g.</w:t>
      </w:r>
    </w:p>
    <w:p w14:paraId="484665C4" w14:textId="6EE338FE" w:rsidR="008A6311" w:rsidRDefault="00D4723C" w:rsidP="00C350DF">
      <w:pPr>
        <w:spacing w:before="60"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Straujākai tautsaimniecības izaugsmei (sabalansēts IKP pieaugums 5% robežās katru gadu no 2018.</w:t>
      </w:r>
      <w:r w:rsidR="002E6F4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g.</w:t>
      </w:r>
      <w:r w:rsidR="003849D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)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ir nepieciešams </w:t>
      </w:r>
      <w:r w:rsidR="002D116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veikt t</w:t>
      </w:r>
      <w:r w:rsidR="002D1166">
        <w:rPr>
          <w:rFonts w:ascii="Times New Roman" w:hAnsi="Times New Roman" w:cs="Times New Roman"/>
          <w:lang w:val="lv-LV"/>
        </w:rPr>
        <w:t>autsaimniecības strukturālo transformāciju,</w:t>
      </w:r>
      <w:r w:rsidR="002D1166" w:rsidRPr="00C350DF">
        <w:rPr>
          <w:rFonts w:ascii="Times New Roman" w:hAnsi="Times New Roman" w:cs="Times New Roman"/>
          <w:lang w:val="lv-LV"/>
        </w:rPr>
        <w:t xml:space="preserve"> 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aktivizēt uzņēmējdarbības attīstību</w:t>
      </w:r>
      <w:r w:rsidR="008C41CC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un </w:t>
      </w:r>
      <w:r w:rsidR="002A2BB4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paaugstināt produktu </w:t>
      </w:r>
      <w:r w:rsidR="008C41CC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konku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rētspēj</w:t>
      </w:r>
      <w:r w:rsidR="002A2BB4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u</w:t>
      </w:r>
      <w:r w:rsidR="008C41CC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 B</w:t>
      </w:r>
      <w:r w:rsidR="000B07A7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alstoties tikai uz </w:t>
      </w:r>
      <w:r w:rsidR="008C41CC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brīvā </w:t>
      </w:r>
      <w:r w:rsidR="000B07A7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tirgus spēkiem un stimuliem, to panākt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būs</w:t>
      </w:r>
      <w:r w:rsid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neiespējami.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</w:t>
      </w:r>
      <w:r w:rsidR="000B07A7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 nepieciešama efektīva struktūrpolitika un saskaņota atbildīgo institūciju darbība, vienojoties par prioritātēm</w:t>
      </w:r>
      <w:r w:rsidR="00D65860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kuru īstenošanai </w:t>
      </w:r>
      <w:r w:rsidR="000B07A7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katrai iesaistītajai ministrijai 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jā</w:t>
      </w:r>
      <w:r w:rsid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pilda </w:t>
      </w:r>
      <w:r w:rsidR="000B07A7"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savi uzdevumi.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Tādēļ</w:t>
      </w:r>
      <w:r w:rsidR="008A6311" w:rsidRPr="002A2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valdības rīcības plānā 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tiek īpaši </w:t>
      </w:r>
      <w:r w:rsidR="00384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akcentēti</w:t>
      </w:r>
      <w:r w:rsidR="008A6311" w:rsidRPr="002A2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rīcības virzien</w:t>
      </w:r>
      <w:r w:rsidRPr="002A2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i</w:t>
      </w:r>
      <w:r w:rsidR="008A6311" w:rsidRPr="002A2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, kuru izpildei visvairāk nepieciešama horizontāla vairāku resoru iesaiste </w:t>
      </w:r>
      <w:r w:rsidR="00384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izvirzīto </w:t>
      </w:r>
      <w:r w:rsidR="008A6311" w:rsidRPr="002A2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mērķu sasniegšanai</w:t>
      </w:r>
      <w:r w:rsidR="00BC74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.</w:t>
      </w:r>
    </w:p>
    <w:p w14:paraId="13D84618" w14:textId="219E1E76" w:rsidR="00CE57B4" w:rsidRDefault="00CE57B4" w:rsidP="00496F75">
      <w:pPr>
        <w:spacing w:before="60"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Katrā no rīcības virzieniem tiek aprakstītas nepieciešamās darbības, norādot vadošo ministriju un ministrijas, kuru uzdevums ir sniegt atbalstu </w:t>
      </w:r>
      <w:r w:rsidR="006C7614">
        <w:rPr>
          <w:rFonts w:ascii="Times New Roman" w:hAnsi="Times New Roman" w:cs="Times New Roman"/>
          <w:sz w:val="24"/>
          <w:szCs w:val="24"/>
          <w:lang w:val="lv-LV"/>
        </w:rPr>
        <w:t>darbības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 kopējā mērķa sasniegšanai. Virzība uz kopējo katra rīcības </w:t>
      </w:r>
      <w:r w:rsidR="0093003C">
        <w:rPr>
          <w:rFonts w:ascii="Times New Roman" w:hAnsi="Times New Roman" w:cs="Times New Roman"/>
          <w:sz w:val="24"/>
          <w:szCs w:val="24"/>
          <w:lang w:val="lv-LV"/>
        </w:rPr>
        <w:t>virziena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 izpildi tiek īstenota, vadošajai ministrijai izveidojot un vadot rī</w:t>
      </w:r>
      <w:r w:rsidR="00205E78">
        <w:rPr>
          <w:rFonts w:ascii="Times New Roman" w:hAnsi="Times New Roman" w:cs="Times New Roman"/>
          <w:sz w:val="24"/>
          <w:szCs w:val="24"/>
          <w:lang w:val="lv-LV"/>
        </w:rPr>
        <w:t xml:space="preserve">cības </w:t>
      </w:r>
      <w:r w:rsidR="00A01365">
        <w:rPr>
          <w:rFonts w:ascii="Times New Roman" w:hAnsi="Times New Roman" w:cs="Times New Roman"/>
          <w:sz w:val="24"/>
          <w:szCs w:val="24"/>
          <w:lang w:val="lv-LV"/>
        </w:rPr>
        <w:t xml:space="preserve">virziena </w:t>
      </w:r>
      <w:r w:rsidR="00205E78">
        <w:rPr>
          <w:rFonts w:ascii="Times New Roman" w:hAnsi="Times New Roman" w:cs="Times New Roman"/>
          <w:sz w:val="24"/>
          <w:szCs w:val="24"/>
          <w:lang w:val="lv-LV"/>
        </w:rPr>
        <w:t>koordinācijas darba grupu</w:t>
      </w:r>
      <w:r w:rsidR="00191E63">
        <w:rPr>
          <w:rFonts w:ascii="Times New Roman" w:hAnsi="Times New Roman" w:cs="Times New Roman"/>
          <w:sz w:val="24"/>
          <w:szCs w:val="24"/>
          <w:lang w:val="lv-LV"/>
        </w:rPr>
        <w:t>, iesaistot sociālos partnerus</w:t>
      </w:r>
      <w:r w:rsidR="00205E78">
        <w:rPr>
          <w:rFonts w:ascii="Times New Roman" w:hAnsi="Times New Roman" w:cs="Times New Roman"/>
          <w:sz w:val="24"/>
          <w:szCs w:val="24"/>
          <w:lang w:val="lv-LV"/>
        </w:rPr>
        <w:t>. Vadošajai ministrijai un iesaistītajām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 atbalsta ministrijām noteikto uzdevumu izpildes monitoringu īsteno ar </w:t>
      </w:r>
      <w:r w:rsidR="002D1166">
        <w:rPr>
          <w:rFonts w:ascii="Times New Roman" w:hAnsi="Times New Roman" w:cs="Times New Roman"/>
          <w:sz w:val="24"/>
          <w:szCs w:val="24"/>
          <w:lang w:val="lv-LV"/>
        </w:rPr>
        <w:t>Ministru prezidenta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 biroja, PKC un nepieciešamības gadījumā sasaukto attiecīgo </w:t>
      </w:r>
      <w:r w:rsidR="002D1166">
        <w:rPr>
          <w:rFonts w:ascii="Times New Roman" w:hAnsi="Times New Roman" w:cs="Times New Roman"/>
          <w:sz w:val="24"/>
          <w:szCs w:val="24"/>
          <w:lang w:val="lv-LV"/>
        </w:rPr>
        <w:t>Ministru prezidenta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 vadīto attīstības padomju palīdzību.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>rioritār</w:t>
      </w:r>
      <w:r w:rsidR="002D1166">
        <w:rPr>
          <w:rFonts w:ascii="Times New Roman" w:hAnsi="Times New Roman" w:cs="Times New Roman"/>
          <w:sz w:val="24"/>
          <w:szCs w:val="24"/>
          <w:lang w:val="lv-LV"/>
        </w:rPr>
        <w:t>o valdības r</w:t>
      </w:r>
      <w:r w:rsidR="0093003C">
        <w:rPr>
          <w:rFonts w:ascii="Times New Roman" w:hAnsi="Times New Roman" w:cs="Times New Roman"/>
          <w:sz w:val="24"/>
          <w:szCs w:val="24"/>
          <w:lang w:val="lv-LV"/>
        </w:rPr>
        <w:t xml:space="preserve">īcības 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>virzienu progre</w:t>
      </w:r>
      <w:r w:rsidR="006C7614">
        <w:rPr>
          <w:rFonts w:ascii="Times New Roman" w:hAnsi="Times New Roman" w:cs="Times New Roman"/>
          <w:sz w:val="24"/>
          <w:szCs w:val="24"/>
          <w:lang w:val="lv-LV"/>
        </w:rPr>
        <w:t xml:space="preserve">ss tiek </w:t>
      </w:r>
      <w:r w:rsidR="002E6F4C">
        <w:rPr>
          <w:rFonts w:ascii="Times New Roman" w:hAnsi="Times New Roman" w:cs="Times New Roman"/>
          <w:sz w:val="24"/>
          <w:szCs w:val="24"/>
          <w:lang w:val="lv-LV"/>
        </w:rPr>
        <w:t>analizēts</w:t>
      </w:r>
      <w:r w:rsidR="006C7614">
        <w:rPr>
          <w:rFonts w:ascii="Times New Roman" w:hAnsi="Times New Roman" w:cs="Times New Roman"/>
          <w:sz w:val="24"/>
          <w:szCs w:val="24"/>
          <w:lang w:val="lv-LV"/>
        </w:rPr>
        <w:t xml:space="preserve"> 2 reizes gadā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 pēc rezultāta uz 1. janvāri un 1. jūliju,</w:t>
      </w:r>
      <w:r w:rsidR="00191E63">
        <w:rPr>
          <w:rFonts w:ascii="Times New Roman" w:hAnsi="Times New Roman" w:cs="Times New Roman"/>
          <w:sz w:val="24"/>
          <w:szCs w:val="24"/>
          <w:lang w:val="lv-LV"/>
        </w:rPr>
        <w:t xml:space="preserve"> saskaņojot ar sociālajiem partneriem sociālā dialoga ietvaros Nacionālās trīspusējās sadarbības padomes ietvaros un tās apakšpadomēs un</w:t>
      </w:r>
      <w:r w:rsidRPr="00CE57B4">
        <w:rPr>
          <w:rFonts w:ascii="Times New Roman" w:hAnsi="Times New Roman" w:cs="Times New Roman"/>
          <w:sz w:val="24"/>
          <w:szCs w:val="24"/>
          <w:lang w:val="lv-LV"/>
        </w:rPr>
        <w:t xml:space="preserve"> progresu izskatot Nacionālās attīstības padomē un Ministru kabinetā</w:t>
      </w:r>
      <w:r w:rsidR="006C761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0363EB" w14:textId="77777777" w:rsidR="00496F75" w:rsidRDefault="00496F75" w:rsidP="00496F75">
      <w:pPr>
        <w:spacing w:before="60"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2"/>
        <w:gridCol w:w="9497"/>
        <w:gridCol w:w="1128"/>
        <w:gridCol w:w="6"/>
        <w:gridCol w:w="1977"/>
        <w:gridCol w:w="13"/>
      </w:tblGrid>
      <w:tr w:rsidR="0093003C" w:rsidRPr="00C350DF" w14:paraId="68383B3A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3AE3BF65" w14:textId="77188C7C" w:rsidR="00CE57B4" w:rsidRPr="00C350DF" w:rsidRDefault="00C350DF" w:rsidP="0093003C">
            <w:pPr>
              <w:spacing w:before="60" w:line="31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  <w:t>N. p. k.</w:t>
            </w:r>
          </w:p>
        </w:tc>
        <w:tc>
          <w:tcPr>
            <w:tcW w:w="9504" w:type="dxa"/>
            <w:gridSpan w:val="2"/>
          </w:tcPr>
          <w:p w14:paraId="4E324E85" w14:textId="4CA3BD0E" w:rsidR="00CE57B4" w:rsidRPr="00C350DF" w:rsidRDefault="00C350DF" w:rsidP="00C350DF">
            <w:pPr>
              <w:spacing w:before="240" w:line="31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  <w:t>Rīcības virzieni un nepieciešamās darbības</w:t>
            </w:r>
          </w:p>
        </w:tc>
        <w:tc>
          <w:tcPr>
            <w:tcW w:w="1128" w:type="dxa"/>
          </w:tcPr>
          <w:p w14:paraId="7AFB336F" w14:textId="0818C466" w:rsidR="00CE57B4" w:rsidRPr="00C350DF" w:rsidRDefault="00C350DF" w:rsidP="00C350DF">
            <w:pPr>
              <w:spacing w:before="60" w:line="31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  <w:t>Vadošā ministrija</w:t>
            </w:r>
          </w:p>
        </w:tc>
        <w:tc>
          <w:tcPr>
            <w:tcW w:w="1983" w:type="dxa"/>
            <w:gridSpan w:val="2"/>
          </w:tcPr>
          <w:p w14:paraId="11F1117A" w14:textId="5D3409CD" w:rsidR="00CE57B4" w:rsidRPr="00C350DF" w:rsidRDefault="00C350DF" w:rsidP="00C350DF">
            <w:pPr>
              <w:spacing w:before="60" w:line="31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lv-LV"/>
              </w:rPr>
              <w:t>Atbalstošās ministrijas</w:t>
            </w:r>
          </w:p>
        </w:tc>
      </w:tr>
      <w:tr w:rsidR="0093003C" w:rsidRPr="00C350DF" w14:paraId="303BD4DA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50450BF7" w14:textId="5D563E34" w:rsidR="00CE57B4" w:rsidRPr="00C350DF" w:rsidRDefault="00CE57B4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</w:t>
            </w:r>
            <w:r w:rsidR="00496F7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</w:p>
        </w:tc>
        <w:tc>
          <w:tcPr>
            <w:tcW w:w="9504" w:type="dxa"/>
            <w:gridSpan w:val="2"/>
          </w:tcPr>
          <w:p w14:paraId="03E8F227" w14:textId="432A8681" w:rsidR="00CE57B4" w:rsidRPr="00C350DF" w:rsidRDefault="002D1166" w:rsidP="002D1166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lang w:val="lv-LV"/>
              </w:rPr>
              <w:t>Uzņēmējdarbības vides uzlabošana ar mērķi nodrošināt straujāku un sabalansētāku ekonomikas izaugsmi</w:t>
            </w:r>
            <w:r>
              <w:rPr>
                <w:rFonts w:ascii="Times New Roman" w:hAnsi="Times New Roman" w:cs="Times New Roman"/>
                <w:lang w:val="lv-LV"/>
              </w:rPr>
              <w:t xml:space="preserve"> un 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iekļūt </w:t>
            </w:r>
            <w:r w:rsidRPr="00C350DF">
              <w:rPr>
                <w:rFonts w:ascii="Times New Roman" w:hAnsi="Times New Roman" w:cs="Times New Roman"/>
                <w:i/>
                <w:lang w:val="lv-LV"/>
              </w:rPr>
              <w:t>Doing Business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 top-20 un </w:t>
            </w:r>
            <w:r w:rsidRPr="00C350DF">
              <w:rPr>
                <w:rFonts w:ascii="Times New Roman" w:hAnsi="Times New Roman" w:cs="Times New Roman"/>
                <w:i/>
                <w:lang w:val="lv-LV"/>
              </w:rPr>
              <w:t xml:space="preserve">Globālā konkurētspējas indeksa </w:t>
            </w:r>
            <w:r w:rsidRPr="00C350DF">
              <w:rPr>
                <w:rFonts w:ascii="Times New Roman" w:hAnsi="Times New Roman" w:cs="Times New Roman"/>
                <w:lang w:val="lv-LV"/>
              </w:rPr>
              <w:t>top-40 valstu grupās 2018.</w:t>
            </w:r>
            <w:r>
              <w:rPr>
                <w:rFonts w:ascii="Times New Roman" w:hAnsi="Times New Roman" w:cs="Times New Roman"/>
                <w:lang w:val="lv-LV"/>
              </w:rPr>
              <w:t xml:space="preserve"> g.</w:t>
            </w:r>
          </w:p>
        </w:tc>
        <w:tc>
          <w:tcPr>
            <w:tcW w:w="1128" w:type="dxa"/>
          </w:tcPr>
          <w:p w14:paraId="1A9E7978" w14:textId="57F38F53" w:rsidR="00CE57B4" w:rsidRPr="00C350DF" w:rsidRDefault="006C7614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2D116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</w:t>
            </w:r>
          </w:p>
        </w:tc>
        <w:tc>
          <w:tcPr>
            <w:tcW w:w="1983" w:type="dxa"/>
            <w:gridSpan w:val="2"/>
          </w:tcPr>
          <w:p w14:paraId="4CA6A604" w14:textId="77777777" w:rsidR="00CE57B4" w:rsidRPr="00C350DF" w:rsidRDefault="00CE57B4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</w:p>
        </w:tc>
      </w:tr>
      <w:tr w:rsidR="00073872" w:rsidRPr="00C350DF" w14:paraId="448BA7B9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718C9BB2" w14:textId="2EF3E4A5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.1</w:t>
            </w:r>
          </w:p>
        </w:tc>
        <w:tc>
          <w:tcPr>
            <w:tcW w:w="9504" w:type="dxa"/>
            <w:gridSpan w:val="2"/>
          </w:tcPr>
          <w:p w14:paraId="3A3DFE6A" w14:textId="42907763" w:rsidR="00073872" w:rsidRPr="00C350DF" w:rsidRDefault="00073872" w:rsidP="002E6F4C">
            <w:pPr>
              <w:spacing w:before="20" w:line="264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Konceptuāla piedāvājuma izstrāde un īstenošana valsts/pašvaldību plašākām iespējām uzņēmējdarbības atbalstam</w:t>
            </w:r>
            <w:r w:rsidR="00191E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un infrastruktūras pieejamībai</w:t>
            </w:r>
          </w:p>
        </w:tc>
        <w:tc>
          <w:tcPr>
            <w:tcW w:w="1128" w:type="dxa"/>
          </w:tcPr>
          <w:p w14:paraId="775600FF" w14:textId="317C7454" w:rsidR="00073872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VARAM</w:t>
            </w:r>
          </w:p>
        </w:tc>
        <w:tc>
          <w:tcPr>
            <w:tcW w:w="1983" w:type="dxa"/>
            <w:gridSpan w:val="2"/>
          </w:tcPr>
          <w:p w14:paraId="39712455" w14:textId="57C1D4AC" w:rsidR="00073872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FM, ZM, TM</w:t>
            </w:r>
          </w:p>
        </w:tc>
      </w:tr>
      <w:tr w:rsidR="00073872" w:rsidRPr="00C350DF" w14:paraId="3B5BC78F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3E91A72E" w14:textId="100008AC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</w:t>
            </w:r>
          </w:p>
        </w:tc>
        <w:tc>
          <w:tcPr>
            <w:tcW w:w="9504" w:type="dxa"/>
            <w:gridSpan w:val="2"/>
          </w:tcPr>
          <w:p w14:paraId="74C7595D" w14:textId="15C64144" w:rsidR="00073872" w:rsidRPr="00C350DF" w:rsidRDefault="00122FBA" w:rsidP="00122FBA">
            <w:pPr>
              <w:spacing w:before="20" w:line="264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C350DF">
              <w:rPr>
                <w:rFonts w:ascii="Times New Roman" w:hAnsi="Times New Roman" w:cs="Times New Roman"/>
                <w:lang w:val="lv-LV"/>
              </w:rPr>
              <w:t>Ārvalstu investīciju piesaistes</w:t>
            </w:r>
            <w:r>
              <w:rPr>
                <w:rFonts w:ascii="Times New Roman" w:hAnsi="Times New Roman" w:cs="Times New Roman"/>
                <w:lang w:val="lv-LV"/>
              </w:rPr>
              <w:t xml:space="preserve"> un labvēlīgas investīciju vides attīstīšanas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 stratēģija, stratēģisko investīciju (&gt;50 milj</w:t>
            </w:r>
            <w:r>
              <w:rPr>
                <w:rFonts w:ascii="Times New Roman" w:hAnsi="Times New Roman" w:cs="Times New Roman"/>
                <w:lang w:val="lv-LV"/>
              </w:rPr>
              <w:t>oni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€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) projektu </w:t>
            </w:r>
            <w:r w:rsidRPr="00C350DF">
              <w:rPr>
                <w:rFonts w:ascii="Times New Roman" w:hAnsi="Times New Roman" w:cs="Times New Roman"/>
                <w:i/>
                <w:lang w:val="lv-LV"/>
              </w:rPr>
              <w:t>portfeļa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 izveide, identificējot prioritārās nozares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1128" w:type="dxa"/>
          </w:tcPr>
          <w:p w14:paraId="1EBC33D5" w14:textId="40264CD8" w:rsidR="00073872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VARAM</w:t>
            </w:r>
          </w:p>
        </w:tc>
        <w:tc>
          <w:tcPr>
            <w:tcW w:w="1983" w:type="dxa"/>
            <w:gridSpan w:val="2"/>
          </w:tcPr>
          <w:p w14:paraId="351D2D33" w14:textId="4208B4BC" w:rsidR="00073872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SM, IeM, VM, LM, EM, FM, ZM, IZM</w:t>
            </w:r>
          </w:p>
        </w:tc>
      </w:tr>
      <w:tr w:rsidR="00073872" w:rsidRPr="00C350DF" w14:paraId="5C83158A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572639C5" w14:textId="3FB62202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.3</w:t>
            </w:r>
          </w:p>
        </w:tc>
        <w:tc>
          <w:tcPr>
            <w:tcW w:w="9504" w:type="dxa"/>
            <w:gridSpan w:val="2"/>
          </w:tcPr>
          <w:p w14:paraId="70830FE8" w14:textId="7583DBBB" w:rsidR="00073872" w:rsidRPr="00C350DF" w:rsidRDefault="00073872" w:rsidP="0037710C">
            <w:pPr>
              <w:spacing w:before="20" w:line="264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C350DF">
              <w:rPr>
                <w:rFonts w:ascii="Times New Roman" w:hAnsi="Times New Roman" w:cs="Times New Roman"/>
                <w:lang w:val="lv-LV"/>
              </w:rPr>
              <w:t>N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ormatīvās vides pilnveidošana, tiesu sistēmas caurspīdīga un efektīva darbība (tai skaitā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7710C">
              <w:rPr>
                <w:rFonts w:ascii="Times New Roman" w:hAnsi="Times New Roman" w:cs="Times New Roman"/>
                <w:lang w:val="lv-LV"/>
              </w:rPr>
              <w:t>efektivizējot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 maksātnespējas procesu un nodrošinot līdzsvaru starp maksātnespējīgo personu un kreditoru interesēm)</w:t>
            </w:r>
          </w:p>
        </w:tc>
        <w:tc>
          <w:tcPr>
            <w:tcW w:w="1128" w:type="dxa"/>
          </w:tcPr>
          <w:p w14:paraId="6F063336" w14:textId="277FAA29" w:rsidR="00073872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TM</w:t>
            </w:r>
          </w:p>
        </w:tc>
        <w:tc>
          <w:tcPr>
            <w:tcW w:w="1983" w:type="dxa"/>
            <w:gridSpan w:val="2"/>
          </w:tcPr>
          <w:p w14:paraId="5BE78917" w14:textId="67AFA109" w:rsidR="00073872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FM</w:t>
            </w:r>
          </w:p>
        </w:tc>
      </w:tr>
      <w:tr w:rsidR="00073872" w:rsidRPr="00C350DF" w14:paraId="264FAA51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02616A2B" w14:textId="2DEF1759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lastRenderedPageBreak/>
              <w:t>1.4</w:t>
            </w:r>
          </w:p>
        </w:tc>
        <w:tc>
          <w:tcPr>
            <w:tcW w:w="9504" w:type="dxa"/>
            <w:gridSpan w:val="2"/>
          </w:tcPr>
          <w:p w14:paraId="6E32A539" w14:textId="109134EE" w:rsidR="00073872" w:rsidRPr="00C350DF" w:rsidRDefault="00122FBA" w:rsidP="00122FBA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Publiskā iepirkuma sistēmas optimizācija: </w:t>
            </w:r>
            <w:r w:rsidRPr="00C350DF">
              <w:rPr>
                <w:rFonts w:ascii="Times New Roman" w:hAnsi="Times New Roman" w:cs="Times New Roman"/>
                <w:lang w:val="lv-LV"/>
              </w:rPr>
              <w:t xml:space="preserve">lielākas iespējas vietējam ražotājam un pakalpojumu sniedzējam,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zaļais iepirkums vietējā pašpatēriņa/pieprasījuma nodrošināšanai </w:t>
            </w:r>
          </w:p>
        </w:tc>
        <w:tc>
          <w:tcPr>
            <w:tcW w:w="1128" w:type="dxa"/>
          </w:tcPr>
          <w:p w14:paraId="27F95EFE" w14:textId="28D342A2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</w:t>
            </w:r>
          </w:p>
        </w:tc>
        <w:tc>
          <w:tcPr>
            <w:tcW w:w="1983" w:type="dxa"/>
            <w:gridSpan w:val="2"/>
          </w:tcPr>
          <w:p w14:paraId="24BDF43E" w14:textId="1F186F19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SM, ĀM, LM, VARAM, IZM</w:t>
            </w:r>
          </w:p>
        </w:tc>
      </w:tr>
      <w:tr w:rsidR="00073872" w:rsidRPr="00C350DF" w14:paraId="5063F19E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5945BD51" w14:textId="46CCEB80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1.5</w:t>
            </w:r>
          </w:p>
        </w:tc>
        <w:tc>
          <w:tcPr>
            <w:tcW w:w="9504" w:type="dxa"/>
            <w:gridSpan w:val="2"/>
          </w:tcPr>
          <w:p w14:paraId="637CA8BC" w14:textId="13DBB22D" w:rsidR="00073872" w:rsidRPr="00C350DF" w:rsidRDefault="00073872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lang w:val="lv-LV"/>
              </w:rPr>
              <w:t>Ekonomiski nozīmīgo vietējo resursu (mežs, aramzeme, ūdens, vējš, nemetāliskie derīgie izrakteņi, u.c.) izmantošanas intensifikācija, pastiprinot privātā sektora ilgtspējīgu iesaisti šo resursu izmantošanā</w:t>
            </w:r>
          </w:p>
        </w:tc>
        <w:tc>
          <w:tcPr>
            <w:tcW w:w="1128" w:type="dxa"/>
          </w:tcPr>
          <w:p w14:paraId="40622C1C" w14:textId="53F9F3BC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</w:t>
            </w:r>
          </w:p>
        </w:tc>
        <w:tc>
          <w:tcPr>
            <w:tcW w:w="1983" w:type="dxa"/>
            <w:gridSpan w:val="2"/>
          </w:tcPr>
          <w:p w14:paraId="1142F2A9" w14:textId="076AE5A1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ZM, VARAM, FM, TM</w:t>
            </w:r>
          </w:p>
        </w:tc>
      </w:tr>
      <w:tr w:rsidR="00073872" w:rsidRPr="00C350DF" w14:paraId="59565484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25392B64" w14:textId="05E5DF88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1.6</w:t>
            </w:r>
          </w:p>
        </w:tc>
        <w:tc>
          <w:tcPr>
            <w:tcW w:w="9504" w:type="dxa"/>
            <w:gridSpan w:val="2"/>
          </w:tcPr>
          <w:p w14:paraId="1D4271DF" w14:textId="3132C3D7" w:rsidR="00073872" w:rsidRPr="00C350DF" w:rsidRDefault="00073872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lang w:val="lv-LV" w:eastAsia="lv-LV"/>
              </w:rPr>
              <w:t>Valsts īpašumā esošo aktīvu caurspīdīga un efektīva pārvaldības modeļa izstrāde un ieviešana</w:t>
            </w:r>
          </w:p>
        </w:tc>
        <w:tc>
          <w:tcPr>
            <w:tcW w:w="1128" w:type="dxa"/>
          </w:tcPr>
          <w:p w14:paraId="191749FC" w14:textId="013DCD36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PKC</w:t>
            </w:r>
          </w:p>
        </w:tc>
        <w:tc>
          <w:tcPr>
            <w:tcW w:w="1983" w:type="dxa"/>
            <w:gridSpan w:val="2"/>
          </w:tcPr>
          <w:p w14:paraId="2D7E1773" w14:textId="2AF81945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SM, ZM, EM, KM, VM</w:t>
            </w:r>
          </w:p>
        </w:tc>
      </w:tr>
      <w:tr w:rsidR="00073872" w:rsidRPr="00C350DF" w14:paraId="28AE3D5E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5FF53F91" w14:textId="7C7539E3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1.7</w:t>
            </w:r>
          </w:p>
        </w:tc>
        <w:tc>
          <w:tcPr>
            <w:tcW w:w="9504" w:type="dxa"/>
            <w:gridSpan w:val="2"/>
          </w:tcPr>
          <w:p w14:paraId="5E9481EE" w14:textId="2DA84768" w:rsidR="00073872" w:rsidRPr="00C350DF" w:rsidRDefault="00122FBA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Valsts informācijas sistēmu integrācija (pastiprinot datu vispārpieejamību un atkalizmantošanu), un uz tām bāzēti efektīvi publiskie pakalpojumi</w:t>
            </w:r>
          </w:p>
        </w:tc>
        <w:tc>
          <w:tcPr>
            <w:tcW w:w="1128" w:type="dxa"/>
          </w:tcPr>
          <w:p w14:paraId="024962A7" w14:textId="12129BC0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</w:t>
            </w:r>
          </w:p>
        </w:tc>
        <w:tc>
          <w:tcPr>
            <w:tcW w:w="1983" w:type="dxa"/>
            <w:gridSpan w:val="2"/>
          </w:tcPr>
          <w:p w14:paraId="545A5651" w14:textId="0AEE465C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ZM, VARAM</w:t>
            </w:r>
          </w:p>
        </w:tc>
      </w:tr>
      <w:tr w:rsidR="00AB3D98" w:rsidRPr="00AB3D98" w14:paraId="67303CB5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0BCDBA73" w14:textId="4F4FB482" w:rsidR="00AB3D98" w:rsidRPr="00AB3D98" w:rsidRDefault="00AB3D98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AB3D9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1.8</w:t>
            </w:r>
          </w:p>
        </w:tc>
        <w:tc>
          <w:tcPr>
            <w:tcW w:w="9504" w:type="dxa"/>
            <w:gridSpan w:val="2"/>
          </w:tcPr>
          <w:p w14:paraId="6E769422" w14:textId="6B399686" w:rsidR="00AB3D98" w:rsidRPr="00AB3D98" w:rsidRDefault="00AB3D98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AB3D98">
              <w:rPr>
                <w:rFonts w:ascii="Times New Roman" w:hAnsi="Times New Roman" w:cs="Times New Roman"/>
                <w:lang w:val="lv-LV"/>
              </w:rPr>
              <w:t xml:space="preserve">Finanšu un kapitāla tirgus ilgtspējīga attīstības koncepcijas izstrāde ar mērķi </w:t>
            </w:r>
            <w:r w:rsidRPr="00AB3D9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ieviest inovatīvus finanšu pakalpojumus (t.sk. </w:t>
            </w:r>
            <w:r w:rsidRPr="00AB3D98"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>fintech</w:t>
            </w:r>
            <w:r w:rsidRPr="00AB3D98">
              <w:rPr>
                <w:rFonts w:ascii="Times New Roman" w:hAnsi="Times New Roman" w:cs="Times New Roman"/>
                <w:color w:val="000000" w:themeColor="text1"/>
                <w:lang w:val="lv-LV"/>
              </w:rPr>
              <w:t>) un pozicionēt Latviju kā bāzi starptautisko finanšu pak</w:t>
            </w:r>
            <w:r w:rsidRPr="00AB3D98">
              <w:rPr>
                <w:rFonts w:ascii="Times New Roman" w:hAnsi="Times New Roman" w:cs="Times New Roman"/>
                <w:lang w:val="lv-LV"/>
              </w:rPr>
              <w:t>alpojumu sniegšanai</w:t>
            </w:r>
          </w:p>
        </w:tc>
        <w:tc>
          <w:tcPr>
            <w:tcW w:w="1128" w:type="dxa"/>
          </w:tcPr>
          <w:p w14:paraId="561DCBB2" w14:textId="6A28AE62" w:rsidR="00AB3D98" w:rsidRPr="00AB3D98" w:rsidRDefault="00AB3D98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AB3D9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</w:t>
            </w:r>
          </w:p>
        </w:tc>
        <w:tc>
          <w:tcPr>
            <w:tcW w:w="1983" w:type="dxa"/>
            <w:gridSpan w:val="2"/>
          </w:tcPr>
          <w:p w14:paraId="501C4281" w14:textId="645C9868" w:rsidR="00AB3D98" w:rsidRPr="00AB3D98" w:rsidRDefault="00AB3D98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AB3D9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TM</w:t>
            </w:r>
          </w:p>
        </w:tc>
      </w:tr>
      <w:tr w:rsidR="00FD4C7C" w:rsidRPr="00C350DF" w14:paraId="64785A9E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3F7504C2" w14:textId="7F1CFA0C" w:rsidR="00FD4C7C" w:rsidRPr="00C350DF" w:rsidRDefault="00FD4C7C" w:rsidP="006F3055">
            <w:pPr>
              <w:spacing w:before="20"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2</w:t>
            </w:r>
            <w:r w:rsidR="00496F7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</w:p>
        </w:tc>
        <w:tc>
          <w:tcPr>
            <w:tcW w:w="9504" w:type="dxa"/>
            <w:gridSpan w:val="2"/>
          </w:tcPr>
          <w:p w14:paraId="07445681" w14:textId="155E9C8F" w:rsidR="00FD4C7C" w:rsidRPr="00C350DF" w:rsidRDefault="00FD4C7C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Līdzsvarota un prognozējama nodokļu politika, sasniedzot iekasēto nodokļu apjomu 33% no IKP 2020.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g.</w:t>
            </w:r>
          </w:p>
        </w:tc>
        <w:tc>
          <w:tcPr>
            <w:tcW w:w="1128" w:type="dxa"/>
          </w:tcPr>
          <w:p w14:paraId="63B7460A" w14:textId="0F221AA4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07387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</w:t>
            </w:r>
          </w:p>
        </w:tc>
        <w:tc>
          <w:tcPr>
            <w:tcW w:w="1983" w:type="dxa"/>
            <w:gridSpan w:val="2"/>
          </w:tcPr>
          <w:p w14:paraId="0906C9CC" w14:textId="2A64AEA4" w:rsidR="00FD4C7C" w:rsidRPr="00C350DF" w:rsidRDefault="00FD4C7C" w:rsidP="0037710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</w:p>
        </w:tc>
      </w:tr>
      <w:tr w:rsidR="00FD4C7C" w:rsidRPr="00C350DF" w14:paraId="607857FF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51F1CDE9" w14:textId="72BFB010" w:rsidR="00FD4C7C" w:rsidRPr="00C350DF" w:rsidRDefault="00FD4C7C" w:rsidP="006F305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2</w:t>
            </w:r>
            <w:r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.1</w:t>
            </w:r>
          </w:p>
        </w:tc>
        <w:tc>
          <w:tcPr>
            <w:tcW w:w="9504" w:type="dxa"/>
            <w:gridSpan w:val="2"/>
          </w:tcPr>
          <w:p w14:paraId="4475528A" w14:textId="2274D4A8" w:rsidR="00FD4C7C" w:rsidRPr="00C350DF" w:rsidRDefault="00FD4C7C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Ēnu ekonomikas un ekonomisko noziegumu apkarošana, samazinot ēnu ekonomikas īpatsvaru valstī 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par 3 procentpunktiem līdz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2018.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g.</w:t>
            </w:r>
          </w:p>
        </w:tc>
        <w:tc>
          <w:tcPr>
            <w:tcW w:w="1128" w:type="dxa"/>
          </w:tcPr>
          <w:p w14:paraId="63EC4B60" w14:textId="12E52F71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</w:t>
            </w:r>
          </w:p>
        </w:tc>
        <w:tc>
          <w:tcPr>
            <w:tcW w:w="1983" w:type="dxa"/>
            <w:gridSpan w:val="2"/>
          </w:tcPr>
          <w:p w14:paraId="7B149A82" w14:textId="7D59C841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ZM, VARAM, SM. TM, LM, IeM</w:t>
            </w:r>
          </w:p>
        </w:tc>
      </w:tr>
      <w:tr w:rsidR="00FD4C7C" w:rsidRPr="00C350DF" w14:paraId="105C23F9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03D4CBB3" w14:textId="3FC52789" w:rsidR="00FD4C7C" w:rsidRPr="00C350DF" w:rsidRDefault="00FD4C7C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2</w:t>
            </w:r>
            <w:r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</w:t>
            </w:r>
          </w:p>
        </w:tc>
        <w:tc>
          <w:tcPr>
            <w:tcW w:w="9504" w:type="dxa"/>
            <w:gridSpan w:val="2"/>
          </w:tcPr>
          <w:p w14:paraId="15974163" w14:textId="24100509" w:rsidR="00FD4C7C" w:rsidRPr="00C350DF" w:rsidRDefault="00FD4C7C" w:rsidP="0037710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Ilgtspējīgas nodokļu sistēmas izveide, 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tai skaitā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nodokļu sloga pārnešana no darbaspēka uz ienākumiem no kapitāla un kapitāla pieauguma, uz patēriņu, uz nekustamo īpašumu un uz dabas resursu izmantošanu</w:t>
            </w:r>
          </w:p>
        </w:tc>
        <w:tc>
          <w:tcPr>
            <w:tcW w:w="1128" w:type="dxa"/>
          </w:tcPr>
          <w:p w14:paraId="66B41EA5" w14:textId="65C6693F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</w:t>
            </w:r>
          </w:p>
        </w:tc>
        <w:tc>
          <w:tcPr>
            <w:tcW w:w="1983" w:type="dxa"/>
            <w:gridSpan w:val="2"/>
          </w:tcPr>
          <w:p w14:paraId="27089C2D" w14:textId="7CAD82B0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Visas ministrijas</w:t>
            </w:r>
          </w:p>
        </w:tc>
      </w:tr>
      <w:tr w:rsidR="00FD4C7C" w:rsidRPr="00C350DF" w14:paraId="31B5F3AC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39DCAEB8" w14:textId="15B189BC" w:rsidR="00FD4C7C" w:rsidRPr="00C350DF" w:rsidRDefault="00FD4C7C" w:rsidP="006F3055">
            <w:pPr>
              <w:spacing w:before="20"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3</w:t>
            </w:r>
            <w:r w:rsidR="00496F7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</w:p>
        </w:tc>
        <w:tc>
          <w:tcPr>
            <w:tcW w:w="9504" w:type="dxa"/>
            <w:gridSpan w:val="2"/>
          </w:tcPr>
          <w:p w14:paraId="6227A993" w14:textId="5A0D88F7" w:rsidR="00FD4C7C" w:rsidRPr="00C350DF" w:rsidRDefault="00FD4C7C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Inovācija kā ekonomikas transformācijai nepieciešams priekšnoteikums, privātā sektora motivācija ieguldījumiem pētniecībā un attīstībā 47% apjomā no kopējiem ieguldījumiem 2018.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g.</w:t>
            </w:r>
          </w:p>
        </w:tc>
        <w:tc>
          <w:tcPr>
            <w:tcW w:w="1128" w:type="dxa"/>
          </w:tcPr>
          <w:p w14:paraId="26A1595A" w14:textId="11938FFC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07387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</w:t>
            </w:r>
          </w:p>
        </w:tc>
        <w:tc>
          <w:tcPr>
            <w:tcW w:w="1983" w:type="dxa"/>
            <w:gridSpan w:val="2"/>
          </w:tcPr>
          <w:p w14:paraId="16ED8938" w14:textId="65076AC5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</w:p>
        </w:tc>
      </w:tr>
      <w:tr w:rsidR="00FD4C7C" w:rsidRPr="00C350DF" w14:paraId="1B7551E3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2C51EE85" w14:textId="29275C7E" w:rsidR="00FD4C7C" w:rsidRPr="00C350DF" w:rsidRDefault="00FD4C7C" w:rsidP="006F305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3</w:t>
            </w:r>
            <w:r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.1</w:t>
            </w:r>
          </w:p>
        </w:tc>
        <w:tc>
          <w:tcPr>
            <w:tcW w:w="9504" w:type="dxa"/>
            <w:gridSpan w:val="2"/>
          </w:tcPr>
          <w:p w14:paraId="5E382068" w14:textId="2D12B14A" w:rsidR="00FD4C7C" w:rsidRPr="00C350DF" w:rsidRDefault="00FD4C7C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Nacionālās inovāciju sistēmas pilnveidošana, cilvēkresursu attīstība</w:t>
            </w:r>
            <w:r w:rsidRPr="00C350DF">
              <w:rPr>
                <w:rFonts w:ascii="Times New Roman" w:hAnsi="Times New Roman" w:cs="Times New Roman"/>
                <w:lang w:val="lv-LV"/>
              </w:rPr>
              <w:t>, motivācijas pasākumu izstrāde pētniekiem un biznesam un viņu kopdarbības stimulēšana, resursu koordinēšana, koncentrācija un vispārpieejamība</w:t>
            </w:r>
          </w:p>
        </w:tc>
        <w:tc>
          <w:tcPr>
            <w:tcW w:w="1128" w:type="dxa"/>
          </w:tcPr>
          <w:p w14:paraId="2A40298C" w14:textId="3B9EC460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</w:t>
            </w:r>
          </w:p>
        </w:tc>
        <w:tc>
          <w:tcPr>
            <w:tcW w:w="1983" w:type="dxa"/>
            <w:gridSpan w:val="2"/>
          </w:tcPr>
          <w:p w14:paraId="7A86ABAF" w14:textId="54E07B21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IZM, FM, VM, ZM, VARAM</w:t>
            </w:r>
          </w:p>
        </w:tc>
      </w:tr>
      <w:tr w:rsidR="00FD4C7C" w:rsidRPr="00C350DF" w14:paraId="56541536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7ED327EF" w14:textId="3908A65C" w:rsidR="00FD4C7C" w:rsidRPr="00C350DF" w:rsidRDefault="00FD4C7C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3</w:t>
            </w:r>
            <w:r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</w:t>
            </w:r>
          </w:p>
        </w:tc>
        <w:tc>
          <w:tcPr>
            <w:tcW w:w="9504" w:type="dxa"/>
            <w:gridSpan w:val="2"/>
          </w:tcPr>
          <w:p w14:paraId="05AFFE0E" w14:textId="6C9EE563" w:rsidR="00FD4C7C" w:rsidRPr="00C350DF" w:rsidRDefault="00FD4C7C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Konkurētspējīgu inovatīvu produktu un procesu radīšanas/pilnveidošanas 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un eksportspējas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atbalsts kā Latvijai tradicionālajās nozarēs un procesos, tā augsto un vidējo tehnoloģiju nozarēs</w:t>
            </w:r>
          </w:p>
        </w:tc>
        <w:tc>
          <w:tcPr>
            <w:tcW w:w="1128" w:type="dxa"/>
          </w:tcPr>
          <w:p w14:paraId="4BB206B9" w14:textId="08AA0FAA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</w:t>
            </w:r>
          </w:p>
        </w:tc>
        <w:tc>
          <w:tcPr>
            <w:tcW w:w="1983" w:type="dxa"/>
            <w:gridSpan w:val="2"/>
          </w:tcPr>
          <w:p w14:paraId="07B8C46C" w14:textId="2FA23F4E" w:rsidR="00FD4C7C" w:rsidRPr="00C350DF" w:rsidRDefault="00FD4C7C" w:rsidP="00073872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IZM, ZM, VM, VARAM, KM, ĀM</w:t>
            </w:r>
          </w:p>
        </w:tc>
      </w:tr>
      <w:tr w:rsidR="00FD4C7C" w:rsidRPr="00C350DF" w14:paraId="67CC165C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26B86D22" w14:textId="56FDB003" w:rsidR="00FD4C7C" w:rsidRPr="00C350DF" w:rsidRDefault="00FD4C7C" w:rsidP="006F3055">
            <w:pPr>
              <w:spacing w:before="20"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496F7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</w:p>
        </w:tc>
        <w:tc>
          <w:tcPr>
            <w:tcW w:w="9504" w:type="dxa"/>
            <w:gridSpan w:val="2"/>
          </w:tcPr>
          <w:p w14:paraId="0C3F893F" w14:textId="0220AD85" w:rsidR="00FD4C7C" w:rsidRPr="0037710C" w:rsidRDefault="00902CE6" w:rsidP="00620618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</w:t>
            </w:r>
            <w:r w:rsidR="00FD4C7C" w:rsidRPr="0037710C">
              <w:rPr>
                <w:rFonts w:ascii="Times New Roman" w:hAnsi="Times New Roman" w:cs="Times New Roman"/>
                <w:lang w:val="lv-LV"/>
              </w:rPr>
              <w:t>arbinieku prasmju un zināšanu uzlabošana produktivitātes un IKP pieauguma sasniegšanai un vienlaikus iedzīvotāju dzīves kvalitātes uzlabošanai</w:t>
            </w:r>
          </w:p>
        </w:tc>
        <w:tc>
          <w:tcPr>
            <w:tcW w:w="1128" w:type="dxa"/>
          </w:tcPr>
          <w:p w14:paraId="7C80EBD5" w14:textId="3CC277BA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</w:t>
            </w:r>
          </w:p>
        </w:tc>
        <w:tc>
          <w:tcPr>
            <w:tcW w:w="1983" w:type="dxa"/>
            <w:gridSpan w:val="2"/>
          </w:tcPr>
          <w:p w14:paraId="78E44230" w14:textId="0B77EA86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</w:p>
        </w:tc>
      </w:tr>
      <w:tr w:rsidR="00FD4C7C" w:rsidRPr="00C350DF" w14:paraId="681649A4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1B82A90E" w14:textId="717D5EBF" w:rsidR="00FD4C7C" w:rsidRPr="00C350DF" w:rsidRDefault="00FD4C7C" w:rsidP="006F305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.1</w:t>
            </w:r>
          </w:p>
        </w:tc>
        <w:tc>
          <w:tcPr>
            <w:tcW w:w="9504" w:type="dxa"/>
            <w:gridSpan w:val="2"/>
          </w:tcPr>
          <w:p w14:paraId="7E9C4B8F" w14:textId="2D8E80F0" w:rsidR="00FD4C7C" w:rsidRPr="0037710C" w:rsidRDefault="00FD4C7C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37710C">
              <w:rPr>
                <w:rFonts w:ascii="Times New Roman" w:hAnsi="Times New Roman" w:cs="Times New Roman"/>
                <w:color w:val="000000" w:themeColor="text1"/>
                <w:lang w:val="lv-LV"/>
              </w:rPr>
              <w:t>Demogrāfiskās situācijas uzlabošanas pasākumi visos saistītajos aspektos: dzimstības veicināšana, prognozējamā un darbīgā mūža garuma palielināšana, ekonomiskās emigrācijas samazinājums</w:t>
            </w:r>
            <w:r w:rsidR="00902CE6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un remigrācija</w:t>
            </w:r>
            <w:r w:rsidRPr="0037710C">
              <w:rPr>
                <w:rFonts w:ascii="Times New Roman" w:hAnsi="Times New Roman" w:cs="Times New Roman"/>
                <w:color w:val="000000" w:themeColor="text1"/>
                <w:lang w:val="lv-LV"/>
              </w:rPr>
              <w:t>, vadāma terminēta augstas kvalifikācijas speciālistu imigrācija</w:t>
            </w:r>
          </w:p>
        </w:tc>
        <w:tc>
          <w:tcPr>
            <w:tcW w:w="1128" w:type="dxa"/>
          </w:tcPr>
          <w:p w14:paraId="4D0BA61C" w14:textId="70FC020E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LM</w:t>
            </w:r>
          </w:p>
        </w:tc>
        <w:tc>
          <w:tcPr>
            <w:tcW w:w="1983" w:type="dxa"/>
            <w:gridSpan w:val="2"/>
          </w:tcPr>
          <w:p w14:paraId="52F04F12" w14:textId="0EE7C0EF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VM, EM, IZM, FM</w:t>
            </w:r>
          </w:p>
        </w:tc>
      </w:tr>
      <w:tr w:rsidR="00FD4C7C" w:rsidRPr="00C350DF" w14:paraId="0427ABFE" w14:textId="77777777" w:rsidTr="00FD4C7C">
        <w:trPr>
          <w:gridAfter w:val="1"/>
          <w:wAfter w:w="13" w:type="dxa"/>
        </w:trPr>
        <w:tc>
          <w:tcPr>
            <w:tcW w:w="947" w:type="dxa"/>
          </w:tcPr>
          <w:p w14:paraId="3A140C31" w14:textId="3DAF7C81" w:rsidR="00FD4C7C" w:rsidRPr="00C350DF" w:rsidRDefault="00FD4C7C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</w:t>
            </w:r>
          </w:p>
        </w:tc>
        <w:tc>
          <w:tcPr>
            <w:tcW w:w="9504" w:type="dxa"/>
            <w:gridSpan w:val="2"/>
          </w:tcPr>
          <w:p w14:paraId="2E24980E" w14:textId="6713E4DA" w:rsidR="00FD4C7C" w:rsidRPr="0037710C" w:rsidRDefault="00FD4C7C" w:rsidP="00FD4C7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37710C">
              <w:rPr>
                <w:rFonts w:ascii="Times New Roman" w:hAnsi="Times New Roman" w:cs="Times New Roman"/>
                <w:bCs/>
                <w:iCs/>
                <w:color w:val="000000" w:themeColor="text1"/>
                <w:lang w:val="lv-LV"/>
              </w:rPr>
              <w:t>Reforma veselības aprūpes sistēmā,</w:t>
            </w:r>
            <w:r w:rsidRPr="0037710C"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 xml:space="preserve"> nodrošinot visiem Latvijas iedzīvotājiem vienlīdzīgi pieejamus no valsts budžeta līdzekļiem apmaksātus kvalitatīvus veselības aprūpes pakalpojumus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>,</w:t>
            </w:r>
            <w:r w:rsidRPr="0037710C"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 xml:space="preserve">palielinot vidējo veselīgi nodzīvoto mūža gadu skaitu </w:t>
            </w:r>
            <w:r w:rsidRPr="0037710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 xml:space="preserve">2020.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g</w:t>
            </w:r>
            <w:r w:rsidRPr="0037710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>līdz 57 gadiem vīriešiem un 60 gadiem sievietēm</w:t>
            </w:r>
          </w:p>
        </w:tc>
        <w:tc>
          <w:tcPr>
            <w:tcW w:w="1128" w:type="dxa"/>
          </w:tcPr>
          <w:p w14:paraId="4CEA2C46" w14:textId="061E0ADA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VM</w:t>
            </w:r>
          </w:p>
        </w:tc>
        <w:tc>
          <w:tcPr>
            <w:tcW w:w="1983" w:type="dxa"/>
            <w:gridSpan w:val="2"/>
          </w:tcPr>
          <w:p w14:paraId="4EB15571" w14:textId="28DB0928" w:rsidR="00FD4C7C" w:rsidRPr="00C350DF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A013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, LM, VARAM</w:t>
            </w:r>
          </w:p>
        </w:tc>
      </w:tr>
      <w:tr w:rsidR="00073872" w:rsidRPr="00C350DF" w14:paraId="24FF47D5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1F5BA38E" w14:textId="3C2E1CE2" w:rsidR="00073872" w:rsidRPr="00C350DF" w:rsidRDefault="00A01365" w:rsidP="0093003C">
            <w:pPr>
              <w:spacing w:before="20" w:line="264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.2.1</w:t>
            </w:r>
          </w:p>
        </w:tc>
        <w:tc>
          <w:tcPr>
            <w:tcW w:w="9492" w:type="dxa"/>
          </w:tcPr>
          <w:p w14:paraId="199E5056" w14:textId="6FCB71B2" w:rsidR="00073872" w:rsidRPr="00C350DF" w:rsidRDefault="00073872" w:rsidP="002E6F4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Veselības pakalpojumu finansējuma un pieejamības pārskatīšana: definēts veselības aprūpes </w:t>
            </w: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lastRenderedPageBreak/>
              <w:t xml:space="preserve">pakalpojumu apjoms, kurus valsts nodrošina atbilstoši pieejamajiem budžeta līdzekļiem; kvalitatīva veselības pakalpojuma nodrošināšanai tiks pārskatīta veselības aprūpes cilvēkresursu pieejamība, izstrādājot un pakāpeniski īstenojot samaksas modeli </w:t>
            </w:r>
          </w:p>
        </w:tc>
        <w:tc>
          <w:tcPr>
            <w:tcW w:w="1128" w:type="dxa"/>
          </w:tcPr>
          <w:p w14:paraId="697CAD3C" w14:textId="11F8964B" w:rsidR="00073872" w:rsidRPr="006465BC" w:rsidRDefault="006465B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lastRenderedPageBreak/>
              <w:t>VM</w:t>
            </w:r>
          </w:p>
        </w:tc>
        <w:tc>
          <w:tcPr>
            <w:tcW w:w="1983" w:type="dxa"/>
            <w:gridSpan w:val="2"/>
          </w:tcPr>
          <w:p w14:paraId="6F0EC743" w14:textId="28F8B2B9" w:rsidR="00073872" w:rsidRPr="006C7614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lv-LV"/>
              </w:rPr>
            </w:pPr>
            <w:r w:rsidRP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LM</w:t>
            </w:r>
            <w:r w:rsid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, VARAM</w:t>
            </w:r>
          </w:p>
        </w:tc>
      </w:tr>
      <w:tr w:rsidR="00073872" w:rsidRPr="00C350DF" w14:paraId="7FB2566A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4EF066CF" w14:textId="6836D5DA" w:rsidR="00073872" w:rsidRPr="00C350DF" w:rsidRDefault="00A01365" w:rsidP="0093003C">
            <w:pPr>
              <w:spacing w:before="20" w:line="264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lastRenderedPageBreak/>
              <w:t>4</w:t>
            </w:r>
            <w:r w:rsidR="00073872" w:rsidRP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.2.2</w:t>
            </w:r>
          </w:p>
        </w:tc>
        <w:tc>
          <w:tcPr>
            <w:tcW w:w="9492" w:type="dxa"/>
          </w:tcPr>
          <w:p w14:paraId="77A4F68D" w14:textId="48647E3C" w:rsidR="00073872" w:rsidRPr="00C350DF" w:rsidRDefault="00073872" w:rsidP="002E6F4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Konceptuāls priekšlikums par </w:t>
            </w:r>
            <w:r w:rsidRPr="006465BC">
              <w:rPr>
                <w:rFonts w:ascii="Times New Roman" w:hAnsi="Times New Roman" w:cs="Times New Roman"/>
                <w:bCs/>
                <w:iCs/>
                <w:color w:val="000000" w:themeColor="text1"/>
                <w:lang w:val="lv-LV"/>
              </w:rPr>
              <w:t xml:space="preserve">jaunu veselības finansēšanas modeli, piedāvājot vairākus iespējamos scenārijus finansējuma avotiem un ietverot apdrošināšanas komponenti; izvēlētā modeļa aprobācija 2017. g. un ieviešana 2018. g., nodrošinot ilgtspējīgu un stabilu </w:t>
            </w: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finansējumu kā proporcionālu daļu no IKP vispārpieejamiem kvalitatīviem veselības aprūpes pakalpojumiem </w:t>
            </w:r>
          </w:p>
        </w:tc>
        <w:tc>
          <w:tcPr>
            <w:tcW w:w="1128" w:type="dxa"/>
          </w:tcPr>
          <w:p w14:paraId="0E9379E2" w14:textId="08AA8833" w:rsidR="00073872" w:rsidRPr="006465BC" w:rsidRDefault="006465B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VM</w:t>
            </w:r>
          </w:p>
        </w:tc>
        <w:tc>
          <w:tcPr>
            <w:tcW w:w="1983" w:type="dxa"/>
            <w:gridSpan w:val="2"/>
          </w:tcPr>
          <w:p w14:paraId="4AB793EA" w14:textId="0748FD5A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LM</w:t>
            </w:r>
          </w:p>
        </w:tc>
      </w:tr>
      <w:tr w:rsidR="00073872" w:rsidRPr="00C350DF" w14:paraId="75FBC248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77AA1B9D" w14:textId="7838DB31" w:rsidR="00073872" w:rsidRPr="00C350DF" w:rsidRDefault="00A01365" w:rsidP="0093003C">
            <w:pPr>
              <w:spacing w:before="20" w:line="264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.2.3</w:t>
            </w:r>
          </w:p>
        </w:tc>
        <w:tc>
          <w:tcPr>
            <w:tcW w:w="9492" w:type="dxa"/>
          </w:tcPr>
          <w:p w14:paraId="53F240A8" w14:textId="67024F01" w:rsidR="00073872" w:rsidRPr="00C350DF" w:rsidRDefault="00073872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>Veselības pakalpojumu sniedzēju kartējuma izstrāde, nosakot nacionālā, reģionālā un vietējā līmeņa</w:t>
            </w:r>
            <w:r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 </w:t>
            </w: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>ārstniecības iestāžu sniegto p</w:t>
            </w:r>
            <w:r>
              <w:rPr>
                <w:rFonts w:ascii="Times New Roman" w:hAnsi="Times New Roman" w:cs="Times New Roman"/>
                <w:bCs/>
                <w:iCs/>
                <w:lang w:val="lv-LV"/>
              </w:rPr>
              <w:t>akalpojumu klāstu un pieejamību</w:t>
            </w: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 un pārskatot</w:t>
            </w:r>
            <w:r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 atbildības sadalījumu</w:t>
            </w: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 par veselības pakalpojumu plānošanu starp Veselības ministriju un Nacionālo veselības dienestu.</w:t>
            </w:r>
          </w:p>
        </w:tc>
        <w:tc>
          <w:tcPr>
            <w:tcW w:w="1128" w:type="dxa"/>
          </w:tcPr>
          <w:p w14:paraId="0FA75928" w14:textId="1137D4E9" w:rsidR="00073872" w:rsidRPr="006465BC" w:rsidRDefault="006465B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VM</w:t>
            </w:r>
          </w:p>
        </w:tc>
        <w:tc>
          <w:tcPr>
            <w:tcW w:w="1983" w:type="dxa"/>
            <w:gridSpan w:val="2"/>
          </w:tcPr>
          <w:p w14:paraId="22140B21" w14:textId="67ED3434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LM</w:t>
            </w:r>
            <w:r w:rsid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, VARAM</w:t>
            </w:r>
          </w:p>
        </w:tc>
      </w:tr>
      <w:tr w:rsidR="00073872" w:rsidRPr="00C350DF" w14:paraId="09F768EE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54ECC175" w14:textId="3B71D07D" w:rsidR="00073872" w:rsidRPr="00C350DF" w:rsidRDefault="00A01365" w:rsidP="0093003C">
            <w:pPr>
              <w:spacing w:before="20" w:line="264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.2.4</w:t>
            </w:r>
          </w:p>
        </w:tc>
        <w:tc>
          <w:tcPr>
            <w:tcW w:w="9492" w:type="dxa"/>
          </w:tcPr>
          <w:p w14:paraId="19C67F92" w14:textId="4E02662C" w:rsidR="00073872" w:rsidRPr="00C350DF" w:rsidRDefault="00073872" w:rsidP="006465B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bCs/>
                <w:iCs/>
                <w:lang w:val="lv-LV"/>
              </w:rPr>
              <w:t xml:space="preserve">E-veselības </w:t>
            </w:r>
            <w:r w:rsidRPr="006465BC">
              <w:rPr>
                <w:rFonts w:ascii="Times New Roman" w:hAnsi="Times New Roman" w:cs="Times New Roman"/>
                <w:bCs/>
                <w:iCs/>
                <w:color w:val="000000" w:themeColor="text1"/>
                <w:lang w:val="lv-LV"/>
              </w:rPr>
              <w:t>sistēmas un</w:t>
            </w:r>
            <w:r w:rsidRPr="006465BC">
              <w:rPr>
                <w:rFonts w:ascii="Times New Roman" w:hAnsi="Times New Roman" w:cs="Times New Roman"/>
                <w:iCs/>
                <w:color w:val="000000" w:themeColor="text1"/>
                <w:lang w:val="lv-LV"/>
              </w:rPr>
              <w:t xml:space="preserve"> portāla izveide, uzsākot e-receptes un elektroniskās darbnespējas lapas obligāto lietošanu 2016. </w:t>
            </w:r>
            <w:r w:rsidRPr="00C350DF">
              <w:rPr>
                <w:rFonts w:ascii="Times New Roman" w:hAnsi="Times New Roman" w:cs="Times New Roman"/>
                <w:iCs/>
                <w:lang w:val="lv-LV"/>
              </w:rPr>
              <w:t>g.</w:t>
            </w:r>
            <w:r w:rsidR="006465BC">
              <w:rPr>
                <w:rFonts w:ascii="Times New Roman" w:hAnsi="Times New Roman" w:cs="Times New Roman"/>
                <w:iCs/>
                <w:lang w:val="lv-LV"/>
              </w:rPr>
              <w:t xml:space="preserve"> beigās</w:t>
            </w:r>
            <w:r w:rsidRPr="00C350DF">
              <w:rPr>
                <w:rFonts w:ascii="Times New Roman" w:hAnsi="Times New Roman" w:cs="Times New Roman"/>
                <w:iCs/>
                <w:lang w:val="lv-LV"/>
              </w:rPr>
              <w:t>, paredzot personas elektronisko identifikāciju pakalpojumu saņemšanai</w:t>
            </w:r>
            <w:r>
              <w:rPr>
                <w:rFonts w:ascii="Times New Roman" w:hAnsi="Times New Roman" w:cs="Times New Roman"/>
                <w:iCs/>
                <w:lang w:val="lv-LV"/>
              </w:rPr>
              <w:t xml:space="preserve"> un</w:t>
            </w:r>
            <w:r w:rsidRPr="00C350DF">
              <w:rPr>
                <w:rFonts w:ascii="Times New Roman" w:hAnsi="Times New Roman" w:cs="Times New Roman"/>
                <w:iCs/>
                <w:lang w:val="lv-LV"/>
              </w:rPr>
              <w:t xml:space="preserve"> optimizējot veselības nozares datu centralizētu pārvaldību</w:t>
            </w:r>
          </w:p>
        </w:tc>
        <w:tc>
          <w:tcPr>
            <w:tcW w:w="1128" w:type="dxa"/>
          </w:tcPr>
          <w:p w14:paraId="6F18C440" w14:textId="25EFB3F5" w:rsidR="00073872" w:rsidRPr="006465BC" w:rsidRDefault="006465B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VM</w:t>
            </w:r>
          </w:p>
        </w:tc>
        <w:tc>
          <w:tcPr>
            <w:tcW w:w="1983" w:type="dxa"/>
            <w:gridSpan w:val="2"/>
          </w:tcPr>
          <w:p w14:paraId="242DBEA4" w14:textId="77D77227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LM</w:t>
            </w:r>
            <w:r w:rsid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, VARAM</w:t>
            </w:r>
          </w:p>
        </w:tc>
      </w:tr>
      <w:tr w:rsidR="00073872" w:rsidRPr="00C350DF" w14:paraId="424D56A6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71CB3BDE" w14:textId="06E20DB6" w:rsidR="00073872" w:rsidRPr="00C350DF" w:rsidRDefault="00A01365" w:rsidP="006D78AF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.3</w:t>
            </w:r>
          </w:p>
        </w:tc>
        <w:tc>
          <w:tcPr>
            <w:tcW w:w="9492" w:type="dxa"/>
          </w:tcPr>
          <w:p w14:paraId="1CC49B6D" w14:textId="32998DDD" w:rsidR="00073872" w:rsidRPr="002E6F4C" w:rsidRDefault="00073872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bCs/>
                <w:iCs/>
                <w:lang w:val="lv-LV"/>
              </w:rPr>
            </w:pPr>
            <w:r w:rsidRPr="00A01365"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>Sociālo garantiju un palīdzības sistēmas optimizēšana ar mērķi nodrošināt atbilstību minimālajam patēriņa grozam un vienlaikus motivēt cilvēkus atgriezties darbā</w:t>
            </w:r>
          </w:p>
        </w:tc>
        <w:tc>
          <w:tcPr>
            <w:tcW w:w="1128" w:type="dxa"/>
          </w:tcPr>
          <w:p w14:paraId="3D8B6E1A" w14:textId="562D47F4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LM</w:t>
            </w:r>
          </w:p>
        </w:tc>
        <w:tc>
          <w:tcPr>
            <w:tcW w:w="1983" w:type="dxa"/>
            <w:gridSpan w:val="2"/>
          </w:tcPr>
          <w:p w14:paraId="290BBC8E" w14:textId="222E4AFC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VM, EM, IZM, FM</w:t>
            </w:r>
          </w:p>
        </w:tc>
      </w:tr>
      <w:tr w:rsidR="00073872" w:rsidRPr="00C350DF" w14:paraId="4448360D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738133A5" w14:textId="682406D3" w:rsidR="00073872" w:rsidRPr="00C350DF" w:rsidRDefault="00A01365" w:rsidP="0093003C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.4</w:t>
            </w:r>
          </w:p>
        </w:tc>
        <w:tc>
          <w:tcPr>
            <w:tcW w:w="9492" w:type="dxa"/>
          </w:tcPr>
          <w:p w14:paraId="3EA74231" w14:textId="0EA7514C" w:rsidR="00073872" w:rsidRPr="00C350DF" w:rsidRDefault="00073872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Strukturālas izmaiņas izglītības sistēmā, uzsākot īstenot 21.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gs. atbilstošu izglītības saturu un radot izglītības resursu efektīvu un pārdomātu izmantošanu</w:t>
            </w:r>
          </w:p>
        </w:tc>
        <w:tc>
          <w:tcPr>
            <w:tcW w:w="1128" w:type="dxa"/>
          </w:tcPr>
          <w:p w14:paraId="31A33861" w14:textId="64FF7C3D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6465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IZM</w:t>
            </w:r>
          </w:p>
        </w:tc>
        <w:tc>
          <w:tcPr>
            <w:tcW w:w="1983" w:type="dxa"/>
            <w:gridSpan w:val="2"/>
          </w:tcPr>
          <w:p w14:paraId="5DB6AE43" w14:textId="77777777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</w:p>
        </w:tc>
      </w:tr>
      <w:tr w:rsidR="00073872" w:rsidRPr="00C350DF" w14:paraId="30285019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3BB5CC93" w14:textId="6EB37491" w:rsidR="00073872" w:rsidRPr="00C350DF" w:rsidRDefault="00A01365" w:rsidP="0093003C">
            <w:pPr>
              <w:spacing w:before="20" w:line="264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  <w:r w:rsidR="0007387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.1</w:t>
            </w:r>
          </w:p>
        </w:tc>
        <w:tc>
          <w:tcPr>
            <w:tcW w:w="9492" w:type="dxa"/>
          </w:tcPr>
          <w:p w14:paraId="4875F825" w14:textId="474605A2" w:rsidR="00073872" w:rsidRPr="00C350DF" w:rsidRDefault="00073872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Vispārējās izglītības skolu tīkla transformācija,</w:t>
            </w:r>
            <w:r w:rsidRPr="00C350DF">
              <w:rPr>
                <w:rFonts w:ascii="Times New Roman" w:hAnsi="Times New Roman" w:cs="Times New Roman"/>
                <w:color w:val="000000" w:themeColor="text1"/>
                <w:spacing w:val="-2"/>
                <w:lang w:val="lv-LV"/>
              </w:rPr>
              <w:t xml:space="preserve"> 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nodrošinot kvalitatīvu vispārējās izglītības iestāžu tīklu un izglītojamo telpiskās mobilitātes </w:t>
            </w:r>
            <w:r w:rsidRPr="00C350DF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lv-LV"/>
              </w:rPr>
              <w:t>(izglītības iestādes fiziskas pieejamības)</w:t>
            </w:r>
            <w:r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kompleksu risinājumu</w:t>
            </w:r>
          </w:p>
        </w:tc>
        <w:tc>
          <w:tcPr>
            <w:tcW w:w="1128" w:type="dxa"/>
          </w:tcPr>
          <w:p w14:paraId="70BD8DFD" w14:textId="67E80B37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IZM</w:t>
            </w:r>
          </w:p>
        </w:tc>
        <w:tc>
          <w:tcPr>
            <w:tcW w:w="1983" w:type="dxa"/>
            <w:gridSpan w:val="2"/>
          </w:tcPr>
          <w:p w14:paraId="32FD07FD" w14:textId="4C033C0F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VARAM, SM, LM, VM, FM</w:t>
            </w:r>
          </w:p>
        </w:tc>
      </w:tr>
      <w:tr w:rsidR="00073872" w:rsidRPr="00C350DF" w14:paraId="6A329111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1595AB19" w14:textId="104BA26D" w:rsidR="00073872" w:rsidRPr="00C350DF" w:rsidRDefault="00A01365" w:rsidP="0093003C">
            <w:pPr>
              <w:spacing w:before="20" w:line="264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  <w:r w:rsidR="0007387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</w:t>
            </w:r>
          </w:p>
        </w:tc>
        <w:tc>
          <w:tcPr>
            <w:tcW w:w="9492" w:type="dxa"/>
          </w:tcPr>
          <w:p w14:paraId="29D193A8" w14:textId="5247D183" w:rsidR="00073872" w:rsidRPr="00C350DF" w:rsidRDefault="0037710C" w:rsidP="0037710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I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zglītības kvalitātes paaugstināšana, 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paaugstinot iegūtās 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pamatizglītības kvalitātes vērtējum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u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073872" w:rsidRPr="00C350DF"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>Globālās konkurētspējas indeksā</w:t>
            </w:r>
            <w:r w:rsidR="006465BC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un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6465BC">
              <w:rPr>
                <w:rFonts w:ascii="Times New Roman" w:hAnsi="Times New Roman" w:cs="Times New Roman"/>
                <w:color w:val="000000" w:themeColor="text1"/>
                <w:lang w:val="lv-LV"/>
              </w:rPr>
              <w:t>izstrādājot</w:t>
            </w:r>
            <w:r w:rsidR="006465BC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un ievieš</w:t>
            </w:r>
            <w:r w:rsidR="006465BC">
              <w:rPr>
                <w:rFonts w:ascii="Times New Roman" w:hAnsi="Times New Roman" w:cs="Times New Roman"/>
                <w:color w:val="000000" w:themeColor="text1"/>
                <w:lang w:val="lv-LV"/>
              </w:rPr>
              <w:t>ot</w:t>
            </w:r>
            <w:r w:rsidR="006465BC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>pasākumu</w:t>
            </w:r>
            <w:r w:rsidR="006465BC">
              <w:rPr>
                <w:rFonts w:ascii="Times New Roman" w:hAnsi="Times New Roman" w:cs="Times New Roman"/>
                <w:color w:val="000000" w:themeColor="text1"/>
                <w:lang w:val="lv-LV"/>
              </w:rPr>
              <w:t>s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visaptverošai jauno talantu selekcijai skolās (īpaši </w:t>
            </w:r>
            <w:r w:rsidR="00073872" w:rsidRPr="00C350DF">
              <w:rPr>
                <w:rFonts w:ascii="Times New Roman" w:hAnsi="Times New Roman" w:cs="Times New Roman"/>
                <w:color w:val="000000"/>
                <w:lang w:val="lv-LV"/>
              </w:rPr>
              <w:t>lauku reģionos)</w:t>
            </w:r>
          </w:p>
        </w:tc>
        <w:tc>
          <w:tcPr>
            <w:tcW w:w="1128" w:type="dxa"/>
          </w:tcPr>
          <w:p w14:paraId="681A68FF" w14:textId="3323E7B0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IZM</w:t>
            </w:r>
          </w:p>
        </w:tc>
        <w:tc>
          <w:tcPr>
            <w:tcW w:w="1983" w:type="dxa"/>
            <w:gridSpan w:val="2"/>
          </w:tcPr>
          <w:p w14:paraId="583AFE17" w14:textId="037C156C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LM, EM, VM</w:t>
            </w:r>
          </w:p>
        </w:tc>
      </w:tr>
      <w:tr w:rsidR="00073872" w:rsidRPr="00C350DF" w14:paraId="68F1253C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2B28B02C" w14:textId="42AC300F" w:rsidR="00073872" w:rsidRPr="00C350DF" w:rsidRDefault="00A01365" w:rsidP="0093003C">
            <w:pPr>
              <w:spacing w:before="20" w:line="264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4</w:t>
            </w:r>
            <w:r w:rsidR="0007387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.4</w:t>
            </w:r>
            <w:r w:rsidR="00073872" w:rsidRPr="00C350D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.3</w:t>
            </w:r>
          </w:p>
        </w:tc>
        <w:tc>
          <w:tcPr>
            <w:tcW w:w="9492" w:type="dxa"/>
          </w:tcPr>
          <w:p w14:paraId="52FB64F8" w14:textId="410DEF85" w:rsidR="00073872" w:rsidRPr="00A01365" w:rsidRDefault="00073872" w:rsidP="0093003C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A01365">
              <w:rPr>
                <w:rFonts w:ascii="Times New Roman" w:hAnsi="Times New Roman" w:cs="Times New Roman"/>
                <w:color w:val="000000" w:themeColor="text1"/>
                <w:lang w:val="lv-LV"/>
              </w:rPr>
              <w:t>Profesionālās izglītības modernizēšanas pasākumi un pieaugušo motivācija tālākizglītībai, intensīva esošās modernās infrastruktūras izmantošana nodarbināto un bezdarbnieku kvalifikācijas celšanai ar mērķi nodrošināt darbaspēka kopējā kvalitātes līmeņa atbilstību šodienas prasībām</w:t>
            </w:r>
          </w:p>
        </w:tc>
        <w:tc>
          <w:tcPr>
            <w:tcW w:w="1128" w:type="dxa"/>
          </w:tcPr>
          <w:p w14:paraId="115D67E5" w14:textId="196B217F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IZM</w:t>
            </w:r>
          </w:p>
        </w:tc>
        <w:tc>
          <w:tcPr>
            <w:tcW w:w="1983" w:type="dxa"/>
            <w:gridSpan w:val="2"/>
          </w:tcPr>
          <w:p w14:paraId="476781F3" w14:textId="3DF0C906" w:rsidR="00073872" w:rsidRPr="00C350DF" w:rsidRDefault="00073872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LM, EM</w:t>
            </w:r>
          </w:p>
        </w:tc>
      </w:tr>
      <w:tr w:rsidR="0039472E" w:rsidRPr="00FD4C7C" w14:paraId="42100264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64E8B49E" w14:textId="5E303562" w:rsidR="0039472E" w:rsidRDefault="00FD4C7C" w:rsidP="0039472E">
            <w:pPr>
              <w:spacing w:before="20"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5.</w:t>
            </w:r>
          </w:p>
        </w:tc>
        <w:tc>
          <w:tcPr>
            <w:tcW w:w="9492" w:type="dxa"/>
          </w:tcPr>
          <w:p w14:paraId="4E661127" w14:textId="24B6B9E3" w:rsidR="0039472E" w:rsidRPr="0039472E" w:rsidRDefault="0039472E" w:rsidP="0039472E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Latvijas atvērtās ekonomikas drošības nostiprināšana  un </w:t>
            </w:r>
            <w:r w:rsidRP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apdraudējumu novēršana, resursu optimāla sadale starp drošības un attīstības prioritātēm</w:t>
            </w:r>
          </w:p>
        </w:tc>
        <w:tc>
          <w:tcPr>
            <w:tcW w:w="1128" w:type="dxa"/>
          </w:tcPr>
          <w:p w14:paraId="3CACD365" w14:textId="013F7849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AiM</w:t>
            </w:r>
          </w:p>
        </w:tc>
        <w:tc>
          <w:tcPr>
            <w:tcW w:w="1983" w:type="dxa"/>
            <w:gridSpan w:val="2"/>
          </w:tcPr>
          <w:p w14:paraId="4D369572" w14:textId="77777777" w:rsidR="0039472E" w:rsidRDefault="0039472E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</w:p>
        </w:tc>
      </w:tr>
      <w:tr w:rsidR="0039472E" w:rsidRPr="00FD4C7C" w14:paraId="6F9D68AA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0D72637E" w14:textId="254EAA99" w:rsidR="0039472E" w:rsidRDefault="00FD4C7C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5</w:t>
            </w:r>
            <w:r w:rsid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.1</w:t>
            </w:r>
          </w:p>
        </w:tc>
        <w:tc>
          <w:tcPr>
            <w:tcW w:w="9492" w:type="dxa"/>
          </w:tcPr>
          <w:p w14:paraId="785F9217" w14:textId="46C56EBA" w:rsidR="0039472E" w:rsidRPr="0039472E" w:rsidRDefault="0039472E" w:rsidP="00191E63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Drošības diplomātisko aspektu tālāka pilnveidošana, tai skaitā  nepieciešamo ārējo priekšnoteikumu nodrošināšana, </w:t>
            </w:r>
            <w:r w:rsidRP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 xml:space="preserve">daudzpusējo līgumu saistību konverģence ar nacionālajām interesēm, </w:t>
            </w: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>mērķa finansējums ārējās robežas nostiprināšanai</w:t>
            </w:r>
          </w:p>
        </w:tc>
        <w:tc>
          <w:tcPr>
            <w:tcW w:w="1128" w:type="dxa"/>
          </w:tcPr>
          <w:p w14:paraId="05747AD7" w14:textId="6E337E79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ĀM</w:t>
            </w:r>
          </w:p>
        </w:tc>
        <w:tc>
          <w:tcPr>
            <w:tcW w:w="1983" w:type="dxa"/>
            <w:gridSpan w:val="2"/>
          </w:tcPr>
          <w:p w14:paraId="60992E98" w14:textId="4887EA7B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AiM, IeM, FM</w:t>
            </w:r>
          </w:p>
        </w:tc>
      </w:tr>
      <w:tr w:rsidR="0039472E" w:rsidRPr="00FD4C7C" w14:paraId="35FCF704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32524D2F" w14:textId="77486FCE" w:rsidR="0039472E" w:rsidRDefault="00FD4C7C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5</w:t>
            </w:r>
            <w:r w:rsid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.2</w:t>
            </w:r>
          </w:p>
        </w:tc>
        <w:tc>
          <w:tcPr>
            <w:tcW w:w="9492" w:type="dxa"/>
          </w:tcPr>
          <w:p w14:paraId="1A67D440" w14:textId="7D540FAD" w:rsidR="0039472E" w:rsidRPr="0039472E" w:rsidRDefault="0039472E" w:rsidP="0039472E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>Nacionālo bruņoto spēku kaujas gatavības un Zemessardzes kapacitātes paaugstināšana, palielinot aizsardzības budžetu līdz 1,7 % no IKP 2017. g. un 2 % no IKP 2018. g., investīcijām plānojot ne mazāk kā 20 %, bet personāla izdevumiem – ne vairāk kā 50 % no aizsardzības budžeta</w:t>
            </w:r>
          </w:p>
        </w:tc>
        <w:tc>
          <w:tcPr>
            <w:tcW w:w="1128" w:type="dxa"/>
          </w:tcPr>
          <w:p w14:paraId="1C465C5D" w14:textId="213B5AB6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AiM</w:t>
            </w:r>
          </w:p>
        </w:tc>
        <w:tc>
          <w:tcPr>
            <w:tcW w:w="1983" w:type="dxa"/>
            <w:gridSpan w:val="2"/>
          </w:tcPr>
          <w:p w14:paraId="52522FB4" w14:textId="76CA5677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IeM, ĀM</w:t>
            </w:r>
          </w:p>
        </w:tc>
      </w:tr>
      <w:tr w:rsidR="0039472E" w:rsidRPr="00C350DF" w14:paraId="6224F8AB" w14:textId="77777777" w:rsidTr="006F3055">
        <w:trPr>
          <w:gridAfter w:val="1"/>
          <w:wAfter w:w="13" w:type="dxa"/>
        </w:trPr>
        <w:tc>
          <w:tcPr>
            <w:tcW w:w="959" w:type="dxa"/>
            <w:gridSpan w:val="2"/>
          </w:tcPr>
          <w:p w14:paraId="449D1A23" w14:textId="6EB9C916" w:rsidR="0039472E" w:rsidRDefault="00FD4C7C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lastRenderedPageBreak/>
              <w:t>5</w:t>
            </w:r>
            <w:r w:rsid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.3</w:t>
            </w:r>
          </w:p>
        </w:tc>
        <w:tc>
          <w:tcPr>
            <w:tcW w:w="9492" w:type="dxa"/>
          </w:tcPr>
          <w:p w14:paraId="5A0087B5" w14:textId="7F8250FD" w:rsidR="0039472E" w:rsidRPr="0039472E" w:rsidRDefault="0039472E" w:rsidP="0039472E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ES un Latvijas austrumu robežas izbūve un aprīkošana valsts un ekonomiskās drošības draudu (nelegāla preču un finanšu plūsma, kontrabanda, nelegālā patvēruma meklētāju migrācija, u.c.)  novēršanai </w:t>
            </w:r>
          </w:p>
        </w:tc>
        <w:tc>
          <w:tcPr>
            <w:tcW w:w="1128" w:type="dxa"/>
          </w:tcPr>
          <w:p w14:paraId="6163002C" w14:textId="4B640C17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IeM</w:t>
            </w:r>
          </w:p>
        </w:tc>
        <w:tc>
          <w:tcPr>
            <w:tcW w:w="1983" w:type="dxa"/>
            <w:gridSpan w:val="2"/>
          </w:tcPr>
          <w:p w14:paraId="2E0A7486" w14:textId="5DA0189C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ĀM, VARAM</w:t>
            </w:r>
          </w:p>
        </w:tc>
      </w:tr>
      <w:tr w:rsidR="0039472E" w:rsidRPr="00FD4C7C" w14:paraId="1677C79A" w14:textId="77777777" w:rsidTr="006F3055">
        <w:tc>
          <w:tcPr>
            <w:tcW w:w="959" w:type="dxa"/>
            <w:gridSpan w:val="2"/>
          </w:tcPr>
          <w:p w14:paraId="3CDD9B69" w14:textId="07DDC154" w:rsidR="0039472E" w:rsidRDefault="00FD4C7C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5</w:t>
            </w:r>
            <w:r w:rsid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.4</w:t>
            </w:r>
          </w:p>
        </w:tc>
        <w:tc>
          <w:tcPr>
            <w:tcW w:w="9497" w:type="dxa"/>
          </w:tcPr>
          <w:p w14:paraId="1C9FF1F3" w14:textId="5D7F0BF4" w:rsidR="0039472E" w:rsidRPr="0039472E" w:rsidRDefault="0039472E" w:rsidP="0039472E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39472E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Iekšējās drošības pastiprināšana, tai skaitā kritiskās infrastruktūras </w:t>
            </w: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>(enerģētika, elektroniskie sakari, transports)</w:t>
            </w:r>
            <w:r w:rsidRPr="0039472E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aizsardzība, </w:t>
            </w: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sentimentu analīze, </w:t>
            </w:r>
            <w:r w:rsidRPr="0039472E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aktivizēta c</w:t>
            </w: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>īņa ar iekšējiem draudiem (tai skaitā ekonomisko attiecību kriminalizāciju,</w:t>
            </w:r>
            <w:r w:rsidRPr="0039472E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nelikumīgi iegūtu līdzekļu legalizēšanu)</w:t>
            </w:r>
          </w:p>
        </w:tc>
        <w:tc>
          <w:tcPr>
            <w:tcW w:w="1134" w:type="dxa"/>
            <w:gridSpan w:val="2"/>
          </w:tcPr>
          <w:p w14:paraId="3F11B2D9" w14:textId="61DD0AC9" w:rsidR="0039472E" w:rsidRDefault="00FD4C7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IeM</w:t>
            </w:r>
          </w:p>
        </w:tc>
        <w:tc>
          <w:tcPr>
            <w:tcW w:w="1985" w:type="dxa"/>
            <w:gridSpan w:val="2"/>
          </w:tcPr>
          <w:p w14:paraId="2506F1D2" w14:textId="4A1AC987" w:rsidR="0039472E" w:rsidRDefault="009D0CB0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AiM, ĀM, FM</w:t>
            </w:r>
            <w:r w:rsidR="00AB666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 xml:space="preserve">, </w:t>
            </w:r>
            <w:r w:rsidR="00AB6669" w:rsidRPr="00902CE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SM</w:t>
            </w:r>
          </w:p>
        </w:tc>
      </w:tr>
      <w:tr w:rsidR="0039472E" w:rsidRPr="00FD4C7C" w14:paraId="6E31B1EE" w14:textId="77777777" w:rsidTr="006F3055">
        <w:tc>
          <w:tcPr>
            <w:tcW w:w="959" w:type="dxa"/>
            <w:gridSpan w:val="2"/>
          </w:tcPr>
          <w:p w14:paraId="0C312F46" w14:textId="171CC38D" w:rsidR="0039472E" w:rsidRDefault="00FD4C7C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5</w:t>
            </w:r>
            <w:r w:rsid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.5</w:t>
            </w:r>
          </w:p>
        </w:tc>
        <w:tc>
          <w:tcPr>
            <w:tcW w:w="9497" w:type="dxa"/>
          </w:tcPr>
          <w:p w14:paraId="55EF391D" w14:textId="4793327A" w:rsidR="0039472E" w:rsidRPr="0039472E" w:rsidRDefault="0039472E" w:rsidP="0039472E">
            <w:pPr>
              <w:pStyle w:val="NormalWeb"/>
              <w:shd w:val="clear" w:color="auto" w:fill="FFFFFF"/>
              <w:spacing w:before="20" w:beforeAutospacing="0" w:after="0" w:afterAutospacing="0" w:line="264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9472E">
              <w:rPr>
                <w:color w:val="000000" w:themeColor="text1"/>
                <w:sz w:val="22"/>
                <w:szCs w:val="22"/>
              </w:rPr>
              <w:t>Valsts kiberdrošības stiprināšana, ieviešot vienotas minimālās drošības prasības, īpaši attiecībā uz informācijas sistēmām un lielo datu krātuvēm</w:t>
            </w:r>
          </w:p>
        </w:tc>
        <w:tc>
          <w:tcPr>
            <w:tcW w:w="1134" w:type="dxa"/>
            <w:gridSpan w:val="2"/>
          </w:tcPr>
          <w:p w14:paraId="556EFF93" w14:textId="418C91BB" w:rsidR="0039472E" w:rsidRPr="00902CE6" w:rsidRDefault="00AB6669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 w:rsidRPr="00902CE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AiM</w:t>
            </w:r>
          </w:p>
        </w:tc>
        <w:tc>
          <w:tcPr>
            <w:tcW w:w="1985" w:type="dxa"/>
            <w:gridSpan w:val="2"/>
          </w:tcPr>
          <w:p w14:paraId="1E4F95C7" w14:textId="2948E096" w:rsidR="0039472E" w:rsidRDefault="00FD4C7C" w:rsidP="00AB6669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 xml:space="preserve">SM, VARAM, FM, </w:t>
            </w:r>
            <w:r w:rsidR="00AB666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IeM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, ĀM</w:t>
            </w:r>
          </w:p>
        </w:tc>
      </w:tr>
      <w:tr w:rsidR="0039472E" w:rsidRPr="00FD4C7C" w14:paraId="5D890663" w14:textId="77777777" w:rsidTr="006F3055">
        <w:tc>
          <w:tcPr>
            <w:tcW w:w="959" w:type="dxa"/>
            <w:gridSpan w:val="2"/>
          </w:tcPr>
          <w:p w14:paraId="0383F1F9" w14:textId="5D2A8488" w:rsidR="0039472E" w:rsidRDefault="00FD4C7C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5</w:t>
            </w:r>
            <w:r w:rsidR="003947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.6</w:t>
            </w:r>
          </w:p>
        </w:tc>
        <w:tc>
          <w:tcPr>
            <w:tcW w:w="9497" w:type="dxa"/>
          </w:tcPr>
          <w:p w14:paraId="77E69055" w14:textId="6815F225" w:rsidR="0039472E" w:rsidRPr="0039472E" w:rsidRDefault="0039472E" w:rsidP="0039472E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>Nacionālo bruņoto spēku un Zemessardzes uzturēšanas un apgādes vajadzībām, kompensācijas darījumu (</w:t>
            </w:r>
            <w:r w:rsidRPr="0039472E"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>off-set</w:t>
            </w:r>
            <w:r w:rsidRPr="0039472E">
              <w:rPr>
                <w:rFonts w:ascii="Times New Roman" w:hAnsi="Times New Roman" w:cs="Times New Roman"/>
                <w:color w:val="000000" w:themeColor="text1"/>
                <w:lang w:val="lv-LV"/>
              </w:rPr>
              <w:t>) un/vai analoga principa izstrāde un ieviešana sadarbībā ar uzņēmējiem un pētniecības institūcijām, Latvijas uzņēmumu iesaiste NATO piegādes ķēdēs un Eiropas Savienības līmeņa atbalsta programmās</w:t>
            </w:r>
          </w:p>
        </w:tc>
        <w:tc>
          <w:tcPr>
            <w:tcW w:w="1134" w:type="dxa"/>
            <w:gridSpan w:val="2"/>
          </w:tcPr>
          <w:p w14:paraId="633BF387" w14:textId="46076ABF" w:rsidR="0039472E" w:rsidRDefault="009D0CB0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AiM</w:t>
            </w:r>
          </w:p>
        </w:tc>
        <w:tc>
          <w:tcPr>
            <w:tcW w:w="1985" w:type="dxa"/>
            <w:gridSpan w:val="2"/>
          </w:tcPr>
          <w:p w14:paraId="0DFA7C8E" w14:textId="2596F981" w:rsidR="0039472E" w:rsidRDefault="009D0CB0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FM, EM, IZM, ZM, IeM, SM, VARAM</w:t>
            </w:r>
          </w:p>
        </w:tc>
      </w:tr>
      <w:tr w:rsidR="006F3055" w:rsidRPr="006F3055" w14:paraId="4448DED4" w14:textId="77777777" w:rsidTr="006F3055">
        <w:tc>
          <w:tcPr>
            <w:tcW w:w="959" w:type="dxa"/>
            <w:gridSpan w:val="2"/>
          </w:tcPr>
          <w:p w14:paraId="415AD7B8" w14:textId="37C521E2" w:rsidR="006F3055" w:rsidRDefault="006F3055" w:rsidP="006F3055">
            <w:pPr>
              <w:spacing w:before="20"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6</w:t>
            </w:r>
            <w:r w:rsidR="00496F7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.</w:t>
            </w:r>
          </w:p>
        </w:tc>
        <w:tc>
          <w:tcPr>
            <w:tcW w:w="9497" w:type="dxa"/>
          </w:tcPr>
          <w:p w14:paraId="551277B9" w14:textId="4E014A9A" w:rsidR="006F3055" w:rsidRPr="0039472E" w:rsidRDefault="006F3055" w:rsidP="006F3055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F3055">
              <w:rPr>
                <w:rFonts w:ascii="Times New Roman" w:hAnsi="Times New Roman" w:cs="Times New Roman"/>
                <w:lang w:val="lv-LV"/>
              </w:rPr>
              <w:t xml:space="preserve">Kultūras un uzņēmējdarbības sintēze ar mērķi nostiprināt nacionālo identitāti, piederības sajūtu Latvijas valstij, tās valodai, kultūrai un pamatvērtībām  </w:t>
            </w:r>
          </w:p>
        </w:tc>
        <w:tc>
          <w:tcPr>
            <w:tcW w:w="1134" w:type="dxa"/>
            <w:gridSpan w:val="2"/>
          </w:tcPr>
          <w:p w14:paraId="4087D1CB" w14:textId="1AA8398C" w:rsidR="006F3055" w:rsidRDefault="006F3055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KM</w:t>
            </w:r>
          </w:p>
        </w:tc>
        <w:tc>
          <w:tcPr>
            <w:tcW w:w="1985" w:type="dxa"/>
            <w:gridSpan w:val="2"/>
          </w:tcPr>
          <w:p w14:paraId="35882D91" w14:textId="77777777" w:rsidR="006F3055" w:rsidRDefault="006F3055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</w:p>
        </w:tc>
      </w:tr>
      <w:tr w:rsidR="006F3055" w:rsidRPr="006F3055" w14:paraId="20C28119" w14:textId="77777777" w:rsidTr="006F3055">
        <w:tc>
          <w:tcPr>
            <w:tcW w:w="959" w:type="dxa"/>
            <w:gridSpan w:val="2"/>
          </w:tcPr>
          <w:p w14:paraId="28B98E8C" w14:textId="5795A08A" w:rsidR="006F3055" w:rsidRDefault="006F3055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6.1</w:t>
            </w:r>
          </w:p>
        </w:tc>
        <w:tc>
          <w:tcPr>
            <w:tcW w:w="9497" w:type="dxa"/>
          </w:tcPr>
          <w:p w14:paraId="719E5C02" w14:textId="797DCFA5" w:rsidR="006F3055" w:rsidRPr="0039472E" w:rsidRDefault="006F3055" w:rsidP="006F3055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F3055">
              <w:rPr>
                <w:rFonts w:ascii="Times New Roman" w:hAnsi="Times New Roman" w:cs="Times New Roman"/>
                <w:color w:val="000000"/>
                <w:lang w:val="lv-LV"/>
              </w:rPr>
              <w:t>Radošās industrijas attīstība, tradicionālo un moderno tehnoloģiju izmantošana radošo produktu izstrādē</w:t>
            </w:r>
            <w:r>
              <w:rPr>
                <w:rFonts w:ascii="Times New Roman" w:hAnsi="Times New Roman" w:cs="Times New Roman"/>
                <w:color w:val="000000"/>
                <w:lang w:val="lv-LV"/>
              </w:rPr>
              <w:t xml:space="preserve"> ar mērķi </w:t>
            </w:r>
            <w:r w:rsidRPr="006F3055">
              <w:rPr>
                <w:rFonts w:ascii="Times New Roman" w:hAnsi="Times New Roman" w:cs="Times New Roman"/>
                <w:color w:val="000000"/>
                <w:lang w:val="lv-LV"/>
              </w:rPr>
              <w:t>komercializ</w:t>
            </w:r>
            <w:r>
              <w:rPr>
                <w:rFonts w:ascii="Times New Roman" w:hAnsi="Times New Roman" w:cs="Times New Roman"/>
                <w:color w:val="000000"/>
                <w:lang w:val="lv-LV"/>
              </w:rPr>
              <w:t>ēt</w:t>
            </w:r>
            <w:r w:rsidRPr="006F3055">
              <w:rPr>
                <w:rFonts w:ascii="Times New Roman" w:hAnsi="Times New Roman" w:cs="Times New Roman"/>
                <w:color w:val="000000"/>
                <w:lang w:val="lv-LV"/>
              </w:rPr>
              <w:t xml:space="preserve"> kultūras</w:t>
            </w:r>
            <w:r>
              <w:rPr>
                <w:rFonts w:ascii="Times New Roman" w:hAnsi="Times New Roman" w:cs="Times New Roman"/>
                <w:color w:val="000000"/>
                <w:lang w:val="lv-LV"/>
              </w:rPr>
              <w:t xml:space="preserve"> ekonomisko</w:t>
            </w:r>
            <w:r w:rsidRPr="006F3055">
              <w:rPr>
                <w:rFonts w:ascii="Times New Roman" w:hAnsi="Times New Roman" w:cs="Times New Roman"/>
                <w:color w:val="000000"/>
                <w:lang w:val="lv-LV"/>
              </w:rPr>
              <w:t xml:space="preserve"> potenciāl</w:t>
            </w:r>
            <w:r>
              <w:rPr>
                <w:rFonts w:ascii="Times New Roman" w:hAnsi="Times New Roman" w:cs="Times New Roman"/>
                <w:color w:val="000000"/>
                <w:lang w:val="lv-LV"/>
              </w:rPr>
              <w:t>u</w:t>
            </w:r>
            <w:r w:rsidRPr="006F3055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33CC00C" w14:textId="283C0B0C" w:rsidR="006F3055" w:rsidRDefault="006F3055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KM</w:t>
            </w:r>
          </w:p>
        </w:tc>
        <w:tc>
          <w:tcPr>
            <w:tcW w:w="1985" w:type="dxa"/>
            <w:gridSpan w:val="2"/>
          </w:tcPr>
          <w:p w14:paraId="2CA06800" w14:textId="68E562A5" w:rsidR="006F3055" w:rsidRDefault="006E0EBB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IZM, ĀM, VARAM</w:t>
            </w:r>
            <w:r w:rsidR="00CE515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, FM</w:t>
            </w:r>
          </w:p>
        </w:tc>
      </w:tr>
      <w:tr w:rsidR="006F3055" w:rsidRPr="006F3055" w14:paraId="03EE39D0" w14:textId="77777777" w:rsidTr="006F3055">
        <w:tc>
          <w:tcPr>
            <w:tcW w:w="959" w:type="dxa"/>
            <w:gridSpan w:val="2"/>
          </w:tcPr>
          <w:p w14:paraId="20FA56CE" w14:textId="223CAF04" w:rsidR="006F3055" w:rsidRDefault="006F3055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6.2</w:t>
            </w:r>
          </w:p>
        </w:tc>
        <w:tc>
          <w:tcPr>
            <w:tcW w:w="9497" w:type="dxa"/>
          </w:tcPr>
          <w:p w14:paraId="3EE0ECA3" w14:textId="5471AE64" w:rsidR="006F3055" w:rsidRPr="0039472E" w:rsidRDefault="006F3055" w:rsidP="006F3055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F3055">
              <w:rPr>
                <w:rFonts w:ascii="Times New Roman" w:hAnsi="Times New Roman" w:cs="Times New Roman"/>
                <w:lang w:val="lv-LV"/>
              </w:rPr>
              <w:t>Nacionālās informācijas telpas attīstība un stiprināšana, drukāto un elektronisko plašsaziņas līdzekļu politikas pieņemšana un īstenošana</w:t>
            </w:r>
            <w:r>
              <w:rPr>
                <w:rFonts w:ascii="Times New Roman" w:hAnsi="Times New Roman" w:cs="Times New Roman"/>
                <w:lang w:val="lv-LV"/>
              </w:rPr>
              <w:t>;</w:t>
            </w:r>
            <w:r w:rsidRPr="006F3055">
              <w:rPr>
                <w:rFonts w:ascii="Times New Roman" w:hAnsi="Times New Roman" w:cs="Times New Roman"/>
                <w:color w:val="000000"/>
                <w:lang w:val="lv-LV"/>
              </w:rPr>
              <w:t xml:space="preserve"> Latvijas informācijas pieejamība lielajās valodās</w:t>
            </w:r>
          </w:p>
        </w:tc>
        <w:tc>
          <w:tcPr>
            <w:tcW w:w="1134" w:type="dxa"/>
            <w:gridSpan w:val="2"/>
          </w:tcPr>
          <w:p w14:paraId="55E2EDD9" w14:textId="2280813C" w:rsidR="006F3055" w:rsidRDefault="006F3055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KM</w:t>
            </w:r>
          </w:p>
        </w:tc>
        <w:tc>
          <w:tcPr>
            <w:tcW w:w="1985" w:type="dxa"/>
            <w:gridSpan w:val="2"/>
          </w:tcPr>
          <w:p w14:paraId="7DCB865B" w14:textId="03CC1BF7" w:rsidR="006F3055" w:rsidRDefault="00CE515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EM, VARAM, TM, FM</w:t>
            </w:r>
          </w:p>
        </w:tc>
      </w:tr>
      <w:tr w:rsidR="006F3055" w:rsidRPr="006F3055" w14:paraId="4B7124ED" w14:textId="77777777" w:rsidTr="006F3055">
        <w:tc>
          <w:tcPr>
            <w:tcW w:w="959" w:type="dxa"/>
            <w:gridSpan w:val="2"/>
          </w:tcPr>
          <w:p w14:paraId="652C91A3" w14:textId="0D1300FA" w:rsidR="006F3055" w:rsidRDefault="006F3055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6.3</w:t>
            </w:r>
          </w:p>
        </w:tc>
        <w:tc>
          <w:tcPr>
            <w:tcW w:w="9497" w:type="dxa"/>
          </w:tcPr>
          <w:p w14:paraId="79DC1971" w14:textId="5D6D79DE" w:rsidR="006F3055" w:rsidRPr="0039472E" w:rsidRDefault="006F3055" w:rsidP="006F3055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F3055">
              <w:rPr>
                <w:rFonts w:ascii="Times New Roman" w:hAnsi="Times New Roman" w:cs="Times New Roman"/>
                <w:lang w:val="lv-LV"/>
              </w:rPr>
              <w:t xml:space="preserve">Daudzveidīgas Latvijas valsts simtgades svinību programmas </w:t>
            </w:r>
            <w:r>
              <w:rPr>
                <w:rFonts w:ascii="Times New Roman" w:hAnsi="Times New Roman" w:cs="Times New Roman"/>
                <w:lang w:val="lv-LV"/>
              </w:rPr>
              <w:t xml:space="preserve">sagatavošana un </w:t>
            </w:r>
            <w:r w:rsidRPr="006F3055">
              <w:rPr>
                <w:rFonts w:ascii="Times New Roman" w:hAnsi="Times New Roman" w:cs="Times New Roman"/>
                <w:lang w:val="lv-LV"/>
              </w:rPr>
              <w:t>īstenošana (2017.-2021. g.), tai skaitā Mežaparka estrādes un nacionālā stadiona</w:t>
            </w:r>
            <w:r w:rsidRPr="006F3055">
              <w:rPr>
                <w:rFonts w:ascii="Times New Roman" w:hAnsi="Times New Roman" w:cs="Times New Roman"/>
                <w:color w:val="000000"/>
                <w:lang w:val="lv-LV"/>
              </w:rPr>
              <w:t xml:space="preserve"> sagatavošana </w:t>
            </w:r>
            <w:r w:rsidRPr="006F3055">
              <w:rPr>
                <w:rFonts w:ascii="Times New Roman" w:hAnsi="Times New Roman" w:cs="Times New Roman"/>
                <w:lang w:val="lv-LV"/>
              </w:rPr>
              <w:t>sadarbībā ar Rīgas domi XXVI Vispārējo latviešu dziesmu un XVI Deju svētku norisei</w:t>
            </w:r>
          </w:p>
        </w:tc>
        <w:tc>
          <w:tcPr>
            <w:tcW w:w="1134" w:type="dxa"/>
            <w:gridSpan w:val="2"/>
          </w:tcPr>
          <w:p w14:paraId="0BC8EE3A" w14:textId="179592AA" w:rsidR="006F3055" w:rsidRDefault="006F3055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KM</w:t>
            </w:r>
          </w:p>
        </w:tc>
        <w:tc>
          <w:tcPr>
            <w:tcW w:w="1985" w:type="dxa"/>
            <w:gridSpan w:val="2"/>
          </w:tcPr>
          <w:p w14:paraId="3667E962" w14:textId="595F8431" w:rsidR="006F3055" w:rsidRDefault="00CE515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IZM, ĀM, VARAM, FM</w:t>
            </w:r>
          </w:p>
        </w:tc>
      </w:tr>
      <w:tr w:rsidR="006F3055" w:rsidRPr="006F3055" w14:paraId="6A85A979" w14:textId="77777777" w:rsidTr="006F3055">
        <w:tc>
          <w:tcPr>
            <w:tcW w:w="959" w:type="dxa"/>
            <w:gridSpan w:val="2"/>
          </w:tcPr>
          <w:p w14:paraId="2A51BE80" w14:textId="2D19261A" w:rsidR="006F3055" w:rsidRDefault="006F3055" w:rsidP="0039472E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6.4</w:t>
            </w:r>
          </w:p>
        </w:tc>
        <w:tc>
          <w:tcPr>
            <w:tcW w:w="9497" w:type="dxa"/>
          </w:tcPr>
          <w:p w14:paraId="1D060DAB" w14:textId="7C53E94F" w:rsidR="006F3055" w:rsidRPr="0039472E" w:rsidRDefault="006F3055" w:rsidP="006F3055">
            <w:pPr>
              <w:spacing w:before="20"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F3055">
              <w:rPr>
                <w:rFonts w:ascii="Times New Roman" w:hAnsi="Times New Roman" w:cs="Times New Roman"/>
                <w:lang w:val="lv-LV"/>
              </w:rPr>
              <w:t>Nacionālās kultūras infrastruktūras pilnveidošana, akustiskās koncertzāles projekta uzsākšana Rīgā, Laikmetīgās mākslas muzeja un Ventspils mūzikas vidusskolas ar koncertzāli veidošana, tai skaitā izmatojot modernās informācijas tehnoloģijas</w:t>
            </w:r>
          </w:p>
        </w:tc>
        <w:tc>
          <w:tcPr>
            <w:tcW w:w="1134" w:type="dxa"/>
            <w:gridSpan w:val="2"/>
          </w:tcPr>
          <w:p w14:paraId="0C471272" w14:textId="60284099" w:rsidR="006F3055" w:rsidRDefault="006F3055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KM</w:t>
            </w:r>
          </w:p>
        </w:tc>
        <w:tc>
          <w:tcPr>
            <w:tcW w:w="1985" w:type="dxa"/>
            <w:gridSpan w:val="2"/>
          </w:tcPr>
          <w:p w14:paraId="1D9B512B" w14:textId="1FF136B2" w:rsidR="006F3055" w:rsidRDefault="00CE515C" w:rsidP="00262875">
            <w:pPr>
              <w:spacing w:before="2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v-LV"/>
              </w:rPr>
              <w:t>VARAM, FM</w:t>
            </w:r>
          </w:p>
        </w:tc>
      </w:tr>
    </w:tbl>
    <w:p w14:paraId="6B05C74E" w14:textId="77777777" w:rsidR="00CE57B4" w:rsidRPr="00C350DF" w:rsidRDefault="00CE57B4" w:rsidP="006D78AF">
      <w:pPr>
        <w:spacing w:before="60" w:after="0" w:line="312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</w:pPr>
    </w:p>
    <w:sectPr w:rsidR="00CE57B4" w:rsidRPr="00C350DF" w:rsidSect="00A01365">
      <w:headerReference w:type="default" r:id="rId9"/>
      <w:pgSz w:w="15840" w:h="12240" w:orient="landscape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752A" w14:textId="77777777" w:rsidR="00A57638" w:rsidRDefault="00A57638" w:rsidP="007D0681">
      <w:pPr>
        <w:spacing w:after="0" w:line="240" w:lineRule="auto"/>
      </w:pPr>
      <w:r>
        <w:separator/>
      </w:r>
    </w:p>
  </w:endnote>
  <w:endnote w:type="continuationSeparator" w:id="0">
    <w:p w14:paraId="54FCAFF9" w14:textId="77777777" w:rsidR="00A57638" w:rsidRDefault="00A57638" w:rsidP="007D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A507" w14:textId="77777777" w:rsidR="00A57638" w:rsidRDefault="00A57638" w:rsidP="007D0681">
      <w:pPr>
        <w:spacing w:after="0" w:line="240" w:lineRule="auto"/>
      </w:pPr>
      <w:r>
        <w:separator/>
      </w:r>
    </w:p>
  </w:footnote>
  <w:footnote w:type="continuationSeparator" w:id="0">
    <w:p w14:paraId="2822A384" w14:textId="77777777" w:rsidR="00A57638" w:rsidRDefault="00A57638" w:rsidP="007D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88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1B79E9D" w14:textId="3493BDCB" w:rsidR="003A68C8" w:rsidRPr="003A68C8" w:rsidRDefault="003A68C8">
        <w:pPr>
          <w:pStyle w:val="Head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A68C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A68C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A68C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311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A68C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030B10E" w14:textId="77777777" w:rsidR="003A68C8" w:rsidRDefault="003A6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9F4"/>
    <w:multiLevelType w:val="hybridMultilevel"/>
    <w:tmpl w:val="A17E0688"/>
    <w:lvl w:ilvl="0" w:tplc="E8AA3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EA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D3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F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85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4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E8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49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81B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21DD0"/>
    <w:multiLevelType w:val="hybridMultilevel"/>
    <w:tmpl w:val="395ABE9C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4D47E1"/>
    <w:multiLevelType w:val="hybridMultilevel"/>
    <w:tmpl w:val="343AF32A"/>
    <w:lvl w:ilvl="0" w:tplc="9A66D36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86D76"/>
    <w:multiLevelType w:val="hybridMultilevel"/>
    <w:tmpl w:val="3D8CB580"/>
    <w:lvl w:ilvl="0" w:tplc="1D9C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64B1"/>
    <w:multiLevelType w:val="hybridMultilevel"/>
    <w:tmpl w:val="D0587B1C"/>
    <w:lvl w:ilvl="0" w:tplc="DC7CF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382E"/>
    <w:multiLevelType w:val="hybridMultilevel"/>
    <w:tmpl w:val="E250AE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332E"/>
    <w:multiLevelType w:val="hybridMultilevel"/>
    <w:tmpl w:val="6FA0AEAC"/>
    <w:lvl w:ilvl="0" w:tplc="042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C9908E5"/>
    <w:multiLevelType w:val="hybridMultilevel"/>
    <w:tmpl w:val="EB9C5118"/>
    <w:lvl w:ilvl="0" w:tplc="A740B22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E5B68E2"/>
    <w:multiLevelType w:val="multilevel"/>
    <w:tmpl w:val="CC86E6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74401D"/>
    <w:multiLevelType w:val="hybridMultilevel"/>
    <w:tmpl w:val="5D8C163C"/>
    <w:lvl w:ilvl="0" w:tplc="B28C27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C75D3"/>
    <w:multiLevelType w:val="hybridMultilevel"/>
    <w:tmpl w:val="C80AAAB4"/>
    <w:lvl w:ilvl="0" w:tplc="1D9C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9205F"/>
    <w:multiLevelType w:val="hybridMultilevel"/>
    <w:tmpl w:val="47AAC9D4"/>
    <w:lvl w:ilvl="0" w:tplc="042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83B8AF2C">
      <w:start w:val="2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color w:val="632423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C8962AB"/>
    <w:multiLevelType w:val="hybridMultilevel"/>
    <w:tmpl w:val="1AF8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73C32"/>
    <w:multiLevelType w:val="hybridMultilevel"/>
    <w:tmpl w:val="578E62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304086D"/>
    <w:multiLevelType w:val="multilevel"/>
    <w:tmpl w:val="DF9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23C2717B"/>
    <w:multiLevelType w:val="hybridMultilevel"/>
    <w:tmpl w:val="8A5C946A"/>
    <w:lvl w:ilvl="0" w:tplc="4B683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69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8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8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69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685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A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A4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6A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B625E"/>
    <w:multiLevelType w:val="hybridMultilevel"/>
    <w:tmpl w:val="65028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6F93"/>
    <w:multiLevelType w:val="hybridMultilevel"/>
    <w:tmpl w:val="744031B8"/>
    <w:lvl w:ilvl="0" w:tplc="0426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6FC423F"/>
    <w:multiLevelType w:val="hybridMultilevel"/>
    <w:tmpl w:val="838863DA"/>
    <w:lvl w:ilvl="0" w:tplc="9120FF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AB1425"/>
    <w:multiLevelType w:val="hybridMultilevel"/>
    <w:tmpl w:val="F0082AC2"/>
    <w:lvl w:ilvl="0" w:tplc="F8F6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70992"/>
    <w:multiLevelType w:val="hybridMultilevel"/>
    <w:tmpl w:val="6ACC723C"/>
    <w:lvl w:ilvl="0" w:tplc="032E40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C12FB"/>
    <w:multiLevelType w:val="hybridMultilevel"/>
    <w:tmpl w:val="1AF8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4071D"/>
    <w:multiLevelType w:val="multilevel"/>
    <w:tmpl w:val="DF9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>
    <w:nsid w:val="3214750F"/>
    <w:multiLevelType w:val="multilevel"/>
    <w:tmpl w:val="B7ACE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8.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325E6B62"/>
    <w:multiLevelType w:val="hybridMultilevel"/>
    <w:tmpl w:val="664A7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F5A93"/>
    <w:multiLevelType w:val="hybridMultilevel"/>
    <w:tmpl w:val="6862EBA2"/>
    <w:lvl w:ilvl="0" w:tplc="EC36528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994EFC"/>
    <w:multiLevelType w:val="hybridMultilevel"/>
    <w:tmpl w:val="85CA3974"/>
    <w:lvl w:ilvl="0" w:tplc="0512E608">
      <w:start w:val="1"/>
      <w:numFmt w:val="bullet"/>
      <w:lvlText w:val="-"/>
      <w:lvlJc w:val="left"/>
      <w:pPr>
        <w:ind w:left="492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7">
    <w:nsid w:val="36D0762F"/>
    <w:multiLevelType w:val="hybridMultilevel"/>
    <w:tmpl w:val="6B9A57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BA05D0"/>
    <w:multiLevelType w:val="hybridMultilevel"/>
    <w:tmpl w:val="F7EA5B8E"/>
    <w:lvl w:ilvl="0" w:tplc="9CAE36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21CC6"/>
    <w:multiLevelType w:val="hybridMultilevel"/>
    <w:tmpl w:val="DBD06CD0"/>
    <w:lvl w:ilvl="0" w:tplc="FDE4B1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71952"/>
    <w:multiLevelType w:val="hybridMultilevel"/>
    <w:tmpl w:val="4C724616"/>
    <w:lvl w:ilvl="0" w:tplc="3B046E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E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89E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67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647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C6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40A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60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C2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22991"/>
    <w:multiLevelType w:val="hybridMultilevel"/>
    <w:tmpl w:val="AD3C4D3C"/>
    <w:lvl w:ilvl="0" w:tplc="A3A697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15844"/>
    <w:multiLevelType w:val="hybridMultilevel"/>
    <w:tmpl w:val="E750881C"/>
    <w:lvl w:ilvl="0" w:tplc="D20EE4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05258"/>
    <w:multiLevelType w:val="hybridMultilevel"/>
    <w:tmpl w:val="6CAC9C1C"/>
    <w:lvl w:ilvl="0" w:tplc="8FC63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0A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47F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8B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29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C3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5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4E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96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B30CDF"/>
    <w:multiLevelType w:val="hybridMultilevel"/>
    <w:tmpl w:val="F6304C8A"/>
    <w:lvl w:ilvl="0" w:tplc="9EEE8D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6862525"/>
    <w:multiLevelType w:val="hybridMultilevel"/>
    <w:tmpl w:val="E4ECC948"/>
    <w:lvl w:ilvl="0" w:tplc="614AE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BFEB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04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68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88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0C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0B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E2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04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50674"/>
    <w:multiLevelType w:val="multilevel"/>
    <w:tmpl w:val="DDF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FC6B1F"/>
    <w:multiLevelType w:val="multilevel"/>
    <w:tmpl w:val="DF9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>
    <w:nsid w:val="693142EE"/>
    <w:multiLevelType w:val="hybridMultilevel"/>
    <w:tmpl w:val="EBA85354"/>
    <w:lvl w:ilvl="0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>
    <w:nsid w:val="6B125734"/>
    <w:multiLevelType w:val="multilevel"/>
    <w:tmpl w:val="519C420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</w:abstractNum>
  <w:abstractNum w:abstractNumId="40">
    <w:nsid w:val="6BF01246"/>
    <w:multiLevelType w:val="hybridMultilevel"/>
    <w:tmpl w:val="873CAEE2"/>
    <w:lvl w:ilvl="0" w:tplc="40A698C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74AAE"/>
    <w:multiLevelType w:val="hybridMultilevel"/>
    <w:tmpl w:val="0DA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37127"/>
    <w:multiLevelType w:val="multilevel"/>
    <w:tmpl w:val="DF9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6EC25964"/>
    <w:multiLevelType w:val="hybridMultilevel"/>
    <w:tmpl w:val="177C659E"/>
    <w:lvl w:ilvl="0" w:tplc="1D9C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91066"/>
    <w:multiLevelType w:val="hybridMultilevel"/>
    <w:tmpl w:val="B5760AB8"/>
    <w:lvl w:ilvl="0" w:tplc="7AA6B1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896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7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63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81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A86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09D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22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57825"/>
    <w:multiLevelType w:val="hybridMultilevel"/>
    <w:tmpl w:val="FD065B3A"/>
    <w:lvl w:ilvl="0" w:tplc="1D9C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0"/>
  </w:num>
  <w:num w:numId="4">
    <w:abstractNumId w:val="30"/>
  </w:num>
  <w:num w:numId="5">
    <w:abstractNumId w:val="15"/>
  </w:num>
  <w:num w:numId="6">
    <w:abstractNumId w:val="44"/>
  </w:num>
  <w:num w:numId="7">
    <w:abstractNumId w:val="40"/>
  </w:num>
  <w:num w:numId="8">
    <w:abstractNumId w:val="24"/>
  </w:num>
  <w:num w:numId="9">
    <w:abstractNumId w:val="32"/>
  </w:num>
  <w:num w:numId="10">
    <w:abstractNumId w:val="31"/>
  </w:num>
  <w:num w:numId="11">
    <w:abstractNumId w:val="20"/>
  </w:num>
  <w:num w:numId="12">
    <w:abstractNumId w:val="11"/>
  </w:num>
  <w:num w:numId="13">
    <w:abstractNumId w:val="6"/>
  </w:num>
  <w:num w:numId="14">
    <w:abstractNumId w:val="1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0"/>
  </w:num>
  <w:num w:numId="23">
    <w:abstractNumId w:val="45"/>
  </w:num>
  <w:num w:numId="24">
    <w:abstractNumId w:val="34"/>
  </w:num>
  <w:num w:numId="25">
    <w:abstractNumId w:val="3"/>
  </w:num>
  <w:num w:numId="26">
    <w:abstractNumId w:val="43"/>
  </w:num>
  <w:num w:numId="27">
    <w:abstractNumId w:val="38"/>
  </w:num>
  <w:num w:numId="28">
    <w:abstractNumId w:val="41"/>
  </w:num>
  <w:num w:numId="29">
    <w:abstractNumId w:val="21"/>
  </w:num>
  <w:num w:numId="30">
    <w:abstractNumId w:val="35"/>
  </w:num>
  <w:num w:numId="31">
    <w:abstractNumId w:val="4"/>
  </w:num>
  <w:num w:numId="32">
    <w:abstractNumId w:val="25"/>
  </w:num>
  <w:num w:numId="33">
    <w:abstractNumId w:val="2"/>
  </w:num>
  <w:num w:numId="34">
    <w:abstractNumId w:val="28"/>
  </w:num>
  <w:num w:numId="35">
    <w:abstractNumId w:val="27"/>
  </w:num>
  <w:num w:numId="36">
    <w:abstractNumId w:val="23"/>
  </w:num>
  <w:num w:numId="37">
    <w:abstractNumId w:val="26"/>
  </w:num>
  <w:num w:numId="38">
    <w:abstractNumId w:val="19"/>
  </w:num>
  <w:num w:numId="39">
    <w:abstractNumId w:val="39"/>
  </w:num>
  <w:num w:numId="40">
    <w:abstractNumId w:val="8"/>
  </w:num>
  <w:num w:numId="41">
    <w:abstractNumId w:val="14"/>
  </w:num>
  <w:num w:numId="42">
    <w:abstractNumId w:val="42"/>
  </w:num>
  <w:num w:numId="43">
    <w:abstractNumId w:val="5"/>
  </w:num>
  <w:num w:numId="44">
    <w:abstractNumId w:val="22"/>
  </w:num>
  <w:num w:numId="45">
    <w:abstractNumId w:val="3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4"/>
    <w:rsid w:val="00001856"/>
    <w:rsid w:val="00001F97"/>
    <w:rsid w:val="00004ED2"/>
    <w:rsid w:val="00007091"/>
    <w:rsid w:val="000173E6"/>
    <w:rsid w:val="00044742"/>
    <w:rsid w:val="00051640"/>
    <w:rsid w:val="00073872"/>
    <w:rsid w:val="00090F54"/>
    <w:rsid w:val="00095374"/>
    <w:rsid w:val="0009751A"/>
    <w:rsid w:val="000B07A7"/>
    <w:rsid w:val="000C0540"/>
    <w:rsid w:val="000C1203"/>
    <w:rsid w:val="00105AFC"/>
    <w:rsid w:val="0011470F"/>
    <w:rsid w:val="00116445"/>
    <w:rsid w:val="001215BB"/>
    <w:rsid w:val="00122FBA"/>
    <w:rsid w:val="001318BD"/>
    <w:rsid w:val="00132E0D"/>
    <w:rsid w:val="00153F13"/>
    <w:rsid w:val="001574DC"/>
    <w:rsid w:val="001608B9"/>
    <w:rsid w:val="0017616E"/>
    <w:rsid w:val="00183B5E"/>
    <w:rsid w:val="0018518A"/>
    <w:rsid w:val="00191E63"/>
    <w:rsid w:val="001A38E8"/>
    <w:rsid w:val="001F3B8B"/>
    <w:rsid w:val="00205E78"/>
    <w:rsid w:val="002162C5"/>
    <w:rsid w:val="002239ED"/>
    <w:rsid w:val="00240867"/>
    <w:rsid w:val="00243FB8"/>
    <w:rsid w:val="00245B0F"/>
    <w:rsid w:val="00262875"/>
    <w:rsid w:val="00262DCE"/>
    <w:rsid w:val="0026311D"/>
    <w:rsid w:val="0027456E"/>
    <w:rsid w:val="002A2BB4"/>
    <w:rsid w:val="002A396E"/>
    <w:rsid w:val="002B4C12"/>
    <w:rsid w:val="002D1166"/>
    <w:rsid w:val="002D50E4"/>
    <w:rsid w:val="002E6F4C"/>
    <w:rsid w:val="00301D00"/>
    <w:rsid w:val="00336732"/>
    <w:rsid w:val="003551BD"/>
    <w:rsid w:val="0037710C"/>
    <w:rsid w:val="003849D4"/>
    <w:rsid w:val="0039472E"/>
    <w:rsid w:val="003A5894"/>
    <w:rsid w:val="003A68C8"/>
    <w:rsid w:val="003C05D2"/>
    <w:rsid w:val="003C76AA"/>
    <w:rsid w:val="003E64EA"/>
    <w:rsid w:val="003F73D6"/>
    <w:rsid w:val="00402E05"/>
    <w:rsid w:val="004170D1"/>
    <w:rsid w:val="00444214"/>
    <w:rsid w:val="0044701D"/>
    <w:rsid w:val="00450265"/>
    <w:rsid w:val="00493CFD"/>
    <w:rsid w:val="00496F75"/>
    <w:rsid w:val="004A18A9"/>
    <w:rsid w:val="004A530F"/>
    <w:rsid w:val="004B5163"/>
    <w:rsid w:val="004C5C32"/>
    <w:rsid w:val="0050165F"/>
    <w:rsid w:val="005141C1"/>
    <w:rsid w:val="005345ED"/>
    <w:rsid w:val="00536C2A"/>
    <w:rsid w:val="00583BB6"/>
    <w:rsid w:val="005C6C6F"/>
    <w:rsid w:val="005E1CDE"/>
    <w:rsid w:val="00604B1D"/>
    <w:rsid w:val="00620618"/>
    <w:rsid w:val="006401FF"/>
    <w:rsid w:val="00640DD8"/>
    <w:rsid w:val="006465BC"/>
    <w:rsid w:val="006534A2"/>
    <w:rsid w:val="006619DA"/>
    <w:rsid w:val="006667E0"/>
    <w:rsid w:val="00670AC9"/>
    <w:rsid w:val="006818F0"/>
    <w:rsid w:val="006A2FA5"/>
    <w:rsid w:val="006A789F"/>
    <w:rsid w:val="006B68F2"/>
    <w:rsid w:val="006C7614"/>
    <w:rsid w:val="006D78AF"/>
    <w:rsid w:val="006E00DF"/>
    <w:rsid w:val="006E0EBB"/>
    <w:rsid w:val="006E4250"/>
    <w:rsid w:val="006F3055"/>
    <w:rsid w:val="00707A5B"/>
    <w:rsid w:val="007229A2"/>
    <w:rsid w:val="007231F7"/>
    <w:rsid w:val="00744067"/>
    <w:rsid w:val="00792CED"/>
    <w:rsid w:val="007A4532"/>
    <w:rsid w:val="007C7D3E"/>
    <w:rsid w:val="007D0681"/>
    <w:rsid w:val="007D5F73"/>
    <w:rsid w:val="00815CF8"/>
    <w:rsid w:val="00840D3D"/>
    <w:rsid w:val="008614C8"/>
    <w:rsid w:val="008A6311"/>
    <w:rsid w:val="008B2002"/>
    <w:rsid w:val="008C20C9"/>
    <w:rsid w:val="008C41CC"/>
    <w:rsid w:val="008C5ED4"/>
    <w:rsid w:val="008D1AF2"/>
    <w:rsid w:val="008D691E"/>
    <w:rsid w:val="00902CE6"/>
    <w:rsid w:val="00922847"/>
    <w:rsid w:val="0093003C"/>
    <w:rsid w:val="009304D4"/>
    <w:rsid w:val="0093604E"/>
    <w:rsid w:val="009445F7"/>
    <w:rsid w:val="00990A61"/>
    <w:rsid w:val="009B1D86"/>
    <w:rsid w:val="009D0CB0"/>
    <w:rsid w:val="009D38B4"/>
    <w:rsid w:val="009E6B9B"/>
    <w:rsid w:val="009F4222"/>
    <w:rsid w:val="009F5452"/>
    <w:rsid w:val="009F7733"/>
    <w:rsid w:val="00A01365"/>
    <w:rsid w:val="00A20695"/>
    <w:rsid w:val="00A20EB6"/>
    <w:rsid w:val="00A31647"/>
    <w:rsid w:val="00A35F5D"/>
    <w:rsid w:val="00A57638"/>
    <w:rsid w:val="00A66318"/>
    <w:rsid w:val="00A7773D"/>
    <w:rsid w:val="00AB3D98"/>
    <w:rsid w:val="00AB6669"/>
    <w:rsid w:val="00AD0683"/>
    <w:rsid w:val="00AE4A9F"/>
    <w:rsid w:val="00B07E29"/>
    <w:rsid w:val="00B10EA1"/>
    <w:rsid w:val="00B15E68"/>
    <w:rsid w:val="00B20551"/>
    <w:rsid w:val="00B31371"/>
    <w:rsid w:val="00B36AD9"/>
    <w:rsid w:val="00B55ABB"/>
    <w:rsid w:val="00B75293"/>
    <w:rsid w:val="00B77D87"/>
    <w:rsid w:val="00B97DD3"/>
    <w:rsid w:val="00BA22A2"/>
    <w:rsid w:val="00BA74D6"/>
    <w:rsid w:val="00BC67BC"/>
    <w:rsid w:val="00BC743B"/>
    <w:rsid w:val="00BD0701"/>
    <w:rsid w:val="00C04047"/>
    <w:rsid w:val="00C17C6F"/>
    <w:rsid w:val="00C350DF"/>
    <w:rsid w:val="00C44830"/>
    <w:rsid w:val="00C46939"/>
    <w:rsid w:val="00C721A6"/>
    <w:rsid w:val="00C84FDF"/>
    <w:rsid w:val="00C96FEA"/>
    <w:rsid w:val="00CB1642"/>
    <w:rsid w:val="00CB3E1A"/>
    <w:rsid w:val="00CC078E"/>
    <w:rsid w:val="00CE515C"/>
    <w:rsid w:val="00CE57B4"/>
    <w:rsid w:val="00D35A12"/>
    <w:rsid w:val="00D45EAE"/>
    <w:rsid w:val="00D4723C"/>
    <w:rsid w:val="00D65860"/>
    <w:rsid w:val="00D75D49"/>
    <w:rsid w:val="00D8404C"/>
    <w:rsid w:val="00D903C4"/>
    <w:rsid w:val="00DA0399"/>
    <w:rsid w:val="00DC54E8"/>
    <w:rsid w:val="00DD387A"/>
    <w:rsid w:val="00DF1A0F"/>
    <w:rsid w:val="00E010CF"/>
    <w:rsid w:val="00E27437"/>
    <w:rsid w:val="00E422F1"/>
    <w:rsid w:val="00E45DA3"/>
    <w:rsid w:val="00E5281D"/>
    <w:rsid w:val="00E53B7C"/>
    <w:rsid w:val="00E805D9"/>
    <w:rsid w:val="00E94633"/>
    <w:rsid w:val="00EA29DE"/>
    <w:rsid w:val="00EC7F8D"/>
    <w:rsid w:val="00ED16BD"/>
    <w:rsid w:val="00ED27EE"/>
    <w:rsid w:val="00ED575C"/>
    <w:rsid w:val="00F04ADB"/>
    <w:rsid w:val="00F06A4E"/>
    <w:rsid w:val="00F30D51"/>
    <w:rsid w:val="00F43873"/>
    <w:rsid w:val="00F53706"/>
    <w:rsid w:val="00F5450D"/>
    <w:rsid w:val="00F57748"/>
    <w:rsid w:val="00F57E95"/>
    <w:rsid w:val="00F6494F"/>
    <w:rsid w:val="00FC337D"/>
    <w:rsid w:val="00FD0069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7E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90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2 Char,Strip Char"/>
    <w:link w:val="ListParagraph"/>
    <w:uiPriority w:val="99"/>
    <w:locked/>
    <w:rsid w:val="003551BD"/>
  </w:style>
  <w:style w:type="character" w:styleId="Hyperlink">
    <w:name w:val="Hyperlink"/>
    <w:basedOn w:val="DefaultParagraphFont"/>
    <w:uiPriority w:val="99"/>
    <w:unhideWhenUsed/>
    <w:rsid w:val="00A31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0681"/>
    <w:pPr>
      <w:spacing w:after="0" w:line="360" w:lineRule="auto"/>
      <w:ind w:left="144" w:firstLine="720"/>
      <w:jc w:val="both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681"/>
    <w:rPr>
      <w:rFonts w:ascii="Times New Roman" w:eastAsia="Calibri" w:hAnsi="Times New Roman" w:cs="Times New Roman"/>
      <w:sz w:val="20"/>
      <w:szCs w:val="20"/>
      <w:lang w:val="lv-LV"/>
    </w:rPr>
  </w:style>
  <w:style w:type="character" w:styleId="FootnoteReference">
    <w:name w:val="footnote reference"/>
    <w:uiPriority w:val="99"/>
    <w:unhideWhenUsed/>
    <w:rsid w:val="007D068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D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D2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D5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E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C8"/>
  </w:style>
  <w:style w:type="paragraph" w:styleId="Footer">
    <w:name w:val="footer"/>
    <w:basedOn w:val="Normal"/>
    <w:link w:val="FooterChar"/>
    <w:uiPriority w:val="99"/>
    <w:unhideWhenUsed/>
    <w:rsid w:val="003A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90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2 Char,Strip Char"/>
    <w:link w:val="ListParagraph"/>
    <w:uiPriority w:val="99"/>
    <w:locked/>
    <w:rsid w:val="003551BD"/>
  </w:style>
  <w:style w:type="character" w:styleId="Hyperlink">
    <w:name w:val="Hyperlink"/>
    <w:basedOn w:val="DefaultParagraphFont"/>
    <w:uiPriority w:val="99"/>
    <w:unhideWhenUsed/>
    <w:rsid w:val="00A31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0681"/>
    <w:pPr>
      <w:spacing w:after="0" w:line="360" w:lineRule="auto"/>
      <w:ind w:left="144" w:firstLine="720"/>
      <w:jc w:val="both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681"/>
    <w:rPr>
      <w:rFonts w:ascii="Times New Roman" w:eastAsia="Calibri" w:hAnsi="Times New Roman" w:cs="Times New Roman"/>
      <w:sz w:val="20"/>
      <w:szCs w:val="20"/>
      <w:lang w:val="lv-LV"/>
    </w:rPr>
  </w:style>
  <w:style w:type="character" w:styleId="FootnoteReference">
    <w:name w:val="footnote reference"/>
    <w:uiPriority w:val="99"/>
    <w:unhideWhenUsed/>
    <w:rsid w:val="007D068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D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D2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D5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E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C8"/>
  </w:style>
  <w:style w:type="paragraph" w:styleId="Footer">
    <w:name w:val="footer"/>
    <w:basedOn w:val="Normal"/>
    <w:link w:val="FooterChar"/>
    <w:uiPriority w:val="99"/>
    <w:unhideWhenUsed/>
    <w:rsid w:val="003A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907D-AC56-4982-A318-1315E46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7235</Words>
  <Characters>4124</Characters>
  <Application>Microsoft Office Word</Application>
  <DocSecurity>4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Grinbergs</dc:creator>
  <cp:lastModifiedBy>Gunta Lejiete</cp:lastModifiedBy>
  <cp:revision>2</cp:revision>
  <cp:lastPrinted>2016-04-18T07:55:00Z</cp:lastPrinted>
  <dcterms:created xsi:type="dcterms:W3CDTF">2016-04-25T08:29:00Z</dcterms:created>
  <dcterms:modified xsi:type="dcterms:W3CDTF">2016-04-25T08:29:00Z</dcterms:modified>
</cp:coreProperties>
</file>