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6E3512" w:rsidRDefault="00313035" w:rsidP="00FE0122">
      <w:pPr>
        <w:shd w:val="clear" w:color="auto" w:fill="FFFFFF"/>
        <w:ind w:right="184"/>
        <w:jc w:val="center"/>
        <w:rPr>
          <w:rFonts w:cs="Times New Roman"/>
          <w:b/>
          <w:bCs/>
          <w:sz w:val="24"/>
          <w:szCs w:val="24"/>
          <w:lang w:val="lv-LV" w:eastAsia="lv-LV" w:bidi="ar-SA"/>
        </w:rPr>
      </w:pPr>
      <w:bookmarkStart w:id="0" w:name="_GoBack"/>
      <w:bookmarkEnd w:id="0"/>
      <w:r w:rsidRPr="006E3512">
        <w:rPr>
          <w:rFonts w:cs="Times New Roman"/>
          <w:b/>
          <w:bCs/>
          <w:sz w:val="24"/>
          <w:szCs w:val="24"/>
          <w:lang w:val="lv-LV" w:eastAsia="lv-LV" w:bidi="ar-SA"/>
        </w:rPr>
        <w:t>Ministru kabineta n</w:t>
      </w:r>
      <w:r w:rsidR="000D5813" w:rsidRPr="006E3512">
        <w:rPr>
          <w:rFonts w:cs="Times New Roman"/>
          <w:b/>
          <w:bCs/>
          <w:sz w:val="24"/>
          <w:szCs w:val="24"/>
          <w:lang w:val="lv-LV" w:eastAsia="lv-LV" w:bidi="ar-SA"/>
        </w:rPr>
        <w:t>oteikumu projekta</w:t>
      </w:r>
      <w:r w:rsidR="00DA55F2" w:rsidRPr="006E3512">
        <w:rPr>
          <w:rFonts w:cs="Times New Roman"/>
          <w:b/>
          <w:bCs/>
          <w:sz w:val="24"/>
          <w:szCs w:val="24"/>
          <w:lang w:val="lv-LV" w:eastAsia="lv-LV" w:bidi="ar-SA"/>
        </w:rPr>
        <w:t xml:space="preserve"> „</w:t>
      </w:r>
      <w:r w:rsidR="00D817C2" w:rsidRPr="006E3512">
        <w:rPr>
          <w:rFonts w:cs="Times New Roman"/>
          <w:b/>
          <w:bCs/>
          <w:sz w:val="24"/>
          <w:szCs w:val="24"/>
          <w:lang w:val="lv-LV"/>
        </w:rPr>
        <w:t>Grozījums</w:t>
      </w:r>
      <w:r w:rsidR="001D1271" w:rsidRPr="006E3512">
        <w:rPr>
          <w:rFonts w:cs="Times New Roman"/>
          <w:b/>
          <w:bCs/>
          <w:sz w:val="24"/>
          <w:szCs w:val="24"/>
          <w:lang w:val="lv-LV"/>
        </w:rPr>
        <w:t xml:space="preserve"> </w:t>
      </w:r>
      <w:r w:rsidRPr="006E3512">
        <w:rPr>
          <w:rFonts w:cs="Times New Roman"/>
          <w:b/>
          <w:bCs/>
          <w:sz w:val="24"/>
          <w:szCs w:val="24"/>
          <w:lang w:val="lv-LV"/>
        </w:rPr>
        <w:t>Mi</w:t>
      </w:r>
      <w:r w:rsidR="006B66DB" w:rsidRPr="006E3512">
        <w:rPr>
          <w:rFonts w:cs="Times New Roman"/>
          <w:b/>
          <w:bCs/>
          <w:sz w:val="24"/>
          <w:szCs w:val="24"/>
          <w:lang w:val="lv-LV"/>
        </w:rPr>
        <w:t>nistru kabineta 2002.</w:t>
      </w:r>
      <w:r w:rsidR="00C959B8" w:rsidRPr="006E3512">
        <w:rPr>
          <w:rFonts w:cs="Times New Roman"/>
          <w:b/>
          <w:bCs/>
          <w:sz w:val="24"/>
          <w:szCs w:val="24"/>
          <w:lang w:val="lv-LV"/>
        </w:rPr>
        <w:t> </w:t>
      </w:r>
      <w:r w:rsidR="006B66DB" w:rsidRPr="006E3512">
        <w:rPr>
          <w:rFonts w:cs="Times New Roman"/>
          <w:b/>
          <w:bCs/>
          <w:sz w:val="24"/>
          <w:szCs w:val="24"/>
          <w:lang w:val="lv-LV"/>
        </w:rPr>
        <w:t>gada 22.</w:t>
      </w:r>
      <w:r w:rsidR="00C959B8" w:rsidRPr="006E3512">
        <w:rPr>
          <w:rFonts w:cs="Times New Roman"/>
          <w:b/>
          <w:bCs/>
          <w:sz w:val="24"/>
          <w:szCs w:val="24"/>
          <w:lang w:val="lv-LV"/>
        </w:rPr>
        <w:t> </w:t>
      </w:r>
      <w:r w:rsidR="006B66DB" w:rsidRPr="006E3512">
        <w:rPr>
          <w:rFonts w:cs="Times New Roman"/>
          <w:b/>
          <w:bCs/>
          <w:sz w:val="24"/>
          <w:szCs w:val="24"/>
          <w:lang w:val="lv-LV"/>
        </w:rPr>
        <w:t>ok</w:t>
      </w:r>
      <w:r w:rsidRPr="006E3512">
        <w:rPr>
          <w:rFonts w:cs="Times New Roman"/>
          <w:b/>
          <w:bCs/>
          <w:sz w:val="24"/>
          <w:szCs w:val="24"/>
          <w:lang w:val="lv-LV"/>
        </w:rPr>
        <w:t>t</w:t>
      </w:r>
      <w:r w:rsidR="006B66DB" w:rsidRPr="006E3512">
        <w:rPr>
          <w:rFonts w:cs="Times New Roman"/>
          <w:b/>
          <w:bCs/>
          <w:sz w:val="24"/>
          <w:szCs w:val="24"/>
          <w:lang w:val="lv-LV"/>
        </w:rPr>
        <w:t>o</w:t>
      </w:r>
      <w:r w:rsidRPr="006E3512">
        <w:rPr>
          <w:rFonts w:cs="Times New Roman"/>
          <w:b/>
          <w:bCs/>
          <w:sz w:val="24"/>
          <w:szCs w:val="24"/>
          <w:lang w:val="lv-LV"/>
        </w:rPr>
        <w:t>bra noteikumos Nr.</w:t>
      </w:r>
      <w:r w:rsidR="00C959B8" w:rsidRPr="006E3512">
        <w:rPr>
          <w:rFonts w:cs="Times New Roman"/>
          <w:b/>
          <w:bCs/>
          <w:sz w:val="24"/>
          <w:szCs w:val="24"/>
          <w:lang w:val="lv-LV"/>
        </w:rPr>
        <w:t> </w:t>
      </w:r>
      <w:r w:rsidR="00D60E2F">
        <w:rPr>
          <w:rFonts w:cs="Times New Roman"/>
          <w:b/>
          <w:bCs/>
          <w:sz w:val="24"/>
          <w:szCs w:val="24"/>
          <w:lang w:val="lv-LV"/>
        </w:rPr>
        <w:t>478</w:t>
      </w:r>
      <w:r w:rsidRPr="006E3512">
        <w:rPr>
          <w:rFonts w:cs="Times New Roman"/>
          <w:b/>
          <w:bCs/>
          <w:sz w:val="24"/>
          <w:szCs w:val="24"/>
          <w:lang w:val="lv-LV"/>
        </w:rPr>
        <w:t xml:space="preserve"> </w:t>
      </w:r>
      <w:r w:rsidR="00A4121D" w:rsidRPr="006E3512">
        <w:rPr>
          <w:rFonts w:cs="Times New Roman"/>
          <w:sz w:val="24"/>
          <w:szCs w:val="24"/>
          <w:lang w:val="lv-LV" w:eastAsia="lv-LV" w:bidi="ar-SA"/>
        </w:rPr>
        <w:t>„</w:t>
      </w:r>
      <w:r w:rsidRPr="006E3512">
        <w:rPr>
          <w:rFonts w:cs="Times New Roman"/>
          <w:b/>
          <w:bCs/>
          <w:sz w:val="24"/>
          <w:szCs w:val="24"/>
          <w:lang w:val="lv-LV"/>
        </w:rPr>
        <w:t>Kārtība, kādā aizpildāmas, iesniedzamas, reģistrējamas un glabājamas valsts amatpersonu deklarācijas un aizpildāmi un iesniedzami valsts amatpersonu saraksti”</w:t>
      </w:r>
      <w:r w:rsidR="00DA55F2" w:rsidRPr="006E3512">
        <w:rPr>
          <w:rFonts w:cs="Times New Roman"/>
          <w:b/>
          <w:bCs/>
          <w:sz w:val="24"/>
          <w:szCs w:val="24"/>
          <w:lang w:val="lv-LV" w:eastAsia="lv-LV" w:bidi="ar-SA"/>
        </w:rPr>
        <w:t>” sākotnējās ietekmes novērtējuma ziņojums (anotācija)</w:t>
      </w:r>
    </w:p>
    <w:p w:rsidR="00DA55F2" w:rsidRPr="006E3512" w:rsidRDefault="00DA55F2" w:rsidP="00FE0122">
      <w:pPr>
        <w:shd w:val="clear" w:color="auto" w:fill="FFFFFF"/>
        <w:spacing w:before="45" w:line="240" w:lineRule="atLeast"/>
        <w:ind w:right="184" w:firstLine="300"/>
        <w:jc w:val="center"/>
        <w:rPr>
          <w:rFonts w:cs="Times New Roman"/>
          <w:i/>
          <w:iCs/>
          <w:sz w:val="24"/>
          <w:szCs w:val="24"/>
          <w:lang w:val="lv-LV" w:eastAsia="lv-LV" w:bidi="ar-SA"/>
        </w:rPr>
      </w:pPr>
    </w:p>
    <w:tbl>
      <w:tblPr>
        <w:tblW w:w="5433" w:type="pct"/>
        <w:tblInd w:w="-987"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4"/>
        <w:gridCol w:w="533"/>
        <w:gridCol w:w="25"/>
        <w:gridCol w:w="565"/>
        <w:gridCol w:w="147"/>
        <w:gridCol w:w="1843"/>
        <w:gridCol w:w="680"/>
        <w:gridCol w:w="27"/>
        <w:gridCol w:w="41"/>
        <w:gridCol w:w="5311"/>
        <w:gridCol w:w="8"/>
        <w:gridCol w:w="598"/>
      </w:tblGrid>
      <w:tr w:rsidR="006E3512" w:rsidRPr="006E3512" w:rsidTr="009B1A03">
        <w:trPr>
          <w:gridBefore w:val="3"/>
          <w:wBefore w:w="297" w:type="pct"/>
          <w:trHeight w:val="324"/>
        </w:trPr>
        <w:tc>
          <w:tcPr>
            <w:tcW w:w="4703" w:type="pct"/>
            <w:gridSpan w:val="9"/>
            <w:tcBorders>
              <w:top w:val="outset" w:sz="6" w:space="0" w:color="414142"/>
              <w:left w:val="outset" w:sz="6" w:space="0" w:color="414142"/>
              <w:bottom w:val="outset" w:sz="6" w:space="0" w:color="414142"/>
              <w:right w:val="outset" w:sz="6" w:space="0" w:color="414142"/>
            </w:tcBorders>
            <w:vAlign w:val="center"/>
            <w:hideMark/>
          </w:tcPr>
          <w:p w:rsidR="00DA55F2" w:rsidRPr="006E3512" w:rsidRDefault="00DA55F2" w:rsidP="00FE0122">
            <w:pPr>
              <w:spacing w:before="100" w:beforeAutospacing="1" w:after="100" w:afterAutospacing="1" w:line="315" w:lineRule="atLeast"/>
              <w:ind w:right="184"/>
              <w:jc w:val="center"/>
              <w:rPr>
                <w:rFonts w:cs="Times New Roman"/>
                <w:b/>
                <w:bCs/>
                <w:sz w:val="24"/>
                <w:szCs w:val="24"/>
                <w:lang w:val="lv-LV" w:eastAsia="lv-LV" w:bidi="ar-SA"/>
              </w:rPr>
            </w:pPr>
            <w:r w:rsidRPr="006E3512">
              <w:rPr>
                <w:rFonts w:cs="Times New Roman"/>
                <w:b/>
                <w:bCs/>
                <w:sz w:val="24"/>
                <w:szCs w:val="24"/>
                <w:lang w:val="lv-LV" w:eastAsia="lv-LV" w:bidi="ar-SA"/>
              </w:rPr>
              <w:t>I. Tiesību akta projekta izstrādes nepieciešamība</w:t>
            </w:r>
          </w:p>
        </w:tc>
      </w:tr>
      <w:tr w:rsidR="009B1A03" w:rsidRPr="00F04BE3" w:rsidTr="009B1A03">
        <w:trPr>
          <w:gridBefore w:val="3"/>
          <w:wBefore w:w="297" w:type="pct"/>
          <w:trHeight w:val="324"/>
        </w:trPr>
        <w:tc>
          <w:tcPr>
            <w:tcW w:w="363"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jc w:val="center"/>
              <w:rPr>
                <w:rFonts w:cs="Times New Roman"/>
                <w:sz w:val="24"/>
                <w:szCs w:val="24"/>
                <w:lang w:val="lv-LV" w:eastAsia="lv-LV" w:bidi="ar-SA"/>
              </w:rPr>
            </w:pPr>
            <w:r w:rsidRPr="006E3512">
              <w:rPr>
                <w:rFonts w:cs="Times New Roman"/>
                <w:sz w:val="24"/>
                <w:szCs w:val="24"/>
                <w:lang w:val="lv-LV" w:eastAsia="lv-LV" w:bidi="ar-SA"/>
              </w:rPr>
              <w:t>1.</w:t>
            </w:r>
          </w:p>
        </w:tc>
        <w:tc>
          <w:tcPr>
            <w:tcW w:w="940"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Pamatojums</w:t>
            </w:r>
          </w:p>
        </w:tc>
        <w:tc>
          <w:tcPr>
            <w:tcW w:w="3400" w:type="pct"/>
            <w:gridSpan w:val="6"/>
            <w:tcBorders>
              <w:top w:val="outset" w:sz="6" w:space="0" w:color="414142"/>
              <w:left w:val="outset" w:sz="6" w:space="0" w:color="414142"/>
              <w:bottom w:val="outset" w:sz="6" w:space="0" w:color="414142"/>
              <w:right w:val="outset" w:sz="6" w:space="0" w:color="414142"/>
            </w:tcBorders>
            <w:hideMark/>
          </w:tcPr>
          <w:p w:rsidR="00DA55F2" w:rsidRPr="006E3512" w:rsidRDefault="00650AAC" w:rsidP="00FE0122">
            <w:pPr>
              <w:ind w:right="184" w:firstLine="500"/>
              <w:jc w:val="both"/>
              <w:rPr>
                <w:rFonts w:cs="Times New Roman"/>
                <w:sz w:val="24"/>
                <w:szCs w:val="24"/>
                <w:lang w:val="lv-LV" w:eastAsia="lv-LV" w:bidi="ar-SA"/>
              </w:rPr>
            </w:pPr>
            <w:r w:rsidRPr="006E3512">
              <w:rPr>
                <w:rFonts w:cs="Times New Roman"/>
                <w:sz w:val="24"/>
                <w:szCs w:val="24"/>
                <w:lang w:val="lv-LV"/>
              </w:rPr>
              <w:t>Aizsardzības ministrija ir</w:t>
            </w:r>
            <w:r w:rsidR="00D371AD" w:rsidRPr="006E3512">
              <w:rPr>
                <w:rFonts w:cs="Times New Roman"/>
                <w:sz w:val="24"/>
                <w:szCs w:val="24"/>
                <w:lang w:val="lv-LV"/>
              </w:rPr>
              <w:t xml:space="preserve"> iniciējusi un</w:t>
            </w:r>
            <w:r w:rsidRPr="006E3512">
              <w:rPr>
                <w:rFonts w:cs="Times New Roman"/>
                <w:sz w:val="24"/>
                <w:szCs w:val="24"/>
                <w:lang w:val="lv-LV"/>
              </w:rPr>
              <w:t xml:space="preserve"> </w:t>
            </w:r>
            <w:r w:rsidR="00670E2E" w:rsidRPr="006E3512">
              <w:rPr>
                <w:rFonts w:cs="Times New Roman"/>
                <w:sz w:val="24"/>
                <w:szCs w:val="24"/>
                <w:lang w:val="lv-LV"/>
              </w:rPr>
              <w:t>izstrādājusi</w:t>
            </w:r>
            <w:r w:rsidRPr="006E3512">
              <w:rPr>
                <w:rFonts w:cs="Times New Roman"/>
                <w:sz w:val="24"/>
                <w:szCs w:val="24"/>
                <w:lang w:val="lv-LV"/>
              </w:rPr>
              <w:t xml:space="preserve"> </w:t>
            </w:r>
            <w:r w:rsidR="00EA214B" w:rsidRPr="006E3512">
              <w:rPr>
                <w:rFonts w:cs="Times New Roman"/>
                <w:sz w:val="24"/>
                <w:szCs w:val="24"/>
                <w:lang w:val="lv-LV"/>
              </w:rPr>
              <w:t>grozījumu</w:t>
            </w:r>
            <w:r w:rsidRPr="006E3512">
              <w:rPr>
                <w:rFonts w:cs="Times New Roman"/>
                <w:sz w:val="24"/>
                <w:szCs w:val="24"/>
                <w:lang w:val="lv-LV"/>
              </w:rPr>
              <w:t xml:space="preserve"> </w:t>
            </w:r>
            <w:r w:rsidR="00560FD2" w:rsidRPr="006E3512">
              <w:rPr>
                <w:rFonts w:cs="Times New Roman"/>
                <w:bCs/>
                <w:sz w:val="24"/>
                <w:szCs w:val="24"/>
                <w:lang w:val="lv-LV"/>
              </w:rPr>
              <w:t>Ministru kabineta 2002.</w:t>
            </w:r>
            <w:r w:rsidR="00C959B8" w:rsidRPr="006E3512">
              <w:rPr>
                <w:rFonts w:cs="Times New Roman"/>
                <w:bCs/>
                <w:sz w:val="24"/>
                <w:szCs w:val="24"/>
                <w:lang w:val="lv-LV"/>
              </w:rPr>
              <w:t> </w:t>
            </w:r>
            <w:r w:rsidR="00560FD2" w:rsidRPr="006E3512">
              <w:rPr>
                <w:rFonts w:cs="Times New Roman"/>
                <w:bCs/>
                <w:sz w:val="24"/>
                <w:szCs w:val="24"/>
                <w:lang w:val="lv-LV"/>
              </w:rPr>
              <w:t>gada 22.</w:t>
            </w:r>
            <w:r w:rsidR="00C959B8" w:rsidRPr="006E3512">
              <w:rPr>
                <w:rFonts w:cs="Times New Roman"/>
                <w:bCs/>
                <w:sz w:val="24"/>
                <w:szCs w:val="24"/>
                <w:lang w:val="lv-LV"/>
              </w:rPr>
              <w:t> </w:t>
            </w:r>
            <w:r w:rsidR="00560FD2" w:rsidRPr="006E3512">
              <w:rPr>
                <w:rFonts w:cs="Times New Roman"/>
                <w:bCs/>
                <w:sz w:val="24"/>
                <w:szCs w:val="24"/>
                <w:lang w:val="lv-LV"/>
              </w:rPr>
              <w:t>ok</w:t>
            </w:r>
            <w:r w:rsidR="00F42A7D" w:rsidRPr="006E3512">
              <w:rPr>
                <w:rFonts w:cs="Times New Roman"/>
                <w:bCs/>
                <w:sz w:val="24"/>
                <w:szCs w:val="24"/>
                <w:lang w:val="lv-LV"/>
              </w:rPr>
              <w:t>to</w:t>
            </w:r>
            <w:r w:rsidR="00560FD2" w:rsidRPr="006E3512">
              <w:rPr>
                <w:rFonts w:cs="Times New Roman"/>
                <w:bCs/>
                <w:sz w:val="24"/>
                <w:szCs w:val="24"/>
                <w:lang w:val="lv-LV"/>
              </w:rPr>
              <w:t>bra noteikumos Nr.</w:t>
            </w:r>
            <w:r w:rsidR="00C959B8" w:rsidRPr="006E3512">
              <w:rPr>
                <w:rFonts w:cs="Times New Roman"/>
                <w:bCs/>
                <w:sz w:val="24"/>
                <w:szCs w:val="24"/>
                <w:lang w:val="lv-LV"/>
              </w:rPr>
              <w:t> </w:t>
            </w:r>
            <w:r w:rsidR="007C0D6E">
              <w:rPr>
                <w:rFonts w:cs="Times New Roman"/>
                <w:bCs/>
                <w:sz w:val="24"/>
                <w:szCs w:val="24"/>
                <w:lang w:val="lv-LV"/>
              </w:rPr>
              <w:t>478</w:t>
            </w:r>
            <w:r w:rsidR="00560FD2" w:rsidRPr="006E3512">
              <w:rPr>
                <w:rFonts w:cs="Times New Roman"/>
                <w:bCs/>
                <w:sz w:val="24"/>
                <w:szCs w:val="24"/>
                <w:lang w:val="lv-LV"/>
              </w:rPr>
              <w:t xml:space="preserve"> </w:t>
            </w:r>
            <w:r w:rsidR="00DF31DD" w:rsidRPr="006E3512">
              <w:rPr>
                <w:rFonts w:cs="Times New Roman"/>
                <w:sz w:val="24"/>
                <w:szCs w:val="24"/>
                <w:lang w:val="lv-LV" w:eastAsia="lv-LV" w:bidi="ar-SA"/>
              </w:rPr>
              <w:t>„</w:t>
            </w:r>
            <w:r w:rsidR="00560FD2" w:rsidRPr="006E3512">
              <w:rPr>
                <w:rFonts w:cs="Times New Roman"/>
                <w:bCs/>
                <w:sz w:val="24"/>
                <w:szCs w:val="24"/>
                <w:lang w:val="lv-LV"/>
              </w:rPr>
              <w:t>Kārtība, kādā aizpildāmas, iesniedzamas, reģistrējamas un glabājamas valsts amatpersonu deklarācijas un aizpildāmi un iesniedzami valsts amatpersonu saraksti”</w:t>
            </w:r>
            <w:r w:rsidR="00C959B8" w:rsidRPr="006E3512">
              <w:rPr>
                <w:rFonts w:cs="Times New Roman"/>
                <w:bCs/>
                <w:sz w:val="24"/>
                <w:szCs w:val="24"/>
                <w:lang w:val="lv-LV"/>
              </w:rPr>
              <w:t>.</w:t>
            </w:r>
          </w:p>
        </w:tc>
      </w:tr>
      <w:tr w:rsidR="009B1A03" w:rsidRPr="00F04BE3" w:rsidTr="009B1A03">
        <w:trPr>
          <w:gridBefore w:val="3"/>
          <w:wBefore w:w="297" w:type="pct"/>
          <w:trHeight w:val="372"/>
        </w:trPr>
        <w:tc>
          <w:tcPr>
            <w:tcW w:w="363"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jc w:val="center"/>
              <w:rPr>
                <w:rFonts w:cs="Times New Roman"/>
                <w:sz w:val="24"/>
                <w:szCs w:val="24"/>
                <w:lang w:val="lv-LV" w:eastAsia="lv-LV" w:bidi="ar-SA"/>
              </w:rPr>
            </w:pPr>
            <w:r w:rsidRPr="006E3512">
              <w:rPr>
                <w:rFonts w:cs="Times New Roman"/>
                <w:sz w:val="24"/>
                <w:szCs w:val="24"/>
                <w:lang w:val="lv-LV" w:eastAsia="lv-LV" w:bidi="ar-SA"/>
              </w:rPr>
              <w:t>2.</w:t>
            </w:r>
          </w:p>
        </w:tc>
        <w:tc>
          <w:tcPr>
            <w:tcW w:w="940"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Pašreizējā situācija un problēmas, kuru risināšanai tiesību akta projekts izstrādāts, tiesiskā regulējuma mērķis un būtība</w:t>
            </w:r>
          </w:p>
        </w:tc>
        <w:tc>
          <w:tcPr>
            <w:tcW w:w="3400" w:type="pct"/>
            <w:gridSpan w:val="6"/>
            <w:tcBorders>
              <w:top w:val="outset" w:sz="6" w:space="0" w:color="414142"/>
              <w:left w:val="outset" w:sz="6" w:space="0" w:color="414142"/>
              <w:bottom w:val="outset" w:sz="6" w:space="0" w:color="414142"/>
              <w:right w:val="outset" w:sz="6" w:space="0" w:color="414142"/>
            </w:tcBorders>
            <w:hideMark/>
          </w:tcPr>
          <w:p w:rsidR="00054B8D" w:rsidRPr="006E3512" w:rsidRDefault="00E80D23" w:rsidP="00FE0122">
            <w:pPr>
              <w:ind w:right="184" w:firstLine="500"/>
              <w:jc w:val="both"/>
              <w:rPr>
                <w:rFonts w:cs="Times New Roman"/>
                <w:sz w:val="24"/>
                <w:szCs w:val="24"/>
                <w:lang w:val="lv-LV" w:eastAsia="lv-LV" w:bidi="ar-SA"/>
              </w:rPr>
            </w:pPr>
            <w:r w:rsidRPr="006E3512">
              <w:rPr>
                <w:rFonts w:cs="Times New Roman"/>
                <w:sz w:val="24"/>
                <w:szCs w:val="24"/>
                <w:lang w:val="lv-LV" w:eastAsia="lv-LV" w:bidi="ar-SA"/>
              </w:rPr>
              <w:t>Saskaņā ar likuma „Par interešu konflikta novēršanu valsts amatpersonu darbībā” 4.</w:t>
            </w:r>
            <w:r w:rsidR="00C959B8" w:rsidRPr="006E3512">
              <w:rPr>
                <w:rFonts w:cs="Times New Roman"/>
                <w:sz w:val="24"/>
                <w:szCs w:val="24"/>
                <w:lang w:val="lv-LV" w:eastAsia="lv-LV" w:bidi="ar-SA"/>
              </w:rPr>
              <w:t> </w:t>
            </w:r>
            <w:r w:rsidRPr="006E3512">
              <w:rPr>
                <w:rFonts w:cs="Times New Roman"/>
                <w:sz w:val="24"/>
                <w:szCs w:val="24"/>
                <w:lang w:val="lv-LV" w:eastAsia="lv-LV" w:bidi="ar-SA"/>
              </w:rPr>
              <w:t>panta pirmās daļas 22.</w:t>
            </w:r>
            <w:r w:rsidR="00C959B8" w:rsidRPr="006E3512">
              <w:rPr>
                <w:rFonts w:cs="Times New Roman"/>
                <w:sz w:val="24"/>
                <w:szCs w:val="24"/>
                <w:lang w:val="lv-LV" w:eastAsia="lv-LV" w:bidi="ar-SA"/>
              </w:rPr>
              <w:t> </w:t>
            </w:r>
            <w:r w:rsidRPr="006E3512">
              <w:rPr>
                <w:rFonts w:cs="Times New Roman"/>
                <w:sz w:val="24"/>
                <w:szCs w:val="24"/>
                <w:lang w:val="lv-LV" w:eastAsia="lv-LV" w:bidi="ar-SA"/>
              </w:rPr>
              <w:t>punktu Nacionālo bruņoto spēku prof</w:t>
            </w:r>
            <w:r w:rsidR="00373551" w:rsidRPr="006E3512">
              <w:rPr>
                <w:rFonts w:cs="Times New Roman"/>
                <w:sz w:val="24"/>
                <w:szCs w:val="24"/>
                <w:lang w:val="lv-LV" w:eastAsia="lv-LV" w:bidi="ar-SA"/>
              </w:rPr>
              <w:t>esionālā dienesta karavīrs ir valsts amatpersona</w:t>
            </w:r>
            <w:r w:rsidR="0016504C" w:rsidRPr="006E3512">
              <w:rPr>
                <w:rFonts w:cs="Times New Roman"/>
                <w:sz w:val="24"/>
                <w:szCs w:val="24"/>
                <w:lang w:val="lv-LV" w:eastAsia="lv-LV" w:bidi="ar-SA"/>
              </w:rPr>
              <w:t>,</w:t>
            </w:r>
            <w:r w:rsidR="00373551" w:rsidRPr="006E3512">
              <w:rPr>
                <w:rFonts w:cs="Times New Roman"/>
                <w:sz w:val="24"/>
                <w:szCs w:val="24"/>
                <w:lang w:val="lv-LV" w:eastAsia="lv-LV" w:bidi="ar-SA"/>
              </w:rPr>
              <w:t xml:space="preserve"> uz kuru ir attiecināmi likumā noteiktie pienākumi, t.sk. valsts amatpersonas deklarācijas iesniegšana.</w:t>
            </w:r>
          </w:p>
          <w:p w:rsidR="00373551" w:rsidRPr="006E3512" w:rsidRDefault="00373551" w:rsidP="00FE0122">
            <w:pPr>
              <w:ind w:right="184" w:firstLine="500"/>
              <w:jc w:val="both"/>
              <w:rPr>
                <w:rFonts w:cs="Times New Roman"/>
                <w:bCs/>
                <w:sz w:val="24"/>
                <w:szCs w:val="24"/>
                <w:lang w:val="lv-LV"/>
              </w:rPr>
            </w:pPr>
            <w:r w:rsidRPr="006E3512">
              <w:rPr>
                <w:rFonts w:cs="Times New Roman"/>
                <w:sz w:val="24"/>
                <w:szCs w:val="24"/>
                <w:lang w:val="lv-LV" w:eastAsia="lv-LV" w:bidi="ar-SA"/>
              </w:rPr>
              <w:t xml:space="preserve">Atbilstoši </w:t>
            </w:r>
            <w:r w:rsidRPr="006E3512">
              <w:rPr>
                <w:rFonts w:cs="Times New Roman"/>
                <w:bCs/>
                <w:sz w:val="24"/>
                <w:szCs w:val="24"/>
                <w:lang w:val="lv-LV"/>
              </w:rPr>
              <w:t>Ministru kabineta</w:t>
            </w:r>
            <w:r w:rsidR="00367909" w:rsidRPr="006E3512">
              <w:rPr>
                <w:rFonts w:cs="Times New Roman"/>
                <w:bCs/>
                <w:sz w:val="24"/>
                <w:szCs w:val="24"/>
                <w:lang w:val="lv-LV"/>
              </w:rPr>
              <w:t xml:space="preserve"> 2002.</w:t>
            </w:r>
            <w:r w:rsidR="00C959B8" w:rsidRPr="006E3512">
              <w:rPr>
                <w:rFonts w:cs="Times New Roman"/>
                <w:bCs/>
                <w:sz w:val="24"/>
                <w:szCs w:val="24"/>
                <w:lang w:val="lv-LV"/>
              </w:rPr>
              <w:t> </w:t>
            </w:r>
            <w:r w:rsidR="00367909" w:rsidRPr="006E3512">
              <w:rPr>
                <w:rFonts w:cs="Times New Roman"/>
                <w:bCs/>
                <w:sz w:val="24"/>
                <w:szCs w:val="24"/>
                <w:lang w:val="lv-LV"/>
              </w:rPr>
              <w:t>gada 22.</w:t>
            </w:r>
            <w:r w:rsidR="00C959B8" w:rsidRPr="006E3512">
              <w:rPr>
                <w:rFonts w:cs="Times New Roman"/>
                <w:bCs/>
                <w:sz w:val="24"/>
                <w:szCs w:val="24"/>
                <w:lang w:val="lv-LV"/>
              </w:rPr>
              <w:t> </w:t>
            </w:r>
            <w:r w:rsidR="00367909" w:rsidRPr="006E3512">
              <w:rPr>
                <w:rFonts w:cs="Times New Roman"/>
                <w:bCs/>
                <w:sz w:val="24"/>
                <w:szCs w:val="24"/>
                <w:lang w:val="lv-LV"/>
              </w:rPr>
              <w:t>ok</w:t>
            </w:r>
            <w:r w:rsidR="00665869" w:rsidRPr="006E3512">
              <w:rPr>
                <w:rFonts w:cs="Times New Roman"/>
                <w:bCs/>
                <w:sz w:val="24"/>
                <w:szCs w:val="24"/>
                <w:lang w:val="lv-LV"/>
              </w:rPr>
              <w:t>t</w:t>
            </w:r>
            <w:r w:rsidR="00367909" w:rsidRPr="006E3512">
              <w:rPr>
                <w:rFonts w:cs="Times New Roman"/>
                <w:bCs/>
                <w:sz w:val="24"/>
                <w:szCs w:val="24"/>
                <w:lang w:val="lv-LV"/>
              </w:rPr>
              <w:t>o</w:t>
            </w:r>
            <w:r w:rsidR="00665869" w:rsidRPr="006E3512">
              <w:rPr>
                <w:rFonts w:cs="Times New Roman"/>
                <w:bCs/>
                <w:sz w:val="24"/>
                <w:szCs w:val="24"/>
                <w:lang w:val="lv-LV"/>
              </w:rPr>
              <w:t>bra noteikumu</w:t>
            </w:r>
            <w:r w:rsidRPr="006E3512">
              <w:rPr>
                <w:rFonts w:cs="Times New Roman"/>
                <w:bCs/>
                <w:sz w:val="24"/>
                <w:szCs w:val="24"/>
                <w:lang w:val="lv-LV"/>
              </w:rPr>
              <w:t xml:space="preserve"> Nr.</w:t>
            </w:r>
            <w:r w:rsidR="00C959B8" w:rsidRPr="006E3512">
              <w:rPr>
                <w:rFonts w:cs="Times New Roman"/>
                <w:bCs/>
                <w:sz w:val="24"/>
                <w:szCs w:val="24"/>
                <w:lang w:val="lv-LV"/>
              </w:rPr>
              <w:t> </w:t>
            </w:r>
            <w:r w:rsidR="006E3512">
              <w:rPr>
                <w:rFonts w:cs="Times New Roman"/>
                <w:bCs/>
                <w:sz w:val="24"/>
                <w:szCs w:val="24"/>
                <w:lang w:val="lv-LV"/>
              </w:rPr>
              <w:t>4</w:t>
            </w:r>
            <w:r w:rsidRPr="006E3512">
              <w:rPr>
                <w:rFonts w:cs="Times New Roman"/>
                <w:bCs/>
                <w:sz w:val="24"/>
                <w:szCs w:val="24"/>
                <w:lang w:val="lv-LV"/>
              </w:rPr>
              <w:t>7</w:t>
            </w:r>
            <w:r w:rsidR="006E3512">
              <w:rPr>
                <w:rFonts w:cs="Times New Roman"/>
                <w:bCs/>
                <w:sz w:val="24"/>
                <w:szCs w:val="24"/>
                <w:lang w:val="lv-LV"/>
              </w:rPr>
              <w:t>8</w:t>
            </w:r>
            <w:r w:rsidRPr="006E3512">
              <w:rPr>
                <w:rFonts w:cs="Times New Roman"/>
                <w:bCs/>
                <w:sz w:val="24"/>
                <w:szCs w:val="24"/>
                <w:lang w:val="lv-LV"/>
              </w:rPr>
              <w:t xml:space="preserve"> </w:t>
            </w:r>
            <w:r w:rsidR="00DF31DD" w:rsidRPr="006E3512">
              <w:rPr>
                <w:rFonts w:cs="Times New Roman"/>
                <w:sz w:val="24"/>
                <w:szCs w:val="24"/>
                <w:lang w:val="lv-LV" w:eastAsia="lv-LV" w:bidi="ar-SA"/>
              </w:rPr>
              <w:t>„</w:t>
            </w:r>
            <w:r w:rsidRPr="006E3512">
              <w:rPr>
                <w:rFonts w:cs="Times New Roman"/>
                <w:bCs/>
                <w:sz w:val="24"/>
                <w:szCs w:val="24"/>
                <w:lang w:val="lv-LV"/>
              </w:rPr>
              <w:t>Kārtība, kādā aizpildāmas, iesniedzamas, reģistrējamas un glabājamas valsts amatpersonu deklarācijas un aizpildāmi un iesniedzami valsts amatpersonu saraksti” 3.1.</w:t>
            </w:r>
            <w:r w:rsidR="00C959B8" w:rsidRPr="006E3512">
              <w:rPr>
                <w:rFonts w:cs="Times New Roman"/>
                <w:bCs/>
                <w:sz w:val="24"/>
                <w:szCs w:val="24"/>
                <w:lang w:val="lv-LV"/>
              </w:rPr>
              <w:t> </w:t>
            </w:r>
            <w:r w:rsidR="00BE2147" w:rsidRPr="006E3512">
              <w:rPr>
                <w:rFonts w:cs="Times New Roman"/>
                <w:bCs/>
                <w:sz w:val="24"/>
                <w:szCs w:val="24"/>
                <w:lang w:val="lv-LV"/>
              </w:rPr>
              <w:t>apakš</w:t>
            </w:r>
            <w:r w:rsidRPr="006E3512">
              <w:rPr>
                <w:rFonts w:cs="Times New Roman"/>
                <w:bCs/>
                <w:sz w:val="24"/>
                <w:szCs w:val="24"/>
                <w:lang w:val="lv-LV"/>
              </w:rPr>
              <w:t>punktam valsts amatpersona, aizpildot deklarāciju, norāda savu vārdu, uzvārdu, kā arī pilnu darb</w:t>
            </w:r>
            <w:r w:rsidR="00C959B8" w:rsidRPr="006E3512">
              <w:rPr>
                <w:rFonts w:cs="Times New Roman"/>
                <w:bCs/>
                <w:sz w:val="24"/>
                <w:szCs w:val="24"/>
                <w:lang w:val="lv-LV"/>
              </w:rPr>
              <w:t>a</w:t>
            </w:r>
            <w:r w:rsidRPr="006E3512">
              <w:rPr>
                <w:rFonts w:cs="Times New Roman"/>
                <w:bCs/>
                <w:sz w:val="24"/>
                <w:szCs w:val="24"/>
                <w:lang w:val="lv-LV"/>
              </w:rPr>
              <w:t>vietas un valsts amatpersonas amata nosaukumu. Saskaņā ar Militārā dienesta likuma 22.</w:t>
            </w:r>
            <w:r w:rsidR="00C959B8" w:rsidRPr="006E3512">
              <w:rPr>
                <w:rFonts w:cs="Times New Roman"/>
                <w:bCs/>
                <w:sz w:val="24"/>
                <w:szCs w:val="24"/>
                <w:lang w:val="lv-LV"/>
              </w:rPr>
              <w:t> </w:t>
            </w:r>
            <w:r w:rsidRPr="006E3512">
              <w:rPr>
                <w:rFonts w:cs="Times New Roman"/>
                <w:bCs/>
                <w:sz w:val="24"/>
                <w:szCs w:val="24"/>
                <w:lang w:val="lv-LV"/>
              </w:rPr>
              <w:t>panta otro daļu virsnieku (izņemot augstāko), instruktoru un kareivju dienesta pakāpēm atbilstošu amat</w:t>
            </w:r>
            <w:r w:rsidR="00C959B8" w:rsidRPr="006E3512">
              <w:rPr>
                <w:rFonts w:cs="Times New Roman"/>
                <w:bCs/>
                <w:sz w:val="24"/>
                <w:szCs w:val="24"/>
                <w:lang w:val="lv-LV"/>
              </w:rPr>
              <w:t>u</w:t>
            </w:r>
            <w:r w:rsidRPr="006E3512">
              <w:rPr>
                <w:rFonts w:cs="Times New Roman"/>
                <w:bCs/>
                <w:sz w:val="24"/>
                <w:szCs w:val="24"/>
                <w:lang w:val="lv-LV"/>
              </w:rPr>
              <w:t xml:space="preserve"> sarakstu, kā arī vienību štatus apstiprina Nacionālo bruņoto spēku komandieris aizsardzības ministra noteiktajā kārtībā.</w:t>
            </w:r>
          </w:p>
          <w:p w:rsidR="00BE2147" w:rsidRPr="006E3512" w:rsidRDefault="00373551" w:rsidP="00FE0122">
            <w:pPr>
              <w:ind w:right="184" w:firstLine="500"/>
              <w:jc w:val="both"/>
              <w:rPr>
                <w:rFonts w:cs="Times New Roman"/>
                <w:sz w:val="24"/>
                <w:szCs w:val="24"/>
                <w:u w:val="single"/>
                <w:lang w:val="lv-LV" w:eastAsia="lv-LV" w:bidi="ar-SA"/>
              </w:rPr>
            </w:pPr>
            <w:r w:rsidRPr="006E3512">
              <w:rPr>
                <w:rFonts w:cs="Times New Roman"/>
                <w:sz w:val="24"/>
                <w:szCs w:val="24"/>
                <w:lang w:val="lv-LV" w:eastAsia="lv-LV" w:bidi="ar-SA"/>
              </w:rPr>
              <w:t xml:space="preserve">Saskaņā ar likuma </w:t>
            </w:r>
            <w:r w:rsidR="00DF31DD" w:rsidRPr="006E3512">
              <w:rPr>
                <w:rFonts w:cs="Times New Roman"/>
                <w:sz w:val="24"/>
                <w:szCs w:val="24"/>
                <w:lang w:val="lv-LV" w:eastAsia="lv-LV" w:bidi="ar-SA"/>
              </w:rPr>
              <w:t>„</w:t>
            </w:r>
            <w:r w:rsidRPr="006E3512">
              <w:rPr>
                <w:rFonts w:cs="Times New Roman"/>
                <w:sz w:val="24"/>
                <w:szCs w:val="24"/>
                <w:lang w:val="lv-LV" w:eastAsia="lv-LV" w:bidi="ar-SA"/>
              </w:rPr>
              <w:t>Par valsts noslēpumu”</w:t>
            </w:r>
            <w:r w:rsidR="00FB40CD" w:rsidRPr="006E3512">
              <w:rPr>
                <w:rFonts w:cs="Times New Roman"/>
                <w:sz w:val="24"/>
                <w:szCs w:val="24"/>
                <w:lang w:val="lv-LV" w:eastAsia="lv-LV" w:bidi="ar-SA"/>
              </w:rPr>
              <w:t xml:space="preserve"> </w:t>
            </w:r>
            <w:r w:rsidRPr="006E3512">
              <w:rPr>
                <w:rFonts w:cs="Times New Roman"/>
                <w:sz w:val="24"/>
                <w:szCs w:val="24"/>
                <w:lang w:val="lv-LV" w:eastAsia="lv-LV" w:bidi="ar-SA"/>
              </w:rPr>
              <w:t>4.</w:t>
            </w:r>
            <w:r w:rsidR="00B92B3C" w:rsidRPr="006E3512">
              <w:rPr>
                <w:rFonts w:cs="Times New Roman"/>
                <w:sz w:val="24"/>
                <w:szCs w:val="24"/>
                <w:lang w:val="lv-LV" w:eastAsia="lv-LV" w:bidi="ar-SA"/>
              </w:rPr>
              <w:t> </w:t>
            </w:r>
            <w:r w:rsidRPr="006E3512">
              <w:rPr>
                <w:rFonts w:cs="Times New Roman"/>
                <w:sz w:val="24"/>
                <w:szCs w:val="24"/>
                <w:lang w:val="lv-LV" w:eastAsia="lv-LV" w:bidi="ar-SA"/>
              </w:rPr>
              <w:t>panta otro daļu par valsts noslēpumu var atzīt informāciju par valsts militāro pot</w:t>
            </w:r>
            <w:r w:rsidR="00A22BBC">
              <w:rPr>
                <w:rFonts w:cs="Times New Roman"/>
                <w:sz w:val="24"/>
                <w:szCs w:val="24"/>
                <w:lang w:val="lv-LV" w:eastAsia="lv-LV" w:bidi="ar-SA"/>
              </w:rPr>
              <w:t>enciālu. Kaut gan karavīra amats un vienība, kurā viņš dien, nav klasificēta informācija</w:t>
            </w:r>
            <w:r w:rsidRPr="006E3512">
              <w:rPr>
                <w:rFonts w:cs="Times New Roman"/>
                <w:sz w:val="24"/>
                <w:szCs w:val="24"/>
                <w:lang w:val="lv-LV" w:eastAsia="lv-LV" w:bidi="ar-SA"/>
              </w:rPr>
              <w:t>, tomēr</w:t>
            </w:r>
            <w:r w:rsidR="00BE2147" w:rsidRPr="006E3512">
              <w:rPr>
                <w:rFonts w:cs="Times New Roman"/>
                <w:sz w:val="24"/>
                <w:szCs w:val="24"/>
                <w:lang w:val="lv-LV" w:eastAsia="lv-LV" w:bidi="ar-SA"/>
              </w:rPr>
              <w:t>,</w:t>
            </w:r>
            <w:r w:rsidRPr="006E3512">
              <w:rPr>
                <w:rFonts w:cs="Times New Roman"/>
                <w:sz w:val="24"/>
                <w:szCs w:val="24"/>
                <w:lang w:val="lv-LV" w:eastAsia="lv-LV" w:bidi="ar-SA"/>
              </w:rPr>
              <w:t xml:space="preserve"> ņemot vērā </w:t>
            </w:r>
            <w:r w:rsidR="00DF31DD" w:rsidRPr="006E3512">
              <w:rPr>
                <w:rFonts w:cs="Times New Roman"/>
                <w:sz w:val="24"/>
                <w:szCs w:val="24"/>
                <w:lang w:val="lv-LV" w:eastAsia="lv-LV" w:bidi="ar-SA"/>
              </w:rPr>
              <w:t xml:space="preserve">Nacionālo </w:t>
            </w:r>
            <w:r w:rsidRPr="006E3512">
              <w:rPr>
                <w:rFonts w:cs="Times New Roman"/>
                <w:sz w:val="24"/>
                <w:szCs w:val="24"/>
                <w:lang w:val="lv-LV" w:eastAsia="lv-LV" w:bidi="ar-SA"/>
              </w:rPr>
              <w:t>bruņoto spēku vienību standartizēt</w:t>
            </w:r>
            <w:r w:rsidR="00B92B3C" w:rsidRPr="006E3512">
              <w:rPr>
                <w:rFonts w:cs="Times New Roman"/>
                <w:sz w:val="24"/>
                <w:szCs w:val="24"/>
                <w:lang w:val="lv-LV" w:eastAsia="lv-LV" w:bidi="ar-SA"/>
              </w:rPr>
              <w:t>o</w:t>
            </w:r>
            <w:r w:rsidRPr="006E3512">
              <w:rPr>
                <w:rFonts w:cs="Times New Roman"/>
                <w:sz w:val="24"/>
                <w:szCs w:val="24"/>
                <w:lang w:val="lv-LV" w:eastAsia="lv-LV" w:bidi="ar-SA"/>
              </w:rPr>
              <w:t xml:space="preserve"> struktūru, </w:t>
            </w:r>
            <w:r w:rsidR="0071066D" w:rsidRPr="006E3512">
              <w:rPr>
                <w:rFonts w:cs="Times New Roman"/>
                <w:sz w:val="24"/>
                <w:szCs w:val="24"/>
                <w:lang w:val="lv-LV" w:eastAsia="lv-LV" w:bidi="ar-SA"/>
              </w:rPr>
              <w:t xml:space="preserve">publicējot valsts amatpersonas deklarācijas publiskajā daļā pilnu Nacionālo bruņoto spēku profesionālā dienesta karavīra amatu un vienību, kurā viņš pilda dienestu, var pastarpināti iegūt visaptverošu informāciju par Nacionālo bruņoto spēku kaujas spējām un kaujas gatavību, kas saistīta ar valsts drošību, </w:t>
            </w:r>
            <w:r w:rsidRPr="006E3512">
              <w:rPr>
                <w:rFonts w:cs="Times New Roman"/>
                <w:sz w:val="24"/>
                <w:szCs w:val="24"/>
                <w:lang w:val="lv-LV" w:eastAsia="lv-LV" w:bidi="ar-SA"/>
              </w:rPr>
              <w:t>savukārt atbilstoši Ministru kabineta 2004.</w:t>
            </w:r>
            <w:r w:rsidR="00B92B3C" w:rsidRPr="006E3512">
              <w:rPr>
                <w:rFonts w:cs="Times New Roman"/>
                <w:sz w:val="24"/>
                <w:szCs w:val="24"/>
                <w:lang w:val="lv-LV" w:eastAsia="lv-LV" w:bidi="ar-SA"/>
              </w:rPr>
              <w:t> </w:t>
            </w:r>
            <w:r w:rsidRPr="006E3512">
              <w:rPr>
                <w:rFonts w:cs="Times New Roman"/>
                <w:sz w:val="24"/>
                <w:szCs w:val="24"/>
                <w:lang w:val="lv-LV" w:eastAsia="lv-LV" w:bidi="ar-SA"/>
              </w:rPr>
              <w:t>gada 26.</w:t>
            </w:r>
            <w:r w:rsidR="00B92B3C" w:rsidRPr="006E3512">
              <w:rPr>
                <w:rFonts w:cs="Times New Roman"/>
                <w:sz w:val="24"/>
                <w:szCs w:val="24"/>
                <w:lang w:val="lv-LV" w:eastAsia="lv-LV" w:bidi="ar-SA"/>
              </w:rPr>
              <w:t> </w:t>
            </w:r>
            <w:r w:rsidRPr="006E3512">
              <w:rPr>
                <w:rFonts w:cs="Times New Roman"/>
                <w:sz w:val="24"/>
                <w:szCs w:val="24"/>
                <w:lang w:val="lv-LV" w:eastAsia="lv-LV" w:bidi="ar-SA"/>
              </w:rPr>
              <w:t>oktobra noteikumiem Nr.</w:t>
            </w:r>
            <w:r w:rsidR="00B92B3C" w:rsidRPr="006E3512">
              <w:rPr>
                <w:rFonts w:cs="Times New Roman"/>
                <w:sz w:val="24"/>
                <w:szCs w:val="24"/>
                <w:lang w:val="lv-LV" w:eastAsia="lv-LV" w:bidi="ar-SA"/>
              </w:rPr>
              <w:t> </w:t>
            </w:r>
            <w:r w:rsidRPr="006E3512">
              <w:rPr>
                <w:rFonts w:cs="Times New Roman"/>
                <w:sz w:val="24"/>
                <w:szCs w:val="24"/>
                <w:lang w:val="lv-LV" w:eastAsia="lv-LV" w:bidi="ar-SA"/>
              </w:rPr>
              <w:t xml:space="preserve">887 </w:t>
            </w:r>
            <w:r w:rsidR="00DF31DD" w:rsidRPr="006E3512">
              <w:rPr>
                <w:rFonts w:cs="Times New Roman"/>
                <w:sz w:val="24"/>
                <w:szCs w:val="24"/>
                <w:lang w:val="lv-LV" w:eastAsia="lv-LV" w:bidi="ar-SA"/>
              </w:rPr>
              <w:t>„</w:t>
            </w:r>
            <w:r w:rsidRPr="006E3512">
              <w:rPr>
                <w:rFonts w:cs="Times New Roman"/>
                <w:sz w:val="24"/>
                <w:szCs w:val="24"/>
                <w:lang w:val="lv-LV" w:eastAsia="lv-LV" w:bidi="ar-SA"/>
              </w:rPr>
              <w:t xml:space="preserve">Valsts noslēpuma objektu saraksts” </w:t>
            </w:r>
            <w:r w:rsidR="00B92B3C" w:rsidRPr="006E3512">
              <w:rPr>
                <w:rFonts w:cs="Times New Roman"/>
                <w:sz w:val="24"/>
                <w:szCs w:val="24"/>
                <w:lang w:val="lv-LV" w:eastAsia="lv-LV" w:bidi="ar-SA"/>
              </w:rPr>
              <w:t xml:space="preserve">šāda informācija </w:t>
            </w:r>
            <w:r w:rsidRPr="006E3512">
              <w:rPr>
                <w:rFonts w:cs="Times New Roman"/>
                <w:sz w:val="24"/>
                <w:szCs w:val="24"/>
                <w:lang w:val="lv-LV" w:eastAsia="lv-LV" w:bidi="ar-SA"/>
              </w:rPr>
              <w:t>ir</w:t>
            </w:r>
            <w:r w:rsidR="0071066D" w:rsidRPr="006E3512">
              <w:rPr>
                <w:rFonts w:cs="Times New Roman"/>
                <w:sz w:val="24"/>
                <w:szCs w:val="24"/>
                <w:lang w:val="lv-LV" w:eastAsia="lv-LV" w:bidi="ar-SA"/>
              </w:rPr>
              <w:t xml:space="preserve"> uzskatāma par valsts noslēpumu. </w:t>
            </w:r>
            <w:r w:rsidR="00EA3551" w:rsidRPr="006E3512">
              <w:rPr>
                <w:rFonts w:cs="Times New Roman"/>
                <w:sz w:val="24"/>
                <w:szCs w:val="24"/>
                <w:lang w:val="lv-LV" w:eastAsia="lv-LV" w:bidi="ar-SA"/>
              </w:rPr>
              <w:t>Informācij</w:t>
            </w:r>
            <w:r w:rsidR="00C959B8" w:rsidRPr="006E3512">
              <w:rPr>
                <w:rFonts w:cs="Times New Roman"/>
                <w:sz w:val="24"/>
                <w:szCs w:val="24"/>
                <w:lang w:val="lv-LV" w:eastAsia="lv-LV" w:bidi="ar-SA"/>
              </w:rPr>
              <w:t>a</w:t>
            </w:r>
            <w:r w:rsidR="00EA3551" w:rsidRPr="006E3512">
              <w:rPr>
                <w:rFonts w:cs="Times New Roman"/>
                <w:sz w:val="24"/>
                <w:szCs w:val="24"/>
                <w:lang w:val="lv-LV" w:eastAsia="lv-LV" w:bidi="ar-SA"/>
              </w:rPr>
              <w:t>, kas saistīta ar valsts drošību</w:t>
            </w:r>
            <w:r w:rsidR="00C959B8" w:rsidRPr="006E3512">
              <w:rPr>
                <w:rFonts w:cs="Times New Roman"/>
                <w:sz w:val="24"/>
                <w:szCs w:val="24"/>
                <w:lang w:val="lv-LV" w:eastAsia="lv-LV" w:bidi="ar-SA"/>
              </w:rPr>
              <w:t>,</w:t>
            </w:r>
            <w:r w:rsidR="00EA3551" w:rsidRPr="006E3512">
              <w:rPr>
                <w:rFonts w:cs="Times New Roman"/>
                <w:sz w:val="24"/>
                <w:szCs w:val="24"/>
                <w:lang w:val="lv-LV" w:eastAsia="lv-LV" w:bidi="ar-SA"/>
              </w:rPr>
              <w:t xml:space="preserve"> ir aizsargājama arī saskaņā ar Informācijas atklātības likuma 8.¹</w:t>
            </w:r>
            <w:r w:rsidR="00C959B8" w:rsidRPr="006E3512">
              <w:rPr>
                <w:rFonts w:cs="Times New Roman"/>
                <w:sz w:val="24"/>
                <w:szCs w:val="24"/>
                <w:lang w:val="lv-LV" w:eastAsia="lv-LV" w:bidi="ar-SA"/>
              </w:rPr>
              <w:t> </w:t>
            </w:r>
            <w:r w:rsidR="00EA3551" w:rsidRPr="006E3512">
              <w:rPr>
                <w:rFonts w:cs="Times New Roman"/>
                <w:sz w:val="24"/>
                <w:szCs w:val="24"/>
                <w:lang w:val="lv-LV" w:eastAsia="lv-LV" w:bidi="ar-SA"/>
              </w:rPr>
              <w:t>panta pirmo daļu.</w:t>
            </w:r>
            <w:r w:rsidR="0050644A" w:rsidRPr="006E3512">
              <w:rPr>
                <w:rFonts w:cs="Times New Roman"/>
                <w:sz w:val="24"/>
                <w:szCs w:val="24"/>
                <w:lang w:val="lv-LV" w:eastAsia="lv-LV" w:bidi="ar-SA"/>
              </w:rPr>
              <w:t xml:space="preserve"> </w:t>
            </w:r>
            <w:r w:rsidR="0022067D" w:rsidRPr="006E3512">
              <w:rPr>
                <w:rFonts w:cs="Times New Roman"/>
                <w:sz w:val="24"/>
                <w:szCs w:val="24"/>
                <w:lang w:val="lv-LV" w:eastAsia="lv-LV" w:bidi="ar-SA"/>
              </w:rPr>
              <w:t>P</w:t>
            </w:r>
            <w:r w:rsidR="00EA3551" w:rsidRPr="006E3512">
              <w:rPr>
                <w:rFonts w:cs="Times New Roman"/>
                <w:sz w:val="24"/>
                <w:szCs w:val="24"/>
                <w:lang w:val="lv-LV"/>
              </w:rPr>
              <w:t>ēc publiskojamās informācijas iespējams aptuveni identificēt</w:t>
            </w:r>
            <w:r w:rsidR="00C959B8" w:rsidRPr="006E3512">
              <w:rPr>
                <w:rFonts w:cs="Times New Roman"/>
                <w:sz w:val="24"/>
                <w:szCs w:val="24"/>
                <w:lang w:val="lv-LV"/>
              </w:rPr>
              <w:t xml:space="preserve">, </w:t>
            </w:r>
            <w:r w:rsidR="00EA3551" w:rsidRPr="006E3512">
              <w:rPr>
                <w:rFonts w:cs="Times New Roman"/>
                <w:sz w:val="24"/>
                <w:szCs w:val="24"/>
                <w:lang w:val="lv-LV"/>
              </w:rPr>
              <w:t>kādus uzdevumus veic attiecīgais karavīrs un kāda līmeņa valsts noslēpuma objekti, NATO un ES klasificēt</w:t>
            </w:r>
            <w:r w:rsidR="00C959B8" w:rsidRPr="006E3512">
              <w:rPr>
                <w:rFonts w:cs="Times New Roman"/>
                <w:sz w:val="24"/>
                <w:szCs w:val="24"/>
                <w:lang w:val="lv-LV"/>
              </w:rPr>
              <w:t>ā</w:t>
            </w:r>
            <w:r w:rsidR="00EA3551" w:rsidRPr="006E3512">
              <w:rPr>
                <w:rFonts w:cs="Times New Roman"/>
                <w:sz w:val="24"/>
                <w:szCs w:val="24"/>
                <w:lang w:val="lv-LV"/>
              </w:rPr>
              <w:t xml:space="preserve"> informācija tam pieejam</w:t>
            </w:r>
            <w:r w:rsidR="00FB40CD" w:rsidRPr="006E3512">
              <w:rPr>
                <w:rFonts w:cs="Times New Roman"/>
                <w:sz w:val="24"/>
                <w:szCs w:val="24"/>
                <w:lang w:val="lv-LV"/>
              </w:rPr>
              <w:t>i</w:t>
            </w:r>
            <w:r w:rsidR="00EA3551" w:rsidRPr="006E3512">
              <w:rPr>
                <w:rFonts w:cs="Times New Roman"/>
                <w:sz w:val="24"/>
                <w:szCs w:val="24"/>
                <w:lang w:val="lv-LV"/>
              </w:rPr>
              <w:t>. Attiecīgi ārvalstu izlūkdienestiem ir pietiekami viegli identificēt potenciālos mērķus</w:t>
            </w:r>
            <w:r w:rsidR="00C959B8" w:rsidRPr="006E3512">
              <w:rPr>
                <w:rFonts w:cs="Times New Roman"/>
                <w:sz w:val="24"/>
                <w:szCs w:val="24"/>
                <w:lang w:val="lv-LV"/>
              </w:rPr>
              <w:t>,</w:t>
            </w:r>
            <w:r w:rsidR="00E928C2" w:rsidRPr="006E3512">
              <w:rPr>
                <w:rFonts w:cs="Times New Roman"/>
                <w:sz w:val="24"/>
                <w:szCs w:val="24"/>
                <w:lang w:val="lv-LV" w:eastAsia="lv-LV" w:bidi="ar-SA"/>
              </w:rPr>
              <w:t xml:space="preserve"> </w:t>
            </w:r>
            <w:r w:rsidR="00C959B8" w:rsidRPr="006E3512">
              <w:rPr>
                <w:rFonts w:cs="Times New Roman"/>
                <w:sz w:val="24"/>
                <w:szCs w:val="24"/>
                <w:lang w:val="lv-LV" w:eastAsia="lv-LV" w:bidi="ar-SA"/>
              </w:rPr>
              <w:t xml:space="preserve">tas </w:t>
            </w:r>
            <w:r w:rsidR="00E928C2" w:rsidRPr="006E3512">
              <w:rPr>
                <w:rFonts w:cs="Times New Roman"/>
                <w:sz w:val="24"/>
                <w:szCs w:val="24"/>
                <w:lang w:val="lv-LV" w:eastAsia="lv-LV" w:bidi="ar-SA"/>
              </w:rPr>
              <w:t>atvieglo darbības, kas vērstas pret Latvijas Republikas interesēm.</w:t>
            </w:r>
            <w:r w:rsidR="00EA3551" w:rsidRPr="006E3512">
              <w:rPr>
                <w:rFonts w:cs="Times New Roman"/>
                <w:sz w:val="24"/>
                <w:szCs w:val="24"/>
                <w:lang w:val="lv-LV"/>
              </w:rPr>
              <w:t xml:space="preserve"> Ņemot </w:t>
            </w:r>
            <w:r w:rsidR="00EA3551" w:rsidRPr="006E3512">
              <w:rPr>
                <w:rFonts w:cs="Times New Roman"/>
                <w:sz w:val="24"/>
                <w:szCs w:val="24"/>
                <w:lang w:val="lv-LV"/>
              </w:rPr>
              <w:lastRenderedPageBreak/>
              <w:t>vērā arī to, ka NBS karavīri piedalās NATO misijās reģionos, kur ir augsts terorisma līmeni</w:t>
            </w:r>
            <w:r w:rsidR="00682404">
              <w:rPr>
                <w:rFonts w:cs="Times New Roman"/>
                <w:sz w:val="24"/>
                <w:szCs w:val="24"/>
                <w:lang w:val="lv-LV"/>
              </w:rPr>
              <w:t xml:space="preserve">s, šie karavīri </w:t>
            </w:r>
            <w:r w:rsidR="00EA3551" w:rsidRPr="006E3512">
              <w:rPr>
                <w:rFonts w:cs="Times New Roman"/>
                <w:sz w:val="24"/>
                <w:szCs w:val="24"/>
                <w:lang w:val="lv-LV"/>
              </w:rPr>
              <w:t>var kļūt arī par teroristu mērķiem</w:t>
            </w:r>
            <w:r w:rsidR="00E928C2" w:rsidRPr="006E3512">
              <w:rPr>
                <w:rFonts w:cs="Times New Roman"/>
                <w:sz w:val="24"/>
                <w:szCs w:val="24"/>
                <w:lang w:val="lv-LV"/>
              </w:rPr>
              <w:t>.</w:t>
            </w:r>
            <w:r w:rsidR="00E928C2" w:rsidRPr="006E3512">
              <w:rPr>
                <w:rFonts w:cs="Times New Roman"/>
                <w:sz w:val="24"/>
                <w:szCs w:val="24"/>
                <w:lang w:val="lv-LV" w:eastAsia="lv-LV" w:bidi="ar-SA"/>
              </w:rPr>
              <w:t xml:space="preserve"> </w:t>
            </w:r>
          </w:p>
          <w:p w:rsidR="00EA3551" w:rsidRPr="006E3512" w:rsidRDefault="00EA3551" w:rsidP="00FE0122">
            <w:pPr>
              <w:ind w:right="184" w:firstLine="500"/>
              <w:jc w:val="both"/>
              <w:rPr>
                <w:rFonts w:cs="Times New Roman"/>
                <w:sz w:val="24"/>
                <w:szCs w:val="24"/>
                <w:lang w:val="lv-LV" w:eastAsia="lv-LV" w:bidi="ar-SA"/>
              </w:rPr>
            </w:pPr>
            <w:r w:rsidRPr="006E3512">
              <w:rPr>
                <w:rFonts w:cs="Times New Roman"/>
                <w:sz w:val="24"/>
                <w:szCs w:val="24"/>
                <w:lang w:val="lv-LV" w:eastAsia="lv-LV" w:bidi="ar-SA"/>
              </w:rPr>
              <w:t>Grozījuma mērķis</w:t>
            </w:r>
            <w:r w:rsidR="0022067D" w:rsidRPr="006E3512">
              <w:rPr>
                <w:rFonts w:cs="Times New Roman"/>
                <w:sz w:val="24"/>
                <w:szCs w:val="24"/>
                <w:lang w:val="lv-LV" w:eastAsia="lv-LV" w:bidi="ar-SA"/>
              </w:rPr>
              <w:t>,</w:t>
            </w:r>
            <w:r w:rsidRPr="006E3512">
              <w:rPr>
                <w:rFonts w:cs="Times New Roman"/>
                <w:sz w:val="24"/>
                <w:szCs w:val="24"/>
                <w:lang w:val="lv-LV" w:eastAsia="lv-LV" w:bidi="ar-SA"/>
              </w:rPr>
              <w:t xml:space="preserve"> ņ</w:t>
            </w:r>
            <w:r w:rsidR="00E80D23" w:rsidRPr="006E3512">
              <w:rPr>
                <w:rFonts w:cs="Times New Roman"/>
                <w:sz w:val="24"/>
                <w:szCs w:val="24"/>
                <w:lang w:val="lv-LV" w:eastAsia="lv-LV" w:bidi="ar-SA"/>
              </w:rPr>
              <w:t>emot vērā šī brīža ģeopolitisko situāciju</w:t>
            </w:r>
            <w:r w:rsidR="00C959B8" w:rsidRPr="006E3512">
              <w:rPr>
                <w:rFonts w:cs="Times New Roman"/>
                <w:sz w:val="24"/>
                <w:szCs w:val="24"/>
                <w:lang w:val="lv-LV" w:eastAsia="lv-LV" w:bidi="ar-SA"/>
              </w:rPr>
              <w:t>,</w:t>
            </w:r>
            <w:r w:rsidR="009E42A4" w:rsidRPr="006E3512">
              <w:rPr>
                <w:rFonts w:cs="Times New Roman"/>
                <w:sz w:val="24"/>
                <w:szCs w:val="24"/>
                <w:lang w:val="lv-LV" w:eastAsia="lv-LV" w:bidi="ar-SA"/>
              </w:rPr>
              <w:t xml:space="preserve"> ir</w:t>
            </w:r>
            <w:r w:rsidR="00CE3D26" w:rsidRPr="006E3512">
              <w:rPr>
                <w:rFonts w:cs="Times New Roman"/>
                <w:sz w:val="24"/>
                <w:szCs w:val="24"/>
                <w:lang w:val="lv-LV" w:eastAsia="lv-LV" w:bidi="ar-SA"/>
              </w:rPr>
              <w:t xml:space="preserve"> </w:t>
            </w:r>
            <w:r w:rsidR="009E42A4" w:rsidRPr="006E3512">
              <w:rPr>
                <w:rFonts w:cs="Times New Roman"/>
                <w:sz w:val="24"/>
                <w:szCs w:val="24"/>
                <w:lang w:val="lv-LV" w:eastAsia="lv-LV" w:bidi="ar-SA"/>
              </w:rPr>
              <w:t xml:space="preserve">preventīvos nolūkos novērst </w:t>
            </w:r>
            <w:r w:rsidR="0022067D" w:rsidRPr="006E3512">
              <w:rPr>
                <w:rFonts w:cs="Times New Roman"/>
                <w:sz w:val="24"/>
                <w:szCs w:val="24"/>
                <w:lang w:val="lv-LV" w:eastAsia="lv-LV" w:bidi="ar-SA"/>
              </w:rPr>
              <w:t>identificētos riskus</w:t>
            </w:r>
            <w:r w:rsidR="0022067D" w:rsidRPr="006E3512">
              <w:rPr>
                <w:rFonts w:cs="Times New Roman"/>
                <w:sz w:val="24"/>
                <w:szCs w:val="24"/>
                <w:lang w:val="lv-LV"/>
              </w:rPr>
              <w:t xml:space="preserve"> attiecībā uz valsts noslēpum</w:t>
            </w:r>
            <w:r w:rsidR="00C959B8" w:rsidRPr="006E3512">
              <w:rPr>
                <w:rFonts w:cs="Times New Roman"/>
                <w:sz w:val="24"/>
                <w:szCs w:val="24"/>
                <w:lang w:val="lv-LV"/>
              </w:rPr>
              <w:t>u</w:t>
            </w:r>
            <w:r w:rsidR="0022067D" w:rsidRPr="006E3512">
              <w:rPr>
                <w:rFonts w:cs="Times New Roman"/>
                <w:sz w:val="24"/>
                <w:szCs w:val="24"/>
                <w:lang w:val="lv-LV"/>
              </w:rPr>
              <w:t xml:space="preserve"> un pašu karavīru drošību, </w:t>
            </w:r>
            <w:r w:rsidR="0022067D" w:rsidRPr="006E3512">
              <w:rPr>
                <w:rFonts w:cs="Times New Roman"/>
                <w:sz w:val="24"/>
                <w:szCs w:val="24"/>
                <w:lang w:val="lv-LV" w:eastAsia="lv-LV" w:bidi="ar-SA"/>
              </w:rPr>
              <w:t>pirms tie iestājas un rada nelabvēlīgas sekas</w:t>
            </w:r>
            <w:r w:rsidR="009E42A4" w:rsidRPr="006E3512">
              <w:rPr>
                <w:rFonts w:cs="Times New Roman"/>
                <w:sz w:val="24"/>
                <w:szCs w:val="24"/>
                <w:lang w:val="lv-LV" w:eastAsia="lv-LV" w:bidi="ar-SA"/>
              </w:rPr>
              <w:t>, proti,</w:t>
            </w:r>
            <w:r w:rsidR="009B1A03">
              <w:rPr>
                <w:rFonts w:cs="Times New Roman"/>
                <w:sz w:val="24"/>
                <w:szCs w:val="24"/>
                <w:lang w:val="lv-LV" w:eastAsia="lv-LV" w:bidi="ar-SA"/>
              </w:rPr>
              <w:t xml:space="preserve"> ierobežot</w:t>
            </w:r>
            <w:r w:rsidR="009E42A4" w:rsidRPr="006E3512">
              <w:rPr>
                <w:rFonts w:cs="Times New Roman"/>
                <w:sz w:val="24"/>
                <w:szCs w:val="24"/>
                <w:lang w:val="lv-LV" w:eastAsia="lv-LV" w:bidi="ar-SA"/>
              </w:rPr>
              <w:t xml:space="preserve"> informācijas publicēšanu par Nacionālo bruņoto spēku profesionālā dienesta karavīriem,</w:t>
            </w:r>
            <w:r w:rsidRPr="006E3512">
              <w:rPr>
                <w:rFonts w:cs="Times New Roman"/>
                <w:sz w:val="24"/>
                <w:szCs w:val="24"/>
                <w:lang w:val="lv-LV" w:eastAsia="lv-LV" w:bidi="ar-SA"/>
              </w:rPr>
              <w:t xml:space="preserve"> </w:t>
            </w:r>
            <w:r w:rsidR="0022067D" w:rsidRPr="006E3512">
              <w:rPr>
                <w:rFonts w:cs="Times New Roman"/>
                <w:sz w:val="24"/>
                <w:szCs w:val="24"/>
                <w:lang w:val="lv-LV" w:eastAsia="lv-LV" w:bidi="ar-SA"/>
              </w:rPr>
              <w:t xml:space="preserve">bet vienlaikus nodrošināt likumā „Par interešu konflikta novēršanu valsts amatpersonas darbībā” noteikto prasību izpildi. </w:t>
            </w:r>
          </w:p>
          <w:p w:rsidR="008C6CA0" w:rsidRDefault="00EA3551" w:rsidP="00FE0122">
            <w:pPr>
              <w:ind w:right="184" w:firstLine="500"/>
              <w:jc w:val="both"/>
              <w:rPr>
                <w:rFonts w:cs="Times New Roman"/>
                <w:sz w:val="24"/>
                <w:szCs w:val="24"/>
                <w:lang w:val="lv-LV" w:eastAsia="lv-LV" w:bidi="ar-SA"/>
              </w:rPr>
            </w:pPr>
            <w:r w:rsidRPr="006E3512">
              <w:rPr>
                <w:rFonts w:cs="Times New Roman"/>
                <w:sz w:val="24"/>
                <w:szCs w:val="24"/>
                <w:lang w:val="lv-LV" w:eastAsia="lv-LV" w:bidi="ar-SA"/>
              </w:rPr>
              <w:t>Saskaņā ar Ministru kabineta 2014.</w:t>
            </w:r>
            <w:r w:rsidR="00C959B8" w:rsidRPr="006E3512">
              <w:rPr>
                <w:rFonts w:cs="Times New Roman"/>
                <w:sz w:val="24"/>
                <w:szCs w:val="24"/>
                <w:lang w:val="lv-LV" w:eastAsia="lv-LV" w:bidi="ar-SA"/>
              </w:rPr>
              <w:t> </w:t>
            </w:r>
            <w:r w:rsidRPr="006E3512">
              <w:rPr>
                <w:rFonts w:cs="Times New Roman"/>
                <w:sz w:val="24"/>
                <w:szCs w:val="24"/>
                <w:lang w:val="lv-LV" w:eastAsia="lv-LV" w:bidi="ar-SA"/>
              </w:rPr>
              <w:t>gada 26.</w:t>
            </w:r>
            <w:r w:rsidR="00C959B8" w:rsidRPr="006E3512">
              <w:rPr>
                <w:rFonts w:cs="Times New Roman"/>
                <w:sz w:val="24"/>
                <w:szCs w:val="24"/>
                <w:lang w:val="lv-LV" w:eastAsia="lv-LV" w:bidi="ar-SA"/>
              </w:rPr>
              <w:t> </w:t>
            </w:r>
            <w:r w:rsidRPr="006E3512">
              <w:rPr>
                <w:rFonts w:cs="Times New Roman"/>
                <w:sz w:val="24"/>
                <w:szCs w:val="24"/>
                <w:lang w:val="lv-LV" w:eastAsia="lv-LV" w:bidi="ar-SA"/>
              </w:rPr>
              <w:t>augusta noteikumiem Nr.</w:t>
            </w:r>
            <w:r w:rsidR="00C959B8" w:rsidRPr="006E3512">
              <w:rPr>
                <w:rFonts w:cs="Times New Roman"/>
                <w:sz w:val="24"/>
                <w:szCs w:val="24"/>
                <w:lang w:val="lv-LV" w:eastAsia="lv-LV" w:bidi="ar-SA"/>
              </w:rPr>
              <w:t> </w:t>
            </w:r>
            <w:r w:rsidRPr="006E3512">
              <w:rPr>
                <w:rFonts w:cs="Times New Roman"/>
                <w:sz w:val="24"/>
                <w:szCs w:val="24"/>
                <w:lang w:val="lv-LV" w:eastAsia="lv-LV" w:bidi="ar-SA"/>
              </w:rPr>
              <w:t>509 „Noteikumi par karavīra mēnešalgas un speciālo piemaksu noteikšanas kārtību un to apmēru” karavīra amats nav izšķirošs darba samaksas noteikšanā. Karavīra darba samaksa ir atkarīga no dienesta pakāpes, izdienas stāža un dienesta pakāpei atbilstošas iegūtās militārās izglītības. Savukārt piemaksas ir paredzētas par specifisku dienesta pienākumu izpildi (</w:t>
            </w:r>
            <w:r w:rsidRPr="0053422B">
              <w:rPr>
                <w:rFonts w:cs="Times New Roman"/>
                <w:sz w:val="24"/>
                <w:szCs w:val="24"/>
                <w:lang w:val="lv-LV" w:eastAsia="lv-LV" w:bidi="ar-SA"/>
              </w:rPr>
              <w:t>dalība starptautiskajā operācijā, tādu dienesta uzdevumu izpildi, kas saistīti ar paaugstinātu risku karavīra veselībai (dzīvībai), par dienestu specifiskos apstākļos).</w:t>
            </w:r>
            <w:r w:rsidRPr="006E3512">
              <w:rPr>
                <w:rFonts w:cs="Times New Roman"/>
                <w:sz w:val="24"/>
                <w:szCs w:val="24"/>
                <w:lang w:val="lv-LV" w:eastAsia="lv-LV" w:bidi="ar-SA"/>
              </w:rPr>
              <w:t xml:space="preserve"> Līdz ar to izšķirošais ir profesionālā dienesta karavīra tiesiskā statusa esamība, kas ir pamats valsts amatpersonas deklarācijas iesniegšanai, nevis amats, kurā karavīrs iecelts.</w:t>
            </w:r>
            <w:r w:rsidR="003D2B61">
              <w:rPr>
                <w:rFonts w:cs="Times New Roman"/>
                <w:sz w:val="24"/>
                <w:szCs w:val="24"/>
                <w:lang w:val="lv-LV" w:eastAsia="lv-LV" w:bidi="ar-SA"/>
              </w:rPr>
              <w:t xml:space="preserve"> </w:t>
            </w:r>
          </w:p>
          <w:p w:rsidR="002B6A6B" w:rsidRPr="00724200" w:rsidRDefault="0085332C" w:rsidP="0085332C">
            <w:pPr>
              <w:ind w:right="184" w:firstLine="500"/>
              <w:jc w:val="both"/>
              <w:rPr>
                <w:rFonts w:cs="Times New Roman"/>
                <w:color w:val="FF0000"/>
                <w:sz w:val="24"/>
                <w:szCs w:val="24"/>
                <w:lang w:val="lv-LV" w:eastAsia="lv-LV" w:bidi="ar-SA"/>
              </w:rPr>
            </w:pPr>
            <w:r>
              <w:rPr>
                <w:rFonts w:cs="Times New Roman"/>
                <w:sz w:val="24"/>
                <w:szCs w:val="24"/>
                <w:lang w:val="lv-LV" w:eastAsia="lv-LV" w:bidi="ar-SA"/>
              </w:rPr>
              <w:t>Ņ</w:t>
            </w:r>
            <w:r w:rsidRPr="00416371">
              <w:rPr>
                <w:rFonts w:cs="Times New Roman"/>
                <w:sz w:val="24"/>
                <w:szCs w:val="24"/>
                <w:lang w:val="lv-LV" w:eastAsia="lv-LV" w:bidi="ar-SA"/>
              </w:rPr>
              <w:t>emot vērā Saeimā ierosināto un 2016. gada 15.martā pirms otrā lasījuma Valsts pārvaldes un pašvaldības komisijā akceptēto grozījumu likumā „Par interešu konflikta novēršanu valsts amatpersonu darbībā” (Nr. 312/Lp12)</w:t>
            </w:r>
            <w:r>
              <w:rPr>
                <w:rFonts w:cs="Times New Roman"/>
                <w:sz w:val="24"/>
                <w:szCs w:val="24"/>
                <w:lang w:val="lv-LV" w:eastAsia="lv-LV" w:bidi="ar-SA"/>
              </w:rPr>
              <w:t xml:space="preserve">, kas paredz </w:t>
            </w:r>
            <w:r w:rsidRPr="00416371">
              <w:rPr>
                <w:rFonts w:cs="Times New Roman"/>
                <w:sz w:val="24"/>
                <w:szCs w:val="24"/>
                <w:lang w:val="lv-LV" w:eastAsia="lv-LV" w:bidi="ar-SA"/>
              </w:rPr>
              <w:t xml:space="preserve">papildināt likuma 4.pantu ar piekto daļu nosakot, ka par amatpersonām uzskatāma persona, kas uz laiku pilda citas valsts amatpersonas pienākumus. </w:t>
            </w:r>
            <w:r>
              <w:rPr>
                <w:rFonts w:cs="Times New Roman"/>
                <w:sz w:val="24"/>
                <w:szCs w:val="24"/>
                <w:lang w:val="lv-LV" w:eastAsia="lv-LV" w:bidi="ar-SA"/>
              </w:rPr>
              <w:t>Līdz ar to grozījums</w:t>
            </w:r>
            <w:r w:rsidRPr="006E3512">
              <w:rPr>
                <w:rFonts w:cs="Times New Roman"/>
                <w:bCs/>
                <w:sz w:val="24"/>
                <w:szCs w:val="24"/>
                <w:lang w:val="lv-LV"/>
              </w:rPr>
              <w:t xml:space="preserve"> Ministru kabineta 2002. gada 22. okto</w:t>
            </w:r>
            <w:r>
              <w:rPr>
                <w:rFonts w:cs="Times New Roman"/>
                <w:bCs/>
                <w:sz w:val="24"/>
                <w:szCs w:val="24"/>
                <w:lang w:val="lv-LV"/>
              </w:rPr>
              <w:t>bra noteikumos</w:t>
            </w:r>
            <w:r w:rsidRPr="006E3512">
              <w:rPr>
                <w:rFonts w:cs="Times New Roman"/>
                <w:bCs/>
                <w:sz w:val="24"/>
                <w:szCs w:val="24"/>
                <w:lang w:val="lv-LV"/>
              </w:rPr>
              <w:t xml:space="preserve"> Nr. </w:t>
            </w:r>
            <w:r>
              <w:rPr>
                <w:rFonts w:cs="Times New Roman"/>
                <w:bCs/>
                <w:sz w:val="24"/>
                <w:szCs w:val="24"/>
                <w:lang w:val="lv-LV"/>
              </w:rPr>
              <w:t>4</w:t>
            </w:r>
            <w:r w:rsidRPr="006E3512">
              <w:rPr>
                <w:rFonts w:cs="Times New Roman"/>
                <w:bCs/>
                <w:sz w:val="24"/>
                <w:szCs w:val="24"/>
                <w:lang w:val="lv-LV"/>
              </w:rPr>
              <w:t>7</w:t>
            </w:r>
            <w:r>
              <w:rPr>
                <w:rFonts w:cs="Times New Roman"/>
                <w:bCs/>
                <w:sz w:val="24"/>
                <w:szCs w:val="24"/>
                <w:lang w:val="lv-LV"/>
              </w:rPr>
              <w:t>8</w:t>
            </w:r>
            <w:r w:rsidRPr="006E3512">
              <w:rPr>
                <w:rFonts w:cs="Times New Roman"/>
                <w:bCs/>
                <w:sz w:val="24"/>
                <w:szCs w:val="24"/>
                <w:lang w:val="lv-LV"/>
              </w:rPr>
              <w:t xml:space="preserve"> </w:t>
            </w:r>
            <w:r w:rsidRPr="006E3512">
              <w:rPr>
                <w:rFonts w:cs="Times New Roman"/>
                <w:sz w:val="24"/>
                <w:szCs w:val="24"/>
                <w:lang w:val="lv-LV" w:eastAsia="lv-LV" w:bidi="ar-SA"/>
              </w:rPr>
              <w:t>„</w:t>
            </w:r>
            <w:r w:rsidRPr="006E3512">
              <w:rPr>
                <w:rFonts w:cs="Times New Roman"/>
                <w:bCs/>
                <w:sz w:val="24"/>
                <w:szCs w:val="24"/>
                <w:lang w:val="lv-LV"/>
              </w:rPr>
              <w:t>Kārtība, kādā aizpildāmas, iesniedzamas, reģistrējamas un glabājamas valsts amatpersonu deklarācijas un aizpildāmi un iesniedzami valsts amatpersonu saraksti”</w:t>
            </w:r>
            <w:r w:rsidR="008F2B10" w:rsidRPr="006E3512">
              <w:rPr>
                <w:rFonts w:cs="Times New Roman"/>
                <w:bCs/>
                <w:sz w:val="24"/>
                <w:szCs w:val="24"/>
                <w:lang w:val="lv-LV"/>
              </w:rPr>
              <w:t xml:space="preserve"> </w:t>
            </w:r>
            <w:r>
              <w:rPr>
                <w:rFonts w:cs="Times New Roman"/>
                <w:sz w:val="24"/>
                <w:szCs w:val="24"/>
                <w:lang w:val="lv-LV" w:eastAsia="lv-LV" w:bidi="ar-SA"/>
              </w:rPr>
              <w:t xml:space="preserve">attieksies </w:t>
            </w:r>
            <w:r w:rsidR="003D2B61" w:rsidRPr="00416371">
              <w:rPr>
                <w:rFonts w:cs="Times New Roman"/>
                <w:sz w:val="24"/>
                <w:szCs w:val="24"/>
                <w:lang w:val="lv-LV" w:eastAsia="lv-LV" w:bidi="ar-SA"/>
              </w:rPr>
              <w:t xml:space="preserve">arī </w:t>
            </w:r>
            <w:r>
              <w:rPr>
                <w:rFonts w:cs="Times New Roman"/>
                <w:sz w:val="24"/>
                <w:szCs w:val="24"/>
                <w:lang w:val="lv-LV" w:eastAsia="lv-LV" w:bidi="ar-SA"/>
              </w:rPr>
              <w:t>uz zemessarg</w:t>
            </w:r>
            <w:r w:rsidR="0056443F">
              <w:rPr>
                <w:rFonts w:cs="Times New Roman"/>
                <w:sz w:val="24"/>
                <w:szCs w:val="24"/>
                <w:lang w:val="lv-LV" w:eastAsia="lv-LV" w:bidi="ar-SA"/>
              </w:rPr>
              <w:t>u</w:t>
            </w:r>
            <w:r w:rsidR="00AE5752">
              <w:rPr>
                <w:rFonts w:cs="Times New Roman"/>
                <w:sz w:val="24"/>
                <w:szCs w:val="24"/>
                <w:lang w:val="lv-LV" w:eastAsia="lv-LV" w:bidi="ar-SA"/>
              </w:rPr>
              <w:t>, kurš</w:t>
            </w:r>
            <w:r w:rsidR="003D2B61" w:rsidRPr="00416371">
              <w:rPr>
                <w:rFonts w:cs="Times New Roman"/>
                <w:sz w:val="24"/>
                <w:szCs w:val="24"/>
                <w:lang w:val="lv-LV" w:eastAsia="lv-LV" w:bidi="ar-SA"/>
              </w:rPr>
              <w:t xml:space="preserve"> saskaņā ar papildu līgumu pildīs ilgstošā prombūtnē esoša karavīra vai vakanta karavīra amata pien</w:t>
            </w:r>
            <w:r w:rsidR="00867926" w:rsidRPr="00416371">
              <w:rPr>
                <w:rFonts w:cs="Times New Roman"/>
                <w:sz w:val="24"/>
                <w:szCs w:val="24"/>
                <w:lang w:val="lv-LV" w:eastAsia="lv-LV" w:bidi="ar-SA"/>
              </w:rPr>
              <w:t>ākumus Nacionālajos bruņotajos spēkos</w:t>
            </w:r>
            <w:r w:rsidR="00724200" w:rsidRPr="00416371">
              <w:rPr>
                <w:rFonts w:cs="Times New Roman"/>
                <w:sz w:val="24"/>
                <w:szCs w:val="24"/>
                <w:lang w:val="lv-LV" w:eastAsia="lv-LV" w:bidi="ar-SA"/>
              </w:rPr>
              <w:t>,</w:t>
            </w:r>
            <w:r w:rsidR="00867926" w:rsidRPr="00416371">
              <w:rPr>
                <w:rFonts w:cs="Times New Roman"/>
                <w:sz w:val="24"/>
                <w:szCs w:val="24"/>
                <w:lang w:val="lv-LV" w:eastAsia="lv-LV" w:bidi="ar-SA"/>
              </w:rPr>
              <w:t xml:space="preserve"> kā to nosaka Latvijas Republikas Zemessardzes likuma 6.panta ceturtās daļas 5.punkts</w:t>
            </w:r>
            <w:r>
              <w:rPr>
                <w:rFonts w:cs="Times New Roman"/>
                <w:sz w:val="24"/>
                <w:szCs w:val="24"/>
                <w:lang w:val="lv-LV" w:eastAsia="lv-LV" w:bidi="ar-SA"/>
              </w:rPr>
              <w:t xml:space="preserve">. </w:t>
            </w:r>
          </w:p>
        </w:tc>
      </w:tr>
      <w:tr w:rsidR="00622B53" w:rsidRPr="006E3512" w:rsidTr="009B1A03">
        <w:trPr>
          <w:gridBefore w:val="3"/>
          <w:wBefore w:w="297" w:type="pct"/>
          <w:trHeight w:val="372"/>
        </w:trPr>
        <w:tc>
          <w:tcPr>
            <w:tcW w:w="363"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jc w:val="center"/>
              <w:rPr>
                <w:rFonts w:cs="Times New Roman"/>
                <w:sz w:val="24"/>
                <w:szCs w:val="24"/>
                <w:lang w:val="lv-LV" w:eastAsia="lv-LV" w:bidi="ar-SA"/>
              </w:rPr>
            </w:pPr>
            <w:r w:rsidRPr="006E3512">
              <w:rPr>
                <w:rFonts w:cs="Times New Roman"/>
                <w:sz w:val="24"/>
                <w:szCs w:val="24"/>
                <w:lang w:val="lv-LV" w:eastAsia="lv-LV" w:bidi="ar-SA"/>
              </w:rPr>
              <w:lastRenderedPageBreak/>
              <w:t>3.</w:t>
            </w:r>
          </w:p>
        </w:tc>
        <w:tc>
          <w:tcPr>
            <w:tcW w:w="940"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Projekta izstrādē iesaistītās institūcijas</w:t>
            </w:r>
          </w:p>
        </w:tc>
        <w:tc>
          <w:tcPr>
            <w:tcW w:w="3400" w:type="pct"/>
            <w:gridSpan w:val="6"/>
            <w:tcBorders>
              <w:top w:val="outset" w:sz="6" w:space="0" w:color="414142"/>
              <w:left w:val="outset" w:sz="6" w:space="0" w:color="414142"/>
              <w:bottom w:val="outset" w:sz="6" w:space="0" w:color="414142"/>
              <w:right w:val="outset" w:sz="6" w:space="0" w:color="414142"/>
            </w:tcBorders>
            <w:hideMark/>
          </w:tcPr>
          <w:p w:rsidR="00DA55F2" w:rsidRPr="006E3512" w:rsidRDefault="00E64ADC" w:rsidP="00FE0122">
            <w:pPr>
              <w:ind w:right="184"/>
              <w:rPr>
                <w:rFonts w:cs="Times New Roman"/>
                <w:sz w:val="24"/>
                <w:szCs w:val="24"/>
                <w:lang w:val="lv-LV" w:eastAsia="lv-LV" w:bidi="ar-SA"/>
              </w:rPr>
            </w:pPr>
            <w:r w:rsidRPr="006E3512">
              <w:rPr>
                <w:rFonts w:cs="Times New Roman"/>
                <w:sz w:val="24"/>
                <w:szCs w:val="24"/>
                <w:lang w:val="lv-LV" w:eastAsia="lv-LV" w:bidi="ar-SA"/>
              </w:rPr>
              <w:t>Nacionālie bruņotie spēki</w:t>
            </w:r>
            <w:r w:rsidR="00E97A9E" w:rsidRPr="006E3512">
              <w:rPr>
                <w:rFonts w:cs="Times New Roman"/>
                <w:sz w:val="24"/>
                <w:szCs w:val="24"/>
                <w:lang w:val="lv-LV" w:eastAsia="lv-LV" w:bidi="ar-SA"/>
              </w:rPr>
              <w:t>,</w:t>
            </w:r>
            <w:r w:rsidRPr="006E3512">
              <w:rPr>
                <w:rFonts w:cs="Times New Roman"/>
                <w:sz w:val="24"/>
                <w:szCs w:val="24"/>
                <w:lang w:val="lv-LV" w:eastAsia="lv-LV" w:bidi="ar-SA"/>
              </w:rPr>
              <w:t xml:space="preserve"> </w:t>
            </w:r>
            <w:r w:rsidR="001F2472" w:rsidRPr="006E3512">
              <w:rPr>
                <w:rFonts w:cs="Times New Roman"/>
                <w:sz w:val="24"/>
                <w:szCs w:val="24"/>
                <w:lang w:val="lv-LV" w:eastAsia="lv-LV" w:bidi="ar-SA"/>
              </w:rPr>
              <w:t>Aizsardzības ministrija</w:t>
            </w:r>
          </w:p>
        </w:tc>
      </w:tr>
      <w:tr w:rsidR="00622B53" w:rsidRPr="006E3512" w:rsidTr="009B1A03">
        <w:trPr>
          <w:gridBefore w:val="3"/>
          <w:wBefore w:w="297" w:type="pct"/>
        </w:trPr>
        <w:tc>
          <w:tcPr>
            <w:tcW w:w="363"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jc w:val="center"/>
              <w:rPr>
                <w:rFonts w:cs="Times New Roman"/>
                <w:sz w:val="24"/>
                <w:szCs w:val="24"/>
                <w:lang w:val="lv-LV" w:eastAsia="lv-LV" w:bidi="ar-SA"/>
              </w:rPr>
            </w:pPr>
            <w:r w:rsidRPr="006E3512">
              <w:rPr>
                <w:rFonts w:cs="Times New Roman"/>
                <w:sz w:val="24"/>
                <w:szCs w:val="24"/>
                <w:lang w:val="lv-LV" w:eastAsia="lv-LV" w:bidi="ar-SA"/>
              </w:rPr>
              <w:t>4.</w:t>
            </w:r>
          </w:p>
        </w:tc>
        <w:tc>
          <w:tcPr>
            <w:tcW w:w="940"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Cita informācija</w:t>
            </w:r>
          </w:p>
        </w:tc>
        <w:tc>
          <w:tcPr>
            <w:tcW w:w="3400" w:type="pct"/>
            <w:gridSpan w:val="6"/>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Na</w:t>
            </w:r>
            <w:r w:rsidR="000637B5" w:rsidRPr="006E3512">
              <w:rPr>
                <w:rFonts w:cs="Times New Roman"/>
                <w:sz w:val="24"/>
                <w:szCs w:val="24"/>
                <w:lang w:val="lv-LV" w:eastAsia="lv-LV" w:bidi="ar-SA"/>
              </w:rPr>
              <w:t>v</w:t>
            </w:r>
          </w:p>
        </w:tc>
      </w:tr>
      <w:tr w:rsidR="006E3512" w:rsidRPr="006E3512" w:rsidTr="009B1A03">
        <w:trPr>
          <w:gridBefore w:val="3"/>
          <w:wBefore w:w="297" w:type="pct"/>
          <w:trHeight w:val="444"/>
        </w:trPr>
        <w:tc>
          <w:tcPr>
            <w:tcW w:w="4703" w:type="pct"/>
            <w:gridSpan w:val="9"/>
            <w:tcBorders>
              <w:top w:val="outset" w:sz="6" w:space="0" w:color="414142"/>
              <w:left w:val="outset" w:sz="6" w:space="0" w:color="414142"/>
              <w:bottom w:val="outset" w:sz="6" w:space="0" w:color="414142"/>
              <w:right w:val="outset" w:sz="6" w:space="0" w:color="414142"/>
            </w:tcBorders>
            <w:vAlign w:val="center"/>
            <w:hideMark/>
          </w:tcPr>
          <w:p w:rsidR="00DA55F2" w:rsidRPr="006E3512" w:rsidRDefault="00DA55F2" w:rsidP="00FE0122">
            <w:pPr>
              <w:spacing w:before="100" w:beforeAutospacing="1" w:after="100" w:afterAutospacing="1" w:line="315" w:lineRule="atLeast"/>
              <w:ind w:right="184"/>
              <w:jc w:val="center"/>
              <w:rPr>
                <w:rFonts w:cs="Times New Roman"/>
                <w:b/>
                <w:bCs/>
                <w:sz w:val="24"/>
                <w:szCs w:val="24"/>
                <w:lang w:val="lv-LV" w:eastAsia="lv-LV" w:bidi="ar-SA"/>
              </w:rPr>
            </w:pPr>
            <w:r w:rsidRPr="006E3512">
              <w:rPr>
                <w:rFonts w:cs="Times New Roman"/>
                <w:b/>
                <w:bCs/>
                <w:sz w:val="24"/>
                <w:szCs w:val="24"/>
                <w:lang w:val="lv-LV" w:eastAsia="lv-LV" w:bidi="ar-SA"/>
              </w:rPr>
              <w:t>II. Tiesību akta projekta ietekme uz sabiedrību, tautsaimniecības attīstību un administratīvo slogu</w:t>
            </w:r>
          </w:p>
        </w:tc>
      </w:tr>
      <w:tr w:rsidR="009B1A03" w:rsidRPr="00F04BE3" w:rsidTr="009B1A03">
        <w:trPr>
          <w:gridBefore w:val="3"/>
          <w:wBefore w:w="297" w:type="pct"/>
          <w:trHeight w:val="372"/>
        </w:trPr>
        <w:tc>
          <w:tcPr>
            <w:tcW w:w="288"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1.</w:t>
            </w:r>
          </w:p>
        </w:tc>
        <w:tc>
          <w:tcPr>
            <w:tcW w:w="1376"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Sabiedrības mērķgrupas, kuras tiesiskais regulējums ietekmē vai varētu ietekmēt</w:t>
            </w:r>
          </w:p>
        </w:tc>
        <w:tc>
          <w:tcPr>
            <w:tcW w:w="3039"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232726" w:rsidP="00FE0122">
            <w:pPr>
              <w:ind w:right="184"/>
              <w:jc w:val="both"/>
              <w:rPr>
                <w:rFonts w:cs="Times New Roman"/>
                <w:sz w:val="24"/>
                <w:szCs w:val="24"/>
                <w:lang w:val="lv-LV" w:eastAsia="lv-LV" w:bidi="ar-SA"/>
              </w:rPr>
            </w:pPr>
            <w:r w:rsidRPr="006E3512">
              <w:rPr>
                <w:rFonts w:cs="Times New Roman"/>
                <w:sz w:val="24"/>
                <w:szCs w:val="24"/>
                <w:lang w:val="lv-LV" w:eastAsia="lv-LV" w:bidi="ar-SA"/>
              </w:rPr>
              <w:t xml:space="preserve">Nacionālo bruņoto spēku </w:t>
            </w:r>
            <w:r w:rsidR="00DD4DEC" w:rsidRPr="006E3512">
              <w:rPr>
                <w:rFonts w:cs="Times New Roman"/>
                <w:sz w:val="24"/>
                <w:szCs w:val="24"/>
                <w:lang w:val="lv-LV" w:eastAsia="lv-LV" w:bidi="ar-SA"/>
              </w:rPr>
              <w:t xml:space="preserve">profesionālā dienesta </w:t>
            </w:r>
            <w:r w:rsidRPr="006E3512">
              <w:rPr>
                <w:rFonts w:cs="Times New Roman"/>
                <w:sz w:val="24"/>
                <w:szCs w:val="24"/>
                <w:lang w:val="lv-LV" w:eastAsia="lv-LV" w:bidi="ar-SA"/>
              </w:rPr>
              <w:t>karavīri</w:t>
            </w:r>
            <w:r w:rsidR="00767F43">
              <w:rPr>
                <w:rFonts w:cs="Times New Roman"/>
                <w:sz w:val="24"/>
                <w:szCs w:val="24"/>
                <w:lang w:val="lv-LV" w:eastAsia="lv-LV" w:bidi="ar-SA"/>
              </w:rPr>
              <w:t>, kā arī</w:t>
            </w:r>
            <w:r w:rsidR="007A38BB" w:rsidRPr="006E3512">
              <w:rPr>
                <w:rFonts w:cs="Times New Roman"/>
                <w:sz w:val="24"/>
                <w:szCs w:val="24"/>
                <w:lang w:val="lv-LV" w:eastAsia="lv-LV" w:bidi="ar-SA"/>
              </w:rPr>
              <w:t xml:space="preserve"> zemessargi,</w:t>
            </w:r>
            <w:r w:rsidR="00DD4DEC" w:rsidRPr="006E3512">
              <w:rPr>
                <w:rFonts w:cs="Times New Roman"/>
                <w:sz w:val="24"/>
                <w:szCs w:val="24"/>
                <w:lang w:val="lv-LV" w:eastAsia="lv-LV" w:bidi="ar-SA"/>
              </w:rPr>
              <w:t xml:space="preserve"> kuri saskaņā ar papildu līgumu pilda </w:t>
            </w:r>
            <w:r w:rsidR="007A38BB" w:rsidRPr="006E3512">
              <w:rPr>
                <w:rFonts w:cs="Times New Roman"/>
                <w:sz w:val="24"/>
                <w:szCs w:val="24"/>
                <w:lang w:val="lv-LV" w:eastAsia="lv-LV" w:bidi="ar-SA"/>
              </w:rPr>
              <w:t>ilgstošā prombūtnē esošā</w:t>
            </w:r>
            <w:r w:rsidR="00DD4DEC" w:rsidRPr="006E3512">
              <w:rPr>
                <w:rFonts w:cs="Times New Roman"/>
                <w:sz w:val="24"/>
                <w:szCs w:val="24"/>
                <w:lang w:val="lv-LV" w:eastAsia="lv-LV" w:bidi="ar-SA"/>
              </w:rPr>
              <w:t xml:space="preserve"> karavīra vai vakanta karavīra amata pienākumus</w:t>
            </w:r>
            <w:r w:rsidR="006C76E9">
              <w:rPr>
                <w:rFonts w:cs="Times New Roman"/>
                <w:sz w:val="24"/>
                <w:szCs w:val="24"/>
                <w:lang w:val="lv-LV" w:eastAsia="lv-LV" w:bidi="ar-SA"/>
              </w:rPr>
              <w:t>.</w:t>
            </w:r>
          </w:p>
        </w:tc>
      </w:tr>
      <w:tr w:rsidR="009B1A03" w:rsidRPr="006E3512" w:rsidTr="009B1A03">
        <w:trPr>
          <w:gridBefore w:val="3"/>
          <w:wBefore w:w="297" w:type="pct"/>
          <w:trHeight w:val="408"/>
        </w:trPr>
        <w:tc>
          <w:tcPr>
            <w:tcW w:w="288"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lastRenderedPageBreak/>
              <w:t>2.</w:t>
            </w:r>
          </w:p>
        </w:tc>
        <w:tc>
          <w:tcPr>
            <w:tcW w:w="1376"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Tiesiskā regulējuma ietekme uz tautsaimniecību un administratīvo slogu</w:t>
            </w:r>
          </w:p>
        </w:tc>
        <w:tc>
          <w:tcPr>
            <w:tcW w:w="3039"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E20B65" w:rsidP="00FE0122">
            <w:pPr>
              <w:ind w:right="184"/>
              <w:rPr>
                <w:rFonts w:cs="Times New Roman"/>
                <w:sz w:val="24"/>
                <w:szCs w:val="24"/>
                <w:lang w:val="lv-LV" w:eastAsia="lv-LV" w:bidi="ar-SA"/>
              </w:rPr>
            </w:pPr>
            <w:r w:rsidRPr="006E3512">
              <w:rPr>
                <w:rFonts w:cs="Times New Roman"/>
                <w:sz w:val="24"/>
                <w:szCs w:val="24"/>
                <w:lang w:val="lv-LV" w:eastAsia="lv-LV" w:bidi="ar-SA"/>
              </w:rPr>
              <w:t>Projekts šo jomu neskar</w:t>
            </w:r>
          </w:p>
        </w:tc>
      </w:tr>
      <w:tr w:rsidR="009B1A03" w:rsidRPr="006E3512" w:rsidTr="009B1A03">
        <w:trPr>
          <w:gridBefore w:val="3"/>
          <w:wBefore w:w="297" w:type="pct"/>
          <w:trHeight w:val="408"/>
        </w:trPr>
        <w:tc>
          <w:tcPr>
            <w:tcW w:w="288"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3.</w:t>
            </w:r>
          </w:p>
        </w:tc>
        <w:tc>
          <w:tcPr>
            <w:tcW w:w="1376"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Administratīvo izmaksu monetārs novērtējums</w:t>
            </w:r>
          </w:p>
        </w:tc>
        <w:tc>
          <w:tcPr>
            <w:tcW w:w="3039"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E20B65" w:rsidP="00FE0122">
            <w:pPr>
              <w:ind w:right="184"/>
              <w:rPr>
                <w:rFonts w:cs="Times New Roman"/>
                <w:sz w:val="24"/>
                <w:szCs w:val="24"/>
                <w:lang w:val="lv-LV" w:eastAsia="lv-LV" w:bidi="ar-SA"/>
              </w:rPr>
            </w:pPr>
            <w:r w:rsidRPr="006E3512">
              <w:rPr>
                <w:rFonts w:cs="Times New Roman"/>
                <w:sz w:val="24"/>
                <w:szCs w:val="24"/>
                <w:lang w:val="lv-LV" w:eastAsia="lv-LV" w:bidi="ar-SA"/>
              </w:rPr>
              <w:t>Projekts šo jomu neskar</w:t>
            </w:r>
          </w:p>
        </w:tc>
      </w:tr>
      <w:tr w:rsidR="009B1A03" w:rsidRPr="006E3512" w:rsidTr="009B1A03">
        <w:trPr>
          <w:gridBefore w:val="3"/>
          <w:wBefore w:w="297" w:type="pct"/>
          <w:trHeight w:val="276"/>
        </w:trPr>
        <w:tc>
          <w:tcPr>
            <w:tcW w:w="288"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4.</w:t>
            </w:r>
          </w:p>
        </w:tc>
        <w:tc>
          <w:tcPr>
            <w:tcW w:w="1376"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Cita informācija</w:t>
            </w:r>
          </w:p>
        </w:tc>
        <w:tc>
          <w:tcPr>
            <w:tcW w:w="3039"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rPr>
                <w:rFonts w:cs="Times New Roman"/>
                <w:sz w:val="24"/>
                <w:szCs w:val="24"/>
                <w:lang w:val="lv-LV" w:eastAsia="lv-LV" w:bidi="ar-SA"/>
              </w:rPr>
            </w:pPr>
            <w:r w:rsidRPr="006E3512">
              <w:rPr>
                <w:rFonts w:cs="Times New Roman"/>
                <w:sz w:val="24"/>
                <w:szCs w:val="24"/>
                <w:lang w:val="lv-LV" w:eastAsia="lv-LV" w:bidi="ar-SA"/>
              </w:rPr>
              <w:t>Nav</w:t>
            </w:r>
          </w:p>
        </w:tc>
      </w:tr>
      <w:tr w:rsidR="006E3512" w:rsidRPr="006E3512" w:rsidTr="00622B53">
        <w:tblPrEx>
          <w:jc w:val="center"/>
        </w:tblPrEx>
        <w:trPr>
          <w:gridAfter w:val="1"/>
          <w:wAfter w:w="305" w:type="pct"/>
          <w:trHeight w:val="300"/>
          <w:jc w:val="center"/>
        </w:trPr>
        <w:tc>
          <w:tcPr>
            <w:tcW w:w="4695" w:type="pct"/>
            <w:gridSpan w:val="11"/>
            <w:tcBorders>
              <w:top w:val="outset" w:sz="6" w:space="0" w:color="414142"/>
              <w:left w:val="outset" w:sz="6" w:space="0" w:color="414142"/>
              <w:bottom w:val="outset" w:sz="6" w:space="0" w:color="414142"/>
              <w:right w:val="outset" w:sz="6" w:space="0" w:color="414142"/>
            </w:tcBorders>
            <w:vAlign w:val="center"/>
            <w:hideMark/>
          </w:tcPr>
          <w:p w:rsidR="00DA55F2" w:rsidRPr="006E3512" w:rsidRDefault="00DA55F2" w:rsidP="00FE0122">
            <w:pPr>
              <w:spacing w:before="100" w:beforeAutospacing="1" w:after="100" w:afterAutospacing="1" w:line="315" w:lineRule="atLeast"/>
              <w:ind w:right="184"/>
              <w:jc w:val="center"/>
              <w:rPr>
                <w:rFonts w:cs="Times New Roman"/>
                <w:b/>
                <w:bCs/>
                <w:sz w:val="24"/>
                <w:szCs w:val="24"/>
                <w:lang w:val="lv-LV" w:eastAsia="lv-LV" w:bidi="ar-SA"/>
              </w:rPr>
            </w:pPr>
            <w:r w:rsidRPr="006E3512">
              <w:rPr>
                <w:rFonts w:cs="Times New Roman"/>
                <w:b/>
                <w:bCs/>
                <w:sz w:val="24"/>
                <w:szCs w:val="24"/>
                <w:lang w:val="lv-LV" w:eastAsia="lv-LV" w:bidi="ar-SA"/>
              </w:rPr>
              <w:t>VII. Tiesību akta projekta izpildes nodrošināšana un tās ietekme uz institūcijām</w:t>
            </w:r>
          </w:p>
        </w:tc>
      </w:tr>
      <w:tr w:rsidR="009B1A03" w:rsidRPr="006E3512" w:rsidTr="00622B53">
        <w:tblPrEx>
          <w:jc w:val="center"/>
        </w:tblPrEx>
        <w:trPr>
          <w:gridAfter w:val="1"/>
          <w:wAfter w:w="305" w:type="pct"/>
          <w:trHeight w:val="336"/>
          <w:jc w:val="center"/>
        </w:trPr>
        <w:tc>
          <w:tcPr>
            <w:tcW w:w="284"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1.</w:t>
            </w:r>
          </w:p>
        </w:tc>
        <w:tc>
          <w:tcPr>
            <w:tcW w:w="1663" w:type="pct"/>
            <w:gridSpan w:val="5"/>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Projekta izpildē iesaistītās institūcijas</w:t>
            </w:r>
          </w:p>
        </w:tc>
        <w:tc>
          <w:tcPr>
            <w:tcW w:w="2748"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D0703" w:rsidP="00FE0122">
            <w:pPr>
              <w:ind w:right="184"/>
              <w:rPr>
                <w:rFonts w:cs="Times New Roman"/>
                <w:sz w:val="24"/>
                <w:szCs w:val="24"/>
                <w:lang w:val="lv-LV" w:eastAsia="lv-LV" w:bidi="ar-SA"/>
              </w:rPr>
            </w:pPr>
            <w:r w:rsidRPr="006E3512">
              <w:rPr>
                <w:rFonts w:cs="Times New Roman"/>
                <w:sz w:val="24"/>
                <w:szCs w:val="24"/>
                <w:lang w:val="lv-LV" w:eastAsia="lv-LV" w:bidi="ar-SA"/>
              </w:rPr>
              <w:t>Aizsardzības ministrija</w:t>
            </w:r>
            <w:r w:rsidR="00A669D6" w:rsidRPr="006E3512">
              <w:rPr>
                <w:rFonts w:cs="Times New Roman"/>
                <w:sz w:val="24"/>
                <w:szCs w:val="24"/>
                <w:lang w:val="lv-LV" w:eastAsia="lv-LV" w:bidi="ar-SA"/>
              </w:rPr>
              <w:t>, Nacionālie bruņotie spēki</w:t>
            </w:r>
            <w:r w:rsidRPr="006E3512">
              <w:rPr>
                <w:rFonts w:cs="Times New Roman"/>
                <w:sz w:val="24"/>
                <w:szCs w:val="24"/>
                <w:lang w:val="lv-LV" w:eastAsia="lv-LV" w:bidi="ar-SA"/>
              </w:rPr>
              <w:t xml:space="preserve"> </w:t>
            </w:r>
          </w:p>
        </w:tc>
      </w:tr>
      <w:tr w:rsidR="009B1A03" w:rsidRPr="006E3512" w:rsidTr="00622B53">
        <w:tblPrEx>
          <w:jc w:val="center"/>
        </w:tblPrEx>
        <w:trPr>
          <w:gridBefore w:val="1"/>
          <w:gridAfter w:val="2"/>
          <w:wBefore w:w="12" w:type="pct"/>
          <w:wAfter w:w="309" w:type="pct"/>
          <w:trHeight w:val="360"/>
          <w:jc w:val="center"/>
        </w:trPr>
        <w:tc>
          <w:tcPr>
            <w:tcW w:w="272" w:type="pct"/>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2.</w:t>
            </w:r>
          </w:p>
        </w:tc>
        <w:tc>
          <w:tcPr>
            <w:tcW w:w="1698" w:type="pct"/>
            <w:gridSpan w:val="7"/>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Projekta izpildes ietekme uz pārvaldes funkci</w:t>
            </w:r>
            <w:r w:rsidR="009B1647" w:rsidRPr="006E3512">
              <w:rPr>
                <w:rFonts w:cs="Times New Roman"/>
                <w:sz w:val="24"/>
                <w:szCs w:val="24"/>
                <w:lang w:val="lv-LV" w:eastAsia="lv-LV" w:bidi="ar-SA"/>
              </w:rPr>
              <w:t>jām un institucionālo struktūru</w:t>
            </w:r>
          </w:p>
          <w:p w:rsidR="00DA55F2" w:rsidRPr="006E3512" w:rsidRDefault="00DA55F2" w:rsidP="00FE0122">
            <w:pPr>
              <w:spacing w:before="100" w:beforeAutospacing="1" w:after="100" w:afterAutospacing="1" w:line="315" w:lineRule="atLeast"/>
              <w:ind w:right="184"/>
              <w:rPr>
                <w:rFonts w:cs="Times New Roman"/>
                <w:sz w:val="24"/>
                <w:szCs w:val="24"/>
                <w:lang w:val="lv-LV" w:eastAsia="lv-LV" w:bidi="ar-SA"/>
              </w:rPr>
            </w:pPr>
            <w:r w:rsidRPr="006E3512">
              <w:rPr>
                <w:rFonts w:cs="Times New Roman"/>
                <w:sz w:val="24"/>
                <w:szCs w:val="24"/>
                <w:lang w:val="lv-LV" w:eastAsia="lv-LV" w:bidi="ar-SA"/>
              </w:rPr>
              <w:t>Jaunu institūciju izveide, esošu institūciju likvidācija vai reorganizācija, to ietekme uz institūcijas cilvēkresursiem</w:t>
            </w:r>
          </w:p>
        </w:tc>
        <w:tc>
          <w:tcPr>
            <w:tcW w:w="2709" w:type="pct"/>
            <w:tcBorders>
              <w:top w:val="outset" w:sz="6" w:space="0" w:color="414142"/>
              <w:left w:val="outset" w:sz="6" w:space="0" w:color="414142"/>
              <w:bottom w:val="outset" w:sz="6" w:space="0" w:color="414142"/>
              <w:right w:val="outset" w:sz="6" w:space="0" w:color="414142"/>
            </w:tcBorders>
            <w:hideMark/>
          </w:tcPr>
          <w:p w:rsidR="00DD0703" w:rsidRPr="006E3512" w:rsidRDefault="00226E54" w:rsidP="00FE0122">
            <w:pPr>
              <w:ind w:right="184"/>
              <w:jc w:val="both"/>
              <w:rPr>
                <w:rFonts w:cs="Times New Roman"/>
                <w:sz w:val="24"/>
                <w:szCs w:val="24"/>
                <w:lang w:val="lv-LV" w:eastAsia="lv-LV" w:bidi="ar-SA"/>
              </w:rPr>
            </w:pPr>
            <w:r w:rsidRPr="006E3512">
              <w:rPr>
                <w:rFonts w:cs="Times New Roman"/>
                <w:bCs/>
                <w:sz w:val="24"/>
                <w:szCs w:val="24"/>
                <w:lang w:val="lv-LV" w:eastAsia="lv-LV" w:bidi="ar-SA"/>
              </w:rPr>
              <w:t>Projekts šo jomu neskar</w:t>
            </w:r>
          </w:p>
        </w:tc>
      </w:tr>
      <w:tr w:rsidR="009B1A03" w:rsidRPr="006E3512" w:rsidTr="00622B53">
        <w:tblPrEx>
          <w:jc w:val="center"/>
        </w:tblPrEx>
        <w:trPr>
          <w:gridAfter w:val="1"/>
          <w:wAfter w:w="305" w:type="pct"/>
          <w:trHeight w:val="312"/>
          <w:jc w:val="center"/>
        </w:trPr>
        <w:tc>
          <w:tcPr>
            <w:tcW w:w="284" w:type="pct"/>
            <w:gridSpan w:val="2"/>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3.</w:t>
            </w:r>
          </w:p>
        </w:tc>
        <w:tc>
          <w:tcPr>
            <w:tcW w:w="1663" w:type="pct"/>
            <w:gridSpan w:val="5"/>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ind w:right="184"/>
              <w:rPr>
                <w:rFonts w:cs="Times New Roman"/>
                <w:sz w:val="24"/>
                <w:szCs w:val="24"/>
                <w:lang w:val="lv-LV" w:eastAsia="lv-LV" w:bidi="ar-SA"/>
              </w:rPr>
            </w:pPr>
            <w:r w:rsidRPr="006E3512">
              <w:rPr>
                <w:rFonts w:cs="Times New Roman"/>
                <w:sz w:val="24"/>
                <w:szCs w:val="24"/>
                <w:lang w:val="lv-LV" w:eastAsia="lv-LV" w:bidi="ar-SA"/>
              </w:rPr>
              <w:t>Cita informācija</w:t>
            </w:r>
          </w:p>
        </w:tc>
        <w:tc>
          <w:tcPr>
            <w:tcW w:w="2748" w:type="pct"/>
            <w:gridSpan w:val="4"/>
            <w:tcBorders>
              <w:top w:val="outset" w:sz="6" w:space="0" w:color="414142"/>
              <w:left w:val="outset" w:sz="6" w:space="0" w:color="414142"/>
              <w:bottom w:val="outset" w:sz="6" w:space="0" w:color="414142"/>
              <w:right w:val="outset" w:sz="6" w:space="0" w:color="414142"/>
            </w:tcBorders>
            <w:hideMark/>
          </w:tcPr>
          <w:p w:rsidR="00DA55F2" w:rsidRPr="006E3512" w:rsidRDefault="00DA55F2" w:rsidP="00FE0122">
            <w:pPr>
              <w:spacing w:before="100" w:beforeAutospacing="1" w:after="100" w:afterAutospacing="1" w:line="315" w:lineRule="atLeast"/>
              <w:ind w:right="184"/>
              <w:rPr>
                <w:rFonts w:cs="Times New Roman"/>
                <w:sz w:val="24"/>
                <w:szCs w:val="24"/>
                <w:lang w:val="lv-LV" w:eastAsia="lv-LV" w:bidi="ar-SA"/>
              </w:rPr>
            </w:pPr>
            <w:r w:rsidRPr="006E3512">
              <w:rPr>
                <w:rFonts w:cs="Times New Roman"/>
                <w:sz w:val="24"/>
                <w:szCs w:val="24"/>
                <w:lang w:val="lv-LV" w:eastAsia="lv-LV" w:bidi="ar-SA"/>
              </w:rPr>
              <w:t>Nav</w:t>
            </w:r>
          </w:p>
        </w:tc>
      </w:tr>
    </w:tbl>
    <w:p w:rsidR="004600D1" w:rsidRPr="006E3512" w:rsidRDefault="004600D1" w:rsidP="00FE0122">
      <w:pPr>
        <w:tabs>
          <w:tab w:val="right" w:pos="9074"/>
        </w:tabs>
        <w:ind w:right="184"/>
        <w:rPr>
          <w:rFonts w:cs="Times New Roman"/>
          <w:sz w:val="24"/>
          <w:szCs w:val="24"/>
          <w:lang w:val="lv-LV"/>
        </w:rPr>
      </w:pPr>
    </w:p>
    <w:p w:rsidR="00667F63" w:rsidRPr="006E3512" w:rsidRDefault="00667F63" w:rsidP="00FE0122">
      <w:pPr>
        <w:ind w:right="184"/>
        <w:rPr>
          <w:rFonts w:cs="Times New Roman"/>
          <w:i/>
          <w:sz w:val="24"/>
          <w:szCs w:val="24"/>
        </w:rPr>
      </w:pPr>
      <w:r w:rsidRPr="006E3512">
        <w:rPr>
          <w:rFonts w:cs="Times New Roman"/>
          <w:i/>
          <w:sz w:val="24"/>
          <w:szCs w:val="24"/>
        </w:rPr>
        <w:t xml:space="preserve">Anotācijas III, </w:t>
      </w:r>
      <w:r w:rsidR="00CD7161">
        <w:rPr>
          <w:rFonts w:cs="Times New Roman"/>
          <w:i/>
          <w:sz w:val="24"/>
          <w:szCs w:val="24"/>
        </w:rPr>
        <w:t xml:space="preserve">IV, </w:t>
      </w:r>
      <w:r w:rsidRPr="006E3512">
        <w:rPr>
          <w:rFonts w:cs="Times New Roman"/>
          <w:i/>
          <w:sz w:val="24"/>
          <w:szCs w:val="24"/>
        </w:rPr>
        <w:t>V un VI sadaļa – Projekts šīs jomas neskar.</w:t>
      </w:r>
    </w:p>
    <w:p w:rsidR="00667F63" w:rsidRPr="006E3512" w:rsidRDefault="00667F63" w:rsidP="00FE0122">
      <w:pPr>
        <w:tabs>
          <w:tab w:val="right" w:pos="9074"/>
        </w:tabs>
        <w:ind w:right="184"/>
        <w:rPr>
          <w:rFonts w:cs="Times New Roman"/>
          <w:sz w:val="24"/>
          <w:szCs w:val="24"/>
        </w:rPr>
      </w:pPr>
    </w:p>
    <w:p w:rsidR="005777B9" w:rsidRPr="006E3512" w:rsidRDefault="005777B9" w:rsidP="00FE0122">
      <w:pPr>
        <w:tabs>
          <w:tab w:val="right" w:pos="9074"/>
        </w:tabs>
        <w:ind w:right="184"/>
        <w:rPr>
          <w:rFonts w:cs="Times New Roman"/>
          <w:sz w:val="24"/>
          <w:szCs w:val="24"/>
          <w:lang w:val="lv-LV"/>
        </w:rPr>
      </w:pPr>
    </w:p>
    <w:p w:rsidR="005777B9" w:rsidRPr="006E3512" w:rsidRDefault="005777B9" w:rsidP="00FE0122">
      <w:pPr>
        <w:tabs>
          <w:tab w:val="right" w:pos="9074"/>
        </w:tabs>
        <w:ind w:right="184"/>
        <w:rPr>
          <w:rFonts w:cs="Times New Roman"/>
          <w:sz w:val="24"/>
          <w:szCs w:val="24"/>
          <w:lang w:val="lv-LV"/>
        </w:rPr>
      </w:pPr>
    </w:p>
    <w:p w:rsidR="004600D1" w:rsidRPr="006E3512" w:rsidRDefault="00C16CA3" w:rsidP="00FE0122">
      <w:pPr>
        <w:tabs>
          <w:tab w:val="right" w:pos="9000"/>
        </w:tabs>
        <w:ind w:right="184"/>
        <w:jc w:val="both"/>
        <w:rPr>
          <w:rFonts w:cs="Times New Roman"/>
          <w:sz w:val="24"/>
          <w:szCs w:val="24"/>
          <w:lang w:val="lv-LV"/>
        </w:rPr>
      </w:pPr>
      <w:r w:rsidRPr="006E3512">
        <w:rPr>
          <w:rFonts w:cs="Times New Roman"/>
          <w:sz w:val="24"/>
          <w:szCs w:val="24"/>
          <w:lang w:val="lv-LV"/>
        </w:rPr>
        <w:t>Aizsardzības ministrs</w:t>
      </w:r>
      <w:r w:rsidR="005777B9" w:rsidRPr="006E3512">
        <w:rPr>
          <w:rFonts w:cs="Times New Roman"/>
          <w:sz w:val="24"/>
          <w:szCs w:val="24"/>
          <w:lang w:val="lv-LV"/>
        </w:rPr>
        <w:t xml:space="preserve">                                                                         </w:t>
      </w:r>
      <w:r w:rsidRPr="006E3512">
        <w:rPr>
          <w:rFonts w:cs="Times New Roman"/>
          <w:sz w:val="24"/>
          <w:szCs w:val="24"/>
          <w:lang w:val="lv-LV"/>
        </w:rPr>
        <w:t xml:space="preserve">               </w:t>
      </w:r>
      <w:r w:rsidR="00232726" w:rsidRPr="006E3512">
        <w:rPr>
          <w:rFonts w:cs="Times New Roman"/>
          <w:sz w:val="24"/>
          <w:szCs w:val="24"/>
          <w:lang w:val="lv-LV"/>
        </w:rPr>
        <w:t xml:space="preserve"> R.Bergmanis</w:t>
      </w:r>
    </w:p>
    <w:p w:rsidR="004600D1" w:rsidRPr="006E3512" w:rsidRDefault="004600D1" w:rsidP="00FE0122">
      <w:pPr>
        <w:tabs>
          <w:tab w:val="right" w:pos="9000"/>
        </w:tabs>
        <w:ind w:right="184"/>
        <w:jc w:val="both"/>
        <w:rPr>
          <w:rFonts w:cs="Times New Roman"/>
          <w:sz w:val="24"/>
          <w:szCs w:val="24"/>
          <w:lang w:val="lv-LV"/>
        </w:rPr>
      </w:pPr>
    </w:p>
    <w:p w:rsidR="001701FF" w:rsidRPr="006E3512" w:rsidRDefault="001701FF" w:rsidP="00FE0122">
      <w:pPr>
        <w:tabs>
          <w:tab w:val="right" w:pos="9000"/>
        </w:tabs>
        <w:ind w:right="184"/>
        <w:jc w:val="both"/>
        <w:rPr>
          <w:rFonts w:cs="Times New Roman"/>
          <w:sz w:val="24"/>
          <w:szCs w:val="24"/>
          <w:lang w:val="lv-LV"/>
        </w:rPr>
      </w:pPr>
    </w:p>
    <w:p w:rsidR="001701FF" w:rsidRPr="006E3512" w:rsidRDefault="001701FF" w:rsidP="00FE0122">
      <w:pPr>
        <w:tabs>
          <w:tab w:val="right" w:pos="9000"/>
        </w:tabs>
        <w:ind w:right="184"/>
        <w:jc w:val="both"/>
        <w:rPr>
          <w:rFonts w:cs="Times New Roman"/>
          <w:sz w:val="24"/>
          <w:szCs w:val="24"/>
          <w:lang w:val="lv-LV"/>
        </w:rPr>
      </w:pPr>
    </w:p>
    <w:p w:rsidR="009A7041" w:rsidRPr="006E3512" w:rsidRDefault="00C16CA3" w:rsidP="00FE0122">
      <w:pPr>
        <w:tabs>
          <w:tab w:val="right" w:pos="9000"/>
        </w:tabs>
        <w:ind w:right="184"/>
        <w:jc w:val="both"/>
        <w:rPr>
          <w:rFonts w:cs="Times New Roman"/>
          <w:sz w:val="24"/>
          <w:szCs w:val="24"/>
          <w:lang w:val="lv-LV"/>
        </w:rPr>
      </w:pPr>
      <w:r w:rsidRPr="006E3512">
        <w:rPr>
          <w:rFonts w:cs="Times New Roman"/>
          <w:sz w:val="24"/>
          <w:szCs w:val="24"/>
          <w:lang w:val="lv-LV"/>
        </w:rPr>
        <w:t xml:space="preserve">Vīza: valsts sekretārs                                                                                        </w:t>
      </w:r>
      <w:r w:rsidR="0090288C">
        <w:rPr>
          <w:rFonts w:cs="Times New Roman"/>
          <w:sz w:val="24"/>
          <w:szCs w:val="24"/>
          <w:lang w:val="lv-LV"/>
        </w:rPr>
        <w:t>J.Garisons</w:t>
      </w: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9A7041" w:rsidRPr="006E3512" w:rsidRDefault="009A7041" w:rsidP="00FE0122">
      <w:pPr>
        <w:tabs>
          <w:tab w:val="left" w:pos="1560"/>
        </w:tabs>
        <w:ind w:right="184"/>
        <w:rPr>
          <w:rFonts w:cs="Times New Roman"/>
          <w:sz w:val="24"/>
          <w:szCs w:val="24"/>
          <w:lang w:val="lv-LV"/>
        </w:rPr>
      </w:pPr>
    </w:p>
    <w:p w:rsidR="004600D1" w:rsidRPr="00D146CD" w:rsidRDefault="00CE6EA0" w:rsidP="00FE0122">
      <w:pPr>
        <w:tabs>
          <w:tab w:val="left" w:pos="1560"/>
        </w:tabs>
        <w:ind w:right="184"/>
        <w:rPr>
          <w:rFonts w:cs="Times New Roman"/>
          <w:lang w:val="lv-LV"/>
        </w:rPr>
      </w:pPr>
      <w:r>
        <w:rPr>
          <w:rFonts w:cs="Times New Roman"/>
          <w:lang w:val="lv-LV"/>
        </w:rPr>
        <w:t>11</w:t>
      </w:r>
      <w:r w:rsidR="00D81736" w:rsidRPr="00D146CD">
        <w:rPr>
          <w:rFonts w:cs="Times New Roman"/>
          <w:lang w:val="lv-LV"/>
        </w:rPr>
        <w:t>.</w:t>
      </w:r>
      <w:r>
        <w:rPr>
          <w:rFonts w:cs="Times New Roman"/>
          <w:lang w:val="lv-LV"/>
        </w:rPr>
        <w:t>04</w:t>
      </w:r>
      <w:r w:rsidR="00FF435B" w:rsidRPr="00D146CD">
        <w:rPr>
          <w:rFonts w:cs="Times New Roman"/>
          <w:lang w:val="lv-LV"/>
        </w:rPr>
        <w:t>.</w:t>
      </w:r>
      <w:r w:rsidR="00D72B7D" w:rsidRPr="00D146CD">
        <w:rPr>
          <w:rFonts w:cs="Times New Roman"/>
          <w:lang w:val="lv-LV"/>
        </w:rPr>
        <w:t>2016</w:t>
      </w:r>
      <w:r w:rsidR="004600D1" w:rsidRPr="00D146CD">
        <w:rPr>
          <w:rFonts w:cs="Times New Roman"/>
          <w:lang w:val="lv-LV"/>
        </w:rPr>
        <w:t>.</w:t>
      </w:r>
      <w:r w:rsidR="00C16CA3" w:rsidRPr="00D146CD">
        <w:rPr>
          <w:rFonts w:cs="Times New Roman"/>
          <w:lang w:val="lv-LV"/>
        </w:rPr>
        <w:t xml:space="preserve"> </w:t>
      </w:r>
      <w:r w:rsidR="00787F48" w:rsidRPr="00D146CD">
        <w:rPr>
          <w:rFonts w:cs="Times New Roman"/>
          <w:lang w:val="lv-LV"/>
        </w:rPr>
        <w:t>1</w:t>
      </w:r>
      <w:r w:rsidR="00FF75E3">
        <w:rPr>
          <w:rFonts w:cs="Times New Roman"/>
          <w:lang w:val="lv-LV"/>
        </w:rPr>
        <w:t>0</w:t>
      </w:r>
      <w:r w:rsidR="00787F48" w:rsidRPr="00D146CD">
        <w:rPr>
          <w:rFonts w:cs="Times New Roman"/>
          <w:lang w:val="lv-LV"/>
        </w:rPr>
        <w:t>:</w:t>
      </w:r>
      <w:r w:rsidR="00FF75E3">
        <w:rPr>
          <w:rFonts w:cs="Times New Roman"/>
          <w:lang w:val="lv-LV"/>
        </w:rPr>
        <w:t>37</w:t>
      </w:r>
    </w:p>
    <w:p w:rsidR="004600D1" w:rsidRPr="00D146CD" w:rsidRDefault="008F2B10" w:rsidP="00FE0122">
      <w:pPr>
        <w:pStyle w:val="Header"/>
        <w:ind w:right="184"/>
        <w:rPr>
          <w:sz w:val="20"/>
          <w:szCs w:val="20"/>
        </w:rPr>
      </w:pPr>
      <w:r>
        <w:rPr>
          <w:sz w:val="20"/>
          <w:szCs w:val="20"/>
        </w:rPr>
        <w:t>82</w:t>
      </w:r>
      <w:r w:rsidR="00AE30C7">
        <w:rPr>
          <w:sz w:val="20"/>
          <w:szCs w:val="20"/>
        </w:rPr>
        <w:t>2</w:t>
      </w:r>
    </w:p>
    <w:p w:rsidR="00D544B0" w:rsidRPr="00D146CD" w:rsidRDefault="00D81736" w:rsidP="00FE0122">
      <w:pPr>
        <w:pStyle w:val="Header"/>
        <w:ind w:right="184"/>
        <w:rPr>
          <w:sz w:val="20"/>
          <w:szCs w:val="20"/>
        </w:rPr>
      </w:pPr>
      <w:r w:rsidRPr="00D146CD">
        <w:rPr>
          <w:sz w:val="20"/>
          <w:szCs w:val="20"/>
        </w:rPr>
        <w:t>L.Bramane</w:t>
      </w:r>
    </w:p>
    <w:p w:rsidR="00FA4C6C" w:rsidRPr="00115B51" w:rsidRDefault="00F04BE3" w:rsidP="00FE0122">
      <w:pPr>
        <w:pStyle w:val="Header"/>
        <w:ind w:right="184"/>
        <w:rPr>
          <w:sz w:val="20"/>
          <w:szCs w:val="20"/>
        </w:rPr>
      </w:pPr>
      <w:hyperlink r:id="rId9" w:history="1">
        <w:r w:rsidR="00497862" w:rsidRPr="00D146CD">
          <w:rPr>
            <w:rStyle w:val="Hyperlink"/>
            <w:color w:val="auto"/>
            <w:sz w:val="20"/>
            <w:szCs w:val="20"/>
          </w:rPr>
          <w:t>lija.bramane@mod.gov.lv</w:t>
        </w:r>
      </w:hyperlink>
      <w:r w:rsidR="00D81736" w:rsidRPr="00D146CD">
        <w:rPr>
          <w:sz w:val="20"/>
          <w:szCs w:val="20"/>
        </w:rPr>
        <w:t>, 67335239</w:t>
      </w:r>
    </w:p>
    <w:sectPr w:rsidR="00FA4C6C" w:rsidRPr="00115B51" w:rsidSect="009B7F13">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1F" w:rsidRDefault="004C291F" w:rsidP="00793251">
      <w:r>
        <w:separator/>
      </w:r>
    </w:p>
  </w:endnote>
  <w:endnote w:type="continuationSeparator" w:id="0">
    <w:p w:rsidR="004C291F" w:rsidRDefault="004C291F"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F" w:rsidRPr="00CE64BF" w:rsidRDefault="00793251" w:rsidP="00CE64BF">
    <w:pPr>
      <w:shd w:val="clear" w:color="auto" w:fill="FFFFFF"/>
      <w:rPr>
        <w:rFonts w:cs="Times New Roman"/>
        <w:bCs/>
        <w:lang w:val="lv-LV" w:eastAsia="lv-LV" w:bidi="ar-SA"/>
      </w:rPr>
    </w:pPr>
    <w:r w:rsidRPr="00CE64BF">
      <w:rPr>
        <w:lang w:val="lv-LV"/>
      </w:rPr>
      <w:t>AIMAnot_</w:t>
    </w:r>
    <w:r w:rsidR="00365C9D">
      <w:rPr>
        <w:lang w:val="lv-LV"/>
      </w:rPr>
      <w:t>1104</w:t>
    </w:r>
    <w:r w:rsidR="00667F63">
      <w:rPr>
        <w:lang w:val="lv-LV"/>
      </w:rPr>
      <w:t>16</w:t>
    </w:r>
    <w:r w:rsidRPr="00CE64BF">
      <w:rPr>
        <w:lang w:val="lv-LV"/>
      </w:rPr>
      <w:t>_</w:t>
    </w:r>
    <w:r w:rsidR="00667F63">
      <w:rPr>
        <w:lang w:val="lv-LV"/>
      </w:rPr>
      <w:t>groz</w:t>
    </w:r>
    <w:r w:rsidR="00603D34">
      <w:rPr>
        <w:lang w:val="lv-LV"/>
      </w:rPr>
      <w:t>MK</w:t>
    </w:r>
    <w:r w:rsidR="00CE64BF" w:rsidRPr="00CE64BF">
      <w:rPr>
        <w:lang w:val="lv-LV"/>
      </w:rPr>
      <w:t>478</w:t>
    </w:r>
    <w:r w:rsidRPr="00CE64BF">
      <w:rPr>
        <w:lang w:val="lv-LV"/>
      </w:rPr>
      <w:t>;</w:t>
    </w:r>
    <w:r w:rsidR="00CE64BF" w:rsidRPr="00CE64BF">
      <w:rPr>
        <w:rFonts w:cs="Times New Roman"/>
        <w:bCs/>
        <w:lang w:val="lv-LV" w:eastAsia="lv-LV" w:bidi="ar-SA"/>
      </w:rPr>
      <w:t xml:space="preserve"> Ministru kabineta noteikumu projekta „</w:t>
    </w:r>
    <w:r w:rsidR="00C726FE">
      <w:rPr>
        <w:bCs/>
        <w:lang w:val="lv-LV"/>
      </w:rPr>
      <w:t>Grozījums</w:t>
    </w:r>
    <w:r w:rsidR="00CE64BF" w:rsidRPr="00CE64BF">
      <w:rPr>
        <w:bCs/>
        <w:lang w:val="lv-LV"/>
      </w:rPr>
      <w:t xml:space="preserve"> Ministru kabineta 2002.</w:t>
    </w:r>
    <w:r w:rsidR="00A31CA7">
      <w:rPr>
        <w:bCs/>
        <w:lang w:val="lv-LV"/>
      </w:rPr>
      <w:t>gada 22.oktobra noteikumos Nr.4</w:t>
    </w:r>
    <w:r w:rsidR="00CE64BF" w:rsidRPr="00CE64BF">
      <w:rPr>
        <w:bCs/>
        <w:lang w:val="lv-LV"/>
      </w:rPr>
      <w:t>7</w:t>
    </w:r>
    <w:r w:rsidR="00A31CA7">
      <w:rPr>
        <w:bCs/>
        <w:lang w:val="lv-LV"/>
      </w:rPr>
      <w:t>8</w:t>
    </w:r>
    <w:r w:rsidR="00CE64BF" w:rsidRPr="00CE64BF">
      <w:rPr>
        <w:bCs/>
        <w:lang w:val="lv-LV"/>
      </w:rPr>
      <w:t xml:space="preserve"> </w:t>
    </w:r>
    <w:r w:rsidR="00DF31DD" w:rsidRPr="00CC3EAD">
      <w:rPr>
        <w:rFonts w:cs="Times New Roman"/>
        <w:sz w:val="24"/>
        <w:szCs w:val="24"/>
        <w:lang w:val="lv-LV" w:eastAsia="lv-LV" w:bidi="ar-SA"/>
      </w:rPr>
      <w:t>„</w:t>
    </w:r>
    <w:r w:rsidR="00CE64BF" w:rsidRPr="00CE64BF">
      <w:rPr>
        <w:bCs/>
        <w:lang w:val="lv-LV"/>
      </w:rPr>
      <w:t>Kārtība, kādā aizpildāmas, iesniedzamas, reģistrējamas un glabājamas valsts amatpersonu deklarācijas un aizpildāmi un iesniedzami valsts amatpersonu saraksti”</w:t>
    </w:r>
    <w:r w:rsidR="00CE64BF" w:rsidRPr="00CE64BF">
      <w:rPr>
        <w:rFonts w:cs="Times New Roman"/>
        <w:bCs/>
        <w:lang w:val="lv-LV" w:eastAsia="lv-LV" w:bidi="ar-SA"/>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1F" w:rsidRDefault="004C291F" w:rsidP="00793251">
      <w:r>
        <w:separator/>
      </w:r>
    </w:p>
  </w:footnote>
  <w:footnote w:type="continuationSeparator" w:id="0">
    <w:p w:rsidR="004C291F" w:rsidRDefault="004C291F"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F04BE3">
          <w:rPr>
            <w:noProof/>
          </w:rPr>
          <w:t>1</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14F41"/>
    <w:rsid w:val="000229E3"/>
    <w:rsid w:val="00030C42"/>
    <w:rsid w:val="00040BA5"/>
    <w:rsid w:val="00042947"/>
    <w:rsid w:val="00054B8D"/>
    <w:rsid w:val="00061078"/>
    <w:rsid w:val="000637B5"/>
    <w:rsid w:val="000658D9"/>
    <w:rsid w:val="00065F37"/>
    <w:rsid w:val="00074DB4"/>
    <w:rsid w:val="00076558"/>
    <w:rsid w:val="00085112"/>
    <w:rsid w:val="00086FA2"/>
    <w:rsid w:val="000874A0"/>
    <w:rsid w:val="00090C83"/>
    <w:rsid w:val="000A1D45"/>
    <w:rsid w:val="000A6795"/>
    <w:rsid w:val="000B14C5"/>
    <w:rsid w:val="000B7D8D"/>
    <w:rsid w:val="000C5C9C"/>
    <w:rsid w:val="000C6C6E"/>
    <w:rsid w:val="000D4687"/>
    <w:rsid w:val="000D5813"/>
    <w:rsid w:val="000D7221"/>
    <w:rsid w:val="000F0597"/>
    <w:rsid w:val="000F24DA"/>
    <w:rsid w:val="000F54DB"/>
    <w:rsid w:val="000F5E0C"/>
    <w:rsid w:val="000F737C"/>
    <w:rsid w:val="000F7F67"/>
    <w:rsid w:val="00103E34"/>
    <w:rsid w:val="0010692E"/>
    <w:rsid w:val="00114579"/>
    <w:rsid w:val="00115B51"/>
    <w:rsid w:val="00126877"/>
    <w:rsid w:val="00151D38"/>
    <w:rsid w:val="00163696"/>
    <w:rsid w:val="00164439"/>
    <w:rsid w:val="00164FC1"/>
    <w:rsid w:val="0016504C"/>
    <w:rsid w:val="001701FF"/>
    <w:rsid w:val="00175B76"/>
    <w:rsid w:val="001915AF"/>
    <w:rsid w:val="001919C8"/>
    <w:rsid w:val="001925E4"/>
    <w:rsid w:val="00193650"/>
    <w:rsid w:val="0019390A"/>
    <w:rsid w:val="00194D40"/>
    <w:rsid w:val="001A42A1"/>
    <w:rsid w:val="001B77B1"/>
    <w:rsid w:val="001C12F3"/>
    <w:rsid w:val="001C25DB"/>
    <w:rsid w:val="001C4F7F"/>
    <w:rsid w:val="001D01FE"/>
    <w:rsid w:val="001D1271"/>
    <w:rsid w:val="001D617B"/>
    <w:rsid w:val="001E4F19"/>
    <w:rsid w:val="001F2472"/>
    <w:rsid w:val="0022067D"/>
    <w:rsid w:val="0022395F"/>
    <w:rsid w:val="00224240"/>
    <w:rsid w:val="00224D82"/>
    <w:rsid w:val="00226E54"/>
    <w:rsid w:val="00232726"/>
    <w:rsid w:val="0023426F"/>
    <w:rsid w:val="00237EC9"/>
    <w:rsid w:val="002430B0"/>
    <w:rsid w:val="00254A93"/>
    <w:rsid w:val="00260881"/>
    <w:rsid w:val="0026236D"/>
    <w:rsid w:val="00275105"/>
    <w:rsid w:val="002768AB"/>
    <w:rsid w:val="002809EE"/>
    <w:rsid w:val="00284CE1"/>
    <w:rsid w:val="00293854"/>
    <w:rsid w:val="00294B69"/>
    <w:rsid w:val="00297668"/>
    <w:rsid w:val="002A24A5"/>
    <w:rsid w:val="002A3F4A"/>
    <w:rsid w:val="002B1EE8"/>
    <w:rsid w:val="002B6A6B"/>
    <w:rsid w:val="002C77A2"/>
    <w:rsid w:val="002E05ED"/>
    <w:rsid w:val="002E384D"/>
    <w:rsid w:val="00302D0B"/>
    <w:rsid w:val="003034E1"/>
    <w:rsid w:val="00304507"/>
    <w:rsid w:val="00313035"/>
    <w:rsid w:val="00313AEC"/>
    <w:rsid w:val="00335025"/>
    <w:rsid w:val="00352530"/>
    <w:rsid w:val="00365C9D"/>
    <w:rsid w:val="00367909"/>
    <w:rsid w:val="00373551"/>
    <w:rsid w:val="0038789A"/>
    <w:rsid w:val="003904DC"/>
    <w:rsid w:val="00390F5A"/>
    <w:rsid w:val="003A2021"/>
    <w:rsid w:val="003A30C8"/>
    <w:rsid w:val="003A4807"/>
    <w:rsid w:val="003A4B6F"/>
    <w:rsid w:val="003B1EE2"/>
    <w:rsid w:val="003B69E0"/>
    <w:rsid w:val="003C0671"/>
    <w:rsid w:val="003D1ABA"/>
    <w:rsid w:val="003D1AF7"/>
    <w:rsid w:val="003D2B61"/>
    <w:rsid w:val="003D2C67"/>
    <w:rsid w:val="003D478E"/>
    <w:rsid w:val="003E2C46"/>
    <w:rsid w:val="003F48C9"/>
    <w:rsid w:val="003F6A17"/>
    <w:rsid w:val="004003B2"/>
    <w:rsid w:val="0040365C"/>
    <w:rsid w:val="00416371"/>
    <w:rsid w:val="0041665F"/>
    <w:rsid w:val="004307F9"/>
    <w:rsid w:val="0043361D"/>
    <w:rsid w:val="004336E9"/>
    <w:rsid w:val="00436A5B"/>
    <w:rsid w:val="004560C6"/>
    <w:rsid w:val="0045647A"/>
    <w:rsid w:val="00456804"/>
    <w:rsid w:val="004574D3"/>
    <w:rsid w:val="004600D1"/>
    <w:rsid w:val="004630A0"/>
    <w:rsid w:val="0046361F"/>
    <w:rsid w:val="004831D3"/>
    <w:rsid w:val="0048606A"/>
    <w:rsid w:val="004917C2"/>
    <w:rsid w:val="00497862"/>
    <w:rsid w:val="004A2D30"/>
    <w:rsid w:val="004B4277"/>
    <w:rsid w:val="004C291F"/>
    <w:rsid w:val="004D5115"/>
    <w:rsid w:val="004E3018"/>
    <w:rsid w:val="004E5C4A"/>
    <w:rsid w:val="004E67D3"/>
    <w:rsid w:val="004F10C4"/>
    <w:rsid w:val="004F46DA"/>
    <w:rsid w:val="004F792A"/>
    <w:rsid w:val="00504AE1"/>
    <w:rsid w:val="0050644A"/>
    <w:rsid w:val="0053422B"/>
    <w:rsid w:val="00536B20"/>
    <w:rsid w:val="00550F78"/>
    <w:rsid w:val="00551A8D"/>
    <w:rsid w:val="00560FD2"/>
    <w:rsid w:val="0056212D"/>
    <w:rsid w:val="0056443F"/>
    <w:rsid w:val="005658BE"/>
    <w:rsid w:val="00573EFC"/>
    <w:rsid w:val="005777B9"/>
    <w:rsid w:val="00584621"/>
    <w:rsid w:val="005870F0"/>
    <w:rsid w:val="005A1BE4"/>
    <w:rsid w:val="005A42F0"/>
    <w:rsid w:val="005B608D"/>
    <w:rsid w:val="005D5D54"/>
    <w:rsid w:val="005E0240"/>
    <w:rsid w:val="005E086C"/>
    <w:rsid w:val="005E2B7A"/>
    <w:rsid w:val="005E5934"/>
    <w:rsid w:val="005F1F40"/>
    <w:rsid w:val="005F3ABB"/>
    <w:rsid w:val="00603D34"/>
    <w:rsid w:val="00617745"/>
    <w:rsid w:val="00622B53"/>
    <w:rsid w:val="00632D21"/>
    <w:rsid w:val="0063540A"/>
    <w:rsid w:val="00642A4A"/>
    <w:rsid w:val="006502FA"/>
    <w:rsid w:val="00650AAC"/>
    <w:rsid w:val="00653430"/>
    <w:rsid w:val="00665869"/>
    <w:rsid w:val="0066667B"/>
    <w:rsid w:val="00667F63"/>
    <w:rsid w:val="00670E2E"/>
    <w:rsid w:val="00682404"/>
    <w:rsid w:val="00684C3C"/>
    <w:rsid w:val="00694DA1"/>
    <w:rsid w:val="006956F2"/>
    <w:rsid w:val="006971B2"/>
    <w:rsid w:val="006B66DB"/>
    <w:rsid w:val="006C0872"/>
    <w:rsid w:val="006C0AB6"/>
    <w:rsid w:val="006C36FE"/>
    <w:rsid w:val="006C3A52"/>
    <w:rsid w:val="006C76E9"/>
    <w:rsid w:val="006D6267"/>
    <w:rsid w:val="006D7763"/>
    <w:rsid w:val="006E3512"/>
    <w:rsid w:val="006E7F36"/>
    <w:rsid w:val="006F0D0B"/>
    <w:rsid w:val="006F7C61"/>
    <w:rsid w:val="00702C3D"/>
    <w:rsid w:val="00707A90"/>
    <w:rsid w:val="0071066D"/>
    <w:rsid w:val="00714A16"/>
    <w:rsid w:val="00724200"/>
    <w:rsid w:val="0072602E"/>
    <w:rsid w:val="007370A5"/>
    <w:rsid w:val="00737AC4"/>
    <w:rsid w:val="00741041"/>
    <w:rsid w:val="007476E5"/>
    <w:rsid w:val="0075272E"/>
    <w:rsid w:val="00753098"/>
    <w:rsid w:val="007635F3"/>
    <w:rsid w:val="00767F43"/>
    <w:rsid w:val="007877F6"/>
    <w:rsid w:val="00787F48"/>
    <w:rsid w:val="007925D2"/>
    <w:rsid w:val="00793251"/>
    <w:rsid w:val="00797A20"/>
    <w:rsid w:val="007A38BB"/>
    <w:rsid w:val="007B281C"/>
    <w:rsid w:val="007B430E"/>
    <w:rsid w:val="007B4C36"/>
    <w:rsid w:val="007B5EE0"/>
    <w:rsid w:val="007B6899"/>
    <w:rsid w:val="007C0D6E"/>
    <w:rsid w:val="007D57F5"/>
    <w:rsid w:val="007E40B6"/>
    <w:rsid w:val="007F1D73"/>
    <w:rsid w:val="00800808"/>
    <w:rsid w:val="00807EF3"/>
    <w:rsid w:val="0081032B"/>
    <w:rsid w:val="008118E4"/>
    <w:rsid w:val="00813D92"/>
    <w:rsid w:val="00823466"/>
    <w:rsid w:val="00823D09"/>
    <w:rsid w:val="008320AC"/>
    <w:rsid w:val="0085332C"/>
    <w:rsid w:val="008604DB"/>
    <w:rsid w:val="00867926"/>
    <w:rsid w:val="00871433"/>
    <w:rsid w:val="008774EF"/>
    <w:rsid w:val="008804EF"/>
    <w:rsid w:val="00890568"/>
    <w:rsid w:val="00890793"/>
    <w:rsid w:val="00895749"/>
    <w:rsid w:val="008B0276"/>
    <w:rsid w:val="008B07CF"/>
    <w:rsid w:val="008B28DD"/>
    <w:rsid w:val="008B7821"/>
    <w:rsid w:val="008C64BD"/>
    <w:rsid w:val="008C6CA0"/>
    <w:rsid w:val="008C7B42"/>
    <w:rsid w:val="008D0219"/>
    <w:rsid w:val="008D4F6E"/>
    <w:rsid w:val="008E0711"/>
    <w:rsid w:val="008F2B10"/>
    <w:rsid w:val="0090288C"/>
    <w:rsid w:val="00915515"/>
    <w:rsid w:val="009213E1"/>
    <w:rsid w:val="00921AD6"/>
    <w:rsid w:val="00925FF5"/>
    <w:rsid w:val="0093126B"/>
    <w:rsid w:val="00954E75"/>
    <w:rsid w:val="00957F97"/>
    <w:rsid w:val="00961EAA"/>
    <w:rsid w:val="00963455"/>
    <w:rsid w:val="00966A51"/>
    <w:rsid w:val="00970DF3"/>
    <w:rsid w:val="00971470"/>
    <w:rsid w:val="00972D20"/>
    <w:rsid w:val="00976F2C"/>
    <w:rsid w:val="0099301D"/>
    <w:rsid w:val="0099471F"/>
    <w:rsid w:val="00997531"/>
    <w:rsid w:val="009A3D3D"/>
    <w:rsid w:val="009A48D6"/>
    <w:rsid w:val="009A61A0"/>
    <w:rsid w:val="009A7041"/>
    <w:rsid w:val="009B0629"/>
    <w:rsid w:val="009B1647"/>
    <w:rsid w:val="009B1A03"/>
    <w:rsid w:val="009B32A9"/>
    <w:rsid w:val="009B37E1"/>
    <w:rsid w:val="009B4565"/>
    <w:rsid w:val="009B7AA7"/>
    <w:rsid w:val="009B7F13"/>
    <w:rsid w:val="009D176E"/>
    <w:rsid w:val="009D47A7"/>
    <w:rsid w:val="009D55A4"/>
    <w:rsid w:val="009E42A4"/>
    <w:rsid w:val="009F1792"/>
    <w:rsid w:val="009F32C8"/>
    <w:rsid w:val="00A03D51"/>
    <w:rsid w:val="00A04D53"/>
    <w:rsid w:val="00A14C0F"/>
    <w:rsid w:val="00A16DD5"/>
    <w:rsid w:val="00A22BBC"/>
    <w:rsid w:val="00A26527"/>
    <w:rsid w:val="00A31CA7"/>
    <w:rsid w:val="00A4121D"/>
    <w:rsid w:val="00A43363"/>
    <w:rsid w:val="00A44F5A"/>
    <w:rsid w:val="00A46DA6"/>
    <w:rsid w:val="00A50AF5"/>
    <w:rsid w:val="00A50D61"/>
    <w:rsid w:val="00A6064C"/>
    <w:rsid w:val="00A669D6"/>
    <w:rsid w:val="00A67DD3"/>
    <w:rsid w:val="00A84DFA"/>
    <w:rsid w:val="00A8709B"/>
    <w:rsid w:val="00A92A90"/>
    <w:rsid w:val="00A93B9C"/>
    <w:rsid w:val="00AA7611"/>
    <w:rsid w:val="00AB486D"/>
    <w:rsid w:val="00AB703C"/>
    <w:rsid w:val="00AD3FAC"/>
    <w:rsid w:val="00AD6F71"/>
    <w:rsid w:val="00AE04E7"/>
    <w:rsid w:val="00AE30C7"/>
    <w:rsid w:val="00AE5752"/>
    <w:rsid w:val="00AF3AC3"/>
    <w:rsid w:val="00AF62DC"/>
    <w:rsid w:val="00B03CDB"/>
    <w:rsid w:val="00B0614E"/>
    <w:rsid w:val="00B432E8"/>
    <w:rsid w:val="00B4605F"/>
    <w:rsid w:val="00B47AF6"/>
    <w:rsid w:val="00B5205B"/>
    <w:rsid w:val="00B638CE"/>
    <w:rsid w:val="00B64B56"/>
    <w:rsid w:val="00B80259"/>
    <w:rsid w:val="00B845FA"/>
    <w:rsid w:val="00B847AE"/>
    <w:rsid w:val="00B91C5E"/>
    <w:rsid w:val="00B924BD"/>
    <w:rsid w:val="00B924DA"/>
    <w:rsid w:val="00B92B3C"/>
    <w:rsid w:val="00B95FA4"/>
    <w:rsid w:val="00BA3486"/>
    <w:rsid w:val="00BA6DC0"/>
    <w:rsid w:val="00BB0D55"/>
    <w:rsid w:val="00BD0A82"/>
    <w:rsid w:val="00BD1AE9"/>
    <w:rsid w:val="00BD5854"/>
    <w:rsid w:val="00BE19B7"/>
    <w:rsid w:val="00BE2147"/>
    <w:rsid w:val="00BE44F1"/>
    <w:rsid w:val="00BF6991"/>
    <w:rsid w:val="00C042E0"/>
    <w:rsid w:val="00C04E7D"/>
    <w:rsid w:val="00C15175"/>
    <w:rsid w:val="00C16CA3"/>
    <w:rsid w:val="00C20DB8"/>
    <w:rsid w:val="00C250DF"/>
    <w:rsid w:val="00C34BE2"/>
    <w:rsid w:val="00C35A78"/>
    <w:rsid w:val="00C366C1"/>
    <w:rsid w:val="00C4320F"/>
    <w:rsid w:val="00C43294"/>
    <w:rsid w:val="00C44519"/>
    <w:rsid w:val="00C53718"/>
    <w:rsid w:val="00C5737E"/>
    <w:rsid w:val="00C57D32"/>
    <w:rsid w:val="00C6134E"/>
    <w:rsid w:val="00C61DE2"/>
    <w:rsid w:val="00C726FE"/>
    <w:rsid w:val="00C729FB"/>
    <w:rsid w:val="00C83E8F"/>
    <w:rsid w:val="00C87D28"/>
    <w:rsid w:val="00C959B8"/>
    <w:rsid w:val="00CA358A"/>
    <w:rsid w:val="00CA7472"/>
    <w:rsid w:val="00CA7509"/>
    <w:rsid w:val="00CB7EEF"/>
    <w:rsid w:val="00CC3EAD"/>
    <w:rsid w:val="00CC6E7B"/>
    <w:rsid w:val="00CD7161"/>
    <w:rsid w:val="00CD747B"/>
    <w:rsid w:val="00CE3D26"/>
    <w:rsid w:val="00CE64BF"/>
    <w:rsid w:val="00CE6EA0"/>
    <w:rsid w:val="00D13758"/>
    <w:rsid w:val="00D146CD"/>
    <w:rsid w:val="00D15CD0"/>
    <w:rsid w:val="00D30F08"/>
    <w:rsid w:val="00D30F88"/>
    <w:rsid w:val="00D371AD"/>
    <w:rsid w:val="00D4371C"/>
    <w:rsid w:val="00D50FA7"/>
    <w:rsid w:val="00D544B0"/>
    <w:rsid w:val="00D57145"/>
    <w:rsid w:val="00D60E2F"/>
    <w:rsid w:val="00D72B7D"/>
    <w:rsid w:val="00D81736"/>
    <w:rsid w:val="00D817C2"/>
    <w:rsid w:val="00DA12B7"/>
    <w:rsid w:val="00DA1390"/>
    <w:rsid w:val="00DA43BA"/>
    <w:rsid w:val="00DA55F2"/>
    <w:rsid w:val="00DB663C"/>
    <w:rsid w:val="00DD0703"/>
    <w:rsid w:val="00DD0F37"/>
    <w:rsid w:val="00DD4DEC"/>
    <w:rsid w:val="00DF263E"/>
    <w:rsid w:val="00DF2944"/>
    <w:rsid w:val="00DF31DD"/>
    <w:rsid w:val="00DF591B"/>
    <w:rsid w:val="00DF6769"/>
    <w:rsid w:val="00DF7B96"/>
    <w:rsid w:val="00E11E8C"/>
    <w:rsid w:val="00E14F71"/>
    <w:rsid w:val="00E20B65"/>
    <w:rsid w:val="00E2536F"/>
    <w:rsid w:val="00E37DBA"/>
    <w:rsid w:val="00E57635"/>
    <w:rsid w:val="00E64ADC"/>
    <w:rsid w:val="00E65F9E"/>
    <w:rsid w:val="00E67133"/>
    <w:rsid w:val="00E80D23"/>
    <w:rsid w:val="00E84D55"/>
    <w:rsid w:val="00E92438"/>
    <w:rsid w:val="00E928C2"/>
    <w:rsid w:val="00E97A9E"/>
    <w:rsid w:val="00EA214B"/>
    <w:rsid w:val="00EA3551"/>
    <w:rsid w:val="00EB4C92"/>
    <w:rsid w:val="00EB5489"/>
    <w:rsid w:val="00EC7E8B"/>
    <w:rsid w:val="00ED019F"/>
    <w:rsid w:val="00ED058E"/>
    <w:rsid w:val="00ED329D"/>
    <w:rsid w:val="00EF28EA"/>
    <w:rsid w:val="00EF6ED9"/>
    <w:rsid w:val="00F01D6D"/>
    <w:rsid w:val="00F04BE3"/>
    <w:rsid w:val="00F16301"/>
    <w:rsid w:val="00F22346"/>
    <w:rsid w:val="00F3017D"/>
    <w:rsid w:val="00F41B10"/>
    <w:rsid w:val="00F42A7D"/>
    <w:rsid w:val="00F44D94"/>
    <w:rsid w:val="00F52B0B"/>
    <w:rsid w:val="00F64BA7"/>
    <w:rsid w:val="00F64DAF"/>
    <w:rsid w:val="00F70409"/>
    <w:rsid w:val="00F7305A"/>
    <w:rsid w:val="00F74DE5"/>
    <w:rsid w:val="00F86D74"/>
    <w:rsid w:val="00F87F12"/>
    <w:rsid w:val="00F93457"/>
    <w:rsid w:val="00FA4C6C"/>
    <w:rsid w:val="00FA69E4"/>
    <w:rsid w:val="00FB3103"/>
    <w:rsid w:val="00FB40CD"/>
    <w:rsid w:val="00FB485B"/>
    <w:rsid w:val="00FB5911"/>
    <w:rsid w:val="00FD24CA"/>
    <w:rsid w:val="00FD3BFE"/>
    <w:rsid w:val="00FD5443"/>
    <w:rsid w:val="00FD7E7B"/>
    <w:rsid w:val="00FE0122"/>
    <w:rsid w:val="00FF435B"/>
    <w:rsid w:val="00FF7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4836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ja.braman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CADF-637F-47E4-B9AA-800838E3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822</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Grozījums MK 2002.gada 22.oktobra not. nr.478</vt:lpstr>
    </vt:vector>
  </TitlesOfParts>
  <Manager>Aizsardzības ministrija</Manager>
  <Company>Aizsardzības ministrija</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grozījumam MK 2002.gada 22.oktobra not. nr.478</dc:title>
  <dc:subject>anotācija</dc:subject>
  <dc:creator>Lija.Bramane@mod.gov.lv</dc:creator>
  <cp:lastModifiedBy>Lija Bramane</cp:lastModifiedBy>
  <cp:revision>16</cp:revision>
  <cp:lastPrinted>2016-03-10T09:01:00Z</cp:lastPrinted>
  <dcterms:created xsi:type="dcterms:W3CDTF">2016-04-08T12:44:00Z</dcterms:created>
  <dcterms:modified xsi:type="dcterms:W3CDTF">2016-04-11T08:06:00Z</dcterms:modified>
</cp:coreProperties>
</file>