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6D" w:rsidRDefault="00C60A2F" w:rsidP="00C60A2F">
      <w:pPr>
        <w:jc w:val="center"/>
        <w:rPr>
          <w:b/>
          <w:sz w:val="28"/>
          <w:szCs w:val="28"/>
          <w:lang w:val="lv-LV"/>
        </w:rPr>
      </w:pPr>
      <w:r>
        <w:rPr>
          <w:b/>
          <w:sz w:val="28"/>
          <w:szCs w:val="28"/>
          <w:lang w:val="lv-LV"/>
        </w:rPr>
        <w:t>Informatīvais ziņojums</w:t>
      </w:r>
    </w:p>
    <w:p w:rsidR="00C60A2F" w:rsidRDefault="00C60A2F" w:rsidP="00C60A2F">
      <w:pPr>
        <w:jc w:val="center"/>
        <w:rPr>
          <w:b/>
          <w:bCs/>
          <w:iCs/>
          <w:sz w:val="28"/>
          <w:szCs w:val="28"/>
          <w:lang w:val="lv-LV"/>
        </w:rPr>
      </w:pPr>
      <w:r w:rsidRPr="00C60A2F">
        <w:rPr>
          <w:b/>
          <w:bCs/>
          <w:iCs/>
          <w:sz w:val="28"/>
          <w:szCs w:val="28"/>
          <w:lang w:val="lv-LV"/>
        </w:rPr>
        <w:t>„</w:t>
      </w:r>
      <w:r w:rsidR="00590A21">
        <w:rPr>
          <w:b/>
          <w:bCs/>
          <w:iCs/>
          <w:sz w:val="28"/>
          <w:szCs w:val="28"/>
          <w:lang w:val="lv-LV"/>
        </w:rPr>
        <w:t>Par Nacionālo bruņoto spēku iesaisti sprādzienbīstamu priekšmetu iznīcināšanā jūrā</w:t>
      </w:r>
      <w:r>
        <w:rPr>
          <w:b/>
          <w:bCs/>
          <w:iCs/>
          <w:sz w:val="28"/>
          <w:szCs w:val="28"/>
          <w:lang w:val="lv-LV"/>
        </w:rPr>
        <w:t>”</w:t>
      </w:r>
    </w:p>
    <w:p w:rsidR="00C60A2F" w:rsidRDefault="00C60A2F" w:rsidP="00C60A2F">
      <w:pPr>
        <w:spacing w:line="360" w:lineRule="auto"/>
        <w:jc w:val="both"/>
        <w:rPr>
          <w:b/>
          <w:bCs/>
          <w:iCs/>
          <w:sz w:val="28"/>
          <w:szCs w:val="28"/>
          <w:lang w:val="lv-LV"/>
        </w:rPr>
      </w:pPr>
    </w:p>
    <w:p w:rsidR="00C60A2F" w:rsidRPr="007A4B2E" w:rsidRDefault="00C60A2F" w:rsidP="000E54DF">
      <w:pPr>
        <w:pStyle w:val="ListParagraph"/>
        <w:ind w:left="0" w:firstLine="720"/>
        <w:jc w:val="both"/>
        <w:rPr>
          <w:sz w:val="28"/>
          <w:szCs w:val="28"/>
          <w:lang w:val="lv-LV"/>
        </w:rPr>
      </w:pPr>
      <w:r w:rsidRPr="007A4B2E">
        <w:rPr>
          <w:sz w:val="28"/>
          <w:szCs w:val="28"/>
          <w:lang w:val="lv-LV"/>
        </w:rPr>
        <w:t xml:space="preserve">Aizsardzības ministrija, pamatojoties uz Ministru kabineta 2015. gada </w:t>
      </w:r>
      <w:r w:rsidRPr="007A4B2E">
        <w:rPr>
          <w:sz w:val="28"/>
          <w:szCs w:val="28"/>
          <w:lang w:val="lv-LV"/>
        </w:rPr>
        <w:br/>
        <w:t xml:space="preserve">22. decembra sēdes </w:t>
      </w:r>
      <w:proofErr w:type="spellStart"/>
      <w:r w:rsidRPr="007A4B2E">
        <w:rPr>
          <w:sz w:val="28"/>
          <w:szCs w:val="28"/>
          <w:lang w:val="lv-LV"/>
        </w:rPr>
        <w:t>protokollēmuma</w:t>
      </w:r>
      <w:proofErr w:type="spellEnd"/>
      <w:r w:rsidRPr="007A4B2E">
        <w:rPr>
          <w:sz w:val="28"/>
          <w:szCs w:val="28"/>
          <w:lang w:val="lv-LV"/>
        </w:rPr>
        <w:t xml:space="preserve"> Nr. 68 58.</w:t>
      </w:r>
      <w:r w:rsidRPr="007A4B2E">
        <w:rPr>
          <w:rFonts w:cs="Times New Roman"/>
          <w:sz w:val="28"/>
          <w:szCs w:val="28"/>
          <w:lang w:val="lv-LV"/>
        </w:rPr>
        <w:t>§</w:t>
      </w:r>
      <w:r w:rsidRPr="007A4B2E">
        <w:rPr>
          <w:sz w:val="28"/>
          <w:szCs w:val="28"/>
          <w:lang w:val="lv-LV"/>
        </w:rPr>
        <w:t xml:space="preserve"> 4. punktu, kas uzdod aizsardzības ministram</w:t>
      </w:r>
      <w:r w:rsidR="00590A21" w:rsidRPr="007A4B2E">
        <w:rPr>
          <w:sz w:val="28"/>
          <w:szCs w:val="28"/>
          <w:lang w:val="lv-LV"/>
        </w:rPr>
        <w:t xml:space="preserve"> iesniegt izskatīšanai Ministru kabinetā priekšlikumus grozījumiem normatīvajos aktos par Nacionālo bruņoto spēku iesaisti un veicamajiem pasākumiem tādu sprādzienbīstamu priekšmetu iznīcināšanā Latvijas Republikas iekšējos jūras ūdeņos, teritoriālajā jūrā un ekskluzīvajā ekonomiskajā zonā, kas saistīti ar ogļūdeņražu meklēšan</w:t>
      </w:r>
      <w:r w:rsidR="00AE6DBA">
        <w:rPr>
          <w:sz w:val="28"/>
          <w:szCs w:val="28"/>
          <w:lang w:val="lv-LV"/>
        </w:rPr>
        <w:t>u</w:t>
      </w:r>
      <w:r w:rsidR="00590A21" w:rsidRPr="007A4B2E">
        <w:rPr>
          <w:sz w:val="28"/>
          <w:szCs w:val="28"/>
          <w:lang w:val="lv-LV"/>
        </w:rPr>
        <w:t>, izpēt</w:t>
      </w:r>
      <w:r w:rsidR="00AE6DBA">
        <w:rPr>
          <w:sz w:val="28"/>
          <w:szCs w:val="28"/>
          <w:lang w:val="lv-LV"/>
        </w:rPr>
        <w:t>i</w:t>
      </w:r>
      <w:r w:rsidR="00590A21" w:rsidRPr="007A4B2E">
        <w:rPr>
          <w:sz w:val="28"/>
          <w:szCs w:val="28"/>
          <w:lang w:val="lv-LV"/>
        </w:rPr>
        <w:t xml:space="preserve"> un ieguv</w:t>
      </w:r>
      <w:r w:rsidR="00AE6DBA">
        <w:rPr>
          <w:sz w:val="28"/>
          <w:szCs w:val="28"/>
          <w:lang w:val="lv-LV"/>
        </w:rPr>
        <w:t>i</w:t>
      </w:r>
      <w:r w:rsidR="00590A21" w:rsidRPr="007A4B2E">
        <w:rPr>
          <w:sz w:val="28"/>
          <w:szCs w:val="28"/>
          <w:lang w:val="lv-LV"/>
        </w:rPr>
        <w:t>, ir sagatavojusi un iesniedz Ministru kabinetam informatīvo ziņojumu par Nacionālo bruņoto spēku iesaisti sprādzienbīstamu priekšmetu iznīcināšanā jūrā.</w:t>
      </w:r>
    </w:p>
    <w:p w:rsidR="00590A21" w:rsidRPr="007A4B2E" w:rsidRDefault="00414023" w:rsidP="000E54DF">
      <w:pPr>
        <w:pStyle w:val="ListParagraph"/>
        <w:ind w:left="0" w:firstLine="720"/>
        <w:jc w:val="both"/>
        <w:rPr>
          <w:sz w:val="28"/>
          <w:szCs w:val="28"/>
          <w:lang w:val="lv-LV"/>
        </w:rPr>
      </w:pPr>
      <w:r w:rsidRPr="007A4B2E">
        <w:rPr>
          <w:sz w:val="28"/>
          <w:szCs w:val="28"/>
          <w:lang w:val="lv-LV"/>
        </w:rPr>
        <w:t xml:space="preserve">Nacionālo bruņoto spēku likuma 6. pants kā Nacionālo bruņoto spēku uzdevumus nosaka valsts sauszemes teritorijas aizsardzību un neaizskaramības nodrošināšanu, kā arī valsts jūras akvatorijas un gaisa telpas kontroli, aizsardzību un neaizskaramības nodrošināšanu. Lai </w:t>
      </w:r>
      <w:r w:rsidR="00BF7269">
        <w:rPr>
          <w:sz w:val="28"/>
          <w:szCs w:val="28"/>
          <w:lang w:val="lv-LV"/>
        </w:rPr>
        <w:t xml:space="preserve">izpildītu </w:t>
      </w:r>
      <w:r w:rsidRPr="007A4B2E">
        <w:rPr>
          <w:sz w:val="28"/>
          <w:szCs w:val="28"/>
          <w:lang w:val="lv-LV"/>
        </w:rPr>
        <w:t>minēto</w:t>
      </w:r>
      <w:r w:rsidR="00BF7269">
        <w:rPr>
          <w:sz w:val="28"/>
          <w:szCs w:val="28"/>
          <w:lang w:val="lv-LV"/>
        </w:rPr>
        <w:t>s</w:t>
      </w:r>
      <w:r w:rsidRPr="007A4B2E">
        <w:rPr>
          <w:sz w:val="28"/>
          <w:szCs w:val="28"/>
          <w:lang w:val="lv-LV"/>
        </w:rPr>
        <w:t xml:space="preserve"> uzdevumu</w:t>
      </w:r>
      <w:r w:rsidR="00BF7269">
        <w:rPr>
          <w:sz w:val="28"/>
          <w:szCs w:val="28"/>
          <w:lang w:val="lv-LV"/>
        </w:rPr>
        <w:t>s</w:t>
      </w:r>
      <w:r w:rsidRPr="007A4B2E">
        <w:rPr>
          <w:sz w:val="28"/>
          <w:szCs w:val="28"/>
          <w:lang w:val="lv-LV"/>
        </w:rPr>
        <w:t>, Nacionālo bruņoto spēku likuma 6.</w:t>
      </w:r>
      <w:r w:rsidRPr="007A4B2E">
        <w:rPr>
          <w:sz w:val="28"/>
          <w:szCs w:val="28"/>
          <w:vertAlign w:val="superscript"/>
          <w:lang w:val="lv-LV"/>
        </w:rPr>
        <w:t xml:space="preserve">1 </w:t>
      </w:r>
      <w:r w:rsidRPr="007A4B2E">
        <w:rPr>
          <w:sz w:val="28"/>
          <w:szCs w:val="28"/>
          <w:lang w:val="lv-LV"/>
        </w:rPr>
        <w:t>panta pirmās daļas 3. punkts nosaka, ka Nacionālie bruņotie spēki iznīcina sprādzienbīstamus priekšmetus un veic spridzināšanas darbus.</w:t>
      </w:r>
    </w:p>
    <w:p w:rsidR="007A4B2E" w:rsidRPr="007A4B2E" w:rsidRDefault="00414023" w:rsidP="000E54DF">
      <w:pPr>
        <w:pStyle w:val="ListParagraph"/>
        <w:ind w:left="0" w:firstLine="720"/>
        <w:jc w:val="both"/>
        <w:rPr>
          <w:sz w:val="28"/>
          <w:szCs w:val="28"/>
          <w:lang w:val="lv-LV"/>
        </w:rPr>
      </w:pPr>
      <w:r w:rsidRPr="007A4B2E">
        <w:rPr>
          <w:sz w:val="28"/>
          <w:szCs w:val="28"/>
          <w:lang w:val="lv-LV"/>
        </w:rPr>
        <w:t xml:space="preserve">Nacionālie bruņotie spēki veic sprādzienbīstamu priekšmetu iznīcināšanu jūrā ne tikai </w:t>
      </w:r>
      <w:r w:rsidR="00795767">
        <w:rPr>
          <w:sz w:val="28"/>
          <w:szCs w:val="28"/>
          <w:lang w:val="lv-LV"/>
        </w:rPr>
        <w:t xml:space="preserve">lai veicinātu </w:t>
      </w:r>
      <w:r w:rsidRPr="007A4B2E">
        <w:rPr>
          <w:sz w:val="28"/>
          <w:szCs w:val="28"/>
          <w:lang w:val="lv-LV"/>
        </w:rPr>
        <w:t>valsts saimniec</w:t>
      </w:r>
      <w:r w:rsidR="00795767">
        <w:rPr>
          <w:sz w:val="28"/>
          <w:szCs w:val="28"/>
          <w:lang w:val="lv-LV"/>
        </w:rPr>
        <w:t>isko</w:t>
      </w:r>
      <w:r w:rsidRPr="007A4B2E">
        <w:rPr>
          <w:sz w:val="28"/>
          <w:szCs w:val="28"/>
          <w:lang w:val="lv-LV"/>
        </w:rPr>
        <w:t xml:space="preserve"> attīstīb</w:t>
      </w:r>
      <w:r w:rsidR="00795767">
        <w:rPr>
          <w:sz w:val="28"/>
          <w:szCs w:val="28"/>
          <w:lang w:val="lv-LV"/>
        </w:rPr>
        <w:t>u</w:t>
      </w:r>
      <w:r w:rsidRPr="007A4B2E">
        <w:rPr>
          <w:sz w:val="28"/>
          <w:szCs w:val="28"/>
          <w:lang w:val="lv-LV"/>
        </w:rPr>
        <w:t>, piemēram, piedaloties plānveida starptautisk</w:t>
      </w:r>
      <w:r w:rsidR="00BF7269">
        <w:rPr>
          <w:sz w:val="28"/>
          <w:szCs w:val="28"/>
          <w:lang w:val="lv-LV"/>
        </w:rPr>
        <w:t>aj</w:t>
      </w:r>
      <w:r w:rsidRPr="007A4B2E">
        <w:rPr>
          <w:sz w:val="28"/>
          <w:szCs w:val="28"/>
          <w:lang w:val="lv-LV"/>
        </w:rPr>
        <w:t xml:space="preserve">ās mīnu meklēšanas mācībās kuģošanas ceļiem nozīmīgās vietās, vai lai </w:t>
      </w:r>
      <w:r w:rsidR="00AE6DBA">
        <w:rPr>
          <w:sz w:val="28"/>
          <w:szCs w:val="28"/>
          <w:lang w:val="lv-LV"/>
        </w:rPr>
        <w:t xml:space="preserve">nekavējoši </w:t>
      </w:r>
      <w:r w:rsidRPr="007A4B2E">
        <w:rPr>
          <w:sz w:val="28"/>
          <w:szCs w:val="28"/>
          <w:lang w:val="lv-LV"/>
        </w:rPr>
        <w:t>novērstu valsts saimniecības apdrau</w:t>
      </w:r>
      <w:r w:rsidR="00440590" w:rsidRPr="007A4B2E">
        <w:rPr>
          <w:sz w:val="28"/>
          <w:szCs w:val="28"/>
          <w:lang w:val="lv-LV"/>
        </w:rPr>
        <w:t>dējumu, piemēram, iznīcinot sprādzienbīstamus priekšmetus zvejas tīklos vai peldvietās, bet saskaņā ar normatīvajiem aktiem veic sprādzienbīstamu priekšmetu iznīcināšanu arī komercdarbības projektu vajadzībām</w:t>
      </w:r>
      <w:r w:rsidR="00DE0B81" w:rsidRPr="007A4B2E">
        <w:rPr>
          <w:sz w:val="28"/>
          <w:szCs w:val="28"/>
          <w:lang w:val="lv-LV"/>
        </w:rPr>
        <w:t>.</w:t>
      </w:r>
      <w:r w:rsidR="00892C9E" w:rsidRPr="007A4B2E">
        <w:rPr>
          <w:sz w:val="28"/>
          <w:szCs w:val="28"/>
          <w:lang w:val="lv-LV"/>
        </w:rPr>
        <w:t xml:space="preserve"> Iepriekšējo 10 gadu laikā Ministru kabinetā ir bijuši uzsākti vairāki normatīvo aktu projekti, kas paredz Nacionālo bruņoto spēku darbības jūras gultnes identificēšanā un sprādzienbīstamu</w:t>
      </w:r>
      <w:r w:rsidR="007A4B2E" w:rsidRPr="007A4B2E">
        <w:rPr>
          <w:sz w:val="28"/>
          <w:szCs w:val="28"/>
          <w:lang w:val="lv-LV"/>
        </w:rPr>
        <w:t xml:space="preserve"> objektu iznīcināšanā, piemēram:</w:t>
      </w:r>
    </w:p>
    <w:p w:rsidR="007A4B2E" w:rsidRPr="007A4B2E" w:rsidRDefault="007A4B2E" w:rsidP="000E54DF">
      <w:pPr>
        <w:pStyle w:val="ListParagraph"/>
        <w:numPr>
          <w:ilvl w:val="0"/>
          <w:numId w:val="2"/>
        </w:numPr>
        <w:ind w:left="0" w:firstLine="720"/>
        <w:jc w:val="both"/>
        <w:rPr>
          <w:sz w:val="28"/>
          <w:szCs w:val="28"/>
          <w:lang w:val="lv-LV"/>
        </w:rPr>
      </w:pPr>
      <w:r>
        <w:rPr>
          <w:sz w:val="28"/>
          <w:szCs w:val="28"/>
          <w:lang w:val="lv-LV"/>
        </w:rPr>
        <w:t xml:space="preserve">Ministru kabineta 2012. gada 18. septembra noteikumi Nr. 633 </w:t>
      </w:r>
      <w:r w:rsidRPr="00A90B4C">
        <w:rPr>
          <w:bCs/>
          <w:iCs/>
          <w:sz w:val="28"/>
          <w:szCs w:val="28"/>
          <w:lang w:val="lv-LV"/>
        </w:rPr>
        <w:t>„</w:t>
      </w:r>
      <w:r>
        <w:rPr>
          <w:bCs/>
          <w:iCs/>
          <w:sz w:val="28"/>
          <w:szCs w:val="28"/>
          <w:lang w:val="lv-LV"/>
        </w:rPr>
        <w:t>Zemes dzīļu izmantošanas kārtība iekšzemes publiskajos ūdeņos un jūrā”;</w:t>
      </w:r>
    </w:p>
    <w:p w:rsidR="007A4B2E" w:rsidRPr="007A4B2E" w:rsidRDefault="007B1B67" w:rsidP="000E54DF">
      <w:pPr>
        <w:pStyle w:val="ListParagraph"/>
        <w:numPr>
          <w:ilvl w:val="0"/>
          <w:numId w:val="2"/>
        </w:numPr>
        <w:ind w:left="0" w:firstLine="720"/>
        <w:jc w:val="both"/>
        <w:rPr>
          <w:sz w:val="28"/>
          <w:szCs w:val="28"/>
          <w:lang w:val="lv-LV"/>
        </w:rPr>
      </w:pPr>
      <w:r w:rsidRPr="00DB30B6">
        <w:rPr>
          <w:sz w:val="28"/>
          <w:szCs w:val="28"/>
          <w:lang w:val="lv-LV"/>
        </w:rPr>
        <w:t>Ministru kabineta 201</w:t>
      </w:r>
      <w:r>
        <w:rPr>
          <w:sz w:val="28"/>
          <w:szCs w:val="28"/>
          <w:lang w:val="lv-LV"/>
        </w:rPr>
        <w:t>5</w:t>
      </w:r>
      <w:r w:rsidRPr="00DB30B6">
        <w:rPr>
          <w:sz w:val="28"/>
          <w:szCs w:val="28"/>
          <w:lang w:val="lv-LV"/>
        </w:rPr>
        <w:t xml:space="preserve">. gada </w:t>
      </w:r>
      <w:r>
        <w:rPr>
          <w:sz w:val="28"/>
          <w:szCs w:val="28"/>
          <w:lang w:val="lv-LV"/>
        </w:rPr>
        <w:t>13</w:t>
      </w:r>
      <w:r w:rsidRPr="00DB30B6">
        <w:rPr>
          <w:sz w:val="28"/>
          <w:szCs w:val="28"/>
          <w:lang w:val="lv-LV"/>
        </w:rPr>
        <w:t xml:space="preserve">. </w:t>
      </w:r>
      <w:r>
        <w:rPr>
          <w:sz w:val="28"/>
          <w:szCs w:val="28"/>
          <w:lang w:val="lv-LV"/>
        </w:rPr>
        <w:t>janvāra</w:t>
      </w:r>
      <w:r>
        <w:rPr>
          <w:sz w:val="28"/>
          <w:szCs w:val="28"/>
          <w:lang w:val="lv-LV"/>
        </w:rPr>
        <w:t xml:space="preserve"> noteikumi</w:t>
      </w:r>
      <w:r w:rsidRPr="00DB30B6">
        <w:rPr>
          <w:sz w:val="28"/>
          <w:szCs w:val="28"/>
          <w:lang w:val="lv-LV"/>
        </w:rPr>
        <w:t xml:space="preserve"> Nr. </w:t>
      </w:r>
      <w:r>
        <w:rPr>
          <w:sz w:val="28"/>
          <w:szCs w:val="28"/>
          <w:lang w:val="lv-LV"/>
        </w:rPr>
        <w:t>18</w:t>
      </w:r>
      <w:r w:rsidRPr="00DB30B6">
        <w:rPr>
          <w:sz w:val="28"/>
          <w:szCs w:val="28"/>
          <w:lang w:val="lv-LV"/>
        </w:rPr>
        <w:t xml:space="preserve"> </w:t>
      </w:r>
      <w:r w:rsidRPr="00DB30B6">
        <w:rPr>
          <w:bCs/>
          <w:iCs/>
          <w:sz w:val="28"/>
          <w:szCs w:val="28"/>
          <w:lang w:val="lv-LV"/>
        </w:rPr>
        <w:t>„</w:t>
      </w:r>
      <w:r>
        <w:rPr>
          <w:bCs/>
          <w:iCs/>
          <w:sz w:val="28"/>
          <w:szCs w:val="28"/>
          <w:lang w:val="lv-LV"/>
        </w:rPr>
        <w:t>Kārtība, kādā novērtē paredzētās darbības ietekmi uz vidi un akceptē paredzēto kārtību</w:t>
      </w:r>
      <w:r w:rsidRPr="00DB30B6">
        <w:rPr>
          <w:bCs/>
          <w:iCs/>
          <w:sz w:val="28"/>
          <w:szCs w:val="28"/>
          <w:lang w:val="lv-LV"/>
        </w:rPr>
        <w:t>”</w:t>
      </w:r>
      <w:r w:rsidR="007A4B2E">
        <w:rPr>
          <w:bCs/>
          <w:iCs/>
          <w:sz w:val="28"/>
          <w:szCs w:val="28"/>
          <w:lang w:val="lv-LV"/>
        </w:rPr>
        <w:t>;</w:t>
      </w:r>
    </w:p>
    <w:p w:rsidR="007A4B2E" w:rsidRPr="007A4B2E" w:rsidRDefault="007A4B2E" w:rsidP="000E54DF">
      <w:pPr>
        <w:pStyle w:val="ListParagraph"/>
        <w:numPr>
          <w:ilvl w:val="0"/>
          <w:numId w:val="2"/>
        </w:numPr>
        <w:ind w:left="0" w:firstLine="720"/>
        <w:jc w:val="both"/>
        <w:rPr>
          <w:sz w:val="28"/>
          <w:szCs w:val="28"/>
          <w:lang w:val="lv-LV"/>
        </w:rPr>
      </w:pPr>
      <w:r>
        <w:rPr>
          <w:sz w:val="28"/>
          <w:szCs w:val="28"/>
          <w:lang w:val="lv-LV"/>
        </w:rPr>
        <w:t xml:space="preserve">Ministru kabineta rīkojuma projekts </w:t>
      </w:r>
      <w:r w:rsidRPr="00A90B4C">
        <w:rPr>
          <w:bCs/>
          <w:iCs/>
          <w:sz w:val="28"/>
          <w:szCs w:val="28"/>
          <w:lang w:val="lv-LV"/>
        </w:rPr>
        <w:t>„</w:t>
      </w:r>
      <w:r>
        <w:rPr>
          <w:bCs/>
          <w:iCs/>
          <w:sz w:val="28"/>
          <w:szCs w:val="28"/>
          <w:lang w:val="lv-LV"/>
        </w:rPr>
        <w:t xml:space="preserve">Par dzelzs un mangāna </w:t>
      </w:r>
      <w:proofErr w:type="spellStart"/>
      <w:r>
        <w:rPr>
          <w:bCs/>
          <w:iCs/>
          <w:sz w:val="28"/>
          <w:szCs w:val="28"/>
          <w:lang w:val="lv-LV"/>
        </w:rPr>
        <w:t>konkrēciju</w:t>
      </w:r>
      <w:proofErr w:type="spellEnd"/>
      <w:r>
        <w:rPr>
          <w:bCs/>
          <w:iCs/>
          <w:sz w:val="28"/>
          <w:szCs w:val="28"/>
          <w:lang w:val="lv-LV"/>
        </w:rPr>
        <w:t xml:space="preserve"> izpētes un ieguves licences laukumiem Latvijas Republikas teritoriālajā jūrā” (VSS-1158);</w:t>
      </w:r>
    </w:p>
    <w:p w:rsidR="007A4B2E" w:rsidRPr="007A4B2E" w:rsidRDefault="007A4B2E" w:rsidP="000E54DF">
      <w:pPr>
        <w:pStyle w:val="ListParagraph"/>
        <w:numPr>
          <w:ilvl w:val="0"/>
          <w:numId w:val="2"/>
        </w:numPr>
        <w:ind w:left="0" w:firstLine="720"/>
        <w:jc w:val="both"/>
        <w:rPr>
          <w:sz w:val="28"/>
          <w:szCs w:val="28"/>
          <w:lang w:val="lv-LV"/>
        </w:rPr>
      </w:pPr>
      <w:r>
        <w:rPr>
          <w:bCs/>
          <w:iCs/>
          <w:sz w:val="28"/>
          <w:szCs w:val="28"/>
          <w:lang w:val="lv-LV"/>
        </w:rPr>
        <w:t xml:space="preserve">Ministru kabineta rīkojuma projekts </w:t>
      </w:r>
      <w:r w:rsidRPr="00A90B4C">
        <w:rPr>
          <w:bCs/>
          <w:iCs/>
          <w:sz w:val="28"/>
          <w:szCs w:val="28"/>
          <w:lang w:val="lv-LV"/>
        </w:rPr>
        <w:t>„</w:t>
      </w:r>
      <w:r>
        <w:rPr>
          <w:bCs/>
          <w:iCs/>
          <w:sz w:val="28"/>
          <w:szCs w:val="28"/>
          <w:lang w:val="lv-LV"/>
        </w:rPr>
        <w:t xml:space="preserve">Par sabiedrības ar ierobežotu atbildību </w:t>
      </w:r>
      <w:r w:rsidRPr="00A90B4C">
        <w:rPr>
          <w:bCs/>
          <w:iCs/>
          <w:sz w:val="28"/>
          <w:szCs w:val="28"/>
          <w:lang w:val="lv-LV"/>
        </w:rPr>
        <w:t>„</w:t>
      </w:r>
      <w:r>
        <w:rPr>
          <w:bCs/>
          <w:iCs/>
          <w:sz w:val="28"/>
          <w:szCs w:val="28"/>
          <w:lang w:val="lv-LV"/>
        </w:rPr>
        <w:t xml:space="preserve">JK </w:t>
      </w:r>
      <w:proofErr w:type="spellStart"/>
      <w:r>
        <w:rPr>
          <w:bCs/>
          <w:iCs/>
          <w:sz w:val="28"/>
          <w:szCs w:val="28"/>
          <w:lang w:val="lv-LV"/>
        </w:rPr>
        <w:t>Energy</w:t>
      </w:r>
      <w:proofErr w:type="spellEnd"/>
      <w:r>
        <w:rPr>
          <w:bCs/>
          <w:iCs/>
          <w:sz w:val="28"/>
          <w:szCs w:val="28"/>
          <w:lang w:val="lv-LV"/>
        </w:rPr>
        <w:t>” lūgumu atļaut veikt izpēti, kas saistīta ar elektroenerģijas ražošanas iekārtas ieviešanu Latvijas Republikas teritoriālajā jūrā” (VSS-818);</w:t>
      </w:r>
    </w:p>
    <w:p w:rsidR="007A4B2E" w:rsidRPr="007A4B2E" w:rsidRDefault="007A4B2E" w:rsidP="000E54DF">
      <w:pPr>
        <w:pStyle w:val="ListParagraph"/>
        <w:numPr>
          <w:ilvl w:val="0"/>
          <w:numId w:val="2"/>
        </w:numPr>
        <w:ind w:left="0" w:firstLine="720"/>
        <w:jc w:val="both"/>
        <w:rPr>
          <w:sz w:val="28"/>
          <w:szCs w:val="28"/>
          <w:lang w:val="lv-LV"/>
        </w:rPr>
      </w:pPr>
      <w:r>
        <w:rPr>
          <w:sz w:val="28"/>
          <w:szCs w:val="28"/>
          <w:lang w:val="lv-LV"/>
        </w:rPr>
        <w:t xml:space="preserve">Ministru kabineta noteikumu projekts </w:t>
      </w:r>
      <w:r w:rsidRPr="00A90B4C">
        <w:rPr>
          <w:bCs/>
          <w:iCs/>
          <w:sz w:val="28"/>
          <w:szCs w:val="28"/>
          <w:lang w:val="lv-LV"/>
        </w:rPr>
        <w:t>„</w:t>
      </w:r>
      <w:r>
        <w:rPr>
          <w:bCs/>
          <w:iCs/>
          <w:sz w:val="28"/>
          <w:szCs w:val="28"/>
          <w:lang w:val="lv-LV"/>
        </w:rPr>
        <w:t>Noteikumi par ogļūdeņražu meklēšanu, izpēti un ieguvi” (VSS-966);</w:t>
      </w:r>
    </w:p>
    <w:p w:rsidR="007A4B2E" w:rsidRPr="007A4B2E" w:rsidRDefault="007A4B2E" w:rsidP="000E54DF">
      <w:pPr>
        <w:pStyle w:val="ListParagraph"/>
        <w:numPr>
          <w:ilvl w:val="0"/>
          <w:numId w:val="2"/>
        </w:numPr>
        <w:ind w:left="0" w:firstLine="720"/>
        <w:jc w:val="both"/>
        <w:rPr>
          <w:sz w:val="28"/>
          <w:szCs w:val="28"/>
          <w:lang w:val="lv-LV"/>
        </w:rPr>
      </w:pPr>
      <w:r>
        <w:rPr>
          <w:bCs/>
          <w:iCs/>
          <w:sz w:val="28"/>
          <w:szCs w:val="28"/>
          <w:lang w:val="lv-LV"/>
        </w:rPr>
        <w:lastRenderedPageBreak/>
        <w:t xml:space="preserve">Ministru kabineta noteikumu projekts </w:t>
      </w:r>
      <w:r w:rsidRPr="00317FBB">
        <w:rPr>
          <w:bCs/>
          <w:iCs/>
          <w:sz w:val="28"/>
          <w:szCs w:val="28"/>
          <w:lang w:val="lv-LV"/>
        </w:rPr>
        <w:t>„</w:t>
      </w:r>
      <w:r>
        <w:rPr>
          <w:bCs/>
          <w:iCs/>
          <w:sz w:val="28"/>
          <w:szCs w:val="28"/>
          <w:lang w:val="lv-LV"/>
        </w:rPr>
        <w:t>Noteikumi par būvju un iekārtu, tai skaitā platformu un enerģijas ražošanai nepieciešamo iekārtu, būvniecības, ierīkošanas, un ar to saistītās izpētes, un būvju ekspluatācijas atļaujas laukuma jūrā noteikšanu” (VSS-549);</w:t>
      </w:r>
    </w:p>
    <w:p w:rsidR="007A4B2E" w:rsidRPr="007A4B2E" w:rsidRDefault="007A4B2E" w:rsidP="000E54DF">
      <w:pPr>
        <w:pStyle w:val="ListParagraph"/>
        <w:numPr>
          <w:ilvl w:val="0"/>
          <w:numId w:val="2"/>
        </w:numPr>
        <w:ind w:left="0" w:firstLine="720"/>
        <w:jc w:val="both"/>
        <w:rPr>
          <w:sz w:val="28"/>
          <w:szCs w:val="28"/>
          <w:lang w:val="lv-LV"/>
        </w:rPr>
      </w:pPr>
      <w:r>
        <w:rPr>
          <w:sz w:val="28"/>
          <w:szCs w:val="28"/>
          <w:lang w:val="lv-LV"/>
        </w:rPr>
        <w:t xml:space="preserve">Ministru kabineta 2014. gada 4. februāra rīkojums Nr. 53 </w:t>
      </w:r>
      <w:r w:rsidRPr="00317FBB">
        <w:rPr>
          <w:bCs/>
          <w:iCs/>
          <w:sz w:val="28"/>
          <w:szCs w:val="28"/>
          <w:lang w:val="lv-LV"/>
        </w:rPr>
        <w:t>„</w:t>
      </w:r>
      <w:r>
        <w:rPr>
          <w:bCs/>
          <w:iCs/>
          <w:sz w:val="28"/>
          <w:szCs w:val="28"/>
          <w:lang w:val="lv-LV"/>
        </w:rPr>
        <w:t>Par jūras teritoriju noteikšanu akvakultūras darbībai nepieciešamo iekārtu ierīkošanai un ekspluatācijai”.</w:t>
      </w:r>
    </w:p>
    <w:p w:rsidR="00CF4068" w:rsidRPr="00DB30B6" w:rsidRDefault="00CF4068" w:rsidP="000E54DF">
      <w:pPr>
        <w:pStyle w:val="ListParagraph"/>
        <w:ind w:left="0" w:firstLine="720"/>
        <w:jc w:val="both"/>
        <w:rPr>
          <w:sz w:val="28"/>
          <w:szCs w:val="28"/>
          <w:lang w:val="lv-LV"/>
        </w:rPr>
      </w:pPr>
      <w:r w:rsidRPr="00DB30B6">
        <w:rPr>
          <w:sz w:val="28"/>
          <w:szCs w:val="28"/>
          <w:lang w:val="lv-LV"/>
        </w:rPr>
        <w:t>Jūras vides aizsardzības un pārvaldības likuma 19. panta otrās daļas 4. un 5. punkts nosaka, ka atļauja vai licence ir nepieciešama mākslīgo salu, būvju un iekārtu, tai skaitā platformu un enerģijas ražošanai nepieciešamo iekārtu</w:t>
      </w:r>
      <w:r w:rsidR="008D5702">
        <w:rPr>
          <w:sz w:val="28"/>
          <w:szCs w:val="28"/>
          <w:lang w:val="lv-LV"/>
        </w:rPr>
        <w:t>,</w:t>
      </w:r>
      <w:r w:rsidRPr="00DB30B6">
        <w:rPr>
          <w:sz w:val="28"/>
          <w:szCs w:val="28"/>
          <w:lang w:val="lv-LV"/>
        </w:rPr>
        <w:t xml:space="preserve"> būvniecībai, ierīkošanai un ar to saistīt</w:t>
      </w:r>
      <w:r w:rsidR="008C24A3">
        <w:rPr>
          <w:sz w:val="28"/>
          <w:szCs w:val="28"/>
          <w:lang w:val="lv-LV"/>
        </w:rPr>
        <w:t>aj</w:t>
      </w:r>
      <w:r w:rsidRPr="00DB30B6">
        <w:rPr>
          <w:sz w:val="28"/>
          <w:szCs w:val="28"/>
          <w:lang w:val="lv-LV"/>
        </w:rPr>
        <w:t>ai izp</w:t>
      </w:r>
      <w:bookmarkStart w:id="0" w:name="_GoBack"/>
      <w:bookmarkEnd w:id="0"/>
      <w:r w:rsidRPr="00DB30B6">
        <w:rPr>
          <w:sz w:val="28"/>
          <w:szCs w:val="28"/>
          <w:lang w:val="lv-LV"/>
        </w:rPr>
        <w:t>ētei, un būvju ekspluatācijai, izņemot ostu darbībai nepieciešamo būvju būvniecībai</w:t>
      </w:r>
      <w:r w:rsidR="004449DA">
        <w:rPr>
          <w:sz w:val="28"/>
          <w:szCs w:val="28"/>
          <w:lang w:val="lv-LV"/>
        </w:rPr>
        <w:t>,</w:t>
      </w:r>
      <w:r w:rsidRPr="00DB30B6">
        <w:rPr>
          <w:sz w:val="28"/>
          <w:szCs w:val="28"/>
          <w:lang w:val="lv-LV"/>
        </w:rPr>
        <w:t xml:space="preserve"> navigācijas līdzekļu un sistēmu izveidei un uzturēšanai, tāpat atļauja nepieciešama virszemes ūdensobjektu un ostu akvatoriju tīrīšanai un padziļināšanai un tīrīšanas un padziļināšanas darbu gaitā izņemtās grunts novietošanai grunts novietnēs jūrā atbilstoši normatīvajiem aktiem par ūdens apsaimniekošanu. Jūras vides aizsardzības un pārvaldības likuma 19. panta astotā daļa nosaka, ka Valsts vides dienests vai atļaujas vai licences izsniedzējs sadarbībā ar Nacionālajiem bruņotajiem spēkiem un Valsts robežsardzi kontrolē jūras izmantošanu un jūras vides aizsardzību atbilstoši normatīvajiem aktiem par vides aizsardzību, zvejniecību, jūrlietu pārvaldi un jūras drošību, kā arī par robežsardzi.</w:t>
      </w:r>
    </w:p>
    <w:p w:rsidR="00CF4068" w:rsidRPr="00DB30B6" w:rsidRDefault="00CF4068" w:rsidP="000E54DF">
      <w:pPr>
        <w:pStyle w:val="ListParagraph"/>
        <w:ind w:left="0" w:firstLine="720"/>
        <w:jc w:val="both"/>
        <w:rPr>
          <w:bCs/>
          <w:iCs/>
          <w:sz w:val="28"/>
          <w:szCs w:val="28"/>
          <w:lang w:val="lv-LV"/>
        </w:rPr>
      </w:pPr>
      <w:r w:rsidRPr="00DB30B6">
        <w:rPr>
          <w:sz w:val="28"/>
          <w:szCs w:val="28"/>
          <w:lang w:val="lv-LV"/>
        </w:rPr>
        <w:t xml:space="preserve">Ministru kabineta 2012. gada 18. septembra noteikumu Nr. 633 </w:t>
      </w:r>
      <w:r w:rsidRPr="00DB30B6">
        <w:rPr>
          <w:bCs/>
          <w:iCs/>
          <w:sz w:val="28"/>
          <w:szCs w:val="28"/>
          <w:lang w:val="lv-LV"/>
        </w:rPr>
        <w:t>„Zemes dzīļu izmantošanas kārtība iekšzemes publiskajos ūdeņos un jūrā” (turpmāk – MK noteikumi Nr. 633) 29. punkts paredz, ka zemes dzīļu izmantošanas licenciāts no Nacionālajiem bruņotajiem spēkiem iegūst informāciju par sprādzienbīstamu priekšmetu atrašanos tajā jūras gultnes daļā, kurā paredzēti ar iedarbību uz jūras gultni saistītie darbi. MK noteikumu Nr. 633 33. punkts paredz, ka zemes dzīļu izmantošanas licenciāts slēdz līgumu ar Nacionālajiem bruņotajiem spēkiem par jūras gultnes drošības pārbaudē atrasto sprādzienbīstamo priekšmetu iznīcināšanu, kā arī par sprādzienbīstamo priekšmetu iznīcināšanai nepieciešamo līdzekļu apjomu un samaksas kārtību. Savukārt MK noteikumu Nr. 633 34. punkts nosaka, ka Nacionālie bruņotie spēki iznīcina jūras gultnes pārbaudēs atrastos sprādzienbīstamos priekšmetus pēc iespējas īsākā laikā, bet ne vēlāk kā divus gadus pēc minētā līguma parakstīšanas, vai arī Nacionālie bruņotie spēki vienojas ar licenciātu par drošības zonas noteikšanu ap atrastajiem sprādzienbīstamajiem priekšmetiem.</w:t>
      </w:r>
    </w:p>
    <w:p w:rsidR="00CF4068" w:rsidRPr="00DB30B6" w:rsidRDefault="00CF4068" w:rsidP="000E54DF">
      <w:pPr>
        <w:pStyle w:val="ListParagraph"/>
        <w:ind w:left="0" w:firstLine="720"/>
        <w:jc w:val="both"/>
        <w:rPr>
          <w:bCs/>
          <w:iCs/>
          <w:sz w:val="28"/>
          <w:szCs w:val="28"/>
          <w:lang w:val="lv-LV"/>
        </w:rPr>
      </w:pPr>
      <w:r w:rsidRPr="00DB30B6">
        <w:rPr>
          <w:sz w:val="28"/>
          <w:szCs w:val="28"/>
          <w:lang w:val="lv-LV"/>
        </w:rPr>
        <w:t>Ministru kabineta 201</w:t>
      </w:r>
      <w:r w:rsidR="007F3A53">
        <w:rPr>
          <w:sz w:val="28"/>
          <w:szCs w:val="28"/>
          <w:lang w:val="lv-LV"/>
        </w:rPr>
        <w:t>5</w:t>
      </w:r>
      <w:r w:rsidRPr="00DB30B6">
        <w:rPr>
          <w:sz w:val="28"/>
          <w:szCs w:val="28"/>
          <w:lang w:val="lv-LV"/>
        </w:rPr>
        <w:t xml:space="preserve">. gada </w:t>
      </w:r>
      <w:r w:rsidR="007F3A53">
        <w:rPr>
          <w:sz w:val="28"/>
          <w:szCs w:val="28"/>
          <w:lang w:val="lv-LV"/>
        </w:rPr>
        <w:t>13</w:t>
      </w:r>
      <w:r w:rsidRPr="00DB30B6">
        <w:rPr>
          <w:sz w:val="28"/>
          <w:szCs w:val="28"/>
          <w:lang w:val="lv-LV"/>
        </w:rPr>
        <w:t xml:space="preserve">. </w:t>
      </w:r>
      <w:r w:rsidR="007F3A53">
        <w:rPr>
          <w:sz w:val="28"/>
          <w:szCs w:val="28"/>
          <w:lang w:val="lv-LV"/>
        </w:rPr>
        <w:t>janvāra</w:t>
      </w:r>
      <w:r w:rsidRPr="00DB30B6">
        <w:rPr>
          <w:sz w:val="28"/>
          <w:szCs w:val="28"/>
          <w:lang w:val="lv-LV"/>
        </w:rPr>
        <w:t xml:space="preserve"> noteikumu Nr. </w:t>
      </w:r>
      <w:r w:rsidR="007F3A53">
        <w:rPr>
          <w:sz w:val="28"/>
          <w:szCs w:val="28"/>
          <w:lang w:val="lv-LV"/>
        </w:rPr>
        <w:t>18</w:t>
      </w:r>
      <w:r w:rsidRPr="00DB30B6">
        <w:rPr>
          <w:sz w:val="28"/>
          <w:szCs w:val="28"/>
          <w:lang w:val="lv-LV"/>
        </w:rPr>
        <w:t xml:space="preserve"> </w:t>
      </w:r>
      <w:r w:rsidRPr="00DB30B6">
        <w:rPr>
          <w:bCs/>
          <w:iCs/>
          <w:sz w:val="28"/>
          <w:szCs w:val="28"/>
          <w:lang w:val="lv-LV"/>
        </w:rPr>
        <w:t>„</w:t>
      </w:r>
      <w:r w:rsidR="007F3A53">
        <w:rPr>
          <w:bCs/>
          <w:iCs/>
          <w:sz w:val="28"/>
          <w:szCs w:val="28"/>
          <w:lang w:val="lv-LV"/>
        </w:rPr>
        <w:t>Kārtība, kādā novērtē paredzētās darbības ietekmi uz vidi un akceptē paredzēto kārtību</w:t>
      </w:r>
      <w:r w:rsidRPr="00DB30B6">
        <w:rPr>
          <w:bCs/>
          <w:iCs/>
          <w:sz w:val="28"/>
          <w:szCs w:val="28"/>
          <w:lang w:val="lv-LV"/>
        </w:rPr>
        <w:t xml:space="preserve">” </w:t>
      </w:r>
      <w:proofErr w:type="gramStart"/>
      <w:r w:rsidRPr="00DB30B6">
        <w:rPr>
          <w:bCs/>
          <w:iCs/>
          <w:sz w:val="28"/>
          <w:szCs w:val="28"/>
          <w:lang w:val="lv-LV"/>
        </w:rPr>
        <w:t>(</w:t>
      </w:r>
      <w:proofErr w:type="gramEnd"/>
      <w:r w:rsidRPr="00DB30B6">
        <w:rPr>
          <w:bCs/>
          <w:iCs/>
          <w:sz w:val="28"/>
          <w:szCs w:val="28"/>
          <w:lang w:val="lv-LV"/>
        </w:rPr>
        <w:t xml:space="preserve">turpmāk – MK noteikumi Nr. </w:t>
      </w:r>
      <w:r w:rsidR="007F3A53">
        <w:rPr>
          <w:bCs/>
          <w:iCs/>
          <w:sz w:val="28"/>
          <w:szCs w:val="28"/>
          <w:lang w:val="lv-LV"/>
        </w:rPr>
        <w:t>18</w:t>
      </w:r>
      <w:r w:rsidRPr="00DB30B6">
        <w:rPr>
          <w:bCs/>
          <w:iCs/>
          <w:sz w:val="28"/>
          <w:szCs w:val="28"/>
          <w:lang w:val="lv-LV"/>
        </w:rPr>
        <w:t xml:space="preserve">) </w:t>
      </w:r>
      <w:r w:rsidR="007F3A53">
        <w:rPr>
          <w:bCs/>
          <w:iCs/>
          <w:sz w:val="28"/>
          <w:szCs w:val="28"/>
          <w:lang w:val="lv-LV"/>
        </w:rPr>
        <w:t>76</w:t>
      </w:r>
      <w:r w:rsidRPr="00DB30B6">
        <w:rPr>
          <w:bCs/>
          <w:iCs/>
          <w:sz w:val="28"/>
          <w:szCs w:val="28"/>
          <w:lang w:val="lv-LV"/>
        </w:rPr>
        <w:t>.2. punkts nosaka</w:t>
      </w:r>
      <w:r w:rsidR="008C24A3">
        <w:rPr>
          <w:bCs/>
          <w:iCs/>
          <w:sz w:val="28"/>
          <w:szCs w:val="28"/>
          <w:lang w:val="lv-LV"/>
        </w:rPr>
        <w:t xml:space="preserve"> – </w:t>
      </w:r>
      <w:r w:rsidRPr="00DB30B6">
        <w:rPr>
          <w:bCs/>
          <w:iCs/>
          <w:sz w:val="28"/>
          <w:szCs w:val="28"/>
          <w:lang w:val="lv-LV"/>
        </w:rPr>
        <w:t xml:space="preserve">ja saskaņā ar paredzētās darbības jomu reglamentējošo likumu </w:t>
      </w:r>
      <w:r w:rsidR="009C7EEB">
        <w:rPr>
          <w:bCs/>
          <w:iCs/>
          <w:sz w:val="28"/>
          <w:szCs w:val="28"/>
          <w:lang w:val="lv-LV"/>
        </w:rPr>
        <w:t xml:space="preserve">šo </w:t>
      </w:r>
      <w:r w:rsidRPr="00DB30B6">
        <w:rPr>
          <w:bCs/>
          <w:iCs/>
          <w:sz w:val="28"/>
          <w:szCs w:val="28"/>
          <w:lang w:val="lv-LV"/>
        </w:rPr>
        <w:t xml:space="preserve">darbību akceptē Ministru kabinets un ja paredzēto darbību plānots veikt Latvijas Republikas iekšējos jūras ūdeņos, teritoriālajā jūrā vai ekskluzīvajā ekonomiskajā zonā, ierosinātājs likuma „Par ietekmes uz vidi novērtējumu” 22. panta pirmajā daļā minēto iesniegumu un citus dokumentus iesniedz Aizsardzības ministrijā attiecībā uz </w:t>
      </w:r>
      <w:r w:rsidRPr="00DB30B6">
        <w:rPr>
          <w:bCs/>
          <w:iCs/>
          <w:sz w:val="28"/>
          <w:szCs w:val="28"/>
          <w:lang w:val="lv-LV"/>
        </w:rPr>
        <w:lastRenderedPageBreak/>
        <w:t>valsts aizsardzībai nepieciešam</w:t>
      </w:r>
      <w:r w:rsidR="009C7EEB">
        <w:rPr>
          <w:bCs/>
          <w:iCs/>
          <w:sz w:val="28"/>
          <w:szCs w:val="28"/>
          <w:lang w:val="lv-LV"/>
        </w:rPr>
        <w:t>aj</w:t>
      </w:r>
      <w:r w:rsidRPr="00DB30B6">
        <w:rPr>
          <w:bCs/>
          <w:iCs/>
          <w:sz w:val="28"/>
          <w:szCs w:val="28"/>
          <w:lang w:val="lv-LV"/>
        </w:rPr>
        <w:t>ām un cita rakstura militār</w:t>
      </w:r>
      <w:r w:rsidR="009C7EEB">
        <w:rPr>
          <w:bCs/>
          <w:iCs/>
          <w:sz w:val="28"/>
          <w:szCs w:val="28"/>
          <w:lang w:val="lv-LV"/>
        </w:rPr>
        <w:t>aj</w:t>
      </w:r>
      <w:r w:rsidRPr="00DB30B6">
        <w:rPr>
          <w:bCs/>
          <w:iCs/>
          <w:sz w:val="28"/>
          <w:szCs w:val="28"/>
          <w:lang w:val="lv-LV"/>
        </w:rPr>
        <w:t xml:space="preserve">ām būvēm un objektiem. MK noteikumu Nr. 200 </w:t>
      </w:r>
      <w:r w:rsidRPr="00DB30B6">
        <w:rPr>
          <w:bCs/>
          <w:iCs/>
          <w:sz w:val="28"/>
          <w:szCs w:val="28"/>
          <w:lang w:val="lv-LV"/>
        </w:rPr>
        <w:br/>
        <w:t>12. punkts nosaka, ka</w:t>
      </w:r>
      <w:r w:rsidR="009C7EEB">
        <w:rPr>
          <w:bCs/>
          <w:iCs/>
          <w:sz w:val="28"/>
          <w:szCs w:val="28"/>
          <w:lang w:val="lv-LV"/>
        </w:rPr>
        <w:t xml:space="preserve"> </w:t>
      </w:r>
      <w:r w:rsidRPr="00DB30B6">
        <w:rPr>
          <w:bCs/>
          <w:iCs/>
          <w:sz w:val="28"/>
          <w:szCs w:val="28"/>
          <w:lang w:val="lv-LV"/>
        </w:rPr>
        <w:t>šo noteikumu 10. punktā minētās ministrijas (tai skaitā Aizsardzības ministrija) pēc noteikto dokumentu saņemšanas atbilstoši savai kompetencei sagatavo un iesniedz Ministru kabinetā rīkojuma projektu par paredzētās darbības akceptēšanu vai neakceptēšanu.</w:t>
      </w:r>
    </w:p>
    <w:p w:rsidR="00DB30B6" w:rsidRDefault="00F43238" w:rsidP="000E54DF">
      <w:pPr>
        <w:pStyle w:val="ListParagraph"/>
        <w:ind w:left="0" w:firstLine="720"/>
        <w:jc w:val="both"/>
        <w:rPr>
          <w:bCs/>
          <w:iCs/>
          <w:sz w:val="28"/>
          <w:szCs w:val="28"/>
          <w:lang w:val="lv-LV"/>
        </w:rPr>
      </w:pPr>
      <w:r w:rsidRPr="00DB30B6">
        <w:rPr>
          <w:sz w:val="28"/>
          <w:szCs w:val="28"/>
          <w:lang w:val="lv-LV"/>
        </w:rPr>
        <w:t>Ministru kabineta</w:t>
      </w:r>
      <w:r w:rsidR="00F93D87">
        <w:rPr>
          <w:sz w:val="28"/>
          <w:szCs w:val="28"/>
          <w:lang w:val="lv-LV"/>
        </w:rPr>
        <w:t xml:space="preserve"> 2015. gada 22. decembra</w:t>
      </w:r>
      <w:r w:rsidRPr="00DB30B6">
        <w:rPr>
          <w:sz w:val="28"/>
          <w:szCs w:val="28"/>
          <w:lang w:val="lv-LV"/>
        </w:rPr>
        <w:t xml:space="preserve"> </w:t>
      </w:r>
      <w:r w:rsidR="00F93D87">
        <w:rPr>
          <w:sz w:val="28"/>
          <w:szCs w:val="28"/>
          <w:lang w:val="lv-LV"/>
        </w:rPr>
        <w:t>noteikumi Nr. 805</w:t>
      </w:r>
      <w:r w:rsidRPr="00DB30B6">
        <w:rPr>
          <w:sz w:val="28"/>
          <w:szCs w:val="28"/>
          <w:lang w:val="lv-LV"/>
        </w:rPr>
        <w:t xml:space="preserve"> </w:t>
      </w:r>
      <w:r w:rsidRPr="00DB30B6">
        <w:rPr>
          <w:bCs/>
          <w:iCs/>
          <w:sz w:val="28"/>
          <w:szCs w:val="28"/>
          <w:lang w:val="lv-LV"/>
        </w:rPr>
        <w:t xml:space="preserve">„Noteikumi par ogļūdeņražu meklēšanu, izpēti un ieguvi” (turpmāk – MK </w:t>
      </w:r>
      <w:r w:rsidR="00F93D87">
        <w:rPr>
          <w:bCs/>
          <w:iCs/>
          <w:sz w:val="28"/>
          <w:szCs w:val="28"/>
          <w:lang w:val="lv-LV"/>
        </w:rPr>
        <w:t>noteikumi Nr. 805</w:t>
      </w:r>
      <w:r w:rsidRPr="00DB30B6">
        <w:rPr>
          <w:bCs/>
          <w:iCs/>
          <w:sz w:val="28"/>
          <w:szCs w:val="28"/>
          <w:lang w:val="lv-LV"/>
        </w:rPr>
        <w:t xml:space="preserve">) paredz, ka ogļūdeņražu meklēšanas, izpētes un ieguves licenciātam, ja tas paredzējis veikt ogļūdeņražu izpētes lauka darbus, kuri saistīti ar iedarbību uz jūras gultni, ir tiesības pirms plānoto darbu uzsākšanas iesniegt Nacionālajiem bruņotajiem spēkiem iesniegumu ar lūgumu sniegt to rīcībā esošo informāciju par sprādzienbīstamajiem priekšmetiem gultnes licences laukuma daļā. Tāpat MK </w:t>
      </w:r>
      <w:r w:rsidR="00F93D87">
        <w:rPr>
          <w:bCs/>
          <w:iCs/>
          <w:sz w:val="28"/>
          <w:szCs w:val="28"/>
          <w:lang w:val="lv-LV"/>
        </w:rPr>
        <w:t>noteikumi Nr. 805 paredz</w:t>
      </w:r>
      <w:r w:rsidRPr="00DB30B6">
        <w:rPr>
          <w:bCs/>
          <w:iCs/>
          <w:sz w:val="28"/>
          <w:szCs w:val="28"/>
          <w:lang w:val="lv-LV"/>
        </w:rPr>
        <w:t>, ka Nacionālie bruņotie spēki uzrauga un kontrolē, kā licenciāts veic jūras gultnes drošības pārbaudi, un ka licenciāts slēdz līgumu ar Nacionālajiem bruņotajiem spēkiem par jūras gultnes drošības pārbaudē atrasto sprādzienbīstamo priekšmetu iznīcināšanu, nosakot sprādzienbīstamo priekšmetu iznīcināšanai nepieciešamo līdzekļu apjomu un apmaksas kārtību.</w:t>
      </w:r>
    </w:p>
    <w:p w:rsidR="00CA1C05" w:rsidRDefault="00CA1C05" w:rsidP="000E54DF">
      <w:pPr>
        <w:pStyle w:val="ListParagraph"/>
        <w:ind w:left="0" w:firstLine="720"/>
        <w:jc w:val="both"/>
        <w:rPr>
          <w:bCs/>
          <w:iCs/>
          <w:sz w:val="28"/>
          <w:szCs w:val="28"/>
          <w:lang w:val="lv-LV"/>
        </w:rPr>
      </w:pPr>
      <w:r w:rsidRPr="00DB30B6">
        <w:rPr>
          <w:sz w:val="28"/>
          <w:szCs w:val="28"/>
          <w:lang w:val="lv-LV"/>
        </w:rPr>
        <w:t xml:space="preserve">Ministru kabineta rīkojuma projekts </w:t>
      </w:r>
      <w:r w:rsidRPr="00DB30B6">
        <w:rPr>
          <w:bCs/>
          <w:iCs/>
          <w:sz w:val="28"/>
          <w:szCs w:val="28"/>
          <w:lang w:val="lv-LV"/>
        </w:rPr>
        <w:t xml:space="preserve">„Par dzelzs un mangāna </w:t>
      </w:r>
      <w:proofErr w:type="spellStart"/>
      <w:r w:rsidRPr="00DB30B6">
        <w:rPr>
          <w:bCs/>
          <w:iCs/>
          <w:sz w:val="28"/>
          <w:szCs w:val="28"/>
          <w:lang w:val="lv-LV"/>
        </w:rPr>
        <w:t>konkrēciju</w:t>
      </w:r>
      <w:proofErr w:type="spellEnd"/>
      <w:r w:rsidRPr="00DB30B6">
        <w:rPr>
          <w:bCs/>
          <w:iCs/>
          <w:sz w:val="28"/>
          <w:szCs w:val="28"/>
          <w:lang w:val="lv-LV"/>
        </w:rPr>
        <w:t xml:space="preserve"> izpētes un ieguves licences laukumiem Latvijas Republikas teritoriālajā jūrā” (VSS-1158)</w:t>
      </w:r>
      <w:r>
        <w:rPr>
          <w:bCs/>
          <w:iCs/>
          <w:sz w:val="28"/>
          <w:szCs w:val="28"/>
          <w:lang w:val="lv-LV"/>
        </w:rPr>
        <w:t xml:space="preserve"> (izskatīts Valsts sekretāru sanāksmē 2011. gada 14. aprīlī)</w:t>
      </w:r>
      <w:r w:rsidRPr="00DB30B6">
        <w:rPr>
          <w:bCs/>
          <w:iCs/>
          <w:sz w:val="28"/>
          <w:szCs w:val="28"/>
          <w:lang w:val="lv-LV"/>
        </w:rPr>
        <w:t xml:space="preserve"> paredz, ka licences laukumā izpētes un ieguves darbu vajadzībām plānoto mākslīgo salu, būvju un iekārtu būvniecības un ierīkošanas projektus nepieciešams saskaņot ar Aizsardzības ministriju, nosakot, ka pirms darbību uzsākšanas licences laukumā Nacionālie bruņotie spēki veic licences laukuma jūras gultnes drošības pārbaudi un, ja nepieciešams, sprādzienbīstamu objektu iznīcināšanu vai neitralizēšanu, licenciātam kompensējot Nacionālajiem bruņotajiem spēkiem izdevumus, kas saistīti ar sprādzienbīstamu priekšmetu identificēšanu un iznīcināšanu.</w:t>
      </w:r>
    </w:p>
    <w:p w:rsidR="00DB30B6" w:rsidRDefault="00317FBB" w:rsidP="000E54DF">
      <w:pPr>
        <w:pStyle w:val="ListParagraph"/>
        <w:ind w:left="0" w:firstLine="720"/>
        <w:jc w:val="both"/>
        <w:rPr>
          <w:bCs/>
          <w:iCs/>
          <w:sz w:val="28"/>
          <w:szCs w:val="28"/>
          <w:lang w:val="lv-LV"/>
        </w:rPr>
      </w:pPr>
      <w:r w:rsidRPr="00DB30B6">
        <w:rPr>
          <w:bCs/>
          <w:iCs/>
          <w:sz w:val="28"/>
          <w:szCs w:val="28"/>
          <w:lang w:val="lv-LV"/>
        </w:rPr>
        <w:t>Mini</w:t>
      </w:r>
      <w:r w:rsidR="00B9362D" w:rsidRPr="00DB30B6">
        <w:rPr>
          <w:bCs/>
          <w:iCs/>
          <w:sz w:val="28"/>
          <w:szCs w:val="28"/>
          <w:lang w:val="lv-LV"/>
        </w:rPr>
        <w:t>stru kabineta noteikumu projekta</w:t>
      </w:r>
      <w:r w:rsidRPr="00DB30B6">
        <w:rPr>
          <w:bCs/>
          <w:iCs/>
          <w:sz w:val="28"/>
          <w:szCs w:val="28"/>
          <w:lang w:val="lv-LV"/>
        </w:rPr>
        <w:t xml:space="preserve"> „Noteikumi par būvju un iekārtu, tai skaitā platformu un enerģijas ražošanai nepieciešamo iekārtu, būvniecības, ierīkošanas, un ar to saistītās izp</w:t>
      </w:r>
      <w:r w:rsidR="00B9362D" w:rsidRPr="00DB30B6">
        <w:rPr>
          <w:bCs/>
          <w:iCs/>
          <w:sz w:val="28"/>
          <w:szCs w:val="28"/>
          <w:lang w:val="lv-LV"/>
        </w:rPr>
        <w:t>ētes, un būvju ekspluatācijas atļaujas laukuma jūrā noteikšanu” (VSS-549)</w:t>
      </w:r>
      <w:r w:rsidR="00780343" w:rsidRPr="00DB30B6">
        <w:rPr>
          <w:bCs/>
          <w:iCs/>
          <w:sz w:val="28"/>
          <w:szCs w:val="28"/>
          <w:lang w:val="lv-LV"/>
        </w:rPr>
        <w:t xml:space="preserve"> (turpmāk – MK noteikumu projekts VSS-549</w:t>
      </w:r>
      <w:r w:rsidR="008C3057">
        <w:rPr>
          <w:bCs/>
          <w:iCs/>
          <w:sz w:val="28"/>
          <w:szCs w:val="28"/>
          <w:lang w:val="lv-LV"/>
        </w:rPr>
        <w:t xml:space="preserve">, </w:t>
      </w:r>
      <w:r w:rsidR="00F93D87">
        <w:rPr>
          <w:bCs/>
          <w:iCs/>
          <w:sz w:val="28"/>
          <w:szCs w:val="28"/>
          <w:lang w:val="lv-LV"/>
        </w:rPr>
        <w:t>izskatīts Valsts sekretāru sanāksmē 2011. gada 15. decembrī)</w:t>
      </w:r>
      <w:r w:rsidR="00B9362D" w:rsidRPr="00DB30B6">
        <w:rPr>
          <w:bCs/>
          <w:iCs/>
          <w:sz w:val="28"/>
          <w:szCs w:val="28"/>
          <w:lang w:val="lv-LV"/>
        </w:rPr>
        <w:t xml:space="preserve"> 3.1. punkts </w:t>
      </w:r>
      <w:r w:rsidR="00D10ED3">
        <w:rPr>
          <w:bCs/>
          <w:iCs/>
          <w:sz w:val="28"/>
          <w:szCs w:val="28"/>
          <w:lang w:val="lv-LV"/>
        </w:rPr>
        <w:t>paredz</w:t>
      </w:r>
      <w:r w:rsidR="00B9362D" w:rsidRPr="00DB30B6">
        <w:rPr>
          <w:bCs/>
          <w:iCs/>
          <w:sz w:val="28"/>
          <w:szCs w:val="28"/>
          <w:lang w:val="lv-LV"/>
        </w:rPr>
        <w:t xml:space="preserve">, ka Ekonomikas ministrija pēc Ministru kabineta lēmuma izsniedz un reģistrē atļaujas elektroenerģijas pārvades sistēmas operatoram laukuma jūrā izpētei, savukārt Aizsardzības ministrijas, Ekonomiskas ministrijas, Vides ministrijas, Reģionālās attīstības un pašvaldību lietu ministrijas, Zemkopības ministrijas un valsts akciju sabiedrības „Latvijas Jūras administrācija” </w:t>
      </w:r>
      <w:r w:rsidR="008C3057">
        <w:rPr>
          <w:bCs/>
          <w:iCs/>
          <w:sz w:val="28"/>
          <w:szCs w:val="28"/>
          <w:lang w:val="lv-LV"/>
        </w:rPr>
        <w:br/>
      </w:r>
      <w:r w:rsidR="00B9362D" w:rsidRPr="00DB30B6">
        <w:rPr>
          <w:bCs/>
          <w:iCs/>
          <w:sz w:val="28"/>
          <w:szCs w:val="28"/>
          <w:lang w:val="lv-LV"/>
        </w:rPr>
        <w:t xml:space="preserve">2010. gada 6. septembrī parakstītās savstarpējās starpresoru vienošanās Nr. 1 „Par informācijas apmaiņu par saimnieciskās darbības aprobežojumiem Latvijas Republikas teritoriālās jūras un ekskluzīvās ekonomiskās zonas izmantošanā” </w:t>
      </w:r>
      <w:r w:rsidR="008C3057">
        <w:rPr>
          <w:bCs/>
          <w:iCs/>
          <w:sz w:val="28"/>
          <w:szCs w:val="28"/>
          <w:lang w:val="lv-LV"/>
        </w:rPr>
        <w:br/>
      </w:r>
      <w:r w:rsidR="00B9362D" w:rsidRPr="00DB30B6">
        <w:rPr>
          <w:bCs/>
          <w:iCs/>
          <w:sz w:val="28"/>
          <w:szCs w:val="28"/>
          <w:lang w:val="lv-LV"/>
        </w:rPr>
        <w:t xml:space="preserve">5. punkts paredz, ka starpresoru vienošanās puses vienojas par ierosinātā laukuma </w:t>
      </w:r>
      <w:r w:rsidR="00780343" w:rsidRPr="00DB30B6">
        <w:rPr>
          <w:bCs/>
          <w:iCs/>
          <w:sz w:val="28"/>
          <w:szCs w:val="28"/>
          <w:lang w:val="lv-LV"/>
        </w:rPr>
        <w:t xml:space="preserve">izmantošanu, aicinot uz sanāksmi visas starpresoru vienošanās puses. </w:t>
      </w:r>
      <w:r w:rsidR="00780343" w:rsidRPr="00DB30B6">
        <w:rPr>
          <w:bCs/>
          <w:iCs/>
          <w:sz w:val="28"/>
          <w:szCs w:val="28"/>
          <w:lang w:val="lv-LV"/>
        </w:rPr>
        <w:lastRenderedPageBreak/>
        <w:t>Vienlaikus MK noteikumu projekta VSS-549 1. pielikumā noteiktie atļaujas laukumi ir saskaņoti ar visām starpresoru vienošanās pusēm.</w:t>
      </w:r>
    </w:p>
    <w:p w:rsidR="00DB30B6" w:rsidRPr="00DB30B6" w:rsidRDefault="00EB3F1C" w:rsidP="000E54DF">
      <w:pPr>
        <w:pStyle w:val="ListParagraph"/>
        <w:ind w:left="0" w:firstLine="720"/>
        <w:jc w:val="both"/>
        <w:rPr>
          <w:bCs/>
          <w:iCs/>
          <w:sz w:val="28"/>
          <w:szCs w:val="28"/>
          <w:lang w:val="lv-LV"/>
        </w:rPr>
      </w:pPr>
      <w:r w:rsidRPr="00DB30B6">
        <w:rPr>
          <w:sz w:val="28"/>
          <w:szCs w:val="28"/>
          <w:lang w:val="lv-LV"/>
        </w:rPr>
        <w:t xml:space="preserve">Ministru kabineta 2014. gada 4. februāra rīkojuma Nr. 53 </w:t>
      </w:r>
      <w:r w:rsidRPr="00DB30B6">
        <w:rPr>
          <w:bCs/>
          <w:iCs/>
          <w:sz w:val="28"/>
          <w:szCs w:val="28"/>
          <w:lang w:val="lv-LV"/>
        </w:rPr>
        <w:t>„Par jūras teritoriju noteikšanu akvakultūras darbībai nepieciešamo iekārtu ierīkošanai un ekspluatācijai”</w:t>
      </w:r>
      <w:r w:rsidRPr="00DB30B6">
        <w:rPr>
          <w:sz w:val="28"/>
          <w:szCs w:val="28"/>
          <w:lang w:val="lv-LV"/>
        </w:rPr>
        <w:t xml:space="preserve"> </w:t>
      </w:r>
      <w:proofErr w:type="gramStart"/>
      <w:r w:rsidRPr="00DB30B6">
        <w:rPr>
          <w:sz w:val="28"/>
          <w:szCs w:val="28"/>
          <w:lang w:val="lv-LV"/>
        </w:rPr>
        <w:t>(</w:t>
      </w:r>
      <w:proofErr w:type="gramEnd"/>
      <w:r w:rsidRPr="00DB30B6">
        <w:rPr>
          <w:sz w:val="28"/>
          <w:szCs w:val="28"/>
          <w:lang w:val="lv-LV"/>
        </w:rPr>
        <w:t>turpmāk – MK rīkojums Nr. 53) 2. pielikuma 29.3</w:t>
      </w:r>
      <w:r w:rsidR="00336346" w:rsidRPr="00DB30B6">
        <w:rPr>
          <w:sz w:val="28"/>
          <w:szCs w:val="28"/>
          <w:lang w:val="lv-LV"/>
        </w:rPr>
        <w:t>.</w:t>
      </w:r>
      <w:r w:rsidRPr="00DB30B6">
        <w:rPr>
          <w:sz w:val="28"/>
          <w:szCs w:val="28"/>
          <w:lang w:val="lv-LV"/>
        </w:rPr>
        <w:t xml:space="preserve"> punkts nosaka, ka pretendents uz tiesībām izmantot konkursam izvirzītos Latvijas Republikas teritoriālās jūras laukumus tādu iekārtu ierīkošanai un ekspluatācijai, kuras paredzētas akvakultūras darbību veikšanai, uz laiku līdz 30 gadiem (turpmāk – pretendents), ir atbildīgs par</w:t>
      </w:r>
      <w:r w:rsidR="00336346" w:rsidRPr="00DB30B6">
        <w:rPr>
          <w:sz w:val="28"/>
          <w:szCs w:val="28"/>
          <w:lang w:val="lv-LV"/>
        </w:rPr>
        <w:t xml:space="preserve"> pasākumiem un aprīkojumu cilvēku drošībai jūrā, savukārt MK rīkojuma Nr. 53 29.4. punkts nosaka, ka pretendentam, iesniedzot konkursa pieteikumu, jānorāda kuģošanas drošībai akvakultūras audzētavas teritorijā paredzētā aprīkojuma raksturojums atbilstoši normatīvajiem aktiem par Latvijas ūdeņu izmantošanas kārtību, kā arī par tehniskajām prasībām navigācijas līdzekļiem.</w:t>
      </w:r>
    </w:p>
    <w:p w:rsidR="00336346" w:rsidRPr="00DB30B6" w:rsidRDefault="00336346" w:rsidP="000E54DF">
      <w:pPr>
        <w:pStyle w:val="ListParagraph"/>
        <w:ind w:left="0" w:firstLine="720"/>
        <w:jc w:val="both"/>
        <w:rPr>
          <w:bCs/>
          <w:iCs/>
          <w:sz w:val="28"/>
          <w:szCs w:val="28"/>
          <w:lang w:val="lv-LV"/>
        </w:rPr>
      </w:pPr>
      <w:r w:rsidRPr="00DB30B6">
        <w:rPr>
          <w:sz w:val="28"/>
          <w:szCs w:val="28"/>
          <w:lang w:val="lv-LV"/>
        </w:rPr>
        <w:t xml:space="preserve">Likuma </w:t>
      </w:r>
      <w:r w:rsidRPr="00DB30B6">
        <w:rPr>
          <w:bCs/>
          <w:iCs/>
          <w:sz w:val="28"/>
          <w:szCs w:val="28"/>
          <w:lang w:val="lv-LV"/>
        </w:rPr>
        <w:t>„Par Latvijas Republikas kontinentālo šelfu un ekskluzīvo ekonomisko zonu” 3. nodaļas 10. pants nosaka, ka kontinentālajā šelfā juridiskās un fiziskās personas var veikt</w:t>
      </w:r>
      <w:r w:rsidR="00945251" w:rsidRPr="00DB30B6">
        <w:rPr>
          <w:bCs/>
          <w:iCs/>
          <w:sz w:val="28"/>
          <w:szCs w:val="28"/>
          <w:lang w:val="lv-LV"/>
        </w:rPr>
        <w:t xml:space="preserve"> spridzināšanas darbus.</w:t>
      </w:r>
    </w:p>
    <w:p w:rsidR="00DE0B81" w:rsidRPr="00DB30B6" w:rsidRDefault="00DE0B81" w:rsidP="000E54DF">
      <w:pPr>
        <w:pStyle w:val="ListParagraph"/>
        <w:ind w:left="0" w:firstLine="720"/>
        <w:jc w:val="both"/>
        <w:rPr>
          <w:sz w:val="28"/>
          <w:szCs w:val="28"/>
          <w:lang w:val="lv-LV"/>
        </w:rPr>
      </w:pPr>
      <w:r w:rsidRPr="00DB30B6">
        <w:rPr>
          <w:sz w:val="28"/>
          <w:szCs w:val="28"/>
          <w:lang w:val="lv-LV"/>
        </w:rPr>
        <w:t>Ņemot vērā līdzšinējo Nacionālo bruņoto spēku iesaisti sprādzienbīstamu priekšmetu iznīcināšanā jūrā</w:t>
      </w:r>
      <w:r w:rsidR="00945251" w:rsidRPr="00DB30B6">
        <w:rPr>
          <w:sz w:val="28"/>
          <w:szCs w:val="28"/>
          <w:lang w:val="lv-LV"/>
        </w:rPr>
        <w:t xml:space="preserve"> atbilstoši Latvijas Republikas normatīvajos aktos noteiktajai kārtībai</w:t>
      </w:r>
      <w:r w:rsidR="000870C1" w:rsidRPr="00DB30B6">
        <w:rPr>
          <w:sz w:val="28"/>
          <w:szCs w:val="28"/>
          <w:lang w:val="lv-LV"/>
        </w:rPr>
        <w:t xml:space="preserve">, Aizsardzības ministrija ir izvērtējusi nepieciešamību pilnveidot normatīvajos aktos noteikto regulējumu par Nacionālo bruņoto spēku iesaisti un veicamajiem pasākumiem tādu sprādzienbīstamu priekšmetu iznīcināšanā Latvijas Republikas iekšējos jūras ūdeņos, teritoriālajā jūrā un ekskluzīvajā ekonomiskajā zonā, kas saistīti ar ogļūdeņražu meklēšanas, izpētes un ieguves darbu veikšanu, un ir </w:t>
      </w:r>
      <w:r w:rsidR="000870C1" w:rsidRPr="00D10ED3">
        <w:rPr>
          <w:sz w:val="28"/>
          <w:szCs w:val="28"/>
          <w:u w:val="single"/>
          <w:lang w:val="lv-LV"/>
        </w:rPr>
        <w:t xml:space="preserve">secinājusi, ka pašreizējais normatīvo aktu noregulējums par Nacionālo bruņoto spēku iesaisti sprādzienbīstamu priekšmetu iznīcināšanā jūrā </w:t>
      </w:r>
      <w:r w:rsidR="00E07E96" w:rsidRPr="00D10ED3">
        <w:rPr>
          <w:sz w:val="28"/>
          <w:szCs w:val="28"/>
          <w:u w:val="single"/>
          <w:lang w:val="lv-LV"/>
        </w:rPr>
        <w:t xml:space="preserve">ir pietiekams un </w:t>
      </w:r>
      <w:r w:rsidR="00795767">
        <w:rPr>
          <w:sz w:val="28"/>
          <w:szCs w:val="28"/>
          <w:u w:val="single"/>
          <w:lang w:val="lv-LV"/>
        </w:rPr>
        <w:t xml:space="preserve">izdarīt </w:t>
      </w:r>
      <w:r w:rsidR="00E07E96" w:rsidRPr="00D10ED3">
        <w:rPr>
          <w:sz w:val="28"/>
          <w:szCs w:val="28"/>
          <w:u w:val="single"/>
          <w:lang w:val="lv-LV"/>
        </w:rPr>
        <w:t>grozījumu</w:t>
      </w:r>
      <w:r w:rsidR="008C3057">
        <w:rPr>
          <w:sz w:val="28"/>
          <w:szCs w:val="28"/>
          <w:u w:val="single"/>
          <w:lang w:val="lv-LV"/>
        </w:rPr>
        <w:t>s</w:t>
      </w:r>
      <w:r w:rsidR="00E07E96" w:rsidRPr="00D10ED3">
        <w:rPr>
          <w:sz w:val="28"/>
          <w:szCs w:val="28"/>
          <w:u w:val="single"/>
          <w:lang w:val="lv-LV"/>
        </w:rPr>
        <w:t xml:space="preserve"> nav nepieciešam</w:t>
      </w:r>
      <w:r w:rsidR="00B2676D">
        <w:rPr>
          <w:sz w:val="28"/>
          <w:szCs w:val="28"/>
          <w:u w:val="single"/>
          <w:lang w:val="lv-LV"/>
        </w:rPr>
        <w:t>s</w:t>
      </w:r>
      <w:r w:rsidR="000870C1" w:rsidRPr="00DB30B6">
        <w:rPr>
          <w:sz w:val="28"/>
          <w:szCs w:val="28"/>
          <w:lang w:val="lv-LV"/>
        </w:rPr>
        <w:t>.</w:t>
      </w:r>
    </w:p>
    <w:p w:rsidR="000870C1" w:rsidRDefault="000870C1" w:rsidP="00C60A2F">
      <w:pPr>
        <w:spacing w:line="360" w:lineRule="auto"/>
        <w:ind w:firstLine="720"/>
        <w:jc w:val="both"/>
        <w:rPr>
          <w:sz w:val="28"/>
          <w:szCs w:val="28"/>
          <w:lang w:val="lv-LV"/>
        </w:rPr>
      </w:pPr>
    </w:p>
    <w:p w:rsidR="000870C1" w:rsidRDefault="000870C1" w:rsidP="00C60A2F">
      <w:pPr>
        <w:spacing w:line="360" w:lineRule="auto"/>
        <w:ind w:firstLine="720"/>
        <w:jc w:val="both"/>
        <w:rPr>
          <w:sz w:val="28"/>
          <w:szCs w:val="28"/>
          <w:lang w:val="lv-LV"/>
        </w:rPr>
      </w:pPr>
    </w:p>
    <w:p w:rsidR="000870C1" w:rsidRDefault="000870C1" w:rsidP="00C60A2F">
      <w:pPr>
        <w:spacing w:line="360" w:lineRule="auto"/>
        <w:ind w:firstLine="720"/>
        <w:jc w:val="both"/>
        <w:rPr>
          <w:sz w:val="28"/>
          <w:szCs w:val="28"/>
          <w:lang w:val="lv-LV"/>
        </w:rPr>
      </w:pPr>
    </w:p>
    <w:p w:rsidR="000870C1" w:rsidRDefault="000870C1" w:rsidP="000870C1">
      <w:pPr>
        <w:spacing w:line="360" w:lineRule="auto"/>
        <w:jc w:val="both"/>
        <w:rPr>
          <w:sz w:val="28"/>
          <w:szCs w:val="28"/>
          <w:lang w:val="lv-LV"/>
        </w:rPr>
      </w:pPr>
      <w:r>
        <w:rPr>
          <w:sz w:val="28"/>
          <w:szCs w:val="28"/>
          <w:lang w:val="lv-LV"/>
        </w:rPr>
        <w:t>Aizsardzības ministrs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proofErr w:type="gramStart"/>
      <w:r>
        <w:rPr>
          <w:sz w:val="28"/>
          <w:szCs w:val="28"/>
          <w:lang w:val="lv-LV"/>
        </w:rPr>
        <w:t xml:space="preserve">    </w:t>
      </w:r>
      <w:proofErr w:type="gramEnd"/>
      <w:r>
        <w:rPr>
          <w:sz w:val="28"/>
          <w:szCs w:val="28"/>
          <w:lang w:val="lv-LV"/>
        </w:rPr>
        <w:t xml:space="preserve">R. </w:t>
      </w:r>
      <w:proofErr w:type="spellStart"/>
      <w:r>
        <w:rPr>
          <w:sz w:val="28"/>
          <w:szCs w:val="28"/>
          <w:lang w:val="lv-LV"/>
        </w:rPr>
        <w:t>Bergmanis</w:t>
      </w:r>
      <w:proofErr w:type="spellEnd"/>
    </w:p>
    <w:p w:rsidR="000870C1" w:rsidRDefault="000870C1" w:rsidP="000870C1">
      <w:pPr>
        <w:spacing w:line="360" w:lineRule="auto"/>
        <w:jc w:val="both"/>
        <w:rPr>
          <w:sz w:val="28"/>
          <w:szCs w:val="28"/>
          <w:lang w:val="lv-LV"/>
        </w:rPr>
      </w:pPr>
    </w:p>
    <w:p w:rsidR="00F93D87" w:rsidRDefault="00F93D87" w:rsidP="000870C1">
      <w:pPr>
        <w:jc w:val="both"/>
        <w:rPr>
          <w:sz w:val="16"/>
          <w:szCs w:val="16"/>
          <w:lang w:val="lv-LV"/>
        </w:rPr>
      </w:pPr>
    </w:p>
    <w:p w:rsidR="00F93D87" w:rsidRDefault="00F93D87" w:rsidP="000870C1">
      <w:pPr>
        <w:jc w:val="both"/>
        <w:rPr>
          <w:sz w:val="16"/>
          <w:szCs w:val="16"/>
          <w:lang w:val="lv-LV"/>
        </w:rPr>
      </w:pPr>
    </w:p>
    <w:p w:rsidR="00F93D87" w:rsidRDefault="00F93D87" w:rsidP="000870C1">
      <w:pPr>
        <w:jc w:val="both"/>
        <w:rPr>
          <w:sz w:val="16"/>
          <w:szCs w:val="16"/>
          <w:lang w:val="lv-LV"/>
        </w:rPr>
      </w:pPr>
    </w:p>
    <w:p w:rsidR="00F93D87" w:rsidRDefault="00F93D87" w:rsidP="000870C1">
      <w:pPr>
        <w:jc w:val="both"/>
        <w:rPr>
          <w:sz w:val="16"/>
          <w:szCs w:val="16"/>
          <w:lang w:val="lv-LV"/>
        </w:rPr>
      </w:pPr>
    </w:p>
    <w:p w:rsidR="00F93D87" w:rsidRDefault="00F93D87" w:rsidP="000870C1">
      <w:pPr>
        <w:jc w:val="both"/>
        <w:rPr>
          <w:sz w:val="16"/>
          <w:szCs w:val="16"/>
          <w:lang w:val="lv-LV"/>
        </w:rPr>
      </w:pPr>
    </w:p>
    <w:p w:rsidR="00F93D87" w:rsidRDefault="00F93D87" w:rsidP="000870C1">
      <w:pPr>
        <w:jc w:val="both"/>
        <w:rPr>
          <w:sz w:val="16"/>
          <w:szCs w:val="16"/>
          <w:lang w:val="lv-LV"/>
        </w:rPr>
      </w:pPr>
    </w:p>
    <w:p w:rsidR="00F93D87" w:rsidRDefault="00F93D87" w:rsidP="000870C1">
      <w:pPr>
        <w:jc w:val="both"/>
        <w:rPr>
          <w:sz w:val="16"/>
          <w:szCs w:val="16"/>
          <w:lang w:val="lv-LV"/>
        </w:rPr>
      </w:pPr>
    </w:p>
    <w:p w:rsidR="00F93D87" w:rsidRDefault="00F93D87" w:rsidP="000870C1">
      <w:pPr>
        <w:jc w:val="both"/>
        <w:rPr>
          <w:sz w:val="16"/>
          <w:szCs w:val="16"/>
          <w:lang w:val="lv-LV"/>
        </w:rPr>
      </w:pPr>
    </w:p>
    <w:p w:rsidR="00F93D87" w:rsidRDefault="00F93D87" w:rsidP="000870C1">
      <w:pPr>
        <w:jc w:val="both"/>
        <w:rPr>
          <w:sz w:val="16"/>
          <w:szCs w:val="16"/>
          <w:lang w:val="lv-LV"/>
        </w:rPr>
      </w:pPr>
    </w:p>
    <w:p w:rsidR="00F93D87" w:rsidRDefault="00F93D87" w:rsidP="000870C1">
      <w:pPr>
        <w:jc w:val="both"/>
        <w:rPr>
          <w:sz w:val="16"/>
          <w:szCs w:val="16"/>
          <w:lang w:val="lv-LV"/>
        </w:rPr>
      </w:pPr>
    </w:p>
    <w:p w:rsidR="000870C1" w:rsidRDefault="007B1B67" w:rsidP="000870C1">
      <w:pPr>
        <w:jc w:val="both"/>
        <w:rPr>
          <w:sz w:val="16"/>
          <w:szCs w:val="16"/>
          <w:lang w:val="lv-LV"/>
        </w:rPr>
      </w:pPr>
      <w:r>
        <w:rPr>
          <w:sz w:val="16"/>
          <w:szCs w:val="16"/>
          <w:lang w:val="lv-LV"/>
        </w:rPr>
        <w:t>1386</w:t>
      </w:r>
    </w:p>
    <w:p w:rsidR="000870C1" w:rsidRDefault="000870C1" w:rsidP="000870C1">
      <w:pPr>
        <w:jc w:val="both"/>
        <w:rPr>
          <w:sz w:val="16"/>
          <w:szCs w:val="16"/>
          <w:lang w:val="lv-LV"/>
        </w:rPr>
      </w:pPr>
      <w:r>
        <w:rPr>
          <w:sz w:val="16"/>
          <w:szCs w:val="16"/>
          <w:lang w:val="lv-LV"/>
        </w:rPr>
        <w:fldChar w:fldCharType="begin"/>
      </w:r>
      <w:r>
        <w:rPr>
          <w:sz w:val="16"/>
          <w:szCs w:val="16"/>
          <w:lang w:val="lv-LV"/>
        </w:rPr>
        <w:instrText xml:space="preserve"> DATE  \@ "dd.MM.yyyy H:mm"  \* MERGEFORMAT </w:instrText>
      </w:r>
      <w:r>
        <w:rPr>
          <w:sz w:val="16"/>
          <w:szCs w:val="16"/>
          <w:lang w:val="lv-LV"/>
        </w:rPr>
        <w:fldChar w:fldCharType="separate"/>
      </w:r>
      <w:r w:rsidR="007F3A53">
        <w:rPr>
          <w:noProof/>
          <w:sz w:val="16"/>
          <w:szCs w:val="16"/>
          <w:lang w:val="lv-LV"/>
        </w:rPr>
        <w:t>10.03.2016 10:06</w:t>
      </w:r>
      <w:r>
        <w:rPr>
          <w:sz w:val="16"/>
          <w:szCs w:val="16"/>
          <w:lang w:val="lv-LV"/>
        </w:rPr>
        <w:fldChar w:fldCharType="end"/>
      </w:r>
    </w:p>
    <w:p w:rsidR="000870C1" w:rsidRDefault="000870C1" w:rsidP="000870C1">
      <w:pPr>
        <w:jc w:val="both"/>
        <w:rPr>
          <w:sz w:val="16"/>
          <w:szCs w:val="16"/>
          <w:lang w:val="lv-LV"/>
        </w:rPr>
      </w:pPr>
      <w:r>
        <w:rPr>
          <w:sz w:val="16"/>
          <w:szCs w:val="16"/>
          <w:lang w:val="lv-LV"/>
        </w:rPr>
        <w:t>Heinrihs Rozēns</w:t>
      </w:r>
    </w:p>
    <w:p w:rsidR="000870C1" w:rsidRDefault="000870C1" w:rsidP="000870C1">
      <w:pPr>
        <w:jc w:val="both"/>
        <w:rPr>
          <w:sz w:val="16"/>
          <w:szCs w:val="16"/>
          <w:lang w:val="lv-LV"/>
        </w:rPr>
      </w:pPr>
      <w:r>
        <w:rPr>
          <w:sz w:val="16"/>
          <w:szCs w:val="16"/>
          <w:lang w:val="lv-LV"/>
        </w:rPr>
        <w:t>Aizsardzības ministrijas Krīzes vadības departamenta</w:t>
      </w:r>
    </w:p>
    <w:p w:rsidR="000870C1" w:rsidRDefault="000870C1" w:rsidP="000870C1">
      <w:pPr>
        <w:jc w:val="both"/>
        <w:rPr>
          <w:sz w:val="16"/>
          <w:szCs w:val="16"/>
          <w:lang w:val="lv-LV"/>
        </w:rPr>
      </w:pPr>
      <w:proofErr w:type="spellStart"/>
      <w:r>
        <w:rPr>
          <w:sz w:val="16"/>
          <w:szCs w:val="16"/>
          <w:lang w:val="lv-LV"/>
        </w:rPr>
        <w:t>Civilmilitārās</w:t>
      </w:r>
      <w:proofErr w:type="spellEnd"/>
      <w:r>
        <w:rPr>
          <w:sz w:val="16"/>
          <w:szCs w:val="16"/>
          <w:lang w:val="lv-LV"/>
        </w:rPr>
        <w:t xml:space="preserve"> sadarbības nodaļas vecākais referents</w:t>
      </w:r>
    </w:p>
    <w:p w:rsidR="000870C1" w:rsidRDefault="00B2676D" w:rsidP="000870C1">
      <w:pPr>
        <w:jc w:val="both"/>
        <w:rPr>
          <w:sz w:val="16"/>
          <w:szCs w:val="16"/>
          <w:lang w:val="lv-LV"/>
        </w:rPr>
      </w:pPr>
      <w:r>
        <w:rPr>
          <w:sz w:val="16"/>
          <w:szCs w:val="16"/>
          <w:lang w:val="lv-LV"/>
        </w:rPr>
        <w:t>T</w:t>
      </w:r>
      <w:r w:rsidR="000870C1">
        <w:rPr>
          <w:sz w:val="16"/>
          <w:szCs w:val="16"/>
          <w:lang w:val="lv-LV"/>
        </w:rPr>
        <w:t xml:space="preserve">ālr. 67335072, e-pasts: </w:t>
      </w:r>
      <w:hyperlink r:id="rId9" w:history="1">
        <w:r w:rsidR="000870C1" w:rsidRPr="00956EB5">
          <w:rPr>
            <w:rStyle w:val="Hyperlink"/>
            <w:sz w:val="16"/>
            <w:szCs w:val="16"/>
            <w:lang w:val="lv-LV"/>
          </w:rPr>
          <w:t>heinrihs.rozens@mod.gov.lv</w:t>
        </w:r>
      </w:hyperlink>
    </w:p>
    <w:p w:rsidR="000870C1" w:rsidRPr="000870C1" w:rsidRDefault="000870C1" w:rsidP="000870C1">
      <w:pPr>
        <w:spacing w:line="360" w:lineRule="auto"/>
        <w:jc w:val="both"/>
        <w:rPr>
          <w:sz w:val="16"/>
          <w:szCs w:val="16"/>
          <w:lang w:val="lv-LV"/>
        </w:rPr>
      </w:pPr>
    </w:p>
    <w:sectPr w:rsidR="000870C1" w:rsidRPr="000870C1" w:rsidSect="00C60A2F">
      <w:footerReference w:type="default" r:id="rId10"/>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2F5" w:rsidRDefault="00C742F5" w:rsidP="00590A21">
      <w:r>
        <w:separator/>
      </w:r>
    </w:p>
  </w:endnote>
  <w:endnote w:type="continuationSeparator" w:id="0">
    <w:p w:rsidR="00C742F5" w:rsidRDefault="00C742F5" w:rsidP="0059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23" w:rsidRDefault="00414023" w:rsidP="00414023">
    <w:pPr>
      <w:pStyle w:val="Footer"/>
      <w:rPr>
        <w:i/>
        <w:sz w:val="16"/>
        <w:szCs w:val="16"/>
        <w:lang w:val="lv-LV"/>
      </w:rPr>
    </w:pPr>
    <w:r>
      <w:rPr>
        <w:sz w:val="16"/>
        <w:szCs w:val="16"/>
        <w:lang w:val="lv-LV"/>
      </w:rPr>
      <w:t xml:space="preserve">AiMinfozin_160216; </w:t>
    </w:r>
    <w:r>
      <w:rPr>
        <w:i/>
        <w:sz w:val="16"/>
        <w:szCs w:val="16"/>
        <w:lang w:val="lv-LV"/>
      </w:rPr>
      <w:t>Par Nacionālo bruņoto spēku iesaisti sprādzienbīstamu priekšmetu iznīcināšanā jūrā</w:t>
    </w:r>
  </w:p>
  <w:p w:rsidR="00414023" w:rsidRPr="00414023" w:rsidRDefault="007B1B67" w:rsidP="00414023">
    <w:pPr>
      <w:pStyle w:val="Footer"/>
      <w:jc w:val="right"/>
      <w:rPr>
        <w:sz w:val="24"/>
        <w:szCs w:val="24"/>
      </w:rPr>
    </w:pPr>
    <w:sdt>
      <w:sdtPr>
        <w:id w:val="1494143810"/>
        <w:docPartObj>
          <w:docPartGallery w:val="Page Numbers (Bottom of Page)"/>
          <w:docPartUnique/>
        </w:docPartObj>
      </w:sdtPr>
      <w:sdtEndPr>
        <w:rPr>
          <w:noProof/>
          <w:sz w:val="24"/>
          <w:szCs w:val="24"/>
        </w:rPr>
      </w:sdtEndPr>
      <w:sdtContent>
        <w:r w:rsidR="00E07E96">
          <w:rPr>
            <w:sz w:val="24"/>
            <w:szCs w:val="24"/>
          </w:rPr>
          <w:fldChar w:fldCharType="begin"/>
        </w:r>
        <w:r w:rsidR="00E07E96">
          <w:rPr>
            <w:sz w:val="24"/>
            <w:szCs w:val="24"/>
          </w:rPr>
          <w:instrText xml:space="preserve"> PAGE  \* Arabic  \* MERGEFORMAT </w:instrText>
        </w:r>
        <w:r w:rsidR="00E07E96">
          <w:rPr>
            <w:sz w:val="24"/>
            <w:szCs w:val="24"/>
          </w:rPr>
          <w:fldChar w:fldCharType="separate"/>
        </w:r>
        <w:r>
          <w:rPr>
            <w:noProof/>
            <w:sz w:val="24"/>
            <w:szCs w:val="24"/>
          </w:rPr>
          <w:t>1</w:t>
        </w:r>
        <w:r w:rsidR="00E07E96">
          <w:rPr>
            <w:sz w:val="24"/>
            <w:szCs w:val="24"/>
          </w:rPr>
          <w:fldChar w:fldCharType="end"/>
        </w:r>
      </w:sdtContent>
    </w:sdt>
    <w:r>
      <w:rPr>
        <w:noProof/>
        <w:sz w:val="24"/>
        <w:szCs w:val="24"/>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2F5" w:rsidRDefault="00C742F5" w:rsidP="00590A21">
      <w:r>
        <w:separator/>
      </w:r>
    </w:p>
  </w:footnote>
  <w:footnote w:type="continuationSeparator" w:id="0">
    <w:p w:rsidR="00C742F5" w:rsidRDefault="00C742F5" w:rsidP="00590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4780"/>
    <w:multiLevelType w:val="hybridMultilevel"/>
    <w:tmpl w:val="6C0A5EA4"/>
    <w:lvl w:ilvl="0" w:tplc="004CCE12">
      <w:start w:val="1"/>
      <w:numFmt w:val="bullet"/>
      <w:lvlText w:val=""/>
      <w:lvlJc w:val="left"/>
      <w:pPr>
        <w:ind w:left="1512"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226389B"/>
    <w:multiLevelType w:val="hybridMultilevel"/>
    <w:tmpl w:val="8A2E7626"/>
    <w:lvl w:ilvl="0" w:tplc="0090FC7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B256645"/>
    <w:multiLevelType w:val="hybridMultilevel"/>
    <w:tmpl w:val="842AC74E"/>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nsid w:val="67B13F61"/>
    <w:multiLevelType w:val="hybridMultilevel"/>
    <w:tmpl w:val="47C60ECC"/>
    <w:lvl w:ilvl="0" w:tplc="004CCE1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2167FC6"/>
    <w:multiLevelType w:val="multilevel"/>
    <w:tmpl w:val="86EC92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2A90869"/>
    <w:multiLevelType w:val="hybridMultilevel"/>
    <w:tmpl w:val="F850C96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2F"/>
    <w:rsid w:val="00042F0B"/>
    <w:rsid w:val="00053574"/>
    <w:rsid w:val="000870C1"/>
    <w:rsid w:val="000E17AF"/>
    <w:rsid w:val="000E54DF"/>
    <w:rsid w:val="00144F17"/>
    <w:rsid w:val="001549F4"/>
    <w:rsid w:val="001C25DB"/>
    <w:rsid w:val="0026236D"/>
    <w:rsid w:val="00285F2A"/>
    <w:rsid w:val="002E027E"/>
    <w:rsid w:val="002E4E95"/>
    <w:rsid w:val="002F58D7"/>
    <w:rsid w:val="00304507"/>
    <w:rsid w:val="00317FBB"/>
    <w:rsid w:val="0033259E"/>
    <w:rsid w:val="00336346"/>
    <w:rsid w:val="003D378D"/>
    <w:rsid w:val="00414023"/>
    <w:rsid w:val="00440590"/>
    <w:rsid w:val="004449DA"/>
    <w:rsid w:val="004640AA"/>
    <w:rsid w:val="004C1AC1"/>
    <w:rsid w:val="004D0B30"/>
    <w:rsid w:val="004D706D"/>
    <w:rsid w:val="00541B23"/>
    <w:rsid w:val="00590A21"/>
    <w:rsid w:val="005B3C55"/>
    <w:rsid w:val="005B4471"/>
    <w:rsid w:val="005F4077"/>
    <w:rsid w:val="0068588F"/>
    <w:rsid w:val="00687D50"/>
    <w:rsid w:val="006A24CA"/>
    <w:rsid w:val="006F474A"/>
    <w:rsid w:val="007635F3"/>
    <w:rsid w:val="0076771A"/>
    <w:rsid w:val="00780343"/>
    <w:rsid w:val="007935C1"/>
    <w:rsid w:val="00795767"/>
    <w:rsid w:val="007A4B2E"/>
    <w:rsid w:val="007B1B67"/>
    <w:rsid w:val="007D7901"/>
    <w:rsid w:val="007F3A53"/>
    <w:rsid w:val="00822D50"/>
    <w:rsid w:val="008804EF"/>
    <w:rsid w:val="00892C9E"/>
    <w:rsid w:val="008C24A3"/>
    <w:rsid w:val="008C3057"/>
    <w:rsid w:val="008D5702"/>
    <w:rsid w:val="009239B9"/>
    <w:rsid w:val="00945251"/>
    <w:rsid w:val="00961EAA"/>
    <w:rsid w:val="009A48D6"/>
    <w:rsid w:val="009C7EEB"/>
    <w:rsid w:val="00A442F4"/>
    <w:rsid w:val="00A90B4C"/>
    <w:rsid w:val="00AE6DBA"/>
    <w:rsid w:val="00AF3AC3"/>
    <w:rsid w:val="00B16BE0"/>
    <w:rsid w:val="00B175A3"/>
    <w:rsid w:val="00B2676D"/>
    <w:rsid w:val="00B3086B"/>
    <w:rsid w:val="00B9362D"/>
    <w:rsid w:val="00BE35D8"/>
    <w:rsid w:val="00BF7269"/>
    <w:rsid w:val="00C20674"/>
    <w:rsid w:val="00C60A2F"/>
    <w:rsid w:val="00C729FB"/>
    <w:rsid w:val="00C73F60"/>
    <w:rsid w:val="00C742F5"/>
    <w:rsid w:val="00CA0782"/>
    <w:rsid w:val="00CA1C05"/>
    <w:rsid w:val="00CC3182"/>
    <w:rsid w:val="00CC530C"/>
    <w:rsid w:val="00CF4068"/>
    <w:rsid w:val="00D10ED3"/>
    <w:rsid w:val="00D61217"/>
    <w:rsid w:val="00DB30B6"/>
    <w:rsid w:val="00DE0B81"/>
    <w:rsid w:val="00E07E96"/>
    <w:rsid w:val="00E300A8"/>
    <w:rsid w:val="00E56F79"/>
    <w:rsid w:val="00E7664F"/>
    <w:rsid w:val="00EA6F5E"/>
    <w:rsid w:val="00EB3F1C"/>
    <w:rsid w:val="00EC4C83"/>
    <w:rsid w:val="00EF2617"/>
    <w:rsid w:val="00F22346"/>
    <w:rsid w:val="00F43238"/>
    <w:rsid w:val="00F93D87"/>
    <w:rsid w:val="00F93E6A"/>
    <w:rsid w:val="00FA659A"/>
    <w:rsid w:val="00FD004C"/>
    <w:rsid w:val="00FD60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GB"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0A21"/>
    <w:pPr>
      <w:tabs>
        <w:tab w:val="center" w:pos="4153"/>
        <w:tab w:val="right" w:pos="8306"/>
      </w:tabs>
    </w:pPr>
  </w:style>
  <w:style w:type="character" w:customStyle="1" w:styleId="HeaderChar">
    <w:name w:val="Header Char"/>
    <w:basedOn w:val="DefaultParagraphFont"/>
    <w:link w:val="Header"/>
    <w:rsid w:val="00590A21"/>
    <w:rPr>
      <w:rFonts w:cs="Arial Unicode MS"/>
      <w:lang w:val="en-GB" w:eastAsia="en-US" w:bidi="lo-LA"/>
    </w:rPr>
  </w:style>
  <w:style w:type="paragraph" w:styleId="Footer">
    <w:name w:val="footer"/>
    <w:basedOn w:val="Normal"/>
    <w:link w:val="FooterChar"/>
    <w:uiPriority w:val="99"/>
    <w:rsid w:val="00590A21"/>
    <w:pPr>
      <w:tabs>
        <w:tab w:val="center" w:pos="4153"/>
        <w:tab w:val="right" w:pos="8306"/>
      </w:tabs>
    </w:pPr>
  </w:style>
  <w:style w:type="character" w:customStyle="1" w:styleId="FooterChar">
    <w:name w:val="Footer Char"/>
    <w:basedOn w:val="DefaultParagraphFont"/>
    <w:link w:val="Footer"/>
    <w:uiPriority w:val="99"/>
    <w:rsid w:val="00590A21"/>
    <w:rPr>
      <w:rFonts w:cs="Arial Unicode MS"/>
      <w:lang w:val="en-GB" w:eastAsia="en-US" w:bidi="lo-LA"/>
    </w:rPr>
  </w:style>
  <w:style w:type="paragraph" w:styleId="BalloonText">
    <w:name w:val="Balloon Text"/>
    <w:basedOn w:val="Normal"/>
    <w:link w:val="BalloonTextChar"/>
    <w:rsid w:val="00590A21"/>
    <w:rPr>
      <w:rFonts w:ascii="Tahoma" w:hAnsi="Tahoma" w:cs="Tahoma"/>
      <w:sz w:val="16"/>
      <w:szCs w:val="16"/>
    </w:rPr>
  </w:style>
  <w:style w:type="character" w:customStyle="1" w:styleId="BalloonTextChar">
    <w:name w:val="Balloon Text Char"/>
    <w:basedOn w:val="DefaultParagraphFont"/>
    <w:link w:val="BalloonText"/>
    <w:rsid w:val="00590A21"/>
    <w:rPr>
      <w:rFonts w:ascii="Tahoma" w:hAnsi="Tahoma" w:cs="Tahoma"/>
      <w:sz w:val="16"/>
      <w:szCs w:val="16"/>
      <w:lang w:val="en-GB" w:eastAsia="en-US" w:bidi="lo-LA"/>
    </w:rPr>
  </w:style>
  <w:style w:type="paragraph" w:styleId="FootnoteText">
    <w:name w:val="footnote text"/>
    <w:basedOn w:val="Normal"/>
    <w:link w:val="FootnoteTextChar"/>
    <w:rsid w:val="00440590"/>
  </w:style>
  <w:style w:type="character" w:customStyle="1" w:styleId="FootnoteTextChar">
    <w:name w:val="Footnote Text Char"/>
    <w:basedOn w:val="DefaultParagraphFont"/>
    <w:link w:val="FootnoteText"/>
    <w:rsid w:val="00440590"/>
    <w:rPr>
      <w:rFonts w:cs="Arial Unicode MS"/>
      <w:lang w:val="en-GB" w:eastAsia="en-US" w:bidi="lo-LA"/>
    </w:rPr>
  </w:style>
  <w:style w:type="character" w:styleId="FootnoteReference">
    <w:name w:val="footnote reference"/>
    <w:basedOn w:val="DefaultParagraphFont"/>
    <w:rsid w:val="00440590"/>
    <w:rPr>
      <w:vertAlign w:val="superscript"/>
    </w:rPr>
  </w:style>
  <w:style w:type="character" w:styleId="Hyperlink">
    <w:name w:val="Hyperlink"/>
    <w:basedOn w:val="DefaultParagraphFont"/>
    <w:rsid w:val="000870C1"/>
    <w:rPr>
      <w:color w:val="0000FF" w:themeColor="hyperlink"/>
      <w:u w:val="single"/>
    </w:rPr>
  </w:style>
  <w:style w:type="paragraph" w:styleId="ListParagraph">
    <w:name w:val="List Paragraph"/>
    <w:basedOn w:val="Normal"/>
    <w:uiPriority w:val="34"/>
    <w:qFormat/>
    <w:rsid w:val="007A4B2E"/>
    <w:pPr>
      <w:ind w:left="720"/>
      <w:contextualSpacing/>
    </w:pPr>
  </w:style>
  <w:style w:type="character" w:styleId="CommentReference">
    <w:name w:val="annotation reference"/>
    <w:basedOn w:val="DefaultParagraphFont"/>
    <w:rsid w:val="008C24A3"/>
    <w:rPr>
      <w:sz w:val="16"/>
      <w:szCs w:val="16"/>
    </w:rPr>
  </w:style>
  <w:style w:type="paragraph" w:styleId="CommentText">
    <w:name w:val="annotation text"/>
    <w:basedOn w:val="Normal"/>
    <w:link w:val="CommentTextChar"/>
    <w:rsid w:val="008C24A3"/>
  </w:style>
  <w:style w:type="character" w:customStyle="1" w:styleId="CommentTextChar">
    <w:name w:val="Comment Text Char"/>
    <w:basedOn w:val="DefaultParagraphFont"/>
    <w:link w:val="CommentText"/>
    <w:rsid w:val="008C24A3"/>
    <w:rPr>
      <w:rFonts w:cs="Arial Unicode MS"/>
      <w:lang w:val="en-GB" w:eastAsia="en-US" w:bidi="lo-LA"/>
    </w:rPr>
  </w:style>
  <w:style w:type="paragraph" w:styleId="CommentSubject">
    <w:name w:val="annotation subject"/>
    <w:basedOn w:val="CommentText"/>
    <w:next w:val="CommentText"/>
    <w:link w:val="CommentSubjectChar"/>
    <w:rsid w:val="008C24A3"/>
    <w:rPr>
      <w:b/>
      <w:bCs/>
    </w:rPr>
  </w:style>
  <w:style w:type="character" w:customStyle="1" w:styleId="CommentSubjectChar">
    <w:name w:val="Comment Subject Char"/>
    <w:basedOn w:val="CommentTextChar"/>
    <w:link w:val="CommentSubject"/>
    <w:rsid w:val="008C24A3"/>
    <w:rPr>
      <w:rFonts w:cs="Arial Unicode MS"/>
      <w:b/>
      <w:bCs/>
      <w:lang w:val="en-GB"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GB"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0A21"/>
    <w:pPr>
      <w:tabs>
        <w:tab w:val="center" w:pos="4153"/>
        <w:tab w:val="right" w:pos="8306"/>
      </w:tabs>
    </w:pPr>
  </w:style>
  <w:style w:type="character" w:customStyle="1" w:styleId="HeaderChar">
    <w:name w:val="Header Char"/>
    <w:basedOn w:val="DefaultParagraphFont"/>
    <w:link w:val="Header"/>
    <w:rsid w:val="00590A21"/>
    <w:rPr>
      <w:rFonts w:cs="Arial Unicode MS"/>
      <w:lang w:val="en-GB" w:eastAsia="en-US" w:bidi="lo-LA"/>
    </w:rPr>
  </w:style>
  <w:style w:type="paragraph" w:styleId="Footer">
    <w:name w:val="footer"/>
    <w:basedOn w:val="Normal"/>
    <w:link w:val="FooterChar"/>
    <w:uiPriority w:val="99"/>
    <w:rsid w:val="00590A21"/>
    <w:pPr>
      <w:tabs>
        <w:tab w:val="center" w:pos="4153"/>
        <w:tab w:val="right" w:pos="8306"/>
      </w:tabs>
    </w:pPr>
  </w:style>
  <w:style w:type="character" w:customStyle="1" w:styleId="FooterChar">
    <w:name w:val="Footer Char"/>
    <w:basedOn w:val="DefaultParagraphFont"/>
    <w:link w:val="Footer"/>
    <w:uiPriority w:val="99"/>
    <w:rsid w:val="00590A21"/>
    <w:rPr>
      <w:rFonts w:cs="Arial Unicode MS"/>
      <w:lang w:val="en-GB" w:eastAsia="en-US" w:bidi="lo-LA"/>
    </w:rPr>
  </w:style>
  <w:style w:type="paragraph" w:styleId="BalloonText">
    <w:name w:val="Balloon Text"/>
    <w:basedOn w:val="Normal"/>
    <w:link w:val="BalloonTextChar"/>
    <w:rsid w:val="00590A21"/>
    <w:rPr>
      <w:rFonts w:ascii="Tahoma" w:hAnsi="Tahoma" w:cs="Tahoma"/>
      <w:sz w:val="16"/>
      <w:szCs w:val="16"/>
    </w:rPr>
  </w:style>
  <w:style w:type="character" w:customStyle="1" w:styleId="BalloonTextChar">
    <w:name w:val="Balloon Text Char"/>
    <w:basedOn w:val="DefaultParagraphFont"/>
    <w:link w:val="BalloonText"/>
    <w:rsid w:val="00590A21"/>
    <w:rPr>
      <w:rFonts w:ascii="Tahoma" w:hAnsi="Tahoma" w:cs="Tahoma"/>
      <w:sz w:val="16"/>
      <w:szCs w:val="16"/>
      <w:lang w:val="en-GB" w:eastAsia="en-US" w:bidi="lo-LA"/>
    </w:rPr>
  </w:style>
  <w:style w:type="paragraph" w:styleId="FootnoteText">
    <w:name w:val="footnote text"/>
    <w:basedOn w:val="Normal"/>
    <w:link w:val="FootnoteTextChar"/>
    <w:rsid w:val="00440590"/>
  </w:style>
  <w:style w:type="character" w:customStyle="1" w:styleId="FootnoteTextChar">
    <w:name w:val="Footnote Text Char"/>
    <w:basedOn w:val="DefaultParagraphFont"/>
    <w:link w:val="FootnoteText"/>
    <w:rsid w:val="00440590"/>
    <w:rPr>
      <w:rFonts w:cs="Arial Unicode MS"/>
      <w:lang w:val="en-GB" w:eastAsia="en-US" w:bidi="lo-LA"/>
    </w:rPr>
  </w:style>
  <w:style w:type="character" w:styleId="FootnoteReference">
    <w:name w:val="footnote reference"/>
    <w:basedOn w:val="DefaultParagraphFont"/>
    <w:rsid w:val="00440590"/>
    <w:rPr>
      <w:vertAlign w:val="superscript"/>
    </w:rPr>
  </w:style>
  <w:style w:type="character" w:styleId="Hyperlink">
    <w:name w:val="Hyperlink"/>
    <w:basedOn w:val="DefaultParagraphFont"/>
    <w:rsid w:val="000870C1"/>
    <w:rPr>
      <w:color w:val="0000FF" w:themeColor="hyperlink"/>
      <w:u w:val="single"/>
    </w:rPr>
  </w:style>
  <w:style w:type="paragraph" w:styleId="ListParagraph">
    <w:name w:val="List Paragraph"/>
    <w:basedOn w:val="Normal"/>
    <w:uiPriority w:val="34"/>
    <w:qFormat/>
    <w:rsid w:val="007A4B2E"/>
    <w:pPr>
      <w:ind w:left="720"/>
      <w:contextualSpacing/>
    </w:pPr>
  </w:style>
  <w:style w:type="character" w:styleId="CommentReference">
    <w:name w:val="annotation reference"/>
    <w:basedOn w:val="DefaultParagraphFont"/>
    <w:rsid w:val="008C24A3"/>
    <w:rPr>
      <w:sz w:val="16"/>
      <w:szCs w:val="16"/>
    </w:rPr>
  </w:style>
  <w:style w:type="paragraph" w:styleId="CommentText">
    <w:name w:val="annotation text"/>
    <w:basedOn w:val="Normal"/>
    <w:link w:val="CommentTextChar"/>
    <w:rsid w:val="008C24A3"/>
  </w:style>
  <w:style w:type="character" w:customStyle="1" w:styleId="CommentTextChar">
    <w:name w:val="Comment Text Char"/>
    <w:basedOn w:val="DefaultParagraphFont"/>
    <w:link w:val="CommentText"/>
    <w:rsid w:val="008C24A3"/>
    <w:rPr>
      <w:rFonts w:cs="Arial Unicode MS"/>
      <w:lang w:val="en-GB" w:eastAsia="en-US" w:bidi="lo-LA"/>
    </w:rPr>
  </w:style>
  <w:style w:type="paragraph" w:styleId="CommentSubject">
    <w:name w:val="annotation subject"/>
    <w:basedOn w:val="CommentText"/>
    <w:next w:val="CommentText"/>
    <w:link w:val="CommentSubjectChar"/>
    <w:rsid w:val="008C24A3"/>
    <w:rPr>
      <w:b/>
      <w:bCs/>
    </w:rPr>
  </w:style>
  <w:style w:type="character" w:customStyle="1" w:styleId="CommentSubjectChar">
    <w:name w:val="Comment Subject Char"/>
    <w:basedOn w:val="CommentTextChar"/>
    <w:link w:val="CommentSubject"/>
    <w:rsid w:val="008C24A3"/>
    <w:rPr>
      <w:rFonts w:cs="Arial Unicode MS"/>
      <w:b/>
      <w:bCs/>
      <w:lang w:val="en-GB"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751732">
      <w:bodyDiv w:val="1"/>
      <w:marLeft w:val="0"/>
      <w:marRight w:val="0"/>
      <w:marTop w:val="0"/>
      <w:marBottom w:val="0"/>
      <w:divBdr>
        <w:top w:val="none" w:sz="0" w:space="0" w:color="auto"/>
        <w:left w:val="none" w:sz="0" w:space="0" w:color="auto"/>
        <w:bottom w:val="none" w:sz="0" w:space="0" w:color="auto"/>
        <w:right w:val="none" w:sz="0" w:space="0" w:color="auto"/>
      </w:divBdr>
      <w:divsChild>
        <w:div w:id="1925263882">
          <w:marLeft w:val="0"/>
          <w:marRight w:val="0"/>
          <w:marTop w:val="0"/>
          <w:marBottom w:val="0"/>
          <w:divBdr>
            <w:top w:val="none" w:sz="0" w:space="0" w:color="auto"/>
            <w:left w:val="none" w:sz="0" w:space="0" w:color="auto"/>
            <w:bottom w:val="none" w:sz="0" w:space="0" w:color="auto"/>
            <w:right w:val="none" w:sz="0" w:space="0" w:color="auto"/>
          </w:divBdr>
          <w:divsChild>
            <w:div w:id="170147290">
              <w:marLeft w:val="0"/>
              <w:marRight w:val="0"/>
              <w:marTop w:val="0"/>
              <w:marBottom w:val="0"/>
              <w:divBdr>
                <w:top w:val="none" w:sz="0" w:space="0" w:color="auto"/>
                <w:left w:val="none" w:sz="0" w:space="0" w:color="auto"/>
                <w:bottom w:val="none" w:sz="0" w:space="0" w:color="auto"/>
                <w:right w:val="none" w:sz="0" w:space="0" w:color="auto"/>
              </w:divBdr>
              <w:divsChild>
                <w:div w:id="919674939">
                  <w:marLeft w:val="0"/>
                  <w:marRight w:val="0"/>
                  <w:marTop w:val="0"/>
                  <w:marBottom w:val="0"/>
                  <w:divBdr>
                    <w:top w:val="none" w:sz="0" w:space="0" w:color="auto"/>
                    <w:left w:val="none" w:sz="0" w:space="0" w:color="auto"/>
                    <w:bottom w:val="none" w:sz="0" w:space="0" w:color="auto"/>
                    <w:right w:val="none" w:sz="0" w:space="0" w:color="auto"/>
                  </w:divBdr>
                  <w:divsChild>
                    <w:div w:id="1694770417">
                      <w:marLeft w:val="0"/>
                      <w:marRight w:val="0"/>
                      <w:marTop w:val="0"/>
                      <w:marBottom w:val="0"/>
                      <w:divBdr>
                        <w:top w:val="none" w:sz="0" w:space="0" w:color="auto"/>
                        <w:left w:val="none" w:sz="0" w:space="0" w:color="auto"/>
                        <w:bottom w:val="none" w:sz="0" w:space="0" w:color="auto"/>
                        <w:right w:val="none" w:sz="0" w:space="0" w:color="auto"/>
                      </w:divBdr>
                      <w:divsChild>
                        <w:div w:id="1707833930">
                          <w:marLeft w:val="0"/>
                          <w:marRight w:val="0"/>
                          <w:marTop w:val="0"/>
                          <w:marBottom w:val="0"/>
                          <w:divBdr>
                            <w:top w:val="none" w:sz="0" w:space="0" w:color="auto"/>
                            <w:left w:val="none" w:sz="0" w:space="0" w:color="auto"/>
                            <w:bottom w:val="none" w:sz="0" w:space="0" w:color="auto"/>
                            <w:right w:val="none" w:sz="0" w:space="0" w:color="auto"/>
                          </w:divBdr>
                          <w:divsChild>
                            <w:div w:id="735738689">
                              <w:marLeft w:val="0"/>
                              <w:marRight w:val="0"/>
                              <w:marTop w:val="480"/>
                              <w:marBottom w:val="240"/>
                              <w:divBdr>
                                <w:top w:val="none" w:sz="0" w:space="0" w:color="auto"/>
                                <w:left w:val="none" w:sz="0" w:space="0" w:color="auto"/>
                                <w:bottom w:val="none" w:sz="0" w:space="0" w:color="auto"/>
                                <w:right w:val="none" w:sz="0" w:space="0" w:color="auto"/>
                              </w:divBdr>
                            </w:div>
                            <w:div w:id="36224350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84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einrihs.rozens@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0F43B-B4CF-4E7E-BEBE-D7510AE1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43433DE0.dotm</Template>
  <TotalTime>16</TotalTime>
  <Pages>4</Pages>
  <Words>1386</Words>
  <Characters>10049</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Heinrihs Rozēns</dc:creator>
  <cp:lastModifiedBy>Heinrihs Rozens</cp:lastModifiedBy>
  <cp:revision>3</cp:revision>
  <cp:lastPrinted>2016-02-18T12:30:00Z</cp:lastPrinted>
  <dcterms:created xsi:type="dcterms:W3CDTF">2016-03-10T08:19:00Z</dcterms:created>
  <dcterms:modified xsi:type="dcterms:W3CDTF">2016-03-10T08:22:00Z</dcterms:modified>
</cp:coreProperties>
</file>