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BB8A" w14:textId="77777777" w:rsidR="004D63F3" w:rsidRPr="00D53507" w:rsidRDefault="004D63F3" w:rsidP="00074799">
      <w:pPr>
        <w:spacing w:after="0" w:line="240" w:lineRule="auto"/>
        <w:jc w:val="center"/>
        <w:rPr>
          <w:rFonts w:ascii="Times New Roman" w:eastAsia="Times New Roman" w:hAnsi="Times New Roman" w:cs="Times New Roman"/>
          <w:b/>
          <w:bCs/>
          <w:color w:val="000000" w:themeColor="text1"/>
          <w:sz w:val="28"/>
          <w:szCs w:val="28"/>
          <w:lang w:val="lv-LV"/>
        </w:rPr>
      </w:pPr>
      <w:bookmarkStart w:id="0" w:name="468683"/>
      <w:bookmarkStart w:id="1" w:name="_GoBack"/>
      <w:bookmarkEnd w:id="0"/>
      <w:bookmarkEnd w:id="1"/>
      <w:r w:rsidRPr="00D53507">
        <w:rPr>
          <w:rFonts w:ascii="Times New Roman" w:hAnsi="Times New Roman"/>
          <w:b/>
          <w:color w:val="000000" w:themeColor="text1"/>
          <w:sz w:val="28"/>
          <w:szCs w:val="28"/>
          <w:lang w:val="lv-LV"/>
        </w:rPr>
        <w:t>Likumprojekta „Grozījumi Jūrlietu pārvaldes un jūras drošības likumā”</w:t>
      </w:r>
    </w:p>
    <w:p w14:paraId="02EB6525" w14:textId="77777777" w:rsidR="00074799" w:rsidRPr="00D53507" w:rsidRDefault="00074799" w:rsidP="00074799">
      <w:pPr>
        <w:spacing w:after="0" w:line="240" w:lineRule="auto"/>
        <w:jc w:val="center"/>
        <w:rPr>
          <w:rFonts w:ascii="Times New Roman" w:eastAsia="Times New Roman" w:hAnsi="Times New Roman" w:cs="Times New Roman"/>
          <w:b/>
          <w:bCs/>
          <w:color w:val="000000" w:themeColor="text1"/>
          <w:sz w:val="28"/>
          <w:szCs w:val="28"/>
          <w:lang w:val="lv-LV"/>
        </w:rPr>
      </w:pPr>
      <w:r w:rsidRPr="00D53507">
        <w:rPr>
          <w:rFonts w:ascii="Times New Roman" w:eastAsia="Times New Roman" w:hAnsi="Times New Roman" w:cs="Times New Roman"/>
          <w:b/>
          <w:bCs/>
          <w:color w:val="000000" w:themeColor="text1"/>
          <w:sz w:val="28"/>
          <w:szCs w:val="28"/>
          <w:lang w:val="lv-LV"/>
        </w:rPr>
        <w:t>sākotnējās ietekmes novērtējuma ziņojums (anotācija)</w:t>
      </w:r>
    </w:p>
    <w:p w14:paraId="1B93DEE9" w14:textId="77777777" w:rsidR="00074799" w:rsidRPr="00D53507" w:rsidRDefault="00074799" w:rsidP="00074799">
      <w:pPr>
        <w:spacing w:before="45" w:after="0" w:line="360" w:lineRule="auto"/>
        <w:ind w:firstLine="300"/>
        <w:jc w:val="center"/>
        <w:rPr>
          <w:rFonts w:ascii="Times New Roman" w:eastAsia="Times New Roman" w:hAnsi="Times New Roman" w:cs="Times New Roman"/>
          <w:i/>
          <w:iCs/>
          <w:color w:val="000000" w:themeColor="text1"/>
          <w:sz w:val="28"/>
          <w:szCs w:val="28"/>
          <w:lang w:val="lv-LV"/>
        </w:rPr>
      </w:pPr>
    </w:p>
    <w:tbl>
      <w:tblPr>
        <w:tblStyle w:val="TableGrid"/>
        <w:tblW w:w="5000" w:type="pct"/>
        <w:tblLook w:val="04A0" w:firstRow="1" w:lastRow="0" w:firstColumn="1" w:lastColumn="0" w:noHBand="0" w:noVBand="1"/>
      </w:tblPr>
      <w:tblGrid>
        <w:gridCol w:w="578"/>
        <w:gridCol w:w="2919"/>
        <w:gridCol w:w="6079"/>
      </w:tblGrid>
      <w:tr w:rsidR="00074799" w:rsidRPr="00D53507" w14:paraId="4CF8DD75" w14:textId="77777777" w:rsidTr="002356E4">
        <w:trPr>
          <w:trHeight w:val="405"/>
        </w:trPr>
        <w:tc>
          <w:tcPr>
            <w:tcW w:w="0" w:type="auto"/>
            <w:gridSpan w:val="3"/>
            <w:hideMark/>
          </w:tcPr>
          <w:p w14:paraId="12DB5968" w14:textId="77777777" w:rsidR="00074799" w:rsidRPr="00D53507" w:rsidRDefault="00074799" w:rsidP="004D63F3">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I. Tiesību akta projekta izstrādes nepieciešamība</w:t>
            </w:r>
          </w:p>
          <w:p w14:paraId="04019D36" w14:textId="77777777" w:rsidR="00687DF2" w:rsidRPr="00D53507" w:rsidRDefault="00687DF2" w:rsidP="004D63F3">
            <w:pPr>
              <w:pStyle w:val="NoSpacing"/>
              <w:jc w:val="center"/>
              <w:rPr>
                <w:rFonts w:ascii="Times New Roman" w:hAnsi="Times New Roman" w:cs="Times New Roman"/>
                <w:b/>
                <w:sz w:val="26"/>
                <w:szCs w:val="26"/>
                <w:lang w:val="lv-LV"/>
              </w:rPr>
            </w:pPr>
          </w:p>
        </w:tc>
      </w:tr>
      <w:tr w:rsidR="00074799" w:rsidRPr="00D53507" w14:paraId="7934A759" w14:textId="77777777" w:rsidTr="00407760">
        <w:trPr>
          <w:trHeight w:val="405"/>
        </w:trPr>
        <w:tc>
          <w:tcPr>
            <w:tcW w:w="302" w:type="pct"/>
            <w:hideMark/>
          </w:tcPr>
          <w:p w14:paraId="0254BE3B" w14:textId="77777777" w:rsidR="00074799" w:rsidRPr="00D53507" w:rsidRDefault="00074799" w:rsidP="004D63F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1.</w:t>
            </w:r>
          </w:p>
        </w:tc>
        <w:tc>
          <w:tcPr>
            <w:tcW w:w="1524" w:type="pct"/>
            <w:hideMark/>
          </w:tcPr>
          <w:p w14:paraId="0812800E" w14:textId="77777777" w:rsidR="00074799" w:rsidRPr="00D53507" w:rsidRDefault="00074799" w:rsidP="004D63F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Pamatojums</w:t>
            </w:r>
          </w:p>
        </w:tc>
        <w:tc>
          <w:tcPr>
            <w:tcW w:w="3175" w:type="pct"/>
            <w:hideMark/>
          </w:tcPr>
          <w:p w14:paraId="48C7496B" w14:textId="0C701B59" w:rsidR="004D63F3" w:rsidRPr="00D53507" w:rsidRDefault="004D63F3" w:rsidP="004D63F3">
            <w:pPr>
              <w:pStyle w:val="NoSpacing"/>
              <w:jc w:val="both"/>
              <w:rPr>
                <w:rFonts w:ascii="Times New Roman" w:hAnsi="Times New Roman"/>
                <w:sz w:val="26"/>
                <w:szCs w:val="26"/>
                <w:lang w:val="lv-LV"/>
              </w:rPr>
            </w:pPr>
            <w:r w:rsidRPr="00D53507">
              <w:rPr>
                <w:rFonts w:ascii="Times New Roman" w:hAnsi="Times New Roman"/>
                <w:sz w:val="26"/>
                <w:szCs w:val="26"/>
                <w:lang w:val="lv-LV"/>
              </w:rPr>
              <w:t xml:space="preserve">1) Jūrlietu pārvaldes un jūras drošības likuma (turpmāk-JPJDL) tiesību normu aktualizēšana atbilstoši </w:t>
            </w:r>
            <w:r w:rsidR="00545D72" w:rsidRPr="00D53507">
              <w:rPr>
                <w:rFonts w:ascii="Times New Roman" w:hAnsi="Times New Roman"/>
                <w:sz w:val="26"/>
                <w:szCs w:val="26"/>
                <w:lang w:val="lv-LV"/>
              </w:rPr>
              <w:t>problemātikai attiecīgajā jomā</w:t>
            </w:r>
            <w:r w:rsidRPr="00D53507">
              <w:rPr>
                <w:rFonts w:ascii="Times New Roman" w:hAnsi="Times New Roman"/>
                <w:sz w:val="26"/>
                <w:szCs w:val="26"/>
                <w:lang w:val="lv-LV"/>
              </w:rPr>
              <w:t>;</w:t>
            </w:r>
          </w:p>
          <w:p w14:paraId="20585E69" w14:textId="43D5E04D" w:rsidR="00074799" w:rsidRPr="00D53507" w:rsidRDefault="004D63F3" w:rsidP="009B383B">
            <w:pPr>
              <w:pStyle w:val="NoSpacing"/>
              <w:jc w:val="both"/>
              <w:rPr>
                <w:rFonts w:ascii="Times New Roman" w:hAnsi="Times New Roman"/>
                <w:sz w:val="26"/>
                <w:szCs w:val="26"/>
                <w:lang w:val="lv-LV"/>
              </w:rPr>
            </w:pPr>
            <w:r w:rsidRPr="00D53507">
              <w:rPr>
                <w:rFonts w:ascii="Times New Roman" w:hAnsi="Times New Roman"/>
                <w:sz w:val="26"/>
                <w:szCs w:val="26"/>
                <w:lang w:val="lv-LV"/>
              </w:rPr>
              <w:t>2) Ministru kabineta 2014.gada 16.septembra noteikumi Nr.551 “Ostu hidrotehnisko, siltumenerģijas, gāzes un citu, atsevišķi neklasificē</w:t>
            </w:r>
            <w:r w:rsidR="00752DB4" w:rsidRPr="00D53507">
              <w:rPr>
                <w:rFonts w:ascii="Times New Roman" w:hAnsi="Times New Roman"/>
                <w:sz w:val="26"/>
                <w:szCs w:val="26"/>
                <w:lang w:val="lv-LV"/>
              </w:rPr>
              <w:t>tu, inženierbūvju būvnoteikumi”;</w:t>
            </w:r>
          </w:p>
          <w:p w14:paraId="792AB6CF" w14:textId="77777777" w:rsidR="00752DB4" w:rsidRPr="00D53507" w:rsidRDefault="00752DB4" w:rsidP="009B383B">
            <w:pPr>
              <w:pStyle w:val="NoSpacing"/>
              <w:jc w:val="both"/>
              <w:rPr>
                <w:rFonts w:ascii="Times New Roman" w:hAnsi="Times New Roman"/>
                <w:sz w:val="26"/>
                <w:szCs w:val="26"/>
                <w:lang w:val="lv-LV"/>
              </w:rPr>
            </w:pPr>
            <w:r w:rsidRPr="00D53507">
              <w:rPr>
                <w:rFonts w:ascii="Times New Roman" w:hAnsi="Times New Roman"/>
                <w:sz w:val="26"/>
                <w:szCs w:val="26"/>
                <w:lang w:val="lv-LV"/>
              </w:rPr>
              <w:t>3) Ministru kabineta 2015.gada 22.decembra sēdes protokols Nr. 68, 43</w:t>
            </w:r>
            <w:r w:rsidRPr="00D53507">
              <w:rPr>
                <w:rFonts w:ascii="Times New Roman" w:hAnsi="Times New Roman" w:cs="Times New Roman"/>
                <w:sz w:val="26"/>
                <w:szCs w:val="26"/>
                <w:lang w:val="lv-LV"/>
              </w:rPr>
              <w:t>§</w:t>
            </w:r>
            <w:r w:rsidRPr="00D53507">
              <w:rPr>
                <w:rFonts w:ascii="Times New Roman" w:hAnsi="Times New Roman"/>
                <w:sz w:val="26"/>
                <w:szCs w:val="26"/>
                <w:lang w:val="lv-LV"/>
              </w:rPr>
              <w:t>.</w:t>
            </w:r>
          </w:p>
          <w:p w14:paraId="76B42D24" w14:textId="77777777" w:rsidR="00B23BF5" w:rsidRPr="00D53507" w:rsidRDefault="00B23BF5" w:rsidP="009B383B">
            <w:pPr>
              <w:pStyle w:val="NoSpacing"/>
              <w:jc w:val="both"/>
              <w:rPr>
                <w:rFonts w:ascii="Times New Roman" w:hAnsi="Times New Roman" w:cs="Times New Roman"/>
                <w:sz w:val="26"/>
                <w:szCs w:val="26"/>
                <w:lang w:val="lv-LV"/>
              </w:rPr>
            </w:pPr>
          </w:p>
        </w:tc>
      </w:tr>
      <w:tr w:rsidR="00407760" w:rsidRPr="0025359C" w14:paraId="152D6606" w14:textId="77777777" w:rsidTr="00407760">
        <w:trPr>
          <w:trHeight w:val="465"/>
        </w:trPr>
        <w:tc>
          <w:tcPr>
            <w:tcW w:w="302" w:type="pct"/>
            <w:hideMark/>
          </w:tcPr>
          <w:p w14:paraId="74050979" w14:textId="77777777" w:rsidR="00407760" w:rsidRPr="00D53507" w:rsidRDefault="00407760" w:rsidP="00407760">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2.</w:t>
            </w:r>
          </w:p>
        </w:tc>
        <w:tc>
          <w:tcPr>
            <w:tcW w:w="1524" w:type="pct"/>
            <w:hideMark/>
          </w:tcPr>
          <w:p w14:paraId="004968D0" w14:textId="7027C66A" w:rsidR="00BA1036" w:rsidRDefault="00407760" w:rsidP="00407760">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Pašreizējā situācija un problēmas, kuru risināšanai tiesību akta projekts izstrādāts, tiesiskā regulējuma mērķis un būtība</w:t>
            </w:r>
          </w:p>
          <w:p w14:paraId="42196B97" w14:textId="77777777" w:rsidR="00BA1036" w:rsidRPr="00BA1036" w:rsidRDefault="00BA1036" w:rsidP="00BA1036">
            <w:pPr>
              <w:rPr>
                <w:lang w:val="lv-LV"/>
              </w:rPr>
            </w:pPr>
          </w:p>
          <w:p w14:paraId="39461CE8" w14:textId="77777777" w:rsidR="00BA1036" w:rsidRPr="00BA1036" w:rsidRDefault="00BA1036" w:rsidP="00BA1036">
            <w:pPr>
              <w:rPr>
                <w:lang w:val="lv-LV"/>
              </w:rPr>
            </w:pPr>
          </w:p>
          <w:p w14:paraId="2B2DDD13" w14:textId="77777777" w:rsidR="00BA1036" w:rsidRPr="00BA1036" w:rsidRDefault="00BA1036" w:rsidP="00BA1036">
            <w:pPr>
              <w:rPr>
                <w:lang w:val="lv-LV"/>
              </w:rPr>
            </w:pPr>
          </w:p>
          <w:p w14:paraId="67275FB7" w14:textId="77777777" w:rsidR="00BA1036" w:rsidRPr="00BA1036" w:rsidRDefault="00BA1036" w:rsidP="00BA1036">
            <w:pPr>
              <w:rPr>
                <w:lang w:val="lv-LV"/>
              </w:rPr>
            </w:pPr>
          </w:p>
          <w:p w14:paraId="66727AB2" w14:textId="77777777" w:rsidR="00BA1036" w:rsidRPr="00BA1036" w:rsidRDefault="00BA1036" w:rsidP="00BA1036">
            <w:pPr>
              <w:rPr>
                <w:lang w:val="lv-LV"/>
              </w:rPr>
            </w:pPr>
          </w:p>
          <w:p w14:paraId="53EB7526" w14:textId="77777777" w:rsidR="00BA1036" w:rsidRPr="00BA1036" w:rsidRDefault="00BA1036" w:rsidP="00BA1036">
            <w:pPr>
              <w:rPr>
                <w:lang w:val="lv-LV"/>
              </w:rPr>
            </w:pPr>
          </w:p>
          <w:p w14:paraId="394A7F01" w14:textId="77777777" w:rsidR="00BA1036" w:rsidRPr="00BA1036" w:rsidRDefault="00BA1036" w:rsidP="00BA1036">
            <w:pPr>
              <w:rPr>
                <w:lang w:val="lv-LV"/>
              </w:rPr>
            </w:pPr>
          </w:p>
          <w:p w14:paraId="1A89C27E" w14:textId="77777777" w:rsidR="00BA1036" w:rsidRPr="00BA1036" w:rsidRDefault="00BA1036" w:rsidP="00BA1036">
            <w:pPr>
              <w:rPr>
                <w:lang w:val="lv-LV"/>
              </w:rPr>
            </w:pPr>
          </w:p>
          <w:p w14:paraId="72BCA61F" w14:textId="77777777" w:rsidR="00BA1036" w:rsidRPr="00BA1036" w:rsidRDefault="00BA1036" w:rsidP="00BA1036">
            <w:pPr>
              <w:rPr>
                <w:lang w:val="lv-LV"/>
              </w:rPr>
            </w:pPr>
          </w:p>
          <w:p w14:paraId="41ACDC47" w14:textId="77777777" w:rsidR="00BA1036" w:rsidRPr="00BA1036" w:rsidRDefault="00BA1036" w:rsidP="00BA1036">
            <w:pPr>
              <w:rPr>
                <w:lang w:val="lv-LV"/>
              </w:rPr>
            </w:pPr>
          </w:p>
          <w:p w14:paraId="403B363A" w14:textId="77777777" w:rsidR="00BA1036" w:rsidRPr="00BA1036" w:rsidRDefault="00BA1036" w:rsidP="00BA1036">
            <w:pPr>
              <w:rPr>
                <w:lang w:val="lv-LV"/>
              </w:rPr>
            </w:pPr>
          </w:p>
          <w:p w14:paraId="1103050A" w14:textId="77777777" w:rsidR="00BA1036" w:rsidRPr="00BA1036" w:rsidRDefault="00BA1036" w:rsidP="00BA1036">
            <w:pPr>
              <w:rPr>
                <w:lang w:val="lv-LV"/>
              </w:rPr>
            </w:pPr>
          </w:p>
          <w:p w14:paraId="5CCFCCD9" w14:textId="77777777" w:rsidR="00BA1036" w:rsidRPr="00BA1036" w:rsidRDefault="00BA1036" w:rsidP="00BA1036">
            <w:pPr>
              <w:rPr>
                <w:lang w:val="lv-LV"/>
              </w:rPr>
            </w:pPr>
          </w:p>
          <w:p w14:paraId="40F3BAE8" w14:textId="2AF29B91" w:rsidR="00BA1036" w:rsidRDefault="00BA1036" w:rsidP="00BA1036">
            <w:pPr>
              <w:rPr>
                <w:lang w:val="lv-LV"/>
              </w:rPr>
            </w:pPr>
          </w:p>
          <w:p w14:paraId="706189F9" w14:textId="77777777" w:rsidR="00BA1036" w:rsidRPr="00BA1036" w:rsidRDefault="00BA1036" w:rsidP="00BA1036">
            <w:pPr>
              <w:rPr>
                <w:lang w:val="lv-LV"/>
              </w:rPr>
            </w:pPr>
          </w:p>
          <w:p w14:paraId="66329250" w14:textId="77777777" w:rsidR="00BA1036" w:rsidRPr="00BA1036" w:rsidRDefault="00BA1036" w:rsidP="00BA1036">
            <w:pPr>
              <w:rPr>
                <w:lang w:val="lv-LV"/>
              </w:rPr>
            </w:pPr>
          </w:p>
          <w:p w14:paraId="2A1DAE8A" w14:textId="77777777" w:rsidR="00BA1036" w:rsidRPr="00BA1036" w:rsidRDefault="00BA1036" w:rsidP="00BA1036">
            <w:pPr>
              <w:rPr>
                <w:lang w:val="lv-LV"/>
              </w:rPr>
            </w:pPr>
          </w:p>
          <w:p w14:paraId="3CEBAE1B" w14:textId="77777777" w:rsidR="00BA1036" w:rsidRPr="00BA1036" w:rsidRDefault="00BA1036" w:rsidP="00BA1036">
            <w:pPr>
              <w:rPr>
                <w:lang w:val="lv-LV"/>
              </w:rPr>
            </w:pPr>
          </w:p>
          <w:p w14:paraId="3846D162" w14:textId="388306E5" w:rsidR="00BA1036" w:rsidRDefault="00BA1036" w:rsidP="00BA1036">
            <w:pPr>
              <w:rPr>
                <w:lang w:val="lv-LV"/>
              </w:rPr>
            </w:pPr>
          </w:p>
          <w:p w14:paraId="5E95ADAD" w14:textId="77777777" w:rsidR="00BA1036" w:rsidRPr="00BA1036" w:rsidRDefault="00BA1036" w:rsidP="005D5B72">
            <w:pPr>
              <w:jc w:val="center"/>
              <w:rPr>
                <w:lang w:val="lv-LV"/>
              </w:rPr>
            </w:pPr>
          </w:p>
          <w:p w14:paraId="15AC44CD" w14:textId="2F34A203" w:rsidR="00BA1036" w:rsidRDefault="00BA1036" w:rsidP="00BA1036">
            <w:pPr>
              <w:rPr>
                <w:lang w:val="lv-LV"/>
              </w:rPr>
            </w:pPr>
          </w:p>
          <w:p w14:paraId="1138109A" w14:textId="2EE1B0AC" w:rsidR="00BA1036" w:rsidRDefault="00BA1036" w:rsidP="00BA1036">
            <w:pPr>
              <w:rPr>
                <w:lang w:val="lv-LV"/>
              </w:rPr>
            </w:pPr>
          </w:p>
          <w:p w14:paraId="23439053" w14:textId="77777777" w:rsidR="00407760" w:rsidRPr="00BA1036" w:rsidRDefault="00407760" w:rsidP="00BA1036">
            <w:pPr>
              <w:jc w:val="right"/>
              <w:rPr>
                <w:lang w:val="lv-LV"/>
              </w:rPr>
            </w:pPr>
          </w:p>
        </w:tc>
        <w:tc>
          <w:tcPr>
            <w:tcW w:w="3175" w:type="pct"/>
            <w:hideMark/>
          </w:tcPr>
          <w:p w14:paraId="1B469ECC" w14:textId="3ACFC41C" w:rsidR="00407760" w:rsidRPr="005D5B72" w:rsidRDefault="00545D72"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1</w:t>
            </w:r>
            <w:r w:rsidR="00EF68D5" w:rsidRPr="005D5B72">
              <w:rPr>
                <w:rFonts w:ascii="Times New Roman" w:hAnsi="Times New Roman" w:cs="Times New Roman"/>
                <w:sz w:val="26"/>
                <w:szCs w:val="26"/>
                <w:lang w:val="lv-LV"/>
              </w:rPr>
              <w:t>.</w:t>
            </w:r>
            <w:r w:rsidR="00407760" w:rsidRPr="005D5B72">
              <w:rPr>
                <w:rFonts w:ascii="Times New Roman" w:hAnsi="Times New Roman" w:cs="Times New Roman"/>
                <w:sz w:val="26"/>
                <w:szCs w:val="26"/>
                <w:lang w:val="lv-LV"/>
              </w:rPr>
              <w:t xml:space="preserve"> JPJDL 6.pantā ir noteikta valsts akciju sabiedrības „Latvijas Jūras administrācija” (turpmāk – J</w:t>
            </w:r>
            <w:r w:rsidR="007433A1" w:rsidRPr="005D5B72">
              <w:rPr>
                <w:rFonts w:ascii="Times New Roman" w:hAnsi="Times New Roman" w:cs="Times New Roman"/>
                <w:sz w:val="26"/>
                <w:szCs w:val="26"/>
                <w:lang w:val="lv-LV"/>
              </w:rPr>
              <w:t>ūras administrācija) kompetence, kas</w:t>
            </w:r>
            <w:r w:rsidR="00407760" w:rsidRPr="005D5B72">
              <w:rPr>
                <w:rFonts w:ascii="Times New Roman" w:hAnsi="Times New Roman" w:cs="Times New Roman"/>
                <w:sz w:val="26"/>
                <w:szCs w:val="26"/>
                <w:lang w:val="lv-LV"/>
              </w:rPr>
              <w:t xml:space="preserve"> </w:t>
            </w:r>
            <w:r w:rsidR="000717D4" w:rsidRPr="005D5B72">
              <w:rPr>
                <w:rFonts w:ascii="Times New Roman" w:hAnsi="Times New Roman" w:cs="Times New Roman"/>
                <w:sz w:val="26"/>
                <w:szCs w:val="26"/>
                <w:lang w:val="lv-LV"/>
              </w:rPr>
              <w:t xml:space="preserve">jāprecizē, jo </w:t>
            </w:r>
            <w:r w:rsidR="002C0EDE" w:rsidRPr="005D5B72">
              <w:rPr>
                <w:rFonts w:ascii="Times New Roman" w:hAnsi="Times New Roman" w:cs="Times New Roman"/>
                <w:sz w:val="26"/>
                <w:szCs w:val="26"/>
                <w:lang w:val="lv-LV"/>
              </w:rPr>
              <w:t xml:space="preserve">pašlaik tā </w:t>
            </w:r>
            <w:r w:rsidR="007433A1" w:rsidRPr="005D5B72">
              <w:rPr>
                <w:rFonts w:ascii="Times New Roman" w:hAnsi="Times New Roman" w:cs="Times New Roman"/>
                <w:sz w:val="26"/>
                <w:szCs w:val="26"/>
                <w:lang w:val="lv-LV"/>
              </w:rPr>
              <w:t xml:space="preserve"> </w:t>
            </w:r>
            <w:r w:rsidR="00407760" w:rsidRPr="005D5B72">
              <w:rPr>
                <w:rFonts w:ascii="Times New Roman" w:hAnsi="Times New Roman" w:cs="Times New Roman"/>
                <w:sz w:val="26"/>
                <w:szCs w:val="26"/>
                <w:lang w:val="lv-LV"/>
              </w:rPr>
              <w:t xml:space="preserve">neatbilst </w:t>
            </w:r>
            <w:r w:rsidR="002C0EDE" w:rsidRPr="005D5B72">
              <w:rPr>
                <w:rFonts w:ascii="Times New Roman" w:hAnsi="Times New Roman" w:cs="Times New Roman"/>
                <w:sz w:val="26"/>
                <w:szCs w:val="26"/>
                <w:lang w:val="lv-LV"/>
              </w:rPr>
              <w:t>faktiski īstenotajām darbībām.</w:t>
            </w:r>
            <w:r w:rsidR="000717D4" w:rsidRPr="005D5B72">
              <w:rPr>
                <w:rFonts w:ascii="Times New Roman" w:hAnsi="Times New Roman" w:cs="Times New Roman"/>
                <w:sz w:val="26"/>
                <w:szCs w:val="26"/>
                <w:lang w:val="lv-LV"/>
              </w:rPr>
              <w:t xml:space="preserve"> Jūras administrācijas kompetence ir </w:t>
            </w:r>
            <w:r w:rsidR="00407760" w:rsidRPr="005D5B72">
              <w:rPr>
                <w:rFonts w:ascii="Times New Roman" w:hAnsi="Times New Roman" w:cs="Times New Roman"/>
                <w:sz w:val="26"/>
                <w:szCs w:val="26"/>
                <w:lang w:val="lv-LV"/>
              </w:rPr>
              <w:t>mainījusies gan saistībā ar izmaiņām praksē, gan saistībā ar grozī</w:t>
            </w:r>
            <w:r w:rsidR="00CF4C64" w:rsidRPr="005D5B72">
              <w:rPr>
                <w:rFonts w:ascii="Times New Roman" w:hAnsi="Times New Roman" w:cs="Times New Roman"/>
                <w:sz w:val="26"/>
                <w:szCs w:val="26"/>
                <w:lang w:val="lv-LV"/>
              </w:rPr>
              <w:t>jumiem citos normatīvajos aktos:</w:t>
            </w:r>
          </w:p>
          <w:p w14:paraId="7F46CA87" w14:textId="6A279CF1" w:rsidR="00407760" w:rsidRPr="005D5B72" w:rsidRDefault="00CF4C64"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w:t>
            </w:r>
            <w:r w:rsidR="00407760" w:rsidRPr="005D5B72">
              <w:rPr>
                <w:rFonts w:ascii="Times New Roman" w:hAnsi="Times New Roman" w:cs="Times New Roman"/>
                <w:sz w:val="26"/>
                <w:szCs w:val="26"/>
                <w:lang w:val="lv-LV"/>
              </w:rPr>
              <w:t xml:space="preserve">2014.gada 1.oktobrī  stājās </w:t>
            </w:r>
            <w:r w:rsidR="002C0EDE" w:rsidRPr="005D5B72">
              <w:rPr>
                <w:rFonts w:ascii="Times New Roman" w:hAnsi="Times New Roman" w:cs="Times New Roman"/>
                <w:sz w:val="26"/>
                <w:szCs w:val="26"/>
                <w:lang w:val="lv-LV"/>
              </w:rPr>
              <w:t xml:space="preserve">spēkā </w:t>
            </w:r>
            <w:r w:rsidR="00407760" w:rsidRPr="005D5B72">
              <w:rPr>
                <w:rFonts w:ascii="Times New Roman" w:hAnsi="Times New Roman" w:cs="Times New Roman"/>
                <w:sz w:val="26"/>
                <w:szCs w:val="26"/>
                <w:lang w:val="lv-LV"/>
              </w:rPr>
              <w:t xml:space="preserve">Ministru kabineta 2014.gada 16.septembra noteikumi Nr.551 “Ostu hidrotehnisko, siltumenerģijas, gāzes un citu, atsevišķi neklasificētu, inženierbūvju būvnoteikumi” (turpmāk –MK noteikumi Nr.551). MK noteikumi </w:t>
            </w:r>
            <w:r w:rsidR="009B2FFE" w:rsidRPr="005D5B72">
              <w:rPr>
                <w:rFonts w:ascii="Times New Roman" w:hAnsi="Times New Roman" w:cs="Times New Roman"/>
                <w:sz w:val="26"/>
                <w:szCs w:val="26"/>
                <w:lang w:val="lv-LV"/>
              </w:rPr>
              <w:t>N</w:t>
            </w:r>
            <w:r w:rsidR="00407760" w:rsidRPr="005D5B72">
              <w:rPr>
                <w:rFonts w:ascii="Times New Roman" w:hAnsi="Times New Roman" w:cs="Times New Roman"/>
                <w:sz w:val="26"/>
                <w:szCs w:val="26"/>
                <w:lang w:val="lv-LV"/>
              </w:rPr>
              <w:t xml:space="preserve">r.551 </w:t>
            </w:r>
            <w:r w:rsidR="009B2FFE" w:rsidRPr="005D5B72">
              <w:rPr>
                <w:rFonts w:ascii="Times New Roman" w:hAnsi="Times New Roman" w:cs="Times New Roman"/>
                <w:sz w:val="26"/>
                <w:szCs w:val="26"/>
                <w:lang w:val="lv-LV"/>
              </w:rPr>
              <w:t>regulē</w:t>
            </w:r>
            <w:r w:rsidR="00407760" w:rsidRPr="005D5B72">
              <w:rPr>
                <w:rFonts w:ascii="Times New Roman" w:hAnsi="Times New Roman" w:cs="Times New Roman"/>
                <w:sz w:val="26"/>
                <w:szCs w:val="26"/>
                <w:lang w:val="lv-LV"/>
              </w:rPr>
              <w:t xml:space="preserve"> jautājumus, kas saistībā ar būvniecību ostas teritorijā no kuģošanas drošības viedokļa ir jāsaskaņo ar Jūras administrāciju. Projekts attiecīgi </w:t>
            </w:r>
            <w:r w:rsidR="00C00132" w:rsidRPr="005D5B72">
              <w:rPr>
                <w:rFonts w:ascii="Times New Roman" w:hAnsi="Times New Roman" w:cs="Times New Roman"/>
                <w:sz w:val="26"/>
                <w:szCs w:val="26"/>
                <w:lang w:val="lv-LV"/>
              </w:rPr>
              <w:t xml:space="preserve">precizē </w:t>
            </w:r>
            <w:r w:rsidR="00407760" w:rsidRPr="005D5B72">
              <w:rPr>
                <w:rFonts w:ascii="Times New Roman" w:hAnsi="Times New Roman" w:cs="Times New Roman"/>
                <w:sz w:val="26"/>
                <w:szCs w:val="26"/>
                <w:lang w:val="lv-LV"/>
              </w:rPr>
              <w:t>JPJDL 6.pantā ietverto Jūras administrācijas kompetenci</w:t>
            </w:r>
            <w:r w:rsidR="00DD2172" w:rsidRPr="005D5B72">
              <w:rPr>
                <w:rFonts w:ascii="Times New Roman" w:hAnsi="Times New Roman" w:cs="Times New Roman"/>
                <w:sz w:val="26"/>
                <w:szCs w:val="26"/>
                <w:lang w:val="lv-LV"/>
              </w:rPr>
              <w:t>;</w:t>
            </w:r>
          </w:p>
          <w:p w14:paraId="59D4A423" w14:textId="6A00E65C" w:rsidR="00CF4C64" w:rsidRPr="005D5B72" w:rsidRDefault="00CF4C64" w:rsidP="00CF4C64">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 xml:space="preserve">-Projekts papildina JPJDL </w:t>
            </w:r>
            <w:r w:rsidR="0025359C">
              <w:rPr>
                <w:rFonts w:ascii="Times New Roman" w:hAnsi="Times New Roman" w:cs="Times New Roman"/>
                <w:sz w:val="26"/>
                <w:szCs w:val="26"/>
                <w:lang w:val="lv-LV"/>
              </w:rPr>
              <w:t xml:space="preserve">6.panta </w:t>
            </w:r>
            <w:r w:rsidRPr="005D5B72">
              <w:rPr>
                <w:rFonts w:ascii="Times New Roman" w:hAnsi="Times New Roman" w:cs="Times New Roman"/>
                <w:sz w:val="26"/>
                <w:szCs w:val="26"/>
                <w:lang w:val="lv-LV"/>
              </w:rPr>
              <w:t>pirmo daļu ar 7</w:t>
            </w:r>
            <w:r w:rsidRPr="005D5B72">
              <w:rPr>
                <w:rFonts w:ascii="Times New Roman" w:hAnsi="Times New Roman" w:cs="Times New Roman"/>
                <w:sz w:val="26"/>
                <w:szCs w:val="26"/>
                <w:vertAlign w:val="superscript"/>
                <w:lang w:val="lv-LV"/>
              </w:rPr>
              <w:t>1</w:t>
            </w:r>
            <w:r w:rsidRPr="005D5B72">
              <w:rPr>
                <w:rFonts w:ascii="Times New Roman" w:hAnsi="Times New Roman" w:cs="Times New Roman"/>
                <w:sz w:val="26"/>
                <w:szCs w:val="26"/>
                <w:lang w:val="lv-LV"/>
              </w:rPr>
              <w:t xml:space="preserve"> </w:t>
            </w:r>
            <w:r w:rsidR="009C2987">
              <w:rPr>
                <w:rFonts w:ascii="Times New Roman" w:hAnsi="Times New Roman" w:cs="Times New Roman"/>
                <w:sz w:val="26"/>
                <w:szCs w:val="26"/>
                <w:lang w:val="lv-LV"/>
              </w:rPr>
              <w:t>apakš</w:t>
            </w:r>
            <w:r w:rsidRPr="005D5B72">
              <w:rPr>
                <w:rFonts w:ascii="Times New Roman" w:hAnsi="Times New Roman" w:cs="Times New Roman"/>
                <w:sz w:val="26"/>
                <w:szCs w:val="26"/>
                <w:lang w:val="lv-LV"/>
              </w:rPr>
              <w:t>punktu, nosakot Jūras administrācijas kompetenci piešķirt vienoto ražotāja kodu personai, kas veic atpūtas kuģu vai ūdens motociklu būvi Latvijas Republikā, kā arī paredz pilnvarojumu Ministru kabinetam noteikt kārtību, kādā kods tiek piešķirts.</w:t>
            </w:r>
          </w:p>
          <w:p w14:paraId="042D7428" w14:textId="402D930B" w:rsidR="00C752B7" w:rsidRPr="005D5B72" w:rsidRDefault="00CF4C64"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w:t>
            </w:r>
            <w:r w:rsidR="00066F9A" w:rsidRPr="005D5B72">
              <w:rPr>
                <w:rFonts w:ascii="Times New Roman" w:hAnsi="Times New Roman" w:cs="Times New Roman"/>
                <w:sz w:val="26"/>
                <w:szCs w:val="26"/>
                <w:lang w:val="lv-LV"/>
              </w:rPr>
              <w:t>P</w:t>
            </w:r>
            <w:r w:rsidR="006560AD" w:rsidRPr="005D5B72">
              <w:rPr>
                <w:rFonts w:ascii="Times New Roman" w:hAnsi="Times New Roman" w:cs="Times New Roman"/>
                <w:sz w:val="26"/>
                <w:szCs w:val="26"/>
                <w:lang w:val="lv-LV"/>
              </w:rPr>
              <w:t>raksē konstatēti gadījumi</w:t>
            </w:r>
            <w:r w:rsidR="00407760" w:rsidRPr="005D5B72">
              <w:rPr>
                <w:rFonts w:ascii="Times New Roman" w:hAnsi="Times New Roman" w:cs="Times New Roman"/>
                <w:sz w:val="26"/>
                <w:szCs w:val="26"/>
                <w:lang w:val="lv-LV"/>
              </w:rPr>
              <w:t>, ka privātpersonas nesniedz atbildi uz Jūras administrācijas informācijas pieprasījumu</w:t>
            </w:r>
            <w:r w:rsidR="009B2FFE" w:rsidRPr="005D5B72">
              <w:rPr>
                <w:rFonts w:ascii="Times New Roman" w:hAnsi="Times New Roman" w:cs="Times New Roman"/>
                <w:sz w:val="26"/>
                <w:szCs w:val="26"/>
                <w:lang w:val="lv-LV"/>
              </w:rPr>
              <w:t>,</w:t>
            </w:r>
            <w:r w:rsidR="00EB3CAD" w:rsidRPr="005D5B72">
              <w:rPr>
                <w:rFonts w:ascii="Times New Roman" w:hAnsi="Times New Roman" w:cs="Times New Roman"/>
                <w:sz w:val="26"/>
                <w:szCs w:val="26"/>
                <w:lang w:val="lv-LV"/>
              </w:rPr>
              <w:t xml:space="preserve"> </w:t>
            </w:r>
            <w:r w:rsidR="009B2FFE" w:rsidRPr="005D5B72">
              <w:rPr>
                <w:rFonts w:ascii="Times New Roman" w:hAnsi="Times New Roman" w:cs="Times New Roman"/>
                <w:sz w:val="26"/>
                <w:szCs w:val="26"/>
                <w:lang w:val="lv-LV"/>
              </w:rPr>
              <w:t>līdz ar to Jūras administrācija nevar sekmīgi veikt</w:t>
            </w:r>
            <w:r w:rsidR="00DD2172" w:rsidRPr="005D5B72">
              <w:rPr>
                <w:rFonts w:ascii="Times New Roman" w:hAnsi="Times New Roman" w:cs="Times New Roman"/>
                <w:sz w:val="26"/>
                <w:szCs w:val="26"/>
                <w:lang w:val="lv-LV"/>
              </w:rPr>
              <w:t xml:space="preserve"> </w:t>
            </w:r>
            <w:r w:rsidR="00E46D97" w:rsidRPr="005D5B72">
              <w:rPr>
                <w:rFonts w:ascii="Times New Roman" w:hAnsi="Times New Roman" w:cs="Times New Roman"/>
                <w:sz w:val="26"/>
                <w:szCs w:val="26"/>
                <w:lang w:val="lv-LV"/>
              </w:rPr>
              <w:t xml:space="preserve">noteiktos uzdevumus. </w:t>
            </w:r>
            <w:r w:rsidR="00407760" w:rsidRPr="005D5B72">
              <w:rPr>
                <w:rFonts w:ascii="Times New Roman" w:hAnsi="Times New Roman" w:cs="Times New Roman"/>
                <w:sz w:val="26"/>
                <w:szCs w:val="26"/>
                <w:lang w:val="lv-LV"/>
              </w:rPr>
              <w:t xml:space="preserve">Latvijas </w:t>
            </w:r>
            <w:r w:rsidR="00407760" w:rsidRPr="005D5B72">
              <w:rPr>
                <w:rFonts w:ascii="Times New Roman" w:hAnsi="Times New Roman" w:cs="Times New Roman"/>
                <w:sz w:val="26"/>
                <w:szCs w:val="26"/>
                <w:lang w:val="lv-LV"/>
              </w:rPr>
              <w:lastRenderedPageBreak/>
              <w:t>Administratīvo pārkāpumu kodeksa 116.</w:t>
            </w:r>
            <w:r w:rsidR="00407760" w:rsidRPr="005D5B72">
              <w:rPr>
                <w:rFonts w:ascii="Times New Roman" w:hAnsi="Times New Roman" w:cs="Times New Roman"/>
                <w:sz w:val="26"/>
                <w:szCs w:val="26"/>
                <w:vertAlign w:val="superscript"/>
                <w:lang w:val="lv-LV"/>
              </w:rPr>
              <w:t>3</w:t>
            </w:r>
            <w:r w:rsidR="00407760" w:rsidRPr="005D5B72">
              <w:rPr>
                <w:rFonts w:ascii="Times New Roman" w:hAnsi="Times New Roman" w:cs="Times New Roman"/>
                <w:sz w:val="26"/>
                <w:szCs w:val="26"/>
                <w:lang w:val="lv-LV"/>
              </w:rPr>
              <w:t xml:space="preserve"> pants paredz administratīvo atbildību par informācijas nes</w:t>
            </w:r>
            <w:r w:rsidR="00C752B7" w:rsidRPr="005D5B72">
              <w:rPr>
                <w:rFonts w:ascii="Times New Roman" w:hAnsi="Times New Roman" w:cs="Times New Roman"/>
                <w:sz w:val="26"/>
                <w:szCs w:val="26"/>
                <w:lang w:val="lv-LV"/>
              </w:rPr>
              <w:t xml:space="preserve">niegšanu Jūras administrācijai. </w:t>
            </w:r>
            <w:r w:rsidR="00407760" w:rsidRPr="005D5B72">
              <w:rPr>
                <w:rFonts w:ascii="Times New Roman" w:hAnsi="Times New Roman" w:cs="Times New Roman"/>
                <w:sz w:val="26"/>
                <w:szCs w:val="26"/>
                <w:lang w:val="lv-LV"/>
              </w:rPr>
              <w:t xml:space="preserve">Lai minēto administratīvo atbildību varētu piemērot, nepieciešams </w:t>
            </w:r>
            <w:r w:rsidR="00D75612" w:rsidRPr="005D5B72">
              <w:rPr>
                <w:rFonts w:ascii="Times New Roman" w:hAnsi="Times New Roman" w:cs="Times New Roman"/>
                <w:sz w:val="26"/>
                <w:szCs w:val="26"/>
                <w:lang w:val="lv-LV"/>
              </w:rPr>
              <w:t xml:space="preserve">noteikt </w:t>
            </w:r>
            <w:r w:rsidR="00407760" w:rsidRPr="005D5B72">
              <w:rPr>
                <w:rFonts w:ascii="Times New Roman" w:hAnsi="Times New Roman" w:cs="Times New Roman"/>
                <w:sz w:val="26"/>
                <w:szCs w:val="26"/>
                <w:lang w:val="lv-LV"/>
              </w:rPr>
              <w:t xml:space="preserve">normatīvajā aktā personas pienākumu </w:t>
            </w:r>
            <w:r w:rsidR="00D75612" w:rsidRPr="005D5B72">
              <w:rPr>
                <w:rFonts w:ascii="Times New Roman" w:hAnsi="Times New Roman" w:cs="Times New Roman"/>
                <w:sz w:val="26"/>
                <w:szCs w:val="26"/>
                <w:lang w:val="lv-LV"/>
              </w:rPr>
              <w:t xml:space="preserve">sniegt </w:t>
            </w:r>
            <w:r w:rsidR="00407760" w:rsidRPr="005D5B72">
              <w:rPr>
                <w:rFonts w:ascii="Times New Roman" w:hAnsi="Times New Roman" w:cs="Times New Roman"/>
                <w:sz w:val="26"/>
                <w:szCs w:val="26"/>
                <w:lang w:val="lv-LV"/>
              </w:rPr>
              <w:t>šādu informāci</w:t>
            </w:r>
            <w:r w:rsidR="00C752B7" w:rsidRPr="005D5B72">
              <w:rPr>
                <w:rFonts w:ascii="Times New Roman" w:hAnsi="Times New Roman" w:cs="Times New Roman"/>
                <w:sz w:val="26"/>
                <w:szCs w:val="26"/>
                <w:lang w:val="lv-LV"/>
              </w:rPr>
              <w:t xml:space="preserve">ju </w:t>
            </w:r>
            <w:r w:rsidR="00E760AE" w:rsidRPr="005D5B72">
              <w:rPr>
                <w:rFonts w:ascii="Times New Roman" w:hAnsi="Times New Roman" w:cs="Times New Roman"/>
                <w:sz w:val="26"/>
                <w:szCs w:val="26"/>
                <w:lang w:val="lv-LV"/>
              </w:rPr>
              <w:t xml:space="preserve">Jūras administrācijas </w:t>
            </w:r>
            <w:r w:rsidR="00C752B7" w:rsidRPr="005D5B72">
              <w:rPr>
                <w:rFonts w:ascii="Times New Roman" w:hAnsi="Times New Roman" w:cs="Times New Roman"/>
                <w:sz w:val="26"/>
                <w:szCs w:val="26"/>
                <w:lang w:val="lv-LV"/>
              </w:rPr>
              <w:t>pieprasītajā termiņā</w:t>
            </w:r>
            <w:r w:rsidR="00856DD4" w:rsidRPr="005D5B72">
              <w:rPr>
                <w:rFonts w:ascii="Times New Roman" w:hAnsi="Times New Roman" w:cs="Times New Roman"/>
                <w:sz w:val="26"/>
                <w:szCs w:val="26"/>
                <w:lang w:val="lv-LV"/>
              </w:rPr>
              <w:t>. Termiņš  tiktu</w:t>
            </w:r>
            <w:r w:rsidR="000A6391" w:rsidRPr="005D5B72">
              <w:rPr>
                <w:rFonts w:ascii="Times New Roman" w:hAnsi="Times New Roman" w:cs="Times New Roman"/>
                <w:sz w:val="26"/>
                <w:szCs w:val="26"/>
                <w:lang w:val="lv-LV"/>
              </w:rPr>
              <w:t xml:space="preserve"> noteikt</w:t>
            </w:r>
            <w:r w:rsidR="00856DD4" w:rsidRPr="005D5B72">
              <w:rPr>
                <w:rFonts w:ascii="Times New Roman" w:hAnsi="Times New Roman" w:cs="Times New Roman"/>
                <w:sz w:val="26"/>
                <w:szCs w:val="26"/>
                <w:lang w:val="lv-LV"/>
              </w:rPr>
              <w:t>s</w:t>
            </w:r>
            <w:r w:rsidR="000A6391" w:rsidRPr="005D5B72">
              <w:rPr>
                <w:rFonts w:ascii="Times New Roman" w:hAnsi="Times New Roman" w:cs="Times New Roman"/>
                <w:sz w:val="26"/>
                <w:szCs w:val="26"/>
                <w:lang w:val="lv-LV"/>
              </w:rPr>
              <w:t xml:space="preserve"> </w:t>
            </w:r>
            <w:r w:rsidR="00E760AE" w:rsidRPr="005D5B72">
              <w:rPr>
                <w:rFonts w:ascii="Times New Roman" w:hAnsi="Times New Roman" w:cs="Times New Roman"/>
                <w:sz w:val="26"/>
                <w:szCs w:val="26"/>
                <w:lang w:val="lv-LV"/>
              </w:rPr>
              <w:t xml:space="preserve">atbilstoši </w:t>
            </w:r>
            <w:r w:rsidR="00967847" w:rsidRPr="005D5B72">
              <w:rPr>
                <w:rFonts w:ascii="Times New Roman" w:hAnsi="Times New Roman" w:cs="Times New Roman"/>
                <w:sz w:val="26"/>
                <w:szCs w:val="26"/>
                <w:lang w:val="lv-LV"/>
              </w:rPr>
              <w:t xml:space="preserve">konkrētās situācijas </w:t>
            </w:r>
            <w:r w:rsidR="00E760AE" w:rsidRPr="005D5B72">
              <w:rPr>
                <w:rFonts w:ascii="Times New Roman" w:hAnsi="Times New Roman" w:cs="Times New Roman"/>
                <w:sz w:val="26"/>
                <w:szCs w:val="26"/>
                <w:lang w:val="lv-LV"/>
              </w:rPr>
              <w:t>nepieciešamībai</w:t>
            </w:r>
            <w:r w:rsidR="00856DD4" w:rsidRPr="005D5B72">
              <w:rPr>
                <w:rFonts w:ascii="Times New Roman" w:hAnsi="Times New Roman" w:cs="Times New Roman"/>
                <w:sz w:val="26"/>
                <w:szCs w:val="26"/>
                <w:lang w:val="lv-LV"/>
              </w:rPr>
              <w:t xml:space="preserve"> vai </w:t>
            </w:r>
            <w:r w:rsidR="00316B5E" w:rsidRPr="005D5B72">
              <w:rPr>
                <w:rFonts w:ascii="Times New Roman" w:hAnsi="Times New Roman" w:cs="Times New Roman"/>
                <w:sz w:val="26"/>
                <w:szCs w:val="26"/>
                <w:lang w:val="lv-LV"/>
              </w:rPr>
              <w:t xml:space="preserve">saskaņā ar </w:t>
            </w:r>
            <w:r w:rsidR="00B30234" w:rsidRPr="005D5B72">
              <w:rPr>
                <w:rFonts w:ascii="Times New Roman" w:hAnsi="Times New Roman" w:cs="Times New Roman"/>
                <w:sz w:val="26"/>
                <w:szCs w:val="26"/>
                <w:lang w:val="lv-LV"/>
              </w:rPr>
              <w:t>normatīvajos</w:t>
            </w:r>
            <w:r w:rsidR="00856DD4" w:rsidRPr="005D5B72">
              <w:rPr>
                <w:rFonts w:ascii="Times New Roman" w:hAnsi="Times New Roman" w:cs="Times New Roman"/>
                <w:sz w:val="26"/>
                <w:szCs w:val="26"/>
                <w:lang w:val="lv-LV"/>
              </w:rPr>
              <w:t xml:space="preserve"> aktos </w:t>
            </w:r>
            <w:r w:rsidR="00B30234" w:rsidRPr="005D5B72">
              <w:rPr>
                <w:rFonts w:ascii="Times New Roman" w:hAnsi="Times New Roman" w:cs="Times New Roman"/>
                <w:sz w:val="26"/>
                <w:szCs w:val="26"/>
                <w:lang w:val="lv-LV"/>
              </w:rPr>
              <w:t>paredzēto</w:t>
            </w:r>
            <w:r w:rsidR="00856DD4" w:rsidRPr="005D5B72">
              <w:rPr>
                <w:rFonts w:ascii="Times New Roman" w:hAnsi="Times New Roman" w:cs="Times New Roman"/>
                <w:sz w:val="26"/>
                <w:szCs w:val="26"/>
                <w:lang w:val="lv-LV"/>
              </w:rPr>
              <w:t>. Turklāt p</w:t>
            </w:r>
            <w:r w:rsidR="00F86018" w:rsidRPr="005D5B72">
              <w:rPr>
                <w:rFonts w:ascii="Times New Roman" w:hAnsi="Times New Roman" w:cs="Times New Roman"/>
                <w:sz w:val="26"/>
                <w:szCs w:val="26"/>
                <w:lang w:val="lv-LV"/>
              </w:rPr>
              <w:t xml:space="preserve">ēc iespējas </w:t>
            </w:r>
            <w:r w:rsidR="00967847" w:rsidRPr="005D5B72">
              <w:rPr>
                <w:rFonts w:ascii="Times New Roman" w:hAnsi="Times New Roman" w:cs="Times New Roman"/>
                <w:sz w:val="26"/>
                <w:szCs w:val="26"/>
                <w:lang w:val="lv-LV"/>
              </w:rPr>
              <w:t>ievēro</w:t>
            </w:r>
            <w:r w:rsidR="00FA3F81" w:rsidRPr="005D5B72">
              <w:rPr>
                <w:rFonts w:ascii="Times New Roman" w:hAnsi="Times New Roman" w:cs="Times New Roman"/>
                <w:sz w:val="26"/>
                <w:szCs w:val="26"/>
                <w:lang w:val="lv-LV"/>
              </w:rPr>
              <w:t xml:space="preserve">jami </w:t>
            </w:r>
            <w:r w:rsidR="00F86018" w:rsidRPr="005D5B72">
              <w:rPr>
                <w:rFonts w:ascii="Times New Roman" w:hAnsi="Times New Roman" w:cs="Times New Roman"/>
                <w:sz w:val="26"/>
                <w:szCs w:val="26"/>
                <w:lang w:val="lv-LV"/>
              </w:rPr>
              <w:t xml:space="preserve">arī </w:t>
            </w:r>
            <w:r w:rsidR="00967847" w:rsidRPr="005D5B72">
              <w:rPr>
                <w:rFonts w:ascii="Times New Roman" w:hAnsi="Times New Roman" w:cs="Times New Roman"/>
                <w:sz w:val="26"/>
                <w:szCs w:val="26"/>
                <w:lang w:val="lv-LV"/>
              </w:rPr>
              <w:t>normatīvajos aktos noteikt</w:t>
            </w:r>
            <w:r w:rsidR="00316B5E" w:rsidRPr="005D5B72">
              <w:rPr>
                <w:rFonts w:ascii="Times New Roman" w:hAnsi="Times New Roman" w:cs="Times New Roman"/>
                <w:sz w:val="26"/>
                <w:szCs w:val="26"/>
                <w:lang w:val="lv-LV"/>
              </w:rPr>
              <w:t>ie</w:t>
            </w:r>
            <w:r w:rsidR="00967847" w:rsidRPr="005D5B72">
              <w:rPr>
                <w:rFonts w:ascii="Times New Roman" w:hAnsi="Times New Roman" w:cs="Times New Roman"/>
                <w:sz w:val="26"/>
                <w:szCs w:val="26"/>
                <w:lang w:val="lv-LV"/>
              </w:rPr>
              <w:t xml:space="preserve"> </w:t>
            </w:r>
            <w:r w:rsidR="00856DD4" w:rsidRPr="005D5B72">
              <w:rPr>
                <w:rFonts w:ascii="Times New Roman" w:hAnsi="Times New Roman" w:cs="Times New Roman"/>
                <w:sz w:val="26"/>
                <w:szCs w:val="26"/>
                <w:lang w:val="lv-LV"/>
              </w:rPr>
              <w:t xml:space="preserve">atbildes sniegšanas </w:t>
            </w:r>
            <w:r w:rsidR="00685F9F" w:rsidRPr="005D5B72">
              <w:rPr>
                <w:rFonts w:ascii="Times New Roman" w:hAnsi="Times New Roman" w:cs="Times New Roman"/>
                <w:sz w:val="26"/>
                <w:szCs w:val="26"/>
                <w:lang w:val="lv-LV"/>
              </w:rPr>
              <w:t>termiņ</w:t>
            </w:r>
            <w:r w:rsidR="00F86018" w:rsidRPr="005D5B72">
              <w:rPr>
                <w:rFonts w:ascii="Times New Roman" w:hAnsi="Times New Roman" w:cs="Times New Roman"/>
                <w:sz w:val="26"/>
                <w:szCs w:val="26"/>
                <w:lang w:val="lv-LV"/>
              </w:rPr>
              <w:t>a</w:t>
            </w:r>
            <w:r w:rsidR="00685F9F" w:rsidRPr="005D5B72">
              <w:rPr>
                <w:rFonts w:ascii="Times New Roman" w:hAnsi="Times New Roman" w:cs="Times New Roman"/>
                <w:sz w:val="26"/>
                <w:szCs w:val="26"/>
                <w:lang w:val="lv-LV"/>
              </w:rPr>
              <w:t xml:space="preserve"> pamatprincipi</w:t>
            </w:r>
            <w:r w:rsidR="00856DD4" w:rsidRPr="005D5B72">
              <w:rPr>
                <w:rFonts w:ascii="Times New Roman" w:hAnsi="Times New Roman" w:cs="Times New Roman"/>
                <w:sz w:val="26"/>
                <w:szCs w:val="26"/>
                <w:lang w:val="lv-LV"/>
              </w:rPr>
              <w:t>.</w:t>
            </w:r>
            <w:r w:rsidR="00967847" w:rsidRPr="005D5B72">
              <w:rPr>
                <w:rFonts w:ascii="Times New Roman" w:hAnsi="Times New Roman" w:cs="Times New Roman"/>
                <w:sz w:val="26"/>
                <w:szCs w:val="26"/>
                <w:lang w:val="lv-LV"/>
              </w:rPr>
              <w:t xml:space="preserve"> </w:t>
            </w:r>
          </w:p>
          <w:p w14:paraId="5ECDC260" w14:textId="7317541F" w:rsidR="00407760" w:rsidRPr="005D5B72" w:rsidRDefault="00197C68"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Ar p</w:t>
            </w:r>
            <w:r w:rsidR="00407760" w:rsidRPr="005D5B72">
              <w:rPr>
                <w:rFonts w:ascii="Times New Roman" w:hAnsi="Times New Roman" w:cs="Times New Roman"/>
                <w:sz w:val="26"/>
                <w:szCs w:val="26"/>
                <w:lang w:val="lv-LV"/>
              </w:rPr>
              <w:t>rojekt</w:t>
            </w:r>
            <w:r w:rsidRPr="005D5B72">
              <w:rPr>
                <w:rFonts w:ascii="Times New Roman" w:hAnsi="Times New Roman" w:cs="Times New Roman"/>
                <w:sz w:val="26"/>
                <w:szCs w:val="26"/>
                <w:lang w:val="lv-LV"/>
              </w:rPr>
              <w:t>u</w:t>
            </w:r>
            <w:r w:rsidR="00407760" w:rsidRPr="005D5B72">
              <w:rPr>
                <w:rFonts w:ascii="Times New Roman" w:hAnsi="Times New Roman" w:cs="Times New Roman"/>
                <w:sz w:val="26"/>
                <w:szCs w:val="26"/>
                <w:lang w:val="lv-LV"/>
              </w:rPr>
              <w:t xml:space="preserve"> </w:t>
            </w:r>
            <w:r w:rsidRPr="005D5B72">
              <w:rPr>
                <w:rFonts w:ascii="Times New Roman" w:hAnsi="Times New Roman" w:cs="Times New Roman"/>
                <w:sz w:val="26"/>
                <w:szCs w:val="26"/>
                <w:lang w:val="lv-LV"/>
              </w:rPr>
              <w:t xml:space="preserve">tiek </w:t>
            </w:r>
            <w:r w:rsidR="00407760" w:rsidRPr="005D5B72">
              <w:rPr>
                <w:rFonts w:ascii="Times New Roman" w:hAnsi="Times New Roman" w:cs="Times New Roman"/>
                <w:sz w:val="26"/>
                <w:szCs w:val="26"/>
                <w:lang w:val="lv-LV"/>
              </w:rPr>
              <w:t>papildin</w:t>
            </w:r>
            <w:r w:rsidRPr="005D5B72">
              <w:rPr>
                <w:rFonts w:ascii="Times New Roman" w:hAnsi="Times New Roman" w:cs="Times New Roman"/>
                <w:sz w:val="26"/>
                <w:szCs w:val="26"/>
                <w:lang w:val="lv-LV"/>
              </w:rPr>
              <w:t>āts</w:t>
            </w:r>
            <w:r w:rsidR="00407760" w:rsidRPr="005D5B72">
              <w:rPr>
                <w:rFonts w:ascii="Times New Roman" w:hAnsi="Times New Roman" w:cs="Times New Roman"/>
                <w:sz w:val="26"/>
                <w:szCs w:val="26"/>
                <w:lang w:val="lv-LV"/>
              </w:rPr>
              <w:t xml:space="preserve"> JPJDL 6.pant</w:t>
            </w:r>
            <w:r w:rsidRPr="005D5B72">
              <w:rPr>
                <w:rFonts w:ascii="Times New Roman" w:hAnsi="Times New Roman" w:cs="Times New Roman"/>
                <w:sz w:val="26"/>
                <w:szCs w:val="26"/>
                <w:lang w:val="lv-LV"/>
              </w:rPr>
              <w:t>s</w:t>
            </w:r>
            <w:r w:rsidR="00407760" w:rsidRPr="005D5B72">
              <w:rPr>
                <w:rFonts w:ascii="Times New Roman" w:hAnsi="Times New Roman" w:cs="Times New Roman"/>
                <w:sz w:val="26"/>
                <w:szCs w:val="26"/>
                <w:lang w:val="lv-LV"/>
              </w:rPr>
              <w:t xml:space="preserve"> ar (1</w:t>
            </w:r>
            <w:r w:rsidR="00407760" w:rsidRPr="005D5B72">
              <w:rPr>
                <w:rFonts w:ascii="Times New Roman" w:hAnsi="Times New Roman" w:cs="Times New Roman"/>
                <w:sz w:val="26"/>
                <w:szCs w:val="26"/>
                <w:vertAlign w:val="superscript"/>
                <w:lang w:val="lv-LV"/>
              </w:rPr>
              <w:t>1</w:t>
            </w:r>
            <w:r w:rsidR="00407760" w:rsidRPr="005D5B72">
              <w:rPr>
                <w:rFonts w:ascii="Times New Roman" w:hAnsi="Times New Roman" w:cs="Times New Roman"/>
                <w:sz w:val="26"/>
                <w:szCs w:val="26"/>
                <w:lang w:val="lv-LV"/>
              </w:rPr>
              <w:t>)</w:t>
            </w:r>
            <w:r w:rsidR="00927395" w:rsidRPr="005D5B72">
              <w:rPr>
                <w:rFonts w:ascii="Times New Roman" w:hAnsi="Times New Roman" w:cs="Times New Roman"/>
                <w:sz w:val="26"/>
                <w:szCs w:val="26"/>
                <w:lang w:val="lv-LV"/>
              </w:rPr>
              <w:t xml:space="preserve"> daļu</w:t>
            </w:r>
            <w:r w:rsidR="00407760" w:rsidRPr="005D5B72">
              <w:rPr>
                <w:rFonts w:ascii="Times New Roman" w:hAnsi="Times New Roman" w:cs="Times New Roman"/>
                <w:sz w:val="26"/>
                <w:szCs w:val="26"/>
                <w:lang w:val="lv-LV"/>
              </w:rPr>
              <w:t xml:space="preserve">, nosakot </w:t>
            </w:r>
            <w:r w:rsidRPr="005D5B72">
              <w:rPr>
                <w:rFonts w:ascii="Times New Roman" w:hAnsi="Times New Roman" w:cs="Times New Roman"/>
                <w:sz w:val="26"/>
                <w:szCs w:val="26"/>
                <w:lang w:val="lv-LV"/>
              </w:rPr>
              <w:t xml:space="preserve">pienākumu </w:t>
            </w:r>
            <w:r w:rsidR="00407760" w:rsidRPr="005D5B72">
              <w:rPr>
                <w:rFonts w:ascii="Times New Roman" w:hAnsi="Times New Roman" w:cs="Times New Roman"/>
                <w:sz w:val="26"/>
                <w:szCs w:val="26"/>
                <w:lang w:val="lv-LV"/>
              </w:rPr>
              <w:t>persona</w:t>
            </w:r>
            <w:r w:rsidRPr="005D5B72">
              <w:rPr>
                <w:rFonts w:ascii="Times New Roman" w:hAnsi="Times New Roman" w:cs="Times New Roman"/>
                <w:sz w:val="26"/>
                <w:szCs w:val="26"/>
                <w:lang w:val="lv-LV"/>
              </w:rPr>
              <w:t>i</w:t>
            </w:r>
            <w:r w:rsidR="00407760" w:rsidRPr="005D5B72">
              <w:rPr>
                <w:rFonts w:ascii="Times New Roman" w:hAnsi="Times New Roman" w:cs="Times New Roman"/>
                <w:sz w:val="26"/>
                <w:szCs w:val="26"/>
                <w:lang w:val="lv-LV"/>
              </w:rPr>
              <w:t xml:space="preserve"> sniegt Jūras administrācijas pieprasīto informāciju (atbildi) J</w:t>
            </w:r>
            <w:r w:rsidR="0028040F" w:rsidRPr="005D5B72">
              <w:rPr>
                <w:rFonts w:ascii="Times New Roman" w:hAnsi="Times New Roman" w:cs="Times New Roman"/>
                <w:sz w:val="26"/>
                <w:szCs w:val="26"/>
                <w:lang w:val="lv-LV"/>
              </w:rPr>
              <w:t>ūras administrācijas norādītajā termiņā</w:t>
            </w:r>
            <w:r w:rsidR="008078BF" w:rsidRPr="005D5B72">
              <w:rPr>
                <w:rFonts w:ascii="Times New Roman" w:hAnsi="Times New Roman" w:cs="Times New Roman"/>
                <w:sz w:val="26"/>
                <w:szCs w:val="26"/>
                <w:lang w:val="lv-LV"/>
              </w:rPr>
              <w:t>;</w:t>
            </w:r>
          </w:p>
          <w:p w14:paraId="15DEAF18" w14:textId="1A50E818" w:rsidR="00380596" w:rsidRPr="005D5B72" w:rsidRDefault="00197C68" w:rsidP="00380596">
            <w:pPr>
              <w:pStyle w:val="NoSpacing"/>
              <w:jc w:val="both"/>
              <w:rPr>
                <w:rFonts w:ascii="Times New Roman" w:hAnsi="Times New Roman" w:cs="Times New Roman"/>
                <w:sz w:val="26"/>
                <w:szCs w:val="26"/>
                <w:lang w:val="lv-LV"/>
              </w:rPr>
            </w:pPr>
            <w:r w:rsidRPr="005D5B72">
              <w:rPr>
                <w:rFonts w:ascii="Times New Roman" w:hAnsi="Times New Roman" w:cs="Times New Roman"/>
                <w:color w:val="000000" w:themeColor="text1"/>
                <w:sz w:val="26"/>
                <w:szCs w:val="26"/>
                <w:lang w:val="lv-LV"/>
              </w:rPr>
              <w:t>2</w:t>
            </w:r>
            <w:r w:rsidR="00EF68D5" w:rsidRPr="005D5B72">
              <w:rPr>
                <w:rFonts w:ascii="Times New Roman" w:hAnsi="Times New Roman" w:cs="Times New Roman"/>
                <w:color w:val="000000" w:themeColor="text1"/>
                <w:sz w:val="26"/>
                <w:szCs w:val="26"/>
                <w:lang w:val="lv-LV"/>
              </w:rPr>
              <w:t>.</w:t>
            </w:r>
            <w:r w:rsidR="00635DD8" w:rsidRPr="005D5B72">
              <w:rPr>
                <w:rFonts w:ascii="Times New Roman" w:hAnsi="Times New Roman" w:cs="Times New Roman"/>
                <w:color w:val="000000" w:themeColor="text1"/>
                <w:sz w:val="26"/>
                <w:szCs w:val="26"/>
                <w:lang w:val="lv-LV"/>
              </w:rPr>
              <w:t xml:space="preserve"> Atbilstoši Ministru kabineta 2005.gada 22.decembra sēdes protokolam Nr. 68, 43</w:t>
            </w:r>
            <w:r w:rsidRPr="005D5B72">
              <w:rPr>
                <w:rFonts w:ascii="Times New Roman" w:hAnsi="Times New Roman" w:cs="Times New Roman"/>
                <w:color w:val="000000" w:themeColor="text1"/>
                <w:sz w:val="26"/>
                <w:szCs w:val="26"/>
                <w:lang w:val="lv-LV"/>
              </w:rPr>
              <w:t>.</w:t>
            </w:r>
            <w:r w:rsidR="00635DD8" w:rsidRPr="005D5B72">
              <w:rPr>
                <w:rFonts w:ascii="Times New Roman" w:hAnsi="Times New Roman" w:cs="Times New Roman"/>
                <w:color w:val="000000" w:themeColor="text1"/>
                <w:sz w:val="26"/>
                <w:szCs w:val="26"/>
                <w:lang w:val="lv-LV"/>
              </w:rPr>
              <w:t>§, projekt</w:t>
            </w:r>
            <w:r w:rsidR="00470A0D" w:rsidRPr="005D5B72">
              <w:rPr>
                <w:rFonts w:ascii="Times New Roman" w:hAnsi="Times New Roman" w:cs="Times New Roman"/>
                <w:color w:val="000000" w:themeColor="text1"/>
                <w:sz w:val="26"/>
                <w:szCs w:val="26"/>
                <w:lang w:val="lv-LV"/>
              </w:rPr>
              <w:t>s</w:t>
            </w:r>
            <w:r w:rsidR="00635DD8" w:rsidRPr="005D5B72">
              <w:rPr>
                <w:rFonts w:ascii="Times New Roman" w:hAnsi="Times New Roman" w:cs="Times New Roman"/>
                <w:color w:val="000000" w:themeColor="text1"/>
                <w:sz w:val="26"/>
                <w:szCs w:val="26"/>
                <w:lang w:val="lv-LV"/>
              </w:rPr>
              <w:t xml:space="preserve"> paredz</w:t>
            </w:r>
            <w:r w:rsidR="00470A0D" w:rsidRPr="005D5B72">
              <w:rPr>
                <w:rFonts w:ascii="Times New Roman" w:hAnsi="Times New Roman" w:cs="Times New Roman"/>
                <w:color w:val="000000" w:themeColor="text1"/>
                <w:sz w:val="26"/>
                <w:szCs w:val="26"/>
                <w:lang w:val="lv-LV"/>
              </w:rPr>
              <w:t xml:space="preserve"> </w:t>
            </w:r>
            <w:r w:rsidR="00952039" w:rsidRPr="005D5B72">
              <w:rPr>
                <w:rFonts w:ascii="Times New Roman" w:hAnsi="Times New Roman" w:cs="Times New Roman"/>
                <w:color w:val="000000" w:themeColor="text1"/>
                <w:sz w:val="26"/>
                <w:szCs w:val="26"/>
                <w:lang w:val="lv-LV"/>
              </w:rPr>
              <w:t xml:space="preserve">pilnvarojumu </w:t>
            </w:r>
            <w:r w:rsidR="00470A0D" w:rsidRPr="005D5B72">
              <w:rPr>
                <w:rFonts w:ascii="Times New Roman" w:hAnsi="Times New Roman" w:cs="Times New Roman"/>
                <w:color w:val="000000" w:themeColor="text1"/>
                <w:sz w:val="26"/>
                <w:szCs w:val="26"/>
                <w:lang w:val="lv-LV"/>
              </w:rPr>
              <w:t xml:space="preserve">JPJDL 19.pantā </w:t>
            </w:r>
            <w:r w:rsidR="00635DD8" w:rsidRPr="005D5B72">
              <w:rPr>
                <w:rFonts w:ascii="Times New Roman" w:hAnsi="Times New Roman" w:cs="Times New Roman"/>
                <w:color w:val="000000" w:themeColor="text1"/>
                <w:sz w:val="26"/>
                <w:szCs w:val="26"/>
                <w:lang w:val="lv-LV"/>
              </w:rPr>
              <w:t xml:space="preserve">Ministru kabinetam </w:t>
            </w:r>
            <w:r w:rsidR="00380596" w:rsidRPr="005D5B72">
              <w:rPr>
                <w:rFonts w:ascii="Times New Roman" w:hAnsi="Times New Roman" w:cs="Times New Roman"/>
                <w:color w:val="000000" w:themeColor="text1"/>
                <w:sz w:val="26"/>
                <w:szCs w:val="26"/>
                <w:lang w:val="lv-LV"/>
              </w:rPr>
              <w:t>noteikt</w:t>
            </w:r>
            <w:r w:rsidR="00380596" w:rsidRPr="005D5B72">
              <w:rPr>
                <w:rFonts w:ascii="Times New Roman" w:hAnsi="Times New Roman" w:cs="Times New Roman"/>
                <w:sz w:val="26"/>
                <w:szCs w:val="26"/>
                <w:lang w:val="lv-LV"/>
              </w:rPr>
              <w:t xml:space="preserve"> kārtību, kādā Krasta apsardze nodrošina lēmuma par ku</w:t>
            </w:r>
            <w:r w:rsidR="003D75C8" w:rsidRPr="005D5B72">
              <w:rPr>
                <w:rFonts w:ascii="Times New Roman" w:hAnsi="Times New Roman" w:cs="Times New Roman"/>
                <w:sz w:val="26"/>
                <w:szCs w:val="26"/>
                <w:lang w:val="lv-LV"/>
              </w:rPr>
              <w:t>ģa izraidīšanu no ostas izpildi.</w:t>
            </w:r>
            <w:r w:rsidR="00C55EC3" w:rsidRPr="005D5B72">
              <w:rPr>
                <w:rFonts w:ascii="Times New Roman" w:hAnsi="Times New Roman" w:cs="Times New Roman"/>
                <w:sz w:val="26"/>
                <w:szCs w:val="26"/>
                <w:lang w:val="lv-LV"/>
              </w:rPr>
              <w:t xml:space="preserve"> Papildus projekts paredz pārejas termiņu, kādā Ministru kabinets izstrādās minēto kārtību.</w:t>
            </w:r>
          </w:p>
          <w:p w14:paraId="4B89FB76" w14:textId="77777777" w:rsidR="00EB0069" w:rsidRPr="005D5B72" w:rsidRDefault="00197C68" w:rsidP="00EB0069">
            <w:pPr>
              <w:pStyle w:val="NoSpacing"/>
              <w:jc w:val="both"/>
              <w:rPr>
                <w:rFonts w:ascii="Times New Roman" w:hAnsi="Times New Roman" w:cs="Times New Roman"/>
                <w:color w:val="000000" w:themeColor="text1"/>
                <w:sz w:val="26"/>
                <w:szCs w:val="26"/>
                <w:lang w:val="lv-LV"/>
              </w:rPr>
            </w:pPr>
            <w:r w:rsidRPr="005D5B72">
              <w:rPr>
                <w:rFonts w:ascii="Times New Roman" w:hAnsi="Times New Roman" w:cs="Times New Roman"/>
                <w:color w:val="000000" w:themeColor="text1"/>
                <w:sz w:val="26"/>
                <w:szCs w:val="26"/>
                <w:lang w:val="lv-LV"/>
              </w:rPr>
              <w:t>3</w:t>
            </w:r>
            <w:r w:rsidR="00EF68D5" w:rsidRPr="005D5B72">
              <w:rPr>
                <w:rFonts w:ascii="Times New Roman" w:hAnsi="Times New Roman" w:cs="Times New Roman"/>
                <w:color w:val="000000" w:themeColor="text1"/>
                <w:sz w:val="26"/>
                <w:szCs w:val="26"/>
                <w:lang w:val="lv-LV"/>
              </w:rPr>
              <w:t>.</w:t>
            </w:r>
            <w:r w:rsidR="00333BF0" w:rsidRPr="005D5B72">
              <w:rPr>
                <w:rFonts w:ascii="Times New Roman" w:hAnsi="Times New Roman" w:cs="Times New Roman"/>
                <w:color w:val="000000" w:themeColor="text1"/>
                <w:sz w:val="26"/>
                <w:szCs w:val="26"/>
                <w:lang w:val="lv-LV"/>
              </w:rPr>
              <w:t xml:space="preserve">  </w:t>
            </w:r>
            <w:r w:rsidR="00EB0069" w:rsidRPr="005D5B72">
              <w:rPr>
                <w:rFonts w:ascii="Times New Roman" w:hAnsi="Times New Roman" w:cs="Times New Roman"/>
                <w:color w:val="000000" w:themeColor="text1"/>
                <w:sz w:val="26"/>
                <w:szCs w:val="26"/>
                <w:lang w:val="lv-LV"/>
              </w:rPr>
              <w:t>JPJDL neparedz Jūras administrācijas Jūrnieku reģistra (turpmāk – Jūrnieku reģistrs) tiesības noteikt liegumu ārstam atkārtoti pretendēt uz jūrnieku ārsta atzīšanu. Savukārt Ministru kabineta 2012.gada 20.marta noteikumi Nr.185 „Jūrnieku ārstu atzīšanas kārtība” (turpmāk arī – noteikumi Nr.185) neparedz kārtību, kādā var anulēt jūrnieku ārstu atzīšanu. Lai JPJDL un noteikumus Nr.185 papildinātu ar iepriekš minēto nepieciešamo tiesisko regulējumu, ir jāpapildina JPJDL 29.panta ceturtā daļa. Kopumā tādējādi tiktu novērsti gadījumi, kad atzītais jūrnieku ārsts neievēro nacionālo normatīvo aktu un Latvijai saistošo starptautisko tiesību aktu prasības un turpina sniegt atzinumus par jūrnieku veselības atbilstību darbam uz kuģa atbilstoši 1978.gada Starptautiskās konvencijas par jūrnieku sagatavošanu un diplomēšanu, kā arī sardzes pildīšanu  un 2006.gada Konvencijas par darbu jūrniecībā prasībām.</w:t>
            </w:r>
          </w:p>
          <w:p w14:paraId="0780C798" w14:textId="77777777" w:rsidR="00EB0069" w:rsidRPr="005D5B72" w:rsidRDefault="00EB0069" w:rsidP="00EB0069">
            <w:pPr>
              <w:pStyle w:val="NoSpacing"/>
              <w:jc w:val="both"/>
              <w:rPr>
                <w:rFonts w:ascii="Times New Roman" w:hAnsi="Times New Roman" w:cs="Times New Roman"/>
                <w:color w:val="000000" w:themeColor="text1"/>
                <w:sz w:val="26"/>
                <w:szCs w:val="26"/>
                <w:lang w:val="lv-LV"/>
              </w:rPr>
            </w:pPr>
            <w:r w:rsidRPr="005D5B72">
              <w:rPr>
                <w:rFonts w:ascii="Times New Roman" w:hAnsi="Times New Roman" w:cs="Times New Roman"/>
                <w:color w:val="000000" w:themeColor="text1"/>
                <w:sz w:val="26"/>
                <w:szCs w:val="26"/>
                <w:lang w:val="lv-LV"/>
              </w:rPr>
              <w:t xml:space="preserve">Ar projektu tiek papildināts JPJDL 29.panta ceturtajā daļā noteiktais pilnvarojums, paredzot Ministru </w:t>
            </w:r>
            <w:r w:rsidRPr="005D5B72">
              <w:rPr>
                <w:rFonts w:ascii="Times New Roman" w:hAnsi="Times New Roman" w:cs="Times New Roman"/>
                <w:color w:val="000000" w:themeColor="text1"/>
                <w:sz w:val="26"/>
                <w:szCs w:val="26"/>
                <w:lang w:val="lv-LV"/>
              </w:rPr>
              <w:lastRenderedPageBreak/>
              <w:t>kabinetam noteikt jūrnieku ārstu atzīšanas anulēšanas kārtību, un noteiktas Jūrnieku reģistra tiesības noteikt liegumu atkārtoti pretendēt uz jūrnieku ārsta atzīšanu.</w:t>
            </w:r>
          </w:p>
          <w:p w14:paraId="2CE01BCF" w14:textId="77777777" w:rsidR="00EB0069" w:rsidRPr="005D5B72" w:rsidRDefault="00EB0069" w:rsidP="00EB0069">
            <w:pPr>
              <w:pStyle w:val="NoSpacing"/>
              <w:jc w:val="both"/>
              <w:rPr>
                <w:rFonts w:ascii="Times New Roman" w:hAnsi="Times New Roman" w:cs="Times New Roman"/>
                <w:color w:val="000000" w:themeColor="text1"/>
                <w:sz w:val="26"/>
                <w:szCs w:val="26"/>
                <w:lang w:val="lv-LV"/>
              </w:rPr>
            </w:pPr>
            <w:r w:rsidRPr="005D5B72">
              <w:rPr>
                <w:rFonts w:ascii="Times New Roman" w:hAnsi="Times New Roman" w:cs="Times New Roman"/>
                <w:color w:val="000000" w:themeColor="text1"/>
                <w:sz w:val="26"/>
                <w:szCs w:val="26"/>
                <w:lang w:val="lv-LV"/>
              </w:rPr>
              <w:t>JPJDL 29.pants neparedz prasību personai, pirms ieskaitīšanas vai imatrikulācijas profesionālās izglītības programmā, pēc kuras apgūšanas var saņemt jūrnieka kvalifikāciju apliecinošu dokumentu, iziet veselības pārbaudi pie Jūrnieku reģistra atzīta jūrnieku ārsta. Līdz ar to ir risks, ka jūrniecības izglītības programmā var tikt uzņemta persona ar veselības problēmām, kas liedz iziet jūras praksi, pilnvērtīgi apgūt jūrniecības izglītības programmu un saņemt jūrnieka kvalifikāciju apliecinošu dokumentu.</w:t>
            </w:r>
          </w:p>
          <w:p w14:paraId="2C97A533" w14:textId="6A249EB8" w:rsidR="00EB0069" w:rsidRPr="005D5B72" w:rsidRDefault="00EB0069" w:rsidP="00EB0069">
            <w:pPr>
              <w:pStyle w:val="NoSpacing"/>
              <w:jc w:val="both"/>
              <w:rPr>
                <w:rFonts w:ascii="Times New Roman" w:hAnsi="Times New Roman" w:cs="Times New Roman"/>
                <w:color w:val="000000" w:themeColor="text1"/>
                <w:sz w:val="26"/>
                <w:szCs w:val="26"/>
                <w:lang w:val="lv-LV"/>
              </w:rPr>
            </w:pPr>
            <w:r w:rsidRPr="005D5B72">
              <w:rPr>
                <w:rFonts w:ascii="Times New Roman" w:hAnsi="Times New Roman" w:cs="Times New Roman"/>
                <w:color w:val="000000" w:themeColor="text1"/>
                <w:sz w:val="26"/>
                <w:szCs w:val="26"/>
                <w:lang w:val="lv-LV"/>
              </w:rPr>
              <w:t>Ar projektu tiek papildināts JPJDL 29.pants ar (1</w:t>
            </w:r>
            <w:r w:rsidRPr="005D5B72">
              <w:rPr>
                <w:rFonts w:ascii="Times New Roman" w:hAnsi="Times New Roman" w:cs="Times New Roman"/>
                <w:color w:val="000000" w:themeColor="text1"/>
                <w:sz w:val="26"/>
                <w:szCs w:val="26"/>
                <w:vertAlign w:val="superscript"/>
                <w:lang w:val="lv-LV"/>
              </w:rPr>
              <w:t>1</w:t>
            </w:r>
            <w:r w:rsidRPr="005D5B72">
              <w:rPr>
                <w:rFonts w:ascii="Times New Roman" w:hAnsi="Times New Roman" w:cs="Times New Roman"/>
                <w:color w:val="000000" w:themeColor="text1"/>
                <w:sz w:val="26"/>
                <w:szCs w:val="26"/>
                <w:lang w:val="lv-LV"/>
              </w:rPr>
              <w:t>) daļu, nosakot, ka personai, pirms ieskaitīšanas vai imatrikulācijas profesionālās izglītības programmā, pēc kuras apgūšanas var saņemt jūrnieka kvalifikāciju apliecinošu dokumentu</w:t>
            </w:r>
            <w:r w:rsidR="0025359C">
              <w:rPr>
                <w:rFonts w:ascii="Times New Roman" w:hAnsi="Times New Roman" w:cs="Times New Roman"/>
                <w:color w:val="000000" w:themeColor="text1"/>
                <w:sz w:val="26"/>
                <w:szCs w:val="26"/>
                <w:lang w:val="lv-LV"/>
              </w:rPr>
              <w:t>,</w:t>
            </w:r>
            <w:r w:rsidRPr="005D5B72">
              <w:rPr>
                <w:rFonts w:ascii="Times New Roman" w:hAnsi="Times New Roman" w:cs="Times New Roman"/>
                <w:color w:val="000000" w:themeColor="text1"/>
                <w:sz w:val="26"/>
                <w:szCs w:val="26"/>
                <w:lang w:val="lv-LV"/>
              </w:rPr>
              <w:t xml:space="preserve"> (turpmāk – jūrnieka kvalifikācijas pretendents) ir jābūt derīgam jūrnieku ārsta izsniegtam atzinumam par jūrnieka veselības atbilstību darbam uz kuģa izvēlētajā specialitātē. Grozījumi veikti arī JPJDL 29.panta otrajā un trešajā daļā, paredzot papildināt deleģējumu Ministru kabinetam noteikt kārtību, kādā veicamas veselības pārbaudes jūrnieku kvalifikācijas pretendentiem un kritērijus, pēc kādiem jūrnieku veselības pārbaudē konstatējama jūrnieku kvalifikācijas pretendentu veselības atbilstība darbam uz kuģa. Kārtība un kritēriji būs identiski ar šobrīd spēkā esošo kārtību un kritērijiem, kas noteikti jūrniekiem Ministru kabineta 2014.gada 3.jūnija noteikumos Nr.273 “Noteikumi par jūrnieku veselības atbilstību darbam uz kuģa”</w:t>
            </w:r>
            <w:r w:rsidR="009C2987">
              <w:rPr>
                <w:rFonts w:ascii="Times New Roman" w:hAnsi="Times New Roman" w:cs="Times New Roman"/>
                <w:color w:val="000000" w:themeColor="text1"/>
                <w:sz w:val="26"/>
                <w:szCs w:val="26"/>
                <w:lang w:val="lv-LV"/>
              </w:rPr>
              <w:t xml:space="preserve"> (turpmāk – noteikumi Nr.273)</w:t>
            </w:r>
            <w:r w:rsidRPr="005D5B72">
              <w:rPr>
                <w:rFonts w:ascii="Times New Roman" w:hAnsi="Times New Roman" w:cs="Times New Roman"/>
                <w:color w:val="000000" w:themeColor="text1"/>
                <w:sz w:val="26"/>
                <w:szCs w:val="26"/>
                <w:lang w:val="lv-LV"/>
              </w:rPr>
              <w:t>.</w:t>
            </w:r>
          </w:p>
          <w:p w14:paraId="579FDAE9" w14:textId="14D8CAF2" w:rsidR="00333BF0" w:rsidRPr="005D5B72" w:rsidRDefault="00EB0069" w:rsidP="00EB0069">
            <w:pPr>
              <w:pStyle w:val="NoSpacing"/>
              <w:jc w:val="both"/>
              <w:rPr>
                <w:rFonts w:ascii="Times New Roman" w:hAnsi="Times New Roman" w:cs="Times New Roman"/>
                <w:color w:val="000000" w:themeColor="text1"/>
                <w:sz w:val="26"/>
                <w:szCs w:val="26"/>
                <w:lang w:val="lv-LV"/>
              </w:rPr>
            </w:pPr>
            <w:r w:rsidRPr="005D5B72">
              <w:rPr>
                <w:rFonts w:ascii="Times New Roman" w:hAnsi="Times New Roman" w:cs="Times New Roman"/>
                <w:color w:val="000000" w:themeColor="text1"/>
                <w:sz w:val="26"/>
                <w:szCs w:val="26"/>
                <w:lang w:val="lv-LV"/>
              </w:rPr>
              <w:t>Ņemot vērā jūrniecības reglamentēto profesiju specifiku, veselības pārbaudi varēs veikt un atzinumu par veselības atbilstību darbam uz kuģa izsniegt tikai Jūrnieku reģistra atzītais jūrnieku ārsts atbilstoši prasībām, kas noteiktas noteikumos Nr.273.</w:t>
            </w:r>
            <w:r w:rsidR="008B67C6" w:rsidRPr="005D5B72">
              <w:rPr>
                <w:lang w:val="lv-LV"/>
              </w:rPr>
              <w:t xml:space="preserve"> </w:t>
            </w:r>
            <w:r w:rsidR="008B67C6" w:rsidRPr="005D5B72">
              <w:rPr>
                <w:rFonts w:ascii="Times New Roman" w:hAnsi="Times New Roman" w:cs="Times New Roman"/>
                <w:color w:val="000000" w:themeColor="text1"/>
                <w:sz w:val="26"/>
                <w:szCs w:val="26"/>
                <w:lang w:val="lv-LV"/>
              </w:rPr>
              <w:t xml:space="preserve">Šāda prasība rekomendēta arī Starptautiskās Darba organizācijas (ILO) un Starptautiskās Jūrniecības organizācijas (IMO) publikācijas „Norādījumi par jūrnieku veselības pārbaudi” 37.punktā, nosakot, ka </w:t>
            </w:r>
            <w:r w:rsidR="008B67C6" w:rsidRPr="005D5B72">
              <w:rPr>
                <w:rFonts w:ascii="Times New Roman" w:hAnsi="Times New Roman" w:cs="Times New Roman"/>
                <w:color w:val="000000" w:themeColor="text1"/>
                <w:sz w:val="26"/>
                <w:szCs w:val="26"/>
                <w:lang w:val="lv-LV"/>
              </w:rPr>
              <w:lastRenderedPageBreak/>
              <w:t xml:space="preserve">visu to personu veselības pārbaudi, kuras vēlas strādāt jūrā, vēlams veikt pirms apmācības sākuma, lai pārbaudītu, vai šīs personas atbilst veselības atbilstības standartiem. Savukārt iepriekš </w:t>
            </w:r>
            <w:r w:rsidR="008B67C6" w:rsidRPr="008227B9">
              <w:rPr>
                <w:rFonts w:ascii="Times New Roman" w:hAnsi="Times New Roman" w:cs="Times New Roman"/>
                <w:color w:val="000000" w:themeColor="text1"/>
                <w:sz w:val="26"/>
                <w:szCs w:val="26"/>
                <w:lang w:val="lv-LV"/>
              </w:rPr>
              <w:t xml:space="preserve">minēto </w:t>
            </w:r>
            <w:r w:rsidR="008227B9" w:rsidRPr="008227B9">
              <w:rPr>
                <w:rFonts w:ascii="Times New Roman" w:hAnsi="Times New Roman" w:cs="Times New Roman"/>
                <w:color w:val="000000" w:themeColor="text1"/>
                <w:sz w:val="26"/>
                <w:szCs w:val="26"/>
                <w:lang w:val="lv-LV"/>
              </w:rPr>
              <w:t xml:space="preserve">norādījumu </w:t>
            </w:r>
            <w:r w:rsidR="008B67C6" w:rsidRPr="008227B9">
              <w:rPr>
                <w:rFonts w:ascii="Times New Roman" w:hAnsi="Times New Roman" w:cs="Times New Roman"/>
                <w:color w:val="000000" w:themeColor="text1"/>
                <w:sz w:val="26"/>
                <w:szCs w:val="26"/>
                <w:lang w:val="lv-LV"/>
              </w:rPr>
              <w:t>53.punkts paredz, ka veselīb</w:t>
            </w:r>
            <w:r w:rsidR="008B67C6" w:rsidRPr="005D5B72">
              <w:rPr>
                <w:rFonts w:ascii="Times New Roman" w:hAnsi="Times New Roman" w:cs="Times New Roman"/>
                <w:color w:val="000000" w:themeColor="text1"/>
                <w:sz w:val="26"/>
                <w:szCs w:val="26"/>
                <w:lang w:val="lv-LV"/>
              </w:rPr>
              <w:t>as pārbaudē attiecībā uz lielāko daļu medicīnisko problēmu piemērojami vieni un tie paši kritēriji neatkarīgi no tā, kurā jūrnieka profesionālās karjeras posmā pārbaude tiek veikta. Ja konstatēta tāda medicīniskā problēma, kas laika gaitā varētu pastiprināties un tādējādi ierobežot kadeta vai praktikanta spēju veikt vairākus pienākumus un uzdevumus, kas ir būtiska apmācības daļa, atbilstības standarti jāizmanto mazāk elastīgi nekā strādājošu jūrnieku gadījumā, lai nodrošinātu to, ka persona spēj izpildīt visas apmācības prasības.</w:t>
            </w:r>
          </w:p>
          <w:p w14:paraId="23C53FA8" w14:textId="0935A732" w:rsidR="000A6C88" w:rsidRPr="005D5B72" w:rsidRDefault="00402951"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4</w:t>
            </w:r>
            <w:r w:rsidR="00EF68D5" w:rsidRPr="005D5B72">
              <w:rPr>
                <w:rFonts w:ascii="Times New Roman" w:hAnsi="Times New Roman" w:cs="Times New Roman"/>
                <w:sz w:val="26"/>
                <w:szCs w:val="26"/>
                <w:lang w:val="lv-LV"/>
              </w:rPr>
              <w:t>.</w:t>
            </w:r>
            <w:r w:rsidR="00407760" w:rsidRPr="005D5B72">
              <w:rPr>
                <w:rFonts w:ascii="Times New Roman" w:hAnsi="Times New Roman" w:cs="Times New Roman"/>
                <w:sz w:val="26"/>
                <w:szCs w:val="26"/>
                <w:lang w:val="lv-LV"/>
              </w:rPr>
              <w:t xml:space="preserve"> </w:t>
            </w:r>
            <w:r w:rsidR="002A79AA" w:rsidRPr="005D5B72">
              <w:rPr>
                <w:rFonts w:ascii="Times New Roman" w:hAnsi="Times New Roman" w:cs="Times New Roman"/>
                <w:sz w:val="26"/>
                <w:szCs w:val="26"/>
                <w:lang w:val="lv-LV"/>
              </w:rPr>
              <w:t xml:space="preserve">Ar projektu </w:t>
            </w:r>
            <w:r w:rsidR="000A6C88" w:rsidRPr="005D5B72">
              <w:rPr>
                <w:rFonts w:ascii="Times New Roman" w:hAnsi="Times New Roman" w:cs="Times New Roman"/>
                <w:sz w:val="26"/>
                <w:szCs w:val="26"/>
                <w:lang w:val="lv-LV"/>
              </w:rPr>
              <w:t xml:space="preserve">tiek precizēta </w:t>
            </w:r>
            <w:r w:rsidR="008A30B2" w:rsidRPr="005D5B72">
              <w:rPr>
                <w:rFonts w:ascii="Times New Roman" w:hAnsi="Times New Roman" w:cs="Times New Roman"/>
                <w:sz w:val="26"/>
                <w:szCs w:val="26"/>
                <w:lang w:val="lv-LV"/>
              </w:rPr>
              <w:t>JPJDL 31.</w:t>
            </w:r>
            <w:r w:rsidR="002A79AA" w:rsidRPr="005D5B72">
              <w:rPr>
                <w:rFonts w:ascii="Times New Roman" w:hAnsi="Times New Roman" w:cs="Times New Roman"/>
                <w:sz w:val="26"/>
                <w:szCs w:val="26"/>
                <w:lang w:val="lv-LV"/>
              </w:rPr>
              <w:t>p</w:t>
            </w:r>
            <w:r w:rsidR="00685EA5" w:rsidRPr="005D5B72">
              <w:rPr>
                <w:rFonts w:ascii="Times New Roman" w:hAnsi="Times New Roman" w:cs="Times New Roman"/>
                <w:sz w:val="26"/>
                <w:szCs w:val="26"/>
                <w:lang w:val="lv-LV"/>
              </w:rPr>
              <w:t xml:space="preserve">anta </w:t>
            </w:r>
            <w:r w:rsidR="000A6C88" w:rsidRPr="005D5B72">
              <w:rPr>
                <w:rFonts w:ascii="Times New Roman" w:hAnsi="Times New Roman" w:cs="Times New Roman"/>
                <w:sz w:val="26"/>
                <w:szCs w:val="26"/>
                <w:lang w:val="lv-LV"/>
              </w:rPr>
              <w:t>otrā daļa, attiecinot tajā noteikto</w:t>
            </w:r>
            <w:r w:rsidR="00407760" w:rsidRPr="005D5B72">
              <w:rPr>
                <w:rFonts w:ascii="Times New Roman" w:hAnsi="Times New Roman" w:cs="Times New Roman"/>
                <w:sz w:val="26"/>
                <w:szCs w:val="26"/>
                <w:lang w:val="lv-LV"/>
              </w:rPr>
              <w:t xml:space="preserve"> </w:t>
            </w:r>
            <w:r w:rsidR="000A6C88" w:rsidRPr="005D5B72">
              <w:rPr>
                <w:rFonts w:ascii="Times New Roman" w:hAnsi="Times New Roman" w:cs="Times New Roman"/>
                <w:sz w:val="26"/>
                <w:szCs w:val="26"/>
                <w:lang w:val="lv-LV"/>
              </w:rPr>
              <w:t xml:space="preserve">alkohola lietošanas ierobežojumu arī uz jūrniekiem, kas pilda citus dienesta pienākumus, </w:t>
            </w:r>
            <w:r w:rsidR="00650270" w:rsidRPr="005D5B72">
              <w:rPr>
                <w:rFonts w:ascii="Times New Roman" w:hAnsi="Times New Roman" w:cs="Times New Roman"/>
                <w:sz w:val="26"/>
                <w:szCs w:val="26"/>
                <w:lang w:val="lv-LV"/>
              </w:rPr>
              <w:t>ne tikai sardzes.</w:t>
            </w:r>
          </w:p>
          <w:p w14:paraId="6127D962" w14:textId="77F95394" w:rsidR="00BF3C07" w:rsidRPr="005D5B72" w:rsidRDefault="00407760"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 xml:space="preserve">Projekts </w:t>
            </w:r>
            <w:r w:rsidR="00650270" w:rsidRPr="005D5B72">
              <w:rPr>
                <w:rFonts w:ascii="Times New Roman" w:hAnsi="Times New Roman" w:cs="Times New Roman"/>
                <w:sz w:val="26"/>
                <w:szCs w:val="26"/>
                <w:lang w:val="lv-LV"/>
              </w:rPr>
              <w:t xml:space="preserve">arī </w:t>
            </w:r>
            <w:r w:rsidR="00FE20DD" w:rsidRPr="005D5B72">
              <w:rPr>
                <w:rFonts w:ascii="Times New Roman" w:hAnsi="Times New Roman" w:cs="Times New Roman"/>
                <w:sz w:val="26"/>
                <w:szCs w:val="26"/>
                <w:lang w:val="lv-LV"/>
              </w:rPr>
              <w:t>precizē JPJDL 31.pantu</w:t>
            </w:r>
            <w:r w:rsidRPr="005D5B72">
              <w:rPr>
                <w:rFonts w:ascii="Times New Roman" w:hAnsi="Times New Roman" w:cs="Times New Roman"/>
                <w:sz w:val="26"/>
                <w:szCs w:val="26"/>
                <w:lang w:val="lv-LV"/>
              </w:rPr>
              <w:t xml:space="preserve"> attiecībā par kompetenci veikt alkohola reibuma, narkotisko vai citu apreibinošu vielu ietekmes konstatēšanu vai šīs personas nosūtīšanu </w:t>
            </w:r>
            <w:r w:rsidR="006E33F2" w:rsidRPr="005D5B72">
              <w:rPr>
                <w:rFonts w:ascii="Times New Roman" w:hAnsi="Times New Roman" w:cs="Times New Roman"/>
                <w:sz w:val="26"/>
                <w:szCs w:val="26"/>
                <w:lang w:val="lv-LV"/>
              </w:rPr>
              <w:t xml:space="preserve">medicīniskās pārbaudes </w:t>
            </w:r>
            <w:r w:rsidRPr="005D5B72">
              <w:rPr>
                <w:rFonts w:ascii="Times New Roman" w:hAnsi="Times New Roman" w:cs="Times New Roman"/>
                <w:sz w:val="26"/>
                <w:szCs w:val="26"/>
                <w:lang w:val="lv-LV"/>
              </w:rPr>
              <w:t xml:space="preserve">veikšanai, ja ir pamats aizdomām, ka tās lietojušas alkoholu, narkotiskās vai </w:t>
            </w:r>
            <w:r w:rsidR="00BF3C07" w:rsidRPr="005D5B72">
              <w:rPr>
                <w:rFonts w:ascii="Times New Roman" w:hAnsi="Times New Roman" w:cs="Times New Roman"/>
                <w:sz w:val="26"/>
                <w:szCs w:val="26"/>
                <w:lang w:val="lv-LV"/>
              </w:rPr>
              <w:t>ci</w:t>
            </w:r>
            <w:r w:rsidR="002F0F72" w:rsidRPr="005D5B72">
              <w:rPr>
                <w:rFonts w:ascii="Times New Roman" w:hAnsi="Times New Roman" w:cs="Times New Roman"/>
                <w:sz w:val="26"/>
                <w:szCs w:val="26"/>
                <w:lang w:val="lv-LV"/>
              </w:rPr>
              <w:t>tas apreibinoša</w:t>
            </w:r>
            <w:r w:rsidR="00BF3C07" w:rsidRPr="005D5B72">
              <w:rPr>
                <w:rFonts w:ascii="Times New Roman" w:hAnsi="Times New Roman" w:cs="Times New Roman"/>
                <w:sz w:val="26"/>
                <w:szCs w:val="26"/>
                <w:lang w:val="lv-LV"/>
              </w:rPr>
              <w:t>s vielas:</w:t>
            </w:r>
          </w:p>
          <w:p w14:paraId="50CB7E22" w14:textId="77777777" w:rsidR="00407760" w:rsidRPr="005D5B72" w:rsidRDefault="00BF3C07"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w:t>
            </w:r>
            <w:r w:rsidR="00407760" w:rsidRPr="005D5B72">
              <w:rPr>
                <w:rFonts w:ascii="Times New Roman" w:hAnsi="Times New Roman" w:cs="Times New Roman"/>
                <w:sz w:val="26"/>
                <w:szCs w:val="26"/>
                <w:lang w:val="lv-LV"/>
              </w:rPr>
              <w:t xml:space="preserve"> tiek noteikts, ka </w:t>
            </w:r>
            <w:r w:rsidR="009A43AC" w:rsidRPr="005D5B72">
              <w:rPr>
                <w:rFonts w:ascii="Times New Roman" w:hAnsi="Times New Roman" w:cs="Times New Roman"/>
                <w:sz w:val="26"/>
                <w:szCs w:val="26"/>
                <w:lang w:val="lv-LV"/>
              </w:rPr>
              <w:t xml:space="preserve">gadījumos, kad pēc jūras negadījuma vai incidenta ir jāpieaicina kontroles dienesti </w:t>
            </w:r>
            <w:r w:rsidR="00407760" w:rsidRPr="005D5B72">
              <w:rPr>
                <w:rFonts w:ascii="Times New Roman" w:hAnsi="Times New Roman" w:cs="Times New Roman"/>
                <w:sz w:val="26"/>
                <w:szCs w:val="26"/>
                <w:lang w:val="lv-LV"/>
              </w:rPr>
              <w:t>jūras ūdeņos</w:t>
            </w:r>
            <w:r w:rsidR="009A43AC" w:rsidRPr="005D5B72">
              <w:rPr>
                <w:rFonts w:ascii="Times New Roman" w:hAnsi="Times New Roman" w:cs="Times New Roman"/>
                <w:sz w:val="26"/>
                <w:szCs w:val="26"/>
                <w:lang w:val="lv-LV"/>
              </w:rPr>
              <w:t>,</w:t>
            </w:r>
            <w:r w:rsidR="00407760" w:rsidRPr="005D5B72">
              <w:rPr>
                <w:rFonts w:ascii="Times New Roman" w:hAnsi="Times New Roman" w:cs="Times New Roman"/>
                <w:sz w:val="26"/>
                <w:szCs w:val="26"/>
                <w:lang w:val="lv-LV"/>
              </w:rPr>
              <w:t xml:space="preserve"> šo funkciju nodrošina Krasta apsardzes dienests </w:t>
            </w:r>
            <w:r w:rsidR="00A05DC6" w:rsidRPr="005D5B72">
              <w:rPr>
                <w:rFonts w:ascii="Times New Roman" w:hAnsi="Times New Roman" w:cs="Times New Roman"/>
                <w:sz w:val="26"/>
                <w:szCs w:val="26"/>
                <w:lang w:val="lv-LV"/>
              </w:rPr>
              <w:t>vai Valsts robežsardze;</w:t>
            </w:r>
          </w:p>
          <w:p w14:paraId="29B2D005" w14:textId="2B0760E7" w:rsidR="00407760" w:rsidRPr="005D5B72" w:rsidRDefault="007D5A7F" w:rsidP="00E24C22">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 xml:space="preserve">- tiek noteikts, ka </w:t>
            </w:r>
            <w:r w:rsidR="00BF3C07" w:rsidRPr="005D5B72">
              <w:rPr>
                <w:rFonts w:ascii="Times New Roman" w:hAnsi="Times New Roman" w:cs="Times New Roman"/>
                <w:sz w:val="26"/>
                <w:szCs w:val="26"/>
                <w:lang w:val="lv-LV"/>
              </w:rPr>
              <w:t xml:space="preserve">ostas kapteinim </w:t>
            </w:r>
            <w:r w:rsidRPr="005D5B72">
              <w:rPr>
                <w:rFonts w:ascii="Times New Roman" w:hAnsi="Times New Roman" w:cs="Times New Roman"/>
                <w:sz w:val="26"/>
                <w:szCs w:val="26"/>
                <w:lang w:val="lv-LV"/>
              </w:rPr>
              <w:t xml:space="preserve">ir </w:t>
            </w:r>
            <w:r w:rsidR="00BF3C07" w:rsidRPr="005D5B72">
              <w:rPr>
                <w:rFonts w:ascii="Times New Roman" w:hAnsi="Times New Roman" w:cs="Times New Roman"/>
                <w:sz w:val="26"/>
                <w:szCs w:val="26"/>
                <w:lang w:val="lv-LV"/>
              </w:rPr>
              <w:t>tiesības pieaicināt</w:t>
            </w:r>
            <w:r w:rsidR="00407760" w:rsidRPr="005D5B72">
              <w:rPr>
                <w:rFonts w:ascii="Times New Roman" w:hAnsi="Times New Roman" w:cs="Times New Roman"/>
                <w:sz w:val="26"/>
                <w:szCs w:val="26"/>
                <w:lang w:val="lv-LV"/>
              </w:rPr>
              <w:t xml:space="preserve"> policiju</w:t>
            </w:r>
            <w:r w:rsidR="00576BDE" w:rsidRPr="005D5B72">
              <w:rPr>
                <w:rFonts w:ascii="Times New Roman" w:hAnsi="Times New Roman" w:cs="Times New Roman"/>
                <w:sz w:val="26"/>
                <w:szCs w:val="26"/>
                <w:lang w:val="lv-LV"/>
              </w:rPr>
              <w:t xml:space="preserve"> vai Valsts robežsardzi</w:t>
            </w:r>
            <w:r w:rsidR="00407760" w:rsidRPr="005D5B72">
              <w:rPr>
                <w:rFonts w:ascii="Times New Roman" w:hAnsi="Times New Roman" w:cs="Times New Roman"/>
                <w:sz w:val="26"/>
                <w:szCs w:val="26"/>
                <w:lang w:val="lv-LV"/>
              </w:rPr>
              <w:t xml:space="preserve">, lai tā personām veic alkohola reibuma, narkotisko vai citu apreibinošu vielu ietekmes konstatēšanu vai nosūta šīs personas </w:t>
            </w:r>
            <w:r w:rsidR="006F19AA" w:rsidRPr="005D5B72">
              <w:rPr>
                <w:rFonts w:ascii="Times New Roman" w:hAnsi="Times New Roman" w:cs="Times New Roman"/>
                <w:sz w:val="26"/>
                <w:szCs w:val="26"/>
                <w:lang w:val="lv-LV"/>
              </w:rPr>
              <w:t xml:space="preserve">medicīniskās pārbaudes </w:t>
            </w:r>
            <w:r w:rsidR="00407760" w:rsidRPr="005D5B72">
              <w:rPr>
                <w:rFonts w:ascii="Times New Roman" w:hAnsi="Times New Roman" w:cs="Times New Roman"/>
                <w:sz w:val="26"/>
                <w:szCs w:val="26"/>
                <w:lang w:val="lv-LV"/>
              </w:rPr>
              <w:t>veikšanai, ja ir pamats aizdomām, ka tās lietojušas alkoholu, narkotiskā</w:t>
            </w:r>
            <w:r w:rsidR="00B375E7" w:rsidRPr="005D5B72">
              <w:rPr>
                <w:rFonts w:ascii="Times New Roman" w:hAnsi="Times New Roman" w:cs="Times New Roman"/>
                <w:sz w:val="26"/>
                <w:szCs w:val="26"/>
                <w:lang w:val="lv-LV"/>
              </w:rPr>
              <w:t>s vai citas apreibinošas vielas.</w:t>
            </w:r>
          </w:p>
          <w:p w14:paraId="2818B87F" w14:textId="5BEE6B5F" w:rsidR="002C05EA" w:rsidRPr="005D5B72" w:rsidRDefault="00402951" w:rsidP="00904B00">
            <w:pPr>
              <w:spacing w:before="120"/>
              <w:jc w:val="both"/>
              <w:rPr>
                <w:rFonts w:ascii="Times New Roman" w:hAnsi="Times New Roman" w:cs="Times New Roman"/>
                <w:color w:val="000000" w:themeColor="text1"/>
                <w:sz w:val="26"/>
                <w:szCs w:val="26"/>
                <w:lang w:val="lv-LV"/>
              </w:rPr>
            </w:pPr>
            <w:r w:rsidRPr="005D5B72">
              <w:rPr>
                <w:rFonts w:ascii="Times New Roman" w:hAnsi="Times New Roman" w:cs="Times New Roman"/>
                <w:sz w:val="26"/>
                <w:szCs w:val="26"/>
                <w:lang w:val="lv-LV"/>
              </w:rPr>
              <w:t>5</w:t>
            </w:r>
            <w:r w:rsidR="00EF68D5" w:rsidRPr="005D5B72">
              <w:rPr>
                <w:rFonts w:ascii="Times New Roman" w:hAnsi="Times New Roman" w:cs="Times New Roman"/>
                <w:sz w:val="26"/>
                <w:szCs w:val="26"/>
                <w:lang w:val="lv-LV"/>
              </w:rPr>
              <w:t>.</w:t>
            </w:r>
            <w:r w:rsidR="00904B00" w:rsidRPr="005D5B72">
              <w:rPr>
                <w:rFonts w:ascii="Times New Roman" w:hAnsi="Times New Roman" w:cs="Times New Roman"/>
                <w:sz w:val="26"/>
                <w:szCs w:val="26"/>
                <w:lang w:val="lv-LV"/>
              </w:rPr>
              <w:t xml:space="preserve"> </w:t>
            </w:r>
            <w:r w:rsidR="00904B00" w:rsidRPr="005D5B72">
              <w:rPr>
                <w:rFonts w:ascii="Times New Roman" w:hAnsi="Times New Roman" w:cs="Times New Roman"/>
                <w:color w:val="000000" w:themeColor="text1"/>
                <w:sz w:val="26"/>
                <w:szCs w:val="26"/>
                <w:lang w:val="lv-LV"/>
              </w:rPr>
              <w:t xml:space="preserve">Ar Starptautiskās Jūrniecības organizācijas (turpmāk– IMO) 2014.gada 21.novembra Rezolūciju MSC 380(94) tika apstiprināti 1974.gada Starptautiskās konvencijas par cilvēku dzīvības aizsardzību uz jūras (turpmāk – SOLAS konvencija) grozījumi (Rezolūcija ir pieteikta tulkošanai uz 2016.gada I ceturksni. Ņemot </w:t>
            </w:r>
            <w:r w:rsidR="00904B00" w:rsidRPr="005D5B72">
              <w:rPr>
                <w:rFonts w:ascii="Times New Roman" w:hAnsi="Times New Roman" w:cs="Times New Roman"/>
                <w:color w:val="000000" w:themeColor="text1"/>
                <w:sz w:val="26"/>
                <w:szCs w:val="26"/>
                <w:lang w:val="lv-LV"/>
              </w:rPr>
              <w:lastRenderedPageBreak/>
              <w:t xml:space="preserve">vērā tulkošanas saskaņošanas procesu, paredzam, ka tad, kad likums stāsies spēkā, tulkojums būs pieejams Valsts valodas centra </w:t>
            </w:r>
            <w:r w:rsidR="009C2987">
              <w:rPr>
                <w:rFonts w:ascii="Times New Roman" w:hAnsi="Times New Roman" w:cs="Times New Roman"/>
                <w:color w:val="000000" w:themeColor="text1"/>
                <w:sz w:val="26"/>
                <w:szCs w:val="26"/>
                <w:lang w:val="lv-LV"/>
              </w:rPr>
              <w:t>tīmekļa vietnē</w:t>
            </w:r>
            <w:r w:rsidR="00904B00" w:rsidRPr="005D5B72">
              <w:rPr>
                <w:rFonts w:ascii="Times New Roman" w:hAnsi="Times New Roman" w:cs="Times New Roman"/>
                <w:color w:val="000000" w:themeColor="text1"/>
                <w:sz w:val="26"/>
                <w:szCs w:val="26"/>
                <w:lang w:val="lv-LV"/>
              </w:rPr>
              <w:t xml:space="preserve">.). </w:t>
            </w:r>
          </w:p>
          <w:p w14:paraId="7BBFBD09" w14:textId="31C9FBE3" w:rsidR="00904B00" w:rsidRPr="005D5B72" w:rsidRDefault="00904B00" w:rsidP="002C05EA">
            <w:pPr>
              <w:spacing w:before="120"/>
              <w:jc w:val="both"/>
              <w:rPr>
                <w:rFonts w:ascii="Times New Roman" w:hAnsi="Times New Roman" w:cs="Times New Roman"/>
                <w:sz w:val="26"/>
                <w:szCs w:val="26"/>
                <w:highlight w:val="yellow"/>
                <w:lang w:val="lv-LV"/>
              </w:rPr>
            </w:pPr>
            <w:r w:rsidRPr="005D5B72">
              <w:rPr>
                <w:rFonts w:ascii="Times New Roman" w:hAnsi="Times New Roman" w:cs="Times New Roman"/>
                <w:color w:val="000000" w:themeColor="text1"/>
                <w:sz w:val="26"/>
                <w:szCs w:val="26"/>
                <w:lang w:val="lv-LV"/>
              </w:rPr>
              <w:t>Minētie grozījumi paredz kravas nosūtītājam pienākumu noteikt konteinera verificēto bruto masu un to paziņot kuģa kapteinim pirms konteinera uzkraušanas uz kuģa. Saskaņā ar minētajiem grozījumiem konteinera verificētā bruto masa ir nosakāma, izmantojot noteiktas metodes.</w:t>
            </w:r>
            <w:r w:rsidR="0062167B" w:rsidRPr="005D5B72">
              <w:rPr>
                <w:rFonts w:ascii="Times New Roman" w:hAnsi="Times New Roman" w:cs="Times New Roman"/>
                <w:color w:val="000000" w:themeColor="text1"/>
                <w:sz w:val="26"/>
                <w:szCs w:val="26"/>
                <w:lang w:val="lv-LV"/>
              </w:rPr>
              <w:t xml:space="preserve"> </w:t>
            </w:r>
            <w:r w:rsidR="00063DED" w:rsidRPr="005D5B72">
              <w:rPr>
                <w:rFonts w:ascii="Times New Roman" w:hAnsi="Times New Roman" w:cs="Times New Roman"/>
                <w:color w:val="000000" w:themeColor="text1"/>
                <w:sz w:val="26"/>
                <w:szCs w:val="26"/>
                <w:lang w:val="lv-LV"/>
              </w:rPr>
              <w:t>P</w:t>
            </w:r>
            <w:r w:rsidRPr="005D5B72">
              <w:rPr>
                <w:rFonts w:ascii="Times New Roman" w:hAnsi="Times New Roman" w:cs="Times New Roman"/>
                <w:color w:val="000000" w:themeColor="text1"/>
                <w:sz w:val="26"/>
                <w:szCs w:val="26"/>
                <w:lang w:val="lv-LV"/>
              </w:rPr>
              <w:t xml:space="preserve">rojekts paredz, ka katram konteineram pirms uzkraušanas uz kuģa ir jānosaka konteinera verificētā bruto masa. </w:t>
            </w:r>
            <w:r w:rsidR="00063DED" w:rsidRPr="005D5B72">
              <w:rPr>
                <w:rFonts w:ascii="Times New Roman" w:hAnsi="Times New Roman" w:cs="Times New Roman"/>
                <w:color w:val="000000" w:themeColor="text1"/>
                <w:sz w:val="26"/>
                <w:szCs w:val="26"/>
                <w:lang w:val="lv-LV"/>
              </w:rPr>
              <w:t>P</w:t>
            </w:r>
            <w:r w:rsidRPr="005D5B72">
              <w:rPr>
                <w:rFonts w:ascii="Times New Roman" w:hAnsi="Times New Roman" w:cs="Times New Roman"/>
                <w:color w:val="000000" w:themeColor="text1"/>
                <w:sz w:val="26"/>
                <w:szCs w:val="26"/>
                <w:lang w:val="lv-LV"/>
              </w:rPr>
              <w:t xml:space="preserve">rojekts paredz deleģējumu Ministru kabinetam izdot noteikumus par verificētās bruto masas noteikšanas kārtību, </w:t>
            </w:r>
            <w:r w:rsidR="00E133CC" w:rsidRPr="005D5B72">
              <w:rPr>
                <w:rFonts w:ascii="Times New Roman" w:hAnsi="Times New Roman" w:cs="Times New Roman"/>
                <w:color w:val="000000" w:themeColor="text1"/>
                <w:sz w:val="26"/>
                <w:szCs w:val="26"/>
                <w:lang w:val="lv-LV"/>
              </w:rPr>
              <w:t>tostarp</w:t>
            </w:r>
            <w:r w:rsidRPr="005D5B72">
              <w:rPr>
                <w:rFonts w:ascii="Times New Roman" w:hAnsi="Times New Roman" w:cs="Times New Roman"/>
                <w:color w:val="000000" w:themeColor="text1"/>
                <w:sz w:val="26"/>
                <w:szCs w:val="26"/>
                <w:lang w:val="lv-LV"/>
              </w:rPr>
              <w:t xml:space="preserve"> par konteinera verificētā bruto masas noteikšanas metodēm un to piemērošanu.</w:t>
            </w:r>
          </w:p>
          <w:p w14:paraId="05C3ED0C" w14:textId="44F61FF8" w:rsidR="00407760" w:rsidRPr="005D5B72" w:rsidRDefault="00E133CC" w:rsidP="001056DC">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6</w:t>
            </w:r>
            <w:r w:rsidR="00EF68D5" w:rsidRPr="005D5B72">
              <w:rPr>
                <w:rFonts w:ascii="Times New Roman" w:hAnsi="Times New Roman" w:cs="Times New Roman"/>
                <w:sz w:val="26"/>
                <w:szCs w:val="26"/>
                <w:lang w:val="lv-LV"/>
              </w:rPr>
              <w:t>.</w:t>
            </w:r>
            <w:r w:rsidR="00407760" w:rsidRPr="005D5B72">
              <w:rPr>
                <w:rFonts w:ascii="Times New Roman" w:hAnsi="Times New Roman" w:cs="Times New Roman"/>
                <w:sz w:val="26"/>
                <w:szCs w:val="26"/>
                <w:lang w:val="lv-LV"/>
              </w:rPr>
              <w:t xml:space="preserve"> Projekts precizē JPJDL 59.pantā ietverto Starptautiskā</w:t>
            </w:r>
            <w:r w:rsidR="00853B28" w:rsidRPr="005D5B72">
              <w:rPr>
                <w:rFonts w:ascii="Times New Roman" w:hAnsi="Times New Roman" w:cs="Times New Roman"/>
                <w:sz w:val="26"/>
                <w:szCs w:val="26"/>
                <w:lang w:val="lv-LV"/>
              </w:rPr>
              <w:t>s bāk</w:t>
            </w:r>
            <w:r w:rsidR="00BA1036" w:rsidRPr="005D5B72">
              <w:rPr>
                <w:rFonts w:ascii="Times New Roman" w:hAnsi="Times New Roman" w:cs="Times New Roman"/>
                <w:sz w:val="26"/>
                <w:szCs w:val="26"/>
                <w:lang w:val="lv-LV"/>
              </w:rPr>
              <w:t>u</w:t>
            </w:r>
            <w:r w:rsidR="00853B28" w:rsidRPr="005D5B72">
              <w:rPr>
                <w:rFonts w:ascii="Times New Roman" w:hAnsi="Times New Roman" w:cs="Times New Roman"/>
                <w:sz w:val="26"/>
                <w:szCs w:val="26"/>
                <w:lang w:val="lv-LV"/>
              </w:rPr>
              <w:t xml:space="preserve"> asociācijas nosaukumu, </w:t>
            </w:r>
            <w:r w:rsidR="00A81DB7" w:rsidRPr="005D5B72">
              <w:rPr>
                <w:rFonts w:ascii="Times New Roman" w:hAnsi="Times New Roman" w:cs="Times New Roman"/>
                <w:sz w:val="26"/>
                <w:szCs w:val="26"/>
                <w:lang w:val="lv-LV"/>
              </w:rPr>
              <w:t xml:space="preserve">precizējot to </w:t>
            </w:r>
            <w:r w:rsidR="00407760" w:rsidRPr="005D5B72">
              <w:rPr>
                <w:rFonts w:ascii="Times New Roman" w:hAnsi="Times New Roman" w:cs="Times New Roman"/>
                <w:sz w:val="26"/>
                <w:szCs w:val="26"/>
                <w:lang w:val="lv-LV"/>
              </w:rPr>
              <w:t xml:space="preserve">atbilstoši </w:t>
            </w:r>
            <w:r w:rsidR="00F653A2" w:rsidRPr="005D5B72">
              <w:rPr>
                <w:rFonts w:ascii="Times New Roman" w:hAnsi="Times New Roman" w:cs="Times New Roman"/>
                <w:sz w:val="26"/>
                <w:szCs w:val="26"/>
                <w:lang w:val="lv-LV"/>
              </w:rPr>
              <w:t>pašreizējam</w:t>
            </w:r>
            <w:r w:rsidR="00A81DB7" w:rsidRPr="005D5B72">
              <w:rPr>
                <w:rFonts w:ascii="Times New Roman" w:hAnsi="Times New Roman" w:cs="Times New Roman"/>
                <w:sz w:val="26"/>
                <w:szCs w:val="26"/>
                <w:lang w:val="lv-LV"/>
              </w:rPr>
              <w:t xml:space="preserve"> </w:t>
            </w:r>
            <w:r w:rsidR="00407760" w:rsidRPr="005D5B72">
              <w:rPr>
                <w:rFonts w:ascii="Times New Roman" w:hAnsi="Times New Roman" w:cs="Times New Roman"/>
                <w:sz w:val="26"/>
                <w:szCs w:val="26"/>
                <w:lang w:val="lv-LV"/>
              </w:rPr>
              <w:t>asociācijas nosaukuma</w:t>
            </w:r>
            <w:r w:rsidR="00F653A2" w:rsidRPr="005D5B72">
              <w:rPr>
                <w:rFonts w:ascii="Times New Roman" w:hAnsi="Times New Roman" w:cs="Times New Roman"/>
                <w:sz w:val="26"/>
                <w:szCs w:val="26"/>
                <w:lang w:val="lv-LV"/>
              </w:rPr>
              <w:t>m</w:t>
            </w:r>
            <w:r w:rsidR="00407760" w:rsidRPr="005D5B72">
              <w:rPr>
                <w:rFonts w:ascii="Times New Roman" w:hAnsi="Times New Roman" w:cs="Times New Roman"/>
                <w:sz w:val="26"/>
                <w:szCs w:val="26"/>
                <w:lang w:val="lv-LV"/>
              </w:rPr>
              <w:t xml:space="preserve"> “Starptautiskā jūras navigācijas līdzekļu un bāku administrāciju asociācija” (The International Association of Marine Aids to Navigation and Lighthouse Authorities).</w:t>
            </w:r>
          </w:p>
          <w:p w14:paraId="486992B1" w14:textId="649A03F6" w:rsidR="00576876" w:rsidRPr="005D5B72" w:rsidRDefault="00576876" w:rsidP="009C2987">
            <w:pPr>
              <w:pStyle w:val="NoSpacing"/>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 xml:space="preserve">7. </w:t>
            </w:r>
            <w:r w:rsidR="00454AFF" w:rsidRPr="005D5B72">
              <w:rPr>
                <w:rFonts w:ascii="Times New Roman" w:hAnsi="Times New Roman" w:cs="Times New Roman"/>
                <w:sz w:val="26"/>
                <w:szCs w:val="26"/>
                <w:lang w:val="lv-LV"/>
              </w:rPr>
              <w:t xml:space="preserve">Valsts sekretāru </w:t>
            </w:r>
            <w:r w:rsidR="009C2987" w:rsidRPr="005D5B72">
              <w:rPr>
                <w:rFonts w:ascii="Times New Roman" w:hAnsi="Times New Roman" w:cs="Times New Roman"/>
                <w:sz w:val="26"/>
                <w:szCs w:val="26"/>
                <w:lang w:val="lv-LV"/>
              </w:rPr>
              <w:t xml:space="preserve">2016.gada 10.marta </w:t>
            </w:r>
            <w:r w:rsidR="00454AFF" w:rsidRPr="005D5B72">
              <w:rPr>
                <w:rFonts w:ascii="Times New Roman" w:hAnsi="Times New Roman" w:cs="Times New Roman"/>
                <w:sz w:val="26"/>
                <w:szCs w:val="26"/>
                <w:lang w:val="lv-LV"/>
              </w:rPr>
              <w:t>sanāksmē ir izsludināts Noteikumu projekts "Tehniskās prasības navigācijas tehniskajiem līdzekļiem un to darbības nodrošināšanas kārtība"</w:t>
            </w:r>
            <w:r w:rsidR="006424B2" w:rsidRPr="005D5B72">
              <w:rPr>
                <w:rFonts w:ascii="Times New Roman" w:hAnsi="Times New Roman" w:cs="Times New Roman"/>
                <w:sz w:val="26"/>
                <w:szCs w:val="26"/>
                <w:lang w:val="lv-LV"/>
              </w:rPr>
              <w:t xml:space="preserve"> (VSS-209)</w:t>
            </w:r>
            <w:r w:rsidR="00454AFF" w:rsidRPr="005D5B72">
              <w:rPr>
                <w:rFonts w:ascii="Times New Roman" w:hAnsi="Times New Roman" w:cs="Times New Roman"/>
                <w:sz w:val="26"/>
                <w:szCs w:val="26"/>
                <w:lang w:val="lv-LV"/>
              </w:rPr>
              <w:t>. Minētais noteikumu projekts nosaka tehniskās prasības navigācijas tehniskajiem līdzekļiem un navigācijas līdzekļu darbības nodrošināšanas kārtību</w:t>
            </w:r>
            <w:r w:rsidR="006B6BBB" w:rsidRPr="005D5B72">
              <w:rPr>
                <w:rFonts w:ascii="Times New Roman" w:hAnsi="Times New Roman" w:cs="Times New Roman"/>
                <w:sz w:val="26"/>
                <w:szCs w:val="26"/>
                <w:lang w:val="lv-LV"/>
              </w:rPr>
              <w:t xml:space="preserve">, kā arī </w:t>
            </w:r>
            <w:r w:rsidR="00B0211E" w:rsidRPr="005D5B72">
              <w:rPr>
                <w:rFonts w:ascii="Times New Roman" w:hAnsi="Times New Roman" w:cs="Times New Roman"/>
                <w:sz w:val="26"/>
                <w:szCs w:val="26"/>
                <w:lang w:val="lv-LV"/>
              </w:rPr>
              <w:t>navigācijas līdzekļu apsaimniekotāju tiesības un pienākumus</w:t>
            </w:r>
            <w:r w:rsidR="00454AFF" w:rsidRPr="005D5B72">
              <w:rPr>
                <w:rFonts w:ascii="Times New Roman" w:hAnsi="Times New Roman" w:cs="Times New Roman"/>
                <w:sz w:val="26"/>
                <w:szCs w:val="26"/>
                <w:lang w:val="lv-LV"/>
              </w:rPr>
              <w:t xml:space="preserve">. Līdz ar to atbilstoši ir jāprecizē JPJDL </w:t>
            </w:r>
            <w:r w:rsidR="006424B2" w:rsidRPr="005D5B72">
              <w:rPr>
                <w:rFonts w:ascii="Times New Roman" w:hAnsi="Times New Roman" w:cs="Times New Roman"/>
                <w:sz w:val="26"/>
                <w:szCs w:val="26"/>
                <w:lang w:val="lv-LV"/>
              </w:rPr>
              <w:t xml:space="preserve">60.panta trešajā daļā </w:t>
            </w:r>
            <w:r w:rsidR="00454AFF" w:rsidRPr="005D5B72">
              <w:rPr>
                <w:rFonts w:ascii="Times New Roman" w:hAnsi="Times New Roman" w:cs="Times New Roman"/>
                <w:sz w:val="26"/>
                <w:szCs w:val="26"/>
                <w:lang w:val="lv-LV"/>
              </w:rPr>
              <w:t xml:space="preserve">ietvertais deleģējums šo noteikumu izdošanai. </w:t>
            </w:r>
            <w:r w:rsidR="00B0211E" w:rsidRPr="005D5B72">
              <w:rPr>
                <w:rFonts w:ascii="Times New Roman" w:hAnsi="Times New Roman" w:cs="Times New Roman"/>
                <w:sz w:val="26"/>
                <w:szCs w:val="26"/>
                <w:lang w:val="lv-LV"/>
              </w:rPr>
              <w:t xml:space="preserve"> </w:t>
            </w:r>
          </w:p>
        </w:tc>
      </w:tr>
      <w:tr w:rsidR="00407760" w:rsidRPr="00D53507" w14:paraId="7A0E2CCA" w14:textId="77777777" w:rsidTr="00407760">
        <w:trPr>
          <w:trHeight w:val="465"/>
        </w:trPr>
        <w:tc>
          <w:tcPr>
            <w:tcW w:w="302" w:type="pct"/>
            <w:hideMark/>
          </w:tcPr>
          <w:p w14:paraId="09AF9FDE" w14:textId="576AA85E" w:rsidR="00407760" w:rsidRPr="00D53507" w:rsidRDefault="00407760" w:rsidP="00407760">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lastRenderedPageBreak/>
              <w:t>3.</w:t>
            </w:r>
          </w:p>
        </w:tc>
        <w:tc>
          <w:tcPr>
            <w:tcW w:w="1524" w:type="pct"/>
            <w:hideMark/>
          </w:tcPr>
          <w:p w14:paraId="3194B727" w14:textId="77777777" w:rsidR="00407760" w:rsidRPr="00D53507" w:rsidRDefault="00407760" w:rsidP="00407760">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Projekta izstrādē iesaistītās institūcijas</w:t>
            </w:r>
          </w:p>
        </w:tc>
        <w:tc>
          <w:tcPr>
            <w:tcW w:w="3175" w:type="pct"/>
            <w:hideMark/>
          </w:tcPr>
          <w:p w14:paraId="31433327" w14:textId="013ED54F" w:rsidR="00407760" w:rsidRPr="00D53507" w:rsidRDefault="00E133CC" w:rsidP="00F5656B">
            <w:pPr>
              <w:pStyle w:val="NoSpacing"/>
              <w:jc w:val="both"/>
              <w:rPr>
                <w:rFonts w:ascii="Times New Roman" w:hAnsi="Times New Roman" w:cs="Times New Roman"/>
                <w:sz w:val="26"/>
                <w:szCs w:val="26"/>
                <w:lang w:val="lv-LV"/>
              </w:rPr>
            </w:pPr>
            <w:r w:rsidRPr="00D53507">
              <w:rPr>
                <w:rFonts w:ascii="Times New Roman" w:hAnsi="Times New Roman"/>
                <w:sz w:val="26"/>
                <w:szCs w:val="26"/>
                <w:lang w:val="lv-LV"/>
              </w:rPr>
              <w:t xml:space="preserve">Satiksmes ministrija, </w:t>
            </w:r>
            <w:r w:rsidR="00407760" w:rsidRPr="00D53507">
              <w:rPr>
                <w:rFonts w:ascii="Times New Roman" w:hAnsi="Times New Roman"/>
                <w:sz w:val="26"/>
                <w:szCs w:val="26"/>
                <w:lang w:val="lv-LV"/>
              </w:rPr>
              <w:t>VAS “Latvijas Jūras administrācija”.</w:t>
            </w:r>
          </w:p>
        </w:tc>
      </w:tr>
      <w:tr w:rsidR="00407760" w:rsidRPr="00D53507" w14:paraId="05FDF014" w14:textId="77777777" w:rsidTr="00407760">
        <w:tc>
          <w:tcPr>
            <w:tcW w:w="302" w:type="pct"/>
            <w:hideMark/>
          </w:tcPr>
          <w:p w14:paraId="0CD9487B" w14:textId="77777777" w:rsidR="00407760" w:rsidRPr="00D53507" w:rsidRDefault="00407760" w:rsidP="00407760">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4.</w:t>
            </w:r>
          </w:p>
        </w:tc>
        <w:tc>
          <w:tcPr>
            <w:tcW w:w="1524" w:type="pct"/>
            <w:hideMark/>
          </w:tcPr>
          <w:p w14:paraId="06BE5D58" w14:textId="77777777" w:rsidR="00407760" w:rsidRPr="00D53507" w:rsidRDefault="00407760" w:rsidP="00407760">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Cita informācija</w:t>
            </w:r>
          </w:p>
        </w:tc>
        <w:tc>
          <w:tcPr>
            <w:tcW w:w="3175" w:type="pct"/>
          </w:tcPr>
          <w:p w14:paraId="500FB775" w14:textId="77777777" w:rsidR="00B23BF5" w:rsidRPr="00D53507" w:rsidRDefault="00407760" w:rsidP="0038369B">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Nav.</w:t>
            </w:r>
          </w:p>
        </w:tc>
      </w:tr>
    </w:tbl>
    <w:p w14:paraId="79EFEA4E" w14:textId="77777777" w:rsidR="00074799" w:rsidRPr="00D53507" w:rsidRDefault="00074799"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478"/>
        <w:gridCol w:w="2969"/>
        <w:gridCol w:w="6129"/>
      </w:tblGrid>
      <w:tr w:rsidR="00074799" w:rsidRPr="0025359C" w14:paraId="38B99DA9" w14:textId="77777777" w:rsidTr="002356E4">
        <w:trPr>
          <w:trHeight w:val="555"/>
        </w:trPr>
        <w:tc>
          <w:tcPr>
            <w:tcW w:w="0" w:type="auto"/>
            <w:gridSpan w:val="3"/>
            <w:hideMark/>
          </w:tcPr>
          <w:p w14:paraId="03FCB7A3" w14:textId="77777777" w:rsidR="00074799" w:rsidRPr="00D53507" w:rsidRDefault="00074799" w:rsidP="007020AC">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II. Tiesību akta projekta ietekme uz sabiedrību, tautsaimniecības attīstību un administratīvo slogu</w:t>
            </w:r>
          </w:p>
          <w:p w14:paraId="111DA117" w14:textId="77777777" w:rsidR="00687DF2" w:rsidRPr="00D53507" w:rsidRDefault="00687DF2" w:rsidP="007020AC">
            <w:pPr>
              <w:pStyle w:val="NoSpacing"/>
              <w:jc w:val="center"/>
              <w:rPr>
                <w:rFonts w:ascii="Times New Roman" w:hAnsi="Times New Roman" w:cs="Times New Roman"/>
                <w:b/>
                <w:sz w:val="26"/>
                <w:szCs w:val="26"/>
                <w:lang w:val="lv-LV"/>
              </w:rPr>
            </w:pPr>
          </w:p>
        </w:tc>
      </w:tr>
      <w:tr w:rsidR="00074799" w:rsidRPr="0025359C" w14:paraId="1230F456" w14:textId="77777777" w:rsidTr="002356E4">
        <w:trPr>
          <w:trHeight w:val="465"/>
        </w:trPr>
        <w:tc>
          <w:tcPr>
            <w:tcW w:w="250" w:type="pct"/>
            <w:hideMark/>
          </w:tcPr>
          <w:p w14:paraId="43E23FF9"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1.</w:t>
            </w:r>
          </w:p>
        </w:tc>
        <w:tc>
          <w:tcPr>
            <w:tcW w:w="1550" w:type="pct"/>
            <w:hideMark/>
          </w:tcPr>
          <w:p w14:paraId="59BD1CA8"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 xml:space="preserve">Sabiedrības mērķgrupas, kuras tiesiskais regulējums ietekmē vai </w:t>
            </w:r>
            <w:r w:rsidRPr="00D53507">
              <w:rPr>
                <w:rFonts w:ascii="Times New Roman" w:hAnsi="Times New Roman" w:cs="Times New Roman"/>
                <w:sz w:val="26"/>
                <w:szCs w:val="26"/>
                <w:lang w:val="lv-LV"/>
              </w:rPr>
              <w:lastRenderedPageBreak/>
              <w:t>varētu ietekmēt</w:t>
            </w:r>
          </w:p>
        </w:tc>
        <w:tc>
          <w:tcPr>
            <w:tcW w:w="3200" w:type="pct"/>
            <w:hideMark/>
          </w:tcPr>
          <w:p w14:paraId="470133C5" w14:textId="736FA498" w:rsidR="007020AC" w:rsidRPr="00D53507" w:rsidRDefault="002B4ADE" w:rsidP="007020AC">
            <w:pPr>
              <w:jc w:val="both"/>
              <w:rPr>
                <w:rFonts w:ascii="Times New Roman" w:hAnsi="Times New Roman"/>
                <w:iCs/>
                <w:sz w:val="26"/>
                <w:szCs w:val="26"/>
                <w:lang w:val="lv-LV"/>
              </w:rPr>
            </w:pPr>
            <w:r w:rsidRPr="00D53507">
              <w:rPr>
                <w:rFonts w:ascii="Times New Roman" w:hAnsi="Times New Roman"/>
                <w:iCs/>
                <w:sz w:val="26"/>
                <w:szCs w:val="26"/>
                <w:lang w:val="lv-LV"/>
              </w:rPr>
              <w:lastRenderedPageBreak/>
              <w:t>1.</w:t>
            </w:r>
            <w:r w:rsidR="007020AC" w:rsidRPr="00D53507">
              <w:rPr>
                <w:rFonts w:ascii="Times New Roman" w:hAnsi="Times New Roman"/>
                <w:iCs/>
                <w:sz w:val="26"/>
                <w:szCs w:val="26"/>
                <w:lang w:val="lv-LV"/>
              </w:rPr>
              <w:t xml:space="preserve"> Jūras administrācijas Jūrnieku reģistra atzītie jūrnieku ārsti </w:t>
            </w:r>
            <w:r w:rsidR="00096230" w:rsidRPr="00D53507">
              <w:rPr>
                <w:rFonts w:ascii="Times New Roman" w:hAnsi="Times New Roman"/>
                <w:iCs/>
                <w:sz w:val="26"/>
                <w:szCs w:val="26"/>
                <w:lang w:val="lv-LV"/>
              </w:rPr>
              <w:t>(pašreiz tie ir 10);</w:t>
            </w:r>
          </w:p>
          <w:p w14:paraId="142BE522" w14:textId="203D112A" w:rsidR="004B475E" w:rsidRPr="00D53507" w:rsidRDefault="002B4ADE" w:rsidP="004B475E">
            <w:pPr>
              <w:jc w:val="both"/>
              <w:rPr>
                <w:rFonts w:ascii="Times New Roman" w:hAnsi="Times New Roman"/>
                <w:iCs/>
                <w:color w:val="000000" w:themeColor="text1"/>
                <w:sz w:val="26"/>
                <w:szCs w:val="26"/>
                <w:lang w:val="lv-LV"/>
              </w:rPr>
            </w:pPr>
            <w:r w:rsidRPr="00D53507">
              <w:rPr>
                <w:rFonts w:ascii="Times New Roman" w:hAnsi="Times New Roman"/>
                <w:iCs/>
                <w:color w:val="000000" w:themeColor="text1"/>
                <w:sz w:val="26"/>
                <w:szCs w:val="26"/>
                <w:lang w:val="lv-LV"/>
              </w:rPr>
              <w:t>2.</w:t>
            </w:r>
            <w:r w:rsidR="004B475E" w:rsidRPr="00D53507">
              <w:rPr>
                <w:rFonts w:ascii="Times New Roman" w:hAnsi="Times New Roman"/>
                <w:iCs/>
                <w:color w:val="000000" w:themeColor="text1"/>
                <w:sz w:val="26"/>
                <w:szCs w:val="26"/>
                <w:lang w:val="lv-LV"/>
              </w:rPr>
              <w:t xml:space="preserve"> Jūrniecības profesionālās izglītības programmas </w:t>
            </w:r>
            <w:r w:rsidR="004B475E" w:rsidRPr="00D53507">
              <w:rPr>
                <w:rFonts w:ascii="Times New Roman" w:hAnsi="Times New Roman"/>
                <w:iCs/>
                <w:color w:val="000000" w:themeColor="text1"/>
                <w:sz w:val="26"/>
                <w:szCs w:val="26"/>
                <w:lang w:val="lv-LV"/>
              </w:rPr>
              <w:lastRenderedPageBreak/>
              <w:t>pretendenti. Šobrīd ir 7 izglītības iestādes, kas kopā īsteno 25 programmas, pēc kuru apgūšanas var saņemt jūrnieka kvalifikāciju apliecinošu dokumentu. 2015./16.mācību gadā jūrniecības profesionālās izglītības programmās tika uzņemti aptuveni 500 studenti;</w:t>
            </w:r>
          </w:p>
          <w:p w14:paraId="730217A6" w14:textId="57DDD5FC" w:rsidR="00096230" w:rsidRPr="00D53507" w:rsidRDefault="00096230" w:rsidP="008337E2">
            <w:pPr>
              <w:jc w:val="both"/>
              <w:rPr>
                <w:rFonts w:ascii="Times New Roman" w:hAnsi="Times New Roman"/>
                <w:iCs/>
                <w:sz w:val="26"/>
                <w:szCs w:val="26"/>
                <w:lang w:val="lv-LV"/>
              </w:rPr>
            </w:pPr>
            <w:r w:rsidRPr="00D53507">
              <w:rPr>
                <w:rFonts w:ascii="Times New Roman" w:hAnsi="Times New Roman"/>
                <w:iCs/>
                <w:sz w:val="26"/>
                <w:szCs w:val="26"/>
                <w:lang w:val="lv-LV"/>
              </w:rPr>
              <w:t>3</w:t>
            </w:r>
            <w:r w:rsidR="002B4ADE" w:rsidRPr="00D53507">
              <w:rPr>
                <w:rFonts w:ascii="Times New Roman" w:hAnsi="Times New Roman"/>
                <w:iCs/>
                <w:sz w:val="26"/>
                <w:szCs w:val="26"/>
                <w:lang w:val="lv-LV"/>
              </w:rPr>
              <w:t>.</w:t>
            </w:r>
            <w:r w:rsidRPr="00D53507">
              <w:rPr>
                <w:rFonts w:ascii="Times New Roman" w:hAnsi="Times New Roman"/>
                <w:iCs/>
                <w:sz w:val="26"/>
                <w:szCs w:val="26"/>
                <w:lang w:val="lv-LV"/>
              </w:rPr>
              <w:t xml:space="preserve"> Latvijas ka</w:t>
            </w:r>
            <w:r w:rsidR="00FE4F64" w:rsidRPr="00D53507">
              <w:rPr>
                <w:rFonts w:ascii="Times New Roman" w:hAnsi="Times New Roman"/>
                <w:iCs/>
                <w:sz w:val="26"/>
                <w:szCs w:val="26"/>
                <w:lang w:val="lv-LV"/>
              </w:rPr>
              <w:t>roga kuģu īpašnieki</w:t>
            </w:r>
            <w:r w:rsidR="002C33CD" w:rsidRPr="00D53507">
              <w:rPr>
                <w:rFonts w:ascii="Times New Roman" w:hAnsi="Times New Roman"/>
                <w:iCs/>
                <w:sz w:val="26"/>
                <w:szCs w:val="26"/>
                <w:lang w:val="lv-LV"/>
              </w:rPr>
              <w:t>,</w:t>
            </w:r>
            <w:r w:rsidR="00FE4F64" w:rsidRPr="00D53507">
              <w:rPr>
                <w:rFonts w:ascii="Times New Roman" w:hAnsi="Times New Roman"/>
                <w:iCs/>
                <w:sz w:val="26"/>
                <w:szCs w:val="26"/>
                <w:lang w:val="lv-LV"/>
              </w:rPr>
              <w:t xml:space="preserve"> </w:t>
            </w:r>
            <w:r w:rsidR="002C33CD" w:rsidRPr="00D53507">
              <w:rPr>
                <w:rFonts w:ascii="Times New Roman" w:hAnsi="Times New Roman"/>
                <w:iCs/>
                <w:sz w:val="26"/>
                <w:szCs w:val="26"/>
                <w:lang w:val="lv-LV"/>
              </w:rPr>
              <w:t>jūrnieki, ostas kapteiņi;</w:t>
            </w:r>
          </w:p>
          <w:p w14:paraId="32523464" w14:textId="59C6151B" w:rsidR="00FE4F64" w:rsidRPr="00D53507" w:rsidRDefault="002B4ADE" w:rsidP="008337E2">
            <w:pPr>
              <w:jc w:val="both"/>
              <w:rPr>
                <w:rFonts w:ascii="Times New Roman" w:hAnsi="Times New Roman" w:cs="Times New Roman"/>
                <w:color w:val="000000" w:themeColor="text1"/>
                <w:sz w:val="26"/>
                <w:szCs w:val="26"/>
                <w:lang w:val="lv-LV"/>
              </w:rPr>
            </w:pPr>
            <w:r w:rsidRPr="00D53507">
              <w:rPr>
                <w:rFonts w:ascii="Times New Roman" w:hAnsi="Times New Roman"/>
                <w:iCs/>
                <w:sz w:val="26"/>
                <w:szCs w:val="26"/>
                <w:lang w:val="lv-LV"/>
              </w:rPr>
              <w:t>4.</w:t>
            </w:r>
            <w:r w:rsidR="00FE4F64" w:rsidRPr="00D53507">
              <w:rPr>
                <w:rFonts w:ascii="Times New Roman" w:hAnsi="Times New Roman"/>
                <w:iCs/>
                <w:sz w:val="26"/>
                <w:szCs w:val="26"/>
                <w:lang w:val="lv-LV"/>
              </w:rPr>
              <w:t xml:space="preserve"> K</w:t>
            </w:r>
            <w:r w:rsidR="00FE4F64" w:rsidRPr="00D53507">
              <w:rPr>
                <w:rFonts w:ascii="Times New Roman" w:hAnsi="Times New Roman" w:cs="Times New Roman"/>
                <w:color w:val="000000" w:themeColor="text1"/>
                <w:sz w:val="26"/>
                <w:szCs w:val="26"/>
                <w:lang w:val="lv-LV"/>
              </w:rPr>
              <w:t>onteineru kravu nosūtītāji, Latvijas ostās ienākoši kuģi, kuri uzkrauj uz kuģa konteinerus</w:t>
            </w:r>
            <w:r w:rsidR="00F935B9" w:rsidRPr="00D53507">
              <w:rPr>
                <w:rFonts w:ascii="Times New Roman" w:hAnsi="Times New Roman" w:cs="Times New Roman"/>
                <w:color w:val="000000" w:themeColor="text1"/>
                <w:sz w:val="26"/>
                <w:szCs w:val="26"/>
                <w:lang w:val="lv-LV"/>
              </w:rPr>
              <w:t>,</w:t>
            </w:r>
            <w:r w:rsidR="00300AA8" w:rsidRPr="00D53507">
              <w:rPr>
                <w:rFonts w:ascii="Times New Roman" w:hAnsi="Times New Roman" w:cs="Times New Roman"/>
                <w:color w:val="000000" w:themeColor="text1"/>
                <w:sz w:val="26"/>
                <w:szCs w:val="26"/>
                <w:lang w:val="lv-LV"/>
              </w:rPr>
              <w:t xml:space="preserve"> un kravu termināli;</w:t>
            </w:r>
          </w:p>
          <w:p w14:paraId="16B0A830" w14:textId="742941AC" w:rsidR="00B92B66" w:rsidRPr="00D53507" w:rsidRDefault="002B4ADE" w:rsidP="00822815">
            <w:pPr>
              <w:jc w:val="both"/>
              <w:rPr>
                <w:rFonts w:ascii="Times New Roman" w:hAnsi="Times New Roman" w:cs="Times New Roman"/>
                <w:sz w:val="26"/>
                <w:szCs w:val="26"/>
                <w:lang w:val="lv-LV"/>
              </w:rPr>
            </w:pPr>
            <w:r w:rsidRPr="00D53507">
              <w:rPr>
                <w:rFonts w:ascii="Times New Roman" w:hAnsi="Times New Roman" w:cs="Times New Roman"/>
                <w:color w:val="000000" w:themeColor="text1"/>
                <w:sz w:val="26"/>
                <w:szCs w:val="26"/>
                <w:lang w:val="lv-LV"/>
              </w:rPr>
              <w:t>5.</w:t>
            </w:r>
            <w:r w:rsidR="00300AA8" w:rsidRPr="00D53507">
              <w:rPr>
                <w:rFonts w:ascii="Times New Roman" w:hAnsi="Times New Roman" w:cs="Times New Roman"/>
                <w:color w:val="000000" w:themeColor="text1"/>
                <w:sz w:val="26"/>
                <w:szCs w:val="26"/>
                <w:lang w:val="lv-LV"/>
              </w:rPr>
              <w:t xml:space="preserve"> Kuģi, par kuriem </w:t>
            </w:r>
            <w:r w:rsidR="00E62CAA" w:rsidRPr="00D53507">
              <w:rPr>
                <w:rFonts w:ascii="Times New Roman" w:hAnsi="Times New Roman" w:cs="Times New Roman"/>
                <w:color w:val="000000" w:themeColor="text1"/>
                <w:sz w:val="26"/>
                <w:szCs w:val="26"/>
                <w:lang w:val="lv-LV"/>
              </w:rPr>
              <w:t xml:space="preserve">saskaņā ar JPJDL 19.pantu par ISPS prasību neievērošanu </w:t>
            </w:r>
            <w:r w:rsidR="00300AA8" w:rsidRPr="00D53507">
              <w:rPr>
                <w:rFonts w:ascii="Times New Roman" w:hAnsi="Times New Roman" w:cs="Times New Roman"/>
                <w:color w:val="000000" w:themeColor="text1"/>
                <w:sz w:val="26"/>
                <w:szCs w:val="26"/>
                <w:lang w:val="lv-LV"/>
              </w:rPr>
              <w:t>pieņemts lēmums par izraidīšanu no ostas.</w:t>
            </w:r>
          </w:p>
        </w:tc>
      </w:tr>
      <w:tr w:rsidR="00074799" w:rsidRPr="008B67C6" w14:paraId="59B65A21" w14:textId="77777777" w:rsidTr="002356E4">
        <w:trPr>
          <w:trHeight w:val="510"/>
        </w:trPr>
        <w:tc>
          <w:tcPr>
            <w:tcW w:w="250" w:type="pct"/>
            <w:hideMark/>
          </w:tcPr>
          <w:p w14:paraId="7B1A31E0"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lastRenderedPageBreak/>
              <w:t>2.</w:t>
            </w:r>
          </w:p>
        </w:tc>
        <w:tc>
          <w:tcPr>
            <w:tcW w:w="1550" w:type="pct"/>
            <w:hideMark/>
          </w:tcPr>
          <w:p w14:paraId="36F845C7"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Tiesiskā regulējuma ietekme uz tautsaimniecību un administratīvo slogu</w:t>
            </w:r>
          </w:p>
        </w:tc>
        <w:tc>
          <w:tcPr>
            <w:tcW w:w="3200" w:type="pct"/>
            <w:hideMark/>
          </w:tcPr>
          <w:p w14:paraId="2A3A7F00" w14:textId="77777777" w:rsidR="00EB0069" w:rsidRPr="005D5B72" w:rsidRDefault="00EB0069" w:rsidP="00EB0069">
            <w:pPr>
              <w:jc w:val="both"/>
              <w:rPr>
                <w:rFonts w:ascii="Times New Roman" w:hAnsi="Times New Roman"/>
                <w:sz w:val="26"/>
                <w:szCs w:val="26"/>
                <w:lang w:val="lv-LV"/>
              </w:rPr>
            </w:pPr>
            <w:r w:rsidRPr="005D5B72">
              <w:rPr>
                <w:rFonts w:ascii="Times New Roman" w:hAnsi="Times New Roman"/>
                <w:sz w:val="26"/>
                <w:szCs w:val="26"/>
                <w:lang w:val="lv-LV"/>
              </w:rPr>
              <w:t>1. Projekts palielina administratīvo slogu atzītajiem jūrnieku ārstiem, jo paredz pilnvarojumu Ministru kabinetam noteikt jūrnieku ārstu atzīšanas anulēšanas kārtību un Jūrnieku reģistra tiesības noteikt liegumu atkārtoti pretendēt uz atzītā jūrnieku ārsta statusa iegūšanu;</w:t>
            </w:r>
          </w:p>
          <w:p w14:paraId="133B0187" w14:textId="66C68B2A" w:rsidR="00074799" w:rsidRPr="005D5B72" w:rsidRDefault="008B67C6" w:rsidP="00EB0069">
            <w:pPr>
              <w:pStyle w:val="NoSpacing"/>
              <w:jc w:val="both"/>
              <w:rPr>
                <w:rFonts w:ascii="Times New Roman" w:hAnsi="Times New Roman" w:cs="Times New Roman"/>
                <w:sz w:val="26"/>
                <w:szCs w:val="26"/>
                <w:lang w:val="lv-LV"/>
              </w:rPr>
            </w:pPr>
            <w:r w:rsidRPr="005D5B72">
              <w:rPr>
                <w:rFonts w:ascii="Times New Roman" w:hAnsi="Times New Roman"/>
                <w:sz w:val="26"/>
                <w:szCs w:val="26"/>
                <w:lang w:val="lv-LV"/>
              </w:rPr>
              <w:t>2. Projekts palielina administratīvo slogu personām, kurām pirms ieskaitīšanas vai imatrikulācijas profesionālās izglītības programmā, pēc kuras apgūšanas var saņemt jūrnieka kvalifikāciju apliecinošu dokumentu, būs jāveic veselības pārbaude pie Jūrnieku reģistra atzīta jūrnieku ārsta. Veselības pārbaudes mērķis ir pārliecināties par to, vai persona ir medicīniski piemērota darbam uz kuģa izvēlētajā specialitātē, lai nākotnē novērstu gadījumus, kad personas veselības problēmas liedz pabeigt izglītības programmu un iegūt darbu jūrā, vai arī apdraud citu uz kuģa esošo personu veselību. Tādejādi ieguvums no administratīvā sloga palielināšanas ir lielāks, nekā administratīvo izmaksu slogs.</w:t>
            </w:r>
          </w:p>
        </w:tc>
      </w:tr>
      <w:tr w:rsidR="00074799" w:rsidRPr="0025359C" w14:paraId="09E0820B" w14:textId="77777777" w:rsidTr="002356E4">
        <w:trPr>
          <w:trHeight w:val="510"/>
        </w:trPr>
        <w:tc>
          <w:tcPr>
            <w:tcW w:w="250" w:type="pct"/>
            <w:hideMark/>
          </w:tcPr>
          <w:p w14:paraId="43AC85C5"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3.</w:t>
            </w:r>
          </w:p>
        </w:tc>
        <w:tc>
          <w:tcPr>
            <w:tcW w:w="1550" w:type="pct"/>
            <w:hideMark/>
          </w:tcPr>
          <w:p w14:paraId="4C94B1FA"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Administratīvo izmaksu monetārs novērtējums</w:t>
            </w:r>
          </w:p>
        </w:tc>
        <w:tc>
          <w:tcPr>
            <w:tcW w:w="3200" w:type="pct"/>
            <w:hideMark/>
          </w:tcPr>
          <w:p w14:paraId="6E2E863B" w14:textId="0F15403A" w:rsidR="00CF3A7C" w:rsidRPr="005D5B72" w:rsidRDefault="008B67C6" w:rsidP="008B67C6">
            <w:pPr>
              <w:pStyle w:val="NoSpacing"/>
              <w:jc w:val="both"/>
              <w:rPr>
                <w:rFonts w:ascii="Times New Roman" w:hAnsi="Times New Roman" w:cs="Times New Roman"/>
                <w:sz w:val="26"/>
                <w:szCs w:val="26"/>
                <w:lang w:val="lv-LV"/>
              </w:rPr>
            </w:pPr>
            <w:r w:rsidRPr="005D5B72">
              <w:rPr>
                <w:rFonts w:ascii="Times New Roman" w:hAnsi="Times New Roman"/>
                <w:sz w:val="26"/>
                <w:szCs w:val="26"/>
                <w:lang w:val="lv-LV"/>
              </w:rPr>
              <w:t>Administratīvās izmaksas gada laikā mērķgrupai, ko veido fiziskas personas, nepārsniedz 200 euro, un mērķgrupām, ko veido juridiskas personas, nepārsniedz 2000 euro.</w:t>
            </w:r>
          </w:p>
        </w:tc>
      </w:tr>
      <w:tr w:rsidR="00074799" w:rsidRPr="00D53507" w14:paraId="1969EC44" w14:textId="77777777" w:rsidTr="002356E4">
        <w:trPr>
          <w:trHeight w:val="345"/>
        </w:trPr>
        <w:tc>
          <w:tcPr>
            <w:tcW w:w="250" w:type="pct"/>
            <w:hideMark/>
          </w:tcPr>
          <w:p w14:paraId="04E9962C"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4.</w:t>
            </w:r>
          </w:p>
        </w:tc>
        <w:tc>
          <w:tcPr>
            <w:tcW w:w="1550" w:type="pct"/>
            <w:hideMark/>
          </w:tcPr>
          <w:p w14:paraId="1032D5FA" w14:textId="77777777" w:rsidR="00074799" w:rsidRPr="00D53507" w:rsidRDefault="00074799"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Cita informācija</w:t>
            </w:r>
          </w:p>
        </w:tc>
        <w:tc>
          <w:tcPr>
            <w:tcW w:w="3200" w:type="pct"/>
            <w:hideMark/>
          </w:tcPr>
          <w:p w14:paraId="09478FF2" w14:textId="77777777" w:rsidR="00E43F98" w:rsidRPr="00D53507" w:rsidRDefault="00E43F98" w:rsidP="007020AC">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Nav.</w:t>
            </w:r>
          </w:p>
        </w:tc>
      </w:tr>
    </w:tbl>
    <w:p w14:paraId="0F99ACC5" w14:textId="77777777" w:rsidR="00074799" w:rsidRPr="00D53507" w:rsidRDefault="00074799"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9576"/>
      </w:tblGrid>
      <w:tr w:rsidR="00074799" w:rsidRPr="0025359C" w14:paraId="473CC49F" w14:textId="77777777" w:rsidTr="002356E4">
        <w:trPr>
          <w:trHeight w:val="360"/>
        </w:trPr>
        <w:tc>
          <w:tcPr>
            <w:tcW w:w="0" w:type="auto"/>
            <w:hideMark/>
          </w:tcPr>
          <w:p w14:paraId="1585C0A9" w14:textId="77777777" w:rsidR="00074799" w:rsidRPr="00D53507" w:rsidRDefault="00074799" w:rsidP="003E7BE1">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III. Tiesību akta projekta ietekme uz valsts budžetu un pašvaldību budžetiem</w:t>
            </w:r>
          </w:p>
        </w:tc>
      </w:tr>
      <w:tr w:rsidR="003E7BE1" w:rsidRPr="00D53507" w14:paraId="727FEC3E" w14:textId="77777777" w:rsidTr="002356E4">
        <w:trPr>
          <w:trHeight w:val="360"/>
        </w:trPr>
        <w:tc>
          <w:tcPr>
            <w:tcW w:w="0" w:type="auto"/>
          </w:tcPr>
          <w:p w14:paraId="014FEE91" w14:textId="77777777" w:rsidR="003E7BE1" w:rsidRPr="00D53507" w:rsidRDefault="003E7BE1" w:rsidP="003E7BE1">
            <w:pPr>
              <w:pStyle w:val="NoSpacing"/>
              <w:jc w:val="center"/>
              <w:rPr>
                <w:rFonts w:ascii="Times New Roman" w:hAnsi="Times New Roman" w:cs="Times New Roman"/>
                <w:i/>
                <w:sz w:val="26"/>
                <w:szCs w:val="26"/>
                <w:lang w:val="lv-LV"/>
              </w:rPr>
            </w:pPr>
            <w:r w:rsidRPr="00D53507">
              <w:rPr>
                <w:rFonts w:ascii="Times New Roman" w:hAnsi="Times New Roman" w:cs="Times New Roman"/>
                <w:i/>
                <w:sz w:val="26"/>
                <w:szCs w:val="26"/>
                <w:lang w:val="lv-LV"/>
              </w:rPr>
              <w:t>Projekts šo jomu neskar.</w:t>
            </w:r>
          </w:p>
        </w:tc>
      </w:tr>
    </w:tbl>
    <w:p w14:paraId="3096EFE0" w14:textId="77777777" w:rsidR="00074799" w:rsidRPr="00D53507" w:rsidRDefault="00074799"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479"/>
        <w:gridCol w:w="2777"/>
        <w:gridCol w:w="6320"/>
      </w:tblGrid>
      <w:tr w:rsidR="00074799" w:rsidRPr="0025359C" w14:paraId="42FCAA58" w14:textId="77777777" w:rsidTr="002356E4">
        <w:trPr>
          <w:trHeight w:val="450"/>
        </w:trPr>
        <w:tc>
          <w:tcPr>
            <w:tcW w:w="0" w:type="auto"/>
            <w:gridSpan w:val="3"/>
            <w:hideMark/>
          </w:tcPr>
          <w:p w14:paraId="297D323A" w14:textId="77777777" w:rsidR="00687DF2" w:rsidRPr="00D53507" w:rsidRDefault="00074799" w:rsidP="00687DF2">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IV. Tiesību akta projekta ietekme uz spēkā esošo tiesību normu sistēmu</w:t>
            </w:r>
          </w:p>
        </w:tc>
      </w:tr>
      <w:tr w:rsidR="00074799" w:rsidRPr="0025359C" w14:paraId="1812A39D" w14:textId="77777777" w:rsidTr="004217D3">
        <w:trPr>
          <w:trHeight w:val="9913"/>
        </w:trPr>
        <w:tc>
          <w:tcPr>
            <w:tcW w:w="250" w:type="pct"/>
            <w:hideMark/>
          </w:tcPr>
          <w:p w14:paraId="721FD28C" w14:textId="77777777" w:rsidR="00074799" w:rsidRPr="00D53507" w:rsidRDefault="00074799" w:rsidP="00463857">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1.</w:t>
            </w:r>
          </w:p>
        </w:tc>
        <w:tc>
          <w:tcPr>
            <w:tcW w:w="1450" w:type="pct"/>
            <w:hideMark/>
          </w:tcPr>
          <w:p w14:paraId="49DD4A3B" w14:textId="77777777" w:rsidR="00074799" w:rsidRPr="00D53507" w:rsidRDefault="00074799" w:rsidP="00463857">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Nepieciešamie saistītie tiesību aktu projekti</w:t>
            </w:r>
          </w:p>
        </w:tc>
        <w:tc>
          <w:tcPr>
            <w:tcW w:w="3300" w:type="pct"/>
            <w:hideMark/>
          </w:tcPr>
          <w:p w14:paraId="49759F90" w14:textId="53ED407D" w:rsidR="003640AF" w:rsidRPr="00D53507" w:rsidRDefault="005B7256" w:rsidP="003640AF">
            <w:pPr>
              <w:pStyle w:val="NoSpacing"/>
              <w:jc w:val="both"/>
              <w:rPr>
                <w:rFonts w:ascii="Times New Roman" w:hAnsi="Times New Roman"/>
                <w:sz w:val="26"/>
                <w:szCs w:val="26"/>
                <w:lang w:val="lv-LV"/>
              </w:rPr>
            </w:pPr>
            <w:r w:rsidRPr="00D53507">
              <w:rPr>
                <w:rFonts w:ascii="Times New Roman" w:hAnsi="Times New Roman"/>
                <w:sz w:val="26"/>
                <w:szCs w:val="26"/>
                <w:lang w:val="lv-LV"/>
              </w:rPr>
              <w:t>1.</w:t>
            </w:r>
            <w:r w:rsidR="003640AF" w:rsidRPr="00D53507">
              <w:rPr>
                <w:rFonts w:ascii="Times New Roman" w:hAnsi="Times New Roman"/>
                <w:sz w:val="26"/>
                <w:szCs w:val="26"/>
                <w:lang w:val="lv-LV"/>
              </w:rPr>
              <w:t xml:space="preserve"> </w:t>
            </w:r>
            <w:r w:rsidR="003640AF" w:rsidRPr="00D53507">
              <w:rPr>
                <w:rFonts w:ascii="Times New Roman" w:hAnsi="Times New Roman" w:cs="Times New Roman"/>
                <w:sz w:val="26"/>
                <w:szCs w:val="26"/>
                <w:lang w:val="lv-LV"/>
              </w:rPr>
              <w:t>Grozījumi Ministru kabineta 2008.gada 25.marta noteikumos Nr.201 “Noteikumi par atpūtas kuģu drošību”.</w:t>
            </w:r>
          </w:p>
          <w:p w14:paraId="407720E4" w14:textId="77777777" w:rsidR="003640AF" w:rsidRPr="00D53507" w:rsidRDefault="003640AF" w:rsidP="003640AF">
            <w:pPr>
              <w:pStyle w:val="NoSpacing"/>
              <w:jc w:val="both"/>
              <w:rPr>
                <w:rFonts w:ascii="Times New Roman" w:hAnsi="Times New Roman"/>
                <w:sz w:val="26"/>
                <w:szCs w:val="26"/>
                <w:lang w:val="lv-LV"/>
              </w:rPr>
            </w:pPr>
            <w:r w:rsidRPr="00D53507">
              <w:rPr>
                <w:rFonts w:ascii="Times New Roman" w:hAnsi="Times New Roman"/>
                <w:sz w:val="26"/>
                <w:szCs w:val="26"/>
                <w:lang w:val="lv-LV"/>
              </w:rPr>
              <w:t>Grozījumi tiks veikti, papildinot noteikumus ar nosacījumiem, kā personai, kas veic atpūtas kuģu vai ūdens motociklu būvi Latvijas Republikā, tiek pi</w:t>
            </w:r>
            <w:r w:rsidR="009D259D" w:rsidRPr="00D53507">
              <w:rPr>
                <w:rFonts w:ascii="Times New Roman" w:hAnsi="Times New Roman"/>
                <w:sz w:val="26"/>
                <w:szCs w:val="26"/>
                <w:lang w:val="lv-LV"/>
              </w:rPr>
              <w:t>ešķirts vienotais ražotāja kods;</w:t>
            </w:r>
          </w:p>
          <w:p w14:paraId="3535B2E8" w14:textId="4B717656" w:rsidR="006F06BC" w:rsidRPr="00D53507" w:rsidRDefault="005B7256" w:rsidP="006F06BC">
            <w:pPr>
              <w:pStyle w:val="NoSpacing"/>
              <w:jc w:val="both"/>
              <w:rPr>
                <w:rFonts w:ascii="Times New Roman" w:hAnsi="Times New Roman"/>
                <w:bCs/>
                <w:color w:val="000000" w:themeColor="text1"/>
                <w:sz w:val="26"/>
                <w:szCs w:val="26"/>
                <w:lang w:val="lv-LV"/>
              </w:rPr>
            </w:pPr>
            <w:r w:rsidRPr="00D53507">
              <w:rPr>
                <w:rFonts w:ascii="Times New Roman" w:hAnsi="Times New Roman"/>
                <w:bCs/>
                <w:color w:val="000000" w:themeColor="text1"/>
                <w:sz w:val="26"/>
                <w:szCs w:val="26"/>
                <w:lang w:val="lv-LV"/>
              </w:rPr>
              <w:t>2.</w:t>
            </w:r>
            <w:r w:rsidR="006F06BC" w:rsidRPr="00D53507">
              <w:rPr>
                <w:rFonts w:ascii="Times New Roman" w:hAnsi="Times New Roman"/>
                <w:bCs/>
                <w:color w:val="000000" w:themeColor="text1"/>
                <w:sz w:val="26"/>
                <w:szCs w:val="26"/>
                <w:lang w:val="lv-LV"/>
              </w:rPr>
              <w:t xml:space="preserve"> Grozījumi </w:t>
            </w:r>
            <w:r w:rsidR="006F06BC" w:rsidRPr="00D53507">
              <w:rPr>
                <w:rFonts w:ascii="Times New Roman" w:hAnsi="Times New Roman"/>
                <w:color w:val="000000" w:themeColor="text1"/>
                <w:sz w:val="26"/>
                <w:szCs w:val="26"/>
                <w:lang w:val="lv-LV"/>
              </w:rPr>
              <w:t>Ministru kabineta 2012.gada 20.marta</w:t>
            </w:r>
            <w:r w:rsidR="006F06BC" w:rsidRPr="00D53507">
              <w:rPr>
                <w:rFonts w:ascii="Times New Roman" w:hAnsi="Times New Roman" w:cs="Times New Roman"/>
                <w:color w:val="000000" w:themeColor="text1"/>
                <w:sz w:val="26"/>
                <w:szCs w:val="26"/>
                <w:lang w:val="lv-LV"/>
              </w:rPr>
              <w:t xml:space="preserve"> </w:t>
            </w:r>
            <w:r w:rsidR="006F06BC" w:rsidRPr="00D53507">
              <w:rPr>
                <w:rFonts w:ascii="Times New Roman" w:hAnsi="Times New Roman"/>
                <w:color w:val="000000" w:themeColor="text1"/>
                <w:sz w:val="26"/>
                <w:szCs w:val="26"/>
                <w:lang w:val="lv-LV"/>
              </w:rPr>
              <w:t>noteikumos</w:t>
            </w:r>
            <w:r w:rsidR="006F06BC" w:rsidRPr="00D53507">
              <w:rPr>
                <w:rFonts w:ascii="Times New Roman" w:hAnsi="Times New Roman" w:cs="Times New Roman"/>
                <w:color w:val="000000" w:themeColor="text1"/>
                <w:sz w:val="26"/>
                <w:szCs w:val="26"/>
                <w:lang w:val="lv-LV"/>
              </w:rPr>
              <w:t xml:space="preserve"> Nr.185 „Jūrnieku ārstu atzīšanas kārtība”</w:t>
            </w:r>
            <w:r w:rsidR="006F06BC" w:rsidRPr="00D53507">
              <w:rPr>
                <w:rFonts w:ascii="Times New Roman" w:hAnsi="Times New Roman"/>
                <w:color w:val="000000" w:themeColor="text1"/>
                <w:sz w:val="26"/>
                <w:szCs w:val="26"/>
                <w:lang w:val="lv-LV"/>
              </w:rPr>
              <w:t>.</w:t>
            </w:r>
          </w:p>
          <w:p w14:paraId="681D2D38" w14:textId="77777777" w:rsidR="003D4297" w:rsidRPr="00D53507" w:rsidRDefault="006F06BC" w:rsidP="006F06BC">
            <w:pPr>
              <w:pStyle w:val="NoSpacing"/>
              <w:framePr w:hSpace="180" w:wrap="around" w:vAnchor="text" w:hAnchor="margin" w:x="-17" w:y="25"/>
              <w:jc w:val="both"/>
              <w:rPr>
                <w:rFonts w:ascii="Times New Roman" w:hAnsi="Times New Roman"/>
                <w:bCs/>
                <w:color w:val="000000" w:themeColor="text1"/>
                <w:sz w:val="26"/>
                <w:szCs w:val="26"/>
                <w:lang w:val="lv-LV"/>
              </w:rPr>
            </w:pPr>
            <w:r w:rsidRPr="00D53507">
              <w:rPr>
                <w:rFonts w:ascii="Times New Roman" w:hAnsi="Times New Roman"/>
                <w:bCs/>
                <w:color w:val="000000" w:themeColor="text1"/>
                <w:sz w:val="26"/>
                <w:szCs w:val="26"/>
                <w:lang w:val="lv-LV"/>
              </w:rPr>
              <w:t>Grozījumi tiks veikti, lai papildinātu noteikumus ar jaunu nodaļu par jūrnieku ārstu atzīšanas anulēšanas kārtību un lieguma noteikšanu atkārtoti prete</w:t>
            </w:r>
            <w:r w:rsidR="00C50BF2" w:rsidRPr="00D53507">
              <w:rPr>
                <w:rFonts w:ascii="Times New Roman" w:hAnsi="Times New Roman"/>
                <w:bCs/>
                <w:color w:val="000000" w:themeColor="text1"/>
                <w:sz w:val="26"/>
                <w:szCs w:val="26"/>
                <w:lang w:val="lv-LV"/>
              </w:rPr>
              <w:t>ndēt uz jūrnieku ārsta atzīšanu;</w:t>
            </w:r>
          </w:p>
          <w:p w14:paraId="425CAD5D" w14:textId="3D37D14F" w:rsidR="000834AB" w:rsidRPr="00D53507" w:rsidRDefault="005B7256" w:rsidP="000834AB">
            <w:pPr>
              <w:pStyle w:val="NoSpacing"/>
              <w:jc w:val="both"/>
              <w:rPr>
                <w:rFonts w:ascii="Times New Roman" w:hAnsi="Times New Roman" w:cs="Times New Roman"/>
                <w:color w:val="000000" w:themeColor="text1"/>
                <w:sz w:val="26"/>
                <w:szCs w:val="26"/>
                <w:lang w:val="lv-LV"/>
              </w:rPr>
            </w:pPr>
            <w:r w:rsidRPr="00D53507">
              <w:rPr>
                <w:rFonts w:ascii="Times New Roman" w:hAnsi="Times New Roman"/>
                <w:bCs/>
                <w:color w:val="000000" w:themeColor="text1"/>
                <w:sz w:val="26"/>
                <w:szCs w:val="26"/>
                <w:lang w:val="lv-LV"/>
              </w:rPr>
              <w:t>3.</w:t>
            </w:r>
            <w:r w:rsidR="000834AB" w:rsidRPr="00D53507">
              <w:rPr>
                <w:rFonts w:ascii="Times New Roman" w:hAnsi="Times New Roman"/>
                <w:bCs/>
                <w:color w:val="000000" w:themeColor="text1"/>
                <w:sz w:val="26"/>
                <w:szCs w:val="26"/>
                <w:lang w:val="lv-LV"/>
              </w:rPr>
              <w:t xml:space="preserve"> Atbilstoši projektā iekļautajam deleģējumam (</w:t>
            </w:r>
            <w:r w:rsidR="000834AB" w:rsidRPr="00D53507">
              <w:rPr>
                <w:rFonts w:ascii="Times New Roman" w:hAnsi="Times New Roman" w:cs="Times New Roman"/>
                <w:bCs/>
                <w:color w:val="000000" w:themeColor="text1"/>
                <w:sz w:val="26"/>
                <w:szCs w:val="26"/>
                <w:lang w:val="lv-LV"/>
              </w:rPr>
              <w:t>grozījumiem, kas paredz papildin</w:t>
            </w:r>
            <w:r w:rsidR="00B304C6" w:rsidRPr="00D53507">
              <w:rPr>
                <w:rFonts w:ascii="Times New Roman" w:hAnsi="Times New Roman" w:cs="Times New Roman"/>
                <w:bCs/>
                <w:color w:val="000000" w:themeColor="text1"/>
                <w:sz w:val="26"/>
                <w:szCs w:val="26"/>
                <w:lang w:val="lv-LV"/>
              </w:rPr>
              <w:t>āt JPJDL 19.panta ceturto daļu</w:t>
            </w:r>
            <w:r w:rsidR="000834AB" w:rsidRPr="00D53507">
              <w:rPr>
                <w:rFonts w:ascii="Times New Roman" w:hAnsi="Times New Roman" w:cs="Times New Roman"/>
                <w:bCs/>
                <w:color w:val="000000" w:themeColor="text1"/>
                <w:sz w:val="26"/>
                <w:szCs w:val="26"/>
                <w:lang w:val="lv-LV"/>
              </w:rPr>
              <w:t xml:space="preserve">), tiks izstrādāti </w:t>
            </w:r>
            <w:r w:rsidR="000834AB" w:rsidRPr="00D53507">
              <w:rPr>
                <w:rFonts w:ascii="Times New Roman" w:hAnsi="Times New Roman" w:cs="Times New Roman"/>
                <w:color w:val="000000" w:themeColor="text1"/>
                <w:sz w:val="26"/>
                <w:szCs w:val="26"/>
                <w:lang w:val="lv-LV"/>
              </w:rPr>
              <w:t>Ministru</w:t>
            </w:r>
            <w:r w:rsidR="00C50BF2" w:rsidRPr="00D53507">
              <w:rPr>
                <w:rFonts w:ascii="Times New Roman" w:hAnsi="Times New Roman" w:cs="Times New Roman"/>
                <w:color w:val="000000" w:themeColor="text1"/>
                <w:sz w:val="26"/>
                <w:szCs w:val="26"/>
                <w:lang w:val="lv-LV"/>
              </w:rPr>
              <w:t xml:space="preserve"> kabineta noteikumi par kārtību,</w:t>
            </w:r>
            <w:r w:rsidR="009E2AB8" w:rsidRPr="00D53507">
              <w:rPr>
                <w:rFonts w:ascii="Times New Roman" w:hAnsi="Times New Roman" w:cs="Times New Roman"/>
                <w:sz w:val="26"/>
                <w:szCs w:val="26"/>
                <w:lang w:val="lv-LV"/>
              </w:rPr>
              <w:t xml:space="preserve"> kādā Krasta apsardze nodrošina lēmuma par kuģa izraidīšanu no ostas izpildi</w:t>
            </w:r>
            <w:r w:rsidR="00E34FBA" w:rsidRPr="00D53507">
              <w:rPr>
                <w:rFonts w:ascii="Times New Roman" w:hAnsi="Times New Roman" w:cs="Times New Roman"/>
                <w:sz w:val="26"/>
                <w:szCs w:val="26"/>
                <w:lang w:val="lv-LV"/>
              </w:rPr>
              <w:t>;</w:t>
            </w:r>
          </w:p>
          <w:p w14:paraId="78739176" w14:textId="79165120" w:rsidR="002019B8" w:rsidRDefault="000834AB" w:rsidP="002019B8">
            <w:pPr>
              <w:pStyle w:val="NoSpacing"/>
              <w:jc w:val="both"/>
              <w:rPr>
                <w:rFonts w:ascii="Times New Roman" w:hAnsi="Times New Roman"/>
                <w:bCs/>
                <w:color w:val="000000" w:themeColor="text1"/>
                <w:sz w:val="26"/>
                <w:szCs w:val="26"/>
                <w:lang w:val="lv-LV"/>
              </w:rPr>
            </w:pPr>
            <w:r w:rsidRPr="00D53507">
              <w:rPr>
                <w:rFonts w:ascii="Times New Roman" w:hAnsi="Times New Roman"/>
                <w:bCs/>
                <w:color w:val="000000" w:themeColor="text1"/>
                <w:sz w:val="26"/>
                <w:szCs w:val="26"/>
                <w:lang w:val="lv-LV"/>
              </w:rPr>
              <w:t>4</w:t>
            </w:r>
            <w:r w:rsidR="005B7256" w:rsidRPr="00D53507">
              <w:rPr>
                <w:rFonts w:ascii="Times New Roman" w:hAnsi="Times New Roman"/>
                <w:bCs/>
                <w:color w:val="000000" w:themeColor="text1"/>
                <w:sz w:val="26"/>
                <w:szCs w:val="26"/>
                <w:lang w:val="lv-LV"/>
              </w:rPr>
              <w:t>.</w:t>
            </w:r>
            <w:r w:rsidR="002019B8" w:rsidRPr="00D53507">
              <w:rPr>
                <w:rFonts w:ascii="Times New Roman" w:hAnsi="Times New Roman"/>
                <w:bCs/>
                <w:color w:val="000000" w:themeColor="text1"/>
                <w:sz w:val="26"/>
                <w:szCs w:val="26"/>
                <w:lang w:val="lv-LV"/>
              </w:rPr>
              <w:t xml:space="preserve"> Atbilstoši projektā iekļautajam deleģējumam (grozījumiem, kas paredz JPJDL papildināt ar 37.</w:t>
            </w:r>
            <w:r w:rsidR="002019B8" w:rsidRPr="00D53507">
              <w:rPr>
                <w:rFonts w:ascii="Times New Roman" w:hAnsi="Times New Roman"/>
                <w:bCs/>
                <w:color w:val="000000" w:themeColor="text1"/>
                <w:sz w:val="26"/>
                <w:szCs w:val="26"/>
                <w:vertAlign w:val="superscript"/>
                <w:lang w:val="lv-LV"/>
              </w:rPr>
              <w:t xml:space="preserve">1 </w:t>
            </w:r>
            <w:r w:rsidR="002019B8" w:rsidRPr="00D53507">
              <w:rPr>
                <w:rFonts w:ascii="Times New Roman" w:hAnsi="Times New Roman"/>
                <w:bCs/>
                <w:color w:val="000000" w:themeColor="text1"/>
                <w:sz w:val="26"/>
                <w:szCs w:val="26"/>
                <w:lang w:val="lv-LV"/>
              </w:rPr>
              <w:t>pantu) tiks izstrādā</w:t>
            </w:r>
            <w:r w:rsidR="00C50BF2" w:rsidRPr="00D53507">
              <w:rPr>
                <w:rFonts w:ascii="Times New Roman" w:hAnsi="Times New Roman"/>
                <w:bCs/>
                <w:color w:val="000000" w:themeColor="text1"/>
                <w:sz w:val="26"/>
                <w:szCs w:val="26"/>
                <w:lang w:val="lv-LV"/>
              </w:rPr>
              <w:t xml:space="preserve">ti Ministru kabineta noteikumi </w:t>
            </w:r>
            <w:r w:rsidR="002019B8" w:rsidRPr="00D53507">
              <w:rPr>
                <w:rFonts w:ascii="Times New Roman" w:hAnsi="Times New Roman"/>
                <w:bCs/>
                <w:color w:val="000000" w:themeColor="text1"/>
                <w:sz w:val="26"/>
                <w:szCs w:val="26"/>
                <w:lang w:val="lv-LV"/>
              </w:rPr>
              <w:t xml:space="preserve">par konteineru verificētās </w:t>
            </w:r>
            <w:r w:rsidR="00D7797E">
              <w:rPr>
                <w:rFonts w:ascii="Times New Roman" w:hAnsi="Times New Roman"/>
                <w:bCs/>
                <w:color w:val="000000" w:themeColor="text1"/>
                <w:sz w:val="26"/>
                <w:szCs w:val="26"/>
                <w:lang w:val="lv-LV"/>
              </w:rPr>
              <w:t>bruto masas noteikšanas</w:t>
            </w:r>
            <w:r w:rsidR="004217D3">
              <w:rPr>
                <w:rFonts w:ascii="Times New Roman" w:hAnsi="Times New Roman"/>
                <w:bCs/>
                <w:color w:val="000000" w:themeColor="text1"/>
                <w:sz w:val="26"/>
                <w:szCs w:val="26"/>
                <w:lang w:val="lv-LV"/>
              </w:rPr>
              <w:t>, paziņošanas un kontroles</w:t>
            </w:r>
            <w:r w:rsidR="00D7797E">
              <w:rPr>
                <w:rFonts w:ascii="Times New Roman" w:hAnsi="Times New Roman"/>
                <w:bCs/>
                <w:color w:val="000000" w:themeColor="text1"/>
                <w:sz w:val="26"/>
                <w:szCs w:val="26"/>
                <w:lang w:val="lv-LV"/>
              </w:rPr>
              <w:t xml:space="preserve"> kārtību;</w:t>
            </w:r>
          </w:p>
          <w:p w14:paraId="189C4DD3" w14:textId="77777777" w:rsidR="00D7797E" w:rsidRPr="005D5B72" w:rsidRDefault="00D7797E" w:rsidP="00D7797E">
            <w:pPr>
              <w:pStyle w:val="NoSpacing"/>
              <w:jc w:val="both"/>
              <w:rPr>
                <w:rFonts w:ascii="Times New Roman" w:hAnsi="Times New Roman"/>
                <w:bCs/>
                <w:color w:val="000000" w:themeColor="text1"/>
                <w:sz w:val="26"/>
                <w:szCs w:val="26"/>
                <w:lang w:val="lv-LV"/>
              </w:rPr>
            </w:pPr>
            <w:r w:rsidRPr="005D5B72">
              <w:rPr>
                <w:rFonts w:ascii="Times New Roman" w:hAnsi="Times New Roman"/>
                <w:bCs/>
                <w:color w:val="000000" w:themeColor="text1"/>
                <w:sz w:val="26"/>
                <w:szCs w:val="26"/>
                <w:lang w:val="lv-LV"/>
              </w:rPr>
              <w:t xml:space="preserve">5. Grozījumi Ministru kabineta 2014.gada 3.jūnija noteikumos Nr.273 „Noteikumi par jūrnieku veselības atbilstību darbam uz kuģa”. </w:t>
            </w:r>
          </w:p>
          <w:p w14:paraId="2C0E1C96" w14:textId="3F625C5D" w:rsidR="00D7797E" w:rsidRPr="005D5B72" w:rsidRDefault="00D7797E" w:rsidP="00D7797E">
            <w:pPr>
              <w:pStyle w:val="NoSpacing"/>
              <w:jc w:val="both"/>
              <w:rPr>
                <w:rFonts w:ascii="Times New Roman" w:hAnsi="Times New Roman"/>
                <w:bCs/>
                <w:color w:val="000000" w:themeColor="text1"/>
                <w:sz w:val="26"/>
                <w:szCs w:val="26"/>
                <w:lang w:val="lv-LV"/>
              </w:rPr>
            </w:pPr>
            <w:r w:rsidRPr="005D5B72">
              <w:rPr>
                <w:rFonts w:ascii="Times New Roman" w:hAnsi="Times New Roman"/>
                <w:bCs/>
                <w:color w:val="000000" w:themeColor="text1"/>
                <w:sz w:val="26"/>
                <w:szCs w:val="26"/>
                <w:lang w:val="lv-LV"/>
              </w:rPr>
              <w:t>Grozījumi tiks veikti, nosakot, ka kārtība, kādā veicamas veselības pārbaudes jūrnieku kvalifikācijas pretendentiem un kritēriji, pēc kādiem jūrnieku veselības pārbaudē konstatējama jūrnieku kvalifikācijas pretendentu veselības atbilstība darbam uz kuģa, būs identiski ar kārtību un kritērijiem, kas noteikti esošo jūrnieku veselības pārbaudēm.</w:t>
            </w:r>
          </w:p>
          <w:p w14:paraId="04A0636B" w14:textId="77777777" w:rsidR="003640AF" w:rsidRPr="00D53507" w:rsidRDefault="003640AF" w:rsidP="003640AF">
            <w:pPr>
              <w:pStyle w:val="NoSpacing"/>
              <w:framePr w:hSpace="180" w:wrap="around" w:vAnchor="text" w:hAnchor="margin" w:x="-17" w:y="25"/>
              <w:jc w:val="both"/>
              <w:rPr>
                <w:rFonts w:ascii="Times New Roman" w:hAnsi="Times New Roman" w:cs="Times New Roman"/>
                <w:sz w:val="26"/>
                <w:szCs w:val="26"/>
                <w:lang w:val="lv-LV"/>
              </w:rPr>
            </w:pPr>
          </w:p>
        </w:tc>
      </w:tr>
      <w:tr w:rsidR="00074799" w:rsidRPr="00D53507" w14:paraId="7DFC780B" w14:textId="77777777" w:rsidTr="002356E4">
        <w:tc>
          <w:tcPr>
            <w:tcW w:w="250" w:type="pct"/>
            <w:hideMark/>
          </w:tcPr>
          <w:p w14:paraId="1E1B8A2A" w14:textId="346B7611" w:rsidR="00074799" w:rsidRPr="00D53507" w:rsidRDefault="00074799" w:rsidP="00463857">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2.</w:t>
            </w:r>
          </w:p>
        </w:tc>
        <w:tc>
          <w:tcPr>
            <w:tcW w:w="1450" w:type="pct"/>
            <w:hideMark/>
          </w:tcPr>
          <w:p w14:paraId="219035B7" w14:textId="77777777" w:rsidR="00074799" w:rsidRPr="00D53507" w:rsidRDefault="00074799" w:rsidP="00463857">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Atbildīgā institūcija</w:t>
            </w:r>
          </w:p>
        </w:tc>
        <w:tc>
          <w:tcPr>
            <w:tcW w:w="3300" w:type="pct"/>
            <w:hideMark/>
          </w:tcPr>
          <w:p w14:paraId="346979C2" w14:textId="3A9F3EE5" w:rsidR="003A46B6" w:rsidRPr="00D53507" w:rsidRDefault="00062E6E" w:rsidP="001869BB">
            <w:pPr>
              <w:pStyle w:val="naiskr"/>
              <w:spacing w:before="0" w:after="0"/>
              <w:jc w:val="both"/>
              <w:rPr>
                <w:sz w:val="26"/>
                <w:szCs w:val="26"/>
              </w:rPr>
            </w:pPr>
            <w:r w:rsidRPr="00D53507">
              <w:rPr>
                <w:sz w:val="26"/>
                <w:szCs w:val="26"/>
              </w:rPr>
              <w:t>1.</w:t>
            </w:r>
            <w:r w:rsidR="00C50BF2" w:rsidRPr="00D53507">
              <w:rPr>
                <w:sz w:val="26"/>
                <w:szCs w:val="26"/>
              </w:rPr>
              <w:t xml:space="preserve"> Satiksmes ministrija un </w:t>
            </w:r>
            <w:r w:rsidR="003640AF" w:rsidRPr="00D53507">
              <w:rPr>
                <w:sz w:val="26"/>
                <w:szCs w:val="26"/>
              </w:rPr>
              <w:t xml:space="preserve">VAS </w:t>
            </w:r>
            <w:r w:rsidR="00C50BF2" w:rsidRPr="00D53507">
              <w:rPr>
                <w:sz w:val="26"/>
                <w:szCs w:val="26"/>
              </w:rPr>
              <w:t>“Latvijas Jūras administrācija” (par šīs sadaļas 1.punkt</w:t>
            </w:r>
            <w:r w:rsidR="00972FC0" w:rsidRPr="00D53507">
              <w:rPr>
                <w:sz w:val="26"/>
                <w:szCs w:val="26"/>
              </w:rPr>
              <w:t>a</w:t>
            </w:r>
            <w:r w:rsidR="00C50BF2" w:rsidRPr="00D53507">
              <w:rPr>
                <w:sz w:val="26"/>
                <w:szCs w:val="26"/>
              </w:rPr>
              <w:t xml:space="preserve"> 1</w:t>
            </w:r>
            <w:r w:rsidR="00972FC0" w:rsidRPr="00D53507">
              <w:rPr>
                <w:sz w:val="26"/>
                <w:szCs w:val="26"/>
              </w:rPr>
              <w:t>.</w:t>
            </w:r>
            <w:r w:rsidR="00C50BF2" w:rsidRPr="00D53507">
              <w:rPr>
                <w:sz w:val="26"/>
                <w:szCs w:val="26"/>
              </w:rPr>
              <w:t>, 2</w:t>
            </w:r>
            <w:r w:rsidR="00972FC0" w:rsidRPr="00D53507">
              <w:rPr>
                <w:sz w:val="26"/>
                <w:szCs w:val="26"/>
              </w:rPr>
              <w:t>.</w:t>
            </w:r>
            <w:r w:rsidR="006424B2">
              <w:rPr>
                <w:sz w:val="26"/>
                <w:szCs w:val="26"/>
              </w:rPr>
              <w:t xml:space="preserve">, </w:t>
            </w:r>
            <w:r w:rsidR="00C50BF2" w:rsidRPr="00D53507">
              <w:rPr>
                <w:sz w:val="26"/>
                <w:szCs w:val="26"/>
              </w:rPr>
              <w:t>4.</w:t>
            </w:r>
            <w:r w:rsidR="00972FC0" w:rsidRPr="00D53507">
              <w:rPr>
                <w:sz w:val="26"/>
                <w:szCs w:val="26"/>
              </w:rPr>
              <w:t xml:space="preserve"> </w:t>
            </w:r>
            <w:r w:rsidR="006424B2">
              <w:rPr>
                <w:sz w:val="26"/>
                <w:szCs w:val="26"/>
              </w:rPr>
              <w:t xml:space="preserve">un 5. </w:t>
            </w:r>
            <w:r w:rsidR="00972FC0" w:rsidRPr="00D53507">
              <w:rPr>
                <w:sz w:val="26"/>
                <w:szCs w:val="26"/>
              </w:rPr>
              <w:t>apakš</w:t>
            </w:r>
            <w:r w:rsidR="00C50BF2" w:rsidRPr="00D53507">
              <w:rPr>
                <w:sz w:val="26"/>
                <w:szCs w:val="26"/>
              </w:rPr>
              <w:t>punktu</w:t>
            </w:r>
            <w:r w:rsidR="00AF165F" w:rsidRPr="00D53507">
              <w:rPr>
                <w:sz w:val="26"/>
                <w:szCs w:val="26"/>
              </w:rPr>
              <w:t>);</w:t>
            </w:r>
          </w:p>
          <w:p w14:paraId="4D70DDDE" w14:textId="514926F7" w:rsidR="00C50BF2" w:rsidRPr="00D53507" w:rsidRDefault="00062E6E" w:rsidP="006F1C1B">
            <w:pPr>
              <w:pStyle w:val="naiskr"/>
              <w:spacing w:before="0" w:after="0"/>
              <w:jc w:val="both"/>
              <w:rPr>
                <w:sz w:val="26"/>
                <w:szCs w:val="26"/>
              </w:rPr>
            </w:pPr>
            <w:r w:rsidRPr="00D53507">
              <w:rPr>
                <w:sz w:val="26"/>
                <w:szCs w:val="26"/>
              </w:rPr>
              <w:t>2.</w:t>
            </w:r>
            <w:r w:rsidR="00C50BF2" w:rsidRPr="00D53507">
              <w:rPr>
                <w:sz w:val="26"/>
                <w:szCs w:val="26"/>
              </w:rPr>
              <w:t xml:space="preserve"> Aizsardzības ministrija (par šīs </w:t>
            </w:r>
            <w:r w:rsidR="00E23620" w:rsidRPr="00D53507">
              <w:rPr>
                <w:sz w:val="26"/>
                <w:szCs w:val="26"/>
              </w:rPr>
              <w:t>sa</w:t>
            </w:r>
            <w:r w:rsidR="00C50BF2" w:rsidRPr="00D53507">
              <w:rPr>
                <w:sz w:val="26"/>
                <w:szCs w:val="26"/>
              </w:rPr>
              <w:t>da</w:t>
            </w:r>
            <w:r w:rsidR="00E23620" w:rsidRPr="00D53507">
              <w:rPr>
                <w:sz w:val="26"/>
                <w:szCs w:val="26"/>
              </w:rPr>
              <w:t>ļas 1.punkt</w:t>
            </w:r>
            <w:r w:rsidR="00B45F3B" w:rsidRPr="00D53507">
              <w:rPr>
                <w:sz w:val="26"/>
                <w:szCs w:val="26"/>
              </w:rPr>
              <w:t>a</w:t>
            </w:r>
            <w:r w:rsidR="00E23620" w:rsidRPr="00D53507">
              <w:rPr>
                <w:sz w:val="26"/>
                <w:szCs w:val="26"/>
              </w:rPr>
              <w:t xml:space="preserve"> 3</w:t>
            </w:r>
            <w:r w:rsidR="00CC34D3" w:rsidRPr="00D53507">
              <w:rPr>
                <w:sz w:val="26"/>
                <w:szCs w:val="26"/>
              </w:rPr>
              <w:t>.</w:t>
            </w:r>
            <w:r w:rsidR="00E23620" w:rsidRPr="00D53507">
              <w:rPr>
                <w:sz w:val="26"/>
                <w:szCs w:val="26"/>
              </w:rPr>
              <w:t xml:space="preserve"> </w:t>
            </w:r>
            <w:r w:rsidR="00B45F3B" w:rsidRPr="00D53507">
              <w:rPr>
                <w:sz w:val="26"/>
                <w:szCs w:val="26"/>
              </w:rPr>
              <w:t>apakšpunktu).</w:t>
            </w:r>
          </w:p>
        </w:tc>
      </w:tr>
      <w:tr w:rsidR="00074799" w:rsidRPr="00D53507" w14:paraId="16486D57" w14:textId="77777777" w:rsidTr="003640AF">
        <w:tc>
          <w:tcPr>
            <w:tcW w:w="250" w:type="pct"/>
            <w:hideMark/>
          </w:tcPr>
          <w:p w14:paraId="59963B80" w14:textId="77777777" w:rsidR="00074799" w:rsidRPr="00D53507" w:rsidRDefault="00074799" w:rsidP="00463857">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3.</w:t>
            </w:r>
          </w:p>
        </w:tc>
        <w:tc>
          <w:tcPr>
            <w:tcW w:w="1450" w:type="pct"/>
            <w:hideMark/>
          </w:tcPr>
          <w:p w14:paraId="737580ED" w14:textId="77777777" w:rsidR="00074799" w:rsidRPr="00D53507" w:rsidRDefault="00074799" w:rsidP="00463857">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Cita informācija</w:t>
            </w:r>
          </w:p>
        </w:tc>
        <w:tc>
          <w:tcPr>
            <w:tcW w:w="3300" w:type="pct"/>
          </w:tcPr>
          <w:p w14:paraId="7DE005B8" w14:textId="77777777" w:rsidR="00FC2A7A" w:rsidRPr="00D53507" w:rsidRDefault="003640AF" w:rsidP="003357E6">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Nav.</w:t>
            </w:r>
          </w:p>
        </w:tc>
      </w:tr>
    </w:tbl>
    <w:p w14:paraId="7E68B8AE" w14:textId="77777777" w:rsidR="00CC34D3" w:rsidRPr="00D53507" w:rsidRDefault="00CC34D3" w:rsidP="008B67C6">
      <w:pPr>
        <w:spacing w:after="0" w:line="240" w:lineRule="auto"/>
        <w:ind w:firstLine="301"/>
        <w:rPr>
          <w:rFonts w:ascii="Arial" w:eastAsia="Times New Roman" w:hAnsi="Arial" w:cs="Arial"/>
          <w:color w:val="414142"/>
          <w:sz w:val="20"/>
          <w:szCs w:val="20"/>
          <w:lang w:val="lv-LV"/>
        </w:rPr>
      </w:pPr>
    </w:p>
    <w:tbl>
      <w:tblPr>
        <w:tblStyle w:val="TableGrid"/>
        <w:tblW w:w="9355" w:type="dxa"/>
        <w:tblLook w:val="04A0" w:firstRow="1" w:lastRow="0" w:firstColumn="1" w:lastColumn="0" w:noHBand="0" w:noVBand="1"/>
      </w:tblPr>
      <w:tblGrid>
        <w:gridCol w:w="675"/>
        <w:gridCol w:w="3261"/>
        <w:gridCol w:w="5419"/>
      </w:tblGrid>
      <w:tr w:rsidR="00190E45" w:rsidRPr="00D53507" w14:paraId="52693232" w14:textId="77777777" w:rsidTr="00991B92">
        <w:tc>
          <w:tcPr>
            <w:tcW w:w="9355" w:type="dxa"/>
            <w:gridSpan w:val="3"/>
          </w:tcPr>
          <w:p w14:paraId="119A209D" w14:textId="77777777" w:rsidR="00190E45" w:rsidRPr="00D53507" w:rsidRDefault="00190E45" w:rsidP="0062167B">
            <w:pPr>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V. Tiesību akta projekta atbilstība Latvijas Republikas starptautiskajām saistībām</w:t>
            </w:r>
          </w:p>
          <w:p w14:paraId="60E1D304" w14:textId="77777777" w:rsidR="00190E45" w:rsidRPr="00D53507" w:rsidRDefault="00190E45" w:rsidP="0062167B">
            <w:pPr>
              <w:jc w:val="center"/>
              <w:rPr>
                <w:rFonts w:ascii="Times New Roman" w:hAnsi="Times New Roman" w:cs="Times New Roman"/>
                <w:b/>
                <w:sz w:val="26"/>
                <w:szCs w:val="26"/>
                <w:lang w:val="lv-LV"/>
              </w:rPr>
            </w:pPr>
          </w:p>
        </w:tc>
      </w:tr>
      <w:tr w:rsidR="00190E45" w:rsidRPr="00D53507" w14:paraId="6B0351A3" w14:textId="77777777" w:rsidTr="00991B92">
        <w:tc>
          <w:tcPr>
            <w:tcW w:w="675" w:type="dxa"/>
          </w:tcPr>
          <w:p w14:paraId="28B777AA" w14:textId="77777777" w:rsidR="00190E45" w:rsidRPr="00D53507" w:rsidRDefault="00190E45" w:rsidP="00190E45">
            <w:pPr>
              <w:pStyle w:val="ListParagraph"/>
              <w:numPr>
                <w:ilvl w:val="0"/>
                <w:numId w:val="3"/>
              </w:numPr>
              <w:spacing w:after="0" w:line="240" w:lineRule="auto"/>
              <w:jc w:val="center"/>
              <w:rPr>
                <w:rFonts w:ascii="Times New Roman" w:hAnsi="Times New Roman" w:cs="Times New Roman"/>
                <w:b/>
                <w:sz w:val="26"/>
                <w:szCs w:val="26"/>
              </w:rPr>
            </w:pPr>
          </w:p>
        </w:tc>
        <w:tc>
          <w:tcPr>
            <w:tcW w:w="3261" w:type="dxa"/>
          </w:tcPr>
          <w:p w14:paraId="217683E2" w14:textId="77777777" w:rsidR="00190E45" w:rsidRPr="00D53507" w:rsidRDefault="00190E45" w:rsidP="0062167B">
            <w:pPr>
              <w:rPr>
                <w:rFonts w:ascii="Times New Roman" w:hAnsi="Times New Roman" w:cs="Times New Roman"/>
                <w:sz w:val="26"/>
                <w:szCs w:val="26"/>
                <w:lang w:val="lv-LV"/>
              </w:rPr>
            </w:pPr>
            <w:r w:rsidRPr="00D53507">
              <w:rPr>
                <w:rFonts w:ascii="Times New Roman" w:hAnsi="Times New Roman" w:cs="Times New Roman"/>
                <w:sz w:val="26"/>
                <w:szCs w:val="26"/>
                <w:lang w:val="lv-LV"/>
              </w:rPr>
              <w:t>Saistības pret Eiropas Savienību</w:t>
            </w:r>
          </w:p>
        </w:tc>
        <w:tc>
          <w:tcPr>
            <w:tcW w:w="5419" w:type="dxa"/>
          </w:tcPr>
          <w:p w14:paraId="5AAE47BF" w14:textId="77777777" w:rsidR="00190E45" w:rsidRPr="00D53507" w:rsidRDefault="00190E45" w:rsidP="00190E45">
            <w:pPr>
              <w:jc w:val="both"/>
              <w:rPr>
                <w:rFonts w:ascii="Times New Roman" w:hAnsi="Times New Roman" w:cs="Times New Roman"/>
                <w:sz w:val="26"/>
                <w:szCs w:val="26"/>
                <w:lang w:val="lv-LV"/>
              </w:rPr>
            </w:pPr>
            <w:r w:rsidRPr="00D53507">
              <w:rPr>
                <w:rFonts w:ascii="Times New Roman" w:hAnsi="Times New Roman" w:cs="Times New Roman"/>
                <w:sz w:val="26"/>
                <w:szCs w:val="26"/>
                <w:lang w:val="lv-LV"/>
              </w:rPr>
              <w:t>Projekts šo jomu neskar.</w:t>
            </w:r>
          </w:p>
        </w:tc>
      </w:tr>
      <w:tr w:rsidR="00190E45" w:rsidRPr="0025359C" w14:paraId="737238DC" w14:textId="77777777" w:rsidTr="00991B92">
        <w:tc>
          <w:tcPr>
            <w:tcW w:w="675" w:type="dxa"/>
          </w:tcPr>
          <w:p w14:paraId="795FBF97" w14:textId="77777777" w:rsidR="00190E45" w:rsidRPr="00D53507" w:rsidRDefault="00190E45" w:rsidP="00190E45">
            <w:pPr>
              <w:pStyle w:val="ListParagraph"/>
              <w:numPr>
                <w:ilvl w:val="0"/>
                <w:numId w:val="3"/>
              </w:numPr>
              <w:spacing w:after="0" w:line="240" w:lineRule="auto"/>
              <w:jc w:val="center"/>
              <w:rPr>
                <w:rFonts w:ascii="Times New Roman" w:hAnsi="Times New Roman" w:cs="Times New Roman"/>
                <w:b/>
                <w:sz w:val="26"/>
                <w:szCs w:val="26"/>
              </w:rPr>
            </w:pPr>
          </w:p>
        </w:tc>
        <w:tc>
          <w:tcPr>
            <w:tcW w:w="3261" w:type="dxa"/>
          </w:tcPr>
          <w:p w14:paraId="6945FAEA" w14:textId="77777777" w:rsidR="00190E45" w:rsidRPr="00D53507" w:rsidRDefault="00190E45" w:rsidP="0062167B">
            <w:pPr>
              <w:rPr>
                <w:rFonts w:ascii="Times New Roman" w:hAnsi="Times New Roman" w:cs="Times New Roman"/>
                <w:sz w:val="26"/>
                <w:szCs w:val="26"/>
                <w:lang w:val="lv-LV"/>
              </w:rPr>
            </w:pPr>
            <w:r w:rsidRPr="00D53507">
              <w:rPr>
                <w:rFonts w:ascii="Times New Roman" w:hAnsi="Times New Roman" w:cs="Times New Roman"/>
                <w:sz w:val="26"/>
                <w:szCs w:val="26"/>
                <w:lang w:val="lv-LV"/>
              </w:rPr>
              <w:t>Citas starptautiskās saistības</w:t>
            </w:r>
          </w:p>
        </w:tc>
        <w:tc>
          <w:tcPr>
            <w:tcW w:w="5419" w:type="dxa"/>
          </w:tcPr>
          <w:p w14:paraId="2C3F2BEF" w14:textId="43D502A1" w:rsidR="002E03A5" w:rsidRDefault="00B41487" w:rsidP="00DD262B">
            <w:pPr>
              <w:jc w:val="both"/>
              <w:rPr>
                <w:rFonts w:ascii="Times New Roman" w:hAnsi="Times New Roman" w:cs="Times New Roman"/>
                <w:color w:val="000000" w:themeColor="text1"/>
                <w:sz w:val="26"/>
                <w:szCs w:val="26"/>
                <w:lang w:val="lv-LV"/>
              </w:rPr>
            </w:pPr>
            <w:r w:rsidRPr="00D53507">
              <w:rPr>
                <w:rFonts w:ascii="Times New Roman" w:hAnsi="Times New Roman" w:cs="Times New Roman"/>
                <w:color w:val="000000" w:themeColor="text1"/>
                <w:sz w:val="26"/>
                <w:szCs w:val="26"/>
                <w:lang w:val="lv-LV"/>
              </w:rPr>
              <w:t xml:space="preserve">1974.gada Starptautiskās konvencijas par cilvēku dzīvības aizsardzību uz jūras </w:t>
            </w:r>
            <w:r w:rsidR="00A31161">
              <w:rPr>
                <w:rFonts w:ascii="Times New Roman" w:hAnsi="Times New Roman" w:cs="Times New Roman"/>
                <w:color w:val="000000" w:themeColor="text1"/>
                <w:sz w:val="26"/>
                <w:szCs w:val="26"/>
                <w:lang w:val="lv-LV"/>
              </w:rPr>
              <w:t xml:space="preserve">(SOLAS konvencijas) </w:t>
            </w:r>
            <w:r w:rsidRPr="00D53507">
              <w:rPr>
                <w:rFonts w:ascii="Times New Roman" w:hAnsi="Times New Roman" w:cs="Times New Roman"/>
                <w:color w:val="000000" w:themeColor="text1"/>
                <w:sz w:val="26"/>
                <w:szCs w:val="26"/>
                <w:lang w:val="lv-LV"/>
              </w:rPr>
              <w:t>grozījumi</w:t>
            </w:r>
            <w:r w:rsidR="00651CBD" w:rsidRPr="00D53507">
              <w:rPr>
                <w:rFonts w:ascii="Times New Roman" w:hAnsi="Times New Roman" w:cs="Times New Roman"/>
                <w:color w:val="000000" w:themeColor="text1"/>
                <w:sz w:val="26"/>
                <w:szCs w:val="26"/>
                <w:lang w:val="lv-LV"/>
              </w:rPr>
              <w:t xml:space="preserve"> (</w:t>
            </w:r>
            <w:r w:rsidRPr="00D53507">
              <w:rPr>
                <w:rFonts w:ascii="Times New Roman" w:hAnsi="Times New Roman" w:cs="Times New Roman"/>
                <w:color w:val="000000" w:themeColor="text1"/>
                <w:sz w:val="26"/>
                <w:szCs w:val="26"/>
                <w:lang w:val="lv-LV"/>
              </w:rPr>
              <w:t>apstiprināti ar IMO 2014.gada 21.novembra Rezolūciju MSC 380(94)</w:t>
            </w:r>
            <w:r w:rsidR="00651CBD" w:rsidRPr="00D53507">
              <w:rPr>
                <w:rFonts w:ascii="Times New Roman" w:hAnsi="Times New Roman" w:cs="Times New Roman"/>
                <w:color w:val="000000" w:themeColor="text1"/>
                <w:sz w:val="26"/>
                <w:szCs w:val="26"/>
                <w:lang w:val="lv-LV"/>
              </w:rPr>
              <w:t>)</w:t>
            </w:r>
            <w:r w:rsidR="00A047A5" w:rsidRPr="00D53507">
              <w:rPr>
                <w:rFonts w:ascii="Times New Roman" w:hAnsi="Times New Roman" w:cs="Times New Roman"/>
                <w:color w:val="000000" w:themeColor="text1"/>
                <w:sz w:val="26"/>
                <w:szCs w:val="26"/>
                <w:lang w:val="lv-LV"/>
              </w:rPr>
              <w:t>.</w:t>
            </w:r>
          </w:p>
          <w:p w14:paraId="3CB7D4F9" w14:textId="43324604" w:rsidR="002C05EA" w:rsidRPr="005D5B72" w:rsidRDefault="002C05EA" w:rsidP="00DD262B">
            <w:pPr>
              <w:jc w:val="both"/>
              <w:rPr>
                <w:rFonts w:ascii="Times New Roman" w:hAnsi="Times New Roman" w:cs="Times New Roman"/>
                <w:sz w:val="26"/>
                <w:szCs w:val="26"/>
                <w:lang w:val="lv-LV"/>
              </w:rPr>
            </w:pPr>
            <w:r w:rsidRPr="005D5B72">
              <w:rPr>
                <w:rFonts w:ascii="Times New Roman" w:hAnsi="Times New Roman" w:cs="Times New Roman"/>
                <w:sz w:val="26"/>
                <w:szCs w:val="26"/>
                <w:lang w:val="lv-LV"/>
              </w:rPr>
              <w:t>Saskaņā ar SOLAS konvencijas 8.panta (b) daļas (vi) punkta 2.apkašpunktu minētie grozījumi uzskatāmi par pieņemtiem 2016.gada 1.janvārī, ja līdz šim datumam vairāk kā viena trešdaļa SOLAS konvencijas dalībvalstu, kuru flote kopumā ir ne mazāka kā 50% no pasaules kuģu flotes tonnāžas, nav iesniegusi iebildumus par minētajiem grozījumiem.</w:t>
            </w:r>
            <w:r w:rsidR="00A31161" w:rsidRPr="005D5B72">
              <w:rPr>
                <w:rFonts w:ascii="Times New Roman" w:hAnsi="Times New Roman" w:cs="Times New Roman"/>
                <w:sz w:val="26"/>
                <w:szCs w:val="26"/>
                <w:lang w:val="lv-LV"/>
              </w:rPr>
              <w:t xml:space="preserve"> Atbilstoši minētajam pieņemtie SO</w:t>
            </w:r>
            <w:r w:rsidR="00E42313" w:rsidRPr="005D5B72">
              <w:rPr>
                <w:rFonts w:ascii="Times New Roman" w:hAnsi="Times New Roman" w:cs="Times New Roman"/>
                <w:sz w:val="26"/>
                <w:szCs w:val="26"/>
                <w:lang w:val="lv-LV"/>
              </w:rPr>
              <w:t>LAS konvencijas grozījumi stāsies</w:t>
            </w:r>
            <w:r w:rsidR="00A31161" w:rsidRPr="005D5B72">
              <w:rPr>
                <w:rFonts w:ascii="Times New Roman" w:hAnsi="Times New Roman" w:cs="Times New Roman"/>
                <w:sz w:val="26"/>
                <w:szCs w:val="26"/>
                <w:lang w:val="lv-LV"/>
              </w:rPr>
              <w:t xml:space="preserve"> spēkā 2016.gada 1.jūlijā.</w:t>
            </w:r>
          </w:p>
        </w:tc>
      </w:tr>
      <w:tr w:rsidR="00190E45" w:rsidRPr="00A31161" w14:paraId="758C9788" w14:textId="77777777" w:rsidTr="00991B92">
        <w:tc>
          <w:tcPr>
            <w:tcW w:w="675" w:type="dxa"/>
          </w:tcPr>
          <w:p w14:paraId="7FFC390B" w14:textId="77777777" w:rsidR="00190E45" w:rsidRPr="00D53507" w:rsidRDefault="00190E45" w:rsidP="00190E45">
            <w:pPr>
              <w:pStyle w:val="ListParagraph"/>
              <w:numPr>
                <w:ilvl w:val="0"/>
                <w:numId w:val="3"/>
              </w:numPr>
              <w:spacing w:after="0" w:line="240" w:lineRule="auto"/>
              <w:jc w:val="center"/>
              <w:rPr>
                <w:rFonts w:ascii="Times New Roman" w:hAnsi="Times New Roman" w:cs="Times New Roman"/>
                <w:b/>
                <w:sz w:val="26"/>
                <w:szCs w:val="26"/>
              </w:rPr>
            </w:pPr>
          </w:p>
        </w:tc>
        <w:tc>
          <w:tcPr>
            <w:tcW w:w="3261" w:type="dxa"/>
          </w:tcPr>
          <w:p w14:paraId="0A255535" w14:textId="77777777" w:rsidR="00190E45" w:rsidRPr="00D53507" w:rsidRDefault="00190E45" w:rsidP="0062167B">
            <w:pPr>
              <w:rPr>
                <w:rFonts w:ascii="Times New Roman" w:hAnsi="Times New Roman" w:cs="Times New Roman"/>
                <w:sz w:val="26"/>
                <w:szCs w:val="26"/>
                <w:lang w:val="lv-LV"/>
              </w:rPr>
            </w:pPr>
            <w:r w:rsidRPr="00D53507">
              <w:rPr>
                <w:rFonts w:ascii="Times New Roman" w:hAnsi="Times New Roman" w:cs="Times New Roman"/>
                <w:sz w:val="26"/>
                <w:szCs w:val="26"/>
                <w:lang w:val="lv-LV"/>
              </w:rPr>
              <w:t>Cita informācija</w:t>
            </w:r>
          </w:p>
        </w:tc>
        <w:tc>
          <w:tcPr>
            <w:tcW w:w="5419" w:type="dxa"/>
          </w:tcPr>
          <w:p w14:paraId="55428F9F" w14:textId="77777777" w:rsidR="00190E45" w:rsidRPr="00D53507" w:rsidRDefault="00190E45" w:rsidP="00F86537">
            <w:pPr>
              <w:jc w:val="both"/>
              <w:rPr>
                <w:rFonts w:ascii="Times New Roman" w:hAnsi="Times New Roman" w:cs="Times New Roman"/>
                <w:sz w:val="26"/>
                <w:szCs w:val="26"/>
                <w:lang w:val="lv-LV"/>
              </w:rPr>
            </w:pPr>
            <w:r w:rsidRPr="00D53507">
              <w:rPr>
                <w:rFonts w:ascii="Times New Roman" w:hAnsi="Times New Roman" w:cs="Times New Roman"/>
                <w:sz w:val="26"/>
                <w:szCs w:val="26"/>
                <w:lang w:val="lv-LV"/>
              </w:rPr>
              <w:t>Nav.</w:t>
            </w:r>
          </w:p>
        </w:tc>
      </w:tr>
    </w:tbl>
    <w:p w14:paraId="2D9E3544" w14:textId="77777777" w:rsidR="001740FB" w:rsidRPr="00D53507" w:rsidRDefault="001740FB" w:rsidP="006C3CAD">
      <w:pPr>
        <w:spacing w:after="0" w:line="240" w:lineRule="auto"/>
        <w:ind w:firstLine="301"/>
        <w:rPr>
          <w:rFonts w:ascii="Arial" w:eastAsia="Times New Roman" w:hAnsi="Arial" w:cs="Arial"/>
          <w:color w:val="414142"/>
          <w:sz w:val="20"/>
          <w:szCs w:val="20"/>
          <w:highlight w:val="yellow"/>
          <w:lang w:val="lv-LV"/>
        </w:rPr>
      </w:pPr>
    </w:p>
    <w:tbl>
      <w:tblPr>
        <w:tblStyle w:val="TableGrid"/>
        <w:tblW w:w="0" w:type="auto"/>
        <w:tblLook w:val="04A0" w:firstRow="1" w:lastRow="0" w:firstColumn="1" w:lastColumn="0" w:noHBand="0" w:noVBand="1"/>
      </w:tblPr>
      <w:tblGrid>
        <w:gridCol w:w="9350"/>
      </w:tblGrid>
      <w:tr w:rsidR="001F1C05" w:rsidRPr="0025359C" w14:paraId="494200AB" w14:textId="77777777" w:rsidTr="001F1C05">
        <w:tc>
          <w:tcPr>
            <w:tcW w:w="9350" w:type="dxa"/>
          </w:tcPr>
          <w:p w14:paraId="296E4B18" w14:textId="77777777" w:rsidR="009A2B9E" w:rsidRPr="00D53507" w:rsidRDefault="009A2B9E" w:rsidP="009A2B9E">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1.tabula</w:t>
            </w:r>
          </w:p>
          <w:p w14:paraId="0743A5F3" w14:textId="77777777" w:rsidR="001F1C05" w:rsidRPr="00D53507" w:rsidRDefault="009A2B9E" w:rsidP="009A2B9E">
            <w:pPr>
              <w:pStyle w:val="NoSpacing"/>
              <w:jc w:val="center"/>
              <w:rPr>
                <w:rFonts w:ascii="Arial" w:eastAsia="Times New Roman" w:hAnsi="Arial" w:cs="Arial"/>
                <w:color w:val="414142"/>
                <w:sz w:val="20"/>
                <w:szCs w:val="20"/>
                <w:highlight w:val="yellow"/>
                <w:lang w:val="lv-LV"/>
              </w:rPr>
            </w:pPr>
            <w:r w:rsidRPr="00D53507">
              <w:rPr>
                <w:rFonts w:ascii="Times New Roman" w:hAnsi="Times New Roman" w:cs="Times New Roman"/>
                <w:b/>
                <w:sz w:val="26"/>
                <w:szCs w:val="26"/>
                <w:lang w:val="lv-LV"/>
              </w:rPr>
              <w:t>Tiesību akta projekta atbilstība ES tiesību aktiem</w:t>
            </w:r>
          </w:p>
        </w:tc>
      </w:tr>
      <w:tr w:rsidR="001F1C05" w:rsidRPr="00A31161" w14:paraId="6ADFDBF6" w14:textId="77777777" w:rsidTr="001F1C05">
        <w:tc>
          <w:tcPr>
            <w:tcW w:w="9350" w:type="dxa"/>
          </w:tcPr>
          <w:p w14:paraId="04206C1A" w14:textId="77777777" w:rsidR="001F1C05" w:rsidRPr="00D53507" w:rsidRDefault="00B60DB4" w:rsidP="00B60DB4">
            <w:pPr>
              <w:spacing w:before="100" w:beforeAutospacing="1" w:after="100" w:afterAutospacing="1" w:line="360" w:lineRule="auto"/>
              <w:jc w:val="center"/>
              <w:rPr>
                <w:rFonts w:ascii="Times New Roman" w:eastAsia="Times New Roman" w:hAnsi="Times New Roman" w:cs="Times New Roman"/>
                <w:i/>
                <w:color w:val="414142"/>
                <w:sz w:val="26"/>
                <w:szCs w:val="26"/>
                <w:highlight w:val="yellow"/>
                <w:lang w:val="lv-LV"/>
              </w:rPr>
            </w:pPr>
            <w:r w:rsidRPr="00D53507">
              <w:rPr>
                <w:rFonts w:ascii="Times New Roman" w:eastAsia="Times New Roman" w:hAnsi="Times New Roman" w:cs="Times New Roman"/>
                <w:i/>
                <w:color w:val="414142"/>
                <w:sz w:val="26"/>
                <w:szCs w:val="26"/>
                <w:lang w:val="lv-LV"/>
              </w:rPr>
              <w:t>Projekts šo jomu neskar.</w:t>
            </w:r>
          </w:p>
        </w:tc>
      </w:tr>
    </w:tbl>
    <w:p w14:paraId="29066740" w14:textId="77777777" w:rsidR="001F1C05" w:rsidRPr="00D53507" w:rsidRDefault="001F1C05" w:rsidP="006C3CAD">
      <w:pPr>
        <w:spacing w:after="0" w:line="240" w:lineRule="auto"/>
        <w:ind w:firstLine="301"/>
        <w:rPr>
          <w:rFonts w:ascii="Arial" w:eastAsia="Times New Roman" w:hAnsi="Arial" w:cs="Arial"/>
          <w:color w:val="414142"/>
          <w:sz w:val="20"/>
          <w:szCs w:val="20"/>
          <w:highlight w:val="yellow"/>
          <w:lang w:val="lv-LV"/>
        </w:rPr>
      </w:pPr>
    </w:p>
    <w:tbl>
      <w:tblPr>
        <w:tblW w:w="9324"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045"/>
        <w:gridCol w:w="3102"/>
        <w:gridCol w:w="4177"/>
      </w:tblGrid>
      <w:tr w:rsidR="001740FB" w:rsidRPr="0025359C" w14:paraId="124B2C35" w14:textId="77777777" w:rsidTr="001A7B63">
        <w:trPr>
          <w:trHeight w:val="20"/>
        </w:trPr>
        <w:tc>
          <w:tcPr>
            <w:tcW w:w="9324" w:type="dxa"/>
            <w:gridSpan w:val="3"/>
            <w:tcBorders>
              <w:top w:val="outset" w:sz="6" w:space="0" w:color="auto"/>
              <w:bottom w:val="outset" w:sz="6" w:space="0" w:color="auto"/>
            </w:tcBorders>
            <w:vAlign w:val="center"/>
          </w:tcPr>
          <w:p w14:paraId="75B3D7E4" w14:textId="77777777" w:rsidR="001740FB" w:rsidRPr="00D53507" w:rsidRDefault="001740FB" w:rsidP="0062167B">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2.tabula</w:t>
            </w:r>
          </w:p>
          <w:p w14:paraId="0F6E3746" w14:textId="77777777" w:rsidR="001740FB" w:rsidRPr="00D53507" w:rsidRDefault="001740FB" w:rsidP="00157633">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Ar tiesību akta projektu izpildītās vai uzņemtās saistības, kas izriet no starptautiskajiem tiesību aktiem vai starptautiskas institūcijas vai organizācijas dokumentiem.</w:t>
            </w:r>
          </w:p>
        </w:tc>
      </w:tr>
      <w:tr w:rsidR="001740FB" w:rsidRPr="0025359C" w14:paraId="19E0DC95" w14:textId="77777777" w:rsidTr="001A7B63">
        <w:trPr>
          <w:trHeight w:val="20"/>
        </w:trPr>
        <w:tc>
          <w:tcPr>
            <w:tcW w:w="2045" w:type="dxa"/>
            <w:tcBorders>
              <w:top w:val="outset" w:sz="6" w:space="0" w:color="auto"/>
              <w:bottom w:val="outset" w:sz="6" w:space="0" w:color="auto"/>
              <w:right w:val="outset" w:sz="6" w:space="0" w:color="auto"/>
            </w:tcBorders>
            <w:vAlign w:val="center"/>
          </w:tcPr>
          <w:p w14:paraId="68EBB46F" w14:textId="77777777" w:rsidR="0063508E" w:rsidRPr="00D53507" w:rsidRDefault="001740FB" w:rsidP="0062167B">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 xml:space="preserve">Attiecīgā starptautiskā tiesību akta vai starptautiskas institūcijas vai organizācijas dokumenta (turpmāk – starptautiskais dokuments) datums, numurs un </w:t>
            </w:r>
            <w:r w:rsidRPr="00D53507">
              <w:rPr>
                <w:rFonts w:ascii="Times New Roman" w:hAnsi="Times New Roman" w:cs="Times New Roman"/>
                <w:sz w:val="26"/>
                <w:szCs w:val="26"/>
                <w:lang w:val="lv-LV"/>
              </w:rPr>
              <w:lastRenderedPageBreak/>
              <w:t>nosaukums</w:t>
            </w:r>
          </w:p>
          <w:p w14:paraId="3575F598" w14:textId="77777777" w:rsidR="001740FB" w:rsidRPr="00D53507" w:rsidRDefault="001740FB" w:rsidP="0062167B">
            <w:pPr>
              <w:pStyle w:val="NoSpacing"/>
              <w:jc w:val="center"/>
              <w:rPr>
                <w:rFonts w:ascii="Times New Roman" w:hAnsi="Times New Roman" w:cs="Times New Roman"/>
                <w:sz w:val="26"/>
                <w:szCs w:val="26"/>
                <w:lang w:val="lv-LV"/>
              </w:rPr>
            </w:pPr>
          </w:p>
        </w:tc>
        <w:tc>
          <w:tcPr>
            <w:tcW w:w="7279" w:type="dxa"/>
            <w:gridSpan w:val="2"/>
            <w:tcBorders>
              <w:top w:val="outset" w:sz="6" w:space="0" w:color="auto"/>
              <w:left w:val="outset" w:sz="6" w:space="0" w:color="auto"/>
              <w:bottom w:val="outset" w:sz="6" w:space="0" w:color="auto"/>
            </w:tcBorders>
          </w:tcPr>
          <w:p w14:paraId="095B97F2" w14:textId="77777777" w:rsidR="001740FB" w:rsidRPr="00D53507" w:rsidRDefault="00BD0BAE" w:rsidP="0062167B">
            <w:pPr>
              <w:pStyle w:val="NoSpacing"/>
              <w:jc w:val="both"/>
              <w:rPr>
                <w:rFonts w:ascii="Times New Roman" w:hAnsi="Times New Roman" w:cs="Times New Roman"/>
                <w:sz w:val="26"/>
                <w:szCs w:val="26"/>
                <w:lang w:val="lv-LV"/>
              </w:rPr>
            </w:pPr>
            <w:r w:rsidRPr="00D53507">
              <w:rPr>
                <w:rFonts w:ascii="Times New Roman" w:hAnsi="Times New Roman" w:cs="Times New Roman"/>
                <w:color w:val="000000" w:themeColor="text1"/>
                <w:sz w:val="26"/>
                <w:szCs w:val="26"/>
                <w:lang w:val="lv-LV"/>
              </w:rPr>
              <w:lastRenderedPageBreak/>
              <w:t>1974.gada Starptautiskās konvencijas par cilvēku dzīvības aizsardzību uz jūras (turpmāk – SOLAS konvencija) grozījumi, kas apstiprināti ar IMO 2014.gada 21.novembra Rezolūciju MSC 380(94).</w:t>
            </w:r>
          </w:p>
        </w:tc>
      </w:tr>
      <w:tr w:rsidR="001740FB" w:rsidRPr="00D53507" w14:paraId="1978B886" w14:textId="77777777" w:rsidTr="001A7B63">
        <w:trPr>
          <w:trHeight w:val="20"/>
        </w:trPr>
        <w:tc>
          <w:tcPr>
            <w:tcW w:w="2045" w:type="dxa"/>
            <w:tcBorders>
              <w:top w:val="outset" w:sz="6" w:space="0" w:color="auto"/>
              <w:bottom w:val="outset" w:sz="6" w:space="0" w:color="auto"/>
              <w:right w:val="outset" w:sz="6" w:space="0" w:color="auto"/>
            </w:tcBorders>
            <w:vAlign w:val="center"/>
          </w:tcPr>
          <w:p w14:paraId="627B0669" w14:textId="77777777" w:rsidR="001740FB" w:rsidRPr="00D53507" w:rsidRDefault="001740FB" w:rsidP="0062167B">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A</w:t>
            </w:r>
          </w:p>
        </w:tc>
        <w:tc>
          <w:tcPr>
            <w:tcW w:w="3102" w:type="dxa"/>
            <w:tcBorders>
              <w:top w:val="outset" w:sz="6" w:space="0" w:color="auto"/>
              <w:left w:val="outset" w:sz="6" w:space="0" w:color="auto"/>
              <w:bottom w:val="outset" w:sz="6" w:space="0" w:color="auto"/>
              <w:right w:val="outset" w:sz="6" w:space="0" w:color="auto"/>
            </w:tcBorders>
            <w:vAlign w:val="center"/>
          </w:tcPr>
          <w:p w14:paraId="24B1D286" w14:textId="77777777" w:rsidR="001740FB" w:rsidRPr="00D53507" w:rsidRDefault="001740FB" w:rsidP="0062167B">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B</w:t>
            </w:r>
          </w:p>
        </w:tc>
        <w:tc>
          <w:tcPr>
            <w:tcW w:w="4177" w:type="dxa"/>
            <w:tcBorders>
              <w:top w:val="outset" w:sz="6" w:space="0" w:color="auto"/>
              <w:left w:val="outset" w:sz="6" w:space="0" w:color="auto"/>
              <w:bottom w:val="outset" w:sz="6" w:space="0" w:color="auto"/>
            </w:tcBorders>
            <w:vAlign w:val="center"/>
          </w:tcPr>
          <w:p w14:paraId="54E61321" w14:textId="77777777" w:rsidR="001740FB" w:rsidRPr="00D53507" w:rsidRDefault="001740FB" w:rsidP="0062167B">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A</w:t>
            </w:r>
          </w:p>
        </w:tc>
      </w:tr>
      <w:tr w:rsidR="001740FB" w:rsidRPr="00D53507" w14:paraId="181189D3" w14:textId="77777777" w:rsidTr="001A7B63">
        <w:trPr>
          <w:trHeight w:val="20"/>
        </w:trPr>
        <w:tc>
          <w:tcPr>
            <w:tcW w:w="2045" w:type="dxa"/>
            <w:tcBorders>
              <w:top w:val="outset" w:sz="6" w:space="0" w:color="auto"/>
              <w:bottom w:val="outset" w:sz="6" w:space="0" w:color="auto"/>
              <w:right w:val="outset" w:sz="6" w:space="0" w:color="auto"/>
            </w:tcBorders>
          </w:tcPr>
          <w:p w14:paraId="474BB6DC" w14:textId="77777777" w:rsidR="001740FB" w:rsidRPr="00D53507" w:rsidRDefault="00A72BB4" w:rsidP="003357E6">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SOLAS VI nodaļas 2.noteikuma 4.punkts</w:t>
            </w:r>
          </w:p>
        </w:tc>
        <w:tc>
          <w:tcPr>
            <w:tcW w:w="3102" w:type="dxa"/>
            <w:tcBorders>
              <w:top w:val="outset" w:sz="6" w:space="0" w:color="auto"/>
              <w:left w:val="outset" w:sz="6" w:space="0" w:color="auto"/>
              <w:bottom w:val="outset" w:sz="6" w:space="0" w:color="auto"/>
              <w:right w:val="outset" w:sz="6" w:space="0" w:color="auto"/>
            </w:tcBorders>
          </w:tcPr>
          <w:p w14:paraId="3EB2E905" w14:textId="519A7D08" w:rsidR="001740FB" w:rsidRPr="00D53507" w:rsidRDefault="00063DED" w:rsidP="006424B2">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P</w:t>
            </w:r>
            <w:r w:rsidR="00A72BB4" w:rsidRPr="00D53507">
              <w:rPr>
                <w:rFonts w:ascii="Times New Roman" w:hAnsi="Times New Roman" w:cs="Times New Roman"/>
                <w:sz w:val="26"/>
                <w:szCs w:val="26"/>
                <w:lang w:val="lv-LV"/>
              </w:rPr>
              <w:t xml:space="preserve">rojekta </w:t>
            </w:r>
            <w:r w:rsidR="006424B2">
              <w:rPr>
                <w:rFonts w:ascii="Times New Roman" w:hAnsi="Times New Roman" w:cs="Times New Roman"/>
                <w:sz w:val="26"/>
                <w:szCs w:val="26"/>
                <w:lang w:val="lv-LV"/>
              </w:rPr>
              <w:t>6</w:t>
            </w:r>
            <w:r w:rsidR="00A72BB4" w:rsidRPr="00D53507">
              <w:rPr>
                <w:rFonts w:ascii="Times New Roman" w:hAnsi="Times New Roman" w:cs="Times New Roman"/>
                <w:sz w:val="26"/>
                <w:szCs w:val="26"/>
                <w:lang w:val="lv-LV"/>
              </w:rPr>
              <w:t>.pants</w:t>
            </w:r>
            <w:r w:rsidR="00060B5F" w:rsidRPr="00D53507">
              <w:rPr>
                <w:rFonts w:ascii="Times New Roman" w:hAnsi="Times New Roman" w:cs="Times New Roman"/>
                <w:sz w:val="26"/>
                <w:szCs w:val="26"/>
                <w:lang w:val="lv-LV"/>
              </w:rPr>
              <w:t>.</w:t>
            </w:r>
          </w:p>
        </w:tc>
        <w:tc>
          <w:tcPr>
            <w:tcW w:w="4177" w:type="dxa"/>
            <w:tcBorders>
              <w:top w:val="outset" w:sz="6" w:space="0" w:color="auto"/>
              <w:left w:val="outset" w:sz="6" w:space="0" w:color="auto"/>
              <w:bottom w:val="outset" w:sz="6" w:space="0" w:color="auto"/>
            </w:tcBorders>
          </w:tcPr>
          <w:p w14:paraId="70A22926" w14:textId="77777777" w:rsidR="001740FB" w:rsidRPr="00D53507" w:rsidRDefault="001740FB" w:rsidP="0062167B">
            <w:pPr>
              <w:pStyle w:val="NoSpacing"/>
              <w:jc w:val="center"/>
              <w:rPr>
                <w:rFonts w:ascii="Times New Roman" w:hAnsi="Times New Roman" w:cs="Times New Roman"/>
                <w:sz w:val="26"/>
                <w:szCs w:val="26"/>
                <w:lang w:val="lv-LV"/>
              </w:rPr>
            </w:pPr>
          </w:p>
        </w:tc>
      </w:tr>
      <w:tr w:rsidR="0063508E" w:rsidRPr="00D53507" w14:paraId="60706454" w14:textId="77777777" w:rsidTr="001A7B63">
        <w:trPr>
          <w:trHeight w:val="20"/>
        </w:trPr>
        <w:tc>
          <w:tcPr>
            <w:tcW w:w="2045" w:type="dxa"/>
            <w:tcBorders>
              <w:top w:val="outset" w:sz="6" w:space="0" w:color="auto"/>
              <w:bottom w:val="outset" w:sz="6" w:space="0" w:color="auto"/>
              <w:right w:val="outset" w:sz="6" w:space="0" w:color="auto"/>
            </w:tcBorders>
          </w:tcPr>
          <w:p w14:paraId="73E1103B" w14:textId="77777777" w:rsidR="0063508E" w:rsidRPr="00D53507" w:rsidRDefault="0063508E" w:rsidP="003357E6">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SOLAS VI nodaļas 2.noteikuma 5.punkts</w:t>
            </w:r>
          </w:p>
        </w:tc>
        <w:tc>
          <w:tcPr>
            <w:tcW w:w="3102" w:type="dxa"/>
            <w:tcBorders>
              <w:top w:val="outset" w:sz="6" w:space="0" w:color="auto"/>
              <w:left w:val="outset" w:sz="6" w:space="0" w:color="auto"/>
              <w:bottom w:val="outset" w:sz="6" w:space="0" w:color="auto"/>
              <w:right w:val="outset" w:sz="6" w:space="0" w:color="auto"/>
            </w:tcBorders>
          </w:tcPr>
          <w:p w14:paraId="1C38AA90" w14:textId="6919ACA0" w:rsidR="0063508E" w:rsidRPr="00D53507" w:rsidRDefault="00063DED" w:rsidP="006424B2">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P</w:t>
            </w:r>
            <w:r w:rsidR="001215E2" w:rsidRPr="00D53507">
              <w:rPr>
                <w:rFonts w:ascii="Times New Roman" w:hAnsi="Times New Roman" w:cs="Times New Roman"/>
                <w:sz w:val="26"/>
                <w:szCs w:val="26"/>
                <w:lang w:val="lv-LV"/>
              </w:rPr>
              <w:t xml:space="preserve">rojekta </w:t>
            </w:r>
            <w:r w:rsidR="006424B2">
              <w:rPr>
                <w:rFonts w:ascii="Times New Roman" w:hAnsi="Times New Roman" w:cs="Times New Roman"/>
                <w:sz w:val="26"/>
                <w:szCs w:val="26"/>
                <w:lang w:val="lv-LV"/>
              </w:rPr>
              <w:t>6</w:t>
            </w:r>
            <w:r w:rsidR="001215E2" w:rsidRPr="00D53507">
              <w:rPr>
                <w:rFonts w:ascii="Times New Roman" w:hAnsi="Times New Roman" w:cs="Times New Roman"/>
                <w:sz w:val="26"/>
                <w:szCs w:val="26"/>
                <w:lang w:val="lv-LV"/>
              </w:rPr>
              <w:t>.pants.</w:t>
            </w:r>
          </w:p>
        </w:tc>
        <w:tc>
          <w:tcPr>
            <w:tcW w:w="4177" w:type="dxa"/>
            <w:tcBorders>
              <w:top w:val="outset" w:sz="6" w:space="0" w:color="auto"/>
              <w:left w:val="outset" w:sz="6" w:space="0" w:color="auto"/>
              <w:bottom w:val="outset" w:sz="6" w:space="0" w:color="auto"/>
            </w:tcBorders>
          </w:tcPr>
          <w:p w14:paraId="44F404FE" w14:textId="77777777" w:rsidR="0063508E" w:rsidRPr="00D53507" w:rsidRDefault="0063508E" w:rsidP="0062167B">
            <w:pPr>
              <w:pStyle w:val="NoSpacing"/>
              <w:jc w:val="center"/>
              <w:rPr>
                <w:rFonts w:ascii="Times New Roman" w:hAnsi="Times New Roman" w:cs="Times New Roman"/>
                <w:sz w:val="26"/>
                <w:szCs w:val="26"/>
                <w:lang w:val="lv-LV"/>
              </w:rPr>
            </w:pPr>
          </w:p>
        </w:tc>
      </w:tr>
      <w:tr w:rsidR="00E62E1C" w:rsidRPr="00D53507" w14:paraId="4234A300" w14:textId="77777777" w:rsidTr="001A7B63">
        <w:trPr>
          <w:trHeight w:val="20"/>
        </w:trPr>
        <w:tc>
          <w:tcPr>
            <w:tcW w:w="2045" w:type="dxa"/>
            <w:tcBorders>
              <w:top w:val="outset" w:sz="6" w:space="0" w:color="auto"/>
              <w:bottom w:val="outset" w:sz="6" w:space="0" w:color="auto"/>
              <w:right w:val="outset" w:sz="6" w:space="0" w:color="auto"/>
            </w:tcBorders>
          </w:tcPr>
          <w:p w14:paraId="52C5E579" w14:textId="77777777" w:rsidR="00E62E1C" w:rsidRPr="00D53507" w:rsidRDefault="00BB019B" w:rsidP="003357E6">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SOLAS VI nodaļas 2.noteikuma 6.punkts</w:t>
            </w:r>
          </w:p>
        </w:tc>
        <w:tc>
          <w:tcPr>
            <w:tcW w:w="3102" w:type="dxa"/>
            <w:tcBorders>
              <w:top w:val="outset" w:sz="6" w:space="0" w:color="auto"/>
              <w:left w:val="outset" w:sz="6" w:space="0" w:color="auto"/>
              <w:bottom w:val="outset" w:sz="6" w:space="0" w:color="auto"/>
              <w:right w:val="outset" w:sz="6" w:space="0" w:color="auto"/>
            </w:tcBorders>
          </w:tcPr>
          <w:p w14:paraId="0D012F92" w14:textId="3EC5E8D9" w:rsidR="00E62E1C" w:rsidRPr="00D53507" w:rsidRDefault="00063DED" w:rsidP="006424B2">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P</w:t>
            </w:r>
            <w:r w:rsidR="00BB019B" w:rsidRPr="00D53507">
              <w:rPr>
                <w:rFonts w:ascii="Times New Roman" w:hAnsi="Times New Roman" w:cs="Times New Roman"/>
                <w:sz w:val="26"/>
                <w:szCs w:val="26"/>
                <w:lang w:val="lv-LV"/>
              </w:rPr>
              <w:t xml:space="preserve">rojekta </w:t>
            </w:r>
            <w:r w:rsidR="006424B2">
              <w:rPr>
                <w:rFonts w:ascii="Times New Roman" w:hAnsi="Times New Roman" w:cs="Times New Roman"/>
                <w:sz w:val="26"/>
                <w:szCs w:val="26"/>
                <w:lang w:val="lv-LV"/>
              </w:rPr>
              <w:t>6</w:t>
            </w:r>
            <w:r w:rsidR="00BB019B" w:rsidRPr="00D53507">
              <w:rPr>
                <w:rFonts w:ascii="Times New Roman" w:hAnsi="Times New Roman" w:cs="Times New Roman"/>
                <w:sz w:val="26"/>
                <w:szCs w:val="26"/>
                <w:lang w:val="lv-LV"/>
              </w:rPr>
              <w:t>.pants</w:t>
            </w:r>
            <w:r w:rsidR="000545C5" w:rsidRPr="00D53507">
              <w:rPr>
                <w:rFonts w:ascii="Times New Roman" w:hAnsi="Times New Roman" w:cs="Times New Roman"/>
                <w:sz w:val="26"/>
                <w:szCs w:val="26"/>
                <w:lang w:val="lv-LV"/>
              </w:rPr>
              <w:t>.</w:t>
            </w:r>
          </w:p>
        </w:tc>
        <w:tc>
          <w:tcPr>
            <w:tcW w:w="4177" w:type="dxa"/>
            <w:tcBorders>
              <w:top w:val="outset" w:sz="6" w:space="0" w:color="auto"/>
              <w:left w:val="outset" w:sz="6" w:space="0" w:color="auto"/>
              <w:bottom w:val="outset" w:sz="6" w:space="0" w:color="auto"/>
            </w:tcBorders>
          </w:tcPr>
          <w:p w14:paraId="018ABB00" w14:textId="77777777" w:rsidR="00E62E1C" w:rsidRPr="00D53507" w:rsidRDefault="00E62E1C" w:rsidP="0062167B">
            <w:pPr>
              <w:pStyle w:val="NoSpacing"/>
              <w:jc w:val="center"/>
              <w:rPr>
                <w:rFonts w:ascii="Times New Roman" w:hAnsi="Times New Roman" w:cs="Times New Roman"/>
                <w:sz w:val="26"/>
                <w:szCs w:val="26"/>
                <w:lang w:val="lv-LV"/>
              </w:rPr>
            </w:pPr>
          </w:p>
        </w:tc>
      </w:tr>
      <w:tr w:rsidR="001740FB" w:rsidRPr="00D53507" w14:paraId="6D6A1706" w14:textId="77777777" w:rsidTr="001A7B63">
        <w:trPr>
          <w:trHeight w:val="20"/>
        </w:trPr>
        <w:tc>
          <w:tcPr>
            <w:tcW w:w="2045" w:type="dxa"/>
            <w:tcBorders>
              <w:top w:val="outset" w:sz="6" w:space="0" w:color="auto"/>
              <w:bottom w:val="outset" w:sz="6" w:space="0" w:color="auto"/>
              <w:right w:val="outset" w:sz="6" w:space="0" w:color="auto"/>
            </w:tcBorders>
          </w:tcPr>
          <w:p w14:paraId="785E1316" w14:textId="77777777" w:rsidR="001740FB" w:rsidRPr="00D53507" w:rsidRDefault="001740FB" w:rsidP="0062167B">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14:paraId="4C0F215C" w14:textId="77777777" w:rsidR="001740FB" w:rsidRPr="00D53507" w:rsidRDefault="001740FB" w:rsidP="00CC34D3">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Nav attiecināms.</w:t>
            </w:r>
          </w:p>
        </w:tc>
        <w:tc>
          <w:tcPr>
            <w:tcW w:w="4177" w:type="dxa"/>
            <w:tcBorders>
              <w:top w:val="outset" w:sz="6" w:space="0" w:color="auto"/>
              <w:left w:val="outset" w:sz="6" w:space="0" w:color="auto"/>
              <w:bottom w:val="outset" w:sz="6" w:space="0" w:color="auto"/>
            </w:tcBorders>
          </w:tcPr>
          <w:p w14:paraId="7B7FB5B0" w14:textId="77777777" w:rsidR="001740FB" w:rsidRPr="00D53507" w:rsidRDefault="001740FB" w:rsidP="0062167B">
            <w:pPr>
              <w:pStyle w:val="NoSpacing"/>
              <w:jc w:val="both"/>
              <w:rPr>
                <w:rFonts w:ascii="Times New Roman" w:hAnsi="Times New Roman" w:cs="Times New Roman"/>
                <w:sz w:val="26"/>
                <w:szCs w:val="26"/>
                <w:lang w:val="lv-LV"/>
              </w:rPr>
            </w:pPr>
          </w:p>
        </w:tc>
      </w:tr>
      <w:tr w:rsidR="001740FB" w:rsidRPr="0025359C" w14:paraId="269495CD" w14:textId="77777777" w:rsidTr="001A7B63">
        <w:trPr>
          <w:trHeight w:val="20"/>
        </w:trPr>
        <w:tc>
          <w:tcPr>
            <w:tcW w:w="2045" w:type="dxa"/>
            <w:tcBorders>
              <w:top w:val="outset" w:sz="6" w:space="0" w:color="auto"/>
              <w:bottom w:val="outset" w:sz="6" w:space="0" w:color="auto"/>
              <w:right w:val="outset" w:sz="6" w:space="0" w:color="auto"/>
            </w:tcBorders>
          </w:tcPr>
          <w:p w14:paraId="1A022536" w14:textId="77777777" w:rsidR="001740FB" w:rsidRPr="00D53507" w:rsidRDefault="001740FB" w:rsidP="0062167B">
            <w:pPr>
              <w:pStyle w:val="NoSpacing"/>
              <w:jc w:val="center"/>
              <w:rPr>
                <w:rFonts w:ascii="Times New Roman" w:hAnsi="Times New Roman" w:cs="Times New Roman"/>
                <w:sz w:val="26"/>
                <w:szCs w:val="26"/>
                <w:lang w:val="lv-LV"/>
              </w:rPr>
            </w:pPr>
            <w:r w:rsidRPr="00D53507">
              <w:rPr>
                <w:rFonts w:ascii="Times New Roman" w:hAnsi="Times New Roman" w:cs="Times New Roman"/>
                <w:sz w:val="26"/>
                <w:szCs w:val="26"/>
                <w:lang w:val="lv-LV"/>
              </w:rPr>
              <w:t>Cita informācija</w:t>
            </w:r>
          </w:p>
        </w:tc>
        <w:tc>
          <w:tcPr>
            <w:tcW w:w="7279" w:type="dxa"/>
            <w:gridSpan w:val="2"/>
            <w:tcBorders>
              <w:top w:val="outset" w:sz="6" w:space="0" w:color="auto"/>
              <w:left w:val="outset" w:sz="6" w:space="0" w:color="auto"/>
              <w:bottom w:val="outset" w:sz="6" w:space="0" w:color="auto"/>
            </w:tcBorders>
          </w:tcPr>
          <w:p w14:paraId="5F5A4EF9" w14:textId="6819BBB2" w:rsidR="001740FB" w:rsidRPr="00D53507" w:rsidRDefault="002B7DF8" w:rsidP="0086750E">
            <w:pPr>
              <w:pStyle w:val="NoSpacing"/>
              <w:jc w:val="both"/>
              <w:rPr>
                <w:rFonts w:ascii="Times New Roman" w:hAnsi="Times New Roman" w:cs="Times New Roman"/>
                <w:sz w:val="26"/>
                <w:szCs w:val="26"/>
                <w:lang w:val="lv-LV"/>
              </w:rPr>
            </w:pPr>
            <w:r w:rsidRPr="00D53507">
              <w:rPr>
                <w:rFonts w:ascii="Times New Roman" w:hAnsi="Times New Roman" w:cs="Times New Roman"/>
                <w:sz w:val="26"/>
                <w:szCs w:val="26"/>
                <w:lang w:val="lv-LV"/>
              </w:rPr>
              <w:t>Lai nodrošinātu SOLAS konvencijas prasību ieviešanu, atbilstoši deleģējumam tiks izstrādāti Ministru kabineta noteikumi par konteineru ve</w:t>
            </w:r>
            <w:r w:rsidR="00BA1036">
              <w:rPr>
                <w:rFonts w:ascii="Times New Roman" w:hAnsi="Times New Roman" w:cs="Times New Roman"/>
                <w:sz w:val="26"/>
                <w:szCs w:val="26"/>
                <w:lang w:val="lv-LV"/>
              </w:rPr>
              <w:t>rificētās bruto masas noteikšanas, paziņošanas un kontroles kārtību</w:t>
            </w:r>
            <w:r w:rsidRPr="00D53507">
              <w:rPr>
                <w:rFonts w:ascii="Times New Roman" w:hAnsi="Times New Roman" w:cs="Times New Roman"/>
                <w:sz w:val="26"/>
                <w:szCs w:val="26"/>
                <w:lang w:val="lv-LV"/>
              </w:rPr>
              <w:t>.</w:t>
            </w:r>
          </w:p>
        </w:tc>
      </w:tr>
    </w:tbl>
    <w:p w14:paraId="2D43B02B" w14:textId="77777777" w:rsidR="003357E6" w:rsidRPr="00D53507" w:rsidRDefault="003357E6"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jc w:val="center"/>
        <w:tblLook w:val="04A0" w:firstRow="1" w:lastRow="0" w:firstColumn="1" w:lastColumn="0" w:noHBand="0" w:noVBand="1"/>
      </w:tblPr>
      <w:tblGrid>
        <w:gridCol w:w="479"/>
        <w:gridCol w:w="2873"/>
        <w:gridCol w:w="6224"/>
      </w:tblGrid>
      <w:tr w:rsidR="00074799" w:rsidRPr="0025359C" w14:paraId="1D0113A6" w14:textId="77777777" w:rsidTr="00426DD2">
        <w:trPr>
          <w:trHeight w:val="420"/>
          <w:jc w:val="center"/>
        </w:trPr>
        <w:tc>
          <w:tcPr>
            <w:tcW w:w="0" w:type="auto"/>
            <w:gridSpan w:val="3"/>
            <w:hideMark/>
          </w:tcPr>
          <w:p w14:paraId="18CA1B2B" w14:textId="77777777" w:rsidR="00074799" w:rsidRPr="00D53507" w:rsidRDefault="00074799" w:rsidP="00426DD2">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VI. Sabiedrības līdzdalība un komunikācijas aktivitātes</w:t>
            </w:r>
          </w:p>
          <w:p w14:paraId="1C810748" w14:textId="77777777" w:rsidR="00687DF2" w:rsidRPr="00D53507" w:rsidRDefault="00687DF2" w:rsidP="00426DD2">
            <w:pPr>
              <w:pStyle w:val="NoSpacing"/>
              <w:jc w:val="center"/>
              <w:rPr>
                <w:rFonts w:ascii="Times New Roman" w:hAnsi="Times New Roman" w:cs="Times New Roman"/>
                <w:b/>
                <w:sz w:val="26"/>
                <w:szCs w:val="26"/>
                <w:lang w:val="lv-LV"/>
              </w:rPr>
            </w:pPr>
          </w:p>
        </w:tc>
      </w:tr>
      <w:tr w:rsidR="00074799" w:rsidRPr="00D53507" w14:paraId="1C413433" w14:textId="77777777" w:rsidTr="00426DD2">
        <w:trPr>
          <w:trHeight w:val="540"/>
          <w:jc w:val="center"/>
        </w:trPr>
        <w:tc>
          <w:tcPr>
            <w:tcW w:w="250" w:type="pct"/>
            <w:hideMark/>
          </w:tcPr>
          <w:p w14:paraId="4D5B8D83"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1.</w:t>
            </w:r>
          </w:p>
        </w:tc>
        <w:tc>
          <w:tcPr>
            <w:tcW w:w="1500" w:type="pct"/>
            <w:hideMark/>
          </w:tcPr>
          <w:p w14:paraId="4C50BBFF"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Plānotās sabiedrības līdzdalības un komunikācijas aktivitātes saistībā ar projektu</w:t>
            </w:r>
          </w:p>
        </w:tc>
        <w:tc>
          <w:tcPr>
            <w:tcW w:w="3250" w:type="pct"/>
            <w:hideMark/>
          </w:tcPr>
          <w:p w14:paraId="7D551B13" w14:textId="3F17F9C2" w:rsidR="0091552C" w:rsidRPr="00D53507" w:rsidRDefault="000A3479" w:rsidP="0091552C">
            <w:pPr>
              <w:pStyle w:val="NoSpacing"/>
              <w:jc w:val="both"/>
              <w:rPr>
                <w:rFonts w:ascii="Times New Roman" w:hAnsi="Times New Roman"/>
                <w:sz w:val="26"/>
                <w:szCs w:val="26"/>
                <w:lang w:val="lv-LV"/>
              </w:rPr>
            </w:pPr>
            <w:r w:rsidRPr="00D53507">
              <w:rPr>
                <w:rFonts w:ascii="Times New Roman" w:hAnsi="Times New Roman"/>
                <w:sz w:val="26"/>
                <w:szCs w:val="26"/>
                <w:lang w:val="lv-LV"/>
              </w:rPr>
              <w:t>1.</w:t>
            </w:r>
            <w:r w:rsidR="0091552C" w:rsidRPr="00D53507">
              <w:rPr>
                <w:rFonts w:ascii="Times New Roman" w:hAnsi="Times New Roman"/>
                <w:sz w:val="26"/>
                <w:szCs w:val="26"/>
                <w:lang w:val="lv-LV"/>
              </w:rPr>
              <w:t xml:space="preserve"> 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w:t>
            </w:r>
          </w:p>
          <w:p w14:paraId="50490492" w14:textId="44639A61" w:rsidR="0091552C" w:rsidRPr="00D53507" w:rsidRDefault="000A3479" w:rsidP="0091552C">
            <w:pPr>
              <w:pStyle w:val="NoSpacing"/>
              <w:rPr>
                <w:rFonts w:ascii="Times New Roman" w:hAnsi="Times New Roman" w:cs="Times New Roman"/>
                <w:sz w:val="26"/>
                <w:szCs w:val="26"/>
                <w:lang w:val="lv-LV"/>
              </w:rPr>
            </w:pPr>
            <w:r w:rsidRPr="00D53507">
              <w:rPr>
                <w:rFonts w:ascii="Times New Roman" w:hAnsi="Times New Roman"/>
                <w:sz w:val="26"/>
                <w:szCs w:val="26"/>
                <w:lang w:val="lv-LV"/>
              </w:rPr>
              <w:t>2.</w:t>
            </w:r>
            <w:r w:rsidR="0091552C" w:rsidRPr="00D53507">
              <w:rPr>
                <w:rFonts w:ascii="Times New Roman" w:hAnsi="Times New Roman"/>
                <w:sz w:val="26"/>
                <w:szCs w:val="26"/>
                <w:lang w:val="lv-LV"/>
              </w:rPr>
              <w:t xml:space="preserve"> Par projekta izstrādi tika informētas Latvijas ostas.</w:t>
            </w:r>
          </w:p>
        </w:tc>
      </w:tr>
      <w:tr w:rsidR="00074799" w:rsidRPr="0025359C" w14:paraId="766C25A9" w14:textId="77777777" w:rsidTr="00426DD2">
        <w:trPr>
          <w:trHeight w:val="330"/>
          <w:jc w:val="center"/>
        </w:trPr>
        <w:tc>
          <w:tcPr>
            <w:tcW w:w="250" w:type="pct"/>
            <w:hideMark/>
          </w:tcPr>
          <w:p w14:paraId="0C7C563B"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2.</w:t>
            </w:r>
          </w:p>
        </w:tc>
        <w:tc>
          <w:tcPr>
            <w:tcW w:w="1500" w:type="pct"/>
            <w:hideMark/>
          </w:tcPr>
          <w:p w14:paraId="1904D6C6"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Sabiedrības līdzdalība projekta izstrādē</w:t>
            </w:r>
          </w:p>
        </w:tc>
        <w:tc>
          <w:tcPr>
            <w:tcW w:w="3250" w:type="pct"/>
          </w:tcPr>
          <w:p w14:paraId="26A3D697" w14:textId="2A3FD106" w:rsidR="0091552C" w:rsidRPr="00D53507" w:rsidRDefault="005B0C40" w:rsidP="0017722A">
            <w:pPr>
              <w:pStyle w:val="NoSpacing"/>
              <w:jc w:val="both"/>
              <w:rPr>
                <w:rFonts w:ascii="Times New Roman" w:hAnsi="Times New Roman" w:cs="Times New Roman"/>
                <w:sz w:val="26"/>
                <w:szCs w:val="26"/>
                <w:lang w:val="lv-LV"/>
              </w:rPr>
            </w:pPr>
            <w:r w:rsidRPr="00D53507">
              <w:rPr>
                <w:rFonts w:ascii="Times New Roman" w:hAnsi="Times New Roman" w:cs="Times New Roman"/>
                <w:sz w:val="26"/>
                <w:szCs w:val="26"/>
                <w:lang w:val="lv-LV"/>
              </w:rPr>
              <w:t xml:space="preserve">Sabiedrības pārstāvjiem </w:t>
            </w:r>
            <w:r w:rsidR="003771EA" w:rsidRPr="00D53507">
              <w:rPr>
                <w:rFonts w:ascii="Times New Roman" w:hAnsi="Times New Roman" w:cs="Times New Roman"/>
                <w:sz w:val="26"/>
                <w:szCs w:val="26"/>
                <w:lang w:val="lv-LV"/>
              </w:rPr>
              <w:t xml:space="preserve">tika dota </w:t>
            </w:r>
            <w:r w:rsidRPr="00D53507">
              <w:rPr>
                <w:rFonts w:ascii="Times New Roman" w:hAnsi="Times New Roman" w:cs="Times New Roman"/>
                <w:sz w:val="26"/>
                <w:szCs w:val="26"/>
                <w:lang w:val="lv-LV"/>
              </w:rPr>
              <w:t>iespēja līdzdarboties projekta izstrādē, rakstveidā sniedzot viedokli par projektu.</w:t>
            </w:r>
          </w:p>
        </w:tc>
      </w:tr>
      <w:tr w:rsidR="00074799" w:rsidRPr="00D53507" w14:paraId="6528864B" w14:textId="77777777" w:rsidTr="00426DD2">
        <w:trPr>
          <w:trHeight w:val="465"/>
          <w:jc w:val="center"/>
        </w:trPr>
        <w:tc>
          <w:tcPr>
            <w:tcW w:w="250" w:type="pct"/>
            <w:hideMark/>
          </w:tcPr>
          <w:p w14:paraId="2DEDB730"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lastRenderedPageBreak/>
              <w:t>3.</w:t>
            </w:r>
          </w:p>
        </w:tc>
        <w:tc>
          <w:tcPr>
            <w:tcW w:w="1500" w:type="pct"/>
            <w:hideMark/>
          </w:tcPr>
          <w:p w14:paraId="13996A68"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Sabiedrības līdzdalības rezultāti</w:t>
            </w:r>
          </w:p>
        </w:tc>
        <w:tc>
          <w:tcPr>
            <w:tcW w:w="3250" w:type="pct"/>
            <w:hideMark/>
          </w:tcPr>
          <w:p w14:paraId="7F93D392" w14:textId="0324A7D4" w:rsidR="00074799" w:rsidRPr="00D53507" w:rsidRDefault="00EA2F1F"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 xml:space="preserve"> Iebildumi par projektu netika saņemti.</w:t>
            </w:r>
          </w:p>
        </w:tc>
      </w:tr>
      <w:tr w:rsidR="00074799" w:rsidRPr="00D53507" w14:paraId="52F2EBEC" w14:textId="77777777" w:rsidTr="00426DD2">
        <w:trPr>
          <w:trHeight w:val="465"/>
          <w:jc w:val="center"/>
        </w:trPr>
        <w:tc>
          <w:tcPr>
            <w:tcW w:w="250" w:type="pct"/>
            <w:hideMark/>
          </w:tcPr>
          <w:p w14:paraId="5EB4C7A2"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4.</w:t>
            </w:r>
          </w:p>
        </w:tc>
        <w:tc>
          <w:tcPr>
            <w:tcW w:w="1500" w:type="pct"/>
            <w:hideMark/>
          </w:tcPr>
          <w:p w14:paraId="585B6A44" w14:textId="77777777" w:rsidR="00074799" w:rsidRPr="00D53507" w:rsidRDefault="00074799"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Cita informācija</w:t>
            </w:r>
          </w:p>
        </w:tc>
        <w:tc>
          <w:tcPr>
            <w:tcW w:w="3250" w:type="pct"/>
          </w:tcPr>
          <w:p w14:paraId="4608996E" w14:textId="77777777" w:rsidR="00074799" w:rsidRPr="00D53507" w:rsidRDefault="00426DD2" w:rsidP="00426DD2">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Nav.</w:t>
            </w:r>
          </w:p>
        </w:tc>
      </w:tr>
    </w:tbl>
    <w:p w14:paraId="4C51AA34" w14:textId="77777777" w:rsidR="00B92B66" w:rsidRPr="00D53507" w:rsidRDefault="00B92B66"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479"/>
        <w:gridCol w:w="3639"/>
        <w:gridCol w:w="5458"/>
      </w:tblGrid>
      <w:tr w:rsidR="00074799" w:rsidRPr="0025359C" w14:paraId="70AB19AB" w14:textId="77777777" w:rsidTr="002356E4">
        <w:trPr>
          <w:trHeight w:val="375"/>
        </w:trPr>
        <w:tc>
          <w:tcPr>
            <w:tcW w:w="0" w:type="auto"/>
            <w:gridSpan w:val="3"/>
            <w:hideMark/>
          </w:tcPr>
          <w:p w14:paraId="73FB7530" w14:textId="77777777" w:rsidR="00074799" w:rsidRPr="00D53507" w:rsidRDefault="00074799" w:rsidP="00904543">
            <w:pPr>
              <w:pStyle w:val="NoSpacing"/>
              <w:jc w:val="center"/>
              <w:rPr>
                <w:rFonts w:ascii="Times New Roman" w:hAnsi="Times New Roman" w:cs="Times New Roman"/>
                <w:b/>
                <w:sz w:val="26"/>
                <w:szCs w:val="26"/>
                <w:lang w:val="lv-LV"/>
              </w:rPr>
            </w:pPr>
            <w:r w:rsidRPr="00D53507">
              <w:rPr>
                <w:rFonts w:ascii="Times New Roman" w:hAnsi="Times New Roman" w:cs="Times New Roman"/>
                <w:b/>
                <w:sz w:val="26"/>
                <w:szCs w:val="26"/>
                <w:lang w:val="lv-LV"/>
              </w:rPr>
              <w:t>VII. Tiesību akta projekta izpildes nodrošināšana un tās ietekme uz institūcijām</w:t>
            </w:r>
          </w:p>
          <w:p w14:paraId="10CBACA6" w14:textId="77777777" w:rsidR="00904543" w:rsidRPr="00D53507" w:rsidRDefault="00904543" w:rsidP="00904543">
            <w:pPr>
              <w:pStyle w:val="NoSpacing"/>
              <w:rPr>
                <w:rFonts w:ascii="Times New Roman" w:hAnsi="Times New Roman" w:cs="Times New Roman"/>
                <w:sz w:val="26"/>
                <w:szCs w:val="26"/>
                <w:lang w:val="lv-LV"/>
              </w:rPr>
            </w:pPr>
          </w:p>
        </w:tc>
      </w:tr>
      <w:tr w:rsidR="00074799" w:rsidRPr="0025359C" w14:paraId="53D46956" w14:textId="77777777" w:rsidTr="002356E4">
        <w:trPr>
          <w:trHeight w:val="420"/>
        </w:trPr>
        <w:tc>
          <w:tcPr>
            <w:tcW w:w="250" w:type="pct"/>
            <w:hideMark/>
          </w:tcPr>
          <w:p w14:paraId="6F04AC41" w14:textId="77777777" w:rsidR="00074799" w:rsidRPr="00D53507" w:rsidRDefault="00074799"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1.</w:t>
            </w:r>
          </w:p>
        </w:tc>
        <w:tc>
          <w:tcPr>
            <w:tcW w:w="1900" w:type="pct"/>
            <w:hideMark/>
          </w:tcPr>
          <w:p w14:paraId="215132A0" w14:textId="77777777" w:rsidR="00074799" w:rsidRPr="00D53507" w:rsidRDefault="00074799"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Projekta izpildē iesaistītās institūcijas</w:t>
            </w:r>
          </w:p>
        </w:tc>
        <w:tc>
          <w:tcPr>
            <w:tcW w:w="2850" w:type="pct"/>
            <w:hideMark/>
          </w:tcPr>
          <w:p w14:paraId="430FE517" w14:textId="304721FE" w:rsidR="00074799" w:rsidRPr="00D53507" w:rsidRDefault="00904543" w:rsidP="00833619">
            <w:pPr>
              <w:jc w:val="both"/>
              <w:rPr>
                <w:rFonts w:ascii="Times New Roman" w:hAnsi="Times New Roman" w:cs="Times New Roman"/>
                <w:sz w:val="26"/>
                <w:szCs w:val="26"/>
                <w:lang w:val="lv-LV"/>
              </w:rPr>
            </w:pPr>
            <w:r w:rsidRPr="00D53507">
              <w:rPr>
                <w:rFonts w:ascii="Times New Roman" w:hAnsi="Times New Roman"/>
                <w:sz w:val="26"/>
                <w:szCs w:val="26"/>
                <w:lang w:val="lv-LV"/>
              </w:rPr>
              <w:t xml:space="preserve">Projekta izpildi </w:t>
            </w:r>
            <w:r w:rsidR="00DB6817" w:rsidRPr="00D53507">
              <w:rPr>
                <w:rFonts w:ascii="Times New Roman" w:hAnsi="Times New Roman"/>
                <w:sz w:val="26"/>
                <w:szCs w:val="26"/>
                <w:lang w:val="lv-LV"/>
              </w:rPr>
              <w:t xml:space="preserve">nodrošinās </w:t>
            </w:r>
            <w:r w:rsidRPr="00D53507">
              <w:rPr>
                <w:rFonts w:ascii="Times New Roman" w:hAnsi="Times New Roman"/>
                <w:sz w:val="26"/>
                <w:szCs w:val="26"/>
                <w:lang w:val="lv-LV"/>
              </w:rPr>
              <w:t xml:space="preserve">VAS </w:t>
            </w:r>
            <w:r w:rsidR="004001F9" w:rsidRPr="00D53507">
              <w:rPr>
                <w:rFonts w:ascii="Times New Roman" w:hAnsi="Times New Roman"/>
                <w:sz w:val="26"/>
                <w:szCs w:val="26"/>
                <w:lang w:val="lv-LV"/>
              </w:rPr>
              <w:t xml:space="preserve">“Latvijas Jūras administrācija”, </w:t>
            </w:r>
            <w:r w:rsidR="00833619" w:rsidRPr="00D53507">
              <w:rPr>
                <w:rFonts w:ascii="Times New Roman" w:hAnsi="Times New Roman"/>
                <w:sz w:val="26"/>
                <w:szCs w:val="26"/>
                <w:lang w:val="lv-LV"/>
              </w:rPr>
              <w:t xml:space="preserve">valsts policija, pašvaldības policija, ostas policija, </w:t>
            </w:r>
            <w:r w:rsidR="004001F9" w:rsidRPr="00D53507">
              <w:rPr>
                <w:rFonts w:ascii="Times New Roman" w:hAnsi="Times New Roman"/>
                <w:sz w:val="26"/>
                <w:szCs w:val="26"/>
                <w:lang w:val="lv-LV"/>
              </w:rPr>
              <w:t xml:space="preserve"> </w:t>
            </w:r>
            <w:r w:rsidR="002773FB" w:rsidRPr="00D53507">
              <w:rPr>
                <w:rFonts w:ascii="Times New Roman" w:hAnsi="Times New Roman"/>
                <w:sz w:val="26"/>
                <w:szCs w:val="26"/>
                <w:lang w:val="lv-LV"/>
              </w:rPr>
              <w:t xml:space="preserve">Nacionālo bruņoto spēku Jūras spēku flotiles Krasta apsardzes dienests, </w:t>
            </w:r>
            <w:r w:rsidR="00814EA7" w:rsidRPr="00D53507">
              <w:rPr>
                <w:rFonts w:ascii="Times New Roman" w:hAnsi="Times New Roman"/>
                <w:sz w:val="26"/>
                <w:szCs w:val="26"/>
                <w:lang w:val="lv-LV"/>
              </w:rPr>
              <w:t xml:space="preserve">Valsts robežsardze, </w:t>
            </w:r>
            <w:r w:rsidR="00F71707" w:rsidRPr="00D53507">
              <w:rPr>
                <w:rFonts w:ascii="Times New Roman" w:hAnsi="Times New Roman"/>
                <w:sz w:val="26"/>
                <w:szCs w:val="26"/>
                <w:lang w:val="lv-LV"/>
              </w:rPr>
              <w:t>Latvijas ostu kapteiņi</w:t>
            </w:r>
            <w:r w:rsidR="004001F9" w:rsidRPr="00D53507">
              <w:rPr>
                <w:rFonts w:ascii="Times New Roman" w:hAnsi="Times New Roman"/>
                <w:sz w:val="26"/>
                <w:szCs w:val="26"/>
                <w:lang w:val="lv-LV"/>
              </w:rPr>
              <w:t>.</w:t>
            </w:r>
          </w:p>
        </w:tc>
      </w:tr>
      <w:tr w:rsidR="00074799" w:rsidRPr="0025359C" w14:paraId="5D255216" w14:textId="77777777" w:rsidTr="00904543">
        <w:trPr>
          <w:trHeight w:val="450"/>
        </w:trPr>
        <w:tc>
          <w:tcPr>
            <w:tcW w:w="250" w:type="pct"/>
            <w:hideMark/>
          </w:tcPr>
          <w:p w14:paraId="16D9FB1C" w14:textId="77777777" w:rsidR="00074799" w:rsidRPr="00D53507" w:rsidRDefault="00074799"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2.</w:t>
            </w:r>
          </w:p>
        </w:tc>
        <w:tc>
          <w:tcPr>
            <w:tcW w:w="1900" w:type="pct"/>
            <w:hideMark/>
          </w:tcPr>
          <w:p w14:paraId="4383261B" w14:textId="77777777" w:rsidR="00074799" w:rsidRPr="00D53507" w:rsidRDefault="00074799"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 xml:space="preserve">Projekta izpildes ietekme uz pārvaldes funkcijām un institucionālo struktūru. </w:t>
            </w:r>
          </w:p>
          <w:p w14:paraId="1959B7D9" w14:textId="77777777" w:rsidR="00074799" w:rsidRPr="00D53507" w:rsidRDefault="00074799"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Jaunu institūciju izveide, esošu institūciju likvidācija vai reorganizācija, to ietekme uz institūcijas cilvēkresursiem</w:t>
            </w:r>
          </w:p>
        </w:tc>
        <w:tc>
          <w:tcPr>
            <w:tcW w:w="2850" w:type="pct"/>
          </w:tcPr>
          <w:p w14:paraId="399A93F3" w14:textId="77777777" w:rsidR="00995CD2" w:rsidRPr="00D53507" w:rsidRDefault="00995CD2" w:rsidP="00F5656B">
            <w:pPr>
              <w:pStyle w:val="NoSpacing"/>
              <w:jc w:val="both"/>
              <w:rPr>
                <w:rFonts w:ascii="Times New Roman" w:hAnsi="Times New Roman" w:cs="Times New Roman"/>
                <w:sz w:val="26"/>
                <w:szCs w:val="26"/>
                <w:lang w:val="lv-LV"/>
              </w:rPr>
            </w:pPr>
          </w:p>
          <w:p w14:paraId="5FC75C04" w14:textId="2F02D000" w:rsidR="00C76F47" w:rsidRPr="00D53507" w:rsidRDefault="00C76F47" w:rsidP="00F5656B">
            <w:pPr>
              <w:pStyle w:val="NoSpacing"/>
              <w:jc w:val="both"/>
              <w:rPr>
                <w:rFonts w:ascii="Times New Roman" w:hAnsi="Times New Roman" w:cs="Times New Roman"/>
                <w:sz w:val="26"/>
                <w:szCs w:val="26"/>
                <w:lang w:val="lv-LV"/>
              </w:rPr>
            </w:pPr>
            <w:r w:rsidRPr="00D53507">
              <w:rPr>
                <w:rFonts w:ascii="Times New Roman" w:hAnsi="Times New Roman" w:cs="Times New Roman"/>
                <w:sz w:val="26"/>
                <w:szCs w:val="26"/>
                <w:lang w:val="lv-LV"/>
              </w:rPr>
              <w:t>Projekta īstenošana tiks veikta esošo cilvēkresursu ietvaros.</w:t>
            </w:r>
          </w:p>
          <w:p w14:paraId="7E21FC36" w14:textId="19F24C05" w:rsidR="00C76F47" w:rsidRPr="00D53507" w:rsidRDefault="00C76F47" w:rsidP="00F5656B">
            <w:pPr>
              <w:pStyle w:val="NoSpacing"/>
              <w:jc w:val="both"/>
              <w:rPr>
                <w:rFonts w:ascii="Times New Roman" w:hAnsi="Times New Roman" w:cs="Times New Roman"/>
                <w:sz w:val="26"/>
                <w:szCs w:val="26"/>
                <w:lang w:val="lv-LV"/>
              </w:rPr>
            </w:pPr>
            <w:r w:rsidRPr="00D53507">
              <w:rPr>
                <w:rFonts w:ascii="Times New Roman" w:hAnsi="Times New Roman" w:cs="Times New Roman"/>
                <w:sz w:val="26"/>
                <w:szCs w:val="26"/>
                <w:lang w:val="lv-LV"/>
              </w:rPr>
              <w:t>Saistībā ar projekta izpildi nebūs nepieciešams veidot jaunas institūcijas vai likvidēt, reorganizēt esošās.</w:t>
            </w:r>
          </w:p>
          <w:p w14:paraId="21EEB1BD" w14:textId="783E3503" w:rsidR="00B7545C" w:rsidRPr="00D53507" w:rsidRDefault="00B7545C" w:rsidP="00F5656B">
            <w:pPr>
              <w:pStyle w:val="NoSpacing"/>
              <w:jc w:val="both"/>
              <w:rPr>
                <w:rFonts w:ascii="Times New Roman" w:hAnsi="Times New Roman" w:cs="Times New Roman"/>
                <w:sz w:val="26"/>
                <w:szCs w:val="26"/>
                <w:lang w:val="lv-LV"/>
              </w:rPr>
            </w:pPr>
          </w:p>
        </w:tc>
      </w:tr>
      <w:tr w:rsidR="00074799" w:rsidRPr="00D53507" w14:paraId="11575BFB" w14:textId="77777777" w:rsidTr="00904543">
        <w:trPr>
          <w:trHeight w:val="390"/>
        </w:trPr>
        <w:tc>
          <w:tcPr>
            <w:tcW w:w="250" w:type="pct"/>
            <w:hideMark/>
          </w:tcPr>
          <w:p w14:paraId="7BCAF932" w14:textId="14A45F6A" w:rsidR="00074799" w:rsidRPr="00D53507" w:rsidRDefault="00074799"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3.</w:t>
            </w:r>
          </w:p>
        </w:tc>
        <w:tc>
          <w:tcPr>
            <w:tcW w:w="1900" w:type="pct"/>
            <w:hideMark/>
          </w:tcPr>
          <w:p w14:paraId="34C6DFE3" w14:textId="77777777" w:rsidR="00074799" w:rsidRPr="00D53507" w:rsidRDefault="00074799"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Cita informācija</w:t>
            </w:r>
          </w:p>
        </w:tc>
        <w:tc>
          <w:tcPr>
            <w:tcW w:w="2850" w:type="pct"/>
          </w:tcPr>
          <w:p w14:paraId="4C87D085" w14:textId="77777777" w:rsidR="00074799" w:rsidRPr="00D53507" w:rsidRDefault="00904543" w:rsidP="00904543">
            <w:pPr>
              <w:pStyle w:val="NoSpacing"/>
              <w:rPr>
                <w:rFonts w:ascii="Times New Roman" w:hAnsi="Times New Roman" w:cs="Times New Roman"/>
                <w:sz w:val="26"/>
                <w:szCs w:val="26"/>
                <w:lang w:val="lv-LV"/>
              </w:rPr>
            </w:pPr>
            <w:r w:rsidRPr="00D53507">
              <w:rPr>
                <w:rFonts w:ascii="Times New Roman" w:hAnsi="Times New Roman" w:cs="Times New Roman"/>
                <w:sz w:val="26"/>
                <w:szCs w:val="26"/>
                <w:lang w:val="lv-LV"/>
              </w:rPr>
              <w:t>Nav.</w:t>
            </w:r>
          </w:p>
        </w:tc>
      </w:tr>
    </w:tbl>
    <w:p w14:paraId="5F70619B" w14:textId="77777777" w:rsidR="0042478A" w:rsidRPr="00D53507" w:rsidRDefault="0042478A" w:rsidP="000B43B1">
      <w:pPr>
        <w:pStyle w:val="NoSpacing"/>
        <w:rPr>
          <w:rFonts w:ascii="Times New Roman" w:hAnsi="Times New Roman" w:cs="Times New Roman"/>
          <w:sz w:val="26"/>
          <w:szCs w:val="26"/>
          <w:lang w:val="lv-LV"/>
        </w:rPr>
      </w:pPr>
    </w:p>
    <w:p w14:paraId="755D64B3" w14:textId="77777777" w:rsidR="003357E6" w:rsidRPr="00D53507" w:rsidRDefault="003357E6" w:rsidP="000B43B1">
      <w:pPr>
        <w:pStyle w:val="NoSpacing"/>
        <w:rPr>
          <w:rFonts w:ascii="Times New Roman" w:hAnsi="Times New Roman" w:cs="Times New Roman"/>
          <w:sz w:val="26"/>
          <w:szCs w:val="26"/>
          <w:lang w:val="lv-LV"/>
        </w:rPr>
      </w:pPr>
    </w:p>
    <w:p w14:paraId="7A2AA532" w14:textId="77777777" w:rsidR="00995CD2" w:rsidRPr="00D53507" w:rsidRDefault="00995CD2" w:rsidP="000B43B1">
      <w:pPr>
        <w:pStyle w:val="NoSpacing"/>
        <w:rPr>
          <w:rFonts w:ascii="Times New Roman" w:hAnsi="Times New Roman" w:cs="Times New Roman"/>
          <w:sz w:val="26"/>
          <w:szCs w:val="26"/>
          <w:lang w:val="lv-LV"/>
        </w:rPr>
      </w:pPr>
    </w:p>
    <w:p w14:paraId="18264740" w14:textId="77BC0552" w:rsidR="000B43B1" w:rsidRPr="00D53507" w:rsidRDefault="00D02033" w:rsidP="00F5656B">
      <w:pPr>
        <w:pStyle w:val="NoSpacing"/>
        <w:ind w:firstLine="720"/>
        <w:rPr>
          <w:rFonts w:ascii="Times New Roman" w:hAnsi="Times New Roman" w:cs="Times New Roman"/>
          <w:sz w:val="28"/>
          <w:szCs w:val="28"/>
          <w:lang w:val="lv-LV"/>
        </w:rPr>
      </w:pPr>
      <w:r w:rsidRPr="00D53507">
        <w:rPr>
          <w:rFonts w:ascii="Times New Roman" w:hAnsi="Times New Roman" w:cs="Times New Roman"/>
          <w:sz w:val="28"/>
          <w:szCs w:val="28"/>
          <w:lang w:val="lv-LV"/>
        </w:rPr>
        <w:t>Satiksmes ministr</w:t>
      </w:r>
      <w:r w:rsidR="00833619" w:rsidRPr="00D53507">
        <w:rPr>
          <w:rFonts w:ascii="Times New Roman" w:hAnsi="Times New Roman" w:cs="Times New Roman"/>
          <w:sz w:val="28"/>
          <w:szCs w:val="28"/>
          <w:lang w:val="lv-LV"/>
        </w:rPr>
        <w:t>s</w:t>
      </w:r>
      <w:r w:rsidR="00255D53" w:rsidRPr="00D53507">
        <w:rPr>
          <w:rFonts w:ascii="Times New Roman" w:hAnsi="Times New Roman" w:cs="Times New Roman"/>
          <w:sz w:val="28"/>
          <w:szCs w:val="28"/>
          <w:lang w:val="lv-LV"/>
        </w:rPr>
        <w:tab/>
      </w:r>
      <w:r w:rsidR="00255D53" w:rsidRPr="00D53507">
        <w:rPr>
          <w:rFonts w:ascii="Times New Roman" w:hAnsi="Times New Roman" w:cs="Times New Roman"/>
          <w:sz w:val="28"/>
          <w:szCs w:val="28"/>
          <w:lang w:val="lv-LV"/>
        </w:rPr>
        <w:tab/>
      </w:r>
      <w:r w:rsidR="00255D53" w:rsidRPr="00D53507">
        <w:rPr>
          <w:rFonts w:ascii="Times New Roman" w:hAnsi="Times New Roman" w:cs="Times New Roman"/>
          <w:sz w:val="28"/>
          <w:szCs w:val="28"/>
          <w:lang w:val="lv-LV"/>
        </w:rPr>
        <w:tab/>
      </w:r>
      <w:r w:rsidR="00255D53" w:rsidRPr="00D53507">
        <w:rPr>
          <w:rFonts w:ascii="Times New Roman" w:hAnsi="Times New Roman" w:cs="Times New Roman"/>
          <w:sz w:val="28"/>
          <w:szCs w:val="28"/>
          <w:lang w:val="lv-LV"/>
        </w:rPr>
        <w:tab/>
      </w:r>
      <w:r w:rsidR="00255D53" w:rsidRPr="00D53507">
        <w:rPr>
          <w:rFonts w:ascii="Times New Roman" w:hAnsi="Times New Roman" w:cs="Times New Roman"/>
          <w:sz w:val="28"/>
          <w:szCs w:val="28"/>
          <w:lang w:val="lv-LV"/>
        </w:rPr>
        <w:tab/>
      </w:r>
      <w:r w:rsidR="003B11D6" w:rsidRPr="00D53507">
        <w:rPr>
          <w:rFonts w:ascii="Times New Roman" w:hAnsi="Times New Roman" w:cs="Times New Roman"/>
          <w:sz w:val="28"/>
          <w:szCs w:val="28"/>
          <w:lang w:val="lv-LV"/>
        </w:rPr>
        <w:tab/>
      </w:r>
      <w:r w:rsidR="00255D53" w:rsidRPr="00D53507">
        <w:rPr>
          <w:rFonts w:ascii="Times New Roman" w:hAnsi="Times New Roman" w:cs="Times New Roman"/>
          <w:sz w:val="28"/>
          <w:szCs w:val="28"/>
          <w:lang w:val="lv-LV"/>
        </w:rPr>
        <w:t>U. Augulis</w:t>
      </w:r>
    </w:p>
    <w:p w14:paraId="0F882623" w14:textId="77777777" w:rsidR="008F000D" w:rsidRPr="00D53507" w:rsidRDefault="008F000D" w:rsidP="000B43B1">
      <w:pPr>
        <w:pStyle w:val="NoSpacing"/>
        <w:ind w:firstLine="720"/>
        <w:jc w:val="both"/>
        <w:rPr>
          <w:rFonts w:ascii="Times New Roman" w:hAnsi="Times New Roman"/>
          <w:sz w:val="28"/>
          <w:szCs w:val="28"/>
          <w:lang w:val="lv-LV"/>
        </w:rPr>
      </w:pPr>
    </w:p>
    <w:p w14:paraId="752BD5EB" w14:textId="77777777" w:rsidR="003357E6" w:rsidRPr="00D53507" w:rsidRDefault="003357E6" w:rsidP="000B43B1">
      <w:pPr>
        <w:pStyle w:val="NoSpacing"/>
        <w:ind w:firstLine="720"/>
        <w:jc w:val="both"/>
        <w:rPr>
          <w:rFonts w:ascii="Times New Roman" w:hAnsi="Times New Roman"/>
          <w:sz w:val="28"/>
          <w:szCs w:val="28"/>
          <w:lang w:val="lv-LV"/>
        </w:rPr>
      </w:pPr>
    </w:p>
    <w:p w14:paraId="2DBA83F8" w14:textId="77777777" w:rsidR="000B43B1" w:rsidRPr="00D53507" w:rsidRDefault="000B43B1" w:rsidP="000B43B1">
      <w:pPr>
        <w:pStyle w:val="NoSpacing"/>
        <w:ind w:firstLine="720"/>
        <w:jc w:val="both"/>
        <w:rPr>
          <w:rFonts w:ascii="Times New Roman" w:hAnsi="Times New Roman"/>
          <w:sz w:val="28"/>
          <w:szCs w:val="28"/>
          <w:lang w:val="lv-LV"/>
        </w:rPr>
      </w:pPr>
      <w:r w:rsidRPr="00D53507">
        <w:rPr>
          <w:rFonts w:ascii="Times New Roman" w:hAnsi="Times New Roman"/>
          <w:sz w:val="28"/>
          <w:szCs w:val="28"/>
          <w:lang w:val="lv-LV"/>
        </w:rPr>
        <w:t>Vīza:</w:t>
      </w:r>
    </w:p>
    <w:p w14:paraId="676594A3" w14:textId="77777777" w:rsidR="000B43B1" w:rsidRPr="00D53507" w:rsidRDefault="000B43B1" w:rsidP="000B43B1">
      <w:pPr>
        <w:pStyle w:val="NoSpacing"/>
        <w:ind w:firstLine="720"/>
        <w:rPr>
          <w:rFonts w:ascii="Times New Roman" w:hAnsi="Times New Roman"/>
          <w:sz w:val="28"/>
          <w:szCs w:val="28"/>
          <w:lang w:val="lv-LV"/>
        </w:rPr>
      </w:pPr>
      <w:r w:rsidRPr="00D53507">
        <w:rPr>
          <w:rFonts w:ascii="Times New Roman" w:hAnsi="Times New Roman"/>
          <w:sz w:val="28"/>
          <w:szCs w:val="28"/>
          <w:lang w:val="lv-LV"/>
        </w:rPr>
        <w:t>Valsts sekretārs</w:t>
      </w:r>
      <w:r w:rsidRPr="00D53507">
        <w:rPr>
          <w:rFonts w:ascii="Times New Roman" w:hAnsi="Times New Roman"/>
          <w:sz w:val="28"/>
          <w:szCs w:val="28"/>
          <w:lang w:val="lv-LV"/>
        </w:rPr>
        <w:tab/>
      </w:r>
      <w:r w:rsidRPr="00D53507">
        <w:rPr>
          <w:rFonts w:ascii="Times New Roman" w:hAnsi="Times New Roman"/>
          <w:sz w:val="28"/>
          <w:szCs w:val="28"/>
          <w:lang w:val="lv-LV"/>
        </w:rPr>
        <w:tab/>
      </w:r>
      <w:r w:rsidRPr="00D53507">
        <w:rPr>
          <w:rFonts w:ascii="Times New Roman" w:hAnsi="Times New Roman"/>
          <w:sz w:val="28"/>
          <w:szCs w:val="28"/>
          <w:lang w:val="lv-LV"/>
        </w:rPr>
        <w:tab/>
      </w:r>
      <w:r w:rsidRPr="00D53507">
        <w:rPr>
          <w:rFonts w:ascii="Times New Roman" w:hAnsi="Times New Roman"/>
          <w:sz w:val="28"/>
          <w:szCs w:val="28"/>
          <w:lang w:val="lv-LV"/>
        </w:rPr>
        <w:tab/>
      </w:r>
      <w:r w:rsidRPr="00D53507">
        <w:rPr>
          <w:rFonts w:ascii="Times New Roman" w:hAnsi="Times New Roman"/>
          <w:sz w:val="28"/>
          <w:szCs w:val="28"/>
          <w:lang w:val="lv-LV"/>
        </w:rPr>
        <w:tab/>
      </w:r>
      <w:r w:rsidRPr="00D53507">
        <w:rPr>
          <w:rFonts w:ascii="Times New Roman" w:hAnsi="Times New Roman"/>
          <w:sz w:val="28"/>
          <w:szCs w:val="28"/>
          <w:lang w:val="lv-LV"/>
        </w:rPr>
        <w:tab/>
        <w:t>K. Ozoliņš</w:t>
      </w:r>
    </w:p>
    <w:p w14:paraId="3F041F5C" w14:textId="77777777" w:rsidR="003357E6" w:rsidRPr="00D53507" w:rsidRDefault="003357E6" w:rsidP="000B43B1">
      <w:pPr>
        <w:pStyle w:val="NoSpacing"/>
        <w:rPr>
          <w:rFonts w:ascii="Times New Roman" w:hAnsi="Times New Roman"/>
          <w:sz w:val="24"/>
          <w:szCs w:val="24"/>
          <w:lang w:val="lv-LV"/>
        </w:rPr>
      </w:pPr>
    </w:p>
    <w:p w14:paraId="782E1725" w14:textId="77777777" w:rsidR="0038569E" w:rsidRDefault="0038569E" w:rsidP="000B43B1">
      <w:pPr>
        <w:pStyle w:val="NoSpacing"/>
        <w:rPr>
          <w:rFonts w:ascii="Times New Roman" w:hAnsi="Times New Roman"/>
          <w:sz w:val="24"/>
          <w:szCs w:val="24"/>
          <w:lang w:val="lv-LV"/>
        </w:rPr>
      </w:pPr>
    </w:p>
    <w:p w14:paraId="70F0B4D9" w14:textId="77777777" w:rsidR="006C3CAD" w:rsidRDefault="006C3CAD" w:rsidP="000B43B1">
      <w:pPr>
        <w:pStyle w:val="NoSpacing"/>
        <w:rPr>
          <w:rFonts w:ascii="Times New Roman" w:hAnsi="Times New Roman"/>
          <w:sz w:val="24"/>
          <w:szCs w:val="24"/>
          <w:lang w:val="lv-LV"/>
        </w:rPr>
      </w:pPr>
    </w:p>
    <w:p w14:paraId="5D56D4A7" w14:textId="77777777" w:rsidR="006C3CAD" w:rsidRPr="00D53507" w:rsidRDefault="006C3CAD" w:rsidP="000B43B1">
      <w:pPr>
        <w:pStyle w:val="NoSpacing"/>
        <w:rPr>
          <w:rFonts w:ascii="Times New Roman" w:hAnsi="Times New Roman"/>
          <w:sz w:val="24"/>
          <w:szCs w:val="24"/>
          <w:lang w:val="lv-LV"/>
        </w:rPr>
      </w:pPr>
    </w:p>
    <w:p w14:paraId="0E26A93D" w14:textId="1689B04B" w:rsidR="006158D1" w:rsidRPr="006C3CAD" w:rsidRDefault="005D5B72" w:rsidP="000B43B1">
      <w:pPr>
        <w:pStyle w:val="NoSpacing"/>
        <w:rPr>
          <w:rFonts w:ascii="Times New Roman" w:hAnsi="Times New Roman"/>
          <w:sz w:val="20"/>
          <w:szCs w:val="20"/>
          <w:lang w:val="lv-LV"/>
        </w:rPr>
      </w:pPr>
      <w:r>
        <w:rPr>
          <w:rFonts w:ascii="Times New Roman" w:hAnsi="Times New Roman"/>
          <w:sz w:val="20"/>
          <w:szCs w:val="20"/>
          <w:lang w:val="lv-LV"/>
        </w:rPr>
        <w:t>07.04</w:t>
      </w:r>
      <w:r w:rsidR="00D02033" w:rsidRPr="006C3CAD">
        <w:rPr>
          <w:rFonts w:ascii="Times New Roman" w:hAnsi="Times New Roman"/>
          <w:sz w:val="20"/>
          <w:szCs w:val="20"/>
          <w:lang w:val="lv-LV"/>
        </w:rPr>
        <w:t>.2016</w:t>
      </w:r>
      <w:r w:rsidR="00802DC0" w:rsidRPr="006C3CAD">
        <w:rPr>
          <w:rFonts w:ascii="Times New Roman" w:hAnsi="Times New Roman"/>
          <w:sz w:val="20"/>
          <w:szCs w:val="20"/>
          <w:lang w:val="lv-LV"/>
        </w:rPr>
        <w:t xml:space="preserve">.  </w:t>
      </w:r>
      <w:r w:rsidR="006158D1" w:rsidRPr="006C3CAD">
        <w:rPr>
          <w:rFonts w:ascii="Times New Roman" w:hAnsi="Times New Roman"/>
          <w:sz w:val="20"/>
          <w:szCs w:val="20"/>
          <w:lang w:val="lv-LV"/>
        </w:rPr>
        <w:t>14:30</w:t>
      </w:r>
    </w:p>
    <w:p w14:paraId="7C3749D2" w14:textId="61D3950F" w:rsidR="00707042" w:rsidRPr="006C3CAD" w:rsidRDefault="0025359C" w:rsidP="000B43B1">
      <w:pPr>
        <w:pStyle w:val="NoSpacing"/>
        <w:rPr>
          <w:rFonts w:ascii="Times New Roman" w:hAnsi="Times New Roman"/>
          <w:sz w:val="20"/>
          <w:szCs w:val="20"/>
          <w:lang w:val="lv-LV"/>
        </w:rPr>
      </w:pPr>
      <w:r>
        <w:rPr>
          <w:rFonts w:ascii="Times New Roman" w:hAnsi="Times New Roman"/>
          <w:sz w:val="20"/>
          <w:szCs w:val="20"/>
          <w:lang w:val="lv-LV"/>
        </w:rPr>
        <w:t>2169</w:t>
      </w:r>
    </w:p>
    <w:p w14:paraId="586198C4" w14:textId="77777777" w:rsidR="006424B2" w:rsidRPr="006C3CAD" w:rsidRDefault="006424B2" w:rsidP="006424B2">
      <w:pPr>
        <w:pStyle w:val="NoSpacing"/>
        <w:rPr>
          <w:rFonts w:ascii="Times New Roman" w:hAnsi="Times New Roman"/>
          <w:sz w:val="20"/>
          <w:szCs w:val="20"/>
          <w:lang w:val="lv-LV"/>
        </w:rPr>
      </w:pPr>
      <w:r w:rsidRPr="006C3CAD">
        <w:rPr>
          <w:rFonts w:ascii="Times New Roman" w:hAnsi="Times New Roman"/>
          <w:sz w:val="20"/>
          <w:szCs w:val="20"/>
          <w:lang w:val="lv-LV"/>
        </w:rPr>
        <w:t>S.Lielbārde</w:t>
      </w:r>
    </w:p>
    <w:p w14:paraId="332E7AEF" w14:textId="0D0A3A71" w:rsidR="006424B2" w:rsidRPr="006C3CAD" w:rsidRDefault="006424B2" w:rsidP="0025359C">
      <w:pPr>
        <w:pStyle w:val="NoSpacing"/>
        <w:tabs>
          <w:tab w:val="left" w:pos="5342"/>
        </w:tabs>
        <w:rPr>
          <w:rFonts w:ascii="Times New Roman" w:hAnsi="Times New Roman"/>
          <w:sz w:val="20"/>
          <w:szCs w:val="20"/>
          <w:lang w:val="lv-LV"/>
        </w:rPr>
      </w:pPr>
      <w:r w:rsidRPr="006C3CAD">
        <w:rPr>
          <w:rFonts w:ascii="Times New Roman" w:hAnsi="Times New Roman"/>
          <w:sz w:val="20"/>
          <w:szCs w:val="20"/>
          <w:lang w:val="lv-LV"/>
        </w:rPr>
        <w:t xml:space="preserve">67062187, </w:t>
      </w:r>
      <w:r w:rsidR="0025359C">
        <w:rPr>
          <w:rFonts w:ascii="Times New Roman" w:hAnsi="Times New Roman"/>
          <w:sz w:val="20"/>
          <w:szCs w:val="20"/>
          <w:lang w:val="lv-LV"/>
        </w:rPr>
        <w:tab/>
      </w:r>
    </w:p>
    <w:p w14:paraId="4D76A649" w14:textId="192EF39A" w:rsidR="000B43B1" w:rsidRPr="006C3CAD" w:rsidRDefault="006424B2" w:rsidP="006424B2">
      <w:pPr>
        <w:pStyle w:val="NoSpacing"/>
        <w:rPr>
          <w:sz w:val="20"/>
          <w:szCs w:val="20"/>
          <w:lang w:val="lv-LV"/>
        </w:rPr>
      </w:pPr>
      <w:r w:rsidRPr="006C3CAD">
        <w:rPr>
          <w:rFonts w:ascii="Times New Roman" w:hAnsi="Times New Roman"/>
          <w:sz w:val="20"/>
          <w:szCs w:val="20"/>
          <w:lang w:val="lv-LV"/>
        </w:rPr>
        <w:t>sandra.lielbarde@lja.lv</w:t>
      </w:r>
    </w:p>
    <w:sectPr w:rsidR="000B43B1" w:rsidRPr="006C3CAD" w:rsidSect="0070704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6841" w14:textId="77777777" w:rsidR="00B977C9" w:rsidRDefault="00B977C9" w:rsidP="00EB15B2">
      <w:pPr>
        <w:spacing w:after="0" w:line="240" w:lineRule="auto"/>
      </w:pPr>
      <w:r>
        <w:separator/>
      </w:r>
    </w:p>
  </w:endnote>
  <w:endnote w:type="continuationSeparator" w:id="0">
    <w:p w14:paraId="4535523B" w14:textId="77777777" w:rsidR="00B977C9" w:rsidRDefault="00B977C9"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8086" w14:textId="5100D34B" w:rsidR="004217D3" w:rsidRPr="00CB0B42" w:rsidRDefault="004217D3" w:rsidP="00CB0B42">
    <w:pPr>
      <w:pStyle w:val="NoSpacing"/>
      <w:jc w:val="both"/>
      <w:rPr>
        <w:rFonts w:ascii="Times New Roman" w:eastAsia="Times New Roman" w:hAnsi="Times New Roman" w:cs="Times New Roman"/>
        <w:bCs/>
        <w:sz w:val="24"/>
        <w:szCs w:val="24"/>
      </w:rPr>
    </w:pPr>
    <w:r w:rsidRPr="00CB0B42">
      <w:rPr>
        <w:rFonts w:ascii="Times New Roman" w:hAnsi="Times New Roman" w:cs="Times New Roman"/>
        <w:sz w:val="24"/>
        <w:szCs w:val="24"/>
        <w:lang w:val="lv-LV"/>
      </w:rPr>
      <w:t>SAMAnot_</w:t>
    </w:r>
    <w:r w:rsidR="005D5B72">
      <w:rPr>
        <w:rFonts w:ascii="Times New Roman" w:hAnsi="Times New Roman" w:cs="Times New Roman"/>
        <w:sz w:val="24"/>
        <w:szCs w:val="24"/>
        <w:lang w:val="lv-LV"/>
      </w:rPr>
      <w:t>0704</w:t>
    </w:r>
    <w:r>
      <w:rPr>
        <w:rFonts w:ascii="Times New Roman" w:hAnsi="Times New Roman" w:cs="Times New Roman"/>
        <w:sz w:val="24"/>
        <w:szCs w:val="24"/>
        <w:lang w:val="lv-LV"/>
      </w:rPr>
      <w:t>16</w:t>
    </w:r>
    <w:r w:rsidRPr="00CB0B42">
      <w:rPr>
        <w:rFonts w:ascii="Times New Roman" w:hAnsi="Times New Roman" w:cs="Times New Roman"/>
        <w:sz w:val="24"/>
        <w:szCs w:val="24"/>
        <w:lang w:val="lv-LV"/>
      </w:rPr>
      <w:t xml:space="preserve">_JPJDL; </w:t>
    </w:r>
    <w:r w:rsidRPr="00BA1036">
      <w:rPr>
        <w:rFonts w:ascii="Times New Roman" w:hAnsi="Times New Roman" w:cs="Times New Roman"/>
        <w:sz w:val="24"/>
        <w:szCs w:val="24"/>
        <w:lang w:val="lv-LV"/>
      </w:rPr>
      <w:t xml:space="preserve">Likumprojekta „Grozījumi Jūrlietu pārvaldes un jūras drošības likumā” </w:t>
    </w:r>
    <w:r w:rsidRPr="00BA1036">
      <w:rPr>
        <w:rFonts w:ascii="Times New Roman" w:eastAsia="Times New Roman" w:hAnsi="Times New Roman" w:cs="Times New Roman"/>
        <w:bCs/>
        <w:sz w:val="24"/>
        <w:szCs w:val="24"/>
        <w:lang w:val="lv-LV"/>
      </w:rPr>
      <w:t>sākotnējās ietekmes novērtējuma ziņojums (anotācija)</w:t>
    </w:r>
  </w:p>
  <w:p w14:paraId="5C4A66BA" w14:textId="77777777" w:rsidR="004217D3" w:rsidRPr="00EB15B2" w:rsidRDefault="004217D3" w:rsidP="00EB15B2">
    <w:pPr>
      <w:pStyle w:val="Footer"/>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66D8" w14:textId="58761CC5" w:rsidR="004217D3" w:rsidRPr="00BA1036" w:rsidRDefault="004217D3" w:rsidP="002906CF">
    <w:pPr>
      <w:pStyle w:val="NoSpacing"/>
      <w:jc w:val="both"/>
      <w:rPr>
        <w:rFonts w:ascii="Times New Roman" w:eastAsia="Times New Roman" w:hAnsi="Times New Roman" w:cs="Times New Roman"/>
        <w:bCs/>
        <w:sz w:val="24"/>
        <w:szCs w:val="24"/>
        <w:lang w:val="lv-LV"/>
      </w:rPr>
    </w:pPr>
    <w:r w:rsidRPr="00CB0B42">
      <w:rPr>
        <w:rFonts w:ascii="Times New Roman" w:hAnsi="Times New Roman" w:cs="Times New Roman"/>
        <w:sz w:val="24"/>
        <w:szCs w:val="24"/>
        <w:lang w:val="lv-LV"/>
      </w:rPr>
      <w:t>SAMAnot_</w:t>
    </w:r>
    <w:r w:rsidR="005D5B72">
      <w:rPr>
        <w:rFonts w:ascii="Times New Roman" w:hAnsi="Times New Roman" w:cs="Times New Roman"/>
        <w:sz w:val="24"/>
        <w:szCs w:val="24"/>
        <w:lang w:val="lv-LV"/>
      </w:rPr>
      <w:t>0704</w:t>
    </w:r>
    <w:r>
      <w:rPr>
        <w:rFonts w:ascii="Times New Roman" w:hAnsi="Times New Roman" w:cs="Times New Roman"/>
        <w:sz w:val="24"/>
        <w:szCs w:val="24"/>
        <w:lang w:val="lv-LV"/>
      </w:rPr>
      <w:t>16</w:t>
    </w:r>
    <w:r w:rsidRPr="00CB0B42">
      <w:rPr>
        <w:rFonts w:ascii="Times New Roman" w:hAnsi="Times New Roman" w:cs="Times New Roman"/>
        <w:sz w:val="24"/>
        <w:szCs w:val="24"/>
        <w:lang w:val="lv-LV"/>
      </w:rPr>
      <w:t xml:space="preserve">_JPJDL; </w:t>
    </w:r>
    <w:r w:rsidRPr="00BA1036">
      <w:rPr>
        <w:rFonts w:ascii="Times New Roman" w:hAnsi="Times New Roman" w:cs="Times New Roman"/>
        <w:sz w:val="24"/>
        <w:szCs w:val="24"/>
        <w:lang w:val="lv-LV"/>
      </w:rPr>
      <w:t xml:space="preserve">Likumprojekta „Grozījumi Jūrlietu pārvaldes un jūras drošības likumā” </w:t>
    </w:r>
    <w:r w:rsidRPr="00BA1036">
      <w:rPr>
        <w:rFonts w:ascii="Times New Roman" w:eastAsia="Times New Roman" w:hAnsi="Times New Roman" w:cs="Times New Roman"/>
        <w:bCs/>
        <w:sz w:val="24"/>
        <w:szCs w:val="24"/>
        <w:lang w:val="lv-LV"/>
      </w:rPr>
      <w:t>sākotnējās ietekmes novērtējuma ziņojums (anotācija)</w:t>
    </w:r>
  </w:p>
  <w:p w14:paraId="7B67221D" w14:textId="77777777" w:rsidR="004217D3" w:rsidRPr="00BA1036" w:rsidRDefault="004217D3">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2566" w14:textId="77777777" w:rsidR="00B977C9" w:rsidRDefault="00B977C9" w:rsidP="00EB15B2">
      <w:pPr>
        <w:spacing w:after="0" w:line="240" w:lineRule="auto"/>
      </w:pPr>
      <w:r>
        <w:separator/>
      </w:r>
    </w:p>
  </w:footnote>
  <w:footnote w:type="continuationSeparator" w:id="0">
    <w:p w14:paraId="07679D86" w14:textId="77777777" w:rsidR="00B977C9" w:rsidRDefault="00B977C9" w:rsidP="00EB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36064"/>
      <w:docPartObj>
        <w:docPartGallery w:val="Page Numbers (Top of Page)"/>
        <w:docPartUnique/>
      </w:docPartObj>
    </w:sdtPr>
    <w:sdtEndPr>
      <w:rPr>
        <w:noProof/>
      </w:rPr>
    </w:sdtEndPr>
    <w:sdtContent>
      <w:p w14:paraId="75E2BA56" w14:textId="77777777" w:rsidR="004217D3" w:rsidRDefault="004217D3">
        <w:pPr>
          <w:pStyle w:val="Header"/>
          <w:jc w:val="center"/>
        </w:pPr>
        <w:r>
          <w:fldChar w:fldCharType="begin"/>
        </w:r>
        <w:r>
          <w:instrText xml:space="preserve"> PAGE   \* MERGEFORMAT </w:instrText>
        </w:r>
        <w:r>
          <w:fldChar w:fldCharType="separate"/>
        </w:r>
        <w:r w:rsidR="00F24982">
          <w:rPr>
            <w:noProof/>
          </w:rPr>
          <w:t>9</w:t>
        </w:r>
        <w:r>
          <w:rPr>
            <w:noProof/>
          </w:rPr>
          <w:fldChar w:fldCharType="end"/>
        </w:r>
      </w:p>
    </w:sdtContent>
  </w:sdt>
  <w:p w14:paraId="16136005" w14:textId="77777777" w:rsidR="004217D3" w:rsidRDefault="00421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15:restartNumberingAfterBreak="0">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15:restartNumberingAfterBreak="0">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3"/>
    <w:rsid w:val="00002856"/>
    <w:rsid w:val="0000766A"/>
    <w:rsid w:val="00017BAA"/>
    <w:rsid w:val="00031E01"/>
    <w:rsid w:val="00037D64"/>
    <w:rsid w:val="00043239"/>
    <w:rsid w:val="000432F0"/>
    <w:rsid w:val="000545C5"/>
    <w:rsid w:val="00055802"/>
    <w:rsid w:val="00055EC5"/>
    <w:rsid w:val="00060B5F"/>
    <w:rsid w:val="00062E6E"/>
    <w:rsid w:val="00063DED"/>
    <w:rsid w:val="00066F9A"/>
    <w:rsid w:val="000717D4"/>
    <w:rsid w:val="00071941"/>
    <w:rsid w:val="00074799"/>
    <w:rsid w:val="000834AB"/>
    <w:rsid w:val="0009280D"/>
    <w:rsid w:val="0009393A"/>
    <w:rsid w:val="00096230"/>
    <w:rsid w:val="000A2C69"/>
    <w:rsid w:val="000A3479"/>
    <w:rsid w:val="000A6391"/>
    <w:rsid w:val="000A6C88"/>
    <w:rsid w:val="000A7B7B"/>
    <w:rsid w:val="000B393F"/>
    <w:rsid w:val="000B43B1"/>
    <w:rsid w:val="000B6649"/>
    <w:rsid w:val="000C2E51"/>
    <w:rsid w:val="000C35B7"/>
    <w:rsid w:val="000D23A5"/>
    <w:rsid w:val="000D4C3A"/>
    <w:rsid w:val="000E1D31"/>
    <w:rsid w:val="001023A6"/>
    <w:rsid w:val="001056DC"/>
    <w:rsid w:val="0011158E"/>
    <w:rsid w:val="001215E2"/>
    <w:rsid w:val="001263A1"/>
    <w:rsid w:val="00126FC6"/>
    <w:rsid w:val="001274DF"/>
    <w:rsid w:val="00132C46"/>
    <w:rsid w:val="00145D58"/>
    <w:rsid w:val="0015398A"/>
    <w:rsid w:val="0015454D"/>
    <w:rsid w:val="00157633"/>
    <w:rsid w:val="0015792D"/>
    <w:rsid w:val="00165DB3"/>
    <w:rsid w:val="00172A9B"/>
    <w:rsid w:val="001740FB"/>
    <w:rsid w:val="0017722A"/>
    <w:rsid w:val="00184C47"/>
    <w:rsid w:val="00186449"/>
    <w:rsid w:val="001869BB"/>
    <w:rsid w:val="001873E0"/>
    <w:rsid w:val="00190E45"/>
    <w:rsid w:val="001940F0"/>
    <w:rsid w:val="00197C68"/>
    <w:rsid w:val="001A7B63"/>
    <w:rsid w:val="001B31A3"/>
    <w:rsid w:val="001B6353"/>
    <w:rsid w:val="001C7B6E"/>
    <w:rsid w:val="001D595C"/>
    <w:rsid w:val="001F1C05"/>
    <w:rsid w:val="001F4D11"/>
    <w:rsid w:val="002019B8"/>
    <w:rsid w:val="002307BD"/>
    <w:rsid w:val="0023113E"/>
    <w:rsid w:val="0023147C"/>
    <w:rsid w:val="002356E4"/>
    <w:rsid w:val="002409D9"/>
    <w:rsid w:val="00242F90"/>
    <w:rsid w:val="00245201"/>
    <w:rsid w:val="0025359C"/>
    <w:rsid w:val="00255D53"/>
    <w:rsid w:val="002767A7"/>
    <w:rsid w:val="002773FB"/>
    <w:rsid w:val="0028040F"/>
    <w:rsid w:val="00282788"/>
    <w:rsid w:val="00285BF6"/>
    <w:rsid w:val="00286C8D"/>
    <w:rsid w:val="00290522"/>
    <w:rsid w:val="002906CF"/>
    <w:rsid w:val="002951C2"/>
    <w:rsid w:val="00295570"/>
    <w:rsid w:val="002A79AA"/>
    <w:rsid w:val="002B0215"/>
    <w:rsid w:val="002B4ADE"/>
    <w:rsid w:val="002B658E"/>
    <w:rsid w:val="002B7DF8"/>
    <w:rsid w:val="002C05EA"/>
    <w:rsid w:val="002C0EDE"/>
    <w:rsid w:val="002C33CD"/>
    <w:rsid w:val="002D084A"/>
    <w:rsid w:val="002D1F1C"/>
    <w:rsid w:val="002D5CFB"/>
    <w:rsid w:val="002E03A5"/>
    <w:rsid w:val="002E0B92"/>
    <w:rsid w:val="002E0D6F"/>
    <w:rsid w:val="002F0F72"/>
    <w:rsid w:val="002F3DF5"/>
    <w:rsid w:val="002F4566"/>
    <w:rsid w:val="00300AA8"/>
    <w:rsid w:val="00301AAA"/>
    <w:rsid w:val="00316670"/>
    <w:rsid w:val="00316B5E"/>
    <w:rsid w:val="00323DB2"/>
    <w:rsid w:val="00325149"/>
    <w:rsid w:val="00326970"/>
    <w:rsid w:val="00330241"/>
    <w:rsid w:val="00333BF0"/>
    <w:rsid w:val="00334C4B"/>
    <w:rsid w:val="003357E6"/>
    <w:rsid w:val="0034055D"/>
    <w:rsid w:val="00351271"/>
    <w:rsid w:val="003517B3"/>
    <w:rsid w:val="00351DF0"/>
    <w:rsid w:val="00354CF6"/>
    <w:rsid w:val="0036068D"/>
    <w:rsid w:val="00361395"/>
    <w:rsid w:val="00362F86"/>
    <w:rsid w:val="003640AF"/>
    <w:rsid w:val="003643CA"/>
    <w:rsid w:val="0037543F"/>
    <w:rsid w:val="003771EA"/>
    <w:rsid w:val="00380596"/>
    <w:rsid w:val="0038369B"/>
    <w:rsid w:val="00384746"/>
    <w:rsid w:val="00384B86"/>
    <w:rsid w:val="0038569E"/>
    <w:rsid w:val="00386883"/>
    <w:rsid w:val="00386F7A"/>
    <w:rsid w:val="00390395"/>
    <w:rsid w:val="0039420E"/>
    <w:rsid w:val="00396024"/>
    <w:rsid w:val="003976AA"/>
    <w:rsid w:val="003A31D3"/>
    <w:rsid w:val="003A46B6"/>
    <w:rsid w:val="003B11D6"/>
    <w:rsid w:val="003B4169"/>
    <w:rsid w:val="003B5AAC"/>
    <w:rsid w:val="003B63E5"/>
    <w:rsid w:val="003C1454"/>
    <w:rsid w:val="003C319E"/>
    <w:rsid w:val="003C4812"/>
    <w:rsid w:val="003C6585"/>
    <w:rsid w:val="003D174F"/>
    <w:rsid w:val="003D3399"/>
    <w:rsid w:val="003D4297"/>
    <w:rsid w:val="003D4DBF"/>
    <w:rsid w:val="003D75C8"/>
    <w:rsid w:val="003E7BE1"/>
    <w:rsid w:val="003F5F4B"/>
    <w:rsid w:val="003F7839"/>
    <w:rsid w:val="004001F9"/>
    <w:rsid w:val="00402951"/>
    <w:rsid w:val="00407760"/>
    <w:rsid w:val="00412280"/>
    <w:rsid w:val="00414A2B"/>
    <w:rsid w:val="00416DF6"/>
    <w:rsid w:val="00420000"/>
    <w:rsid w:val="004217D3"/>
    <w:rsid w:val="004219A4"/>
    <w:rsid w:val="004228E0"/>
    <w:rsid w:val="004239CE"/>
    <w:rsid w:val="0042478A"/>
    <w:rsid w:val="00426DD2"/>
    <w:rsid w:val="00435498"/>
    <w:rsid w:val="00454AFF"/>
    <w:rsid w:val="00456A4A"/>
    <w:rsid w:val="00463857"/>
    <w:rsid w:val="00466689"/>
    <w:rsid w:val="00470A0D"/>
    <w:rsid w:val="004907D1"/>
    <w:rsid w:val="004949EC"/>
    <w:rsid w:val="004B0323"/>
    <w:rsid w:val="004B3665"/>
    <w:rsid w:val="004B475E"/>
    <w:rsid w:val="004B61A5"/>
    <w:rsid w:val="004C3AC6"/>
    <w:rsid w:val="004C40E2"/>
    <w:rsid w:val="004C6778"/>
    <w:rsid w:val="004D45C3"/>
    <w:rsid w:val="004D63F3"/>
    <w:rsid w:val="004E5DCC"/>
    <w:rsid w:val="00504A06"/>
    <w:rsid w:val="005138AC"/>
    <w:rsid w:val="00515064"/>
    <w:rsid w:val="00517A3D"/>
    <w:rsid w:val="00527AAB"/>
    <w:rsid w:val="00530C61"/>
    <w:rsid w:val="00536364"/>
    <w:rsid w:val="0053746D"/>
    <w:rsid w:val="00537D88"/>
    <w:rsid w:val="00544B7E"/>
    <w:rsid w:val="00545D72"/>
    <w:rsid w:val="005502CF"/>
    <w:rsid w:val="0056101E"/>
    <w:rsid w:val="0056195D"/>
    <w:rsid w:val="00564CBB"/>
    <w:rsid w:val="00576876"/>
    <w:rsid w:val="00576BDE"/>
    <w:rsid w:val="00584999"/>
    <w:rsid w:val="005B0C40"/>
    <w:rsid w:val="005B0E74"/>
    <w:rsid w:val="005B5847"/>
    <w:rsid w:val="005B6D94"/>
    <w:rsid w:val="005B7256"/>
    <w:rsid w:val="005B7B1C"/>
    <w:rsid w:val="005C3961"/>
    <w:rsid w:val="005C4A12"/>
    <w:rsid w:val="005D5B72"/>
    <w:rsid w:val="005E0285"/>
    <w:rsid w:val="005E6FDE"/>
    <w:rsid w:val="006158D1"/>
    <w:rsid w:val="0062167B"/>
    <w:rsid w:val="00632C70"/>
    <w:rsid w:val="0063508E"/>
    <w:rsid w:val="00635DD8"/>
    <w:rsid w:val="006424B2"/>
    <w:rsid w:val="00642898"/>
    <w:rsid w:val="00650270"/>
    <w:rsid w:val="00651CBD"/>
    <w:rsid w:val="00652D80"/>
    <w:rsid w:val="006560AD"/>
    <w:rsid w:val="00663C4F"/>
    <w:rsid w:val="00683030"/>
    <w:rsid w:val="00685EA5"/>
    <w:rsid w:val="00685F9F"/>
    <w:rsid w:val="00687DF2"/>
    <w:rsid w:val="006917A0"/>
    <w:rsid w:val="006A011F"/>
    <w:rsid w:val="006A125B"/>
    <w:rsid w:val="006A1F4F"/>
    <w:rsid w:val="006B6BBB"/>
    <w:rsid w:val="006C3CAD"/>
    <w:rsid w:val="006C3E1D"/>
    <w:rsid w:val="006C4AE6"/>
    <w:rsid w:val="006D1530"/>
    <w:rsid w:val="006D3396"/>
    <w:rsid w:val="006D5825"/>
    <w:rsid w:val="006D6488"/>
    <w:rsid w:val="006E33F2"/>
    <w:rsid w:val="006F06BC"/>
    <w:rsid w:val="006F106C"/>
    <w:rsid w:val="006F19AA"/>
    <w:rsid w:val="006F1BEF"/>
    <w:rsid w:val="006F1C1B"/>
    <w:rsid w:val="006F6AA9"/>
    <w:rsid w:val="00700F29"/>
    <w:rsid w:val="007020AC"/>
    <w:rsid w:val="00707042"/>
    <w:rsid w:val="00707EA8"/>
    <w:rsid w:val="00717F6E"/>
    <w:rsid w:val="0073317D"/>
    <w:rsid w:val="007433A1"/>
    <w:rsid w:val="007434DF"/>
    <w:rsid w:val="00746406"/>
    <w:rsid w:val="00752DB4"/>
    <w:rsid w:val="007557B7"/>
    <w:rsid w:val="00765C0C"/>
    <w:rsid w:val="00777EF9"/>
    <w:rsid w:val="00777FB3"/>
    <w:rsid w:val="00795132"/>
    <w:rsid w:val="007C4B01"/>
    <w:rsid w:val="007D5A7F"/>
    <w:rsid w:val="007D60A0"/>
    <w:rsid w:val="007D7477"/>
    <w:rsid w:val="007D7D20"/>
    <w:rsid w:val="007E1ABC"/>
    <w:rsid w:val="007E20D9"/>
    <w:rsid w:val="007E78B7"/>
    <w:rsid w:val="00801E29"/>
    <w:rsid w:val="00802D0A"/>
    <w:rsid w:val="00802DC0"/>
    <w:rsid w:val="008078BF"/>
    <w:rsid w:val="0081077E"/>
    <w:rsid w:val="00814EA7"/>
    <w:rsid w:val="00820CFB"/>
    <w:rsid w:val="008227B9"/>
    <w:rsid w:val="00822815"/>
    <w:rsid w:val="00827C6F"/>
    <w:rsid w:val="00833308"/>
    <w:rsid w:val="00833619"/>
    <w:rsid w:val="008337E2"/>
    <w:rsid w:val="00836195"/>
    <w:rsid w:val="00842460"/>
    <w:rsid w:val="008460B5"/>
    <w:rsid w:val="00853B28"/>
    <w:rsid w:val="00854AAE"/>
    <w:rsid w:val="00856DD4"/>
    <w:rsid w:val="0086750E"/>
    <w:rsid w:val="008717DE"/>
    <w:rsid w:val="00875BE8"/>
    <w:rsid w:val="00890BB9"/>
    <w:rsid w:val="008920EB"/>
    <w:rsid w:val="008A30B2"/>
    <w:rsid w:val="008A36A8"/>
    <w:rsid w:val="008A6A2C"/>
    <w:rsid w:val="008B67C6"/>
    <w:rsid w:val="008B6E8F"/>
    <w:rsid w:val="008C4CF7"/>
    <w:rsid w:val="008F000D"/>
    <w:rsid w:val="008F1AE5"/>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67847"/>
    <w:rsid w:val="00970664"/>
    <w:rsid w:val="00972FC0"/>
    <w:rsid w:val="00991B92"/>
    <w:rsid w:val="00995CD2"/>
    <w:rsid w:val="009A2B9E"/>
    <w:rsid w:val="009A2DC3"/>
    <w:rsid w:val="009A43AC"/>
    <w:rsid w:val="009B2FFE"/>
    <w:rsid w:val="009B383B"/>
    <w:rsid w:val="009C2987"/>
    <w:rsid w:val="009D0A61"/>
    <w:rsid w:val="009D259D"/>
    <w:rsid w:val="009D507B"/>
    <w:rsid w:val="009E2AB8"/>
    <w:rsid w:val="009E41A4"/>
    <w:rsid w:val="009E7410"/>
    <w:rsid w:val="009E7DB3"/>
    <w:rsid w:val="00A021A8"/>
    <w:rsid w:val="00A03737"/>
    <w:rsid w:val="00A047A5"/>
    <w:rsid w:val="00A05DC6"/>
    <w:rsid w:val="00A1240E"/>
    <w:rsid w:val="00A164D9"/>
    <w:rsid w:val="00A17901"/>
    <w:rsid w:val="00A205BB"/>
    <w:rsid w:val="00A22B32"/>
    <w:rsid w:val="00A239AD"/>
    <w:rsid w:val="00A24966"/>
    <w:rsid w:val="00A256F7"/>
    <w:rsid w:val="00A31161"/>
    <w:rsid w:val="00A335FC"/>
    <w:rsid w:val="00A350B7"/>
    <w:rsid w:val="00A37162"/>
    <w:rsid w:val="00A433A1"/>
    <w:rsid w:val="00A46D57"/>
    <w:rsid w:val="00A531CC"/>
    <w:rsid w:val="00A54659"/>
    <w:rsid w:val="00A562A0"/>
    <w:rsid w:val="00A63939"/>
    <w:rsid w:val="00A67A1F"/>
    <w:rsid w:val="00A716C6"/>
    <w:rsid w:val="00A72BB4"/>
    <w:rsid w:val="00A74661"/>
    <w:rsid w:val="00A81DB7"/>
    <w:rsid w:val="00A84E32"/>
    <w:rsid w:val="00A85D47"/>
    <w:rsid w:val="00A9511F"/>
    <w:rsid w:val="00A97E3C"/>
    <w:rsid w:val="00AA0BD5"/>
    <w:rsid w:val="00AA75FF"/>
    <w:rsid w:val="00AA7E9E"/>
    <w:rsid w:val="00AB17EB"/>
    <w:rsid w:val="00AC1C4D"/>
    <w:rsid w:val="00AD77B8"/>
    <w:rsid w:val="00AD7F31"/>
    <w:rsid w:val="00AE3704"/>
    <w:rsid w:val="00AF062D"/>
    <w:rsid w:val="00AF165F"/>
    <w:rsid w:val="00B002E7"/>
    <w:rsid w:val="00B0211E"/>
    <w:rsid w:val="00B06E64"/>
    <w:rsid w:val="00B1341C"/>
    <w:rsid w:val="00B14027"/>
    <w:rsid w:val="00B14470"/>
    <w:rsid w:val="00B21332"/>
    <w:rsid w:val="00B23AB6"/>
    <w:rsid w:val="00B23BF5"/>
    <w:rsid w:val="00B252FD"/>
    <w:rsid w:val="00B30234"/>
    <w:rsid w:val="00B304C6"/>
    <w:rsid w:val="00B3214F"/>
    <w:rsid w:val="00B344A0"/>
    <w:rsid w:val="00B375E7"/>
    <w:rsid w:val="00B4026F"/>
    <w:rsid w:val="00B41487"/>
    <w:rsid w:val="00B45F3B"/>
    <w:rsid w:val="00B468F4"/>
    <w:rsid w:val="00B60DB4"/>
    <w:rsid w:val="00B62C3B"/>
    <w:rsid w:val="00B63A5D"/>
    <w:rsid w:val="00B63B2E"/>
    <w:rsid w:val="00B64D49"/>
    <w:rsid w:val="00B7545C"/>
    <w:rsid w:val="00B77E04"/>
    <w:rsid w:val="00B800CE"/>
    <w:rsid w:val="00B92B66"/>
    <w:rsid w:val="00B95AB7"/>
    <w:rsid w:val="00B977C9"/>
    <w:rsid w:val="00BA1036"/>
    <w:rsid w:val="00BA7193"/>
    <w:rsid w:val="00BA7506"/>
    <w:rsid w:val="00BB019B"/>
    <w:rsid w:val="00BB2C56"/>
    <w:rsid w:val="00BC1D5F"/>
    <w:rsid w:val="00BD0BAE"/>
    <w:rsid w:val="00BE0CFC"/>
    <w:rsid w:val="00BF0332"/>
    <w:rsid w:val="00BF0A98"/>
    <w:rsid w:val="00BF22B0"/>
    <w:rsid w:val="00BF3C07"/>
    <w:rsid w:val="00BF46F1"/>
    <w:rsid w:val="00C00132"/>
    <w:rsid w:val="00C015F8"/>
    <w:rsid w:val="00C018A8"/>
    <w:rsid w:val="00C019AD"/>
    <w:rsid w:val="00C307D0"/>
    <w:rsid w:val="00C31895"/>
    <w:rsid w:val="00C351AB"/>
    <w:rsid w:val="00C46918"/>
    <w:rsid w:val="00C50A64"/>
    <w:rsid w:val="00C50BF2"/>
    <w:rsid w:val="00C52867"/>
    <w:rsid w:val="00C54D75"/>
    <w:rsid w:val="00C55EC3"/>
    <w:rsid w:val="00C570DD"/>
    <w:rsid w:val="00C752B7"/>
    <w:rsid w:val="00C76F47"/>
    <w:rsid w:val="00C809DC"/>
    <w:rsid w:val="00C86FBA"/>
    <w:rsid w:val="00C87B0D"/>
    <w:rsid w:val="00C90FE8"/>
    <w:rsid w:val="00CA00FB"/>
    <w:rsid w:val="00CB0B42"/>
    <w:rsid w:val="00CB2B87"/>
    <w:rsid w:val="00CB5349"/>
    <w:rsid w:val="00CB7F67"/>
    <w:rsid w:val="00CC25C7"/>
    <w:rsid w:val="00CC2E5E"/>
    <w:rsid w:val="00CC34D3"/>
    <w:rsid w:val="00CC69CD"/>
    <w:rsid w:val="00CD4453"/>
    <w:rsid w:val="00CD46F7"/>
    <w:rsid w:val="00CD4C74"/>
    <w:rsid w:val="00CE4BF6"/>
    <w:rsid w:val="00CE794F"/>
    <w:rsid w:val="00CF3A7C"/>
    <w:rsid w:val="00CF4C64"/>
    <w:rsid w:val="00D0005C"/>
    <w:rsid w:val="00D02033"/>
    <w:rsid w:val="00D0775D"/>
    <w:rsid w:val="00D107CB"/>
    <w:rsid w:val="00D15467"/>
    <w:rsid w:val="00D20451"/>
    <w:rsid w:val="00D21C33"/>
    <w:rsid w:val="00D229DA"/>
    <w:rsid w:val="00D22E82"/>
    <w:rsid w:val="00D24414"/>
    <w:rsid w:val="00D3738A"/>
    <w:rsid w:val="00D373DD"/>
    <w:rsid w:val="00D439F5"/>
    <w:rsid w:val="00D50602"/>
    <w:rsid w:val="00D53507"/>
    <w:rsid w:val="00D75612"/>
    <w:rsid w:val="00D76815"/>
    <w:rsid w:val="00D7797E"/>
    <w:rsid w:val="00D8083A"/>
    <w:rsid w:val="00D93B3E"/>
    <w:rsid w:val="00DA1B31"/>
    <w:rsid w:val="00DB134B"/>
    <w:rsid w:val="00DB6817"/>
    <w:rsid w:val="00DD2172"/>
    <w:rsid w:val="00DD262B"/>
    <w:rsid w:val="00DD385A"/>
    <w:rsid w:val="00DE3F61"/>
    <w:rsid w:val="00E0651C"/>
    <w:rsid w:val="00E133CC"/>
    <w:rsid w:val="00E1491A"/>
    <w:rsid w:val="00E23620"/>
    <w:rsid w:val="00E24C22"/>
    <w:rsid w:val="00E25ED6"/>
    <w:rsid w:val="00E32963"/>
    <w:rsid w:val="00E34FBA"/>
    <w:rsid w:val="00E36DD0"/>
    <w:rsid w:val="00E37A27"/>
    <w:rsid w:val="00E40FAE"/>
    <w:rsid w:val="00E42313"/>
    <w:rsid w:val="00E43F98"/>
    <w:rsid w:val="00E46D97"/>
    <w:rsid w:val="00E50F05"/>
    <w:rsid w:val="00E565DE"/>
    <w:rsid w:val="00E57572"/>
    <w:rsid w:val="00E62CAA"/>
    <w:rsid w:val="00E62E1C"/>
    <w:rsid w:val="00E63BF1"/>
    <w:rsid w:val="00E6660E"/>
    <w:rsid w:val="00E6782E"/>
    <w:rsid w:val="00E73D17"/>
    <w:rsid w:val="00E760AE"/>
    <w:rsid w:val="00E82110"/>
    <w:rsid w:val="00E86C64"/>
    <w:rsid w:val="00E8773B"/>
    <w:rsid w:val="00E92B4E"/>
    <w:rsid w:val="00E937A0"/>
    <w:rsid w:val="00EA07C0"/>
    <w:rsid w:val="00EA2F1F"/>
    <w:rsid w:val="00EA5198"/>
    <w:rsid w:val="00EB0069"/>
    <w:rsid w:val="00EB15B2"/>
    <w:rsid w:val="00EB3CAD"/>
    <w:rsid w:val="00EC1CAB"/>
    <w:rsid w:val="00EC4592"/>
    <w:rsid w:val="00EE7A18"/>
    <w:rsid w:val="00EF597F"/>
    <w:rsid w:val="00EF68D5"/>
    <w:rsid w:val="00F06D5A"/>
    <w:rsid w:val="00F077DA"/>
    <w:rsid w:val="00F24982"/>
    <w:rsid w:val="00F26196"/>
    <w:rsid w:val="00F319EC"/>
    <w:rsid w:val="00F4446F"/>
    <w:rsid w:val="00F527DE"/>
    <w:rsid w:val="00F53731"/>
    <w:rsid w:val="00F5656B"/>
    <w:rsid w:val="00F63617"/>
    <w:rsid w:val="00F63FC4"/>
    <w:rsid w:val="00F653A2"/>
    <w:rsid w:val="00F65A5D"/>
    <w:rsid w:val="00F66862"/>
    <w:rsid w:val="00F71707"/>
    <w:rsid w:val="00F80531"/>
    <w:rsid w:val="00F82682"/>
    <w:rsid w:val="00F83F21"/>
    <w:rsid w:val="00F86018"/>
    <w:rsid w:val="00F86537"/>
    <w:rsid w:val="00F90BE1"/>
    <w:rsid w:val="00F935B9"/>
    <w:rsid w:val="00F93B96"/>
    <w:rsid w:val="00FA19D6"/>
    <w:rsid w:val="00FA2FD7"/>
    <w:rsid w:val="00FA3F81"/>
    <w:rsid w:val="00FB0420"/>
    <w:rsid w:val="00FB14E2"/>
    <w:rsid w:val="00FB6C5E"/>
    <w:rsid w:val="00FB6E87"/>
    <w:rsid w:val="00FB71DB"/>
    <w:rsid w:val="00FC2A7A"/>
    <w:rsid w:val="00FD5529"/>
    <w:rsid w:val="00FE20DD"/>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0DC"/>
  <w15:docId w15:val="{E64C5BC8-8591-47F7-8B9B-C1B9CEFD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3C8A-9921-485E-AF99-51A5B180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11377</Words>
  <Characters>6485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Grozījums Jūrlietu pārvaldes un jūras drošības likumā</vt:lpstr>
    </vt:vector>
  </TitlesOfParts>
  <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"Grozījums Jūrlietu pārvaldes un jūras drošības likumā"</dc:title>
  <dc:subject>Anotācija</dc:subject>
  <dc:creator>Laima Rituma, Sandra Lielbārde</dc:creator>
  <cp:keywords/>
  <dc:description>L.Rituma
67028198
S.Lielbārde</dc:description>
  <cp:lastModifiedBy>Astra Vilnīte</cp:lastModifiedBy>
  <cp:revision>18</cp:revision>
  <cp:lastPrinted>2016-03-30T07:27:00Z</cp:lastPrinted>
  <dcterms:created xsi:type="dcterms:W3CDTF">2016-03-11T13:28:00Z</dcterms:created>
  <dcterms:modified xsi:type="dcterms:W3CDTF">2016-04-27T05:37:00Z</dcterms:modified>
</cp:coreProperties>
</file>