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EC" w:rsidRPr="00FE13CA" w:rsidRDefault="00B521EC" w:rsidP="00BA7140">
      <w:pPr>
        <w:spacing w:after="120"/>
        <w:jc w:val="both"/>
        <w:rPr>
          <w:rFonts w:eastAsia="Calibri" w:cs="Times New Roman"/>
          <w:sz w:val="24"/>
          <w:szCs w:val="24"/>
          <w:lang w:eastAsia="lv-LV"/>
        </w:rPr>
      </w:pPr>
      <w:bookmarkStart w:id="0" w:name="_GoBack"/>
      <w:bookmarkEnd w:id="0"/>
      <w:r w:rsidRPr="00FE13CA">
        <w:rPr>
          <w:rFonts w:eastAsia="Calibri" w:cs="Times New Roman"/>
          <w:sz w:val="24"/>
          <w:szCs w:val="24"/>
          <w:lang w:eastAsia="lv-LV"/>
        </w:rPr>
        <w:t>201</w:t>
      </w:r>
      <w:r w:rsidR="00DF1BF9">
        <w:rPr>
          <w:rFonts w:eastAsia="Calibri" w:cs="Times New Roman"/>
          <w:sz w:val="24"/>
          <w:szCs w:val="24"/>
          <w:lang w:eastAsia="lv-LV"/>
        </w:rPr>
        <w:t>6</w:t>
      </w:r>
      <w:r w:rsidRPr="00FE13CA">
        <w:rPr>
          <w:rFonts w:eastAsia="Calibri" w:cs="Times New Roman"/>
          <w:sz w:val="24"/>
          <w:szCs w:val="24"/>
          <w:lang w:eastAsia="lv-LV"/>
        </w:rPr>
        <w:t>. gada ___._________</w:t>
      </w:r>
      <w:r w:rsidRPr="00FE13CA">
        <w:rPr>
          <w:rFonts w:eastAsia="Calibri" w:cs="Times New Roman"/>
          <w:sz w:val="24"/>
          <w:szCs w:val="24"/>
          <w:lang w:eastAsia="lv-LV"/>
        </w:rPr>
        <w:tab/>
      </w:r>
      <w:r w:rsidRPr="00FE13CA">
        <w:rPr>
          <w:rFonts w:eastAsia="Calibri" w:cs="Times New Roman"/>
          <w:sz w:val="24"/>
          <w:szCs w:val="24"/>
          <w:lang w:eastAsia="lv-LV"/>
        </w:rPr>
        <w:tab/>
      </w:r>
      <w:r w:rsidRPr="00FE13CA">
        <w:rPr>
          <w:rFonts w:eastAsia="Calibri" w:cs="Times New Roman"/>
          <w:sz w:val="24"/>
          <w:szCs w:val="24"/>
          <w:lang w:eastAsia="lv-LV"/>
        </w:rPr>
        <w:tab/>
      </w:r>
      <w:r w:rsidRPr="00FE13CA">
        <w:rPr>
          <w:rFonts w:eastAsia="Calibri" w:cs="Times New Roman"/>
          <w:sz w:val="24"/>
          <w:szCs w:val="24"/>
          <w:lang w:eastAsia="lv-LV"/>
        </w:rPr>
        <w:tab/>
      </w:r>
      <w:r w:rsidRPr="00FE13CA">
        <w:rPr>
          <w:rFonts w:eastAsia="Calibri" w:cs="Times New Roman"/>
          <w:sz w:val="24"/>
          <w:szCs w:val="24"/>
          <w:lang w:eastAsia="lv-LV"/>
        </w:rPr>
        <w:tab/>
      </w:r>
      <w:r w:rsidRPr="00FE13CA">
        <w:rPr>
          <w:rFonts w:eastAsia="Calibri" w:cs="Times New Roman"/>
          <w:sz w:val="24"/>
          <w:szCs w:val="24"/>
          <w:lang w:eastAsia="lv-LV"/>
        </w:rPr>
        <w:tab/>
      </w:r>
      <w:r w:rsidRPr="00FE13CA">
        <w:rPr>
          <w:rFonts w:eastAsia="Calibri" w:cs="Times New Roman"/>
          <w:sz w:val="24"/>
          <w:szCs w:val="24"/>
          <w:lang w:eastAsia="lv-LV"/>
        </w:rPr>
        <w:tab/>
        <w:t>Noteikumi Nr.</w:t>
      </w:r>
    </w:p>
    <w:p w:rsidR="00B521EC" w:rsidRPr="00FE13CA" w:rsidRDefault="00B521EC" w:rsidP="00BA7140">
      <w:pPr>
        <w:spacing w:after="120"/>
        <w:jc w:val="both"/>
        <w:rPr>
          <w:rFonts w:eastAsia="Calibri" w:cs="Times New Roman"/>
          <w:sz w:val="24"/>
          <w:szCs w:val="24"/>
          <w:lang w:eastAsia="lv-LV"/>
        </w:rPr>
      </w:pPr>
      <w:r w:rsidRPr="00FE13CA">
        <w:rPr>
          <w:rFonts w:eastAsia="Calibri" w:cs="Times New Roman"/>
          <w:sz w:val="24"/>
          <w:szCs w:val="24"/>
          <w:lang w:eastAsia="lv-LV"/>
        </w:rPr>
        <w:t>Rīgā</w:t>
      </w:r>
      <w:r w:rsidRPr="00FE13CA">
        <w:rPr>
          <w:rFonts w:eastAsia="Calibri" w:cs="Times New Roman"/>
          <w:sz w:val="24"/>
          <w:szCs w:val="24"/>
          <w:lang w:eastAsia="lv-LV"/>
        </w:rPr>
        <w:tab/>
      </w:r>
      <w:r w:rsidRPr="00FE13CA">
        <w:rPr>
          <w:rFonts w:eastAsia="Calibri" w:cs="Times New Roman"/>
          <w:sz w:val="24"/>
          <w:szCs w:val="24"/>
          <w:lang w:eastAsia="lv-LV"/>
        </w:rPr>
        <w:tab/>
      </w:r>
      <w:r w:rsidRPr="00FE13CA">
        <w:rPr>
          <w:rFonts w:eastAsia="Calibri" w:cs="Times New Roman"/>
          <w:sz w:val="24"/>
          <w:szCs w:val="24"/>
          <w:lang w:eastAsia="lv-LV"/>
        </w:rPr>
        <w:tab/>
      </w:r>
      <w:r w:rsidRPr="00FE13CA">
        <w:rPr>
          <w:rFonts w:eastAsia="Calibri" w:cs="Times New Roman"/>
          <w:sz w:val="24"/>
          <w:szCs w:val="24"/>
          <w:lang w:eastAsia="lv-LV"/>
        </w:rPr>
        <w:tab/>
      </w:r>
      <w:r w:rsidRPr="00FE13CA">
        <w:rPr>
          <w:rFonts w:eastAsia="Calibri" w:cs="Times New Roman"/>
          <w:sz w:val="24"/>
          <w:szCs w:val="24"/>
          <w:lang w:eastAsia="lv-LV"/>
        </w:rPr>
        <w:tab/>
      </w:r>
      <w:r w:rsidRPr="00FE13CA">
        <w:rPr>
          <w:rFonts w:eastAsia="Calibri" w:cs="Times New Roman"/>
          <w:sz w:val="24"/>
          <w:szCs w:val="24"/>
          <w:lang w:eastAsia="lv-LV"/>
        </w:rPr>
        <w:tab/>
      </w:r>
      <w:r w:rsidRPr="00FE13CA">
        <w:rPr>
          <w:rFonts w:eastAsia="Calibri" w:cs="Times New Roman"/>
          <w:sz w:val="24"/>
          <w:szCs w:val="24"/>
          <w:lang w:eastAsia="lv-LV"/>
        </w:rPr>
        <w:tab/>
      </w:r>
      <w:r w:rsidRPr="00FE13CA">
        <w:rPr>
          <w:rFonts w:eastAsia="Calibri" w:cs="Times New Roman"/>
          <w:sz w:val="24"/>
          <w:szCs w:val="24"/>
          <w:lang w:eastAsia="lv-LV"/>
        </w:rPr>
        <w:tab/>
      </w:r>
      <w:r w:rsidRPr="00FE13CA">
        <w:rPr>
          <w:rFonts w:eastAsia="Calibri" w:cs="Times New Roman"/>
          <w:sz w:val="24"/>
          <w:szCs w:val="24"/>
          <w:lang w:eastAsia="lv-LV"/>
        </w:rPr>
        <w:tab/>
      </w:r>
      <w:r w:rsidRPr="00FE13CA">
        <w:rPr>
          <w:rFonts w:eastAsia="Calibri" w:cs="Times New Roman"/>
          <w:sz w:val="24"/>
          <w:szCs w:val="24"/>
          <w:lang w:eastAsia="lv-LV"/>
        </w:rPr>
        <w:tab/>
        <w:t>(prot.   Nr.   .§)</w:t>
      </w:r>
    </w:p>
    <w:p w:rsidR="00B521EC" w:rsidRPr="00FE13CA" w:rsidRDefault="00B521EC" w:rsidP="00BA7140">
      <w:pPr>
        <w:spacing w:after="120"/>
        <w:jc w:val="center"/>
        <w:rPr>
          <w:rFonts w:eastAsia="Calibri" w:cs="Times New Roman"/>
          <w:b/>
          <w:szCs w:val="28"/>
          <w:lang w:eastAsia="lv-LV"/>
        </w:rPr>
      </w:pPr>
    </w:p>
    <w:p w:rsidR="00B521EC" w:rsidRPr="00FE13CA" w:rsidRDefault="00B521EC" w:rsidP="00BA7140">
      <w:pPr>
        <w:spacing w:after="120"/>
        <w:jc w:val="center"/>
        <w:rPr>
          <w:rFonts w:eastAsia="Calibri" w:cs="Times New Roman"/>
          <w:b/>
          <w:sz w:val="24"/>
          <w:szCs w:val="24"/>
          <w:lang w:eastAsia="lv-LV"/>
        </w:rPr>
      </w:pPr>
      <w:r w:rsidRPr="00FE13CA">
        <w:rPr>
          <w:rFonts w:eastAsia="Calibri" w:cs="Times New Roman"/>
          <w:b/>
          <w:sz w:val="24"/>
          <w:szCs w:val="24"/>
          <w:lang w:eastAsia="lv-LV"/>
        </w:rPr>
        <w:t xml:space="preserve">Darbības programmas „Izaugsme un nodarbinātība” </w:t>
      </w:r>
      <w:r w:rsidR="009914D0" w:rsidRPr="009914D0">
        <w:rPr>
          <w:rFonts w:eastAsia="Calibri" w:cs="Times New Roman"/>
          <w:b/>
          <w:sz w:val="24"/>
          <w:szCs w:val="24"/>
          <w:lang w:eastAsia="lv-LV"/>
        </w:rPr>
        <w:t>6.1.1.specifiskā atbalsta mērķa „Palielināt lielo ostu drošības līmeni un uzlabot transporta tīkla mobilitāti”</w:t>
      </w:r>
      <w:r w:rsidRPr="00FE13CA">
        <w:rPr>
          <w:rFonts w:eastAsia="Calibri" w:cs="Times New Roman"/>
          <w:b/>
          <w:sz w:val="24"/>
          <w:szCs w:val="24"/>
          <w:lang w:eastAsia="lv-LV"/>
        </w:rPr>
        <w:t xml:space="preserve"> īstenošanas noteikumi</w:t>
      </w:r>
    </w:p>
    <w:p w:rsidR="00B521EC" w:rsidRPr="00FE13CA" w:rsidRDefault="00B521EC" w:rsidP="00BA7140">
      <w:pPr>
        <w:spacing w:after="120"/>
        <w:ind w:left="5580" w:firstLine="1440"/>
        <w:jc w:val="right"/>
        <w:rPr>
          <w:rFonts w:eastAsia="Calibri" w:cs="Times New Roman"/>
          <w:sz w:val="24"/>
          <w:szCs w:val="24"/>
          <w:lang w:eastAsia="lv-LV"/>
        </w:rPr>
      </w:pPr>
    </w:p>
    <w:p w:rsidR="00B521EC" w:rsidRPr="00FE13CA" w:rsidRDefault="00B521EC" w:rsidP="00BA7140">
      <w:pPr>
        <w:spacing w:after="120"/>
        <w:ind w:left="5103"/>
        <w:rPr>
          <w:rFonts w:eastAsia="Calibri" w:cs="Times New Roman"/>
          <w:i/>
          <w:sz w:val="24"/>
          <w:szCs w:val="24"/>
          <w:lang w:eastAsia="lv-LV"/>
        </w:rPr>
      </w:pPr>
      <w:r w:rsidRPr="00FE13CA">
        <w:rPr>
          <w:rFonts w:eastAsia="Calibri" w:cs="Times New Roman"/>
          <w:i/>
          <w:sz w:val="24"/>
          <w:szCs w:val="24"/>
          <w:lang w:eastAsia="lv-LV"/>
        </w:rPr>
        <w:t xml:space="preserve">Izdoti saskaņā ar Eiropas Savienības struktūrfondu un Kohēzijas fonda 2014.–2020. gada plānošanas perioda vadības likuma 20. panta </w:t>
      </w:r>
      <w:r w:rsidR="00513039">
        <w:rPr>
          <w:rFonts w:eastAsia="Calibri" w:cs="Times New Roman"/>
          <w:i/>
          <w:sz w:val="24"/>
          <w:szCs w:val="24"/>
          <w:lang w:eastAsia="lv-LV"/>
        </w:rPr>
        <w:t xml:space="preserve">6. un </w:t>
      </w:r>
      <w:r w:rsidRPr="00FE13CA">
        <w:rPr>
          <w:rFonts w:eastAsia="Calibri" w:cs="Times New Roman"/>
          <w:i/>
          <w:sz w:val="24"/>
          <w:szCs w:val="24"/>
          <w:lang w:eastAsia="lv-LV"/>
        </w:rPr>
        <w:t>13. punktu</w:t>
      </w:r>
    </w:p>
    <w:p w:rsidR="00B521EC" w:rsidRPr="00FE13CA" w:rsidRDefault="00B521EC" w:rsidP="00BA7140">
      <w:pPr>
        <w:spacing w:after="120"/>
        <w:jc w:val="center"/>
        <w:rPr>
          <w:rFonts w:eastAsia="Calibri" w:cs="Times New Roman"/>
          <w:b/>
          <w:bCs/>
          <w:sz w:val="25"/>
          <w:szCs w:val="25"/>
        </w:rPr>
      </w:pPr>
    </w:p>
    <w:p w:rsidR="00B521EC" w:rsidRPr="00FE13CA" w:rsidRDefault="00B521EC" w:rsidP="00BA7140">
      <w:pPr>
        <w:spacing w:after="120"/>
        <w:jc w:val="center"/>
        <w:rPr>
          <w:rFonts w:eastAsia="Calibri" w:cs="Times New Roman"/>
          <w:b/>
          <w:bCs/>
          <w:sz w:val="25"/>
          <w:szCs w:val="25"/>
        </w:rPr>
      </w:pPr>
      <w:r w:rsidRPr="00FE13CA">
        <w:rPr>
          <w:rFonts w:eastAsia="Calibri" w:cs="Times New Roman"/>
          <w:b/>
          <w:bCs/>
          <w:sz w:val="25"/>
          <w:szCs w:val="25"/>
        </w:rPr>
        <w:t>I. Vispārīgie jautājumi</w:t>
      </w:r>
    </w:p>
    <w:p w:rsidR="00B521EC" w:rsidRPr="00FE13CA" w:rsidRDefault="00B521EC" w:rsidP="00BA7140">
      <w:pPr>
        <w:numPr>
          <w:ilvl w:val="0"/>
          <w:numId w:val="1"/>
        </w:numPr>
        <w:spacing w:after="120"/>
        <w:ind w:left="357" w:hanging="357"/>
        <w:jc w:val="both"/>
        <w:outlineLvl w:val="0"/>
        <w:rPr>
          <w:rFonts w:eastAsia="Calibri" w:cs="Times New Roman"/>
          <w:sz w:val="24"/>
          <w:szCs w:val="24"/>
          <w:lang w:eastAsia="lv-LV"/>
        </w:rPr>
      </w:pPr>
      <w:r w:rsidRPr="00FE13CA">
        <w:rPr>
          <w:rFonts w:eastAsia="Calibri" w:cs="Times New Roman"/>
          <w:sz w:val="24"/>
          <w:szCs w:val="24"/>
          <w:lang w:eastAsia="lv-LV"/>
        </w:rPr>
        <w:t>Noteikumi nosaka:</w:t>
      </w:r>
    </w:p>
    <w:p w:rsidR="00B521EC" w:rsidRPr="00FE13CA" w:rsidRDefault="00B521EC" w:rsidP="00BA7140">
      <w:pPr>
        <w:numPr>
          <w:ilvl w:val="1"/>
          <w:numId w:val="1"/>
        </w:numPr>
        <w:tabs>
          <w:tab w:val="left" w:pos="993"/>
        </w:tabs>
        <w:spacing w:after="120"/>
        <w:jc w:val="both"/>
        <w:outlineLvl w:val="0"/>
        <w:rPr>
          <w:rFonts w:eastAsia="Calibri" w:cs="Times New Roman"/>
          <w:sz w:val="24"/>
          <w:szCs w:val="24"/>
          <w:lang w:eastAsia="lv-LV"/>
        </w:rPr>
      </w:pPr>
      <w:r w:rsidRPr="00FE13CA">
        <w:rPr>
          <w:rFonts w:eastAsia="Calibri" w:cs="Times New Roman"/>
          <w:sz w:val="24"/>
          <w:szCs w:val="24"/>
          <w:lang w:eastAsia="lv-LV"/>
        </w:rPr>
        <w:t xml:space="preserve">kārtību, kādā īsteno darbības programmas „Izaugsme un nodarbinātība” </w:t>
      </w:r>
      <w:r w:rsidR="00BC5421" w:rsidRPr="00FE13CA">
        <w:rPr>
          <w:rFonts w:eastAsia="Calibri" w:cs="Times New Roman"/>
          <w:bCs/>
          <w:sz w:val="24"/>
          <w:szCs w:val="24"/>
          <w:lang w:eastAsia="lv-LV"/>
        </w:rPr>
        <w:t>prioritā</w:t>
      </w:r>
      <w:r w:rsidR="008231DD" w:rsidRPr="00FE13CA">
        <w:rPr>
          <w:rFonts w:eastAsia="Calibri" w:cs="Times New Roman"/>
          <w:bCs/>
          <w:sz w:val="24"/>
          <w:szCs w:val="24"/>
          <w:lang w:eastAsia="lv-LV"/>
        </w:rPr>
        <w:t>rā virziena „Ilgtspējīga transporta sistēma”</w:t>
      </w:r>
      <w:r w:rsidR="00BC5421" w:rsidRPr="00FE13CA">
        <w:rPr>
          <w:rFonts w:eastAsia="Calibri" w:cs="Times New Roman"/>
          <w:sz w:val="24"/>
          <w:szCs w:val="24"/>
          <w:lang w:eastAsia="lv-LV"/>
        </w:rPr>
        <w:t xml:space="preserve"> </w:t>
      </w:r>
      <w:r w:rsidR="00046908" w:rsidRPr="00046908">
        <w:rPr>
          <w:rFonts w:eastAsia="Calibri" w:cs="Times New Roman"/>
          <w:sz w:val="24"/>
          <w:szCs w:val="24"/>
          <w:lang w:eastAsia="lv-LV"/>
        </w:rPr>
        <w:t>6.1.1.specifisk</w:t>
      </w:r>
      <w:r w:rsidR="008E46A7">
        <w:rPr>
          <w:rFonts w:eastAsia="Calibri" w:cs="Times New Roman"/>
          <w:sz w:val="24"/>
          <w:szCs w:val="24"/>
          <w:lang w:eastAsia="lv-LV"/>
        </w:rPr>
        <w:t>o</w:t>
      </w:r>
      <w:r w:rsidR="00046908" w:rsidRPr="00046908">
        <w:rPr>
          <w:rFonts w:eastAsia="Calibri" w:cs="Times New Roman"/>
          <w:sz w:val="24"/>
          <w:szCs w:val="24"/>
          <w:lang w:eastAsia="lv-LV"/>
        </w:rPr>
        <w:t xml:space="preserve"> atbalsta mērķ</w:t>
      </w:r>
      <w:r w:rsidR="008E46A7">
        <w:rPr>
          <w:rFonts w:eastAsia="Calibri" w:cs="Times New Roman"/>
          <w:sz w:val="24"/>
          <w:szCs w:val="24"/>
          <w:lang w:eastAsia="lv-LV"/>
        </w:rPr>
        <w:t>i</w:t>
      </w:r>
      <w:r w:rsidR="00046908" w:rsidRPr="00046908">
        <w:rPr>
          <w:rFonts w:eastAsia="Calibri" w:cs="Times New Roman"/>
          <w:sz w:val="24"/>
          <w:szCs w:val="24"/>
          <w:lang w:eastAsia="lv-LV"/>
        </w:rPr>
        <w:t xml:space="preserve"> „Palielināt lielo ostu drošības līmeni un uzlabot transporta tīkla mobilitāti”</w:t>
      </w:r>
      <w:r w:rsidR="00BC5421" w:rsidRPr="00FE13CA">
        <w:rPr>
          <w:rFonts w:eastAsia="Calibri" w:cs="Times New Roman"/>
          <w:sz w:val="24"/>
          <w:szCs w:val="24"/>
          <w:lang w:eastAsia="lv-LV"/>
        </w:rPr>
        <w:t xml:space="preserve"> </w:t>
      </w:r>
      <w:r w:rsidRPr="00FE13CA">
        <w:rPr>
          <w:rFonts w:eastAsia="Calibri" w:cs="Times New Roman"/>
          <w:sz w:val="24"/>
          <w:szCs w:val="24"/>
          <w:lang w:eastAsia="lv-LV"/>
        </w:rPr>
        <w:t xml:space="preserve">(turpmāk – specifiskais </w:t>
      </w:r>
      <w:r w:rsidR="00CD7B38" w:rsidRPr="00FE13CA">
        <w:rPr>
          <w:rFonts w:eastAsia="Calibri" w:cs="Times New Roman"/>
          <w:sz w:val="24"/>
          <w:szCs w:val="24"/>
          <w:lang w:eastAsia="lv-LV"/>
        </w:rPr>
        <w:t>atbalst</w:t>
      </w:r>
      <w:r w:rsidR="00CD7B38">
        <w:rPr>
          <w:rFonts w:eastAsia="Calibri" w:cs="Times New Roman"/>
          <w:sz w:val="24"/>
          <w:szCs w:val="24"/>
          <w:lang w:eastAsia="lv-LV"/>
        </w:rPr>
        <w:t>s</w:t>
      </w:r>
      <w:r w:rsidR="00CD7B38" w:rsidRPr="00FE13CA">
        <w:rPr>
          <w:rFonts w:eastAsia="Calibri" w:cs="Times New Roman"/>
          <w:sz w:val="24"/>
          <w:szCs w:val="24"/>
          <w:lang w:eastAsia="lv-LV"/>
        </w:rPr>
        <w:t xml:space="preserve"> </w:t>
      </w:r>
      <w:r w:rsidRPr="00FE13CA">
        <w:rPr>
          <w:rFonts w:eastAsia="Calibri" w:cs="Times New Roman"/>
          <w:sz w:val="24"/>
          <w:szCs w:val="24"/>
          <w:lang w:eastAsia="lv-LV"/>
        </w:rPr>
        <w:t>);</w:t>
      </w:r>
    </w:p>
    <w:p w:rsidR="00B521EC" w:rsidRDefault="00B521EC" w:rsidP="00BA7140">
      <w:pPr>
        <w:numPr>
          <w:ilvl w:val="1"/>
          <w:numId w:val="1"/>
        </w:numPr>
        <w:tabs>
          <w:tab w:val="left" w:pos="993"/>
        </w:tabs>
        <w:spacing w:after="120"/>
        <w:jc w:val="both"/>
        <w:outlineLvl w:val="0"/>
        <w:rPr>
          <w:rFonts w:eastAsia="Calibri" w:cs="Times New Roman"/>
          <w:sz w:val="24"/>
          <w:szCs w:val="24"/>
          <w:lang w:eastAsia="lv-LV"/>
        </w:rPr>
      </w:pPr>
      <w:r w:rsidRPr="00FE13CA">
        <w:rPr>
          <w:rFonts w:eastAsia="Calibri" w:cs="Times New Roman"/>
          <w:sz w:val="24"/>
          <w:szCs w:val="24"/>
          <w:lang w:eastAsia="lv-LV"/>
        </w:rPr>
        <w:t xml:space="preserve">specifiskā atbalsta </w:t>
      </w:r>
      <w:r w:rsidR="005125F6" w:rsidRPr="00FE13CA">
        <w:rPr>
          <w:rFonts w:eastAsia="Calibri" w:cs="Times New Roman"/>
          <w:sz w:val="24"/>
          <w:szCs w:val="24"/>
          <w:lang w:eastAsia="lv-LV"/>
        </w:rPr>
        <w:t>mērķ</w:t>
      </w:r>
      <w:r w:rsidR="000E7176" w:rsidRPr="00FE13CA">
        <w:rPr>
          <w:rFonts w:eastAsia="Calibri" w:cs="Times New Roman"/>
          <w:sz w:val="24"/>
          <w:szCs w:val="24"/>
          <w:lang w:eastAsia="lv-LV"/>
        </w:rPr>
        <w:t>i</w:t>
      </w:r>
      <w:r w:rsidRPr="00FE13CA">
        <w:rPr>
          <w:rFonts w:eastAsia="Calibri" w:cs="Times New Roman"/>
          <w:sz w:val="24"/>
          <w:szCs w:val="24"/>
          <w:lang w:eastAsia="lv-LV"/>
        </w:rPr>
        <w:t>;</w:t>
      </w:r>
    </w:p>
    <w:p w:rsidR="00B521EC" w:rsidRPr="00FE13CA" w:rsidRDefault="00B521EC" w:rsidP="00BA7140">
      <w:pPr>
        <w:numPr>
          <w:ilvl w:val="1"/>
          <w:numId w:val="1"/>
        </w:numPr>
        <w:tabs>
          <w:tab w:val="left" w:pos="993"/>
        </w:tabs>
        <w:spacing w:after="120"/>
        <w:jc w:val="both"/>
        <w:outlineLvl w:val="0"/>
        <w:rPr>
          <w:rFonts w:eastAsia="Calibri" w:cs="Times New Roman"/>
          <w:sz w:val="24"/>
          <w:szCs w:val="24"/>
          <w:lang w:eastAsia="lv-LV"/>
        </w:rPr>
      </w:pPr>
      <w:r w:rsidRPr="00FE13CA">
        <w:rPr>
          <w:rFonts w:eastAsia="Calibri" w:cs="Times New Roman"/>
          <w:sz w:val="24"/>
          <w:szCs w:val="24"/>
          <w:lang w:eastAsia="lv-LV"/>
        </w:rPr>
        <w:t>specifiskajam atbalsta</w:t>
      </w:r>
      <w:r w:rsidR="003B0916">
        <w:rPr>
          <w:rFonts w:eastAsia="Calibri" w:cs="Times New Roman"/>
          <w:sz w:val="24"/>
          <w:szCs w:val="24"/>
          <w:lang w:eastAsia="lv-LV"/>
        </w:rPr>
        <w:t>m</w:t>
      </w:r>
      <w:r w:rsidRPr="00FE13CA">
        <w:rPr>
          <w:rFonts w:eastAsia="Calibri" w:cs="Times New Roman"/>
          <w:sz w:val="24"/>
          <w:szCs w:val="24"/>
          <w:lang w:eastAsia="lv-LV"/>
        </w:rPr>
        <w:t xml:space="preserve"> </w:t>
      </w:r>
      <w:r w:rsidR="000E7176" w:rsidRPr="00FE13CA">
        <w:rPr>
          <w:rFonts w:eastAsia="Calibri" w:cs="Times New Roman"/>
          <w:sz w:val="24"/>
          <w:szCs w:val="24"/>
          <w:lang w:eastAsia="lv-LV"/>
        </w:rPr>
        <w:t xml:space="preserve">pieejamo </w:t>
      </w:r>
      <w:r w:rsidRPr="00FE13CA">
        <w:rPr>
          <w:rFonts w:eastAsia="Calibri" w:cs="Times New Roman"/>
          <w:sz w:val="24"/>
          <w:szCs w:val="24"/>
          <w:lang w:eastAsia="lv-LV"/>
        </w:rPr>
        <w:t>finansējumu;</w:t>
      </w:r>
    </w:p>
    <w:p w:rsidR="00B521EC" w:rsidRPr="00FE13CA" w:rsidRDefault="00B521EC" w:rsidP="00BA7140">
      <w:pPr>
        <w:numPr>
          <w:ilvl w:val="1"/>
          <w:numId w:val="1"/>
        </w:numPr>
        <w:tabs>
          <w:tab w:val="left" w:pos="993"/>
        </w:tabs>
        <w:spacing w:after="120"/>
        <w:jc w:val="both"/>
        <w:outlineLvl w:val="0"/>
        <w:rPr>
          <w:rFonts w:eastAsia="Calibri" w:cs="Times New Roman"/>
          <w:sz w:val="24"/>
          <w:szCs w:val="24"/>
          <w:lang w:eastAsia="lv-LV"/>
        </w:rPr>
      </w:pPr>
      <w:r w:rsidRPr="00FE13CA">
        <w:rPr>
          <w:rFonts w:eastAsia="Calibri" w:cs="Times New Roman"/>
          <w:sz w:val="24"/>
          <w:szCs w:val="24"/>
          <w:lang w:eastAsia="lv-LV"/>
        </w:rPr>
        <w:t xml:space="preserve">prasības </w:t>
      </w:r>
      <w:r w:rsidR="00046908">
        <w:rPr>
          <w:rFonts w:eastAsia="Calibri" w:cs="Times New Roman"/>
          <w:sz w:val="24"/>
          <w:szCs w:val="24"/>
          <w:lang w:eastAsia="lv-LV"/>
        </w:rPr>
        <w:t>Kohēzijas</w:t>
      </w:r>
      <w:r w:rsidRPr="00FE13CA">
        <w:rPr>
          <w:rFonts w:eastAsia="Calibri" w:cs="Times New Roman"/>
          <w:sz w:val="24"/>
          <w:szCs w:val="24"/>
          <w:lang w:eastAsia="lv-LV"/>
        </w:rPr>
        <w:t xml:space="preserve"> fonda</w:t>
      </w:r>
      <w:r w:rsidR="00786B1E" w:rsidRPr="00FE13CA">
        <w:rPr>
          <w:rFonts w:eastAsia="Calibri" w:cs="Times New Roman"/>
          <w:sz w:val="24"/>
          <w:szCs w:val="24"/>
          <w:lang w:eastAsia="lv-LV"/>
        </w:rPr>
        <w:t xml:space="preserve"> </w:t>
      </w:r>
      <w:r w:rsidRPr="00FE13CA">
        <w:rPr>
          <w:rFonts w:eastAsia="Calibri" w:cs="Times New Roman"/>
          <w:sz w:val="24"/>
          <w:szCs w:val="24"/>
          <w:lang w:eastAsia="lv-LV"/>
        </w:rPr>
        <w:t xml:space="preserve">projekta </w:t>
      </w:r>
      <w:r w:rsidR="007E600E" w:rsidRPr="00FE13CA">
        <w:rPr>
          <w:rFonts w:eastAsia="Calibri" w:cs="Times New Roman"/>
          <w:sz w:val="24"/>
          <w:szCs w:val="24"/>
          <w:lang w:eastAsia="lv-LV"/>
        </w:rPr>
        <w:t>iesniedzējam</w:t>
      </w:r>
      <w:r w:rsidRPr="00FE13CA">
        <w:rPr>
          <w:rFonts w:eastAsia="Calibri" w:cs="Times New Roman"/>
          <w:sz w:val="24"/>
          <w:szCs w:val="24"/>
          <w:lang w:eastAsia="lv-LV"/>
        </w:rPr>
        <w:t>;</w:t>
      </w:r>
    </w:p>
    <w:p w:rsidR="008231DD" w:rsidRDefault="00B521EC" w:rsidP="00BA7140">
      <w:pPr>
        <w:numPr>
          <w:ilvl w:val="1"/>
          <w:numId w:val="1"/>
        </w:numPr>
        <w:tabs>
          <w:tab w:val="left" w:pos="993"/>
        </w:tabs>
        <w:spacing w:after="120"/>
        <w:jc w:val="both"/>
        <w:outlineLvl w:val="0"/>
        <w:rPr>
          <w:rFonts w:eastAsia="Calibri" w:cs="Times New Roman"/>
          <w:sz w:val="24"/>
          <w:szCs w:val="24"/>
          <w:lang w:eastAsia="lv-LV"/>
        </w:rPr>
      </w:pPr>
      <w:r w:rsidRPr="00FE13CA">
        <w:rPr>
          <w:rFonts w:eastAsia="Calibri" w:cs="Times New Roman"/>
          <w:sz w:val="24"/>
          <w:szCs w:val="24"/>
          <w:lang w:eastAsia="lv-LV"/>
        </w:rPr>
        <w:t>atbalstāmo darbību un izm</w:t>
      </w:r>
      <w:r w:rsidR="007E600E" w:rsidRPr="00FE13CA">
        <w:rPr>
          <w:rFonts w:eastAsia="Calibri" w:cs="Times New Roman"/>
          <w:sz w:val="24"/>
          <w:szCs w:val="24"/>
          <w:lang w:eastAsia="lv-LV"/>
        </w:rPr>
        <w:t>aksu attiecināmības nosacījumus</w:t>
      </w:r>
      <w:r w:rsidR="008231DD" w:rsidRPr="00FE13CA">
        <w:rPr>
          <w:rFonts w:eastAsia="Calibri" w:cs="Times New Roman"/>
          <w:sz w:val="24"/>
          <w:szCs w:val="24"/>
          <w:lang w:eastAsia="lv-LV"/>
        </w:rPr>
        <w:t>;</w:t>
      </w:r>
    </w:p>
    <w:p w:rsidR="00513039" w:rsidRDefault="00D00A1C" w:rsidP="00981D5B">
      <w:pPr>
        <w:numPr>
          <w:ilvl w:val="1"/>
          <w:numId w:val="1"/>
        </w:numPr>
        <w:tabs>
          <w:tab w:val="left" w:pos="993"/>
        </w:tabs>
        <w:spacing w:after="120"/>
        <w:jc w:val="both"/>
        <w:outlineLvl w:val="0"/>
        <w:rPr>
          <w:rFonts w:eastAsia="Calibri" w:cs="Times New Roman"/>
          <w:sz w:val="24"/>
          <w:szCs w:val="24"/>
          <w:lang w:eastAsia="lv-LV"/>
        </w:rPr>
      </w:pPr>
      <w:r>
        <w:rPr>
          <w:rFonts w:eastAsia="Calibri" w:cs="Times New Roman"/>
          <w:sz w:val="24"/>
          <w:szCs w:val="24"/>
          <w:lang w:eastAsia="lv-LV"/>
        </w:rPr>
        <w:t>līguma</w:t>
      </w:r>
      <w:r w:rsidRPr="00981D5B">
        <w:rPr>
          <w:rFonts w:eastAsia="Calibri" w:cs="Times New Roman"/>
          <w:sz w:val="24"/>
          <w:szCs w:val="24"/>
          <w:lang w:eastAsia="lv-LV"/>
        </w:rPr>
        <w:t xml:space="preserve"> </w:t>
      </w:r>
      <w:r w:rsidR="00981D5B" w:rsidRPr="00981D5B">
        <w:rPr>
          <w:rFonts w:eastAsia="Calibri" w:cs="Times New Roman"/>
          <w:sz w:val="24"/>
          <w:szCs w:val="24"/>
          <w:lang w:eastAsia="lv-LV"/>
        </w:rPr>
        <w:t>par projekta īstenošanu vienpusēja uzteikuma nosacījumus</w:t>
      </w:r>
      <w:r w:rsidR="00513039">
        <w:rPr>
          <w:rFonts w:eastAsia="Calibri" w:cs="Times New Roman"/>
          <w:sz w:val="24"/>
          <w:szCs w:val="24"/>
          <w:lang w:eastAsia="lv-LV"/>
        </w:rPr>
        <w:t>;</w:t>
      </w:r>
    </w:p>
    <w:p w:rsidR="00981D5B" w:rsidRPr="00FE13CA" w:rsidRDefault="00E83AB4" w:rsidP="00E83AB4">
      <w:pPr>
        <w:numPr>
          <w:ilvl w:val="1"/>
          <w:numId w:val="1"/>
        </w:numPr>
        <w:tabs>
          <w:tab w:val="left" w:pos="993"/>
        </w:tabs>
        <w:spacing w:after="120"/>
        <w:jc w:val="both"/>
        <w:outlineLvl w:val="0"/>
        <w:rPr>
          <w:rFonts w:eastAsia="Calibri" w:cs="Times New Roman"/>
          <w:sz w:val="24"/>
          <w:szCs w:val="24"/>
          <w:lang w:eastAsia="lv-LV"/>
        </w:rPr>
      </w:pPr>
      <w:r w:rsidRPr="00E83AB4">
        <w:rPr>
          <w:rFonts w:eastAsia="Calibri" w:cs="Times New Roman"/>
          <w:sz w:val="24"/>
          <w:szCs w:val="24"/>
          <w:lang w:eastAsia="lv-LV"/>
        </w:rPr>
        <w:t>vienkāršoto izmaksu piemērošanas nosacījumus un kārtību</w:t>
      </w:r>
      <w:r>
        <w:rPr>
          <w:rFonts w:eastAsia="Calibri" w:cs="Times New Roman"/>
          <w:sz w:val="24"/>
          <w:szCs w:val="24"/>
          <w:lang w:eastAsia="lv-LV"/>
        </w:rPr>
        <w:t>.</w:t>
      </w:r>
    </w:p>
    <w:p w:rsidR="00B46C4E" w:rsidRPr="00FE13CA" w:rsidRDefault="00B46C4E" w:rsidP="00BA7140">
      <w:pPr>
        <w:numPr>
          <w:ilvl w:val="0"/>
          <w:numId w:val="1"/>
        </w:numPr>
        <w:spacing w:after="120"/>
        <w:ind w:left="357" w:hanging="357"/>
        <w:jc w:val="both"/>
        <w:outlineLvl w:val="0"/>
        <w:rPr>
          <w:rFonts w:eastAsia="Calibri" w:cs="Times New Roman"/>
          <w:sz w:val="24"/>
          <w:szCs w:val="24"/>
          <w:lang w:eastAsia="lv-LV"/>
        </w:rPr>
      </w:pPr>
      <w:r w:rsidRPr="00FE13CA">
        <w:rPr>
          <w:rFonts w:eastAsia="Calibri" w:cs="Times New Roman"/>
          <w:sz w:val="24"/>
          <w:szCs w:val="24"/>
          <w:lang w:eastAsia="lv-LV"/>
        </w:rPr>
        <w:t>Specifiskā atbalsta mērķis ir</w:t>
      </w:r>
      <w:r w:rsidR="00D90A93" w:rsidRPr="00D90A93">
        <w:rPr>
          <w:rFonts w:eastAsia="Calibri" w:cs="Times New Roman"/>
          <w:sz w:val="24"/>
          <w:szCs w:val="24"/>
          <w:lang w:eastAsia="lv-LV"/>
        </w:rPr>
        <w:t xml:space="preserve"> uzlabot drošības līmeni</w:t>
      </w:r>
      <w:r w:rsidR="0069564E">
        <w:rPr>
          <w:rFonts w:eastAsia="Calibri" w:cs="Times New Roman"/>
          <w:sz w:val="24"/>
          <w:szCs w:val="24"/>
          <w:lang w:eastAsia="lv-LV"/>
        </w:rPr>
        <w:t xml:space="preserve"> ostās</w:t>
      </w:r>
      <w:r w:rsidR="00D90A93" w:rsidRPr="00D90A93">
        <w:rPr>
          <w:rFonts w:eastAsia="Calibri" w:cs="Times New Roman"/>
          <w:sz w:val="24"/>
          <w:szCs w:val="24"/>
          <w:lang w:eastAsia="lv-LV"/>
        </w:rPr>
        <w:t xml:space="preserve"> un novērst problemātisko punktu radītos ierobežojumus Eiropas transporta tīkla infrastruktūras darbībā.</w:t>
      </w:r>
    </w:p>
    <w:p w:rsidR="00B46C4E" w:rsidRPr="00FE13CA" w:rsidRDefault="00B46C4E" w:rsidP="00BA7140">
      <w:pPr>
        <w:numPr>
          <w:ilvl w:val="0"/>
          <w:numId w:val="1"/>
        </w:numPr>
        <w:spacing w:after="120"/>
        <w:ind w:left="357" w:hanging="357"/>
        <w:jc w:val="both"/>
        <w:outlineLvl w:val="0"/>
        <w:rPr>
          <w:rFonts w:eastAsia="Calibri" w:cs="Times New Roman"/>
          <w:sz w:val="24"/>
          <w:szCs w:val="24"/>
          <w:lang w:eastAsia="lv-LV"/>
        </w:rPr>
      </w:pPr>
      <w:r w:rsidRPr="00FE13CA">
        <w:rPr>
          <w:rFonts w:eastAsia="Calibri" w:cs="Times New Roman"/>
          <w:sz w:val="24"/>
          <w:szCs w:val="24"/>
          <w:lang w:eastAsia="lv-LV"/>
        </w:rPr>
        <w:t>Specifiskā atbalsta mērķa</w:t>
      </w:r>
      <w:r w:rsidR="00FE0BA4" w:rsidRPr="00FE13CA">
        <w:rPr>
          <w:rFonts w:eastAsia="Calibri" w:cs="Times New Roman"/>
          <w:sz w:val="24"/>
          <w:szCs w:val="24"/>
          <w:lang w:eastAsia="lv-LV"/>
        </w:rPr>
        <w:t xml:space="preserve"> </w:t>
      </w:r>
      <w:r w:rsidRPr="00FE13CA">
        <w:rPr>
          <w:rFonts w:eastAsia="Calibri" w:cs="Times New Roman"/>
          <w:sz w:val="24"/>
          <w:szCs w:val="24"/>
          <w:lang w:eastAsia="lv-LV"/>
        </w:rPr>
        <w:t xml:space="preserve">grupa ir </w:t>
      </w:r>
      <w:r w:rsidR="00D90A93">
        <w:rPr>
          <w:rFonts w:eastAsia="Calibri" w:cs="Times New Roman"/>
          <w:sz w:val="24"/>
          <w:szCs w:val="24"/>
          <w:lang w:eastAsia="lv-LV"/>
        </w:rPr>
        <w:t>v</w:t>
      </w:r>
      <w:r w:rsidR="00D90A93" w:rsidRPr="00D90A93">
        <w:rPr>
          <w:rFonts w:eastAsia="Calibri" w:cs="Times New Roman"/>
          <w:sz w:val="24"/>
          <w:szCs w:val="24"/>
          <w:lang w:eastAsia="lv-LV"/>
        </w:rPr>
        <w:t>isu transporta veidu satiksmes dalībnieki, kravu un pasažieru pārvadātāji</w:t>
      </w:r>
      <w:r w:rsidRPr="00FE13CA">
        <w:rPr>
          <w:rFonts w:eastAsia="Calibri" w:cs="Times New Roman"/>
          <w:sz w:val="24"/>
          <w:szCs w:val="24"/>
          <w:lang w:eastAsia="lv-LV"/>
        </w:rPr>
        <w:t>.</w:t>
      </w:r>
    </w:p>
    <w:p w:rsidR="00D90A93" w:rsidRDefault="00B46C4E" w:rsidP="00BA7140">
      <w:pPr>
        <w:numPr>
          <w:ilvl w:val="0"/>
          <w:numId w:val="1"/>
        </w:numPr>
        <w:spacing w:after="120"/>
        <w:ind w:left="357" w:hanging="357"/>
        <w:jc w:val="both"/>
        <w:outlineLvl w:val="0"/>
        <w:rPr>
          <w:rFonts w:eastAsia="Calibri" w:cs="Times New Roman"/>
          <w:sz w:val="24"/>
          <w:szCs w:val="24"/>
          <w:lang w:eastAsia="lv-LV"/>
        </w:rPr>
      </w:pPr>
      <w:r w:rsidRPr="00FE13CA">
        <w:rPr>
          <w:rFonts w:eastAsia="Calibri" w:cs="Times New Roman"/>
          <w:sz w:val="24"/>
          <w:szCs w:val="24"/>
          <w:lang w:eastAsia="lv-LV"/>
        </w:rPr>
        <w:t>Specifisk</w:t>
      </w:r>
      <w:r w:rsidR="008E46A7">
        <w:rPr>
          <w:rFonts w:eastAsia="Calibri" w:cs="Times New Roman"/>
          <w:sz w:val="24"/>
          <w:szCs w:val="24"/>
          <w:lang w:eastAsia="lv-LV"/>
        </w:rPr>
        <w:t>ā</w:t>
      </w:r>
      <w:r w:rsidRPr="00FE13CA">
        <w:rPr>
          <w:rFonts w:eastAsia="Calibri" w:cs="Times New Roman"/>
          <w:sz w:val="24"/>
          <w:szCs w:val="24"/>
          <w:lang w:eastAsia="lv-LV"/>
        </w:rPr>
        <w:t xml:space="preserve"> atbalsta </w:t>
      </w:r>
      <w:r w:rsidR="006A5258">
        <w:rPr>
          <w:rFonts w:eastAsia="Calibri" w:cs="Times New Roman"/>
          <w:sz w:val="24"/>
          <w:szCs w:val="24"/>
          <w:lang w:eastAsia="lv-LV"/>
        </w:rPr>
        <w:t>ietvaros</w:t>
      </w:r>
      <w:r w:rsidR="00A45E88" w:rsidRPr="00A45E88">
        <w:rPr>
          <w:rFonts w:eastAsia="Calibri" w:cs="Times New Roman"/>
          <w:sz w:val="24"/>
          <w:szCs w:val="24"/>
          <w:lang w:eastAsia="lv-LV"/>
        </w:rPr>
        <w:t xml:space="preserve"> ir sasniedzami šādi uzraudzības rādītāji:</w:t>
      </w:r>
    </w:p>
    <w:p w:rsidR="000152FD" w:rsidRDefault="00BD5F94" w:rsidP="00BA7140">
      <w:pPr>
        <w:numPr>
          <w:ilvl w:val="1"/>
          <w:numId w:val="1"/>
        </w:numPr>
        <w:tabs>
          <w:tab w:val="left" w:pos="993"/>
        </w:tabs>
        <w:spacing w:after="120"/>
        <w:jc w:val="both"/>
        <w:outlineLvl w:val="0"/>
        <w:rPr>
          <w:rFonts w:eastAsia="Calibri" w:cs="Times New Roman"/>
          <w:sz w:val="24"/>
          <w:szCs w:val="24"/>
          <w:lang w:eastAsia="lv-LV"/>
        </w:rPr>
      </w:pPr>
      <w:r>
        <w:rPr>
          <w:rFonts w:eastAsia="Calibri" w:cs="Times New Roman"/>
          <w:sz w:val="24"/>
          <w:szCs w:val="24"/>
          <w:lang w:eastAsia="lv-LV"/>
        </w:rPr>
        <w:t xml:space="preserve"> </w:t>
      </w:r>
      <w:r w:rsidR="000152FD" w:rsidRPr="000152FD">
        <w:rPr>
          <w:rFonts w:eastAsia="Calibri" w:cs="Times New Roman"/>
          <w:sz w:val="24"/>
          <w:szCs w:val="24"/>
          <w:lang w:eastAsia="lv-LV"/>
        </w:rPr>
        <w:t>līdz 2023.gada 31.decembrim sasniedzams iznākuma rādītāj</w:t>
      </w:r>
      <w:r w:rsidR="00DB3E09">
        <w:rPr>
          <w:rFonts w:eastAsia="Calibri" w:cs="Times New Roman"/>
          <w:sz w:val="24"/>
          <w:szCs w:val="24"/>
          <w:lang w:eastAsia="lv-LV"/>
        </w:rPr>
        <w:t>s</w:t>
      </w:r>
      <w:r w:rsidR="000152FD">
        <w:rPr>
          <w:rFonts w:eastAsia="Calibri" w:cs="Times New Roman"/>
          <w:sz w:val="24"/>
          <w:szCs w:val="24"/>
          <w:lang w:eastAsia="lv-LV"/>
        </w:rPr>
        <w:t>:</w:t>
      </w:r>
    </w:p>
    <w:p w:rsidR="000152FD" w:rsidRDefault="000152FD" w:rsidP="00091929">
      <w:pPr>
        <w:tabs>
          <w:tab w:val="left" w:pos="993"/>
        </w:tabs>
        <w:spacing w:after="120"/>
        <w:ind w:left="792"/>
        <w:jc w:val="both"/>
        <w:outlineLvl w:val="0"/>
        <w:rPr>
          <w:rFonts w:eastAsia="Calibri" w:cs="Times New Roman"/>
          <w:sz w:val="24"/>
          <w:szCs w:val="24"/>
          <w:lang w:eastAsia="lv-LV"/>
        </w:rPr>
      </w:pPr>
      <w:r>
        <w:rPr>
          <w:rFonts w:eastAsia="Calibri" w:cs="Times New Roman"/>
          <w:sz w:val="24"/>
          <w:szCs w:val="24"/>
          <w:lang w:eastAsia="lv-LV"/>
        </w:rPr>
        <w:t>4.1.1.</w:t>
      </w:r>
      <w:r w:rsidR="0096157F">
        <w:rPr>
          <w:rFonts w:eastAsia="Calibri" w:cs="Times New Roman"/>
          <w:sz w:val="24"/>
          <w:szCs w:val="24"/>
          <w:lang w:eastAsia="lv-LV"/>
        </w:rPr>
        <w:t xml:space="preserve"> </w:t>
      </w:r>
      <w:r w:rsidR="00BF2376">
        <w:rPr>
          <w:rFonts w:eastAsia="Calibri" w:cs="Times New Roman"/>
          <w:sz w:val="24"/>
          <w:szCs w:val="24"/>
          <w:lang w:eastAsia="lv-LV"/>
        </w:rPr>
        <w:t>rekonstruēto</w:t>
      </w:r>
      <w:r w:rsidR="00BF2376" w:rsidRPr="00BD5F94">
        <w:rPr>
          <w:rFonts w:eastAsia="Calibri" w:cs="Times New Roman"/>
          <w:sz w:val="24"/>
          <w:szCs w:val="24"/>
          <w:lang w:eastAsia="lv-LV"/>
        </w:rPr>
        <w:t xml:space="preserve"> </w:t>
      </w:r>
      <w:r w:rsidR="00D90A93" w:rsidRPr="00BD5F94">
        <w:rPr>
          <w:rFonts w:eastAsia="Calibri" w:cs="Times New Roman"/>
          <w:sz w:val="24"/>
          <w:szCs w:val="24"/>
          <w:lang w:eastAsia="lv-LV"/>
        </w:rPr>
        <w:t>hidrotehnisk</w:t>
      </w:r>
      <w:r w:rsidR="0069564E">
        <w:rPr>
          <w:rFonts w:eastAsia="Calibri" w:cs="Times New Roman"/>
          <w:sz w:val="24"/>
          <w:szCs w:val="24"/>
          <w:lang w:eastAsia="lv-LV"/>
        </w:rPr>
        <w:t>o</w:t>
      </w:r>
      <w:r w:rsidR="00D90A93" w:rsidRPr="00BD5F94">
        <w:rPr>
          <w:rFonts w:eastAsia="Calibri" w:cs="Times New Roman"/>
          <w:sz w:val="24"/>
          <w:szCs w:val="24"/>
          <w:lang w:eastAsia="lv-LV"/>
        </w:rPr>
        <w:t xml:space="preserve"> būv</w:t>
      </w:r>
      <w:r w:rsidR="0069564E">
        <w:rPr>
          <w:rFonts w:eastAsia="Calibri" w:cs="Times New Roman"/>
          <w:sz w:val="24"/>
          <w:szCs w:val="24"/>
          <w:lang w:eastAsia="lv-LV"/>
        </w:rPr>
        <w:t>ju</w:t>
      </w:r>
      <w:r w:rsidR="00D90A93" w:rsidRPr="00BD5F94">
        <w:rPr>
          <w:rFonts w:eastAsia="Calibri" w:cs="Times New Roman"/>
          <w:sz w:val="24"/>
          <w:szCs w:val="24"/>
          <w:lang w:eastAsia="lv-LV"/>
        </w:rPr>
        <w:t xml:space="preserve"> skaits 4;</w:t>
      </w:r>
    </w:p>
    <w:p w:rsidR="00BD5F94" w:rsidRPr="00BD5F94" w:rsidRDefault="000152FD" w:rsidP="00091929">
      <w:pPr>
        <w:tabs>
          <w:tab w:val="left" w:pos="993"/>
        </w:tabs>
        <w:spacing w:after="120"/>
        <w:ind w:left="792"/>
        <w:jc w:val="both"/>
        <w:outlineLvl w:val="0"/>
        <w:rPr>
          <w:rFonts w:eastAsia="Calibri" w:cs="Times New Roman"/>
          <w:sz w:val="24"/>
          <w:szCs w:val="24"/>
          <w:lang w:eastAsia="lv-LV"/>
        </w:rPr>
      </w:pPr>
      <w:r>
        <w:rPr>
          <w:rFonts w:eastAsia="Calibri" w:cs="Times New Roman"/>
          <w:sz w:val="24"/>
          <w:szCs w:val="24"/>
          <w:lang w:eastAsia="lv-LV"/>
        </w:rPr>
        <w:t>4.1.2.</w:t>
      </w:r>
      <w:r w:rsidR="00BF2376" w:rsidRPr="00BF2376">
        <w:rPr>
          <w:rFonts w:eastAsia="Calibri" w:cs="Times New Roman"/>
          <w:sz w:val="24"/>
          <w:szCs w:val="24"/>
          <w:lang w:eastAsia="lv-LV"/>
        </w:rPr>
        <w:t xml:space="preserve"> </w:t>
      </w:r>
      <w:r w:rsidR="00BF2376">
        <w:rPr>
          <w:rFonts w:eastAsia="Calibri" w:cs="Times New Roman"/>
          <w:sz w:val="24"/>
          <w:szCs w:val="24"/>
          <w:lang w:eastAsia="lv-LV"/>
        </w:rPr>
        <w:t>rekonstruēto</w:t>
      </w:r>
      <w:r w:rsidR="00BF2376" w:rsidRPr="00BD5F94">
        <w:rPr>
          <w:rFonts w:eastAsia="Calibri" w:cs="Times New Roman"/>
          <w:sz w:val="24"/>
          <w:szCs w:val="24"/>
          <w:lang w:eastAsia="lv-LV"/>
        </w:rPr>
        <w:t xml:space="preserve"> </w:t>
      </w:r>
      <w:r w:rsidR="00D90A93" w:rsidRPr="00BD5F94">
        <w:rPr>
          <w:rFonts w:eastAsia="Calibri" w:cs="Times New Roman"/>
          <w:sz w:val="24"/>
          <w:szCs w:val="24"/>
          <w:lang w:eastAsia="lv-LV"/>
        </w:rPr>
        <w:t>ielu un dzelzceļa garums 12</w:t>
      </w:r>
      <w:r w:rsidR="0003283F">
        <w:rPr>
          <w:rFonts w:eastAsia="Calibri" w:cs="Times New Roman"/>
          <w:sz w:val="24"/>
          <w:szCs w:val="24"/>
          <w:lang w:eastAsia="lv-LV"/>
        </w:rPr>
        <w:t xml:space="preserve"> </w:t>
      </w:r>
      <w:r w:rsidR="00D90A93" w:rsidRPr="00BD5F94">
        <w:rPr>
          <w:rFonts w:eastAsia="Calibri" w:cs="Times New Roman"/>
          <w:sz w:val="24"/>
          <w:szCs w:val="24"/>
          <w:lang w:eastAsia="lv-LV"/>
        </w:rPr>
        <w:t>km;</w:t>
      </w:r>
    </w:p>
    <w:p w:rsidR="000152FD" w:rsidRDefault="00BD5F94" w:rsidP="00DF1BF9">
      <w:pPr>
        <w:numPr>
          <w:ilvl w:val="1"/>
          <w:numId w:val="1"/>
        </w:numPr>
        <w:tabs>
          <w:tab w:val="left" w:pos="993"/>
        </w:tabs>
        <w:spacing w:after="120"/>
        <w:jc w:val="both"/>
        <w:outlineLvl w:val="0"/>
        <w:rPr>
          <w:rFonts w:eastAsia="Calibri" w:cs="Times New Roman"/>
          <w:sz w:val="24"/>
          <w:szCs w:val="24"/>
          <w:lang w:eastAsia="lv-LV"/>
        </w:rPr>
      </w:pPr>
      <w:r>
        <w:rPr>
          <w:rFonts w:eastAsia="Calibri" w:cs="Times New Roman"/>
          <w:sz w:val="24"/>
          <w:szCs w:val="24"/>
          <w:lang w:eastAsia="lv-LV"/>
        </w:rPr>
        <w:t xml:space="preserve"> </w:t>
      </w:r>
      <w:r w:rsidR="000152FD" w:rsidRPr="000152FD">
        <w:rPr>
          <w:rFonts w:eastAsia="Calibri" w:cs="Times New Roman"/>
          <w:sz w:val="24"/>
          <w:szCs w:val="24"/>
          <w:lang w:eastAsia="lv-LV"/>
        </w:rPr>
        <w:t>līdz 2023.gada 31.decembrim sasniedzami</w:t>
      </w:r>
      <w:r w:rsidR="000152FD" w:rsidRPr="000152FD" w:rsidDel="005C294D">
        <w:rPr>
          <w:rFonts w:eastAsia="Calibri" w:cs="Times New Roman"/>
          <w:sz w:val="24"/>
          <w:szCs w:val="24"/>
          <w:lang w:eastAsia="lv-LV"/>
        </w:rPr>
        <w:t xml:space="preserve"> </w:t>
      </w:r>
      <w:r w:rsidR="000152FD" w:rsidRPr="000152FD">
        <w:rPr>
          <w:rFonts w:eastAsia="Calibri" w:cs="Times New Roman"/>
          <w:sz w:val="24"/>
          <w:szCs w:val="24"/>
          <w:lang w:eastAsia="lv-LV"/>
        </w:rPr>
        <w:t>rezultāta rādītāji:</w:t>
      </w:r>
    </w:p>
    <w:p w:rsidR="00BD5F94" w:rsidRDefault="000152FD" w:rsidP="000152FD">
      <w:pPr>
        <w:tabs>
          <w:tab w:val="left" w:pos="993"/>
        </w:tabs>
        <w:spacing w:after="120"/>
        <w:ind w:left="792"/>
        <w:jc w:val="both"/>
        <w:outlineLvl w:val="0"/>
        <w:rPr>
          <w:rFonts w:eastAsia="Calibri" w:cs="Times New Roman"/>
          <w:sz w:val="24"/>
          <w:szCs w:val="24"/>
          <w:lang w:eastAsia="lv-LV"/>
        </w:rPr>
      </w:pPr>
      <w:r>
        <w:rPr>
          <w:rFonts w:eastAsia="Calibri" w:cs="Times New Roman"/>
          <w:sz w:val="24"/>
          <w:szCs w:val="24"/>
          <w:lang w:eastAsia="lv-LV"/>
        </w:rPr>
        <w:t>4.2.1.</w:t>
      </w:r>
      <w:r w:rsidR="00091929" w:rsidRPr="00091929">
        <w:t xml:space="preserve"> </w:t>
      </w:r>
      <w:r w:rsidR="00091929" w:rsidRPr="00091929">
        <w:rPr>
          <w:rFonts w:eastAsia="Calibri" w:cs="Times New Roman"/>
          <w:sz w:val="24"/>
          <w:szCs w:val="24"/>
          <w:lang w:eastAsia="lv-LV"/>
        </w:rPr>
        <w:t>laika apstākļu ietekmētās kuģu dīkstāves reidā vidēji gadā</w:t>
      </w:r>
      <w:r w:rsidR="00D9527D">
        <w:rPr>
          <w:rFonts w:eastAsia="Calibri" w:cs="Times New Roman"/>
          <w:sz w:val="24"/>
          <w:szCs w:val="24"/>
          <w:lang w:eastAsia="lv-LV"/>
        </w:rPr>
        <w:t xml:space="preserve"> 70 stundas</w:t>
      </w:r>
      <w:r w:rsidR="00B721F4">
        <w:rPr>
          <w:rFonts w:eastAsia="Calibri" w:cs="Times New Roman"/>
          <w:sz w:val="24"/>
          <w:szCs w:val="24"/>
          <w:lang w:eastAsia="lv-LV"/>
        </w:rPr>
        <w:t>;</w:t>
      </w:r>
    </w:p>
    <w:p w:rsidR="00BD5F94" w:rsidRDefault="000152FD" w:rsidP="000152FD">
      <w:pPr>
        <w:tabs>
          <w:tab w:val="left" w:pos="993"/>
        </w:tabs>
        <w:spacing w:after="120"/>
        <w:ind w:left="792"/>
        <w:jc w:val="both"/>
        <w:outlineLvl w:val="0"/>
        <w:rPr>
          <w:rFonts w:eastAsia="Calibri" w:cs="Times New Roman"/>
          <w:sz w:val="24"/>
          <w:szCs w:val="24"/>
          <w:lang w:eastAsia="lv-LV"/>
        </w:rPr>
      </w:pPr>
      <w:r>
        <w:rPr>
          <w:rFonts w:eastAsia="Calibri" w:cs="Times New Roman"/>
          <w:sz w:val="24"/>
          <w:szCs w:val="24"/>
          <w:lang w:eastAsia="lv-LV"/>
        </w:rPr>
        <w:t>4.2.2.</w:t>
      </w:r>
      <w:r w:rsidR="00E15450">
        <w:rPr>
          <w:rFonts w:eastAsia="Calibri" w:cs="Times New Roman"/>
          <w:sz w:val="24"/>
          <w:szCs w:val="24"/>
          <w:lang w:eastAsia="lv-LV"/>
        </w:rPr>
        <w:t>p</w:t>
      </w:r>
      <w:r w:rsidR="00D90A93" w:rsidRPr="00BD5F94">
        <w:rPr>
          <w:rFonts w:eastAsia="Calibri" w:cs="Times New Roman"/>
          <w:sz w:val="24"/>
          <w:szCs w:val="24"/>
          <w:lang w:eastAsia="lv-LV"/>
        </w:rPr>
        <w:t>ievadceļu sliktā un ļoti sliktā stāvoklī īpatsvars</w:t>
      </w:r>
      <w:r w:rsidRPr="000152FD">
        <w:t xml:space="preserve"> </w:t>
      </w:r>
      <w:r w:rsidRPr="000152FD">
        <w:rPr>
          <w:rFonts w:eastAsia="Calibri" w:cs="Times New Roman"/>
          <w:sz w:val="24"/>
          <w:szCs w:val="24"/>
          <w:lang w:eastAsia="lv-LV"/>
        </w:rPr>
        <w:t>samazināts no</w:t>
      </w:r>
      <w:r w:rsidR="00D90A93" w:rsidRPr="00BD5F94">
        <w:rPr>
          <w:rFonts w:eastAsia="Calibri" w:cs="Times New Roman"/>
          <w:sz w:val="24"/>
          <w:szCs w:val="24"/>
          <w:lang w:eastAsia="lv-LV"/>
        </w:rPr>
        <w:t xml:space="preserve"> </w:t>
      </w:r>
      <w:r w:rsidR="00B721F4">
        <w:rPr>
          <w:rFonts w:eastAsia="Calibri" w:cs="Times New Roman"/>
          <w:sz w:val="24"/>
          <w:szCs w:val="24"/>
          <w:lang w:eastAsia="lv-LV"/>
        </w:rPr>
        <w:t>62</w:t>
      </w:r>
      <w:r w:rsidR="00D90A93" w:rsidRPr="00BD5F94">
        <w:rPr>
          <w:rFonts w:eastAsia="Calibri" w:cs="Times New Roman"/>
          <w:sz w:val="24"/>
          <w:szCs w:val="24"/>
          <w:lang w:eastAsia="lv-LV"/>
        </w:rPr>
        <w:t>%</w:t>
      </w:r>
      <w:r w:rsidR="00B721F4" w:rsidRPr="00B721F4">
        <w:t xml:space="preserve"> </w:t>
      </w:r>
      <w:r w:rsidR="00B721F4" w:rsidRPr="00B721F4">
        <w:rPr>
          <w:rFonts w:eastAsia="Calibri" w:cs="Times New Roman"/>
          <w:sz w:val="24"/>
          <w:szCs w:val="24"/>
          <w:lang w:eastAsia="lv-LV"/>
        </w:rPr>
        <w:t>līdz</w:t>
      </w:r>
      <w:r w:rsidR="00B721F4">
        <w:rPr>
          <w:rFonts w:eastAsia="Calibri" w:cs="Times New Roman"/>
          <w:sz w:val="24"/>
          <w:szCs w:val="24"/>
          <w:lang w:eastAsia="lv-LV"/>
        </w:rPr>
        <w:t xml:space="preserve"> 47%;</w:t>
      </w:r>
    </w:p>
    <w:p w:rsidR="00BD5F94" w:rsidRDefault="004E6207" w:rsidP="00F568EF">
      <w:pPr>
        <w:numPr>
          <w:ilvl w:val="1"/>
          <w:numId w:val="1"/>
        </w:numPr>
        <w:tabs>
          <w:tab w:val="left" w:pos="993"/>
        </w:tabs>
        <w:spacing w:after="120"/>
        <w:jc w:val="both"/>
        <w:outlineLvl w:val="0"/>
        <w:rPr>
          <w:rFonts w:eastAsia="Calibri" w:cs="Times New Roman"/>
          <w:sz w:val="24"/>
          <w:szCs w:val="24"/>
          <w:lang w:eastAsia="lv-LV"/>
        </w:rPr>
      </w:pPr>
      <w:r>
        <w:rPr>
          <w:rFonts w:eastAsia="Calibri" w:cs="Times New Roman"/>
          <w:sz w:val="24"/>
          <w:szCs w:val="24"/>
          <w:lang w:eastAsia="lv-LV"/>
        </w:rPr>
        <w:t xml:space="preserve">finanšu rādītājs </w:t>
      </w:r>
      <w:r w:rsidR="00A84BAF">
        <w:rPr>
          <w:rFonts w:eastAsia="Calibri" w:cs="Times New Roman"/>
          <w:sz w:val="24"/>
          <w:szCs w:val="24"/>
          <w:lang w:eastAsia="lv-LV"/>
        </w:rPr>
        <w:t>–</w:t>
      </w:r>
      <w:r>
        <w:rPr>
          <w:rFonts w:eastAsia="Calibri" w:cs="Times New Roman"/>
          <w:sz w:val="24"/>
          <w:szCs w:val="24"/>
          <w:lang w:eastAsia="lv-LV"/>
        </w:rPr>
        <w:t xml:space="preserve"> </w:t>
      </w:r>
      <w:r w:rsidR="00D90A93" w:rsidRPr="00BD5F94">
        <w:rPr>
          <w:rFonts w:eastAsia="Calibri" w:cs="Times New Roman"/>
          <w:sz w:val="24"/>
          <w:szCs w:val="24"/>
          <w:lang w:eastAsia="lv-LV"/>
        </w:rPr>
        <w:t xml:space="preserve">līdz 2018.gada 31.decembrim sertificēti izdevumi 30 527 277 </w:t>
      </w:r>
      <w:r w:rsidR="00D90A93" w:rsidRPr="006A5258">
        <w:rPr>
          <w:rFonts w:eastAsia="Calibri" w:cs="Times New Roman"/>
          <w:i/>
          <w:sz w:val="24"/>
          <w:szCs w:val="24"/>
          <w:lang w:eastAsia="lv-LV"/>
        </w:rPr>
        <w:t xml:space="preserve">euro </w:t>
      </w:r>
      <w:r w:rsidR="00D90A93" w:rsidRPr="00BD5F94">
        <w:rPr>
          <w:rFonts w:eastAsia="Calibri" w:cs="Times New Roman"/>
          <w:sz w:val="24"/>
          <w:szCs w:val="24"/>
          <w:lang w:eastAsia="lv-LV"/>
        </w:rPr>
        <w:t xml:space="preserve"> apmērā</w:t>
      </w:r>
      <w:r w:rsidR="00771B73">
        <w:rPr>
          <w:rFonts w:eastAsia="Calibri" w:cs="Times New Roman"/>
          <w:sz w:val="24"/>
          <w:szCs w:val="24"/>
          <w:lang w:eastAsia="lv-LV"/>
        </w:rPr>
        <w:t>.</w:t>
      </w:r>
    </w:p>
    <w:p w:rsidR="00930ABA" w:rsidRPr="00BD5F94" w:rsidRDefault="00B521EC" w:rsidP="00BA7140">
      <w:pPr>
        <w:numPr>
          <w:ilvl w:val="0"/>
          <w:numId w:val="1"/>
        </w:numPr>
        <w:spacing w:after="120"/>
        <w:ind w:left="426" w:hanging="426"/>
        <w:jc w:val="both"/>
        <w:outlineLvl w:val="0"/>
        <w:rPr>
          <w:rFonts w:eastAsia="Calibri" w:cs="Times New Roman"/>
          <w:sz w:val="24"/>
          <w:szCs w:val="24"/>
          <w:lang w:eastAsia="lv-LV"/>
        </w:rPr>
      </w:pPr>
      <w:r w:rsidRPr="00BD5F94">
        <w:rPr>
          <w:rFonts w:eastAsia="Calibri" w:cs="Times New Roman"/>
          <w:sz w:val="24"/>
          <w:szCs w:val="24"/>
          <w:lang w:eastAsia="lv-LV"/>
        </w:rPr>
        <w:t xml:space="preserve">Specifisko </w:t>
      </w:r>
      <w:r w:rsidR="003B0916" w:rsidRPr="00BD5F94">
        <w:rPr>
          <w:rFonts w:eastAsia="Calibri" w:cs="Times New Roman"/>
          <w:sz w:val="24"/>
          <w:szCs w:val="24"/>
          <w:lang w:eastAsia="lv-LV"/>
        </w:rPr>
        <w:t>atbalst</w:t>
      </w:r>
      <w:r w:rsidR="003B0916">
        <w:rPr>
          <w:rFonts w:eastAsia="Calibri" w:cs="Times New Roman"/>
          <w:sz w:val="24"/>
          <w:szCs w:val="24"/>
          <w:lang w:eastAsia="lv-LV"/>
        </w:rPr>
        <w:t>u</w:t>
      </w:r>
      <w:r w:rsidR="003B0916" w:rsidRPr="00BD5F94">
        <w:rPr>
          <w:rFonts w:eastAsia="Calibri" w:cs="Times New Roman"/>
          <w:sz w:val="24"/>
          <w:szCs w:val="24"/>
          <w:lang w:eastAsia="lv-LV"/>
        </w:rPr>
        <w:t xml:space="preserve"> </w:t>
      </w:r>
      <w:r w:rsidRPr="00BD5F94">
        <w:rPr>
          <w:rFonts w:eastAsia="Calibri" w:cs="Times New Roman"/>
          <w:sz w:val="24"/>
          <w:szCs w:val="24"/>
          <w:lang w:eastAsia="lv-LV"/>
        </w:rPr>
        <w:t>īsteno ierobežotas projektu iesniegumu atlases veidā</w:t>
      </w:r>
      <w:r w:rsidR="007E600E" w:rsidRPr="00BD5F94">
        <w:rPr>
          <w:rFonts w:eastAsia="Calibri" w:cs="Times New Roman"/>
          <w:sz w:val="24"/>
          <w:szCs w:val="24"/>
          <w:lang w:eastAsia="lv-LV"/>
        </w:rPr>
        <w:t xml:space="preserve">. </w:t>
      </w:r>
    </w:p>
    <w:p w:rsidR="005317EC" w:rsidRPr="005317EC" w:rsidRDefault="005F531E" w:rsidP="00BA7140">
      <w:pPr>
        <w:numPr>
          <w:ilvl w:val="0"/>
          <w:numId w:val="1"/>
        </w:numPr>
        <w:spacing w:after="120"/>
        <w:ind w:left="426" w:hanging="426"/>
        <w:jc w:val="both"/>
        <w:outlineLvl w:val="0"/>
        <w:rPr>
          <w:rFonts w:eastAsia="Calibri" w:cs="Times New Roman"/>
          <w:sz w:val="24"/>
          <w:szCs w:val="24"/>
          <w:lang w:eastAsia="lv-LV"/>
        </w:rPr>
      </w:pPr>
      <w:r w:rsidRPr="00FE13CA">
        <w:rPr>
          <w:rFonts w:eastAsia="Calibri" w:cs="Times New Roman"/>
          <w:sz w:val="24"/>
          <w:szCs w:val="24"/>
          <w:lang w:eastAsia="lv-LV"/>
        </w:rPr>
        <w:lastRenderedPageBreak/>
        <w:t xml:space="preserve">Specifiskā atbalsta </w:t>
      </w:r>
      <w:r w:rsidR="00CB7645">
        <w:rPr>
          <w:rFonts w:eastAsia="Calibri" w:cs="Times New Roman"/>
          <w:sz w:val="24"/>
          <w:szCs w:val="24"/>
          <w:lang w:eastAsia="lv-LV"/>
        </w:rPr>
        <w:t>ietvaros atbildīgās iestādes funkcijas pilda</w:t>
      </w:r>
      <w:r w:rsidR="005317EC" w:rsidRPr="005317EC">
        <w:rPr>
          <w:rFonts w:eastAsia="Calibri" w:cs="Times New Roman"/>
          <w:sz w:val="24"/>
          <w:szCs w:val="24"/>
          <w:lang w:eastAsia="lv-LV"/>
        </w:rPr>
        <w:t xml:space="preserve"> Satiksmes </w:t>
      </w:r>
      <w:r w:rsidR="00981D5B">
        <w:rPr>
          <w:rFonts w:eastAsia="Calibri" w:cs="Times New Roman"/>
          <w:sz w:val="24"/>
          <w:szCs w:val="24"/>
          <w:lang w:eastAsia="lv-LV"/>
        </w:rPr>
        <w:t>ministrija</w:t>
      </w:r>
      <w:r w:rsidR="00CB7645">
        <w:rPr>
          <w:rFonts w:eastAsia="Calibri" w:cs="Times New Roman"/>
          <w:sz w:val="24"/>
          <w:szCs w:val="24"/>
          <w:lang w:eastAsia="lv-LV"/>
        </w:rPr>
        <w:t>.</w:t>
      </w:r>
    </w:p>
    <w:p w:rsidR="00DA5312" w:rsidRPr="00A008C3" w:rsidRDefault="00587EFA" w:rsidP="00BA7140">
      <w:pPr>
        <w:numPr>
          <w:ilvl w:val="0"/>
          <w:numId w:val="1"/>
        </w:numPr>
        <w:spacing w:after="120"/>
        <w:ind w:left="426" w:hanging="426"/>
        <w:jc w:val="both"/>
        <w:outlineLvl w:val="0"/>
        <w:rPr>
          <w:rFonts w:eastAsia="Calibri" w:cs="Times New Roman"/>
          <w:sz w:val="24"/>
          <w:szCs w:val="24"/>
          <w:lang w:eastAsia="lv-LV"/>
        </w:rPr>
      </w:pPr>
      <w:r w:rsidRPr="00BE595C">
        <w:rPr>
          <w:rFonts w:eastAsia="Calibri" w:cs="Times New Roman"/>
          <w:sz w:val="24"/>
          <w:szCs w:val="24"/>
          <w:lang w:eastAsia="lv-LV"/>
        </w:rPr>
        <w:t>Specifisk</w:t>
      </w:r>
      <w:r w:rsidR="008E46A7">
        <w:rPr>
          <w:rFonts w:eastAsia="Calibri" w:cs="Times New Roman"/>
          <w:sz w:val="24"/>
          <w:szCs w:val="24"/>
          <w:lang w:eastAsia="lv-LV"/>
        </w:rPr>
        <w:t>ajam</w:t>
      </w:r>
      <w:r w:rsidRPr="00BE595C">
        <w:rPr>
          <w:rFonts w:eastAsia="Calibri" w:cs="Times New Roman"/>
          <w:sz w:val="24"/>
          <w:szCs w:val="24"/>
          <w:lang w:eastAsia="lv-LV"/>
        </w:rPr>
        <w:t xml:space="preserve"> atbalsta </w:t>
      </w:r>
      <w:r w:rsidR="00BE595C" w:rsidRPr="00BE595C">
        <w:rPr>
          <w:rFonts w:eastAsia="Calibri" w:cs="Times New Roman"/>
          <w:sz w:val="24"/>
          <w:szCs w:val="24"/>
          <w:lang w:eastAsia="lv-LV"/>
        </w:rPr>
        <w:t xml:space="preserve">plānotais </w:t>
      </w:r>
      <w:r w:rsidR="004A50FA">
        <w:rPr>
          <w:rFonts w:eastAsia="Calibri" w:cs="Times New Roman"/>
          <w:sz w:val="24"/>
          <w:szCs w:val="24"/>
          <w:lang w:eastAsia="lv-LV"/>
        </w:rPr>
        <w:t>kopējais attiecināmais</w:t>
      </w:r>
      <w:r w:rsidR="004A50FA" w:rsidRPr="00BE595C">
        <w:rPr>
          <w:rFonts w:eastAsia="Calibri" w:cs="Times New Roman"/>
          <w:sz w:val="24"/>
          <w:szCs w:val="24"/>
          <w:lang w:eastAsia="lv-LV"/>
        </w:rPr>
        <w:t xml:space="preserve"> </w:t>
      </w:r>
      <w:r w:rsidR="00981D5B">
        <w:rPr>
          <w:rFonts w:eastAsia="Calibri" w:cs="Times New Roman"/>
          <w:sz w:val="24"/>
          <w:szCs w:val="24"/>
          <w:lang w:eastAsia="lv-LV"/>
        </w:rPr>
        <w:t xml:space="preserve">finansējums ir 87 191 324 </w:t>
      </w:r>
      <w:r w:rsidR="00981D5B" w:rsidRPr="00981D5B">
        <w:rPr>
          <w:rFonts w:eastAsia="Calibri" w:cs="Times New Roman"/>
          <w:i/>
          <w:sz w:val="24"/>
          <w:szCs w:val="24"/>
          <w:lang w:eastAsia="lv-LV"/>
        </w:rPr>
        <w:t>euro</w:t>
      </w:r>
      <w:r w:rsidR="00981D5B" w:rsidRPr="00981D5B">
        <w:rPr>
          <w:rFonts w:eastAsia="Calibri" w:cs="Times New Roman"/>
          <w:sz w:val="24"/>
          <w:szCs w:val="24"/>
          <w:lang w:eastAsia="lv-LV"/>
        </w:rPr>
        <w:t>,</w:t>
      </w:r>
      <w:r w:rsidR="00981D5B">
        <w:rPr>
          <w:rFonts w:eastAsia="Calibri" w:cs="Times New Roman"/>
          <w:sz w:val="24"/>
          <w:szCs w:val="24"/>
          <w:lang w:eastAsia="lv-LV"/>
        </w:rPr>
        <w:t xml:space="preserve"> </w:t>
      </w:r>
      <w:r w:rsidR="00981D5B" w:rsidRPr="00981D5B">
        <w:rPr>
          <w:rFonts w:eastAsia="Calibri" w:cs="Times New Roman"/>
          <w:sz w:val="24"/>
          <w:szCs w:val="24"/>
          <w:lang w:eastAsia="lv-LV"/>
        </w:rPr>
        <w:t>tai skaitā</w:t>
      </w:r>
      <w:r w:rsidR="00981D5B">
        <w:rPr>
          <w:rFonts w:eastAsia="Calibri" w:cs="Times New Roman"/>
          <w:sz w:val="24"/>
          <w:szCs w:val="24"/>
          <w:lang w:eastAsia="lv-LV"/>
        </w:rPr>
        <w:t xml:space="preserve"> </w:t>
      </w:r>
      <w:r w:rsidR="009A3017" w:rsidRPr="00BE595C">
        <w:rPr>
          <w:rFonts w:eastAsia="Calibri" w:cs="Times New Roman"/>
          <w:sz w:val="24"/>
          <w:szCs w:val="24"/>
          <w:lang w:eastAsia="lv-LV"/>
        </w:rPr>
        <w:t>Kohēzijas fonda finansējuma</w:t>
      </w:r>
      <w:r w:rsidR="00BD5F94" w:rsidRPr="00BE595C">
        <w:rPr>
          <w:rFonts w:eastAsia="Calibri" w:cs="Times New Roman"/>
          <w:sz w:val="24"/>
          <w:szCs w:val="24"/>
          <w:lang w:eastAsia="lv-LV"/>
        </w:rPr>
        <w:t xml:space="preserve"> apjoms ir </w:t>
      </w:r>
      <w:r w:rsidR="00BD5F94" w:rsidRPr="006A5258">
        <w:rPr>
          <w:rFonts w:eastAsia="Calibri" w:cs="Times New Roman"/>
          <w:sz w:val="24"/>
          <w:szCs w:val="24"/>
          <w:lang w:eastAsia="lv-LV"/>
        </w:rPr>
        <w:t>74</w:t>
      </w:r>
      <w:r w:rsidR="0010290B">
        <w:rPr>
          <w:rFonts w:eastAsia="Calibri" w:cs="Times New Roman"/>
          <w:sz w:val="24"/>
          <w:szCs w:val="24"/>
          <w:lang w:eastAsia="lv-LV"/>
        </w:rPr>
        <w:t xml:space="preserve"> </w:t>
      </w:r>
      <w:r w:rsidR="00BD5F94" w:rsidRPr="006A5258">
        <w:rPr>
          <w:rFonts w:eastAsia="Calibri" w:cs="Times New Roman"/>
          <w:sz w:val="24"/>
          <w:szCs w:val="24"/>
          <w:lang w:eastAsia="lv-LV"/>
        </w:rPr>
        <w:t xml:space="preserve">112 625 </w:t>
      </w:r>
      <w:r w:rsidR="00BD5F94" w:rsidRPr="006A5258">
        <w:rPr>
          <w:rFonts w:eastAsia="Calibri" w:cs="Times New Roman"/>
          <w:i/>
          <w:sz w:val="24"/>
          <w:szCs w:val="24"/>
          <w:lang w:eastAsia="lv-LV"/>
        </w:rPr>
        <w:t>euro</w:t>
      </w:r>
      <w:r w:rsidR="00910689">
        <w:rPr>
          <w:rFonts w:eastAsia="Calibri" w:cs="Times New Roman"/>
          <w:sz w:val="24"/>
          <w:szCs w:val="24"/>
          <w:lang w:eastAsia="lv-LV"/>
        </w:rPr>
        <w:t xml:space="preserve"> un </w:t>
      </w:r>
      <w:r w:rsidR="00E83AB4">
        <w:rPr>
          <w:rFonts w:eastAsia="Calibri" w:cs="Times New Roman"/>
          <w:sz w:val="24"/>
          <w:szCs w:val="24"/>
          <w:lang w:eastAsia="lv-LV"/>
        </w:rPr>
        <w:t xml:space="preserve">privātais </w:t>
      </w:r>
      <w:r w:rsidR="00910689" w:rsidRPr="009D6D33">
        <w:rPr>
          <w:rFonts w:eastAsia="Calibri" w:cs="Times New Roman"/>
          <w:sz w:val="24"/>
          <w:szCs w:val="24"/>
          <w:lang w:eastAsia="lv-LV"/>
        </w:rPr>
        <w:t>finansējums vismaz</w:t>
      </w:r>
      <w:r w:rsidR="00910689" w:rsidRPr="003644A1">
        <w:rPr>
          <w:rFonts w:eastAsia="Calibri" w:cs="Times New Roman"/>
          <w:sz w:val="24"/>
          <w:szCs w:val="24"/>
          <w:lang w:eastAsia="lv-LV"/>
        </w:rPr>
        <w:t xml:space="preserve"> 13 078 699 </w:t>
      </w:r>
      <w:r w:rsidR="00910689" w:rsidRPr="00A008C3">
        <w:rPr>
          <w:rFonts w:eastAsia="Calibri" w:cs="Times New Roman"/>
          <w:i/>
          <w:sz w:val="24"/>
          <w:szCs w:val="24"/>
          <w:lang w:eastAsia="lv-LV"/>
        </w:rPr>
        <w:t>euro</w:t>
      </w:r>
      <w:r w:rsidR="00910689" w:rsidRPr="00A008C3">
        <w:rPr>
          <w:rFonts w:eastAsia="Calibri" w:cs="Times New Roman"/>
          <w:sz w:val="24"/>
          <w:szCs w:val="24"/>
          <w:lang w:eastAsia="lv-LV"/>
        </w:rPr>
        <w:t>.</w:t>
      </w:r>
      <w:r w:rsidR="00BD5F94" w:rsidRPr="00A008C3">
        <w:rPr>
          <w:rFonts w:eastAsia="Calibri" w:cs="Times New Roman"/>
          <w:sz w:val="24"/>
          <w:szCs w:val="24"/>
          <w:lang w:eastAsia="lv-LV"/>
        </w:rPr>
        <w:t xml:space="preserve"> </w:t>
      </w:r>
    </w:p>
    <w:p w:rsidR="006A5258" w:rsidRPr="00A008C3" w:rsidRDefault="00BE595C" w:rsidP="00BA7140">
      <w:pPr>
        <w:numPr>
          <w:ilvl w:val="0"/>
          <w:numId w:val="1"/>
        </w:numPr>
        <w:spacing w:after="120"/>
        <w:ind w:left="426" w:hanging="426"/>
        <w:jc w:val="both"/>
        <w:outlineLvl w:val="0"/>
        <w:rPr>
          <w:rFonts w:eastAsia="Calibri" w:cs="Times New Roman"/>
          <w:sz w:val="24"/>
          <w:szCs w:val="24"/>
          <w:lang w:eastAsia="lv-LV"/>
        </w:rPr>
      </w:pPr>
      <w:r w:rsidRPr="00A008C3">
        <w:rPr>
          <w:rFonts w:eastAsia="Calibri" w:cs="Times New Roman"/>
          <w:sz w:val="24"/>
          <w:szCs w:val="24"/>
          <w:lang w:eastAsia="lv-LV"/>
        </w:rPr>
        <w:t>Maksimālais attiecināmais Kohēzijas fonda finansējuma apmērs ir 85% no projektam plānotā kopējā attiecināmā finansējuma</w:t>
      </w:r>
      <w:r w:rsidR="001E70FA" w:rsidRPr="00A008C3">
        <w:rPr>
          <w:rFonts w:eastAsia="Calibri" w:cs="Times New Roman"/>
          <w:sz w:val="24"/>
          <w:szCs w:val="24"/>
          <w:lang w:eastAsia="lv-LV"/>
        </w:rPr>
        <w:t>.</w:t>
      </w:r>
      <w:r w:rsidR="001E70FA" w:rsidRPr="00A008C3">
        <w:rPr>
          <w:rFonts w:ascii="Calibri" w:eastAsia="Times New Roman" w:hAnsi="Calibri" w:cs="Times New Roman"/>
          <w:sz w:val="22"/>
          <w:lang w:eastAsia="lv-LV"/>
        </w:rPr>
        <w:t xml:space="preserve"> </w:t>
      </w:r>
    </w:p>
    <w:p w:rsidR="006A5258" w:rsidRPr="00A008C3" w:rsidRDefault="0004488C" w:rsidP="006118AD">
      <w:pPr>
        <w:numPr>
          <w:ilvl w:val="0"/>
          <w:numId w:val="1"/>
        </w:numPr>
        <w:spacing w:after="120"/>
        <w:ind w:left="426" w:hanging="426"/>
        <w:jc w:val="both"/>
        <w:outlineLvl w:val="0"/>
        <w:rPr>
          <w:rFonts w:eastAsia="Calibri" w:cs="Times New Roman"/>
          <w:sz w:val="24"/>
          <w:szCs w:val="24"/>
          <w:lang w:eastAsia="lv-LV"/>
        </w:rPr>
      </w:pPr>
      <w:r w:rsidRPr="00A008C3">
        <w:rPr>
          <w:rFonts w:eastAsia="Calibri" w:cs="Times New Roman"/>
          <w:sz w:val="24"/>
          <w:szCs w:val="24"/>
          <w:lang w:eastAsia="lv-LV"/>
        </w:rPr>
        <w:t xml:space="preserve">Maksimālais </w:t>
      </w:r>
      <w:r w:rsidR="004A50FA" w:rsidRPr="00A008C3">
        <w:rPr>
          <w:rFonts w:eastAsia="Calibri" w:cs="Times New Roman"/>
          <w:sz w:val="24"/>
          <w:szCs w:val="24"/>
          <w:lang w:eastAsia="lv-LV"/>
        </w:rPr>
        <w:t xml:space="preserve">plānotais </w:t>
      </w:r>
      <w:r w:rsidRPr="00A008C3">
        <w:rPr>
          <w:rFonts w:eastAsia="Calibri" w:cs="Times New Roman"/>
          <w:sz w:val="24"/>
          <w:szCs w:val="24"/>
          <w:lang w:eastAsia="lv-LV"/>
        </w:rPr>
        <w:t>Kohēzijas fonda finansējums</w:t>
      </w:r>
      <w:r w:rsidR="00FF2B6C" w:rsidRPr="00A008C3">
        <w:rPr>
          <w:rFonts w:eastAsia="Calibri" w:cs="Times New Roman"/>
          <w:sz w:val="24"/>
          <w:szCs w:val="24"/>
          <w:lang w:eastAsia="lv-LV"/>
        </w:rPr>
        <w:t xml:space="preserve"> </w:t>
      </w:r>
      <w:r w:rsidRPr="00A008C3">
        <w:rPr>
          <w:rFonts w:eastAsia="Calibri" w:cs="Times New Roman"/>
          <w:sz w:val="24"/>
          <w:szCs w:val="24"/>
          <w:lang w:eastAsia="lv-LV"/>
        </w:rPr>
        <w:t>vienam projekta</w:t>
      </w:r>
      <w:r w:rsidR="00FF2B6C" w:rsidRPr="00A008C3">
        <w:rPr>
          <w:rFonts w:eastAsia="Calibri" w:cs="Times New Roman"/>
          <w:sz w:val="24"/>
          <w:szCs w:val="24"/>
          <w:lang w:eastAsia="lv-LV"/>
        </w:rPr>
        <w:t xml:space="preserve"> iesniedzējam</w:t>
      </w:r>
      <w:r w:rsidRPr="00A008C3">
        <w:rPr>
          <w:rFonts w:eastAsia="Calibri" w:cs="Times New Roman"/>
          <w:sz w:val="24"/>
          <w:szCs w:val="24"/>
          <w:lang w:eastAsia="lv-LV"/>
        </w:rPr>
        <w:t xml:space="preserve"> ir </w:t>
      </w:r>
      <w:r w:rsidRPr="00A008C3">
        <w:rPr>
          <w:sz w:val="24"/>
          <w:szCs w:val="24"/>
        </w:rPr>
        <w:t>24 704</w:t>
      </w:r>
      <w:r w:rsidR="006A5258" w:rsidRPr="00A008C3">
        <w:rPr>
          <w:sz w:val="24"/>
          <w:szCs w:val="24"/>
        </w:rPr>
        <w:t> </w:t>
      </w:r>
      <w:r w:rsidRPr="00A008C3">
        <w:rPr>
          <w:sz w:val="24"/>
          <w:szCs w:val="24"/>
        </w:rPr>
        <w:t>208</w:t>
      </w:r>
      <w:r w:rsidR="006A5258" w:rsidRPr="00A008C3">
        <w:rPr>
          <w:sz w:val="24"/>
          <w:szCs w:val="24"/>
        </w:rPr>
        <w:t xml:space="preserve"> </w:t>
      </w:r>
      <w:r w:rsidR="006A5258" w:rsidRPr="00A008C3">
        <w:rPr>
          <w:rFonts w:eastAsia="Calibri" w:cs="Times New Roman"/>
          <w:i/>
          <w:sz w:val="24"/>
          <w:szCs w:val="24"/>
          <w:lang w:eastAsia="lv-LV"/>
        </w:rPr>
        <w:t>euro</w:t>
      </w:r>
      <w:r w:rsidR="00CE2105" w:rsidRPr="00A008C3">
        <w:rPr>
          <w:rFonts w:eastAsia="Calibri" w:cs="Times New Roman"/>
          <w:sz w:val="24"/>
          <w:szCs w:val="24"/>
          <w:lang w:eastAsia="lv-LV"/>
        </w:rPr>
        <w:t>.</w:t>
      </w:r>
      <w:r w:rsidR="00FF2B6C" w:rsidRPr="00A008C3">
        <w:rPr>
          <w:rFonts w:eastAsia="Calibri" w:cs="Times New Roman"/>
          <w:sz w:val="24"/>
          <w:szCs w:val="24"/>
          <w:lang w:eastAsia="lv-LV"/>
        </w:rPr>
        <w:t xml:space="preserve"> </w:t>
      </w:r>
    </w:p>
    <w:p w:rsidR="00187D4A" w:rsidRDefault="00450E6C" w:rsidP="00187D4A">
      <w:pPr>
        <w:numPr>
          <w:ilvl w:val="0"/>
          <w:numId w:val="1"/>
        </w:numPr>
        <w:spacing w:after="120"/>
        <w:ind w:left="426" w:hanging="426"/>
        <w:jc w:val="both"/>
        <w:outlineLvl w:val="0"/>
        <w:rPr>
          <w:rFonts w:eastAsia="Calibri" w:cs="Times New Roman"/>
          <w:sz w:val="24"/>
          <w:szCs w:val="24"/>
          <w:lang w:eastAsia="lv-LV"/>
        </w:rPr>
      </w:pPr>
      <w:r w:rsidRPr="00A008C3">
        <w:rPr>
          <w:rFonts w:eastAsiaTheme="majorEastAsia" w:cstheme="majorBidi"/>
          <w:sz w:val="24"/>
          <w:szCs w:val="32"/>
        </w:rPr>
        <w:t xml:space="preserve">Pieejamais kopējais attiecināmais finansējums līgumu par projekta īstenošanu slēgšanai līdz 2018.gada 31.decembrim ir 81 797 085 </w:t>
      </w:r>
      <w:r w:rsidRPr="00A008C3">
        <w:rPr>
          <w:rFonts w:eastAsiaTheme="majorEastAsia" w:cstheme="majorBidi"/>
          <w:i/>
          <w:sz w:val="24"/>
          <w:szCs w:val="32"/>
        </w:rPr>
        <w:t>euro</w:t>
      </w:r>
      <w:r w:rsidRPr="009D6D33">
        <w:rPr>
          <w:rFonts w:eastAsiaTheme="majorEastAsia" w:cstheme="majorBidi"/>
          <w:sz w:val="24"/>
          <w:szCs w:val="32"/>
        </w:rPr>
        <w:t xml:space="preserve">, tai skaitā 69 527 522 </w:t>
      </w:r>
      <w:r w:rsidRPr="00A008C3">
        <w:rPr>
          <w:rFonts w:eastAsiaTheme="majorEastAsia" w:cstheme="majorBidi"/>
          <w:i/>
          <w:sz w:val="24"/>
          <w:szCs w:val="32"/>
        </w:rPr>
        <w:t>euro</w:t>
      </w:r>
      <w:r w:rsidRPr="009D6D33">
        <w:rPr>
          <w:rFonts w:eastAsiaTheme="majorEastAsia" w:cstheme="majorBidi"/>
          <w:sz w:val="24"/>
          <w:szCs w:val="32"/>
        </w:rPr>
        <w:t xml:space="preserve"> Kohēzijas fonda finansējums un ne mazāk kā 12 269 563 </w:t>
      </w:r>
      <w:r w:rsidRPr="00A008C3">
        <w:rPr>
          <w:rFonts w:eastAsiaTheme="majorEastAsia" w:cstheme="majorBidi"/>
          <w:i/>
          <w:sz w:val="24"/>
          <w:szCs w:val="32"/>
        </w:rPr>
        <w:t>euro</w:t>
      </w:r>
      <w:r w:rsidRPr="009D6D33">
        <w:rPr>
          <w:rFonts w:eastAsiaTheme="majorEastAsia" w:cstheme="majorBidi"/>
          <w:sz w:val="24"/>
          <w:szCs w:val="32"/>
        </w:rPr>
        <w:t xml:space="preserve"> privātais finansējums. Vienam projektu iesniedzējam pieejamais Kohēzijas fonda finansējums līdz 2018. gada 31. decembrim, lai slēgtu līgumus par projektu īstenošanu, ir 23 175 840 </w:t>
      </w:r>
      <w:r w:rsidRPr="00A008C3">
        <w:rPr>
          <w:rFonts w:eastAsiaTheme="majorEastAsia" w:cstheme="majorBidi"/>
          <w:i/>
          <w:sz w:val="24"/>
          <w:szCs w:val="32"/>
        </w:rPr>
        <w:t>euro</w:t>
      </w:r>
      <w:r w:rsidRPr="009D6D33">
        <w:rPr>
          <w:rFonts w:eastAsiaTheme="majorEastAsia" w:cstheme="majorBidi"/>
          <w:sz w:val="24"/>
          <w:szCs w:val="32"/>
        </w:rPr>
        <w:t>. No 2019.gada 1.janvāra atbildīgā iestāde pēc Eiropas Komisijas lēmuma</w:t>
      </w:r>
      <w:r w:rsidR="00AE2D9C">
        <w:rPr>
          <w:rFonts w:eastAsiaTheme="majorEastAsia" w:cstheme="majorBidi"/>
          <w:sz w:val="24"/>
          <w:szCs w:val="32"/>
        </w:rPr>
        <w:t xml:space="preserve"> par snieguma ietvara izpildi</w:t>
      </w:r>
      <w:r w:rsidRPr="009D6D33">
        <w:rPr>
          <w:rFonts w:eastAsiaTheme="majorEastAsia" w:cstheme="majorBidi"/>
          <w:sz w:val="24"/>
          <w:szCs w:val="32"/>
        </w:rPr>
        <w:t xml:space="preserve"> var ierosināt palielināt pieejamo attiecināmo finansējumu līdz šo noteikumu 7. un 9.punktā noteiktajam apmēram.</w:t>
      </w:r>
    </w:p>
    <w:p w:rsidR="00206056" w:rsidRPr="00830703" w:rsidRDefault="00206056" w:rsidP="00830703">
      <w:pPr>
        <w:numPr>
          <w:ilvl w:val="0"/>
          <w:numId w:val="1"/>
        </w:numPr>
        <w:spacing w:after="120"/>
        <w:ind w:left="426" w:hanging="426"/>
        <w:jc w:val="both"/>
        <w:outlineLvl w:val="0"/>
        <w:rPr>
          <w:rFonts w:eastAsiaTheme="majorEastAsia" w:cstheme="majorBidi"/>
          <w:sz w:val="24"/>
          <w:szCs w:val="32"/>
        </w:rPr>
      </w:pPr>
      <w:r w:rsidRPr="00830703">
        <w:rPr>
          <w:rFonts w:eastAsiaTheme="majorEastAsia" w:cstheme="majorBidi"/>
          <w:sz w:val="24"/>
          <w:szCs w:val="32"/>
        </w:rPr>
        <w:t xml:space="preserve">Ja projekts ir kvalificējams kā komercdarbības atbalsts, projekta iesniedzējs projekta īstenošanai papildu līdz 2018. gada 31.decembrim pieejamajam Kohēzijas fonda līdzfinansējumam var plānot piesaistīt citus publiskos līdzekļus, snieguma rezerves finansējuma apjomā, piemēram, projekta iesniedzēja aizņēmums Valsts kasē, nepārsniedzot Eiropas Komisijas lēmumā par valsts atbalstu noteikto publisko līdzekļu finansējuma apjomu. Civiltiesiskā līgumā par projekta īstenošanu nosaka projekta īstenošanai nepieciešamā publiskā finansējuma apmēru. Snieguma ietvara izpildes gadījumā atbilstoši šo noteikumu 10.punktā minētajam, sadarbības iestāde var palielināt Kohēzijas fonda finansējuma apmēru projektam, nepalielinot sākotnēji noteikto publiskā finansējuma apmēru. Apliecinājumu par </w:t>
      </w:r>
      <w:r w:rsidR="003177D0">
        <w:rPr>
          <w:rFonts w:eastAsiaTheme="majorEastAsia" w:cstheme="majorBidi"/>
          <w:sz w:val="24"/>
          <w:szCs w:val="32"/>
        </w:rPr>
        <w:t>citu</w:t>
      </w:r>
      <w:r w:rsidRPr="00830703">
        <w:rPr>
          <w:rFonts w:eastAsiaTheme="majorEastAsia" w:cstheme="majorBidi"/>
          <w:sz w:val="24"/>
          <w:szCs w:val="32"/>
        </w:rPr>
        <w:t xml:space="preserve"> publisko līdzekļu pieejamību projekta iesniedzējs iesniedz sadarbības iestādē līdz civiltiesiskā līguma par projekta īstenošanu un Eiropas Savienības fondu līdzfinansējuma piešķiršanu noslēgšanai.</w:t>
      </w:r>
    </w:p>
    <w:p w:rsidR="00FA714C" w:rsidRPr="00830703" w:rsidRDefault="00830703" w:rsidP="00830703">
      <w:pPr>
        <w:numPr>
          <w:ilvl w:val="0"/>
          <w:numId w:val="1"/>
        </w:numPr>
        <w:spacing w:after="120"/>
        <w:ind w:left="426" w:hanging="426"/>
        <w:jc w:val="both"/>
        <w:outlineLvl w:val="0"/>
        <w:rPr>
          <w:rFonts w:eastAsiaTheme="majorEastAsia" w:cstheme="majorBidi"/>
          <w:sz w:val="24"/>
          <w:szCs w:val="32"/>
        </w:rPr>
      </w:pPr>
      <w:r w:rsidRPr="00830703">
        <w:rPr>
          <w:rFonts w:eastAsiaTheme="majorEastAsia" w:cstheme="majorBidi"/>
          <w:sz w:val="24"/>
          <w:szCs w:val="32"/>
        </w:rPr>
        <w:t>Ja projekts nav kvalificējams kā komercdarbības atbalsts, projekta iesniedzējs projekta īstenošanai papildu līdz 2018. gada 31.decembrim pieejamajam Kohēzijas fonda līdzfinansējumam var paredzēt privātos līdzekļus, lai priekšfinansētu snieguma rezervi. Snieguma ietvara izpildes gadījumā atbilstoši šo noteikumu 10.punktā minētajam, sadarbības iestāde var palielināt Kohēzijas fonda finansējuma apmēru projektam</w:t>
      </w:r>
      <w:r w:rsidR="003177D0">
        <w:rPr>
          <w:rFonts w:eastAsiaTheme="majorEastAsia" w:cstheme="majorBidi"/>
          <w:sz w:val="24"/>
          <w:szCs w:val="32"/>
        </w:rPr>
        <w:t>.</w:t>
      </w:r>
    </w:p>
    <w:p w:rsidR="00FA714C" w:rsidRPr="00FA714C" w:rsidRDefault="00FA714C" w:rsidP="00BA7140">
      <w:pPr>
        <w:pStyle w:val="ListParagraph"/>
        <w:spacing w:after="120"/>
        <w:ind w:left="786"/>
        <w:contextualSpacing w:val="0"/>
        <w:jc w:val="center"/>
        <w:rPr>
          <w:rFonts w:eastAsia="Calibri" w:cs="Times New Roman"/>
          <w:b/>
          <w:bCs/>
          <w:sz w:val="25"/>
          <w:szCs w:val="25"/>
        </w:rPr>
      </w:pPr>
      <w:r w:rsidRPr="00EF5D9F">
        <w:rPr>
          <w:rFonts w:eastAsia="Calibri" w:cs="Times New Roman"/>
          <w:b/>
          <w:bCs/>
          <w:sz w:val="25"/>
          <w:szCs w:val="25"/>
        </w:rPr>
        <w:t>II. Prasības projekta iesniedzējam</w:t>
      </w:r>
    </w:p>
    <w:p w:rsidR="00825927" w:rsidRDefault="00191491" w:rsidP="00825927">
      <w:pPr>
        <w:numPr>
          <w:ilvl w:val="0"/>
          <w:numId w:val="1"/>
        </w:numPr>
        <w:spacing w:after="120"/>
        <w:ind w:left="426" w:hanging="426"/>
        <w:jc w:val="both"/>
        <w:outlineLvl w:val="0"/>
        <w:rPr>
          <w:rFonts w:eastAsia="Calibri" w:cs="Times New Roman"/>
          <w:sz w:val="24"/>
          <w:szCs w:val="24"/>
          <w:lang w:eastAsia="lv-LV"/>
        </w:rPr>
      </w:pPr>
      <w:r w:rsidRPr="004661EB">
        <w:rPr>
          <w:rFonts w:eastAsia="Calibri" w:cs="Times New Roman"/>
          <w:sz w:val="24"/>
          <w:szCs w:val="24"/>
          <w:lang w:eastAsia="lv-LV"/>
        </w:rPr>
        <w:t xml:space="preserve">Projekta iesniedzējs ir </w:t>
      </w:r>
      <w:r w:rsidR="002A0F02" w:rsidRPr="002A0F02">
        <w:rPr>
          <w:rFonts w:eastAsia="Calibri" w:cs="Times New Roman"/>
          <w:sz w:val="24"/>
          <w:szCs w:val="24"/>
          <w:lang w:eastAsia="lv-LV"/>
        </w:rPr>
        <w:t>Rīgas brīvostas pārvalde, Ventspils brīvostas pārvalde un Liepājas speciālās ekonomiskās zonas pārvalde</w:t>
      </w:r>
      <w:r w:rsidR="002A0F02">
        <w:rPr>
          <w:rFonts w:eastAsia="Calibri" w:cs="Times New Roman"/>
          <w:sz w:val="24"/>
          <w:szCs w:val="24"/>
          <w:lang w:eastAsia="lv-LV"/>
        </w:rPr>
        <w:t>.</w:t>
      </w:r>
    </w:p>
    <w:p w:rsidR="00825927" w:rsidRPr="00825927" w:rsidRDefault="00825927" w:rsidP="00825927">
      <w:pPr>
        <w:numPr>
          <w:ilvl w:val="0"/>
          <w:numId w:val="1"/>
        </w:numPr>
        <w:spacing w:after="120"/>
        <w:ind w:left="426" w:hanging="426"/>
        <w:jc w:val="both"/>
        <w:outlineLvl w:val="0"/>
        <w:rPr>
          <w:rFonts w:eastAsia="Calibri" w:cs="Times New Roman"/>
          <w:sz w:val="24"/>
          <w:szCs w:val="24"/>
          <w:lang w:eastAsia="lv-LV"/>
        </w:rPr>
      </w:pPr>
      <w:r w:rsidRPr="00825927">
        <w:rPr>
          <w:rFonts w:eastAsia="Calibri" w:cs="Times New Roman"/>
          <w:sz w:val="24"/>
          <w:szCs w:val="24"/>
          <w:lang w:eastAsia="lv-LV"/>
        </w:rPr>
        <w:t>Projekta iesniedzējs nevar pretendēt uz finansējumu, ja tas atbilst grūtībās nonākuša komersanta statusam un uz to attiecas vismaz viens no šādiem kritērijiem:</w:t>
      </w:r>
    </w:p>
    <w:p w:rsidR="00825927" w:rsidRDefault="00825927" w:rsidP="00825927">
      <w:pPr>
        <w:numPr>
          <w:ilvl w:val="1"/>
          <w:numId w:val="1"/>
        </w:numPr>
        <w:tabs>
          <w:tab w:val="left" w:pos="993"/>
        </w:tabs>
        <w:spacing w:after="120"/>
        <w:ind w:left="993" w:hanging="633"/>
        <w:jc w:val="both"/>
        <w:outlineLvl w:val="0"/>
        <w:rPr>
          <w:rFonts w:eastAsia="Calibri" w:cs="Times New Roman"/>
          <w:sz w:val="24"/>
          <w:szCs w:val="24"/>
          <w:lang w:eastAsia="lv-LV"/>
        </w:rPr>
      </w:pPr>
      <w:r w:rsidRPr="00825927">
        <w:rPr>
          <w:rFonts w:eastAsia="Calibri" w:cs="Times New Roman"/>
          <w:sz w:val="24"/>
          <w:szCs w:val="24"/>
          <w:lang w:eastAsia="lv-LV"/>
        </w:rPr>
        <w:t>tam ar tiesas spriedumu ir pasludināts maksātnespējas process vai tiek īstenots tiesiskās aizsardzības process, ar tiesas lēmumu tiek īstenots ārpustiesas tiesiskās aizsardzības process, ir uzsākta bankrota procedūra, piemērota sanācija vai mierizlīgums, tā komercdarbība ir izbeigta vai tas atbilst normatīvajos aktos noteiktajiem kritērijiem, lai tam pēc kreditoru pieprasījuma pieprasītu maksātnespējas procedūru;</w:t>
      </w:r>
    </w:p>
    <w:p w:rsidR="00825927" w:rsidRDefault="00825927" w:rsidP="00825927">
      <w:pPr>
        <w:numPr>
          <w:ilvl w:val="1"/>
          <w:numId w:val="1"/>
        </w:numPr>
        <w:tabs>
          <w:tab w:val="left" w:pos="993"/>
        </w:tabs>
        <w:spacing w:after="120"/>
        <w:ind w:left="993" w:hanging="633"/>
        <w:jc w:val="both"/>
        <w:outlineLvl w:val="0"/>
        <w:rPr>
          <w:rFonts w:eastAsia="Calibri" w:cs="Times New Roman"/>
          <w:sz w:val="24"/>
          <w:szCs w:val="24"/>
          <w:lang w:eastAsia="lv-LV"/>
        </w:rPr>
      </w:pPr>
      <w:r w:rsidRPr="00825927">
        <w:rPr>
          <w:rFonts w:eastAsia="Calibri" w:cs="Times New Roman"/>
          <w:sz w:val="24"/>
          <w:szCs w:val="24"/>
          <w:lang w:eastAsia="lv-LV"/>
        </w:rPr>
        <w:t xml:space="preserve">tam uz projekta iesnieguma iesniegšanas dienu (ja komersants ir kapitālsabiedrība) uzkrāto zaudējumu dēļ ir zaudēta vairāk nekā puse no parakstītā kapitāla, ja, uzkrātos </w:t>
      </w:r>
      <w:r w:rsidRPr="00825927">
        <w:rPr>
          <w:rFonts w:eastAsia="Calibri" w:cs="Times New Roman"/>
          <w:sz w:val="24"/>
          <w:szCs w:val="24"/>
          <w:lang w:eastAsia="lv-LV"/>
        </w:rPr>
        <w:lastRenderedPageBreak/>
        <w:t>zaudējumus atskaitot no rezervēm (un visām pārējām pozīcijām, kuras pieņemts uzskatīt par daļu no komersanta pašu kapitāla), rodas negatīvs rezultāts, kas pārsniedz pusi no parakstītā kapitāla;</w:t>
      </w:r>
    </w:p>
    <w:p w:rsidR="00825927" w:rsidRDefault="00825927" w:rsidP="00825927">
      <w:pPr>
        <w:numPr>
          <w:ilvl w:val="1"/>
          <w:numId w:val="1"/>
        </w:numPr>
        <w:tabs>
          <w:tab w:val="left" w:pos="993"/>
        </w:tabs>
        <w:spacing w:after="120"/>
        <w:ind w:left="993" w:hanging="633"/>
        <w:jc w:val="both"/>
        <w:outlineLvl w:val="0"/>
        <w:rPr>
          <w:rFonts w:eastAsia="Calibri" w:cs="Times New Roman"/>
          <w:sz w:val="24"/>
          <w:szCs w:val="24"/>
          <w:lang w:eastAsia="lv-LV"/>
        </w:rPr>
      </w:pPr>
      <w:r w:rsidRPr="00825927">
        <w:rPr>
          <w:rFonts w:eastAsia="Calibri" w:cs="Times New Roman"/>
          <w:sz w:val="24"/>
          <w:szCs w:val="24"/>
          <w:lang w:eastAsia="lv-LV"/>
        </w:rPr>
        <w:t>tam uz projekta iesnieguma iesniegšanas dienu (ja kādam no dalībniekiem ir neierobežota atbildība par komersanta parādsaistībām) uzkrāto zaudējumu dēļ ir zaudēta vairāk nekā puse no grāmatvedības uzskaitē uzrādītā kapitāla;</w:t>
      </w:r>
    </w:p>
    <w:p w:rsidR="00825927" w:rsidRPr="00825927" w:rsidRDefault="00825927" w:rsidP="00825927">
      <w:pPr>
        <w:numPr>
          <w:ilvl w:val="1"/>
          <w:numId w:val="1"/>
        </w:numPr>
        <w:tabs>
          <w:tab w:val="left" w:pos="993"/>
        </w:tabs>
        <w:spacing w:after="120"/>
        <w:ind w:left="993" w:hanging="633"/>
        <w:jc w:val="both"/>
        <w:outlineLvl w:val="0"/>
        <w:rPr>
          <w:rFonts w:eastAsia="Calibri" w:cs="Times New Roman"/>
          <w:sz w:val="24"/>
          <w:szCs w:val="24"/>
          <w:lang w:eastAsia="lv-LV"/>
        </w:rPr>
      </w:pPr>
      <w:r w:rsidRPr="00825927">
        <w:rPr>
          <w:rFonts w:eastAsia="Calibri" w:cs="Times New Roman"/>
          <w:sz w:val="24"/>
          <w:szCs w:val="24"/>
          <w:lang w:eastAsia="lv-LV"/>
        </w:rPr>
        <w:t>pēdējos divus gadus saimnieciskās darbības veicēja (kas nav mazais un vidējais uzņēmums) parādsaistību un pašu kapitāla bilances vērtību attiecība ir pārsniegusi 7,5 un procentu seguma attiecība, kas rēķināta pēc peļņas pirms procentiem, nodokļiem un amortizācijas, ir bijusi mazāka nekā 1,0.</w:t>
      </w:r>
    </w:p>
    <w:p w:rsidR="00191491" w:rsidRPr="00FE13CA" w:rsidRDefault="00191491" w:rsidP="00BA7140">
      <w:pPr>
        <w:numPr>
          <w:ilvl w:val="0"/>
          <w:numId w:val="1"/>
        </w:numPr>
        <w:spacing w:after="120"/>
        <w:ind w:left="426" w:hanging="426"/>
        <w:jc w:val="both"/>
        <w:outlineLvl w:val="0"/>
        <w:rPr>
          <w:rFonts w:eastAsia="Calibri" w:cs="Times New Roman"/>
          <w:sz w:val="24"/>
          <w:szCs w:val="24"/>
          <w:lang w:eastAsia="lv-LV"/>
        </w:rPr>
      </w:pPr>
      <w:r w:rsidRPr="00FE13CA">
        <w:rPr>
          <w:rFonts w:eastAsia="Calibri" w:cs="Times New Roman"/>
          <w:sz w:val="24"/>
          <w:szCs w:val="24"/>
          <w:lang w:eastAsia="lv-LV"/>
        </w:rPr>
        <w:t>Projekta iesniedzējs</w:t>
      </w:r>
      <w:r w:rsidR="00532345" w:rsidRPr="00FE13CA">
        <w:rPr>
          <w:rFonts w:eastAsia="Calibri" w:cs="Times New Roman"/>
          <w:sz w:val="24"/>
          <w:szCs w:val="24"/>
          <w:lang w:eastAsia="lv-LV"/>
        </w:rPr>
        <w:t xml:space="preserve">, kas pēc </w:t>
      </w:r>
      <w:r w:rsidR="00D417A6" w:rsidRPr="00FE13CA">
        <w:rPr>
          <w:rFonts w:eastAsia="Calibri" w:cs="Times New Roman"/>
          <w:sz w:val="24"/>
          <w:szCs w:val="24"/>
          <w:lang w:eastAsia="lv-LV"/>
        </w:rPr>
        <w:t>projekta</w:t>
      </w:r>
      <w:r w:rsidR="00D00A1C">
        <w:rPr>
          <w:rFonts w:eastAsia="Calibri" w:cs="Times New Roman"/>
          <w:sz w:val="24"/>
          <w:szCs w:val="24"/>
          <w:lang w:eastAsia="lv-LV"/>
        </w:rPr>
        <w:t xml:space="preserve"> iesnieguma</w:t>
      </w:r>
      <w:r w:rsidR="00D417A6" w:rsidRPr="00FE13CA">
        <w:rPr>
          <w:rFonts w:eastAsia="Calibri" w:cs="Times New Roman"/>
          <w:sz w:val="24"/>
          <w:szCs w:val="24"/>
          <w:lang w:eastAsia="lv-LV"/>
        </w:rPr>
        <w:t xml:space="preserve"> apstiprināšanas</w:t>
      </w:r>
      <w:r w:rsidR="00532345" w:rsidRPr="00FE13CA">
        <w:rPr>
          <w:rFonts w:eastAsia="Calibri" w:cs="Times New Roman"/>
          <w:sz w:val="24"/>
          <w:szCs w:val="24"/>
          <w:lang w:eastAsia="lv-LV"/>
        </w:rPr>
        <w:t xml:space="preserve"> ir arī finansējuma saņēmējs (turpmāk – finansējuma saņēmējs),</w:t>
      </w:r>
      <w:r w:rsidRPr="00FE13CA">
        <w:rPr>
          <w:rFonts w:eastAsia="Calibri" w:cs="Times New Roman"/>
          <w:sz w:val="24"/>
          <w:szCs w:val="24"/>
          <w:lang w:eastAsia="lv-LV"/>
        </w:rPr>
        <w:t xml:space="preserve"> sagatavo un iesniedz sadarbības iestādei projekta iesniegumu saskaņā ar projekta iesnieguma atlases nolikuma prasībām</w:t>
      </w:r>
      <w:r w:rsidR="00BB50FA" w:rsidRPr="00FE13CA">
        <w:rPr>
          <w:rFonts w:eastAsia="Calibri" w:cs="Times New Roman"/>
          <w:sz w:val="24"/>
          <w:szCs w:val="24"/>
          <w:lang w:eastAsia="lv-LV"/>
        </w:rPr>
        <w:t xml:space="preserve">, pievienojot </w:t>
      </w:r>
      <w:r w:rsidR="00C270FF" w:rsidRPr="00FE13CA">
        <w:rPr>
          <w:rFonts w:eastAsia="Calibri" w:cs="Times New Roman"/>
          <w:sz w:val="24"/>
          <w:szCs w:val="24"/>
          <w:lang w:eastAsia="lv-LV"/>
        </w:rPr>
        <w:t>projektam veikto izmaksu un ieguvumu analīzi</w:t>
      </w:r>
      <w:r w:rsidR="00B827C1">
        <w:rPr>
          <w:rFonts w:eastAsia="Calibri" w:cs="Times New Roman"/>
          <w:sz w:val="24"/>
          <w:szCs w:val="24"/>
          <w:lang w:eastAsia="lv-LV"/>
        </w:rPr>
        <w:t xml:space="preserve"> un </w:t>
      </w:r>
      <w:r w:rsidR="006C05B0" w:rsidRPr="006C05B0">
        <w:rPr>
          <w:rFonts w:eastAsia="Calibri" w:cs="Times New Roman"/>
          <w:sz w:val="24"/>
          <w:szCs w:val="24"/>
          <w:lang w:eastAsia="lv-LV"/>
        </w:rPr>
        <w:t>Finanšu ministrijas sākotnējās izvērtēšanas atzinumu atbilstoši komercdarbības atbalsta kontroli re</w:t>
      </w:r>
      <w:r w:rsidR="00825927">
        <w:rPr>
          <w:rFonts w:eastAsia="Calibri" w:cs="Times New Roman"/>
          <w:sz w:val="24"/>
          <w:szCs w:val="24"/>
          <w:lang w:eastAsia="lv-LV"/>
        </w:rPr>
        <w:t>gulējošiem normatīvajiem aktiem.</w:t>
      </w:r>
    </w:p>
    <w:p w:rsidR="00B521EC" w:rsidRPr="00FE13CA" w:rsidRDefault="002C300C" w:rsidP="00BA7140">
      <w:pPr>
        <w:spacing w:after="120"/>
        <w:jc w:val="center"/>
        <w:rPr>
          <w:rFonts w:eastAsia="Calibri" w:cs="Times New Roman"/>
          <w:b/>
          <w:bCs/>
          <w:sz w:val="25"/>
          <w:szCs w:val="25"/>
        </w:rPr>
      </w:pPr>
      <w:r w:rsidRPr="00FE13CA">
        <w:rPr>
          <w:rFonts w:eastAsia="Calibri" w:cs="Times New Roman"/>
          <w:b/>
          <w:bCs/>
          <w:sz w:val="25"/>
          <w:szCs w:val="25"/>
        </w:rPr>
        <w:t>III</w:t>
      </w:r>
      <w:r w:rsidR="00413468" w:rsidRPr="00FE13CA">
        <w:rPr>
          <w:rFonts w:eastAsia="Calibri" w:cs="Times New Roman"/>
          <w:b/>
          <w:bCs/>
          <w:sz w:val="25"/>
          <w:szCs w:val="25"/>
        </w:rPr>
        <w:t>. Atbalstāmās darbības un izmaksas</w:t>
      </w:r>
      <w:r w:rsidR="00B521EC" w:rsidRPr="00FE13CA">
        <w:rPr>
          <w:rFonts w:eastAsia="Calibri" w:cs="Times New Roman"/>
          <w:b/>
          <w:bCs/>
          <w:sz w:val="25"/>
          <w:szCs w:val="25"/>
        </w:rPr>
        <w:t xml:space="preserve"> </w:t>
      </w:r>
    </w:p>
    <w:p w:rsidR="00332FAA" w:rsidRDefault="00727BC8" w:rsidP="00332FAA">
      <w:pPr>
        <w:numPr>
          <w:ilvl w:val="0"/>
          <w:numId w:val="1"/>
        </w:numPr>
        <w:tabs>
          <w:tab w:val="left" w:pos="426"/>
        </w:tabs>
        <w:spacing w:after="120"/>
        <w:ind w:left="426" w:hanging="426"/>
        <w:jc w:val="both"/>
        <w:outlineLvl w:val="0"/>
        <w:rPr>
          <w:rFonts w:eastAsia="Calibri" w:cs="Times New Roman"/>
          <w:sz w:val="24"/>
          <w:szCs w:val="24"/>
          <w:lang w:eastAsia="lv-LV"/>
        </w:rPr>
      </w:pPr>
      <w:r w:rsidRPr="00727BC8">
        <w:rPr>
          <w:rFonts w:eastAsia="Calibri" w:cs="Times New Roman"/>
          <w:sz w:val="24"/>
          <w:szCs w:val="24"/>
          <w:lang w:eastAsia="lv-LV"/>
        </w:rPr>
        <w:t xml:space="preserve">Specifiskā atbalsta īstenošanā ir atbalstāmas šādas darbības: </w:t>
      </w:r>
    </w:p>
    <w:p w:rsidR="00332FAA" w:rsidRDefault="009768CB" w:rsidP="00C22936">
      <w:pPr>
        <w:numPr>
          <w:ilvl w:val="1"/>
          <w:numId w:val="1"/>
        </w:numPr>
        <w:tabs>
          <w:tab w:val="left" w:pos="993"/>
        </w:tabs>
        <w:spacing w:after="120"/>
        <w:ind w:left="993" w:hanging="633"/>
        <w:jc w:val="both"/>
        <w:outlineLvl w:val="0"/>
        <w:rPr>
          <w:rFonts w:eastAsia="Calibri" w:cs="Times New Roman"/>
          <w:sz w:val="24"/>
          <w:szCs w:val="24"/>
          <w:lang w:eastAsia="lv-LV"/>
        </w:rPr>
      </w:pPr>
      <w:r>
        <w:rPr>
          <w:rFonts w:eastAsia="Calibri" w:cs="Times New Roman"/>
          <w:sz w:val="24"/>
          <w:szCs w:val="24"/>
          <w:lang w:eastAsia="lv-LV"/>
        </w:rPr>
        <w:t>m</w:t>
      </w:r>
      <w:r w:rsidRPr="00332FAA">
        <w:rPr>
          <w:rFonts w:eastAsia="Calibri" w:cs="Times New Roman"/>
          <w:sz w:val="24"/>
          <w:szCs w:val="24"/>
          <w:lang w:eastAsia="lv-LV"/>
        </w:rPr>
        <w:t>olu</w:t>
      </w:r>
      <w:r w:rsidR="003B0916">
        <w:rPr>
          <w:rFonts w:eastAsia="Calibri" w:cs="Times New Roman"/>
          <w:sz w:val="24"/>
          <w:szCs w:val="24"/>
          <w:lang w:eastAsia="lv-LV"/>
        </w:rPr>
        <w:t>,</w:t>
      </w:r>
      <w:r w:rsidR="00981D5B" w:rsidRPr="00332FAA">
        <w:rPr>
          <w:rFonts w:eastAsia="Calibri" w:cs="Times New Roman"/>
          <w:sz w:val="24"/>
          <w:szCs w:val="24"/>
          <w:lang w:eastAsia="lv-LV"/>
        </w:rPr>
        <w:t xml:space="preserve"> viļņlaužu, krasta nostiprinājumu un piestātņu, kas nav iznomātas vai plānotas iznomāšanai komercdarbībai, pārbūve un atjaunošana</w:t>
      </w:r>
      <w:r w:rsidR="00727BC8">
        <w:rPr>
          <w:rFonts w:eastAsia="Calibri" w:cs="Times New Roman"/>
          <w:sz w:val="24"/>
          <w:szCs w:val="24"/>
          <w:lang w:eastAsia="lv-LV"/>
        </w:rPr>
        <w:t>;</w:t>
      </w:r>
      <w:r w:rsidR="00981D5B" w:rsidRPr="00332FAA">
        <w:rPr>
          <w:rFonts w:eastAsia="Calibri" w:cs="Times New Roman"/>
          <w:sz w:val="24"/>
          <w:szCs w:val="24"/>
          <w:lang w:eastAsia="lv-LV"/>
        </w:rPr>
        <w:t xml:space="preserve"> </w:t>
      </w:r>
    </w:p>
    <w:p w:rsidR="00332FAA" w:rsidRDefault="00981D5B" w:rsidP="007A5A9D">
      <w:pPr>
        <w:numPr>
          <w:ilvl w:val="1"/>
          <w:numId w:val="1"/>
        </w:numPr>
        <w:tabs>
          <w:tab w:val="left" w:pos="993"/>
        </w:tabs>
        <w:spacing w:after="120"/>
        <w:ind w:left="993" w:hanging="633"/>
        <w:jc w:val="both"/>
        <w:outlineLvl w:val="0"/>
        <w:rPr>
          <w:rFonts w:eastAsia="Calibri" w:cs="Times New Roman"/>
          <w:sz w:val="24"/>
          <w:szCs w:val="24"/>
          <w:lang w:eastAsia="lv-LV"/>
        </w:rPr>
      </w:pPr>
      <w:r w:rsidRPr="00332FAA">
        <w:rPr>
          <w:rFonts w:eastAsia="Calibri" w:cs="Times New Roman"/>
          <w:sz w:val="24"/>
          <w:szCs w:val="24"/>
          <w:lang w:eastAsia="lv-LV"/>
        </w:rPr>
        <w:t>lielo ostu infrastruktūras kompleksam piederošo inženiertīklu būvniecība</w:t>
      </w:r>
      <w:r w:rsidR="001C6013" w:rsidRPr="00332FAA">
        <w:rPr>
          <w:rFonts w:eastAsia="Calibri" w:cs="Times New Roman"/>
          <w:sz w:val="24"/>
          <w:szCs w:val="24"/>
          <w:lang w:eastAsia="lv-LV"/>
        </w:rPr>
        <w:t>:</w:t>
      </w:r>
      <w:r w:rsidRPr="00332FAA">
        <w:rPr>
          <w:rFonts w:eastAsia="Calibri" w:cs="Times New Roman"/>
          <w:sz w:val="24"/>
          <w:szCs w:val="24"/>
          <w:lang w:eastAsia="lv-LV"/>
        </w:rPr>
        <w:t xml:space="preserve"> </w:t>
      </w:r>
    </w:p>
    <w:p w:rsidR="00332FAA" w:rsidRDefault="00981D5B" w:rsidP="007A5A9D">
      <w:pPr>
        <w:numPr>
          <w:ilvl w:val="1"/>
          <w:numId w:val="1"/>
        </w:numPr>
        <w:tabs>
          <w:tab w:val="left" w:pos="993"/>
        </w:tabs>
        <w:spacing w:after="120"/>
        <w:ind w:left="993" w:hanging="633"/>
        <w:jc w:val="both"/>
        <w:outlineLvl w:val="0"/>
        <w:rPr>
          <w:rFonts w:eastAsia="Calibri" w:cs="Times New Roman"/>
          <w:sz w:val="24"/>
          <w:szCs w:val="24"/>
          <w:lang w:eastAsia="lv-LV"/>
        </w:rPr>
      </w:pPr>
      <w:r w:rsidRPr="00332FAA">
        <w:rPr>
          <w:rFonts w:eastAsia="Calibri" w:cs="Times New Roman"/>
          <w:sz w:val="24"/>
          <w:szCs w:val="24"/>
          <w:lang w:eastAsia="lv-LV"/>
        </w:rPr>
        <w:t xml:space="preserve">autotransporta un dzelzceļa pievadceļu un ar tiem saistītās infrastruktūras </w:t>
      </w:r>
      <w:r w:rsidR="000240F3">
        <w:rPr>
          <w:rFonts w:eastAsia="Calibri" w:cs="Times New Roman"/>
          <w:sz w:val="24"/>
          <w:szCs w:val="24"/>
          <w:lang w:eastAsia="lv-LV"/>
        </w:rPr>
        <w:t>būvniecība</w:t>
      </w:r>
      <w:r w:rsidR="00332FAA">
        <w:rPr>
          <w:rFonts w:eastAsia="Calibri" w:cs="Times New Roman"/>
          <w:sz w:val="24"/>
          <w:szCs w:val="24"/>
          <w:lang w:eastAsia="lv-LV"/>
        </w:rPr>
        <w:t>;</w:t>
      </w:r>
      <w:r w:rsidRPr="00332FAA">
        <w:rPr>
          <w:rFonts w:eastAsia="Calibri" w:cs="Times New Roman"/>
          <w:sz w:val="24"/>
          <w:szCs w:val="24"/>
          <w:lang w:eastAsia="lv-LV"/>
        </w:rPr>
        <w:t xml:space="preserve"> </w:t>
      </w:r>
    </w:p>
    <w:p w:rsidR="00AF2EE3" w:rsidRPr="00332FAA" w:rsidRDefault="001F5940" w:rsidP="007A5A9D">
      <w:pPr>
        <w:numPr>
          <w:ilvl w:val="1"/>
          <w:numId w:val="1"/>
        </w:numPr>
        <w:tabs>
          <w:tab w:val="left" w:pos="993"/>
        </w:tabs>
        <w:spacing w:after="120"/>
        <w:ind w:left="993" w:hanging="633"/>
        <w:jc w:val="both"/>
        <w:outlineLvl w:val="0"/>
        <w:rPr>
          <w:rFonts w:eastAsia="Calibri" w:cs="Times New Roman"/>
          <w:sz w:val="24"/>
          <w:szCs w:val="24"/>
          <w:lang w:eastAsia="lv-LV"/>
        </w:rPr>
      </w:pPr>
      <w:r w:rsidRPr="001F5940">
        <w:rPr>
          <w:rFonts w:eastAsia="Calibri" w:cs="Times New Roman"/>
          <w:sz w:val="24"/>
          <w:szCs w:val="24"/>
          <w:lang w:eastAsia="lv-LV"/>
        </w:rPr>
        <w:t xml:space="preserve">ar ugunsdzēsības un vides aizsardzības prasību ievērošanu saistīto iekārtu iegāde un infrastruktūras </w:t>
      </w:r>
      <w:r w:rsidR="000240F3">
        <w:rPr>
          <w:rFonts w:eastAsia="Calibri" w:cs="Times New Roman"/>
          <w:sz w:val="24"/>
          <w:szCs w:val="24"/>
          <w:lang w:eastAsia="lv-LV"/>
        </w:rPr>
        <w:t>būvniecība</w:t>
      </w:r>
      <w:r w:rsidRPr="001F5940">
        <w:rPr>
          <w:rFonts w:eastAsia="Calibri" w:cs="Times New Roman"/>
          <w:sz w:val="24"/>
          <w:szCs w:val="24"/>
          <w:lang w:eastAsia="lv-LV"/>
        </w:rPr>
        <w:t>.</w:t>
      </w:r>
      <w:r w:rsidR="00332FAA">
        <w:rPr>
          <w:rFonts w:eastAsia="Calibri" w:cs="Times New Roman"/>
          <w:sz w:val="24"/>
          <w:szCs w:val="24"/>
          <w:lang w:eastAsia="lv-LV"/>
        </w:rPr>
        <w:t xml:space="preserve"> </w:t>
      </w:r>
    </w:p>
    <w:p w:rsidR="002C78BF" w:rsidRPr="00CB1A1E" w:rsidRDefault="00575662" w:rsidP="009768CB">
      <w:pPr>
        <w:numPr>
          <w:ilvl w:val="0"/>
          <w:numId w:val="1"/>
        </w:numPr>
        <w:spacing w:after="120"/>
        <w:ind w:left="426" w:hanging="426"/>
        <w:jc w:val="both"/>
        <w:outlineLvl w:val="0"/>
        <w:rPr>
          <w:rFonts w:eastAsia="Calibri" w:cs="Times New Roman"/>
          <w:sz w:val="24"/>
          <w:szCs w:val="24"/>
          <w:lang w:eastAsia="lv-LV"/>
        </w:rPr>
      </w:pPr>
      <w:r w:rsidRPr="00CB1A1E">
        <w:rPr>
          <w:rFonts w:eastAsia="Calibri" w:cs="Times New Roman"/>
          <w:sz w:val="24"/>
          <w:szCs w:val="24"/>
          <w:lang w:eastAsia="lv-LV"/>
        </w:rPr>
        <w:t>Specifiskā atbalsta ietvaros plāno</w:t>
      </w:r>
      <w:r w:rsidR="000E0FD5" w:rsidRPr="00CB1A1E">
        <w:rPr>
          <w:rFonts w:eastAsia="Calibri" w:cs="Times New Roman"/>
          <w:sz w:val="24"/>
          <w:szCs w:val="24"/>
          <w:lang w:eastAsia="lv-LV"/>
        </w:rPr>
        <w:t xml:space="preserve"> tiešās </w:t>
      </w:r>
      <w:r w:rsidR="00DA6165" w:rsidRPr="00CB1A1E">
        <w:rPr>
          <w:rFonts w:eastAsia="Calibri" w:cs="Times New Roman"/>
          <w:sz w:val="24"/>
          <w:szCs w:val="24"/>
          <w:lang w:eastAsia="lv-LV"/>
        </w:rPr>
        <w:t>attiecināmās izmaksas</w:t>
      </w:r>
      <w:r w:rsidR="006C37C2">
        <w:rPr>
          <w:rFonts w:eastAsia="Calibri" w:cs="Times New Roman"/>
          <w:sz w:val="24"/>
          <w:szCs w:val="24"/>
          <w:lang w:eastAsia="lv-LV"/>
        </w:rPr>
        <w:t xml:space="preserve">, ja tās ir nepieciešamas projektā noteikto mērķu </w:t>
      </w:r>
      <w:r w:rsidR="0002469E">
        <w:rPr>
          <w:rFonts w:eastAsia="Calibri" w:cs="Times New Roman"/>
          <w:sz w:val="24"/>
          <w:szCs w:val="24"/>
          <w:lang w:eastAsia="lv-LV"/>
        </w:rPr>
        <w:t>sasniegšanai</w:t>
      </w:r>
      <w:r w:rsidR="00DA6165" w:rsidRPr="00CB1A1E">
        <w:rPr>
          <w:rFonts w:eastAsia="Calibri" w:cs="Times New Roman"/>
          <w:sz w:val="24"/>
          <w:szCs w:val="24"/>
          <w:lang w:eastAsia="lv-LV"/>
        </w:rPr>
        <w:t>:</w:t>
      </w:r>
    </w:p>
    <w:p w:rsidR="00CB1A1E" w:rsidRPr="00CB1A1E" w:rsidRDefault="001F5940" w:rsidP="00CB1A1E">
      <w:pPr>
        <w:numPr>
          <w:ilvl w:val="1"/>
          <w:numId w:val="1"/>
        </w:numPr>
        <w:tabs>
          <w:tab w:val="left" w:pos="993"/>
        </w:tabs>
        <w:spacing w:after="120"/>
        <w:ind w:left="993" w:hanging="633"/>
        <w:jc w:val="both"/>
        <w:outlineLvl w:val="0"/>
        <w:rPr>
          <w:rFonts w:eastAsia="Calibri" w:cs="Times New Roman"/>
          <w:sz w:val="24"/>
          <w:szCs w:val="24"/>
          <w:lang w:eastAsia="lv-LV"/>
        </w:rPr>
      </w:pPr>
      <w:r w:rsidRPr="001F5940">
        <w:rPr>
          <w:rFonts w:eastAsia="Calibri" w:cs="Times New Roman"/>
          <w:sz w:val="24"/>
          <w:szCs w:val="24"/>
          <w:lang w:eastAsia="lv-LV"/>
        </w:rPr>
        <w:t>projekta vadības personāla atlīdzības izmaksas, kas radušās uz darba līguma vai uzņēmuma (pakalpojuma) līguma pamata, tai skaitā normatīvajos aktos noteiktās piemaksas un nodokļus, ņemot vērā, ka:</w:t>
      </w:r>
    </w:p>
    <w:p w:rsidR="00CB1A1E" w:rsidRDefault="00C1092D" w:rsidP="00CB1A1E">
      <w:pPr>
        <w:autoSpaceDE w:val="0"/>
        <w:autoSpaceDN w:val="0"/>
        <w:adjustRightInd w:val="0"/>
        <w:spacing w:after="120"/>
        <w:ind w:left="993"/>
        <w:jc w:val="both"/>
        <w:rPr>
          <w:i/>
          <w:sz w:val="24"/>
          <w:szCs w:val="24"/>
        </w:rPr>
      </w:pPr>
      <w:r>
        <w:rPr>
          <w:sz w:val="24"/>
          <w:szCs w:val="24"/>
        </w:rPr>
        <w:t>1</w:t>
      </w:r>
      <w:r w:rsidR="00B159D8">
        <w:rPr>
          <w:sz w:val="24"/>
          <w:szCs w:val="24"/>
        </w:rPr>
        <w:t>7</w:t>
      </w:r>
      <w:r w:rsidR="00CB1A1E">
        <w:rPr>
          <w:sz w:val="24"/>
          <w:szCs w:val="24"/>
        </w:rPr>
        <w:t xml:space="preserve">.1.1. </w:t>
      </w:r>
      <w:r w:rsidR="00CB1A1E" w:rsidRPr="00CB1A1E">
        <w:rPr>
          <w:sz w:val="24"/>
          <w:szCs w:val="24"/>
        </w:rPr>
        <w:t xml:space="preserve">tās nepārsniedz 56 580 </w:t>
      </w:r>
      <w:r w:rsidR="00CB1A1E" w:rsidRPr="00CB1A1E">
        <w:rPr>
          <w:i/>
          <w:sz w:val="24"/>
          <w:szCs w:val="24"/>
        </w:rPr>
        <w:t>euro</w:t>
      </w:r>
      <w:r w:rsidR="00CB1A1E" w:rsidRPr="00CB1A1E">
        <w:rPr>
          <w:sz w:val="24"/>
          <w:szCs w:val="24"/>
        </w:rPr>
        <w:t xml:space="preserve"> gadā, ja projekta tiešās attiecināmās izmaksas ir vienādas vai lielākas par pieciem miljoniem </w:t>
      </w:r>
      <w:r w:rsidR="00CB1A1E" w:rsidRPr="00CB1A1E">
        <w:rPr>
          <w:i/>
          <w:sz w:val="24"/>
          <w:szCs w:val="24"/>
        </w:rPr>
        <w:t>euro;</w:t>
      </w:r>
    </w:p>
    <w:p w:rsidR="006E2543" w:rsidRPr="00CB1A1E" w:rsidRDefault="006E2543" w:rsidP="00CB1A1E">
      <w:pPr>
        <w:autoSpaceDE w:val="0"/>
        <w:autoSpaceDN w:val="0"/>
        <w:adjustRightInd w:val="0"/>
        <w:spacing w:after="120"/>
        <w:ind w:left="993"/>
        <w:jc w:val="both"/>
        <w:rPr>
          <w:i/>
          <w:sz w:val="24"/>
          <w:szCs w:val="24"/>
        </w:rPr>
      </w:pPr>
      <w:r>
        <w:rPr>
          <w:sz w:val="24"/>
          <w:szCs w:val="24"/>
        </w:rPr>
        <w:t>17.1.2.</w:t>
      </w:r>
      <w:r w:rsidRPr="006E2543">
        <w:t xml:space="preserve"> </w:t>
      </w:r>
      <w:r w:rsidRPr="006E2543">
        <w:rPr>
          <w:sz w:val="24"/>
          <w:szCs w:val="24"/>
        </w:rPr>
        <w:t>tās nepārsniedz 24 426 euro gadā, pieskaitot 0,64 procentus no tiešajām attiecināmajām izmaksām, neieskaitot tiešās personāla izmaksas, ja tiešās attiecināmās izmaksas ir mazākas par pieciem miljoniem euro;</w:t>
      </w:r>
    </w:p>
    <w:p w:rsidR="00CB1A1E" w:rsidRPr="00CB1A1E" w:rsidRDefault="00C1092D" w:rsidP="00CB1A1E">
      <w:pPr>
        <w:tabs>
          <w:tab w:val="left" w:pos="993"/>
        </w:tabs>
        <w:spacing w:after="120"/>
        <w:ind w:left="993"/>
        <w:jc w:val="both"/>
        <w:outlineLvl w:val="0"/>
        <w:rPr>
          <w:rFonts w:eastAsia="Calibri" w:cs="Times New Roman"/>
          <w:sz w:val="24"/>
          <w:szCs w:val="24"/>
          <w:lang w:eastAsia="lv-LV"/>
        </w:rPr>
      </w:pPr>
      <w:r w:rsidRPr="00CB1A1E">
        <w:rPr>
          <w:sz w:val="24"/>
          <w:szCs w:val="24"/>
        </w:rPr>
        <w:t>1</w:t>
      </w:r>
      <w:r w:rsidR="00B159D8">
        <w:rPr>
          <w:sz w:val="24"/>
          <w:szCs w:val="24"/>
        </w:rPr>
        <w:t>7</w:t>
      </w:r>
      <w:r w:rsidR="00CB1A1E" w:rsidRPr="00CB1A1E">
        <w:rPr>
          <w:sz w:val="24"/>
          <w:szCs w:val="24"/>
        </w:rPr>
        <w:t>.1.</w:t>
      </w:r>
      <w:r w:rsidR="006E2543">
        <w:rPr>
          <w:sz w:val="24"/>
          <w:szCs w:val="24"/>
        </w:rPr>
        <w:t>3</w:t>
      </w:r>
      <w:r w:rsidR="00CB1A1E" w:rsidRPr="00CB1A1E">
        <w:rPr>
          <w:sz w:val="24"/>
          <w:szCs w:val="24"/>
        </w:rPr>
        <w:t>.</w:t>
      </w:r>
      <w:r w:rsidR="00CB1A1E">
        <w:rPr>
          <w:sz w:val="24"/>
          <w:szCs w:val="24"/>
        </w:rPr>
        <w:t xml:space="preserve"> </w:t>
      </w:r>
      <w:r w:rsidR="00CB1A1E" w:rsidRPr="00CB1A1E">
        <w:rPr>
          <w:sz w:val="24"/>
          <w:szCs w:val="24"/>
        </w:rPr>
        <w:t xml:space="preserve">attiecināma ir ne mazāka kā 30% noslodze, personāla iesaisti projektā nodrošinot </w:t>
      </w:r>
      <w:r w:rsidR="00CB1A1E">
        <w:rPr>
          <w:sz w:val="24"/>
          <w:szCs w:val="24"/>
        </w:rPr>
        <w:t xml:space="preserve"> </w:t>
      </w:r>
      <w:r w:rsidR="00CB1A1E" w:rsidRPr="00CB1A1E">
        <w:rPr>
          <w:sz w:val="24"/>
          <w:szCs w:val="24"/>
        </w:rPr>
        <w:t>saskaņā ar daļlaika attiecināmības principu (attiecināms, ja izmaksas radušās uz darba līguma pamata).</w:t>
      </w:r>
    </w:p>
    <w:p w:rsidR="0077032A" w:rsidRDefault="0002469E" w:rsidP="001F461F">
      <w:pPr>
        <w:numPr>
          <w:ilvl w:val="1"/>
          <w:numId w:val="1"/>
        </w:numPr>
        <w:tabs>
          <w:tab w:val="left" w:pos="993"/>
        </w:tabs>
        <w:spacing w:after="120"/>
        <w:ind w:left="993" w:hanging="633"/>
        <w:jc w:val="both"/>
        <w:outlineLvl w:val="0"/>
        <w:rPr>
          <w:rFonts w:eastAsia="Calibri" w:cs="Times New Roman"/>
          <w:sz w:val="24"/>
          <w:szCs w:val="24"/>
          <w:lang w:eastAsia="lv-LV"/>
        </w:rPr>
      </w:pPr>
      <w:r>
        <w:rPr>
          <w:rFonts w:eastAsia="Calibri" w:cs="Times New Roman"/>
          <w:sz w:val="24"/>
          <w:szCs w:val="24"/>
          <w:lang w:eastAsia="lv-LV"/>
        </w:rPr>
        <w:t xml:space="preserve">projekta iesnieguma pamatojošās dokumentācijas sagatavošanas izmaksas, t.sk. </w:t>
      </w:r>
      <w:r w:rsidR="0077032A" w:rsidRPr="0077032A">
        <w:rPr>
          <w:rFonts w:eastAsia="Calibri" w:cs="Times New Roman"/>
          <w:sz w:val="24"/>
          <w:szCs w:val="24"/>
          <w:lang w:eastAsia="lv-LV"/>
        </w:rPr>
        <w:t>izmaksu un ieguvumu analīzes izstrādes izmaksas, tehniski ekonomiskā pamatojuma izstrāde</w:t>
      </w:r>
      <w:r w:rsidR="00632EB3">
        <w:rPr>
          <w:rFonts w:eastAsia="Calibri" w:cs="Times New Roman"/>
          <w:sz w:val="24"/>
          <w:szCs w:val="24"/>
          <w:lang w:eastAsia="lv-LV"/>
        </w:rPr>
        <w:t xml:space="preserve"> un i</w:t>
      </w:r>
      <w:r w:rsidR="00632EB3" w:rsidRPr="00632EB3">
        <w:rPr>
          <w:rFonts w:eastAsia="Calibri" w:cs="Times New Roman"/>
          <w:sz w:val="24"/>
          <w:szCs w:val="24"/>
          <w:lang w:eastAsia="lv-LV"/>
        </w:rPr>
        <w:t>etekmes uz vidi novērtējuma izmaksas</w:t>
      </w:r>
      <w:r w:rsidR="0077032A" w:rsidRPr="0077032A">
        <w:rPr>
          <w:rFonts w:eastAsia="Calibri" w:cs="Times New Roman"/>
          <w:sz w:val="24"/>
          <w:szCs w:val="24"/>
          <w:lang w:eastAsia="lv-LV"/>
        </w:rPr>
        <w:t>;</w:t>
      </w:r>
    </w:p>
    <w:p w:rsidR="0077032A" w:rsidRDefault="0077032A" w:rsidP="0077032A">
      <w:pPr>
        <w:numPr>
          <w:ilvl w:val="1"/>
          <w:numId w:val="1"/>
        </w:numPr>
        <w:tabs>
          <w:tab w:val="left" w:pos="993"/>
        </w:tabs>
        <w:spacing w:after="120"/>
        <w:ind w:left="993" w:hanging="633"/>
        <w:jc w:val="both"/>
        <w:outlineLvl w:val="0"/>
        <w:rPr>
          <w:rFonts w:eastAsia="Calibri" w:cs="Times New Roman"/>
          <w:sz w:val="24"/>
          <w:szCs w:val="24"/>
          <w:lang w:eastAsia="lv-LV"/>
        </w:rPr>
      </w:pPr>
      <w:r w:rsidRPr="0077032A">
        <w:rPr>
          <w:rFonts w:eastAsia="Calibri" w:cs="Times New Roman"/>
          <w:sz w:val="24"/>
          <w:szCs w:val="24"/>
          <w:lang w:eastAsia="lv-LV"/>
        </w:rPr>
        <w:t>būvprojekta izstrādes un ar to saistīto būvekspertīžu izmaksas;</w:t>
      </w:r>
    </w:p>
    <w:p w:rsidR="0077032A" w:rsidRPr="0077032A" w:rsidRDefault="0077032A" w:rsidP="0077032A">
      <w:pPr>
        <w:numPr>
          <w:ilvl w:val="1"/>
          <w:numId w:val="1"/>
        </w:numPr>
        <w:tabs>
          <w:tab w:val="left" w:pos="993"/>
        </w:tabs>
        <w:spacing w:after="120"/>
        <w:ind w:left="993" w:hanging="633"/>
        <w:jc w:val="both"/>
        <w:outlineLvl w:val="0"/>
        <w:rPr>
          <w:rFonts w:eastAsia="Calibri" w:cs="Times New Roman"/>
          <w:sz w:val="24"/>
          <w:szCs w:val="24"/>
          <w:lang w:eastAsia="lv-LV"/>
        </w:rPr>
      </w:pPr>
      <w:r w:rsidRPr="0077032A">
        <w:rPr>
          <w:rFonts w:eastAsia="Calibri" w:cs="Times New Roman"/>
          <w:sz w:val="24"/>
          <w:szCs w:val="24"/>
          <w:lang w:eastAsia="lv-LV"/>
        </w:rPr>
        <w:t>būvuzraudzības un autoruzraudzības izmaksas un attiecīgo būvspeciālistu normatīvajos aktos noteiktās obligātās apdrošināšanas izmaksas;</w:t>
      </w:r>
    </w:p>
    <w:p w:rsidR="002C78BF" w:rsidRPr="00091929" w:rsidRDefault="00C22936" w:rsidP="00BA7140">
      <w:pPr>
        <w:pStyle w:val="ListParagraph"/>
        <w:numPr>
          <w:ilvl w:val="1"/>
          <w:numId w:val="1"/>
        </w:numPr>
        <w:tabs>
          <w:tab w:val="left" w:pos="993"/>
        </w:tabs>
        <w:spacing w:after="120"/>
        <w:contextualSpacing w:val="0"/>
        <w:jc w:val="both"/>
        <w:outlineLvl w:val="0"/>
        <w:rPr>
          <w:rFonts w:eastAsia="Calibri" w:cs="Times New Roman"/>
          <w:sz w:val="24"/>
          <w:szCs w:val="24"/>
          <w:lang w:eastAsia="lv-LV"/>
        </w:rPr>
      </w:pPr>
      <w:r w:rsidRPr="00091929">
        <w:rPr>
          <w:rFonts w:eastAsia="Calibri" w:cs="Times New Roman"/>
          <w:sz w:val="24"/>
          <w:szCs w:val="24"/>
          <w:lang w:eastAsia="lv-LV"/>
        </w:rPr>
        <w:lastRenderedPageBreak/>
        <w:t>j</w:t>
      </w:r>
      <w:r w:rsidR="004A4A93" w:rsidRPr="00091929">
        <w:rPr>
          <w:rFonts w:eastAsia="Calibri" w:cs="Times New Roman"/>
          <w:sz w:val="24"/>
          <w:szCs w:val="24"/>
          <w:lang w:eastAsia="lv-LV"/>
        </w:rPr>
        <w:t>aunas būvniecības un/vai esošas būves pārbūves vai atjaunošanas izmaksas, tai skaitā:</w:t>
      </w:r>
    </w:p>
    <w:p w:rsidR="0077032A" w:rsidRDefault="00E11A69" w:rsidP="00091929">
      <w:pPr>
        <w:numPr>
          <w:ilvl w:val="2"/>
          <w:numId w:val="1"/>
        </w:numPr>
        <w:tabs>
          <w:tab w:val="left" w:pos="993"/>
        </w:tabs>
        <w:spacing w:after="120"/>
        <w:jc w:val="both"/>
        <w:outlineLvl w:val="0"/>
        <w:rPr>
          <w:rFonts w:eastAsia="Calibri" w:cs="Times New Roman"/>
          <w:sz w:val="24"/>
          <w:szCs w:val="24"/>
          <w:lang w:eastAsia="lv-LV"/>
        </w:rPr>
      </w:pPr>
      <w:r w:rsidRPr="00E11A69">
        <w:rPr>
          <w:rFonts w:eastAsia="Calibri" w:cs="Times New Roman"/>
          <w:sz w:val="24"/>
          <w:szCs w:val="24"/>
          <w:lang w:eastAsia="lv-LV"/>
        </w:rPr>
        <w:t xml:space="preserve">virszemes un pazemes komunikāciju infrastruktūras pārbūves izmaksas, ne vairāk kā </w:t>
      </w:r>
      <w:r>
        <w:rPr>
          <w:rFonts w:eastAsia="Calibri" w:cs="Times New Roman"/>
          <w:sz w:val="24"/>
          <w:szCs w:val="24"/>
          <w:lang w:eastAsia="lv-LV"/>
        </w:rPr>
        <w:t>15</w:t>
      </w:r>
      <w:r w:rsidR="00091929" w:rsidRPr="00091929">
        <w:t xml:space="preserve"> </w:t>
      </w:r>
      <w:r w:rsidR="00091929" w:rsidRPr="00091929">
        <w:rPr>
          <w:rFonts w:eastAsia="Calibri" w:cs="Times New Roman"/>
          <w:sz w:val="24"/>
          <w:szCs w:val="24"/>
          <w:lang w:eastAsia="lv-LV"/>
        </w:rPr>
        <w:t>procenti</w:t>
      </w:r>
      <w:r w:rsidRPr="00E11A69">
        <w:rPr>
          <w:rFonts w:eastAsia="Calibri" w:cs="Times New Roman"/>
          <w:sz w:val="24"/>
          <w:szCs w:val="24"/>
          <w:lang w:eastAsia="lv-LV"/>
        </w:rPr>
        <w:t xml:space="preserve"> no projekta attiecināmo izmaksu kopsummas. Izmaksas attiecināmas tikai gadījumā, ja tiek nodrošināts sertificēta būvinženiera ekspertīzes atzinums, kurā konstatēts, ka, veicot projektā plānotās satiksmes pārvadu, ielu, ceļu, dzelzceļu un ar to saistītās infrastruktūras būvniecības vai teritorijas labiekārtošanas darbības, nav iespējams izvairīties no minētās infrastruktūras bojāšanas vai pārbūves un ieguldījumi pārbūvē tiek veikti nemainot tehniskos parametrus un neradot priekšrocības to īpašniekiem;</w:t>
      </w:r>
      <w:r>
        <w:rPr>
          <w:rFonts w:eastAsia="Calibri" w:cs="Times New Roman"/>
          <w:sz w:val="24"/>
          <w:szCs w:val="24"/>
          <w:lang w:eastAsia="lv-LV"/>
        </w:rPr>
        <w:t xml:space="preserve"> </w:t>
      </w:r>
    </w:p>
    <w:p w:rsidR="00D803CA" w:rsidRDefault="003A63DD" w:rsidP="00091929">
      <w:pPr>
        <w:numPr>
          <w:ilvl w:val="2"/>
          <w:numId w:val="1"/>
        </w:numPr>
        <w:tabs>
          <w:tab w:val="left" w:pos="993"/>
        </w:tabs>
        <w:spacing w:after="120"/>
        <w:jc w:val="both"/>
        <w:outlineLvl w:val="0"/>
        <w:rPr>
          <w:rFonts w:eastAsia="Calibri" w:cs="Times New Roman"/>
          <w:sz w:val="24"/>
          <w:szCs w:val="24"/>
          <w:lang w:eastAsia="lv-LV"/>
        </w:rPr>
      </w:pPr>
      <w:r w:rsidRPr="003A63DD">
        <w:rPr>
          <w:rFonts w:eastAsia="Calibri" w:cs="Times New Roman"/>
          <w:sz w:val="24"/>
          <w:szCs w:val="24"/>
          <w:lang w:eastAsia="lv-LV"/>
        </w:rPr>
        <w:t>satiksmes drošības aprīkojuma uzstādīšanas un atjaunošanas izmaksas, piemēram, ceļa zīmes, luksofori, signālstabiņi, aizsargbarjeras, gājēju barjeras, vertikālie un horizontālie ceļa</w:t>
      </w:r>
      <w:r w:rsidR="00E11A69" w:rsidRPr="00E11A69">
        <w:t xml:space="preserve"> </w:t>
      </w:r>
      <w:r w:rsidR="00E11A69" w:rsidRPr="00E11A69">
        <w:rPr>
          <w:rFonts w:eastAsia="Calibri" w:cs="Times New Roman"/>
          <w:sz w:val="24"/>
          <w:szCs w:val="24"/>
          <w:lang w:eastAsia="lv-LV"/>
        </w:rPr>
        <w:t>apzīmējumi</w:t>
      </w:r>
      <w:r w:rsidR="00E11A69" w:rsidRPr="00E11A69">
        <w:rPr>
          <w:rFonts w:eastAsia="Times New Roman" w:cs="Times New Roman"/>
          <w:sz w:val="24"/>
          <w:szCs w:val="24"/>
          <w:lang w:eastAsia="lv-LV"/>
        </w:rPr>
        <w:t xml:space="preserve"> </w:t>
      </w:r>
      <w:r w:rsidR="00E11A69" w:rsidRPr="00E11A69">
        <w:rPr>
          <w:rFonts w:eastAsia="Calibri" w:cs="Times New Roman"/>
          <w:sz w:val="24"/>
          <w:szCs w:val="24"/>
          <w:lang w:eastAsia="lv-LV"/>
        </w:rPr>
        <w:t>atbilstoši būvprojekta risinājumam</w:t>
      </w:r>
      <w:r w:rsidR="00091929">
        <w:rPr>
          <w:rFonts w:eastAsia="Calibri" w:cs="Times New Roman"/>
          <w:sz w:val="24"/>
          <w:szCs w:val="24"/>
          <w:lang w:eastAsia="lv-LV"/>
        </w:rPr>
        <w:t>,</w:t>
      </w:r>
      <w:r w:rsidR="00091929" w:rsidRPr="00091929">
        <w:t xml:space="preserve"> </w:t>
      </w:r>
      <w:r w:rsidR="00091929" w:rsidRPr="00091929">
        <w:rPr>
          <w:rFonts w:eastAsia="Calibri" w:cs="Times New Roman"/>
          <w:sz w:val="24"/>
          <w:szCs w:val="24"/>
          <w:lang w:eastAsia="lv-LV"/>
        </w:rPr>
        <w:t>ne vairāk kā 10 procenti no projekta attiecināmo izmaksu kopsummas</w:t>
      </w:r>
      <w:r w:rsidR="00E11A69" w:rsidRPr="00E11A69">
        <w:rPr>
          <w:rFonts w:eastAsia="Calibri" w:cs="Times New Roman"/>
          <w:sz w:val="24"/>
          <w:szCs w:val="24"/>
          <w:lang w:eastAsia="lv-LV"/>
        </w:rPr>
        <w:t>.</w:t>
      </w:r>
    </w:p>
    <w:p w:rsidR="0077032A" w:rsidRPr="0077032A" w:rsidRDefault="0077032A" w:rsidP="00C1092D">
      <w:pPr>
        <w:numPr>
          <w:ilvl w:val="2"/>
          <w:numId w:val="1"/>
        </w:numPr>
        <w:tabs>
          <w:tab w:val="left" w:pos="993"/>
        </w:tabs>
        <w:spacing w:after="120"/>
        <w:jc w:val="both"/>
        <w:outlineLvl w:val="0"/>
        <w:rPr>
          <w:rFonts w:eastAsia="Calibri" w:cs="Times New Roman"/>
          <w:sz w:val="24"/>
          <w:szCs w:val="24"/>
          <w:lang w:eastAsia="lv-LV"/>
        </w:rPr>
      </w:pPr>
      <w:r w:rsidRPr="0077032A">
        <w:rPr>
          <w:rFonts w:eastAsia="Calibri" w:cs="Times New Roman"/>
          <w:sz w:val="24"/>
          <w:szCs w:val="24"/>
          <w:lang w:eastAsia="lv-LV"/>
        </w:rPr>
        <w:t>labiekārtošanas izmaksas</w:t>
      </w:r>
      <w:r w:rsidR="00091929">
        <w:rPr>
          <w:rFonts w:eastAsia="Calibri" w:cs="Times New Roman"/>
          <w:sz w:val="24"/>
          <w:szCs w:val="24"/>
          <w:lang w:eastAsia="lv-LV"/>
        </w:rPr>
        <w:t xml:space="preserve"> </w:t>
      </w:r>
      <w:r w:rsidR="003A63DD" w:rsidRPr="003A63DD">
        <w:rPr>
          <w:rFonts w:eastAsia="Calibri" w:cs="Times New Roman"/>
          <w:sz w:val="24"/>
          <w:szCs w:val="24"/>
          <w:lang w:eastAsia="lv-LV"/>
        </w:rPr>
        <w:t>atbilstoši būvprojekta risinājumam</w:t>
      </w:r>
      <w:r w:rsidR="00E83AB4">
        <w:rPr>
          <w:rFonts w:eastAsia="Calibri" w:cs="Times New Roman"/>
          <w:sz w:val="24"/>
          <w:szCs w:val="24"/>
          <w:lang w:eastAsia="lv-LV"/>
        </w:rPr>
        <w:t xml:space="preserve">, </w:t>
      </w:r>
      <w:r w:rsidR="00E83AB4" w:rsidRPr="00E83AB4">
        <w:rPr>
          <w:rFonts w:eastAsia="Calibri" w:cs="Times New Roman"/>
          <w:sz w:val="24"/>
          <w:szCs w:val="24"/>
          <w:lang w:eastAsia="lv-LV"/>
        </w:rPr>
        <w:t>ir atbalstāmas tādā apmērā, lai izpildītu Latvijas Republikas normatīvajos aktos noteiktās minimālās prasības infrastruktūras nodošanai ekspluatācijā.</w:t>
      </w:r>
    </w:p>
    <w:p w:rsidR="00D803CA" w:rsidRDefault="00D803CA" w:rsidP="00335AFA">
      <w:pPr>
        <w:numPr>
          <w:ilvl w:val="1"/>
          <w:numId w:val="1"/>
        </w:numPr>
        <w:tabs>
          <w:tab w:val="left" w:pos="993"/>
        </w:tabs>
        <w:spacing w:after="120"/>
        <w:jc w:val="both"/>
        <w:outlineLvl w:val="0"/>
        <w:rPr>
          <w:rFonts w:eastAsia="Calibri" w:cs="Times New Roman"/>
          <w:sz w:val="24"/>
          <w:szCs w:val="24"/>
          <w:lang w:eastAsia="lv-LV"/>
        </w:rPr>
      </w:pPr>
      <w:r w:rsidRPr="00D803CA">
        <w:rPr>
          <w:rFonts w:eastAsia="Calibri" w:cs="Times New Roman"/>
          <w:sz w:val="24"/>
          <w:szCs w:val="24"/>
          <w:lang w:eastAsia="lv-LV"/>
        </w:rPr>
        <w:t xml:space="preserve">ar </w:t>
      </w:r>
      <w:r w:rsidR="00335AFA" w:rsidRPr="00335AFA">
        <w:rPr>
          <w:rFonts w:eastAsia="Calibri" w:cs="Times New Roman"/>
          <w:sz w:val="24"/>
          <w:szCs w:val="24"/>
          <w:lang w:eastAsia="lv-LV"/>
        </w:rPr>
        <w:t xml:space="preserve">obligāto </w:t>
      </w:r>
      <w:r w:rsidRPr="00D803CA">
        <w:rPr>
          <w:rFonts w:eastAsia="Calibri" w:cs="Times New Roman"/>
          <w:sz w:val="24"/>
          <w:szCs w:val="24"/>
          <w:lang w:eastAsia="lv-LV"/>
        </w:rPr>
        <w:t>ugunsdzēsību un citu drošības prasību ievērošanu saistītās izmaksas;</w:t>
      </w:r>
    </w:p>
    <w:p w:rsidR="0077032A" w:rsidRDefault="0077032A" w:rsidP="0077032A">
      <w:pPr>
        <w:pStyle w:val="ListParagraph"/>
        <w:numPr>
          <w:ilvl w:val="1"/>
          <w:numId w:val="1"/>
        </w:numPr>
        <w:tabs>
          <w:tab w:val="left" w:pos="993"/>
        </w:tabs>
        <w:spacing w:after="120"/>
        <w:ind w:left="993" w:hanging="633"/>
        <w:contextualSpacing w:val="0"/>
        <w:jc w:val="both"/>
        <w:outlineLvl w:val="0"/>
        <w:rPr>
          <w:rFonts w:eastAsia="Calibri" w:cs="Times New Roman"/>
          <w:sz w:val="24"/>
          <w:szCs w:val="24"/>
          <w:lang w:eastAsia="lv-LV"/>
        </w:rPr>
      </w:pPr>
      <w:bookmarkStart w:id="1" w:name="_Ref426968317"/>
      <w:r w:rsidRPr="0077032A">
        <w:rPr>
          <w:rFonts w:eastAsia="Calibri" w:cs="Times New Roman"/>
          <w:sz w:val="24"/>
          <w:szCs w:val="24"/>
          <w:lang w:eastAsia="lv-LV"/>
        </w:rPr>
        <w:t>izmaksas vides aizsardzības prasību nodrošināšanai, ciktāl to paredz normatīvo aktu prasības</w:t>
      </w:r>
      <w:bookmarkEnd w:id="1"/>
      <w:r>
        <w:rPr>
          <w:rFonts w:eastAsia="Calibri" w:cs="Times New Roman"/>
          <w:sz w:val="24"/>
          <w:szCs w:val="24"/>
          <w:lang w:eastAsia="lv-LV"/>
        </w:rPr>
        <w:t>.</w:t>
      </w:r>
    </w:p>
    <w:p w:rsidR="00436F47" w:rsidRDefault="00436F47" w:rsidP="0077032A">
      <w:pPr>
        <w:pStyle w:val="ListParagraph"/>
        <w:numPr>
          <w:ilvl w:val="1"/>
          <w:numId w:val="1"/>
        </w:numPr>
        <w:tabs>
          <w:tab w:val="left" w:pos="993"/>
        </w:tabs>
        <w:spacing w:after="120"/>
        <w:ind w:left="993" w:hanging="633"/>
        <w:contextualSpacing w:val="0"/>
        <w:jc w:val="both"/>
        <w:outlineLvl w:val="0"/>
        <w:rPr>
          <w:rFonts w:eastAsia="Calibri" w:cs="Times New Roman"/>
          <w:sz w:val="24"/>
          <w:szCs w:val="24"/>
          <w:lang w:eastAsia="lv-LV"/>
        </w:rPr>
      </w:pPr>
      <w:r w:rsidRPr="00436F47">
        <w:rPr>
          <w:rFonts w:eastAsia="Calibri" w:cs="Times New Roman"/>
          <w:sz w:val="24"/>
          <w:szCs w:val="24"/>
          <w:lang w:eastAsia="lv-LV"/>
        </w:rPr>
        <w:t>zemes iegādes izmaksas, ja zemes iegāde ir tieši nepieciešama projektā paredzētās būvniecības īstenošanai (ne vairāk kā 10% no attiecināmo izmaksu kopsummas);</w:t>
      </w:r>
    </w:p>
    <w:p w:rsidR="00EF5D9F" w:rsidRPr="0077032A" w:rsidRDefault="00DA6165" w:rsidP="0077032A">
      <w:pPr>
        <w:pStyle w:val="ListParagraph"/>
        <w:numPr>
          <w:ilvl w:val="1"/>
          <w:numId w:val="1"/>
        </w:numPr>
        <w:tabs>
          <w:tab w:val="left" w:pos="993"/>
        </w:tabs>
        <w:spacing w:after="120"/>
        <w:ind w:left="993" w:hanging="633"/>
        <w:contextualSpacing w:val="0"/>
        <w:jc w:val="both"/>
        <w:outlineLvl w:val="0"/>
        <w:rPr>
          <w:rFonts w:eastAsia="Calibri" w:cs="Times New Roman"/>
          <w:sz w:val="24"/>
          <w:szCs w:val="24"/>
          <w:lang w:eastAsia="lv-LV"/>
        </w:rPr>
      </w:pPr>
      <w:r w:rsidRPr="00FE13CA">
        <w:rPr>
          <w:rFonts w:eastAsia="Calibri" w:cs="Times New Roman"/>
          <w:sz w:val="24"/>
          <w:szCs w:val="24"/>
          <w:lang w:eastAsia="lv-LV"/>
        </w:rPr>
        <w:t xml:space="preserve">informācijas un publicitātes pasākumu izmaksas, </w:t>
      </w:r>
      <w:r w:rsidR="00E52358" w:rsidRPr="00FE13CA">
        <w:rPr>
          <w:rFonts w:eastAsia="Calibri" w:cs="Times New Roman"/>
          <w:sz w:val="24"/>
          <w:szCs w:val="24"/>
          <w:lang w:eastAsia="lv-LV"/>
        </w:rPr>
        <w:t>atbilstoši normatīvajiem aktiem par k</w:t>
      </w:r>
      <w:r w:rsidR="00E27DFC" w:rsidRPr="00FE13CA">
        <w:rPr>
          <w:rFonts w:eastAsia="Calibri" w:cs="Times New Roman"/>
          <w:sz w:val="24"/>
          <w:szCs w:val="24"/>
          <w:lang w:eastAsia="lv-LV"/>
        </w:rPr>
        <w:t>ā</w:t>
      </w:r>
      <w:r w:rsidR="00E52358" w:rsidRPr="00FE13CA">
        <w:rPr>
          <w:rFonts w:eastAsia="Calibri" w:cs="Times New Roman"/>
          <w:sz w:val="24"/>
          <w:szCs w:val="24"/>
          <w:lang w:eastAsia="lv-LV"/>
        </w:rPr>
        <w:t>rtību, kādā</w:t>
      </w:r>
      <w:r w:rsidRPr="00FE13CA">
        <w:rPr>
          <w:rFonts w:eastAsia="Calibri" w:cs="Times New Roman"/>
          <w:sz w:val="24"/>
          <w:szCs w:val="24"/>
          <w:lang w:eastAsia="lv-LV"/>
        </w:rPr>
        <w:t xml:space="preserve"> Eiropas Savienības struktūrfondu un Kohēzijas fonda</w:t>
      </w:r>
      <w:r w:rsidR="00E52358" w:rsidRPr="00FE13CA">
        <w:rPr>
          <w:rFonts w:eastAsia="Calibri" w:cs="Times New Roman"/>
          <w:sz w:val="24"/>
          <w:szCs w:val="24"/>
          <w:lang w:eastAsia="lv-LV"/>
        </w:rPr>
        <w:t xml:space="preserve"> ieviešanā 2014.-2020.gada plānošanas periodā nodrošināma komunikācijas un vizuālās identitātes </w:t>
      </w:r>
      <w:r w:rsidR="00E52358" w:rsidRPr="00EF5D9F">
        <w:rPr>
          <w:rFonts w:eastAsia="Calibri" w:cs="Times New Roman"/>
          <w:sz w:val="24"/>
          <w:szCs w:val="24"/>
          <w:lang w:eastAsia="lv-LV"/>
        </w:rPr>
        <w:t>prasību ievērošana</w:t>
      </w:r>
      <w:r w:rsidRPr="00EF5D9F">
        <w:rPr>
          <w:rFonts w:eastAsia="Calibri" w:cs="Times New Roman"/>
          <w:sz w:val="24"/>
          <w:szCs w:val="24"/>
          <w:lang w:eastAsia="lv-LV"/>
        </w:rPr>
        <w:t>;</w:t>
      </w:r>
    </w:p>
    <w:p w:rsidR="0077032A" w:rsidRPr="001F461F" w:rsidRDefault="0077032A" w:rsidP="0077032A">
      <w:pPr>
        <w:pStyle w:val="ListParagraph"/>
        <w:numPr>
          <w:ilvl w:val="0"/>
          <w:numId w:val="1"/>
        </w:numPr>
        <w:tabs>
          <w:tab w:val="left" w:pos="426"/>
        </w:tabs>
        <w:spacing w:after="120"/>
        <w:ind w:left="425" w:hanging="425"/>
        <w:contextualSpacing w:val="0"/>
        <w:jc w:val="both"/>
        <w:outlineLvl w:val="0"/>
        <w:rPr>
          <w:rFonts w:eastAsia="Calibri" w:cs="Times New Roman"/>
          <w:sz w:val="24"/>
          <w:szCs w:val="24"/>
          <w:lang w:eastAsia="lv-LV"/>
        </w:rPr>
      </w:pPr>
      <w:r w:rsidRPr="0077032A">
        <w:rPr>
          <w:rFonts w:eastAsia="Calibri" w:cs="Times New Roman"/>
          <w:sz w:val="24"/>
          <w:szCs w:val="24"/>
          <w:lang w:eastAsia="lv-LV"/>
        </w:rPr>
        <w:t xml:space="preserve">Šo noteikumu </w:t>
      </w:r>
      <w:r w:rsidR="00C1092D">
        <w:rPr>
          <w:rFonts w:eastAsia="Calibri" w:cs="Times New Roman"/>
          <w:sz w:val="24"/>
          <w:szCs w:val="24"/>
          <w:lang w:eastAsia="lv-LV"/>
        </w:rPr>
        <w:t>1</w:t>
      </w:r>
      <w:r w:rsidR="0065344E">
        <w:rPr>
          <w:rFonts w:eastAsia="Calibri" w:cs="Times New Roman"/>
          <w:sz w:val="24"/>
          <w:szCs w:val="24"/>
          <w:lang w:eastAsia="lv-LV"/>
        </w:rPr>
        <w:t>7</w:t>
      </w:r>
      <w:r w:rsidRPr="0077032A">
        <w:rPr>
          <w:rFonts w:eastAsia="Calibri" w:cs="Times New Roman"/>
          <w:sz w:val="24"/>
          <w:szCs w:val="24"/>
          <w:lang w:eastAsia="lv-LV"/>
        </w:rPr>
        <w:t>.</w:t>
      </w:r>
      <w:r w:rsidR="00632EB3">
        <w:rPr>
          <w:rFonts w:eastAsia="Calibri" w:cs="Times New Roman"/>
          <w:sz w:val="24"/>
          <w:szCs w:val="24"/>
          <w:lang w:eastAsia="lv-LV"/>
        </w:rPr>
        <w:t>3</w:t>
      </w:r>
      <w:r w:rsidRPr="0077032A">
        <w:rPr>
          <w:rFonts w:eastAsia="Calibri" w:cs="Times New Roman"/>
          <w:sz w:val="24"/>
          <w:szCs w:val="24"/>
          <w:lang w:eastAsia="lv-LV"/>
        </w:rPr>
        <w:t>.</w:t>
      </w:r>
      <w:r w:rsidR="00632EB3">
        <w:rPr>
          <w:rFonts w:eastAsia="Calibri" w:cs="Times New Roman"/>
          <w:sz w:val="24"/>
          <w:szCs w:val="24"/>
          <w:lang w:eastAsia="lv-LV"/>
        </w:rPr>
        <w:t xml:space="preserve"> un </w:t>
      </w:r>
      <w:r w:rsidR="00C1092D" w:rsidRPr="0077032A">
        <w:rPr>
          <w:rFonts w:eastAsia="Calibri" w:cs="Times New Roman"/>
          <w:sz w:val="24"/>
          <w:szCs w:val="24"/>
          <w:lang w:eastAsia="lv-LV"/>
        </w:rPr>
        <w:t>1</w:t>
      </w:r>
      <w:r w:rsidR="0065344E">
        <w:rPr>
          <w:rFonts w:eastAsia="Calibri" w:cs="Times New Roman"/>
          <w:sz w:val="24"/>
          <w:szCs w:val="24"/>
          <w:lang w:eastAsia="lv-LV"/>
        </w:rPr>
        <w:t>7</w:t>
      </w:r>
      <w:r w:rsidRPr="0077032A">
        <w:rPr>
          <w:rFonts w:eastAsia="Calibri" w:cs="Times New Roman"/>
          <w:sz w:val="24"/>
          <w:szCs w:val="24"/>
          <w:lang w:eastAsia="lv-LV"/>
        </w:rPr>
        <w:t>.</w:t>
      </w:r>
      <w:r w:rsidR="00632EB3">
        <w:rPr>
          <w:rFonts w:eastAsia="Calibri" w:cs="Times New Roman"/>
          <w:sz w:val="24"/>
          <w:szCs w:val="24"/>
          <w:lang w:eastAsia="lv-LV"/>
        </w:rPr>
        <w:t>4</w:t>
      </w:r>
      <w:r w:rsidRPr="0077032A">
        <w:rPr>
          <w:rFonts w:eastAsia="Calibri" w:cs="Times New Roman"/>
          <w:sz w:val="24"/>
          <w:szCs w:val="24"/>
          <w:lang w:eastAsia="lv-LV"/>
        </w:rPr>
        <w:t xml:space="preserve">.apakšpunktos minētās izmaksas kopā nepārsniedz 10 procentus no </w:t>
      </w:r>
      <w:r w:rsidR="00455917" w:rsidRPr="00455917">
        <w:rPr>
          <w:rFonts w:eastAsia="Calibri" w:cs="Times New Roman"/>
          <w:bCs/>
          <w:sz w:val="24"/>
          <w:szCs w:val="24"/>
          <w:lang w:eastAsia="lv-LV"/>
        </w:rPr>
        <w:t>projekta būvdarbu līguma summas.</w:t>
      </w:r>
    </w:p>
    <w:p w:rsidR="001F461F" w:rsidRDefault="001F461F" w:rsidP="0077032A">
      <w:pPr>
        <w:pStyle w:val="ListParagraph"/>
        <w:numPr>
          <w:ilvl w:val="0"/>
          <w:numId w:val="1"/>
        </w:numPr>
        <w:tabs>
          <w:tab w:val="left" w:pos="426"/>
        </w:tabs>
        <w:spacing w:after="120"/>
        <w:ind w:left="425" w:hanging="425"/>
        <w:contextualSpacing w:val="0"/>
        <w:jc w:val="both"/>
        <w:outlineLvl w:val="0"/>
        <w:rPr>
          <w:rFonts w:eastAsia="Calibri" w:cs="Times New Roman"/>
          <w:sz w:val="24"/>
          <w:szCs w:val="24"/>
          <w:lang w:eastAsia="lv-LV"/>
        </w:rPr>
      </w:pPr>
      <w:r w:rsidRPr="001F461F">
        <w:rPr>
          <w:rFonts w:eastAsia="Calibri" w:cs="Times New Roman"/>
          <w:sz w:val="24"/>
          <w:szCs w:val="24"/>
          <w:lang w:eastAsia="lv-LV"/>
        </w:rPr>
        <w:t xml:space="preserve">Šo noteikumu </w:t>
      </w:r>
      <w:r w:rsidR="00C1092D" w:rsidRPr="001F461F">
        <w:rPr>
          <w:rFonts w:eastAsia="Calibri" w:cs="Times New Roman"/>
          <w:sz w:val="24"/>
          <w:szCs w:val="24"/>
          <w:lang w:eastAsia="lv-LV"/>
        </w:rPr>
        <w:t>1</w:t>
      </w:r>
      <w:r w:rsidR="0065344E">
        <w:rPr>
          <w:rFonts w:eastAsia="Calibri" w:cs="Times New Roman"/>
          <w:sz w:val="24"/>
          <w:szCs w:val="24"/>
          <w:lang w:eastAsia="lv-LV"/>
        </w:rPr>
        <w:t>7</w:t>
      </w:r>
      <w:r w:rsidRPr="001F461F">
        <w:rPr>
          <w:rFonts w:eastAsia="Calibri" w:cs="Times New Roman"/>
          <w:sz w:val="24"/>
          <w:szCs w:val="24"/>
          <w:lang w:eastAsia="lv-LV"/>
        </w:rPr>
        <w:t>.</w:t>
      </w:r>
      <w:r w:rsidR="00813A25">
        <w:rPr>
          <w:rFonts w:eastAsia="Calibri" w:cs="Times New Roman"/>
          <w:sz w:val="24"/>
          <w:szCs w:val="24"/>
          <w:lang w:eastAsia="lv-LV"/>
        </w:rPr>
        <w:t>2</w:t>
      </w:r>
      <w:r w:rsidRPr="001F461F">
        <w:rPr>
          <w:rFonts w:eastAsia="Calibri" w:cs="Times New Roman"/>
          <w:sz w:val="24"/>
          <w:szCs w:val="24"/>
          <w:lang w:eastAsia="lv-LV"/>
        </w:rPr>
        <w:t xml:space="preserve">. un </w:t>
      </w:r>
      <w:r w:rsidR="00C1092D" w:rsidRPr="001F461F">
        <w:rPr>
          <w:rFonts w:eastAsia="Calibri" w:cs="Times New Roman"/>
          <w:sz w:val="24"/>
          <w:szCs w:val="24"/>
          <w:lang w:eastAsia="lv-LV"/>
        </w:rPr>
        <w:t>1</w:t>
      </w:r>
      <w:r w:rsidR="0065344E">
        <w:rPr>
          <w:rFonts w:eastAsia="Calibri" w:cs="Times New Roman"/>
          <w:sz w:val="24"/>
          <w:szCs w:val="24"/>
          <w:lang w:eastAsia="lv-LV"/>
        </w:rPr>
        <w:t>7</w:t>
      </w:r>
      <w:r w:rsidRPr="001F461F">
        <w:rPr>
          <w:rFonts w:eastAsia="Calibri" w:cs="Times New Roman"/>
          <w:sz w:val="24"/>
          <w:szCs w:val="24"/>
          <w:lang w:eastAsia="lv-LV"/>
        </w:rPr>
        <w:t xml:space="preserve">.4.apakšpunktos minētās izmaksas kopā nepārsniedz 10 procentus no </w:t>
      </w:r>
      <w:r w:rsidRPr="001F461F">
        <w:rPr>
          <w:rFonts w:eastAsia="Calibri" w:cs="Times New Roman"/>
          <w:bCs/>
          <w:sz w:val="24"/>
          <w:szCs w:val="24"/>
          <w:lang w:eastAsia="lv-LV"/>
        </w:rPr>
        <w:t>projekta</w:t>
      </w:r>
      <w:r w:rsidR="00813A25" w:rsidRPr="00813A25">
        <w:rPr>
          <w:rFonts w:eastAsia="Calibri" w:cs="Times New Roman"/>
          <w:bCs/>
          <w:sz w:val="24"/>
          <w:szCs w:val="24"/>
          <w:lang w:eastAsia="lv-LV"/>
        </w:rPr>
        <w:t xml:space="preserve"> kopējām attiecināmajām izmaksām</w:t>
      </w:r>
      <w:r w:rsidRPr="001F461F">
        <w:rPr>
          <w:rFonts w:eastAsia="Calibri" w:cs="Times New Roman"/>
          <w:bCs/>
          <w:sz w:val="24"/>
          <w:szCs w:val="24"/>
          <w:lang w:eastAsia="lv-LV"/>
        </w:rPr>
        <w:t>.</w:t>
      </w:r>
    </w:p>
    <w:p w:rsidR="0015380C" w:rsidRPr="00994F2C" w:rsidRDefault="00994F2C" w:rsidP="00BA7140">
      <w:pPr>
        <w:pStyle w:val="ListParagraph"/>
        <w:numPr>
          <w:ilvl w:val="0"/>
          <w:numId w:val="1"/>
        </w:numPr>
        <w:tabs>
          <w:tab w:val="left" w:pos="426"/>
        </w:tabs>
        <w:spacing w:after="120"/>
        <w:ind w:left="425" w:hanging="425"/>
        <w:contextualSpacing w:val="0"/>
        <w:jc w:val="both"/>
        <w:outlineLvl w:val="0"/>
        <w:rPr>
          <w:rFonts w:eastAsia="Calibri" w:cs="Times New Roman"/>
          <w:sz w:val="24"/>
          <w:szCs w:val="24"/>
          <w:lang w:eastAsia="lv-LV"/>
        </w:rPr>
      </w:pPr>
      <w:r w:rsidRPr="00994F2C">
        <w:rPr>
          <w:rFonts w:eastAsia="Calibri" w:cs="Times New Roman"/>
          <w:bCs/>
          <w:sz w:val="24"/>
          <w:szCs w:val="24"/>
          <w:lang w:eastAsia="lv-LV"/>
        </w:rPr>
        <w:t xml:space="preserve">Pievienotās vērtības nodokļa izmaksas šo noteikumu </w:t>
      </w:r>
      <w:r w:rsidR="00C1092D" w:rsidRPr="00994F2C">
        <w:rPr>
          <w:rFonts w:eastAsia="Calibri" w:cs="Times New Roman"/>
          <w:bCs/>
          <w:sz w:val="24"/>
          <w:szCs w:val="24"/>
          <w:lang w:eastAsia="lv-LV"/>
        </w:rPr>
        <w:t>1</w:t>
      </w:r>
      <w:r w:rsidR="0065344E">
        <w:rPr>
          <w:rFonts w:eastAsia="Calibri" w:cs="Times New Roman"/>
          <w:bCs/>
          <w:sz w:val="24"/>
          <w:szCs w:val="24"/>
          <w:lang w:eastAsia="lv-LV"/>
        </w:rPr>
        <w:t>7</w:t>
      </w:r>
      <w:r w:rsidRPr="00994F2C">
        <w:rPr>
          <w:rFonts w:eastAsia="Calibri" w:cs="Times New Roman"/>
          <w:bCs/>
          <w:sz w:val="24"/>
          <w:szCs w:val="24"/>
          <w:lang w:eastAsia="lv-LV"/>
        </w:rPr>
        <w:t>.punktā minētajām izmaksu pozīcijām ir attiecināmās izmaksas, ja tās  nav atgūstamas atbilstoši Latvijas Republikas normatīvajiem aktiem nodokļu politikas jomā.</w:t>
      </w:r>
    </w:p>
    <w:p w:rsidR="00231BE1" w:rsidRDefault="00994F2C" w:rsidP="004D0EB1">
      <w:pPr>
        <w:pStyle w:val="ListParagraph"/>
        <w:numPr>
          <w:ilvl w:val="0"/>
          <w:numId w:val="1"/>
        </w:numPr>
        <w:tabs>
          <w:tab w:val="left" w:pos="426"/>
        </w:tabs>
        <w:spacing w:after="120"/>
        <w:ind w:left="425" w:hanging="425"/>
        <w:contextualSpacing w:val="0"/>
        <w:jc w:val="both"/>
        <w:outlineLvl w:val="0"/>
        <w:rPr>
          <w:rFonts w:eastAsia="Calibri" w:cs="Times New Roman"/>
          <w:bCs/>
          <w:sz w:val="24"/>
          <w:szCs w:val="24"/>
          <w:lang w:eastAsia="lv-LV"/>
        </w:rPr>
      </w:pPr>
      <w:r w:rsidRPr="00994F2C">
        <w:rPr>
          <w:rFonts w:eastAsia="Calibri" w:cs="Times New Roman"/>
          <w:bCs/>
          <w:sz w:val="24"/>
          <w:szCs w:val="24"/>
          <w:lang w:eastAsia="lv-LV"/>
        </w:rPr>
        <w:t xml:space="preserve">Projekta netiešās attiecināmās izmaksas plāno kā vienu izmaksu pozīciju, </w:t>
      </w:r>
      <w:r w:rsidR="00060A20" w:rsidRPr="009D6D33">
        <w:rPr>
          <w:rFonts w:eastAsia="Calibri" w:cs="Times New Roman"/>
          <w:bCs/>
          <w:sz w:val="24"/>
          <w:szCs w:val="24"/>
          <w:lang w:eastAsia="lv-LV"/>
        </w:rPr>
        <w:t xml:space="preserve">15 procentu apmērā no šo noteikumu </w:t>
      </w:r>
      <w:r w:rsidR="00C1092D" w:rsidRPr="009D6D33">
        <w:rPr>
          <w:rFonts w:eastAsia="Calibri" w:cs="Times New Roman"/>
          <w:bCs/>
          <w:sz w:val="24"/>
          <w:szCs w:val="24"/>
          <w:lang w:eastAsia="lv-LV"/>
        </w:rPr>
        <w:t>1</w:t>
      </w:r>
      <w:r w:rsidR="0065344E">
        <w:rPr>
          <w:rFonts w:eastAsia="Calibri" w:cs="Times New Roman"/>
          <w:bCs/>
          <w:sz w:val="24"/>
          <w:szCs w:val="24"/>
          <w:lang w:eastAsia="lv-LV"/>
        </w:rPr>
        <w:t>7</w:t>
      </w:r>
      <w:r w:rsidR="00060A20" w:rsidRPr="009D6D33">
        <w:rPr>
          <w:rFonts w:eastAsia="Calibri" w:cs="Times New Roman"/>
          <w:bCs/>
          <w:sz w:val="24"/>
          <w:szCs w:val="24"/>
          <w:lang w:eastAsia="lv-LV"/>
        </w:rPr>
        <w:t>.1. apakšpunktā noteiktajām izmaksām</w:t>
      </w:r>
      <w:r w:rsidR="00C1092D">
        <w:rPr>
          <w:rFonts w:eastAsia="Calibri" w:cs="Times New Roman"/>
          <w:bCs/>
          <w:sz w:val="24"/>
          <w:szCs w:val="24"/>
          <w:lang w:eastAsia="lv-LV"/>
        </w:rPr>
        <w:t>:</w:t>
      </w:r>
    </w:p>
    <w:p w:rsidR="00060A20" w:rsidRPr="004D0EB1" w:rsidRDefault="00C1092D" w:rsidP="004D0EB1">
      <w:pPr>
        <w:pStyle w:val="ListParagraph"/>
        <w:numPr>
          <w:ilvl w:val="1"/>
          <w:numId w:val="1"/>
        </w:numPr>
        <w:tabs>
          <w:tab w:val="left" w:pos="993"/>
        </w:tabs>
        <w:spacing w:after="120"/>
        <w:ind w:left="993" w:hanging="633"/>
        <w:contextualSpacing w:val="0"/>
        <w:jc w:val="both"/>
        <w:outlineLvl w:val="0"/>
        <w:rPr>
          <w:rFonts w:eastAsia="Calibri" w:cs="Times New Roman"/>
          <w:sz w:val="24"/>
          <w:szCs w:val="24"/>
          <w:lang w:eastAsia="lv-LV"/>
        </w:rPr>
      </w:pPr>
      <w:r w:rsidRPr="009D6D33">
        <w:rPr>
          <w:rFonts w:eastAsia="Calibri" w:cs="Times New Roman"/>
          <w:bCs/>
          <w:sz w:val="24"/>
          <w:szCs w:val="24"/>
          <w:lang w:eastAsia="lv-LV"/>
        </w:rPr>
        <w:t>ko aprēķina</w:t>
      </w:r>
      <w:r w:rsidRPr="004D0EB1">
        <w:rPr>
          <w:rFonts w:eastAsia="Calibri" w:cs="Times New Roman"/>
          <w:sz w:val="24"/>
          <w:szCs w:val="24"/>
          <w:lang w:eastAsia="lv-LV"/>
        </w:rPr>
        <w:t xml:space="preserve"> </w:t>
      </w:r>
      <w:r w:rsidR="00060A20" w:rsidRPr="004D0EB1">
        <w:rPr>
          <w:rFonts w:eastAsia="Calibri" w:cs="Times New Roman"/>
          <w:sz w:val="24"/>
          <w:szCs w:val="24"/>
          <w:lang w:eastAsia="lv-LV"/>
        </w:rPr>
        <w:t>tikai tām izmaksām, kas radušās uz darba līguma pamata;</w:t>
      </w:r>
    </w:p>
    <w:p w:rsidR="00060A20" w:rsidRPr="004D0EB1" w:rsidRDefault="00060A20" w:rsidP="004D0EB1">
      <w:pPr>
        <w:pStyle w:val="ListParagraph"/>
        <w:numPr>
          <w:ilvl w:val="1"/>
          <w:numId w:val="1"/>
        </w:numPr>
        <w:tabs>
          <w:tab w:val="left" w:pos="993"/>
        </w:tabs>
        <w:spacing w:after="120"/>
        <w:ind w:left="993" w:hanging="633"/>
        <w:contextualSpacing w:val="0"/>
        <w:jc w:val="both"/>
        <w:outlineLvl w:val="0"/>
        <w:rPr>
          <w:rFonts w:eastAsia="Calibri" w:cs="Times New Roman"/>
          <w:sz w:val="24"/>
          <w:szCs w:val="24"/>
          <w:lang w:eastAsia="lv-LV"/>
        </w:rPr>
      </w:pPr>
      <w:r w:rsidRPr="004D0EB1">
        <w:rPr>
          <w:rFonts w:eastAsia="Calibri" w:cs="Times New Roman"/>
          <w:sz w:val="24"/>
          <w:szCs w:val="24"/>
          <w:lang w:eastAsia="lv-LV"/>
        </w:rPr>
        <w:t>neiesniedzot sadarbības iestādei izmaksu pamatojošos dokumentus par netiešo attiecināmo izmaksu izlietojumu;</w:t>
      </w:r>
    </w:p>
    <w:p w:rsidR="0086429A" w:rsidRPr="0086429A" w:rsidRDefault="0086429A" w:rsidP="0086429A">
      <w:pPr>
        <w:pStyle w:val="ListParagraph"/>
        <w:numPr>
          <w:ilvl w:val="0"/>
          <w:numId w:val="1"/>
        </w:numPr>
        <w:tabs>
          <w:tab w:val="left" w:pos="426"/>
        </w:tabs>
        <w:spacing w:after="120"/>
        <w:ind w:left="425" w:hanging="425"/>
        <w:contextualSpacing w:val="0"/>
        <w:jc w:val="both"/>
        <w:outlineLvl w:val="0"/>
        <w:rPr>
          <w:rFonts w:eastAsia="Calibri" w:cs="Times New Roman"/>
          <w:bCs/>
          <w:sz w:val="24"/>
          <w:szCs w:val="24"/>
          <w:lang w:eastAsia="lv-LV"/>
        </w:rPr>
      </w:pPr>
      <w:r>
        <w:rPr>
          <w:rFonts w:eastAsia="Calibri" w:cs="Times New Roman"/>
          <w:bCs/>
          <w:sz w:val="24"/>
          <w:szCs w:val="24"/>
          <w:lang w:eastAsia="lv-LV"/>
        </w:rPr>
        <w:t>N</w:t>
      </w:r>
      <w:r w:rsidRPr="0086429A">
        <w:rPr>
          <w:rFonts w:eastAsia="Calibri" w:cs="Times New Roman"/>
          <w:bCs/>
          <w:sz w:val="24"/>
          <w:szCs w:val="24"/>
          <w:lang w:eastAsia="lv-LV"/>
        </w:rPr>
        <w:t>etiešo izmaksu vienoto likmi nepiemēro projektiem, kas kvalificējas kā valsts atbalsts komercdarbībai.</w:t>
      </w:r>
    </w:p>
    <w:p w:rsidR="00994F2C" w:rsidRDefault="00170E18" w:rsidP="00994F2C">
      <w:pPr>
        <w:pStyle w:val="ListParagraph"/>
        <w:numPr>
          <w:ilvl w:val="0"/>
          <w:numId w:val="1"/>
        </w:numPr>
        <w:tabs>
          <w:tab w:val="left" w:pos="426"/>
        </w:tabs>
        <w:spacing w:after="120"/>
        <w:ind w:left="425" w:hanging="425"/>
        <w:contextualSpacing w:val="0"/>
        <w:jc w:val="both"/>
        <w:outlineLvl w:val="0"/>
        <w:rPr>
          <w:rFonts w:eastAsia="Calibri" w:cs="Times New Roman"/>
          <w:bCs/>
          <w:sz w:val="24"/>
          <w:szCs w:val="24"/>
          <w:lang w:eastAsia="lv-LV"/>
        </w:rPr>
      </w:pPr>
      <w:r w:rsidRPr="00170E18">
        <w:rPr>
          <w:rFonts w:eastAsia="Calibri" w:cs="Times New Roman"/>
          <w:bCs/>
          <w:sz w:val="24"/>
          <w:szCs w:val="24"/>
          <w:lang w:eastAsia="lv-LV"/>
        </w:rPr>
        <w:t>Specifiskā atbalsta ietvaros ir atbalstāma vides prasību integrācija būvdarbu iepirkumos (zaļais publiskais iepirkums)</w:t>
      </w:r>
      <w:r>
        <w:rPr>
          <w:rFonts w:eastAsia="Calibri" w:cs="Times New Roman"/>
          <w:bCs/>
          <w:sz w:val="24"/>
          <w:szCs w:val="24"/>
          <w:lang w:eastAsia="lv-LV"/>
        </w:rPr>
        <w:t>.</w:t>
      </w:r>
    </w:p>
    <w:p w:rsidR="00994F2C" w:rsidRPr="00994F2C" w:rsidRDefault="00994F2C" w:rsidP="00994F2C">
      <w:pPr>
        <w:pStyle w:val="ListParagraph"/>
        <w:numPr>
          <w:ilvl w:val="0"/>
          <w:numId w:val="1"/>
        </w:numPr>
        <w:tabs>
          <w:tab w:val="left" w:pos="426"/>
        </w:tabs>
        <w:spacing w:after="120"/>
        <w:ind w:left="425" w:hanging="425"/>
        <w:contextualSpacing w:val="0"/>
        <w:jc w:val="both"/>
        <w:outlineLvl w:val="0"/>
        <w:rPr>
          <w:rFonts w:eastAsia="Calibri" w:cs="Times New Roman"/>
          <w:bCs/>
          <w:sz w:val="24"/>
          <w:szCs w:val="24"/>
          <w:lang w:eastAsia="lv-LV"/>
        </w:rPr>
      </w:pPr>
      <w:r w:rsidRPr="00994F2C">
        <w:rPr>
          <w:rFonts w:eastAsia="Calibri" w:cs="Times New Roman"/>
          <w:bCs/>
          <w:sz w:val="24"/>
          <w:szCs w:val="24"/>
          <w:lang w:eastAsia="lv-LV"/>
        </w:rPr>
        <w:t>Specifiskā atbalsta ietvaros ir atbalstāmas vides un informācijas pieejamības nodrošināšanas izmaksas atbilstoši būvprojekta risinājumam.</w:t>
      </w:r>
    </w:p>
    <w:p w:rsidR="00994F2C" w:rsidRPr="00994F2C" w:rsidRDefault="00994F2C" w:rsidP="00994F2C">
      <w:pPr>
        <w:pStyle w:val="ListParagraph"/>
        <w:numPr>
          <w:ilvl w:val="0"/>
          <w:numId w:val="1"/>
        </w:numPr>
        <w:tabs>
          <w:tab w:val="left" w:pos="426"/>
        </w:tabs>
        <w:spacing w:after="120"/>
        <w:ind w:left="425" w:hanging="425"/>
        <w:contextualSpacing w:val="0"/>
        <w:jc w:val="both"/>
        <w:outlineLvl w:val="0"/>
        <w:rPr>
          <w:rFonts w:eastAsia="Calibri" w:cs="Times New Roman"/>
          <w:bCs/>
          <w:sz w:val="24"/>
          <w:szCs w:val="24"/>
          <w:lang w:eastAsia="lv-LV"/>
        </w:rPr>
      </w:pPr>
      <w:r w:rsidRPr="00994F2C">
        <w:rPr>
          <w:rFonts w:eastAsia="Calibri" w:cs="Times New Roman"/>
          <w:bCs/>
          <w:sz w:val="24"/>
          <w:szCs w:val="24"/>
          <w:lang w:eastAsia="lv-LV"/>
        </w:rPr>
        <w:lastRenderedPageBreak/>
        <w:t>Specifiskā atbalsta ietvaros ir atbalstāmas personu ar invaliditāti intereses pārstāvošo nevalstisko  organizāciju ekspertu  konsultācijas, tās paredzot projektēšanas vai būvniecības līgumu</w:t>
      </w:r>
      <w:r w:rsidR="004D0EB1">
        <w:rPr>
          <w:rFonts w:eastAsia="Calibri" w:cs="Times New Roman"/>
          <w:bCs/>
          <w:sz w:val="24"/>
          <w:szCs w:val="24"/>
          <w:lang w:eastAsia="lv-LV"/>
        </w:rPr>
        <w:t xml:space="preserve"> </w:t>
      </w:r>
      <w:r w:rsidRPr="00994F2C">
        <w:rPr>
          <w:rFonts w:eastAsia="Calibri" w:cs="Times New Roman"/>
          <w:bCs/>
          <w:sz w:val="24"/>
          <w:szCs w:val="24"/>
          <w:lang w:eastAsia="lv-LV"/>
        </w:rPr>
        <w:t>izmaksu ietvaros.</w:t>
      </w:r>
    </w:p>
    <w:p w:rsidR="00E31608" w:rsidRDefault="0002402F" w:rsidP="00BA7140">
      <w:pPr>
        <w:pStyle w:val="ListParagraph"/>
        <w:numPr>
          <w:ilvl w:val="0"/>
          <w:numId w:val="1"/>
        </w:numPr>
        <w:tabs>
          <w:tab w:val="left" w:pos="426"/>
        </w:tabs>
        <w:spacing w:after="120"/>
        <w:ind w:left="425" w:hanging="425"/>
        <w:contextualSpacing w:val="0"/>
        <w:jc w:val="both"/>
        <w:outlineLvl w:val="0"/>
        <w:rPr>
          <w:rFonts w:eastAsia="Calibri" w:cs="Times New Roman"/>
          <w:sz w:val="24"/>
          <w:szCs w:val="24"/>
          <w:lang w:eastAsia="lv-LV"/>
        </w:rPr>
      </w:pPr>
      <w:r w:rsidRPr="00AC0A17">
        <w:rPr>
          <w:rFonts w:eastAsia="Calibri" w:cs="Times New Roman"/>
          <w:sz w:val="24"/>
          <w:szCs w:val="24"/>
          <w:lang w:eastAsia="lv-LV"/>
        </w:rPr>
        <w:t>Specifiskā atbalsta atbalstāmo darbību ietvaros radušās izmaksas var uzskatīt par attiecināmām finansēšanai no</w:t>
      </w:r>
      <w:r w:rsidR="00826A1F" w:rsidRPr="00AC0A17">
        <w:rPr>
          <w:rFonts w:eastAsia="Calibri" w:cs="Times New Roman"/>
          <w:sz w:val="24"/>
          <w:szCs w:val="24"/>
          <w:lang w:eastAsia="lv-LV"/>
        </w:rPr>
        <w:t xml:space="preserve"> </w:t>
      </w:r>
      <w:r w:rsidR="00CE0A4C" w:rsidRPr="00CE0A4C">
        <w:rPr>
          <w:rFonts w:eastAsia="Calibri" w:cs="Times New Roman"/>
          <w:sz w:val="24"/>
          <w:szCs w:val="24"/>
          <w:lang w:eastAsia="lv-LV"/>
        </w:rPr>
        <w:t>Kohēzijas fonda</w:t>
      </w:r>
      <w:r w:rsidRPr="00AC0A17">
        <w:rPr>
          <w:rFonts w:eastAsia="Calibri" w:cs="Times New Roman"/>
          <w:sz w:val="24"/>
          <w:szCs w:val="24"/>
          <w:lang w:eastAsia="lv-LV"/>
        </w:rPr>
        <w:t xml:space="preserve">, ja tās atbilst </w:t>
      </w:r>
      <w:r w:rsidR="00894D8A" w:rsidRPr="00AC0A17">
        <w:rPr>
          <w:rFonts w:eastAsia="Calibri" w:cs="Times New Roman"/>
          <w:sz w:val="24"/>
          <w:szCs w:val="24"/>
          <w:lang w:eastAsia="lv-LV"/>
        </w:rPr>
        <w:t>šo noteikumu</w:t>
      </w:r>
      <w:r w:rsidR="00154D44" w:rsidRPr="00AC0A17">
        <w:rPr>
          <w:rFonts w:eastAsia="Calibri" w:cs="Times New Roman"/>
          <w:sz w:val="24"/>
          <w:szCs w:val="24"/>
          <w:lang w:eastAsia="lv-LV"/>
        </w:rPr>
        <w:t xml:space="preserve"> </w:t>
      </w:r>
      <w:r w:rsidR="00C1092D" w:rsidRPr="00AC0A17">
        <w:rPr>
          <w:rFonts w:eastAsia="Calibri" w:cs="Times New Roman"/>
          <w:sz w:val="24"/>
          <w:szCs w:val="24"/>
          <w:lang w:eastAsia="lv-LV"/>
        </w:rPr>
        <w:t>1</w:t>
      </w:r>
      <w:r w:rsidR="00C1092D">
        <w:rPr>
          <w:rFonts w:eastAsia="Calibri" w:cs="Times New Roman"/>
          <w:sz w:val="24"/>
          <w:szCs w:val="24"/>
          <w:lang w:eastAsia="lv-LV"/>
        </w:rPr>
        <w:t>6</w:t>
      </w:r>
      <w:r w:rsidR="002C2BE5">
        <w:rPr>
          <w:rFonts w:eastAsia="Calibri" w:cs="Times New Roman"/>
          <w:sz w:val="24"/>
          <w:szCs w:val="24"/>
          <w:lang w:eastAsia="lv-LV"/>
        </w:rPr>
        <w:t>.</w:t>
      </w:r>
      <w:r w:rsidR="00894D8A" w:rsidRPr="00AC0A17">
        <w:rPr>
          <w:rFonts w:eastAsia="Calibri" w:cs="Times New Roman"/>
          <w:sz w:val="24"/>
          <w:szCs w:val="24"/>
          <w:lang w:eastAsia="lv-LV"/>
        </w:rPr>
        <w:t xml:space="preserve">punktā </w:t>
      </w:r>
      <w:r w:rsidR="003A6F63">
        <w:rPr>
          <w:rFonts w:eastAsia="Calibri" w:cs="Times New Roman"/>
          <w:sz w:val="24"/>
          <w:szCs w:val="24"/>
          <w:lang w:eastAsia="lv-LV"/>
        </w:rPr>
        <w:t>ietvertajām izmaksu pozīcijām</w:t>
      </w:r>
      <w:r w:rsidR="00335AFA">
        <w:rPr>
          <w:rFonts w:eastAsia="Calibri" w:cs="Times New Roman"/>
          <w:sz w:val="24"/>
          <w:szCs w:val="24"/>
          <w:lang w:eastAsia="lv-LV"/>
        </w:rPr>
        <w:t xml:space="preserve"> un </w:t>
      </w:r>
      <w:r w:rsidR="00C1092D">
        <w:rPr>
          <w:rFonts w:eastAsia="Calibri" w:cs="Times New Roman"/>
          <w:sz w:val="24"/>
          <w:szCs w:val="24"/>
          <w:lang w:eastAsia="lv-LV"/>
        </w:rPr>
        <w:t>17</w:t>
      </w:r>
      <w:r w:rsidR="00335AFA">
        <w:rPr>
          <w:rFonts w:eastAsia="Calibri" w:cs="Times New Roman"/>
          <w:sz w:val="24"/>
          <w:szCs w:val="24"/>
          <w:lang w:eastAsia="lv-LV"/>
        </w:rPr>
        <w:t>.</w:t>
      </w:r>
      <w:r w:rsidR="00E35901">
        <w:rPr>
          <w:rFonts w:eastAsia="Calibri" w:cs="Times New Roman"/>
          <w:sz w:val="24"/>
          <w:szCs w:val="24"/>
          <w:lang w:eastAsia="lv-LV"/>
        </w:rPr>
        <w:t>,</w:t>
      </w:r>
      <w:r w:rsidR="00813A25">
        <w:rPr>
          <w:rFonts w:eastAsia="Calibri" w:cs="Times New Roman"/>
          <w:sz w:val="24"/>
          <w:szCs w:val="24"/>
          <w:lang w:eastAsia="lv-LV"/>
        </w:rPr>
        <w:t xml:space="preserve"> </w:t>
      </w:r>
      <w:r w:rsidR="00C1092D">
        <w:rPr>
          <w:rFonts w:eastAsia="Calibri" w:cs="Times New Roman"/>
          <w:sz w:val="24"/>
          <w:szCs w:val="24"/>
          <w:lang w:eastAsia="lv-LV"/>
        </w:rPr>
        <w:t>18</w:t>
      </w:r>
      <w:r w:rsidR="00813A25">
        <w:rPr>
          <w:rFonts w:eastAsia="Calibri" w:cs="Times New Roman"/>
          <w:sz w:val="24"/>
          <w:szCs w:val="24"/>
          <w:lang w:eastAsia="lv-LV"/>
        </w:rPr>
        <w:t>.</w:t>
      </w:r>
      <w:r w:rsidR="00B159D8">
        <w:rPr>
          <w:rFonts w:eastAsia="Calibri" w:cs="Times New Roman"/>
          <w:sz w:val="24"/>
          <w:szCs w:val="24"/>
          <w:lang w:eastAsia="lv-LV"/>
        </w:rPr>
        <w:t>,</w:t>
      </w:r>
      <w:r w:rsidR="00E35901">
        <w:rPr>
          <w:rFonts w:eastAsia="Calibri" w:cs="Times New Roman"/>
          <w:sz w:val="24"/>
          <w:szCs w:val="24"/>
          <w:lang w:eastAsia="lv-LV"/>
        </w:rPr>
        <w:t xml:space="preserve"> </w:t>
      </w:r>
      <w:r w:rsidR="00B159D8">
        <w:rPr>
          <w:rFonts w:eastAsia="Calibri" w:cs="Times New Roman"/>
          <w:sz w:val="24"/>
          <w:szCs w:val="24"/>
          <w:lang w:eastAsia="lv-LV"/>
        </w:rPr>
        <w:t xml:space="preserve">19. </w:t>
      </w:r>
      <w:r w:rsidR="00E35901">
        <w:rPr>
          <w:rFonts w:eastAsia="Calibri" w:cs="Times New Roman"/>
          <w:sz w:val="24"/>
          <w:szCs w:val="24"/>
          <w:lang w:eastAsia="lv-LV"/>
        </w:rPr>
        <w:t xml:space="preserve">un </w:t>
      </w:r>
      <w:r w:rsidR="00B159D8">
        <w:rPr>
          <w:rFonts w:eastAsia="Calibri" w:cs="Times New Roman"/>
          <w:sz w:val="24"/>
          <w:szCs w:val="24"/>
          <w:lang w:eastAsia="lv-LV"/>
        </w:rPr>
        <w:t>21</w:t>
      </w:r>
      <w:r w:rsidR="00E35901">
        <w:rPr>
          <w:rFonts w:eastAsia="Calibri" w:cs="Times New Roman"/>
          <w:sz w:val="24"/>
          <w:szCs w:val="24"/>
          <w:lang w:eastAsia="lv-LV"/>
        </w:rPr>
        <w:t>.</w:t>
      </w:r>
      <w:r w:rsidR="00335AFA">
        <w:rPr>
          <w:rFonts w:eastAsia="Calibri" w:cs="Times New Roman"/>
          <w:sz w:val="24"/>
          <w:szCs w:val="24"/>
          <w:lang w:eastAsia="lv-LV"/>
        </w:rPr>
        <w:t>punktā noteiktajiem izmaksu apjoma ierobežojumiem</w:t>
      </w:r>
      <w:r w:rsidR="003A6F63">
        <w:rPr>
          <w:rFonts w:eastAsia="Calibri" w:cs="Times New Roman"/>
          <w:sz w:val="24"/>
          <w:szCs w:val="24"/>
          <w:lang w:eastAsia="lv-LV"/>
        </w:rPr>
        <w:t xml:space="preserve">, </w:t>
      </w:r>
      <w:r w:rsidRPr="00AC0A17">
        <w:rPr>
          <w:rFonts w:eastAsia="Calibri" w:cs="Times New Roman"/>
          <w:sz w:val="24"/>
          <w:szCs w:val="24"/>
          <w:lang w:eastAsia="lv-LV"/>
        </w:rPr>
        <w:t xml:space="preserve">ir radušās ne agrāk kā </w:t>
      </w:r>
      <w:r w:rsidR="00E53643" w:rsidRPr="00AC0A17">
        <w:rPr>
          <w:rFonts w:eastAsia="Calibri" w:cs="Times New Roman"/>
          <w:sz w:val="24"/>
          <w:szCs w:val="24"/>
          <w:lang w:eastAsia="lv-LV"/>
        </w:rPr>
        <w:t>201</w:t>
      </w:r>
      <w:r w:rsidR="00BE595C">
        <w:rPr>
          <w:rFonts w:eastAsia="Calibri" w:cs="Times New Roman"/>
          <w:sz w:val="24"/>
          <w:szCs w:val="24"/>
          <w:lang w:eastAsia="lv-LV"/>
        </w:rPr>
        <w:t>4</w:t>
      </w:r>
      <w:r w:rsidR="003A6F63">
        <w:rPr>
          <w:rFonts w:eastAsia="Calibri" w:cs="Times New Roman"/>
          <w:sz w:val="24"/>
          <w:szCs w:val="24"/>
          <w:lang w:eastAsia="lv-LV"/>
        </w:rPr>
        <w:t>.gada 1.janvārī un</w:t>
      </w:r>
      <w:r w:rsidR="00E31608">
        <w:rPr>
          <w:rFonts w:ascii="Arial" w:hAnsi="Arial" w:cs="Arial"/>
        </w:rPr>
        <w:t xml:space="preserve"> </w:t>
      </w:r>
      <w:r w:rsidR="00CB393A" w:rsidRPr="007A5A9D">
        <w:rPr>
          <w:rFonts w:eastAsia="Calibri" w:cs="Times New Roman"/>
          <w:sz w:val="24"/>
          <w:szCs w:val="24"/>
          <w:lang w:eastAsia="lv-LV"/>
        </w:rPr>
        <w:t>projekta ietvaros plānotās darbības</w:t>
      </w:r>
      <w:r w:rsidR="00CB393A">
        <w:rPr>
          <w:rFonts w:eastAsia="Calibri" w:cs="Times New Roman"/>
          <w:sz w:val="24"/>
          <w:szCs w:val="24"/>
          <w:lang w:eastAsia="lv-LV"/>
        </w:rPr>
        <w:t xml:space="preserve"> </w:t>
      </w:r>
      <w:r w:rsidR="00E31608" w:rsidRPr="00E31608">
        <w:rPr>
          <w:rFonts w:eastAsia="Calibri" w:cs="Times New Roman"/>
          <w:sz w:val="24"/>
          <w:szCs w:val="24"/>
          <w:lang w:eastAsia="lv-LV"/>
        </w:rPr>
        <w:t>saskaņā ar Finanšu ministrijas sākotnējās izvērtēšanas atzinumu nav kvalificējams kā komercdarbības atbalsts</w:t>
      </w:r>
      <w:r w:rsidR="00E31608">
        <w:rPr>
          <w:rFonts w:eastAsia="Calibri" w:cs="Times New Roman"/>
          <w:sz w:val="24"/>
          <w:szCs w:val="24"/>
          <w:lang w:eastAsia="lv-LV"/>
        </w:rPr>
        <w:t xml:space="preserve">. </w:t>
      </w:r>
    </w:p>
    <w:p w:rsidR="00E31608" w:rsidRDefault="00E31608" w:rsidP="00BA7140">
      <w:pPr>
        <w:pStyle w:val="ListParagraph"/>
        <w:numPr>
          <w:ilvl w:val="0"/>
          <w:numId w:val="1"/>
        </w:numPr>
        <w:spacing w:after="120"/>
        <w:ind w:left="426" w:hanging="426"/>
        <w:contextualSpacing w:val="0"/>
        <w:jc w:val="both"/>
        <w:outlineLvl w:val="0"/>
        <w:rPr>
          <w:rFonts w:eastAsia="Calibri" w:cs="Times New Roman"/>
          <w:sz w:val="24"/>
          <w:szCs w:val="24"/>
          <w:lang w:eastAsia="lv-LV"/>
        </w:rPr>
      </w:pPr>
      <w:r w:rsidRPr="00C57A5B">
        <w:rPr>
          <w:rFonts w:eastAsia="Calibri" w:cs="Times New Roman"/>
          <w:sz w:val="24"/>
          <w:szCs w:val="24"/>
          <w:lang w:eastAsia="lv-LV"/>
        </w:rPr>
        <w:t>Komercdarbības atbalsta gadījumā</w:t>
      </w:r>
      <w:r w:rsidRPr="00C57A5B">
        <w:rPr>
          <w:rFonts w:ascii="Arial" w:hAnsi="Arial" w:cs="Arial"/>
        </w:rPr>
        <w:t xml:space="preserve"> </w:t>
      </w:r>
      <w:r w:rsidRPr="00C57A5B">
        <w:rPr>
          <w:rFonts w:eastAsia="Calibri" w:cs="Times New Roman"/>
          <w:sz w:val="24"/>
          <w:szCs w:val="24"/>
          <w:lang w:eastAsia="lv-LV"/>
        </w:rPr>
        <w:t xml:space="preserve">šo noteikumu </w:t>
      </w:r>
      <w:r w:rsidR="003177D0">
        <w:rPr>
          <w:rFonts w:eastAsia="Calibri" w:cs="Times New Roman"/>
          <w:sz w:val="24"/>
          <w:szCs w:val="24"/>
          <w:lang w:eastAsia="lv-LV"/>
        </w:rPr>
        <w:t>17</w:t>
      </w:r>
      <w:r w:rsidRPr="00C57A5B">
        <w:rPr>
          <w:rFonts w:eastAsia="Calibri" w:cs="Times New Roman"/>
          <w:sz w:val="24"/>
          <w:szCs w:val="24"/>
          <w:lang w:eastAsia="lv-LV"/>
        </w:rPr>
        <w:t xml:space="preserve">.punktā minētās izmaksas </w:t>
      </w:r>
      <w:r w:rsidRPr="00071D21">
        <w:rPr>
          <w:rFonts w:eastAsia="Calibri" w:cs="Times New Roman"/>
          <w:sz w:val="24"/>
          <w:szCs w:val="24"/>
          <w:lang w:eastAsia="lv-LV"/>
        </w:rPr>
        <w:t>ir attiecināmas</w:t>
      </w:r>
      <w:r w:rsidR="00C57A5B" w:rsidRPr="00071D21">
        <w:rPr>
          <w:rFonts w:eastAsia="Calibri" w:cs="Times New Roman"/>
          <w:sz w:val="24"/>
          <w:szCs w:val="24"/>
          <w:lang w:eastAsia="lv-LV"/>
        </w:rPr>
        <w:t xml:space="preserve"> </w:t>
      </w:r>
      <w:r w:rsidRPr="00E31608">
        <w:rPr>
          <w:rFonts w:eastAsia="Calibri" w:cs="Times New Roman"/>
          <w:sz w:val="24"/>
          <w:szCs w:val="24"/>
          <w:lang w:eastAsia="lv-LV"/>
        </w:rPr>
        <w:t xml:space="preserve">no dienas, kad Eiropas Komisija ir pieņēmusi lēmumu par projekta saderību ar </w:t>
      </w:r>
      <w:r w:rsidR="00CB393A" w:rsidRPr="007A5A9D">
        <w:rPr>
          <w:rFonts w:eastAsia="Calibri" w:cs="Times New Roman"/>
          <w:sz w:val="24"/>
          <w:szCs w:val="24"/>
          <w:lang w:eastAsia="lv-LV"/>
        </w:rPr>
        <w:t>Eiropas Savienības iekšējo tirgu, ja projekta ietvaros plānotās darbības saskaņā ar Finanšu ministrijas sākotnējās izvērtēšanas atzinumu kvalificējams kā komercdarbības atbalsts</w:t>
      </w:r>
      <w:r w:rsidRPr="00E31608">
        <w:rPr>
          <w:rFonts w:eastAsia="Calibri" w:cs="Times New Roman"/>
          <w:sz w:val="24"/>
          <w:szCs w:val="24"/>
          <w:lang w:eastAsia="lv-LV"/>
        </w:rPr>
        <w:t>.</w:t>
      </w:r>
    </w:p>
    <w:p w:rsidR="00742FBB" w:rsidRPr="00C23EDC" w:rsidRDefault="00742FBB" w:rsidP="00BA7140">
      <w:pPr>
        <w:numPr>
          <w:ilvl w:val="0"/>
          <w:numId w:val="1"/>
        </w:numPr>
        <w:tabs>
          <w:tab w:val="left" w:pos="426"/>
        </w:tabs>
        <w:spacing w:after="120"/>
        <w:ind w:left="426" w:hanging="426"/>
        <w:jc w:val="both"/>
        <w:outlineLvl w:val="0"/>
        <w:rPr>
          <w:rFonts w:eastAsia="Calibri" w:cs="Times New Roman"/>
          <w:sz w:val="24"/>
          <w:szCs w:val="24"/>
          <w:lang w:eastAsia="lv-LV"/>
        </w:rPr>
      </w:pPr>
      <w:r w:rsidRPr="00C23EDC">
        <w:rPr>
          <w:rFonts w:eastAsia="Calibri" w:cs="Times New Roman"/>
          <w:sz w:val="24"/>
          <w:szCs w:val="24"/>
          <w:lang w:eastAsia="lv-LV"/>
        </w:rPr>
        <w:t>Specifiskā atbalsta neattiecināmās izmaksas</w:t>
      </w:r>
      <w:r w:rsidR="009768CB">
        <w:rPr>
          <w:rFonts w:eastAsia="Calibri" w:cs="Times New Roman"/>
          <w:sz w:val="24"/>
          <w:szCs w:val="24"/>
          <w:lang w:eastAsia="lv-LV"/>
        </w:rPr>
        <w:t>, kuras finansējuma saņēmējs sedz no saviem līdzekļiem, ir:</w:t>
      </w:r>
      <w:r w:rsidR="00335AFA" w:rsidRPr="00C23EDC">
        <w:rPr>
          <w:sz w:val="24"/>
          <w:szCs w:val="24"/>
        </w:rPr>
        <w:t xml:space="preserve"> </w:t>
      </w:r>
    </w:p>
    <w:p w:rsidR="009768CB" w:rsidRPr="009768CB" w:rsidRDefault="00742FBB" w:rsidP="00B062FF">
      <w:pPr>
        <w:pStyle w:val="ListParagraph"/>
        <w:numPr>
          <w:ilvl w:val="1"/>
          <w:numId w:val="1"/>
        </w:numPr>
        <w:tabs>
          <w:tab w:val="left" w:pos="993"/>
        </w:tabs>
        <w:spacing w:after="120"/>
        <w:ind w:left="993" w:hanging="633"/>
        <w:contextualSpacing w:val="0"/>
        <w:jc w:val="both"/>
        <w:outlineLvl w:val="0"/>
        <w:rPr>
          <w:rFonts w:eastAsia="Calibri" w:cs="Times New Roman"/>
          <w:sz w:val="24"/>
          <w:szCs w:val="24"/>
          <w:lang w:eastAsia="lv-LV"/>
        </w:rPr>
      </w:pPr>
      <w:r w:rsidRPr="0002469E">
        <w:rPr>
          <w:rFonts w:eastAsia="Calibri" w:cs="Times New Roman"/>
          <w:sz w:val="24"/>
          <w:szCs w:val="24"/>
          <w:lang w:eastAsia="lv-LV"/>
        </w:rPr>
        <w:t xml:space="preserve">izmaksas, kas pārsniedz šo noteikumu  </w:t>
      </w:r>
      <w:r w:rsidR="00C1092D">
        <w:rPr>
          <w:rFonts w:eastAsia="Calibri" w:cs="Times New Roman"/>
          <w:sz w:val="24"/>
          <w:szCs w:val="24"/>
          <w:lang w:eastAsia="lv-LV"/>
        </w:rPr>
        <w:t>16</w:t>
      </w:r>
      <w:r w:rsidR="009768CB">
        <w:rPr>
          <w:rFonts w:eastAsia="Calibri" w:cs="Times New Roman"/>
          <w:sz w:val="24"/>
          <w:szCs w:val="24"/>
          <w:lang w:eastAsia="lv-LV"/>
        </w:rPr>
        <w:t xml:space="preserve">., </w:t>
      </w:r>
      <w:r w:rsidR="00C1092D" w:rsidRPr="0002469E">
        <w:rPr>
          <w:rFonts w:eastAsia="Calibri" w:cs="Times New Roman"/>
          <w:sz w:val="24"/>
          <w:szCs w:val="24"/>
          <w:lang w:eastAsia="lv-LV"/>
        </w:rPr>
        <w:t>1</w:t>
      </w:r>
      <w:r w:rsidR="00C1092D">
        <w:rPr>
          <w:rFonts w:eastAsia="Calibri" w:cs="Times New Roman"/>
          <w:sz w:val="24"/>
          <w:szCs w:val="24"/>
          <w:lang w:eastAsia="lv-LV"/>
        </w:rPr>
        <w:t>7</w:t>
      </w:r>
      <w:r w:rsidRPr="0002469E">
        <w:rPr>
          <w:rFonts w:eastAsia="Calibri" w:cs="Times New Roman"/>
          <w:sz w:val="24"/>
          <w:szCs w:val="24"/>
          <w:lang w:eastAsia="lv-LV"/>
        </w:rPr>
        <w:t>.</w:t>
      </w:r>
      <w:r w:rsidR="00813A25" w:rsidRPr="0002469E">
        <w:rPr>
          <w:rFonts w:eastAsia="Calibri" w:cs="Times New Roman"/>
          <w:sz w:val="24"/>
          <w:szCs w:val="24"/>
          <w:lang w:eastAsia="lv-LV"/>
        </w:rPr>
        <w:t xml:space="preserve">, </w:t>
      </w:r>
      <w:r w:rsidR="00C1092D" w:rsidRPr="0002469E">
        <w:rPr>
          <w:rFonts w:eastAsia="Calibri" w:cs="Times New Roman"/>
          <w:sz w:val="24"/>
          <w:szCs w:val="24"/>
          <w:lang w:eastAsia="lv-LV"/>
        </w:rPr>
        <w:t>1</w:t>
      </w:r>
      <w:r w:rsidR="00C1092D">
        <w:rPr>
          <w:rFonts w:eastAsia="Calibri" w:cs="Times New Roman"/>
          <w:sz w:val="24"/>
          <w:szCs w:val="24"/>
          <w:lang w:eastAsia="lv-LV"/>
        </w:rPr>
        <w:t>8</w:t>
      </w:r>
      <w:r w:rsidR="00813A25" w:rsidRPr="0002469E">
        <w:rPr>
          <w:rFonts w:eastAsia="Calibri" w:cs="Times New Roman"/>
          <w:sz w:val="24"/>
          <w:szCs w:val="24"/>
          <w:lang w:eastAsia="lv-LV"/>
        </w:rPr>
        <w:t>.</w:t>
      </w:r>
      <w:r w:rsidR="00B159D8">
        <w:rPr>
          <w:rFonts w:eastAsia="Calibri" w:cs="Times New Roman"/>
          <w:sz w:val="24"/>
          <w:szCs w:val="24"/>
          <w:lang w:eastAsia="lv-LV"/>
        </w:rPr>
        <w:t>, 19.</w:t>
      </w:r>
      <w:r w:rsidR="00813A25" w:rsidRPr="0002469E">
        <w:rPr>
          <w:rFonts w:eastAsia="Calibri" w:cs="Times New Roman"/>
          <w:sz w:val="24"/>
          <w:szCs w:val="24"/>
          <w:lang w:eastAsia="lv-LV"/>
        </w:rPr>
        <w:t xml:space="preserve"> un</w:t>
      </w:r>
      <w:r w:rsidR="00E35901" w:rsidRPr="0002469E">
        <w:rPr>
          <w:rFonts w:eastAsia="Calibri" w:cs="Times New Roman"/>
          <w:sz w:val="24"/>
          <w:szCs w:val="24"/>
          <w:lang w:eastAsia="lv-LV"/>
        </w:rPr>
        <w:t xml:space="preserve"> </w:t>
      </w:r>
      <w:r w:rsidR="00C1092D">
        <w:rPr>
          <w:rFonts w:eastAsia="Calibri" w:cs="Times New Roman"/>
          <w:sz w:val="24"/>
          <w:szCs w:val="24"/>
          <w:lang w:eastAsia="lv-LV"/>
        </w:rPr>
        <w:t>2</w:t>
      </w:r>
      <w:r w:rsidR="00B159D8">
        <w:rPr>
          <w:rFonts w:eastAsia="Calibri" w:cs="Times New Roman"/>
          <w:sz w:val="24"/>
          <w:szCs w:val="24"/>
          <w:lang w:eastAsia="lv-LV"/>
        </w:rPr>
        <w:t>1</w:t>
      </w:r>
      <w:r w:rsidR="00E35901" w:rsidRPr="0002469E">
        <w:rPr>
          <w:rFonts w:eastAsia="Calibri" w:cs="Times New Roman"/>
          <w:sz w:val="24"/>
          <w:szCs w:val="24"/>
          <w:lang w:eastAsia="lv-LV"/>
        </w:rPr>
        <w:t>.</w:t>
      </w:r>
      <w:r w:rsidRPr="0002469E">
        <w:rPr>
          <w:rFonts w:eastAsia="Calibri" w:cs="Times New Roman"/>
          <w:sz w:val="24"/>
          <w:szCs w:val="24"/>
          <w:lang w:eastAsia="lv-LV"/>
        </w:rPr>
        <w:t>punktā minētos izmaksu ierobežojumus;</w:t>
      </w:r>
      <w:r w:rsidR="0002469E" w:rsidRPr="00B062FF">
        <w:rPr>
          <w:rFonts w:eastAsia="Calibri" w:cs="Times New Roman"/>
          <w:sz w:val="24"/>
          <w:szCs w:val="24"/>
          <w:lang w:eastAsia="lv-LV"/>
        </w:rPr>
        <w:t xml:space="preserve"> </w:t>
      </w:r>
    </w:p>
    <w:p w:rsidR="0002469E" w:rsidRDefault="0002469E" w:rsidP="00B062FF">
      <w:pPr>
        <w:pStyle w:val="ListParagraph"/>
        <w:numPr>
          <w:ilvl w:val="1"/>
          <w:numId w:val="1"/>
        </w:numPr>
        <w:tabs>
          <w:tab w:val="left" w:pos="993"/>
        </w:tabs>
        <w:spacing w:after="120"/>
        <w:ind w:left="993" w:hanging="633"/>
        <w:contextualSpacing w:val="0"/>
        <w:jc w:val="both"/>
        <w:outlineLvl w:val="0"/>
        <w:rPr>
          <w:rFonts w:eastAsia="Calibri" w:cs="Times New Roman"/>
          <w:sz w:val="24"/>
          <w:szCs w:val="24"/>
          <w:lang w:eastAsia="lv-LV"/>
        </w:rPr>
      </w:pPr>
      <w:r w:rsidRPr="0002469E">
        <w:rPr>
          <w:rFonts w:eastAsia="Calibri" w:cs="Times New Roman"/>
          <w:sz w:val="24"/>
          <w:szCs w:val="24"/>
          <w:lang w:eastAsia="lv-LV"/>
        </w:rPr>
        <w:t xml:space="preserve">izmaksas, kas nav noteiktas šo noteikumu </w:t>
      </w:r>
      <w:r w:rsidR="00C1092D">
        <w:rPr>
          <w:rFonts w:eastAsia="Calibri" w:cs="Times New Roman"/>
          <w:sz w:val="24"/>
          <w:szCs w:val="24"/>
          <w:lang w:eastAsia="lv-LV"/>
        </w:rPr>
        <w:t>1</w:t>
      </w:r>
      <w:r w:rsidR="0065344E">
        <w:rPr>
          <w:rFonts w:eastAsia="Calibri" w:cs="Times New Roman"/>
          <w:sz w:val="24"/>
          <w:szCs w:val="24"/>
          <w:lang w:eastAsia="lv-LV"/>
        </w:rPr>
        <w:t>7</w:t>
      </w:r>
      <w:r w:rsidRPr="0002469E">
        <w:rPr>
          <w:rFonts w:eastAsia="Calibri" w:cs="Times New Roman"/>
          <w:sz w:val="24"/>
          <w:szCs w:val="24"/>
          <w:lang w:eastAsia="lv-LV"/>
        </w:rPr>
        <w:t xml:space="preserve">.punktā un nav tieši saistītas ar </w:t>
      </w:r>
      <w:r w:rsidR="00C1092D">
        <w:rPr>
          <w:rFonts w:eastAsia="Calibri" w:cs="Times New Roman"/>
          <w:sz w:val="24"/>
          <w:szCs w:val="24"/>
          <w:lang w:eastAsia="lv-LV"/>
        </w:rPr>
        <w:t>1</w:t>
      </w:r>
      <w:r w:rsidR="0065344E">
        <w:rPr>
          <w:rFonts w:eastAsia="Calibri" w:cs="Times New Roman"/>
          <w:sz w:val="24"/>
          <w:szCs w:val="24"/>
          <w:lang w:eastAsia="lv-LV"/>
        </w:rPr>
        <w:t>6</w:t>
      </w:r>
      <w:r w:rsidRPr="0002469E">
        <w:rPr>
          <w:rFonts w:eastAsia="Calibri" w:cs="Times New Roman"/>
          <w:sz w:val="24"/>
          <w:szCs w:val="24"/>
          <w:lang w:eastAsia="lv-LV"/>
        </w:rPr>
        <w:t>.punktā minētajām atbalstāmajām darbībām, bet ir nepieciešamas sekmīgai projekta īstenošanai un mērķa sasniegšanai atbilstoši būvprojektā paredzētajam.</w:t>
      </w:r>
    </w:p>
    <w:p w:rsidR="00E83AB4" w:rsidRPr="0002469E" w:rsidRDefault="00E83AB4" w:rsidP="00E83AB4">
      <w:pPr>
        <w:pStyle w:val="ListParagraph"/>
        <w:numPr>
          <w:ilvl w:val="1"/>
          <w:numId w:val="1"/>
        </w:numPr>
        <w:tabs>
          <w:tab w:val="left" w:pos="993"/>
        </w:tabs>
        <w:spacing w:after="120"/>
        <w:ind w:left="993" w:hanging="633"/>
        <w:contextualSpacing w:val="0"/>
        <w:jc w:val="both"/>
        <w:outlineLvl w:val="0"/>
        <w:rPr>
          <w:rFonts w:eastAsia="Calibri" w:cs="Times New Roman"/>
          <w:sz w:val="24"/>
          <w:szCs w:val="24"/>
          <w:lang w:eastAsia="lv-LV"/>
        </w:rPr>
      </w:pPr>
      <w:r w:rsidRPr="00E83AB4">
        <w:rPr>
          <w:rFonts w:eastAsia="Calibri" w:cs="Times New Roman"/>
          <w:sz w:val="24"/>
          <w:szCs w:val="24"/>
          <w:lang w:eastAsia="lv-LV"/>
        </w:rPr>
        <w:t>komercdarbības atbalsta gadījumā šo noteikumu 1</w:t>
      </w:r>
      <w:r w:rsidR="0065344E">
        <w:rPr>
          <w:rFonts w:eastAsia="Calibri" w:cs="Times New Roman"/>
          <w:sz w:val="24"/>
          <w:szCs w:val="24"/>
          <w:lang w:eastAsia="lv-LV"/>
        </w:rPr>
        <w:t>7</w:t>
      </w:r>
      <w:r w:rsidRPr="00E83AB4">
        <w:rPr>
          <w:rFonts w:eastAsia="Calibri" w:cs="Times New Roman"/>
          <w:sz w:val="24"/>
          <w:szCs w:val="24"/>
          <w:lang w:eastAsia="lv-LV"/>
        </w:rPr>
        <w:t>.2</w:t>
      </w:r>
      <w:r>
        <w:rPr>
          <w:rFonts w:eastAsia="Calibri" w:cs="Times New Roman"/>
          <w:sz w:val="24"/>
          <w:szCs w:val="24"/>
          <w:lang w:eastAsia="lv-LV"/>
        </w:rPr>
        <w:t>.</w:t>
      </w:r>
      <w:r w:rsidRPr="00E83AB4">
        <w:rPr>
          <w:rFonts w:eastAsia="Calibri" w:cs="Times New Roman"/>
          <w:sz w:val="24"/>
          <w:szCs w:val="24"/>
          <w:lang w:eastAsia="lv-LV"/>
        </w:rPr>
        <w:t xml:space="preserve"> un 1</w:t>
      </w:r>
      <w:r w:rsidR="0065344E">
        <w:rPr>
          <w:rFonts w:eastAsia="Calibri" w:cs="Times New Roman"/>
          <w:sz w:val="24"/>
          <w:szCs w:val="24"/>
          <w:lang w:eastAsia="lv-LV"/>
        </w:rPr>
        <w:t>7</w:t>
      </w:r>
      <w:r w:rsidRPr="00E83AB4">
        <w:rPr>
          <w:rFonts w:eastAsia="Calibri" w:cs="Times New Roman"/>
          <w:sz w:val="24"/>
          <w:szCs w:val="24"/>
          <w:lang w:eastAsia="lv-LV"/>
        </w:rPr>
        <w:t>.3.apakšpunktā noteiktās izmaksas</w:t>
      </w:r>
      <w:r>
        <w:rPr>
          <w:rFonts w:eastAsia="Calibri" w:cs="Times New Roman"/>
          <w:sz w:val="24"/>
          <w:szCs w:val="24"/>
          <w:lang w:eastAsia="lv-LV"/>
        </w:rPr>
        <w:t>.</w:t>
      </w:r>
    </w:p>
    <w:p w:rsidR="004D3D7D" w:rsidRPr="00FE13CA" w:rsidRDefault="004D3D7D" w:rsidP="00BA7140">
      <w:pPr>
        <w:pStyle w:val="ListParagraph"/>
        <w:tabs>
          <w:tab w:val="left" w:pos="709"/>
          <w:tab w:val="left" w:pos="851"/>
        </w:tabs>
        <w:spacing w:after="120"/>
        <w:ind w:left="786"/>
        <w:contextualSpacing w:val="0"/>
        <w:jc w:val="center"/>
        <w:outlineLvl w:val="0"/>
        <w:rPr>
          <w:rFonts w:eastAsia="Calibri" w:cs="Times New Roman"/>
          <w:b/>
          <w:bCs/>
          <w:sz w:val="24"/>
          <w:szCs w:val="24"/>
          <w:lang w:val="x-none" w:eastAsia="lv-LV"/>
        </w:rPr>
      </w:pPr>
      <w:r w:rsidRPr="00BA7140">
        <w:rPr>
          <w:rFonts w:eastAsia="Calibri" w:cs="Times New Roman"/>
          <w:b/>
          <w:sz w:val="24"/>
          <w:szCs w:val="24"/>
          <w:lang w:eastAsia="lv-LV"/>
        </w:rPr>
        <w:t>IV. Specifiskā atbalsta</w:t>
      </w:r>
      <w:r w:rsidRPr="00FE13CA">
        <w:rPr>
          <w:rFonts w:eastAsia="Calibri" w:cs="Times New Roman"/>
          <w:b/>
          <w:sz w:val="24"/>
          <w:szCs w:val="24"/>
          <w:lang w:eastAsia="lv-LV"/>
        </w:rPr>
        <w:t xml:space="preserve"> </w:t>
      </w:r>
      <w:r w:rsidRPr="00FE13CA">
        <w:rPr>
          <w:rFonts w:eastAsia="Calibri" w:cs="Times New Roman"/>
          <w:b/>
          <w:bCs/>
          <w:sz w:val="24"/>
          <w:szCs w:val="24"/>
          <w:lang w:val="x-none" w:eastAsia="lv-LV"/>
        </w:rPr>
        <w:t>un projekta īstenošanas nosacījumi</w:t>
      </w:r>
    </w:p>
    <w:p w:rsidR="004D3D7D" w:rsidRPr="00FE13CA" w:rsidRDefault="004D3D7D" w:rsidP="00BA7140">
      <w:pPr>
        <w:numPr>
          <w:ilvl w:val="0"/>
          <w:numId w:val="1"/>
        </w:numPr>
        <w:tabs>
          <w:tab w:val="left" w:pos="426"/>
        </w:tabs>
        <w:spacing w:after="120"/>
        <w:ind w:left="426" w:hanging="426"/>
        <w:jc w:val="both"/>
        <w:outlineLvl w:val="0"/>
        <w:rPr>
          <w:rFonts w:eastAsia="Calibri" w:cs="Times New Roman"/>
          <w:sz w:val="24"/>
          <w:szCs w:val="24"/>
          <w:lang w:eastAsia="lv-LV"/>
        </w:rPr>
      </w:pPr>
      <w:r w:rsidRPr="00FE13CA">
        <w:rPr>
          <w:rFonts w:eastAsia="Calibri" w:cs="Times New Roman"/>
          <w:bCs/>
          <w:sz w:val="24"/>
          <w:szCs w:val="24"/>
          <w:lang w:eastAsia="lv-LV"/>
        </w:rPr>
        <w:t>Īstenojot projektu, finansējuma saņēmējs:</w:t>
      </w:r>
    </w:p>
    <w:p w:rsidR="00B02B6D" w:rsidRPr="00EF5D9F" w:rsidRDefault="00826A1F" w:rsidP="00BA7140">
      <w:pPr>
        <w:pStyle w:val="ListParagraph"/>
        <w:numPr>
          <w:ilvl w:val="1"/>
          <w:numId w:val="1"/>
        </w:numPr>
        <w:tabs>
          <w:tab w:val="left" w:pos="993"/>
        </w:tabs>
        <w:spacing w:after="120"/>
        <w:ind w:left="993" w:hanging="567"/>
        <w:contextualSpacing w:val="0"/>
        <w:jc w:val="both"/>
        <w:rPr>
          <w:rFonts w:eastAsia="Calibri" w:cs="Times New Roman"/>
          <w:sz w:val="16"/>
          <w:szCs w:val="16"/>
          <w:lang w:eastAsia="lv-LV"/>
        </w:rPr>
      </w:pPr>
      <w:r w:rsidRPr="00EF5D9F">
        <w:rPr>
          <w:rFonts w:eastAsia="Calibri" w:cs="Times New Roman"/>
          <w:sz w:val="24"/>
          <w:szCs w:val="24"/>
          <w:lang w:eastAsia="lv-LV"/>
        </w:rPr>
        <w:t>nodrošina projekta rezultātu ilgtspēju piecus</w:t>
      </w:r>
      <w:r w:rsidR="00742FBB" w:rsidRPr="00EF5D9F">
        <w:rPr>
          <w:rFonts w:eastAsia="Calibri" w:cs="Times New Roman"/>
          <w:sz w:val="24"/>
          <w:szCs w:val="24"/>
          <w:lang w:eastAsia="lv-LV"/>
        </w:rPr>
        <w:t xml:space="preserve"> </w:t>
      </w:r>
      <w:r w:rsidRPr="00EF5D9F">
        <w:rPr>
          <w:rFonts w:eastAsia="Calibri" w:cs="Times New Roman"/>
          <w:sz w:val="24"/>
          <w:szCs w:val="24"/>
          <w:lang w:eastAsia="lv-LV"/>
        </w:rPr>
        <w:t>gadus pēc projekta pabeigšanas;</w:t>
      </w:r>
    </w:p>
    <w:p w:rsidR="003A6F63" w:rsidRPr="003A6F63" w:rsidRDefault="006E2381" w:rsidP="00BA7140">
      <w:pPr>
        <w:pStyle w:val="ListParagraph"/>
        <w:numPr>
          <w:ilvl w:val="1"/>
          <w:numId w:val="1"/>
        </w:numPr>
        <w:tabs>
          <w:tab w:val="left" w:pos="993"/>
        </w:tabs>
        <w:spacing w:after="120"/>
        <w:ind w:left="992" w:hanging="567"/>
        <w:contextualSpacing w:val="0"/>
        <w:jc w:val="both"/>
        <w:rPr>
          <w:rFonts w:eastAsia="Calibri" w:cs="Times New Roman"/>
          <w:sz w:val="16"/>
          <w:szCs w:val="16"/>
          <w:lang w:eastAsia="lv-LV"/>
        </w:rPr>
      </w:pPr>
      <w:r w:rsidRPr="00EF5D9F">
        <w:rPr>
          <w:rFonts w:eastAsia="Calibri" w:cs="Times New Roman"/>
          <w:sz w:val="24"/>
          <w:szCs w:val="24"/>
          <w:lang w:eastAsia="lv-LV"/>
        </w:rPr>
        <w:t>nodrošin</w:t>
      </w:r>
      <w:r w:rsidR="00912E34" w:rsidRPr="00EF5D9F">
        <w:rPr>
          <w:rFonts w:eastAsia="Calibri" w:cs="Times New Roman"/>
          <w:sz w:val="24"/>
          <w:szCs w:val="24"/>
          <w:lang w:eastAsia="lv-LV"/>
        </w:rPr>
        <w:t>a</w:t>
      </w:r>
      <w:r w:rsidRPr="00EF5D9F">
        <w:rPr>
          <w:rFonts w:eastAsia="Calibri" w:cs="Times New Roman"/>
          <w:sz w:val="24"/>
          <w:szCs w:val="24"/>
          <w:lang w:eastAsia="lv-LV"/>
        </w:rPr>
        <w:t xml:space="preserve"> sasniegto rezultātu uzturēšanu un </w:t>
      </w:r>
      <w:r w:rsidR="009B004D">
        <w:rPr>
          <w:rFonts w:eastAsia="Calibri" w:cs="Times New Roman"/>
          <w:sz w:val="24"/>
          <w:szCs w:val="24"/>
          <w:lang w:eastAsia="lv-LV"/>
        </w:rPr>
        <w:t>nepieciešam</w:t>
      </w:r>
      <w:r w:rsidR="000B457F">
        <w:rPr>
          <w:rFonts w:eastAsia="Calibri" w:cs="Times New Roman"/>
          <w:sz w:val="24"/>
          <w:szCs w:val="24"/>
          <w:lang w:eastAsia="lv-LV"/>
        </w:rPr>
        <w:t>o</w:t>
      </w:r>
      <w:r w:rsidR="009B004D">
        <w:rPr>
          <w:rFonts w:eastAsia="Calibri" w:cs="Times New Roman"/>
          <w:sz w:val="24"/>
          <w:szCs w:val="24"/>
          <w:lang w:eastAsia="lv-LV"/>
        </w:rPr>
        <w:t>s</w:t>
      </w:r>
      <w:r w:rsidRPr="00EF5D9F">
        <w:rPr>
          <w:rFonts w:eastAsia="Calibri" w:cs="Times New Roman"/>
          <w:sz w:val="24"/>
          <w:szCs w:val="24"/>
          <w:lang w:eastAsia="lv-LV"/>
        </w:rPr>
        <w:t xml:space="preserve"> līdzekļus rezultātu  uzturēšanai </w:t>
      </w:r>
      <w:r w:rsidR="00357861">
        <w:rPr>
          <w:rFonts w:eastAsia="Calibri" w:cs="Times New Roman"/>
          <w:sz w:val="24"/>
          <w:szCs w:val="24"/>
          <w:lang w:eastAsia="lv-LV"/>
        </w:rPr>
        <w:t>piecus</w:t>
      </w:r>
      <w:r w:rsidR="0058394B" w:rsidRPr="00EF5D9F">
        <w:rPr>
          <w:rFonts w:eastAsia="Calibri" w:cs="Times New Roman"/>
          <w:sz w:val="24"/>
          <w:szCs w:val="24"/>
          <w:lang w:eastAsia="lv-LV"/>
        </w:rPr>
        <w:t xml:space="preserve"> </w:t>
      </w:r>
      <w:r w:rsidR="008C089F" w:rsidRPr="00EF5D9F">
        <w:rPr>
          <w:rFonts w:eastAsia="Calibri" w:cs="Times New Roman"/>
          <w:sz w:val="24"/>
          <w:szCs w:val="24"/>
          <w:lang w:eastAsia="lv-LV"/>
        </w:rPr>
        <w:t>gadus</w:t>
      </w:r>
      <w:r w:rsidRPr="00EF5D9F">
        <w:rPr>
          <w:rFonts w:eastAsia="Calibri" w:cs="Times New Roman"/>
          <w:sz w:val="24"/>
          <w:szCs w:val="24"/>
          <w:lang w:eastAsia="lv-LV"/>
        </w:rPr>
        <w:t xml:space="preserve"> pēc projekta </w:t>
      </w:r>
      <w:r w:rsidR="008C089F" w:rsidRPr="00EF5D9F">
        <w:rPr>
          <w:rFonts w:eastAsia="Calibri" w:cs="Times New Roman"/>
          <w:sz w:val="24"/>
          <w:szCs w:val="24"/>
          <w:lang w:eastAsia="lv-LV"/>
        </w:rPr>
        <w:t>pabeigšanas</w:t>
      </w:r>
      <w:r w:rsidR="00B02B6D" w:rsidRPr="00EF5D9F">
        <w:rPr>
          <w:rFonts w:eastAsia="Calibri" w:cs="Times New Roman"/>
          <w:sz w:val="24"/>
          <w:szCs w:val="24"/>
          <w:lang w:eastAsia="lv-LV"/>
        </w:rPr>
        <w:t>;</w:t>
      </w:r>
    </w:p>
    <w:p w:rsidR="00BC1EEF" w:rsidRPr="00B02B6D" w:rsidRDefault="00BC1EEF" w:rsidP="00BA7140">
      <w:pPr>
        <w:numPr>
          <w:ilvl w:val="1"/>
          <w:numId w:val="1"/>
        </w:numPr>
        <w:tabs>
          <w:tab w:val="left" w:pos="567"/>
          <w:tab w:val="left" w:pos="993"/>
        </w:tabs>
        <w:spacing w:after="120"/>
        <w:ind w:left="992" w:hanging="567"/>
        <w:jc w:val="both"/>
        <w:outlineLvl w:val="0"/>
        <w:rPr>
          <w:rFonts w:eastAsia="Calibri" w:cs="Times New Roman"/>
          <w:sz w:val="24"/>
          <w:szCs w:val="24"/>
          <w:lang w:eastAsia="lv-LV"/>
        </w:rPr>
      </w:pPr>
      <w:r w:rsidRPr="00FE13CA">
        <w:rPr>
          <w:bCs/>
          <w:sz w:val="24"/>
          <w:szCs w:val="24"/>
        </w:rPr>
        <w:t xml:space="preserve">nodrošina informācijas un publicitātes pasākumus, kas noteikti Eiropas Parlamenta un Padomes 2013.gada 17 decembra Regulā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w:t>
      </w:r>
      <w:r w:rsidR="00B02B6D" w:rsidRPr="00B02B6D">
        <w:rPr>
          <w:rFonts w:eastAsia="Calibri" w:cs="Times New Roman"/>
          <w:sz w:val="24"/>
          <w:szCs w:val="24"/>
          <w:lang w:eastAsia="lv-LV"/>
        </w:rPr>
        <w:t>un normatīvajos aktos par kārtību, kādā Eiropas Savienības struktūrfondu un Kohēzijas fonda ieviešanā 2014.–2020.gada plānošanas periodā nodrošināma komunikācijas un vizuālās identitātes prasību ievērošana;</w:t>
      </w:r>
    </w:p>
    <w:p w:rsidR="00A031BA" w:rsidRDefault="004D3D7D" w:rsidP="00335AFA">
      <w:pPr>
        <w:numPr>
          <w:ilvl w:val="1"/>
          <w:numId w:val="1"/>
        </w:numPr>
        <w:tabs>
          <w:tab w:val="left" w:pos="426"/>
          <w:tab w:val="left" w:pos="993"/>
        </w:tabs>
        <w:spacing w:after="120"/>
        <w:ind w:left="993" w:hanging="567"/>
        <w:jc w:val="both"/>
        <w:outlineLvl w:val="0"/>
        <w:rPr>
          <w:rFonts w:eastAsia="Calibri" w:cs="Times New Roman"/>
          <w:bCs/>
          <w:sz w:val="24"/>
          <w:szCs w:val="24"/>
          <w:lang w:eastAsia="lv-LV"/>
        </w:rPr>
      </w:pPr>
      <w:r w:rsidRPr="00FE13CA">
        <w:rPr>
          <w:rFonts w:eastAsia="Calibri" w:cs="Times New Roman"/>
          <w:bCs/>
          <w:sz w:val="24"/>
          <w:szCs w:val="24"/>
          <w:lang w:eastAsia="lv-LV"/>
        </w:rPr>
        <w:t>nodrošina, ka projektā plānotie darbi netiek finansēti vai līdzfinansēti, kā arī nav plānots tos finansēt vai līdzfinansēt no citiem valsts un ārvalstu</w:t>
      </w:r>
      <w:r w:rsidR="00D13A29">
        <w:rPr>
          <w:rFonts w:eastAsia="Calibri" w:cs="Times New Roman"/>
          <w:bCs/>
          <w:sz w:val="24"/>
          <w:szCs w:val="24"/>
          <w:lang w:eastAsia="lv-LV"/>
        </w:rPr>
        <w:t xml:space="preserve"> finanšu atbalsta instrumentiem;</w:t>
      </w:r>
    </w:p>
    <w:p w:rsidR="00A031BA" w:rsidRDefault="00081FFE" w:rsidP="00B062FF">
      <w:pPr>
        <w:numPr>
          <w:ilvl w:val="1"/>
          <w:numId w:val="1"/>
        </w:numPr>
        <w:tabs>
          <w:tab w:val="left" w:pos="426"/>
          <w:tab w:val="left" w:pos="993"/>
        </w:tabs>
        <w:spacing w:after="120"/>
        <w:ind w:left="993" w:hanging="567"/>
        <w:jc w:val="both"/>
        <w:outlineLvl w:val="0"/>
        <w:rPr>
          <w:rFonts w:eastAsia="Calibri" w:cs="Times New Roman"/>
          <w:bCs/>
          <w:sz w:val="24"/>
          <w:szCs w:val="24"/>
          <w:lang w:eastAsia="lv-LV"/>
        </w:rPr>
      </w:pPr>
      <w:r>
        <w:rPr>
          <w:rFonts w:eastAsia="Calibri" w:cs="Times New Roman"/>
          <w:bCs/>
          <w:sz w:val="24"/>
          <w:szCs w:val="24"/>
          <w:lang w:eastAsia="lv-LV"/>
        </w:rPr>
        <w:t xml:space="preserve">atbilstoši </w:t>
      </w:r>
      <w:r w:rsidRPr="00081FFE">
        <w:rPr>
          <w:rFonts w:eastAsia="Calibri" w:cs="Times New Roman"/>
          <w:bCs/>
          <w:sz w:val="24"/>
          <w:szCs w:val="24"/>
          <w:lang w:eastAsia="lv-LV"/>
        </w:rPr>
        <w:t xml:space="preserve">projekta specifikai </w:t>
      </w:r>
      <w:r w:rsidR="00A031BA" w:rsidRPr="00A031BA">
        <w:rPr>
          <w:rFonts w:eastAsia="Calibri" w:cs="Times New Roman"/>
          <w:bCs/>
          <w:sz w:val="24"/>
          <w:szCs w:val="24"/>
          <w:lang w:eastAsia="lv-LV"/>
        </w:rPr>
        <w:t xml:space="preserve">uzkrāj datus par projekta ietekmi uz šo noteikumu </w:t>
      </w:r>
      <w:r w:rsidR="00A031BA">
        <w:rPr>
          <w:rFonts w:eastAsia="Calibri" w:cs="Times New Roman"/>
          <w:bCs/>
          <w:sz w:val="24"/>
          <w:szCs w:val="24"/>
          <w:lang w:eastAsia="lv-LV"/>
        </w:rPr>
        <w:t>4.</w:t>
      </w:r>
      <w:r w:rsidR="00A031BA" w:rsidRPr="00A031BA">
        <w:rPr>
          <w:rFonts w:eastAsia="Calibri" w:cs="Times New Roman"/>
          <w:bCs/>
          <w:sz w:val="24"/>
          <w:szCs w:val="24"/>
          <w:lang w:eastAsia="lv-LV"/>
        </w:rPr>
        <w:t>punktā minētajiem rādītājiem un nodrošina vienotu metodoloģiju rādītāju uzskaitei pirms un pēc projekta īstenošanas</w:t>
      </w:r>
      <w:r w:rsidR="00D13A29">
        <w:rPr>
          <w:rFonts w:eastAsia="Calibri" w:cs="Times New Roman"/>
          <w:bCs/>
          <w:sz w:val="24"/>
          <w:szCs w:val="24"/>
          <w:lang w:eastAsia="lv-LV"/>
        </w:rPr>
        <w:t>;</w:t>
      </w:r>
    </w:p>
    <w:p w:rsidR="00335AFA" w:rsidRDefault="00335AFA" w:rsidP="00335AFA">
      <w:pPr>
        <w:numPr>
          <w:ilvl w:val="1"/>
          <w:numId w:val="1"/>
        </w:numPr>
        <w:tabs>
          <w:tab w:val="left" w:pos="426"/>
          <w:tab w:val="left" w:pos="993"/>
        </w:tabs>
        <w:spacing w:after="120"/>
        <w:ind w:left="993" w:hanging="567"/>
        <w:jc w:val="both"/>
        <w:outlineLvl w:val="0"/>
        <w:rPr>
          <w:rFonts w:eastAsia="Calibri" w:cs="Times New Roman"/>
          <w:bCs/>
          <w:sz w:val="24"/>
          <w:szCs w:val="24"/>
          <w:lang w:eastAsia="lv-LV"/>
        </w:rPr>
      </w:pPr>
      <w:r w:rsidRPr="00335AFA">
        <w:rPr>
          <w:rFonts w:eastAsia="Calibri" w:cs="Times New Roman"/>
          <w:bCs/>
          <w:sz w:val="24"/>
          <w:szCs w:val="24"/>
          <w:lang w:eastAsia="lv-LV"/>
        </w:rPr>
        <w:lastRenderedPageBreak/>
        <w:t>projekta izmaksu pieauguma gadījumā sedz projekta sadārdzinājumu no saviem līdzekļiem;</w:t>
      </w:r>
    </w:p>
    <w:p w:rsidR="00170E18" w:rsidRDefault="00170E18" w:rsidP="00A53222">
      <w:pPr>
        <w:numPr>
          <w:ilvl w:val="1"/>
          <w:numId w:val="1"/>
        </w:numPr>
        <w:tabs>
          <w:tab w:val="left" w:pos="426"/>
          <w:tab w:val="left" w:pos="993"/>
        </w:tabs>
        <w:spacing w:after="120"/>
        <w:ind w:left="993" w:hanging="567"/>
        <w:jc w:val="both"/>
        <w:outlineLvl w:val="0"/>
        <w:rPr>
          <w:rFonts w:eastAsia="Calibri" w:cs="Times New Roman"/>
          <w:bCs/>
          <w:sz w:val="24"/>
          <w:szCs w:val="24"/>
          <w:lang w:eastAsia="lv-LV"/>
        </w:rPr>
      </w:pPr>
      <w:r w:rsidRPr="00170E18">
        <w:rPr>
          <w:rFonts w:eastAsia="Calibri" w:cs="Times New Roman"/>
          <w:bCs/>
          <w:sz w:val="24"/>
          <w:szCs w:val="24"/>
          <w:lang w:eastAsia="lv-LV"/>
        </w:rPr>
        <w:t>nodrošina, ka infrastruktūra, kurā paredzēts veikt ieguldījumu, ir projekta iesniedzēja īpašumā</w:t>
      </w:r>
      <w:r w:rsidR="00061616">
        <w:rPr>
          <w:rFonts w:eastAsia="Calibri" w:cs="Times New Roman"/>
          <w:bCs/>
          <w:sz w:val="24"/>
          <w:szCs w:val="24"/>
          <w:lang w:eastAsia="lv-LV"/>
        </w:rPr>
        <w:t xml:space="preserve"> vai valdījumā,</w:t>
      </w:r>
      <w:r w:rsidRPr="00170E18">
        <w:rPr>
          <w:rFonts w:eastAsia="Calibri" w:cs="Times New Roman"/>
          <w:bCs/>
          <w:sz w:val="24"/>
          <w:szCs w:val="24"/>
          <w:lang w:eastAsia="lv-LV"/>
        </w:rPr>
        <w:t xml:space="preserve"> </w:t>
      </w:r>
      <w:r w:rsidR="00061616" w:rsidRPr="00061616">
        <w:rPr>
          <w:rFonts w:eastAsia="Calibri" w:cs="Times New Roman"/>
          <w:bCs/>
          <w:sz w:val="24"/>
          <w:szCs w:val="24"/>
          <w:lang w:eastAsia="lv-LV"/>
        </w:rPr>
        <w:t>vai arī, būvniecības iecere ir saskaņota ar projekta īstenošanai nepieciešam</w:t>
      </w:r>
      <w:r w:rsidR="00061616">
        <w:rPr>
          <w:rFonts w:eastAsia="Calibri" w:cs="Times New Roman"/>
          <w:bCs/>
          <w:sz w:val="24"/>
          <w:szCs w:val="24"/>
          <w:lang w:eastAsia="lv-LV"/>
        </w:rPr>
        <w:t>ā</w:t>
      </w:r>
      <w:r w:rsidR="00061616" w:rsidRPr="00061616">
        <w:rPr>
          <w:rFonts w:eastAsia="Calibri" w:cs="Times New Roman"/>
          <w:bCs/>
          <w:sz w:val="24"/>
          <w:szCs w:val="24"/>
          <w:lang w:eastAsia="lv-LV"/>
        </w:rPr>
        <w:t xml:space="preserve"> nekustam</w:t>
      </w:r>
      <w:r w:rsidR="00061616">
        <w:rPr>
          <w:rFonts w:eastAsia="Calibri" w:cs="Times New Roman"/>
          <w:bCs/>
          <w:sz w:val="24"/>
          <w:szCs w:val="24"/>
          <w:lang w:eastAsia="lv-LV"/>
        </w:rPr>
        <w:t>ā</w:t>
      </w:r>
      <w:r w:rsidR="00061616" w:rsidRPr="00061616">
        <w:rPr>
          <w:rFonts w:eastAsia="Calibri" w:cs="Times New Roman"/>
          <w:bCs/>
          <w:sz w:val="24"/>
          <w:szCs w:val="24"/>
          <w:lang w:eastAsia="lv-LV"/>
        </w:rPr>
        <w:t xml:space="preserve"> īpašum</w:t>
      </w:r>
      <w:r w:rsidR="00061616">
        <w:rPr>
          <w:rFonts w:eastAsia="Calibri" w:cs="Times New Roman"/>
          <w:bCs/>
          <w:sz w:val="24"/>
          <w:szCs w:val="24"/>
          <w:lang w:eastAsia="lv-LV"/>
        </w:rPr>
        <w:t>a</w:t>
      </w:r>
      <w:r w:rsidR="00061616" w:rsidRPr="00061616">
        <w:rPr>
          <w:rFonts w:eastAsia="Calibri" w:cs="Times New Roman"/>
          <w:bCs/>
          <w:sz w:val="24"/>
          <w:szCs w:val="24"/>
          <w:lang w:eastAsia="lv-LV"/>
        </w:rPr>
        <w:t xml:space="preserve"> īpašniek</w:t>
      </w:r>
      <w:r w:rsidR="00061616">
        <w:rPr>
          <w:rFonts w:eastAsia="Calibri" w:cs="Times New Roman"/>
          <w:bCs/>
          <w:sz w:val="24"/>
          <w:szCs w:val="24"/>
          <w:lang w:eastAsia="lv-LV"/>
        </w:rPr>
        <w:t>u</w:t>
      </w:r>
      <w:r w:rsidR="00061616" w:rsidRPr="00061616">
        <w:rPr>
          <w:rFonts w:eastAsia="Calibri" w:cs="Times New Roman"/>
          <w:bCs/>
          <w:sz w:val="24"/>
          <w:szCs w:val="24"/>
          <w:lang w:eastAsia="lv-LV"/>
        </w:rPr>
        <w:t>, atbilstoši Latvijas Republikas normatīvo aktu nosacījumiem</w:t>
      </w:r>
      <w:r w:rsidR="00C1092D">
        <w:rPr>
          <w:rFonts w:eastAsia="Calibri" w:cs="Times New Roman"/>
          <w:bCs/>
          <w:sz w:val="24"/>
          <w:szCs w:val="24"/>
          <w:lang w:eastAsia="lv-LV"/>
        </w:rPr>
        <w:t>;</w:t>
      </w:r>
    </w:p>
    <w:p w:rsidR="00170E18" w:rsidRDefault="007A4E44" w:rsidP="00335AFA">
      <w:pPr>
        <w:numPr>
          <w:ilvl w:val="1"/>
          <w:numId w:val="1"/>
        </w:numPr>
        <w:tabs>
          <w:tab w:val="left" w:pos="426"/>
          <w:tab w:val="left" w:pos="993"/>
        </w:tabs>
        <w:spacing w:after="120"/>
        <w:ind w:left="993" w:hanging="567"/>
        <w:jc w:val="both"/>
        <w:outlineLvl w:val="0"/>
        <w:rPr>
          <w:rFonts w:eastAsia="Calibri" w:cs="Times New Roman"/>
          <w:bCs/>
          <w:sz w:val="24"/>
          <w:szCs w:val="24"/>
          <w:lang w:eastAsia="lv-LV"/>
        </w:rPr>
      </w:pPr>
      <w:r w:rsidRPr="007A4E44">
        <w:rPr>
          <w:rFonts w:eastAsia="Calibri" w:cs="Times New Roman"/>
          <w:bCs/>
          <w:sz w:val="24"/>
          <w:szCs w:val="24"/>
          <w:lang w:eastAsia="lv-LV"/>
        </w:rPr>
        <w:t xml:space="preserve">atbilstoši projekta specifikai </w:t>
      </w:r>
      <w:r w:rsidR="00170E18" w:rsidRPr="00170E18">
        <w:rPr>
          <w:rFonts w:eastAsia="Calibri" w:cs="Times New Roman"/>
          <w:bCs/>
          <w:sz w:val="24"/>
          <w:szCs w:val="24"/>
          <w:lang w:eastAsia="lv-LV"/>
        </w:rPr>
        <w:t>uzkrāj datus, kas raksturo vides piesārņojuma mazināšanos piecus gadus pēc projekta pabeigšanas</w:t>
      </w:r>
      <w:r w:rsidR="00C1092D">
        <w:rPr>
          <w:rFonts w:eastAsia="Calibri" w:cs="Times New Roman"/>
          <w:bCs/>
          <w:sz w:val="24"/>
          <w:szCs w:val="24"/>
          <w:lang w:eastAsia="lv-LV"/>
        </w:rPr>
        <w:t>;</w:t>
      </w:r>
    </w:p>
    <w:p w:rsidR="00C1092D" w:rsidRDefault="00C1092D" w:rsidP="006275C0">
      <w:pPr>
        <w:numPr>
          <w:ilvl w:val="1"/>
          <w:numId w:val="1"/>
        </w:numPr>
        <w:tabs>
          <w:tab w:val="left" w:pos="426"/>
          <w:tab w:val="left" w:pos="993"/>
        </w:tabs>
        <w:spacing w:after="120"/>
        <w:ind w:left="993" w:hanging="567"/>
        <w:jc w:val="both"/>
        <w:outlineLvl w:val="0"/>
        <w:rPr>
          <w:rFonts w:eastAsia="Calibri" w:cs="Times New Roman"/>
          <w:bCs/>
          <w:sz w:val="24"/>
          <w:szCs w:val="24"/>
          <w:lang w:eastAsia="lv-LV"/>
        </w:rPr>
      </w:pPr>
      <w:r w:rsidRPr="00C1092D">
        <w:rPr>
          <w:rFonts w:eastAsia="Calibri" w:cs="Times New Roman"/>
          <w:bCs/>
          <w:sz w:val="24"/>
          <w:szCs w:val="24"/>
          <w:lang w:eastAsia="lv-LV"/>
        </w:rPr>
        <w:t>uzkrāj datus par kopējo negadījumu skaita samazinājumu divus gadus pēc atbalsta veikšanas ostā, kurā veiktas investīcijas drošības infrastruktūras uzlabošanā</w:t>
      </w:r>
      <w:r>
        <w:rPr>
          <w:rFonts w:eastAsia="Calibri" w:cs="Times New Roman"/>
          <w:bCs/>
          <w:sz w:val="24"/>
          <w:szCs w:val="24"/>
          <w:lang w:eastAsia="lv-LV"/>
        </w:rPr>
        <w:t>.</w:t>
      </w:r>
    </w:p>
    <w:p w:rsidR="006275C0" w:rsidRPr="00335AFA" w:rsidRDefault="006275C0" w:rsidP="00810DAE">
      <w:pPr>
        <w:numPr>
          <w:ilvl w:val="1"/>
          <w:numId w:val="1"/>
        </w:numPr>
        <w:tabs>
          <w:tab w:val="left" w:pos="426"/>
          <w:tab w:val="left" w:pos="993"/>
        </w:tabs>
        <w:spacing w:after="120"/>
        <w:ind w:left="993" w:hanging="567"/>
        <w:jc w:val="both"/>
        <w:outlineLvl w:val="0"/>
        <w:rPr>
          <w:rFonts w:eastAsia="Calibri" w:cs="Times New Roman"/>
          <w:bCs/>
          <w:sz w:val="24"/>
          <w:szCs w:val="24"/>
          <w:lang w:eastAsia="lv-LV"/>
        </w:rPr>
      </w:pPr>
      <w:r w:rsidRPr="006275C0">
        <w:rPr>
          <w:rFonts w:eastAsia="Calibri" w:cs="Times New Roman"/>
          <w:bCs/>
          <w:sz w:val="24"/>
          <w:szCs w:val="24"/>
          <w:lang w:eastAsia="lv-LV"/>
        </w:rPr>
        <w:t>uzkrāj datus par ostas darbspējas saglabāšan</w:t>
      </w:r>
      <w:r>
        <w:rPr>
          <w:rFonts w:eastAsia="Calibri" w:cs="Times New Roman"/>
          <w:bCs/>
          <w:sz w:val="24"/>
          <w:szCs w:val="24"/>
          <w:lang w:eastAsia="lv-LV"/>
        </w:rPr>
        <w:t>u</w:t>
      </w:r>
      <w:r w:rsidR="00810DAE">
        <w:rPr>
          <w:rFonts w:eastAsia="Calibri" w:cs="Times New Roman"/>
          <w:bCs/>
          <w:sz w:val="24"/>
          <w:szCs w:val="24"/>
          <w:lang w:eastAsia="lv-LV"/>
        </w:rPr>
        <w:t xml:space="preserve"> pie vēja ātruma līdz 14 m/s.</w:t>
      </w:r>
    </w:p>
    <w:p w:rsidR="00F87609" w:rsidRPr="00F87609" w:rsidRDefault="00F87609" w:rsidP="00563A33">
      <w:pPr>
        <w:numPr>
          <w:ilvl w:val="0"/>
          <w:numId w:val="1"/>
        </w:numPr>
        <w:tabs>
          <w:tab w:val="left" w:pos="426"/>
        </w:tabs>
        <w:spacing w:after="120"/>
        <w:ind w:left="426"/>
        <w:jc w:val="both"/>
        <w:outlineLvl w:val="0"/>
        <w:rPr>
          <w:rFonts w:eastAsia="Calibri" w:cs="Times New Roman"/>
          <w:bCs/>
          <w:sz w:val="24"/>
          <w:szCs w:val="24"/>
          <w:lang w:eastAsia="lv-LV"/>
        </w:rPr>
      </w:pPr>
      <w:r w:rsidRPr="00F87609">
        <w:rPr>
          <w:rFonts w:eastAsia="Calibri" w:cs="Times New Roman"/>
          <w:bCs/>
          <w:sz w:val="24"/>
          <w:szCs w:val="24"/>
          <w:lang w:eastAsia="lv-LV"/>
        </w:rPr>
        <w:t xml:space="preserve">Pēc </w:t>
      </w:r>
      <w:r w:rsidR="0003283F">
        <w:rPr>
          <w:rFonts w:eastAsia="Calibri" w:cs="Times New Roman"/>
          <w:bCs/>
          <w:sz w:val="24"/>
          <w:szCs w:val="24"/>
          <w:lang w:eastAsia="lv-LV"/>
        </w:rPr>
        <w:t>līguma</w:t>
      </w:r>
      <w:r w:rsidRPr="00F87609">
        <w:rPr>
          <w:rFonts w:eastAsia="Calibri" w:cs="Times New Roman"/>
          <w:bCs/>
          <w:sz w:val="24"/>
          <w:szCs w:val="24"/>
          <w:lang w:eastAsia="lv-LV"/>
        </w:rPr>
        <w:t xml:space="preserve"> par projekta īstenošanu noslēgšanas, sadarbības iestāde, pamatojoties uz finansējuma saņēmēja rakstisku avansa pieprasījumu</w:t>
      </w:r>
      <w:r w:rsidR="00563A33">
        <w:rPr>
          <w:rFonts w:eastAsia="Calibri" w:cs="Times New Roman"/>
          <w:bCs/>
          <w:sz w:val="24"/>
          <w:szCs w:val="24"/>
          <w:lang w:eastAsia="lv-LV"/>
        </w:rPr>
        <w:t xml:space="preserve"> </w:t>
      </w:r>
      <w:r w:rsidR="00563A33" w:rsidRPr="00563A33">
        <w:rPr>
          <w:rFonts w:eastAsia="Calibri" w:cs="Times New Roman"/>
          <w:bCs/>
          <w:sz w:val="24"/>
          <w:szCs w:val="24"/>
          <w:lang w:eastAsia="lv-LV"/>
        </w:rPr>
        <w:t>atbilstoši normatīvajam aktam par valsts budžeta līdzekļu plānošanu Eiropas Savienības struktūrfondu un Kohēzijas fonda projektu īstenošanai un maksājumu veikšanu 2014.–2020.gada plānošanas periodā</w:t>
      </w:r>
      <w:r w:rsidRPr="00F87609">
        <w:rPr>
          <w:rFonts w:eastAsia="Calibri" w:cs="Times New Roman"/>
          <w:bCs/>
          <w:sz w:val="24"/>
          <w:szCs w:val="24"/>
          <w:lang w:eastAsia="lv-LV"/>
        </w:rPr>
        <w:t xml:space="preserve"> nodrošina finansējuma saņēmējam avansa maksājumu</w:t>
      </w:r>
      <w:r w:rsidR="00563A33">
        <w:rPr>
          <w:rFonts w:eastAsia="Calibri" w:cs="Times New Roman"/>
          <w:bCs/>
          <w:sz w:val="24"/>
          <w:szCs w:val="24"/>
          <w:lang w:eastAsia="lv-LV"/>
        </w:rPr>
        <w:t>s</w:t>
      </w:r>
      <w:r w:rsidRPr="00F87609">
        <w:rPr>
          <w:rFonts w:eastAsia="Calibri" w:cs="Times New Roman"/>
          <w:bCs/>
          <w:sz w:val="24"/>
          <w:szCs w:val="24"/>
          <w:lang w:eastAsia="lv-LV"/>
        </w:rPr>
        <w:t>,</w:t>
      </w:r>
      <w:r w:rsidR="00563A33">
        <w:rPr>
          <w:rFonts w:eastAsia="Calibri" w:cs="Times New Roman"/>
          <w:bCs/>
          <w:sz w:val="24"/>
          <w:szCs w:val="24"/>
          <w:lang w:eastAsia="lv-LV"/>
        </w:rPr>
        <w:t xml:space="preserve"> kuru</w:t>
      </w:r>
      <w:r w:rsidRPr="00F87609">
        <w:rPr>
          <w:rFonts w:eastAsia="Calibri" w:cs="Times New Roman"/>
          <w:bCs/>
          <w:sz w:val="24"/>
          <w:szCs w:val="24"/>
          <w:lang w:eastAsia="lv-LV"/>
        </w:rPr>
        <w:t xml:space="preserve"> </w:t>
      </w:r>
      <w:r w:rsidR="00563A33">
        <w:rPr>
          <w:rFonts w:eastAsia="Calibri" w:cs="Times New Roman"/>
          <w:bCs/>
          <w:sz w:val="24"/>
          <w:szCs w:val="24"/>
          <w:lang w:eastAsia="lv-LV"/>
        </w:rPr>
        <w:t xml:space="preserve">kopsumma </w:t>
      </w:r>
      <w:r w:rsidRPr="00F87609">
        <w:rPr>
          <w:rFonts w:eastAsia="Calibri" w:cs="Times New Roman"/>
          <w:bCs/>
          <w:sz w:val="24"/>
          <w:szCs w:val="24"/>
          <w:lang w:eastAsia="lv-LV"/>
        </w:rPr>
        <w:t>nepārsniedz 90</w:t>
      </w:r>
      <w:r w:rsidR="00E35901">
        <w:rPr>
          <w:rFonts w:eastAsia="Calibri" w:cs="Times New Roman"/>
          <w:bCs/>
          <w:sz w:val="24"/>
          <w:szCs w:val="24"/>
          <w:lang w:eastAsia="lv-LV"/>
        </w:rPr>
        <w:t xml:space="preserve"> </w:t>
      </w:r>
      <w:r w:rsidR="00E35901" w:rsidRPr="00E35901">
        <w:rPr>
          <w:rFonts w:eastAsia="Calibri" w:cs="Times New Roman"/>
          <w:bCs/>
          <w:sz w:val="24"/>
          <w:szCs w:val="24"/>
          <w:lang w:eastAsia="lv-LV"/>
        </w:rPr>
        <w:t>procentu</w:t>
      </w:r>
      <w:r w:rsidR="00E35901">
        <w:rPr>
          <w:rFonts w:eastAsia="Calibri" w:cs="Times New Roman"/>
          <w:bCs/>
          <w:sz w:val="24"/>
          <w:szCs w:val="24"/>
          <w:lang w:eastAsia="lv-LV"/>
        </w:rPr>
        <w:t>s</w:t>
      </w:r>
      <w:r w:rsidRPr="00F87609">
        <w:rPr>
          <w:rFonts w:eastAsia="Calibri" w:cs="Times New Roman"/>
          <w:bCs/>
          <w:sz w:val="24"/>
          <w:szCs w:val="24"/>
          <w:lang w:eastAsia="lv-LV"/>
        </w:rPr>
        <w:t xml:space="preserve"> no projektam piešķirtā Kohēzijas fonda finansējuma.</w:t>
      </w:r>
      <w:r w:rsidR="00AD4184">
        <w:rPr>
          <w:rFonts w:eastAsia="Calibri" w:cs="Times New Roman"/>
          <w:bCs/>
          <w:sz w:val="24"/>
          <w:szCs w:val="24"/>
          <w:lang w:eastAsia="lv-LV"/>
        </w:rPr>
        <w:t xml:space="preserve"> </w:t>
      </w:r>
      <w:r w:rsidR="00AD4184" w:rsidRPr="007A5A9D">
        <w:rPr>
          <w:rFonts w:eastAsia="Calibri" w:cs="Times New Roman"/>
          <w:bCs/>
          <w:sz w:val="24"/>
          <w:szCs w:val="24"/>
          <w:lang w:eastAsia="lv-LV"/>
        </w:rPr>
        <w:t>Avansu var izmaksāt vairākos maksājumos.</w:t>
      </w:r>
    </w:p>
    <w:p w:rsidR="001577E1" w:rsidRPr="00FE13CA" w:rsidRDefault="004D3D7D" w:rsidP="00BA7140">
      <w:pPr>
        <w:numPr>
          <w:ilvl w:val="0"/>
          <w:numId w:val="1"/>
        </w:numPr>
        <w:tabs>
          <w:tab w:val="left" w:pos="426"/>
        </w:tabs>
        <w:spacing w:after="120"/>
        <w:ind w:left="426" w:hanging="426"/>
        <w:jc w:val="both"/>
        <w:outlineLvl w:val="0"/>
        <w:rPr>
          <w:rFonts w:eastAsia="Calibri" w:cs="Times New Roman"/>
          <w:sz w:val="24"/>
          <w:szCs w:val="24"/>
          <w:lang w:eastAsia="lv-LV"/>
        </w:rPr>
      </w:pPr>
      <w:r w:rsidRPr="00FE13CA">
        <w:rPr>
          <w:rFonts w:eastAsia="Calibri" w:cs="Times New Roman"/>
          <w:bCs/>
          <w:sz w:val="24"/>
          <w:szCs w:val="24"/>
          <w:lang w:eastAsia="lv-LV"/>
        </w:rPr>
        <w:t xml:space="preserve">Sadarbības iestādei ir tiesības vienpusēji atkāpties no </w:t>
      </w:r>
      <w:r w:rsidR="0003283F">
        <w:rPr>
          <w:rFonts w:eastAsia="Calibri" w:cs="Times New Roman"/>
          <w:bCs/>
          <w:sz w:val="24"/>
          <w:szCs w:val="24"/>
          <w:lang w:eastAsia="lv-LV"/>
        </w:rPr>
        <w:t>noslēgtā</w:t>
      </w:r>
      <w:r w:rsidR="00BC1EEF" w:rsidRPr="00FE13CA">
        <w:rPr>
          <w:rFonts w:eastAsia="Calibri" w:cs="Times New Roman"/>
          <w:bCs/>
          <w:sz w:val="24"/>
          <w:szCs w:val="24"/>
          <w:lang w:eastAsia="lv-LV"/>
        </w:rPr>
        <w:t xml:space="preserve"> </w:t>
      </w:r>
      <w:r w:rsidR="0003283F">
        <w:rPr>
          <w:rFonts w:eastAsia="Calibri" w:cs="Times New Roman"/>
          <w:bCs/>
          <w:sz w:val="24"/>
          <w:szCs w:val="24"/>
          <w:lang w:eastAsia="lv-LV"/>
        </w:rPr>
        <w:t>līguma</w:t>
      </w:r>
      <w:r w:rsidRPr="00FE13CA">
        <w:rPr>
          <w:rFonts w:eastAsia="Calibri" w:cs="Times New Roman"/>
          <w:bCs/>
          <w:sz w:val="24"/>
          <w:szCs w:val="24"/>
          <w:lang w:eastAsia="lv-LV"/>
        </w:rPr>
        <w:t xml:space="preserve"> </w:t>
      </w:r>
      <w:r w:rsidR="00BC1EEF" w:rsidRPr="00FE13CA">
        <w:rPr>
          <w:rFonts w:eastAsia="Calibri" w:cs="Times New Roman"/>
          <w:bCs/>
          <w:sz w:val="24"/>
          <w:szCs w:val="24"/>
          <w:lang w:eastAsia="lv-LV"/>
        </w:rPr>
        <w:t xml:space="preserve">par projekta īstenošanu </w:t>
      </w:r>
      <w:r w:rsidRPr="00FE13CA">
        <w:rPr>
          <w:rFonts w:eastAsia="Calibri" w:cs="Times New Roman"/>
          <w:bCs/>
          <w:sz w:val="24"/>
          <w:szCs w:val="24"/>
          <w:lang w:eastAsia="lv-LV"/>
        </w:rPr>
        <w:t>jebkurā no šādiem gadījumiem:</w:t>
      </w:r>
    </w:p>
    <w:p w:rsidR="004D3D7D" w:rsidRPr="00FE13CA" w:rsidRDefault="009D43AD" w:rsidP="00BA7140">
      <w:pPr>
        <w:numPr>
          <w:ilvl w:val="1"/>
          <w:numId w:val="1"/>
        </w:numPr>
        <w:tabs>
          <w:tab w:val="left" w:pos="993"/>
        </w:tabs>
        <w:spacing w:after="120"/>
        <w:ind w:left="992" w:hanging="567"/>
        <w:jc w:val="both"/>
        <w:outlineLvl w:val="0"/>
        <w:rPr>
          <w:rFonts w:eastAsia="Calibri" w:cs="Times New Roman"/>
          <w:sz w:val="24"/>
          <w:szCs w:val="24"/>
          <w:lang w:eastAsia="lv-LV"/>
        </w:rPr>
      </w:pPr>
      <w:r w:rsidRPr="00FE13CA">
        <w:rPr>
          <w:rFonts w:eastAsia="Calibri" w:cs="Times New Roman"/>
          <w:bCs/>
          <w:sz w:val="24"/>
          <w:szCs w:val="24"/>
          <w:lang w:eastAsia="lv-LV"/>
        </w:rPr>
        <w:t xml:space="preserve">finansējuma saņēmējs nepilda </w:t>
      </w:r>
      <w:r w:rsidR="0003283F">
        <w:rPr>
          <w:rFonts w:eastAsia="Calibri" w:cs="Times New Roman"/>
          <w:bCs/>
          <w:sz w:val="24"/>
          <w:szCs w:val="24"/>
          <w:lang w:eastAsia="lv-LV"/>
        </w:rPr>
        <w:t>līguma</w:t>
      </w:r>
      <w:r w:rsidRPr="00FE13CA">
        <w:rPr>
          <w:rFonts w:eastAsia="Calibri" w:cs="Times New Roman"/>
          <w:bCs/>
          <w:sz w:val="24"/>
          <w:szCs w:val="24"/>
          <w:lang w:eastAsia="lv-LV"/>
        </w:rPr>
        <w:t xml:space="preserve"> par projekta īstenošanu, tai skaitā, netiek ievēroti projektā noteiktie termiņi vai ir iestājušies citi apstākļi, kas negatīvi ietekmē vai var ietekmēt specifiskā atbalsta uzraudzības rādītāju sasniegšanu; </w:t>
      </w:r>
      <w:r w:rsidR="004D3D7D" w:rsidRPr="00FE13CA">
        <w:rPr>
          <w:rFonts w:eastAsia="Calibri" w:cs="Times New Roman"/>
          <w:bCs/>
          <w:sz w:val="24"/>
          <w:szCs w:val="24"/>
          <w:lang w:eastAsia="lv-LV"/>
        </w:rPr>
        <w:t xml:space="preserve"> </w:t>
      </w:r>
    </w:p>
    <w:p w:rsidR="00E53720" w:rsidRPr="00FE13CA" w:rsidRDefault="004D3D7D" w:rsidP="00BA7140">
      <w:pPr>
        <w:numPr>
          <w:ilvl w:val="1"/>
          <w:numId w:val="1"/>
        </w:numPr>
        <w:tabs>
          <w:tab w:val="left" w:pos="993"/>
        </w:tabs>
        <w:spacing w:after="120"/>
        <w:ind w:left="992" w:hanging="567"/>
        <w:jc w:val="both"/>
        <w:outlineLvl w:val="0"/>
        <w:rPr>
          <w:rFonts w:eastAsia="Calibri" w:cs="Times New Roman"/>
          <w:sz w:val="24"/>
          <w:szCs w:val="24"/>
          <w:lang w:eastAsia="lv-LV"/>
        </w:rPr>
      </w:pPr>
      <w:r w:rsidRPr="00FE13CA">
        <w:rPr>
          <w:rFonts w:eastAsia="Calibri" w:cs="Times New Roman"/>
          <w:bCs/>
          <w:sz w:val="24"/>
          <w:szCs w:val="24"/>
          <w:lang w:eastAsia="lv-LV"/>
        </w:rPr>
        <w:t xml:space="preserve">citos gadījumos, kas noteikti </w:t>
      </w:r>
      <w:r w:rsidR="00F87609">
        <w:rPr>
          <w:rFonts w:eastAsia="Calibri" w:cs="Times New Roman"/>
          <w:bCs/>
          <w:sz w:val="24"/>
          <w:szCs w:val="24"/>
          <w:lang w:eastAsia="lv-LV"/>
        </w:rPr>
        <w:t>līgumā</w:t>
      </w:r>
      <w:r w:rsidRPr="00FE13CA">
        <w:rPr>
          <w:rFonts w:eastAsia="Calibri" w:cs="Times New Roman"/>
          <w:bCs/>
          <w:sz w:val="24"/>
          <w:szCs w:val="24"/>
          <w:lang w:eastAsia="lv-LV"/>
        </w:rPr>
        <w:t xml:space="preserve"> par projekta īstenošanu</w:t>
      </w:r>
      <w:r w:rsidR="00847FF9">
        <w:rPr>
          <w:rFonts w:eastAsia="Calibri" w:cs="Times New Roman"/>
          <w:bCs/>
          <w:sz w:val="24"/>
          <w:szCs w:val="24"/>
          <w:lang w:eastAsia="lv-LV"/>
        </w:rPr>
        <w:t>.</w:t>
      </w:r>
      <w:r w:rsidRPr="00FE13CA">
        <w:rPr>
          <w:rFonts w:eastAsia="Calibri" w:cs="Times New Roman"/>
          <w:bCs/>
          <w:sz w:val="24"/>
          <w:szCs w:val="24"/>
          <w:lang w:eastAsia="lv-LV"/>
        </w:rPr>
        <w:t>.</w:t>
      </w:r>
    </w:p>
    <w:p w:rsidR="00AC2309" w:rsidRPr="00FE13CA" w:rsidRDefault="00AC2309" w:rsidP="00BA7140">
      <w:pPr>
        <w:numPr>
          <w:ilvl w:val="0"/>
          <w:numId w:val="1"/>
        </w:numPr>
        <w:tabs>
          <w:tab w:val="left" w:pos="993"/>
        </w:tabs>
        <w:spacing w:after="120"/>
        <w:ind w:left="426" w:hanging="426"/>
        <w:jc w:val="both"/>
        <w:outlineLvl w:val="0"/>
        <w:rPr>
          <w:rFonts w:eastAsia="Calibri" w:cs="Times New Roman"/>
          <w:sz w:val="24"/>
          <w:szCs w:val="24"/>
          <w:lang w:eastAsia="lv-LV"/>
        </w:rPr>
      </w:pPr>
      <w:r w:rsidRPr="00FE13CA">
        <w:rPr>
          <w:rFonts w:eastAsia="Calibri" w:cs="Times New Roman"/>
          <w:sz w:val="24"/>
          <w:szCs w:val="24"/>
          <w:lang w:eastAsia="lv-LV"/>
        </w:rPr>
        <w:t xml:space="preserve">Specifiskā </w:t>
      </w:r>
      <w:r w:rsidRPr="00FE13CA">
        <w:rPr>
          <w:bCs/>
          <w:sz w:val="24"/>
          <w:szCs w:val="24"/>
        </w:rPr>
        <w:t xml:space="preserve">atbalsta ietvaros projektu īsteno saskaņā ar </w:t>
      </w:r>
      <w:r w:rsidR="00F87609">
        <w:rPr>
          <w:bCs/>
          <w:sz w:val="24"/>
          <w:szCs w:val="24"/>
        </w:rPr>
        <w:t>l</w:t>
      </w:r>
      <w:r w:rsidR="008B7505">
        <w:rPr>
          <w:bCs/>
          <w:sz w:val="24"/>
          <w:szCs w:val="24"/>
        </w:rPr>
        <w:t>īgumu</w:t>
      </w:r>
      <w:r w:rsidRPr="00FE13CA">
        <w:rPr>
          <w:bCs/>
          <w:sz w:val="24"/>
          <w:szCs w:val="24"/>
        </w:rPr>
        <w:t xml:space="preserve"> par projekta īstenošanu, bet ne ilgāk kā līdz </w:t>
      </w:r>
      <w:r w:rsidR="00BC0B24" w:rsidRPr="00FE13CA">
        <w:rPr>
          <w:bCs/>
          <w:sz w:val="24"/>
          <w:szCs w:val="24"/>
        </w:rPr>
        <w:t>202</w:t>
      </w:r>
      <w:r w:rsidR="0077032A">
        <w:rPr>
          <w:bCs/>
          <w:sz w:val="24"/>
          <w:szCs w:val="24"/>
        </w:rPr>
        <w:t>3</w:t>
      </w:r>
      <w:r w:rsidRPr="00FE13CA">
        <w:rPr>
          <w:bCs/>
          <w:sz w:val="24"/>
          <w:szCs w:val="24"/>
        </w:rPr>
        <w:t>.gada 31.</w:t>
      </w:r>
      <w:r w:rsidR="00023551">
        <w:rPr>
          <w:bCs/>
          <w:sz w:val="24"/>
          <w:szCs w:val="24"/>
        </w:rPr>
        <w:t>decembrim</w:t>
      </w:r>
      <w:r w:rsidRPr="00FE13CA">
        <w:rPr>
          <w:bCs/>
          <w:sz w:val="24"/>
          <w:szCs w:val="24"/>
        </w:rPr>
        <w:t>.</w:t>
      </w:r>
    </w:p>
    <w:p w:rsidR="00E53720" w:rsidRPr="00DF1BF9" w:rsidRDefault="00A53222" w:rsidP="00BA7140">
      <w:pPr>
        <w:numPr>
          <w:ilvl w:val="0"/>
          <w:numId w:val="1"/>
        </w:numPr>
        <w:tabs>
          <w:tab w:val="left" w:pos="993"/>
        </w:tabs>
        <w:spacing w:after="120"/>
        <w:ind w:left="426" w:hanging="426"/>
        <w:jc w:val="both"/>
        <w:outlineLvl w:val="0"/>
        <w:rPr>
          <w:rFonts w:eastAsia="Calibri" w:cs="Times New Roman"/>
          <w:sz w:val="24"/>
          <w:szCs w:val="24"/>
          <w:lang w:eastAsia="lv-LV"/>
        </w:rPr>
      </w:pPr>
      <w:r>
        <w:rPr>
          <w:bCs/>
          <w:sz w:val="24"/>
          <w:szCs w:val="24"/>
        </w:rPr>
        <w:t>Specifiskā atbalsta</w:t>
      </w:r>
      <w:r w:rsidR="00E53720" w:rsidRPr="00FE13CA">
        <w:rPr>
          <w:bCs/>
          <w:sz w:val="24"/>
          <w:szCs w:val="24"/>
        </w:rPr>
        <w:t xml:space="preserve"> īstenošanas vieta ir </w:t>
      </w:r>
      <w:r w:rsidR="00D13A29">
        <w:rPr>
          <w:bCs/>
          <w:sz w:val="24"/>
          <w:szCs w:val="24"/>
        </w:rPr>
        <w:t>Rīga, Liepāja un Ventspils</w:t>
      </w:r>
      <w:r w:rsidR="00E53720" w:rsidRPr="00FE13CA">
        <w:rPr>
          <w:bCs/>
          <w:sz w:val="24"/>
          <w:szCs w:val="24"/>
        </w:rPr>
        <w:t>.</w:t>
      </w:r>
      <w:bookmarkStart w:id="2" w:name="294762"/>
      <w:bookmarkEnd w:id="2"/>
    </w:p>
    <w:p w:rsidR="00D13A29" w:rsidRPr="00D13A29" w:rsidRDefault="00D13A29" w:rsidP="00C64A32">
      <w:pPr>
        <w:tabs>
          <w:tab w:val="left" w:pos="993"/>
        </w:tabs>
        <w:spacing w:before="600" w:after="360"/>
        <w:jc w:val="both"/>
        <w:outlineLvl w:val="0"/>
        <w:rPr>
          <w:bCs/>
          <w:sz w:val="24"/>
          <w:szCs w:val="24"/>
        </w:rPr>
      </w:pPr>
      <w:r w:rsidRPr="00D13A29">
        <w:rPr>
          <w:bCs/>
          <w:sz w:val="24"/>
          <w:szCs w:val="24"/>
        </w:rPr>
        <w:t>Ministru prezident</w:t>
      </w:r>
      <w:r>
        <w:rPr>
          <w:bCs/>
          <w:sz w:val="24"/>
          <w:szCs w:val="24"/>
        </w:rPr>
        <w:t>s</w:t>
      </w:r>
      <w:r w:rsidR="0018175A">
        <w:rPr>
          <w:bCs/>
          <w:sz w:val="24"/>
          <w:szCs w:val="24"/>
        </w:rPr>
        <w:tab/>
      </w:r>
      <w:r w:rsidR="0018175A">
        <w:rPr>
          <w:bCs/>
          <w:sz w:val="24"/>
          <w:szCs w:val="24"/>
        </w:rPr>
        <w:tab/>
      </w:r>
      <w:r w:rsidR="0018175A">
        <w:rPr>
          <w:bCs/>
          <w:sz w:val="24"/>
          <w:szCs w:val="24"/>
        </w:rPr>
        <w:tab/>
      </w:r>
      <w:r w:rsidR="0018175A">
        <w:rPr>
          <w:bCs/>
          <w:sz w:val="24"/>
          <w:szCs w:val="24"/>
        </w:rPr>
        <w:tab/>
      </w:r>
      <w:r w:rsidR="0018175A">
        <w:rPr>
          <w:bCs/>
          <w:sz w:val="24"/>
          <w:szCs w:val="24"/>
        </w:rPr>
        <w:tab/>
      </w:r>
      <w:r w:rsidR="0018175A">
        <w:rPr>
          <w:bCs/>
          <w:sz w:val="24"/>
          <w:szCs w:val="24"/>
        </w:rPr>
        <w:tab/>
      </w:r>
      <w:r w:rsidR="0018175A">
        <w:rPr>
          <w:bCs/>
          <w:sz w:val="24"/>
          <w:szCs w:val="24"/>
        </w:rPr>
        <w:tab/>
      </w:r>
      <w:r w:rsidR="0018175A">
        <w:rPr>
          <w:bCs/>
          <w:sz w:val="24"/>
          <w:szCs w:val="24"/>
        </w:rPr>
        <w:tab/>
      </w:r>
      <w:r>
        <w:rPr>
          <w:bCs/>
          <w:sz w:val="24"/>
          <w:szCs w:val="24"/>
        </w:rPr>
        <w:t>M.</w:t>
      </w:r>
      <w:r w:rsidRPr="00D13A29">
        <w:rPr>
          <w:bCs/>
          <w:sz w:val="24"/>
          <w:szCs w:val="24"/>
        </w:rPr>
        <w:t>Kučinskis</w:t>
      </w:r>
    </w:p>
    <w:p w:rsidR="00D13A29" w:rsidRPr="00D13A29" w:rsidRDefault="0018175A" w:rsidP="00C64A32">
      <w:pPr>
        <w:tabs>
          <w:tab w:val="left" w:pos="993"/>
        </w:tabs>
        <w:spacing w:before="480" w:after="480"/>
        <w:jc w:val="both"/>
        <w:outlineLvl w:val="0"/>
        <w:rPr>
          <w:bCs/>
          <w:sz w:val="24"/>
          <w:szCs w:val="24"/>
        </w:rPr>
      </w:pPr>
      <w:r>
        <w:rPr>
          <w:bCs/>
          <w:sz w:val="24"/>
          <w:szCs w:val="24"/>
        </w:rPr>
        <w:t>Satiksmes ministrs</w:t>
      </w:r>
      <w:r w:rsidR="00D13A29" w:rsidRPr="00D13A29">
        <w:rPr>
          <w:bCs/>
          <w:sz w:val="24"/>
          <w:szCs w:val="24"/>
        </w:rPr>
        <w:tab/>
      </w:r>
      <w:r w:rsidR="00D13A29" w:rsidRPr="00D13A29">
        <w:rPr>
          <w:bCs/>
          <w:sz w:val="24"/>
          <w:szCs w:val="24"/>
        </w:rPr>
        <w:tab/>
      </w:r>
      <w:r w:rsidR="00D13A29" w:rsidRPr="00D13A29">
        <w:rPr>
          <w:bCs/>
          <w:sz w:val="24"/>
          <w:szCs w:val="24"/>
        </w:rPr>
        <w:tab/>
      </w:r>
      <w:r w:rsidR="00D13A29" w:rsidRPr="00D13A29">
        <w:rPr>
          <w:bCs/>
          <w:sz w:val="24"/>
          <w:szCs w:val="24"/>
        </w:rPr>
        <w:tab/>
      </w:r>
      <w:r w:rsidR="00D13A29" w:rsidRPr="00D13A29">
        <w:rPr>
          <w:bCs/>
          <w:sz w:val="24"/>
          <w:szCs w:val="24"/>
        </w:rPr>
        <w:tab/>
      </w:r>
      <w:r w:rsidR="00D13A29" w:rsidRPr="00D13A29">
        <w:rPr>
          <w:bCs/>
          <w:sz w:val="24"/>
          <w:szCs w:val="24"/>
        </w:rPr>
        <w:tab/>
      </w:r>
      <w:r w:rsidR="00D13A29" w:rsidRPr="00D13A29">
        <w:rPr>
          <w:bCs/>
          <w:sz w:val="24"/>
          <w:szCs w:val="24"/>
        </w:rPr>
        <w:tab/>
      </w:r>
      <w:r>
        <w:rPr>
          <w:bCs/>
          <w:sz w:val="24"/>
          <w:szCs w:val="24"/>
        </w:rPr>
        <w:tab/>
        <w:t>U.</w:t>
      </w:r>
      <w:r w:rsidRPr="0018175A">
        <w:rPr>
          <w:bCs/>
          <w:sz w:val="24"/>
          <w:szCs w:val="24"/>
        </w:rPr>
        <w:t>Augulis</w:t>
      </w:r>
    </w:p>
    <w:p w:rsidR="00D13A29" w:rsidRPr="00D13A29" w:rsidRDefault="00D13A29" w:rsidP="00C64A32">
      <w:pPr>
        <w:tabs>
          <w:tab w:val="left" w:pos="993"/>
        </w:tabs>
        <w:spacing w:before="480" w:after="480"/>
        <w:jc w:val="both"/>
        <w:outlineLvl w:val="0"/>
        <w:rPr>
          <w:bCs/>
          <w:sz w:val="24"/>
          <w:szCs w:val="24"/>
        </w:rPr>
      </w:pPr>
      <w:r w:rsidRPr="00D13A29">
        <w:rPr>
          <w:bCs/>
          <w:sz w:val="24"/>
          <w:szCs w:val="24"/>
        </w:rPr>
        <w:t>Iesniedzējs: Satiksmes ministr</w:t>
      </w:r>
      <w:r w:rsidR="0018175A">
        <w:rPr>
          <w:bCs/>
          <w:sz w:val="24"/>
          <w:szCs w:val="24"/>
        </w:rPr>
        <w:t>s</w:t>
      </w:r>
      <w:r w:rsidRPr="00D13A29">
        <w:rPr>
          <w:bCs/>
          <w:sz w:val="24"/>
          <w:szCs w:val="24"/>
        </w:rPr>
        <w:tab/>
      </w:r>
      <w:r w:rsidRPr="00D13A29">
        <w:rPr>
          <w:bCs/>
          <w:sz w:val="24"/>
          <w:szCs w:val="24"/>
        </w:rPr>
        <w:tab/>
      </w:r>
      <w:r w:rsidRPr="00D13A29">
        <w:rPr>
          <w:bCs/>
          <w:sz w:val="24"/>
          <w:szCs w:val="24"/>
        </w:rPr>
        <w:tab/>
      </w:r>
      <w:r w:rsidRPr="00D13A29">
        <w:rPr>
          <w:bCs/>
          <w:sz w:val="24"/>
          <w:szCs w:val="24"/>
        </w:rPr>
        <w:tab/>
      </w:r>
      <w:r w:rsidRPr="00D13A29">
        <w:rPr>
          <w:bCs/>
          <w:sz w:val="24"/>
          <w:szCs w:val="24"/>
        </w:rPr>
        <w:tab/>
      </w:r>
      <w:r w:rsidRPr="00D13A29">
        <w:rPr>
          <w:bCs/>
          <w:sz w:val="24"/>
          <w:szCs w:val="24"/>
        </w:rPr>
        <w:tab/>
      </w:r>
      <w:r w:rsidR="0018175A" w:rsidRPr="0018175A">
        <w:rPr>
          <w:bCs/>
          <w:sz w:val="24"/>
          <w:szCs w:val="24"/>
        </w:rPr>
        <w:t>U.Augulis</w:t>
      </w:r>
    </w:p>
    <w:p w:rsidR="00C64A32" w:rsidRPr="00D13A29" w:rsidRDefault="00C64A32" w:rsidP="0018175A">
      <w:pPr>
        <w:tabs>
          <w:tab w:val="left" w:pos="993"/>
        </w:tabs>
        <w:spacing w:before="360" w:after="360"/>
        <w:jc w:val="both"/>
        <w:outlineLvl w:val="0"/>
        <w:rPr>
          <w:bCs/>
          <w:sz w:val="24"/>
          <w:szCs w:val="24"/>
        </w:rPr>
      </w:pPr>
    </w:p>
    <w:p w:rsidR="00D13A29" w:rsidRPr="00D13A29" w:rsidRDefault="00D13A29" w:rsidP="0018175A">
      <w:pPr>
        <w:tabs>
          <w:tab w:val="left" w:pos="993"/>
        </w:tabs>
        <w:spacing w:before="360" w:after="360"/>
        <w:jc w:val="both"/>
        <w:outlineLvl w:val="0"/>
        <w:rPr>
          <w:bCs/>
          <w:sz w:val="24"/>
          <w:szCs w:val="24"/>
        </w:rPr>
      </w:pPr>
      <w:r w:rsidRPr="00D13A29">
        <w:rPr>
          <w:bCs/>
          <w:sz w:val="24"/>
          <w:szCs w:val="24"/>
        </w:rPr>
        <w:t>Vīza: Valsts sekretārs</w:t>
      </w:r>
      <w:r w:rsidRPr="00D13A29">
        <w:rPr>
          <w:bCs/>
          <w:sz w:val="24"/>
          <w:szCs w:val="24"/>
        </w:rPr>
        <w:tab/>
      </w:r>
      <w:r w:rsidR="0018175A">
        <w:rPr>
          <w:bCs/>
          <w:sz w:val="24"/>
          <w:szCs w:val="24"/>
        </w:rPr>
        <w:tab/>
      </w:r>
      <w:r w:rsidR="0018175A">
        <w:rPr>
          <w:bCs/>
          <w:sz w:val="24"/>
          <w:szCs w:val="24"/>
        </w:rPr>
        <w:tab/>
      </w:r>
      <w:r w:rsidR="0018175A">
        <w:rPr>
          <w:bCs/>
          <w:sz w:val="24"/>
          <w:szCs w:val="24"/>
        </w:rPr>
        <w:tab/>
      </w:r>
      <w:r w:rsidR="0018175A">
        <w:rPr>
          <w:bCs/>
          <w:sz w:val="24"/>
          <w:szCs w:val="24"/>
        </w:rPr>
        <w:tab/>
      </w:r>
      <w:r w:rsidR="0018175A">
        <w:rPr>
          <w:bCs/>
          <w:sz w:val="24"/>
          <w:szCs w:val="24"/>
        </w:rPr>
        <w:tab/>
      </w:r>
      <w:r w:rsidR="0018175A">
        <w:rPr>
          <w:bCs/>
          <w:sz w:val="24"/>
          <w:szCs w:val="24"/>
        </w:rPr>
        <w:tab/>
      </w:r>
      <w:r w:rsidR="0018175A">
        <w:rPr>
          <w:bCs/>
          <w:sz w:val="24"/>
          <w:szCs w:val="24"/>
        </w:rPr>
        <w:tab/>
      </w:r>
      <w:r w:rsidRPr="00D13A29">
        <w:rPr>
          <w:bCs/>
          <w:sz w:val="24"/>
          <w:szCs w:val="24"/>
        </w:rPr>
        <w:t>K.Ozoliņš</w:t>
      </w:r>
    </w:p>
    <w:p w:rsidR="00C64A32" w:rsidRDefault="00C64A32" w:rsidP="0018175A">
      <w:pPr>
        <w:spacing w:after="0"/>
        <w:jc w:val="both"/>
        <w:rPr>
          <w:sz w:val="20"/>
          <w:szCs w:val="24"/>
        </w:rPr>
      </w:pPr>
    </w:p>
    <w:p w:rsidR="0018175A" w:rsidRPr="00810DAE" w:rsidRDefault="0005400D" w:rsidP="0018175A">
      <w:pPr>
        <w:spacing w:after="0"/>
        <w:jc w:val="both"/>
        <w:rPr>
          <w:sz w:val="20"/>
          <w:szCs w:val="24"/>
        </w:rPr>
      </w:pPr>
      <w:r>
        <w:rPr>
          <w:sz w:val="20"/>
          <w:szCs w:val="24"/>
        </w:rPr>
        <w:t>09.05</w:t>
      </w:r>
      <w:r w:rsidR="00771B73" w:rsidRPr="00810DAE">
        <w:rPr>
          <w:sz w:val="20"/>
          <w:szCs w:val="24"/>
        </w:rPr>
        <w:t>.</w:t>
      </w:r>
      <w:r w:rsidR="0018175A" w:rsidRPr="00810DAE">
        <w:rPr>
          <w:sz w:val="20"/>
          <w:szCs w:val="24"/>
        </w:rPr>
        <w:t>2016.</w:t>
      </w:r>
    </w:p>
    <w:p w:rsidR="0018175A" w:rsidRPr="00810DAE" w:rsidRDefault="0005400D" w:rsidP="0018175A">
      <w:pPr>
        <w:spacing w:after="0"/>
        <w:jc w:val="both"/>
        <w:rPr>
          <w:sz w:val="20"/>
          <w:szCs w:val="24"/>
        </w:rPr>
      </w:pPr>
      <w:r w:rsidRPr="00810DAE">
        <w:rPr>
          <w:sz w:val="20"/>
          <w:szCs w:val="24"/>
        </w:rPr>
        <w:t>20</w:t>
      </w:r>
      <w:r>
        <w:rPr>
          <w:sz w:val="20"/>
          <w:szCs w:val="24"/>
        </w:rPr>
        <w:t>38</w:t>
      </w:r>
    </w:p>
    <w:p w:rsidR="0018175A" w:rsidRPr="00810DAE" w:rsidRDefault="0018175A" w:rsidP="0018175A">
      <w:pPr>
        <w:spacing w:after="0"/>
        <w:jc w:val="both"/>
        <w:rPr>
          <w:sz w:val="20"/>
          <w:szCs w:val="24"/>
        </w:rPr>
      </w:pPr>
      <w:r w:rsidRPr="00810DAE">
        <w:rPr>
          <w:sz w:val="20"/>
          <w:szCs w:val="24"/>
        </w:rPr>
        <w:t>A.Strods, 67028038</w:t>
      </w:r>
    </w:p>
    <w:p w:rsidR="00B521EC" w:rsidRPr="00810DAE" w:rsidRDefault="0018175A" w:rsidP="00810DAE">
      <w:pPr>
        <w:spacing w:after="0"/>
        <w:jc w:val="both"/>
        <w:rPr>
          <w:sz w:val="20"/>
          <w:szCs w:val="24"/>
        </w:rPr>
      </w:pPr>
      <w:r w:rsidRPr="00810DAE">
        <w:rPr>
          <w:sz w:val="20"/>
          <w:szCs w:val="24"/>
        </w:rPr>
        <w:t>Andis.Strods@sam.gov.lv</w:t>
      </w:r>
    </w:p>
    <w:sectPr w:rsidR="00B521EC" w:rsidRPr="00810DAE" w:rsidSect="00627971">
      <w:headerReference w:type="default" r:id="rId12"/>
      <w:footerReference w:type="default" r:id="rId13"/>
      <w:headerReference w:type="first" r:id="rId14"/>
      <w:footerReference w:type="first" r:id="rId15"/>
      <w:pgSz w:w="11906" w:h="16838"/>
      <w:pgMar w:top="1701" w:right="1134" w:bottom="1134" w:left="1418"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B75" w:rsidRDefault="00E02B75">
      <w:pPr>
        <w:spacing w:after="0"/>
      </w:pPr>
      <w:r>
        <w:separator/>
      </w:r>
    </w:p>
  </w:endnote>
  <w:endnote w:type="continuationSeparator" w:id="0">
    <w:p w:rsidR="00E02B75" w:rsidRDefault="00E02B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E9" w:rsidRPr="00D14DE9" w:rsidRDefault="00D14DE9" w:rsidP="00D14DE9">
    <w:pPr>
      <w:pStyle w:val="Footer"/>
      <w:jc w:val="both"/>
      <w:rPr>
        <w:sz w:val="20"/>
      </w:rPr>
    </w:pPr>
    <w:r w:rsidRPr="00D14DE9">
      <w:rPr>
        <w:sz w:val="20"/>
      </w:rPr>
      <w:t>SMNot_SAM611_09052016; Darbības programmas „Izaugsme un nodarbinātība” 6.1.1.specifiskā atbalsta mērķa „Palielināt lielo ostu drošības līmeni un uzlabot transporta tīkla mobilitāti”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E9" w:rsidRPr="00D14DE9" w:rsidRDefault="00D14DE9" w:rsidP="00D14DE9">
    <w:pPr>
      <w:pStyle w:val="Footer"/>
      <w:jc w:val="both"/>
      <w:rPr>
        <w:sz w:val="20"/>
      </w:rPr>
    </w:pPr>
    <w:r w:rsidRPr="00D14DE9">
      <w:rPr>
        <w:sz w:val="20"/>
      </w:rPr>
      <w:t>SMNot_SAM611_09052016; Darbības programmas „Izaugsme un nodarbinātība” 6.1.1.specifiskā atbalsta mērķa „Palielināt lielo ostu drošības līmeni un uzlabot transporta tīkla mobilitāti”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B75" w:rsidRDefault="00E02B75">
      <w:pPr>
        <w:spacing w:after="0"/>
      </w:pPr>
      <w:r>
        <w:separator/>
      </w:r>
    </w:p>
  </w:footnote>
  <w:footnote w:type="continuationSeparator" w:id="0">
    <w:p w:rsidR="00E02B75" w:rsidRDefault="00E02B7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CA" w:rsidRDefault="000E2E67" w:rsidP="00627971">
    <w:pPr>
      <w:pStyle w:val="Header"/>
      <w:jc w:val="center"/>
    </w:pPr>
    <w:r w:rsidRPr="00627971">
      <w:rPr>
        <w:sz w:val="20"/>
        <w:szCs w:val="20"/>
      </w:rPr>
      <w:fldChar w:fldCharType="begin"/>
    </w:r>
    <w:r w:rsidRPr="00627971">
      <w:rPr>
        <w:sz w:val="20"/>
        <w:szCs w:val="20"/>
      </w:rPr>
      <w:instrText xml:space="preserve"> PAGE   \* MERGEFORMAT </w:instrText>
    </w:r>
    <w:r w:rsidRPr="00627971">
      <w:rPr>
        <w:sz w:val="20"/>
        <w:szCs w:val="20"/>
      </w:rPr>
      <w:fldChar w:fldCharType="separate"/>
    </w:r>
    <w:r w:rsidR="00E021CF">
      <w:rPr>
        <w:noProof/>
        <w:sz w:val="20"/>
        <w:szCs w:val="20"/>
      </w:rPr>
      <w:t>6</w:t>
    </w:r>
    <w:r w:rsidRPr="00627971">
      <w:rPr>
        <w:noProo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93" w:rsidRPr="00B15293" w:rsidRDefault="00B15293" w:rsidP="00B15293">
    <w:pPr>
      <w:pStyle w:val="Header"/>
      <w:jc w:val="right"/>
      <w:rPr>
        <w:i/>
      </w:rPr>
    </w:pPr>
    <w:r w:rsidRPr="00B15293">
      <w:rPr>
        <w:i/>
      </w:rPr>
      <w:t>Projekts</w:t>
    </w:r>
  </w:p>
  <w:p w:rsidR="00B15293" w:rsidRDefault="00B152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C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00017"/>
    <w:multiLevelType w:val="hybridMultilevel"/>
    <w:tmpl w:val="74881534"/>
    <w:lvl w:ilvl="0" w:tplc="9F3E895E">
      <w:start w:val="4"/>
      <w:numFmt w:val="decimal"/>
      <w:lvlText w:val="%1.2."/>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0B472B7"/>
    <w:multiLevelType w:val="multilevel"/>
    <w:tmpl w:val="87A68A16"/>
    <w:lvl w:ilvl="0">
      <w:start w:val="1"/>
      <w:numFmt w:val="none"/>
      <w:lvlText w:val="20.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885652B"/>
    <w:multiLevelType w:val="hybridMultilevel"/>
    <w:tmpl w:val="8D9E6AFE"/>
    <w:lvl w:ilvl="0" w:tplc="135062A6">
      <w:start w:val="14"/>
      <w:numFmt w:val="decimal"/>
      <w:lvlText w:val="%1.2"/>
      <w:lvlJc w:val="left"/>
      <w:pPr>
        <w:ind w:left="1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1E511C5"/>
    <w:multiLevelType w:val="multilevel"/>
    <w:tmpl w:val="5A909E1E"/>
    <w:lvl w:ilvl="0">
      <w:start w:val="1"/>
      <w:numFmt w:val="decimal"/>
      <w:lvlText w:val="%1."/>
      <w:lvlJc w:val="left"/>
      <w:pPr>
        <w:ind w:left="720" w:hanging="360"/>
      </w:pPr>
    </w:lvl>
    <w:lvl w:ilvl="1">
      <w:start w:val="1"/>
      <w:numFmt w:val="decimal"/>
      <w:isLgl/>
      <w:lvlText w:val="%1.%2."/>
      <w:lvlJc w:val="left"/>
      <w:pPr>
        <w:ind w:left="449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2AED0D00"/>
    <w:multiLevelType w:val="hybridMultilevel"/>
    <w:tmpl w:val="DF3C897C"/>
    <w:lvl w:ilvl="0" w:tplc="8E6065A8">
      <w:start w:val="14"/>
      <w:numFmt w:val="decimal"/>
      <w:lvlText w:val="%1.1"/>
      <w:lvlJc w:val="left"/>
      <w:pPr>
        <w:ind w:left="284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CFC791E"/>
    <w:multiLevelType w:val="hybridMultilevel"/>
    <w:tmpl w:val="A3B6072C"/>
    <w:lvl w:ilvl="0" w:tplc="135062A6">
      <w:start w:val="14"/>
      <w:numFmt w:val="decimal"/>
      <w:lvlText w:val="%1.2"/>
      <w:lvlJc w:val="left"/>
      <w:pPr>
        <w:ind w:left="1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F547754"/>
    <w:multiLevelType w:val="multilevel"/>
    <w:tmpl w:val="A704DB7A"/>
    <w:lvl w:ilvl="0">
      <w:start w:val="1"/>
      <w:numFmt w:val="none"/>
      <w:lvlText w:val="12.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F5C09E5"/>
    <w:multiLevelType w:val="multilevel"/>
    <w:tmpl w:val="D390F11A"/>
    <w:lvl w:ilvl="0">
      <w:start w:val="1"/>
      <w:numFmt w:val="none"/>
      <w:lvlText w:val="20.3.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0A91145"/>
    <w:multiLevelType w:val="multilevel"/>
    <w:tmpl w:val="F8604350"/>
    <w:lvl w:ilvl="0">
      <w:start w:val="1"/>
      <w:numFmt w:val="decimal"/>
      <w:lvlText w:val="%1."/>
      <w:lvlJc w:val="left"/>
      <w:pPr>
        <w:ind w:left="1636"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F903A3B"/>
    <w:multiLevelType w:val="hybridMultilevel"/>
    <w:tmpl w:val="2C52C390"/>
    <w:lvl w:ilvl="0" w:tplc="D318D4DE">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94B1571"/>
    <w:multiLevelType w:val="hybridMultilevel"/>
    <w:tmpl w:val="8FA8AE3C"/>
    <w:lvl w:ilvl="0" w:tplc="BE6CB240">
      <w:start w:val="4"/>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CEB0623"/>
    <w:multiLevelType w:val="hybridMultilevel"/>
    <w:tmpl w:val="A3B6072C"/>
    <w:lvl w:ilvl="0" w:tplc="135062A6">
      <w:start w:val="14"/>
      <w:numFmt w:val="decimal"/>
      <w:lvlText w:val="%1.2"/>
      <w:lvlJc w:val="left"/>
      <w:pPr>
        <w:ind w:left="1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25F491F"/>
    <w:multiLevelType w:val="multilevel"/>
    <w:tmpl w:val="0426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41D2A93"/>
    <w:multiLevelType w:val="hybridMultilevel"/>
    <w:tmpl w:val="13C26074"/>
    <w:lvl w:ilvl="0" w:tplc="C3B691E0">
      <w:start w:val="12"/>
      <w:numFmt w:val="decimal"/>
      <w:lvlText w:val="%1.2"/>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5">
    <w:nsid w:val="567809F8"/>
    <w:multiLevelType w:val="multilevel"/>
    <w:tmpl w:val="0A8E4488"/>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86E3C49"/>
    <w:multiLevelType w:val="hybridMultilevel"/>
    <w:tmpl w:val="169CC4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3EC2ECB"/>
    <w:multiLevelType w:val="multilevel"/>
    <w:tmpl w:val="5D96A2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0.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467048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325AE0"/>
    <w:multiLevelType w:val="multilevel"/>
    <w:tmpl w:val="0426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22D6CA0"/>
    <w:multiLevelType w:val="hybridMultilevel"/>
    <w:tmpl w:val="0A5AA460"/>
    <w:lvl w:ilvl="0" w:tplc="480438F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FCC01E8"/>
    <w:multiLevelType w:val="hybridMultilevel"/>
    <w:tmpl w:val="8D9E6AFE"/>
    <w:lvl w:ilvl="0" w:tplc="135062A6">
      <w:start w:val="14"/>
      <w:numFmt w:val="decimal"/>
      <w:lvlText w:val="%1.2"/>
      <w:lvlJc w:val="left"/>
      <w:pPr>
        <w:ind w:left="1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0"/>
  </w:num>
  <w:num w:numId="3">
    <w:abstractNumId w:val="13"/>
  </w:num>
  <w:num w:numId="4">
    <w:abstractNumId w:val="19"/>
  </w:num>
  <w:num w:numId="5">
    <w:abstractNumId w:val="15"/>
  </w:num>
  <w:num w:numId="6">
    <w:abstractNumId w:val="16"/>
  </w:num>
  <w:num w:numId="7">
    <w:abstractNumId w:val="10"/>
  </w:num>
  <w:num w:numId="8">
    <w:abstractNumId w:val="1"/>
  </w:num>
  <w:num w:numId="9">
    <w:abstractNumId w:val="11"/>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8"/>
  </w:num>
  <w:num w:numId="16">
    <w:abstractNumId w:val="17"/>
  </w:num>
  <w:num w:numId="17">
    <w:abstractNumId w:val="18"/>
  </w:num>
  <w:num w:numId="18">
    <w:abstractNumId w:val="14"/>
  </w:num>
  <w:num w:numId="19">
    <w:abstractNumId w:val="21"/>
  </w:num>
  <w:num w:numId="20">
    <w:abstractNumId w:val="12"/>
  </w:num>
  <w:num w:numId="21">
    <w:abstractNumId w:val="6"/>
  </w:num>
  <w:num w:numId="22">
    <w:abstractNumId w:val="3"/>
  </w:num>
  <w:num w:numId="2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is S">
    <w15:presenceInfo w15:providerId="Windows Live" w15:userId="a89e9403055692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EC"/>
    <w:rsid w:val="00006535"/>
    <w:rsid w:val="000152FD"/>
    <w:rsid w:val="00021454"/>
    <w:rsid w:val="00023551"/>
    <w:rsid w:val="0002402F"/>
    <w:rsid w:val="000240F3"/>
    <w:rsid w:val="0002469E"/>
    <w:rsid w:val="00027249"/>
    <w:rsid w:val="0003283F"/>
    <w:rsid w:val="0004488C"/>
    <w:rsid w:val="000457AE"/>
    <w:rsid w:val="000460A8"/>
    <w:rsid w:val="00046609"/>
    <w:rsid w:val="00046908"/>
    <w:rsid w:val="0005400D"/>
    <w:rsid w:val="00055190"/>
    <w:rsid w:val="00055DFC"/>
    <w:rsid w:val="00056C18"/>
    <w:rsid w:val="00060A20"/>
    <w:rsid w:val="00061616"/>
    <w:rsid w:val="000641FC"/>
    <w:rsid w:val="00071D21"/>
    <w:rsid w:val="00072195"/>
    <w:rsid w:val="00081FFE"/>
    <w:rsid w:val="000845A9"/>
    <w:rsid w:val="00087890"/>
    <w:rsid w:val="00091929"/>
    <w:rsid w:val="0009606F"/>
    <w:rsid w:val="000A4B1B"/>
    <w:rsid w:val="000A5B7C"/>
    <w:rsid w:val="000B457F"/>
    <w:rsid w:val="000E0FD5"/>
    <w:rsid w:val="000E2E67"/>
    <w:rsid w:val="000E4B21"/>
    <w:rsid w:val="000E7176"/>
    <w:rsid w:val="000E7B4D"/>
    <w:rsid w:val="0010290B"/>
    <w:rsid w:val="00106CBE"/>
    <w:rsid w:val="00114917"/>
    <w:rsid w:val="0011610D"/>
    <w:rsid w:val="00117F3F"/>
    <w:rsid w:val="0012585D"/>
    <w:rsid w:val="001326BC"/>
    <w:rsid w:val="00146CB2"/>
    <w:rsid w:val="0015380C"/>
    <w:rsid w:val="00153AAD"/>
    <w:rsid w:val="00153E92"/>
    <w:rsid w:val="00154D44"/>
    <w:rsid w:val="001577E1"/>
    <w:rsid w:val="00157F2E"/>
    <w:rsid w:val="001639BA"/>
    <w:rsid w:val="00164C59"/>
    <w:rsid w:val="00170E18"/>
    <w:rsid w:val="00172B60"/>
    <w:rsid w:val="0018175A"/>
    <w:rsid w:val="00182C68"/>
    <w:rsid w:val="001845D5"/>
    <w:rsid w:val="00186388"/>
    <w:rsid w:val="00187D4A"/>
    <w:rsid w:val="00191491"/>
    <w:rsid w:val="00195726"/>
    <w:rsid w:val="001A03B5"/>
    <w:rsid w:val="001C0AA5"/>
    <w:rsid w:val="001C2846"/>
    <w:rsid w:val="001C6013"/>
    <w:rsid w:val="001D4913"/>
    <w:rsid w:val="001D5D10"/>
    <w:rsid w:val="001E2C08"/>
    <w:rsid w:val="001E70FA"/>
    <w:rsid w:val="001E71F6"/>
    <w:rsid w:val="001F461F"/>
    <w:rsid w:val="001F5940"/>
    <w:rsid w:val="00206056"/>
    <w:rsid w:val="0022584A"/>
    <w:rsid w:val="00231BE1"/>
    <w:rsid w:val="00237F54"/>
    <w:rsid w:val="00241438"/>
    <w:rsid w:val="002569BC"/>
    <w:rsid w:val="00256DEE"/>
    <w:rsid w:val="00260A2B"/>
    <w:rsid w:val="00270A6C"/>
    <w:rsid w:val="00297DFE"/>
    <w:rsid w:val="002A0F02"/>
    <w:rsid w:val="002B1182"/>
    <w:rsid w:val="002B2EC5"/>
    <w:rsid w:val="002C2BE5"/>
    <w:rsid w:val="002C300C"/>
    <w:rsid w:val="002C5E4A"/>
    <w:rsid w:val="002C78BF"/>
    <w:rsid w:val="002D2D48"/>
    <w:rsid w:val="002E01F8"/>
    <w:rsid w:val="002F4DEE"/>
    <w:rsid w:val="002F6CF6"/>
    <w:rsid w:val="003176FC"/>
    <w:rsid w:val="003177D0"/>
    <w:rsid w:val="00326AC3"/>
    <w:rsid w:val="00332FAA"/>
    <w:rsid w:val="00335AFA"/>
    <w:rsid w:val="003363DD"/>
    <w:rsid w:val="00344226"/>
    <w:rsid w:val="00357861"/>
    <w:rsid w:val="003644A1"/>
    <w:rsid w:val="003707F2"/>
    <w:rsid w:val="0038198C"/>
    <w:rsid w:val="003861DA"/>
    <w:rsid w:val="003A0A14"/>
    <w:rsid w:val="003A63DD"/>
    <w:rsid w:val="003A6F63"/>
    <w:rsid w:val="003B0916"/>
    <w:rsid w:val="003C165C"/>
    <w:rsid w:val="003C28D1"/>
    <w:rsid w:val="003C2F3B"/>
    <w:rsid w:val="003C6F99"/>
    <w:rsid w:val="003D0100"/>
    <w:rsid w:val="003F0CE7"/>
    <w:rsid w:val="00401EB1"/>
    <w:rsid w:val="00410462"/>
    <w:rsid w:val="00411861"/>
    <w:rsid w:val="00413468"/>
    <w:rsid w:val="004146AD"/>
    <w:rsid w:val="00417978"/>
    <w:rsid w:val="00421260"/>
    <w:rsid w:val="00432668"/>
    <w:rsid w:val="00432E62"/>
    <w:rsid w:val="00436F47"/>
    <w:rsid w:val="00450E6C"/>
    <w:rsid w:val="00455917"/>
    <w:rsid w:val="00463BC6"/>
    <w:rsid w:val="004661EB"/>
    <w:rsid w:val="0046642E"/>
    <w:rsid w:val="004830FF"/>
    <w:rsid w:val="00490E63"/>
    <w:rsid w:val="004A4A93"/>
    <w:rsid w:val="004A50FA"/>
    <w:rsid w:val="004B4040"/>
    <w:rsid w:val="004C3C15"/>
    <w:rsid w:val="004D0EB1"/>
    <w:rsid w:val="004D3D7D"/>
    <w:rsid w:val="004D3DFA"/>
    <w:rsid w:val="004D3ED6"/>
    <w:rsid w:val="004D7526"/>
    <w:rsid w:val="004E6207"/>
    <w:rsid w:val="004F7B16"/>
    <w:rsid w:val="005108D0"/>
    <w:rsid w:val="005125F6"/>
    <w:rsid w:val="00513039"/>
    <w:rsid w:val="00524C7E"/>
    <w:rsid w:val="005308A5"/>
    <w:rsid w:val="005317EC"/>
    <w:rsid w:val="00532345"/>
    <w:rsid w:val="00563A33"/>
    <w:rsid w:val="005645DC"/>
    <w:rsid w:val="00570C7F"/>
    <w:rsid w:val="00571D92"/>
    <w:rsid w:val="00572977"/>
    <w:rsid w:val="0057477B"/>
    <w:rsid w:val="00575662"/>
    <w:rsid w:val="0058394B"/>
    <w:rsid w:val="00584D4E"/>
    <w:rsid w:val="00587806"/>
    <w:rsid w:val="00587EFA"/>
    <w:rsid w:val="005A0ACF"/>
    <w:rsid w:val="005B108C"/>
    <w:rsid w:val="005B4AA0"/>
    <w:rsid w:val="005C6562"/>
    <w:rsid w:val="005C6632"/>
    <w:rsid w:val="005C70B0"/>
    <w:rsid w:val="005C73F8"/>
    <w:rsid w:val="005D5ABF"/>
    <w:rsid w:val="005E2DDA"/>
    <w:rsid w:val="005F531E"/>
    <w:rsid w:val="00603822"/>
    <w:rsid w:val="00603826"/>
    <w:rsid w:val="0061025A"/>
    <w:rsid w:val="006118AD"/>
    <w:rsid w:val="00620A80"/>
    <w:rsid w:val="006232B0"/>
    <w:rsid w:val="00626BA8"/>
    <w:rsid w:val="006275C0"/>
    <w:rsid w:val="00627971"/>
    <w:rsid w:val="00632EB3"/>
    <w:rsid w:val="006344E6"/>
    <w:rsid w:val="00634BFC"/>
    <w:rsid w:val="0065344E"/>
    <w:rsid w:val="006565F0"/>
    <w:rsid w:val="0065782D"/>
    <w:rsid w:val="006606D6"/>
    <w:rsid w:val="006706E5"/>
    <w:rsid w:val="006772A0"/>
    <w:rsid w:val="00691FA1"/>
    <w:rsid w:val="0069564E"/>
    <w:rsid w:val="00695B58"/>
    <w:rsid w:val="00695DB6"/>
    <w:rsid w:val="006A26F8"/>
    <w:rsid w:val="006A5258"/>
    <w:rsid w:val="006C05B0"/>
    <w:rsid w:val="006C37C2"/>
    <w:rsid w:val="006C424D"/>
    <w:rsid w:val="006C6500"/>
    <w:rsid w:val="006D2F5F"/>
    <w:rsid w:val="006D69F6"/>
    <w:rsid w:val="006E2381"/>
    <w:rsid w:val="006E2543"/>
    <w:rsid w:val="006F0F2E"/>
    <w:rsid w:val="006F51F9"/>
    <w:rsid w:val="00707D18"/>
    <w:rsid w:val="00716E5A"/>
    <w:rsid w:val="00723494"/>
    <w:rsid w:val="007264ED"/>
    <w:rsid w:val="00726C07"/>
    <w:rsid w:val="00727BC8"/>
    <w:rsid w:val="00731479"/>
    <w:rsid w:val="00740FBF"/>
    <w:rsid w:val="00742FBB"/>
    <w:rsid w:val="007459F4"/>
    <w:rsid w:val="00762A0C"/>
    <w:rsid w:val="00766317"/>
    <w:rsid w:val="00766726"/>
    <w:rsid w:val="0077032A"/>
    <w:rsid w:val="007711DC"/>
    <w:rsid w:val="00771B73"/>
    <w:rsid w:val="00776CE8"/>
    <w:rsid w:val="00786B1E"/>
    <w:rsid w:val="00790D1C"/>
    <w:rsid w:val="00794D93"/>
    <w:rsid w:val="007A4E44"/>
    <w:rsid w:val="007A5321"/>
    <w:rsid w:val="007A5A9D"/>
    <w:rsid w:val="007B0974"/>
    <w:rsid w:val="007E600E"/>
    <w:rsid w:val="00801B35"/>
    <w:rsid w:val="008067CF"/>
    <w:rsid w:val="00810DAE"/>
    <w:rsid w:val="00812D1B"/>
    <w:rsid w:val="00813A25"/>
    <w:rsid w:val="0081477F"/>
    <w:rsid w:val="00815E6E"/>
    <w:rsid w:val="008231DD"/>
    <w:rsid w:val="0082496B"/>
    <w:rsid w:val="00824B29"/>
    <w:rsid w:val="00825927"/>
    <w:rsid w:val="00826A1F"/>
    <w:rsid w:val="00830703"/>
    <w:rsid w:val="00830A85"/>
    <w:rsid w:val="0083340A"/>
    <w:rsid w:val="008367B2"/>
    <w:rsid w:val="00846E6F"/>
    <w:rsid w:val="00847FF9"/>
    <w:rsid w:val="0085295B"/>
    <w:rsid w:val="0086429A"/>
    <w:rsid w:val="00864746"/>
    <w:rsid w:val="00866A60"/>
    <w:rsid w:val="008716C8"/>
    <w:rsid w:val="008770D2"/>
    <w:rsid w:val="008824EB"/>
    <w:rsid w:val="00885968"/>
    <w:rsid w:val="008879F5"/>
    <w:rsid w:val="00887CFD"/>
    <w:rsid w:val="00894D8A"/>
    <w:rsid w:val="00895025"/>
    <w:rsid w:val="00896AC6"/>
    <w:rsid w:val="008A2F16"/>
    <w:rsid w:val="008A38F2"/>
    <w:rsid w:val="008B4C23"/>
    <w:rsid w:val="008B7505"/>
    <w:rsid w:val="008C0718"/>
    <w:rsid w:val="008C089F"/>
    <w:rsid w:val="008C620E"/>
    <w:rsid w:val="008D0730"/>
    <w:rsid w:val="008D2F6C"/>
    <w:rsid w:val="008D2FF6"/>
    <w:rsid w:val="008E46A7"/>
    <w:rsid w:val="008E5F5E"/>
    <w:rsid w:val="008F112E"/>
    <w:rsid w:val="008F3440"/>
    <w:rsid w:val="00903A64"/>
    <w:rsid w:val="00910689"/>
    <w:rsid w:val="00912E34"/>
    <w:rsid w:val="00930ABA"/>
    <w:rsid w:val="009453D2"/>
    <w:rsid w:val="00950A6D"/>
    <w:rsid w:val="00960895"/>
    <w:rsid w:val="0096157F"/>
    <w:rsid w:val="00961B03"/>
    <w:rsid w:val="009768CB"/>
    <w:rsid w:val="00981D5B"/>
    <w:rsid w:val="00983068"/>
    <w:rsid w:val="009836C5"/>
    <w:rsid w:val="009914D0"/>
    <w:rsid w:val="0099387C"/>
    <w:rsid w:val="00994F2C"/>
    <w:rsid w:val="00995D15"/>
    <w:rsid w:val="009A3017"/>
    <w:rsid w:val="009A4659"/>
    <w:rsid w:val="009B004D"/>
    <w:rsid w:val="009C62BB"/>
    <w:rsid w:val="009D43AD"/>
    <w:rsid w:val="009D5D90"/>
    <w:rsid w:val="009D5EFC"/>
    <w:rsid w:val="009D6D33"/>
    <w:rsid w:val="009F1765"/>
    <w:rsid w:val="00A008C3"/>
    <w:rsid w:val="00A031BA"/>
    <w:rsid w:val="00A0683E"/>
    <w:rsid w:val="00A10FE9"/>
    <w:rsid w:val="00A1409C"/>
    <w:rsid w:val="00A228E3"/>
    <w:rsid w:val="00A34959"/>
    <w:rsid w:val="00A402DD"/>
    <w:rsid w:val="00A425A4"/>
    <w:rsid w:val="00A432BE"/>
    <w:rsid w:val="00A45E88"/>
    <w:rsid w:val="00A5175E"/>
    <w:rsid w:val="00A53222"/>
    <w:rsid w:val="00A53AC8"/>
    <w:rsid w:val="00A60CEB"/>
    <w:rsid w:val="00A611C0"/>
    <w:rsid w:val="00A67AA0"/>
    <w:rsid w:val="00A84BAF"/>
    <w:rsid w:val="00A84E77"/>
    <w:rsid w:val="00A86D63"/>
    <w:rsid w:val="00A93908"/>
    <w:rsid w:val="00AC0A17"/>
    <w:rsid w:val="00AC2309"/>
    <w:rsid w:val="00AC72A9"/>
    <w:rsid w:val="00AC7B24"/>
    <w:rsid w:val="00AD4184"/>
    <w:rsid w:val="00AE2D9C"/>
    <w:rsid w:val="00AE5642"/>
    <w:rsid w:val="00AF2573"/>
    <w:rsid w:val="00AF2EE3"/>
    <w:rsid w:val="00AF3A29"/>
    <w:rsid w:val="00AF6805"/>
    <w:rsid w:val="00B02B6D"/>
    <w:rsid w:val="00B0378B"/>
    <w:rsid w:val="00B062FF"/>
    <w:rsid w:val="00B123BA"/>
    <w:rsid w:val="00B14736"/>
    <w:rsid w:val="00B15293"/>
    <w:rsid w:val="00B159D8"/>
    <w:rsid w:val="00B235B8"/>
    <w:rsid w:val="00B3438A"/>
    <w:rsid w:val="00B46C4E"/>
    <w:rsid w:val="00B521EC"/>
    <w:rsid w:val="00B5727A"/>
    <w:rsid w:val="00B653EB"/>
    <w:rsid w:val="00B721F4"/>
    <w:rsid w:val="00B73875"/>
    <w:rsid w:val="00B73E9D"/>
    <w:rsid w:val="00B76BA0"/>
    <w:rsid w:val="00B827C1"/>
    <w:rsid w:val="00B90C8E"/>
    <w:rsid w:val="00BA45EF"/>
    <w:rsid w:val="00BA7140"/>
    <w:rsid w:val="00BA7DBA"/>
    <w:rsid w:val="00BB50FA"/>
    <w:rsid w:val="00BC0B24"/>
    <w:rsid w:val="00BC0ECA"/>
    <w:rsid w:val="00BC1EEF"/>
    <w:rsid w:val="00BC2B79"/>
    <w:rsid w:val="00BC5421"/>
    <w:rsid w:val="00BD20B2"/>
    <w:rsid w:val="00BD4CEA"/>
    <w:rsid w:val="00BD5F94"/>
    <w:rsid w:val="00BD6D9F"/>
    <w:rsid w:val="00BE035F"/>
    <w:rsid w:val="00BE095C"/>
    <w:rsid w:val="00BE595C"/>
    <w:rsid w:val="00BF2376"/>
    <w:rsid w:val="00C019F6"/>
    <w:rsid w:val="00C04316"/>
    <w:rsid w:val="00C04598"/>
    <w:rsid w:val="00C1092D"/>
    <w:rsid w:val="00C1361D"/>
    <w:rsid w:val="00C22936"/>
    <w:rsid w:val="00C23EDC"/>
    <w:rsid w:val="00C270FF"/>
    <w:rsid w:val="00C35ECA"/>
    <w:rsid w:val="00C3761C"/>
    <w:rsid w:val="00C37A77"/>
    <w:rsid w:val="00C41B3A"/>
    <w:rsid w:val="00C437B1"/>
    <w:rsid w:val="00C564E2"/>
    <w:rsid w:val="00C57A5B"/>
    <w:rsid w:val="00C57BEE"/>
    <w:rsid w:val="00C64A32"/>
    <w:rsid w:val="00C6635C"/>
    <w:rsid w:val="00C7299C"/>
    <w:rsid w:val="00C835B1"/>
    <w:rsid w:val="00C9589E"/>
    <w:rsid w:val="00C96908"/>
    <w:rsid w:val="00C96F7F"/>
    <w:rsid w:val="00CB1A1E"/>
    <w:rsid w:val="00CB393A"/>
    <w:rsid w:val="00CB7645"/>
    <w:rsid w:val="00CC31F2"/>
    <w:rsid w:val="00CC4164"/>
    <w:rsid w:val="00CD7B38"/>
    <w:rsid w:val="00CE0A4C"/>
    <w:rsid w:val="00CE2105"/>
    <w:rsid w:val="00CF2FD7"/>
    <w:rsid w:val="00D00373"/>
    <w:rsid w:val="00D00A1C"/>
    <w:rsid w:val="00D13A29"/>
    <w:rsid w:val="00D14DE9"/>
    <w:rsid w:val="00D16DC1"/>
    <w:rsid w:val="00D245BC"/>
    <w:rsid w:val="00D270EF"/>
    <w:rsid w:val="00D27762"/>
    <w:rsid w:val="00D35F66"/>
    <w:rsid w:val="00D417A6"/>
    <w:rsid w:val="00D4291A"/>
    <w:rsid w:val="00D4643E"/>
    <w:rsid w:val="00D50F35"/>
    <w:rsid w:val="00D6320D"/>
    <w:rsid w:val="00D77B35"/>
    <w:rsid w:val="00D803CA"/>
    <w:rsid w:val="00D833FC"/>
    <w:rsid w:val="00D90A93"/>
    <w:rsid w:val="00D9527D"/>
    <w:rsid w:val="00D95EE8"/>
    <w:rsid w:val="00D97B23"/>
    <w:rsid w:val="00DA27DB"/>
    <w:rsid w:val="00DA5312"/>
    <w:rsid w:val="00DA6165"/>
    <w:rsid w:val="00DB0F5C"/>
    <w:rsid w:val="00DB2E42"/>
    <w:rsid w:val="00DB3E09"/>
    <w:rsid w:val="00DC3CC5"/>
    <w:rsid w:val="00DC4157"/>
    <w:rsid w:val="00DC437C"/>
    <w:rsid w:val="00DE6A8F"/>
    <w:rsid w:val="00DF1BF9"/>
    <w:rsid w:val="00DF5B24"/>
    <w:rsid w:val="00E021CF"/>
    <w:rsid w:val="00E02B75"/>
    <w:rsid w:val="00E06785"/>
    <w:rsid w:val="00E11A69"/>
    <w:rsid w:val="00E15450"/>
    <w:rsid w:val="00E24269"/>
    <w:rsid w:val="00E27DFC"/>
    <w:rsid w:val="00E31608"/>
    <w:rsid w:val="00E35901"/>
    <w:rsid w:val="00E50465"/>
    <w:rsid w:val="00E51875"/>
    <w:rsid w:val="00E52358"/>
    <w:rsid w:val="00E53643"/>
    <w:rsid w:val="00E53720"/>
    <w:rsid w:val="00E73415"/>
    <w:rsid w:val="00E75148"/>
    <w:rsid w:val="00E7730E"/>
    <w:rsid w:val="00E83AB4"/>
    <w:rsid w:val="00E87158"/>
    <w:rsid w:val="00EA0987"/>
    <w:rsid w:val="00EA625C"/>
    <w:rsid w:val="00EA6C60"/>
    <w:rsid w:val="00EC4DE3"/>
    <w:rsid w:val="00EF5D9F"/>
    <w:rsid w:val="00F03580"/>
    <w:rsid w:val="00F0575E"/>
    <w:rsid w:val="00F17A1D"/>
    <w:rsid w:val="00F323AD"/>
    <w:rsid w:val="00F518FF"/>
    <w:rsid w:val="00F53D7D"/>
    <w:rsid w:val="00F568EF"/>
    <w:rsid w:val="00F648A8"/>
    <w:rsid w:val="00F700D1"/>
    <w:rsid w:val="00F7343C"/>
    <w:rsid w:val="00F73BB0"/>
    <w:rsid w:val="00F76C3E"/>
    <w:rsid w:val="00F87609"/>
    <w:rsid w:val="00F96CB1"/>
    <w:rsid w:val="00FA714C"/>
    <w:rsid w:val="00FB2EAC"/>
    <w:rsid w:val="00FB6AFD"/>
    <w:rsid w:val="00FC7FE4"/>
    <w:rsid w:val="00FD530F"/>
    <w:rsid w:val="00FE0BA4"/>
    <w:rsid w:val="00FE13CA"/>
    <w:rsid w:val="00FE5B0D"/>
    <w:rsid w:val="00FF2B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1EC"/>
    <w:pPr>
      <w:tabs>
        <w:tab w:val="center" w:pos="4153"/>
        <w:tab w:val="right" w:pos="8306"/>
      </w:tabs>
      <w:spacing w:after="0"/>
    </w:pPr>
  </w:style>
  <w:style w:type="character" w:customStyle="1" w:styleId="HeaderChar">
    <w:name w:val="Header Char"/>
    <w:basedOn w:val="DefaultParagraphFont"/>
    <w:link w:val="Header"/>
    <w:uiPriority w:val="99"/>
    <w:rsid w:val="00B521EC"/>
  </w:style>
  <w:style w:type="paragraph" w:styleId="BalloonText">
    <w:name w:val="Balloon Text"/>
    <w:basedOn w:val="Normal"/>
    <w:link w:val="BalloonTextChar"/>
    <w:uiPriority w:val="99"/>
    <w:semiHidden/>
    <w:unhideWhenUsed/>
    <w:rsid w:val="00B521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EC"/>
    <w:rPr>
      <w:rFonts w:ascii="Tahoma" w:hAnsi="Tahoma" w:cs="Tahoma"/>
      <w:sz w:val="16"/>
      <w:szCs w:val="16"/>
    </w:rPr>
  </w:style>
  <w:style w:type="paragraph" w:styleId="ListParagraph">
    <w:name w:val="List Paragraph"/>
    <w:aliases w:val="2"/>
    <w:basedOn w:val="Normal"/>
    <w:link w:val="ListParagraphChar"/>
    <w:uiPriority w:val="34"/>
    <w:qFormat/>
    <w:rsid w:val="00930ABA"/>
    <w:pPr>
      <w:ind w:left="720"/>
      <w:contextualSpacing/>
    </w:pPr>
  </w:style>
  <w:style w:type="paragraph" w:styleId="Footer">
    <w:name w:val="footer"/>
    <w:basedOn w:val="Normal"/>
    <w:link w:val="FooterChar"/>
    <w:uiPriority w:val="99"/>
    <w:unhideWhenUsed/>
    <w:rsid w:val="000E4B21"/>
    <w:pPr>
      <w:tabs>
        <w:tab w:val="center" w:pos="4153"/>
        <w:tab w:val="right" w:pos="8306"/>
      </w:tabs>
      <w:spacing w:after="0"/>
    </w:pPr>
  </w:style>
  <w:style w:type="character" w:customStyle="1" w:styleId="FooterChar">
    <w:name w:val="Footer Char"/>
    <w:basedOn w:val="DefaultParagraphFont"/>
    <w:link w:val="Footer"/>
    <w:uiPriority w:val="99"/>
    <w:rsid w:val="000E4B21"/>
  </w:style>
  <w:style w:type="character" w:styleId="CommentReference">
    <w:name w:val="annotation reference"/>
    <w:basedOn w:val="DefaultParagraphFont"/>
    <w:uiPriority w:val="99"/>
    <w:semiHidden/>
    <w:unhideWhenUsed/>
    <w:rsid w:val="00587806"/>
    <w:rPr>
      <w:sz w:val="16"/>
      <w:szCs w:val="16"/>
    </w:rPr>
  </w:style>
  <w:style w:type="paragraph" w:styleId="CommentText">
    <w:name w:val="annotation text"/>
    <w:basedOn w:val="Normal"/>
    <w:link w:val="CommentTextChar"/>
    <w:uiPriority w:val="99"/>
    <w:unhideWhenUsed/>
    <w:rsid w:val="00587806"/>
    <w:rPr>
      <w:sz w:val="20"/>
      <w:szCs w:val="20"/>
    </w:rPr>
  </w:style>
  <w:style w:type="character" w:customStyle="1" w:styleId="CommentTextChar">
    <w:name w:val="Comment Text Char"/>
    <w:basedOn w:val="DefaultParagraphFont"/>
    <w:link w:val="CommentText"/>
    <w:uiPriority w:val="99"/>
    <w:rsid w:val="00587806"/>
    <w:rPr>
      <w:sz w:val="20"/>
      <w:szCs w:val="20"/>
    </w:rPr>
  </w:style>
  <w:style w:type="paragraph" w:styleId="CommentSubject">
    <w:name w:val="annotation subject"/>
    <w:basedOn w:val="CommentText"/>
    <w:next w:val="CommentText"/>
    <w:link w:val="CommentSubjectChar"/>
    <w:uiPriority w:val="99"/>
    <w:semiHidden/>
    <w:unhideWhenUsed/>
    <w:rsid w:val="00587806"/>
    <w:rPr>
      <w:b/>
      <w:bCs/>
    </w:rPr>
  </w:style>
  <w:style w:type="character" w:customStyle="1" w:styleId="CommentSubjectChar">
    <w:name w:val="Comment Subject Char"/>
    <w:basedOn w:val="CommentTextChar"/>
    <w:link w:val="CommentSubject"/>
    <w:uiPriority w:val="99"/>
    <w:semiHidden/>
    <w:rsid w:val="00587806"/>
    <w:rPr>
      <w:b/>
      <w:bCs/>
      <w:sz w:val="20"/>
      <w:szCs w:val="20"/>
    </w:rPr>
  </w:style>
  <w:style w:type="paragraph" w:customStyle="1" w:styleId="Default">
    <w:name w:val="Default"/>
    <w:rsid w:val="008F112E"/>
    <w:pPr>
      <w:autoSpaceDE w:val="0"/>
      <w:autoSpaceDN w:val="0"/>
      <w:adjustRightInd w:val="0"/>
      <w:spacing w:after="0"/>
    </w:pPr>
    <w:rPr>
      <w:rFonts w:cs="Times New Roman"/>
      <w:color w:val="000000"/>
      <w:sz w:val="24"/>
      <w:szCs w:val="24"/>
    </w:rPr>
  </w:style>
  <w:style w:type="character" w:styleId="Hyperlink">
    <w:name w:val="Hyperlink"/>
    <w:basedOn w:val="DefaultParagraphFont"/>
    <w:uiPriority w:val="99"/>
    <w:unhideWhenUsed/>
    <w:rsid w:val="00E31608"/>
    <w:rPr>
      <w:color w:val="0000FF" w:themeColor="hyperlink"/>
      <w:u w:val="single"/>
    </w:rPr>
  </w:style>
  <w:style w:type="character" w:customStyle="1" w:styleId="ListParagraphChar">
    <w:name w:val="List Paragraph Char"/>
    <w:aliases w:val="2 Char"/>
    <w:link w:val="ListParagraph"/>
    <w:uiPriority w:val="34"/>
    <w:rsid w:val="008A2F16"/>
  </w:style>
  <w:style w:type="paragraph" w:styleId="Revision">
    <w:name w:val="Revision"/>
    <w:hidden/>
    <w:uiPriority w:val="99"/>
    <w:semiHidden/>
    <w:rsid w:val="00195726"/>
    <w:pPr>
      <w:spacing w:after="0"/>
    </w:pPr>
  </w:style>
  <w:style w:type="paragraph" w:customStyle="1" w:styleId="tv2132">
    <w:name w:val="tv2132"/>
    <w:basedOn w:val="Normal"/>
    <w:rsid w:val="00825927"/>
    <w:pPr>
      <w:spacing w:after="0" w:line="360" w:lineRule="auto"/>
      <w:ind w:firstLine="300"/>
    </w:pPr>
    <w:rPr>
      <w:rFonts w:eastAsia="Times New Roman" w:cs="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1EC"/>
    <w:pPr>
      <w:tabs>
        <w:tab w:val="center" w:pos="4153"/>
        <w:tab w:val="right" w:pos="8306"/>
      </w:tabs>
      <w:spacing w:after="0"/>
    </w:pPr>
  </w:style>
  <w:style w:type="character" w:customStyle="1" w:styleId="HeaderChar">
    <w:name w:val="Header Char"/>
    <w:basedOn w:val="DefaultParagraphFont"/>
    <w:link w:val="Header"/>
    <w:uiPriority w:val="99"/>
    <w:rsid w:val="00B521EC"/>
  </w:style>
  <w:style w:type="paragraph" w:styleId="BalloonText">
    <w:name w:val="Balloon Text"/>
    <w:basedOn w:val="Normal"/>
    <w:link w:val="BalloonTextChar"/>
    <w:uiPriority w:val="99"/>
    <w:semiHidden/>
    <w:unhideWhenUsed/>
    <w:rsid w:val="00B521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EC"/>
    <w:rPr>
      <w:rFonts w:ascii="Tahoma" w:hAnsi="Tahoma" w:cs="Tahoma"/>
      <w:sz w:val="16"/>
      <w:szCs w:val="16"/>
    </w:rPr>
  </w:style>
  <w:style w:type="paragraph" w:styleId="ListParagraph">
    <w:name w:val="List Paragraph"/>
    <w:aliases w:val="2"/>
    <w:basedOn w:val="Normal"/>
    <w:link w:val="ListParagraphChar"/>
    <w:uiPriority w:val="34"/>
    <w:qFormat/>
    <w:rsid w:val="00930ABA"/>
    <w:pPr>
      <w:ind w:left="720"/>
      <w:contextualSpacing/>
    </w:pPr>
  </w:style>
  <w:style w:type="paragraph" w:styleId="Footer">
    <w:name w:val="footer"/>
    <w:basedOn w:val="Normal"/>
    <w:link w:val="FooterChar"/>
    <w:uiPriority w:val="99"/>
    <w:unhideWhenUsed/>
    <w:rsid w:val="000E4B21"/>
    <w:pPr>
      <w:tabs>
        <w:tab w:val="center" w:pos="4153"/>
        <w:tab w:val="right" w:pos="8306"/>
      </w:tabs>
      <w:spacing w:after="0"/>
    </w:pPr>
  </w:style>
  <w:style w:type="character" w:customStyle="1" w:styleId="FooterChar">
    <w:name w:val="Footer Char"/>
    <w:basedOn w:val="DefaultParagraphFont"/>
    <w:link w:val="Footer"/>
    <w:uiPriority w:val="99"/>
    <w:rsid w:val="000E4B21"/>
  </w:style>
  <w:style w:type="character" w:styleId="CommentReference">
    <w:name w:val="annotation reference"/>
    <w:basedOn w:val="DefaultParagraphFont"/>
    <w:uiPriority w:val="99"/>
    <w:semiHidden/>
    <w:unhideWhenUsed/>
    <w:rsid w:val="00587806"/>
    <w:rPr>
      <w:sz w:val="16"/>
      <w:szCs w:val="16"/>
    </w:rPr>
  </w:style>
  <w:style w:type="paragraph" w:styleId="CommentText">
    <w:name w:val="annotation text"/>
    <w:basedOn w:val="Normal"/>
    <w:link w:val="CommentTextChar"/>
    <w:uiPriority w:val="99"/>
    <w:unhideWhenUsed/>
    <w:rsid w:val="00587806"/>
    <w:rPr>
      <w:sz w:val="20"/>
      <w:szCs w:val="20"/>
    </w:rPr>
  </w:style>
  <w:style w:type="character" w:customStyle="1" w:styleId="CommentTextChar">
    <w:name w:val="Comment Text Char"/>
    <w:basedOn w:val="DefaultParagraphFont"/>
    <w:link w:val="CommentText"/>
    <w:uiPriority w:val="99"/>
    <w:rsid w:val="00587806"/>
    <w:rPr>
      <w:sz w:val="20"/>
      <w:szCs w:val="20"/>
    </w:rPr>
  </w:style>
  <w:style w:type="paragraph" w:styleId="CommentSubject">
    <w:name w:val="annotation subject"/>
    <w:basedOn w:val="CommentText"/>
    <w:next w:val="CommentText"/>
    <w:link w:val="CommentSubjectChar"/>
    <w:uiPriority w:val="99"/>
    <w:semiHidden/>
    <w:unhideWhenUsed/>
    <w:rsid w:val="00587806"/>
    <w:rPr>
      <w:b/>
      <w:bCs/>
    </w:rPr>
  </w:style>
  <w:style w:type="character" w:customStyle="1" w:styleId="CommentSubjectChar">
    <w:name w:val="Comment Subject Char"/>
    <w:basedOn w:val="CommentTextChar"/>
    <w:link w:val="CommentSubject"/>
    <w:uiPriority w:val="99"/>
    <w:semiHidden/>
    <w:rsid w:val="00587806"/>
    <w:rPr>
      <w:b/>
      <w:bCs/>
      <w:sz w:val="20"/>
      <w:szCs w:val="20"/>
    </w:rPr>
  </w:style>
  <w:style w:type="paragraph" w:customStyle="1" w:styleId="Default">
    <w:name w:val="Default"/>
    <w:rsid w:val="008F112E"/>
    <w:pPr>
      <w:autoSpaceDE w:val="0"/>
      <w:autoSpaceDN w:val="0"/>
      <w:adjustRightInd w:val="0"/>
      <w:spacing w:after="0"/>
    </w:pPr>
    <w:rPr>
      <w:rFonts w:cs="Times New Roman"/>
      <w:color w:val="000000"/>
      <w:sz w:val="24"/>
      <w:szCs w:val="24"/>
    </w:rPr>
  </w:style>
  <w:style w:type="character" w:styleId="Hyperlink">
    <w:name w:val="Hyperlink"/>
    <w:basedOn w:val="DefaultParagraphFont"/>
    <w:uiPriority w:val="99"/>
    <w:unhideWhenUsed/>
    <w:rsid w:val="00E31608"/>
    <w:rPr>
      <w:color w:val="0000FF" w:themeColor="hyperlink"/>
      <w:u w:val="single"/>
    </w:rPr>
  </w:style>
  <w:style w:type="character" w:customStyle="1" w:styleId="ListParagraphChar">
    <w:name w:val="List Paragraph Char"/>
    <w:aliases w:val="2 Char"/>
    <w:link w:val="ListParagraph"/>
    <w:uiPriority w:val="34"/>
    <w:rsid w:val="008A2F16"/>
  </w:style>
  <w:style w:type="paragraph" w:styleId="Revision">
    <w:name w:val="Revision"/>
    <w:hidden/>
    <w:uiPriority w:val="99"/>
    <w:semiHidden/>
    <w:rsid w:val="00195726"/>
    <w:pPr>
      <w:spacing w:after="0"/>
    </w:pPr>
  </w:style>
  <w:style w:type="paragraph" w:customStyle="1" w:styleId="tv2132">
    <w:name w:val="tv2132"/>
    <w:basedOn w:val="Normal"/>
    <w:rsid w:val="00825927"/>
    <w:pPr>
      <w:spacing w:after="0" w:line="360" w:lineRule="auto"/>
      <w:ind w:firstLine="300"/>
    </w:pPr>
    <w:rPr>
      <w:rFonts w:eastAsia="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671150">
      <w:bodyDiv w:val="1"/>
      <w:marLeft w:val="0"/>
      <w:marRight w:val="0"/>
      <w:marTop w:val="0"/>
      <w:marBottom w:val="0"/>
      <w:divBdr>
        <w:top w:val="none" w:sz="0" w:space="0" w:color="auto"/>
        <w:left w:val="none" w:sz="0" w:space="0" w:color="auto"/>
        <w:bottom w:val="none" w:sz="0" w:space="0" w:color="auto"/>
        <w:right w:val="none" w:sz="0" w:space="0" w:color="auto"/>
      </w:divBdr>
    </w:div>
    <w:div w:id="681317970">
      <w:bodyDiv w:val="1"/>
      <w:marLeft w:val="0"/>
      <w:marRight w:val="0"/>
      <w:marTop w:val="0"/>
      <w:marBottom w:val="0"/>
      <w:divBdr>
        <w:top w:val="none" w:sz="0" w:space="0" w:color="auto"/>
        <w:left w:val="none" w:sz="0" w:space="0" w:color="auto"/>
        <w:bottom w:val="none" w:sz="0" w:space="0" w:color="auto"/>
        <w:right w:val="none" w:sz="0" w:space="0" w:color="auto"/>
      </w:divBdr>
      <w:divsChild>
        <w:div w:id="1083062557">
          <w:marLeft w:val="0"/>
          <w:marRight w:val="0"/>
          <w:marTop w:val="0"/>
          <w:marBottom w:val="0"/>
          <w:divBdr>
            <w:top w:val="none" w:sz="0" w:space="0" w:color="auto"/>
            <w:left w:val="none" w:sz="0" w:space="0" w:color="auto"/>
            <w:bottom w:val="none" w:sz="0" w:space="0" w:color="auto"/>
            <w:right w:val="none" w:sz="0" w:space="0" w:color="auto"/>
          </w:divBdr>
          <w:divsChild>
            <w:div w:id="216093390">
              <w:marLeft w:val="0"/>
              <w:marRight w:val="0"/>
              <w:marTop w:val="0"/>
              <w:marBottom w:val="0"/>
              <w:divBdr>
                <w:top w:val="none" w:sz="0" w:space="0" w:color="auto"/>
                <w:left w:val="none" w:sz="0" w:space="0" w:color="auto"/>
                <w:bottom w:val="none" w:sz="0" w:space="0" w:color="auto"/>
                <w:right w:val="none" w:sz="0" w:space="0" w:color="auto"/>
              </w:divBdr>
              <w:divsChild>
                <w:div w:id="1438598559">
                  <w:marLeft w:val="0"/>
                  <w:marRight w:val="0"/>
                  <w:marTop w:val="0"/>
                  <w:marBottom w:val="0"/>
                  <w:divBdr>
                    <w:top w:val="none" w:sz="0" w:space="0" w:color="auto"/>
                    <w:left w:val="none" w:sz="0" w:space="0" w:color="auto"/>
                    <w:bottom w:val="none" w:sz="0" w:space="0" w:color="auto"/>
                    <w:right w:val="none" w:sz="0" w:space="0" w:color="auto"/>
                  </w:divBdr>
                  <w:divsChild>
                    <w:div w:id="20326735">
                      <w:marLeft w:val="0"/>
                      <w:marRight w:val="0"/>
                      <w:marTop w:val="0"/>
                      <w:marBottom w:val="0"/>
                      <w:divBdr>
                        <w:top w:val="none" w:sz="0" w:space="0" w:color="auto"/>
                        <w:left w:val="none" w:sz="0" w:space="0" w:color="auto"/>
                        <w:bottom w:val="none" w:sz="0" w:space="0" w:color="auto"/>
                        <w:right w:val="none" w:sz="0" w:space="0" w:color="auto"/>
                      </w:divBdr>
                      <w:divsChild>
                        <w:div w:id="253248971">
                          <w:marLeft w:val="0"/>
                          <w:marRight w:val="0"/>
                          <w:marTop w:val="0"/>
                          <w:marBottom w:val="0"/>
                          <w:divBdr>
                            <w:top w:val="none" w:sz="0" w:space="0" w:color="auto"/>
                            <w:left w:val="none" w:sz="0" w:space="0" w:color="auto"/>
                            <w:bottom w:val="none" w:sz="0" w:space="0" w:color="auto"/>
                            <w:right w:val="none" w:sz="0" w:space="0" w:color="auto"/>
                          </w:divBdr>
                          <w:divsChild>
                            <w:div w:id="20913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776923">
      <w:bodyDiv w:val="1"/>
      <w:marLeft w:val="0"/>
      <w:marRight w:val="0"/>
      <w:marTop w:val="0"/>
      <w:marBottom w:val="0"/>
      <w:divBdr>
        <w:top w:val="none" w:sz="0" w:space="0" w:color="auto"/>
        <w:left w:val="none" w:sz="0" w:space="0" w:color="auto"/>
        <w:bottom w:val="none" w:sz="0" w:space="0" w:color="auto"/>
        <w:right w:val="none" w:sz="0" w:space="0" w:color="auto"/>
      </w:divBdr>
    </w:div>
    <w:div w:id="1441491184">
      <w:bodyDiv w:val="1"/>
      <w:marLeft w:val="0"/>
      <w:marRight w:val="0"/>
      <w:marTop w:val="0"/>
      <w:marBottom w:val="0"/>
      <w:divBdr>
        <w:top w:val="none" w:sz="0" w:space="0" w:color="auto"/>
        <w:left w:val="none" w:sz="0" w:space="0" w:color="auto"/>
        <w:bottom w:val="none" w:sz="0" w:space="0" w:color="auto"/>
        <w:right w:val="none" w:sz="0" w:space="0" w:color="auto"/>
      </w:divBdr>
    </w:div>
    <w:div w:id="195436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27.08.2015_6AK_(SM_611;_SM_6212)</Sede>
    <Kom xmlns="0403aeb7-10dd-41a9-8f8e-1fc0ec5546a5">6.Ilgtspējīgas transporta sistēmas prioritārā virziena apakškomiteja</Kom>
    <kartiba xmlns="0403aeb7-10dd-41a9-8f8e-1fc0ec5546a5">161</kartiba>
    <Apraksts xmlns="0403aeb7-10dd-41a9-8f8e-1fc0ec5546a5">MK noteikumi </Apraks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8B84A-6A1A-48F6-ADE0-10EAA2004B60}">
  <ds:schemaRefs>
    <ds:schemaRef ds:uri="0403aeb7-10dd-41a9-8f8e-1fc0ec5546a5"/>
    <ds:schemaRef ds:uri="http://purl.org/dc/terms/"/>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8E0CD8C2-0A65-478F-81FF-762C1BCB0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879BD0-BBD7-4AB7-BBA6-F3B3B039EF03}">
  <ds:schemaRefs>
    <ds:schemaRef ds:uri="http://schemas.microsoft.com/sharepoint/v3/contenttype/forms"/>
  </ds:schemaRefs>
</ds:datastoreItem>
</file>

<file path=customXml/itemProps4.xml><?xml version="1.0" encoding="utf-8"?>
<ds:datastoreItem xmlns:ds="http://schemas.openxmlformats.org/officeDocument/2006/customXml" ds:itemID="{AAC717AA-DA2E-460A-9150-5D6522CE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10409</Words>
  <Characters>5934</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Darbības programmas „Izaugsme un nodarbinātība” 6.1.1.specifiskā atbalsta mērķa „Palielināt lielo ostu drošības līmeni un uzlabot transporta tīkla mobilitāti” īstenošanas noteikumi</vt:lpstr>
    </vt:vector>
  </TitlesOfParts>
  <Company>Latvenergo</Company>
  <LinksUpToDate>false</LinksUpToDate>
  <CharactersWithSpaces>16311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6.1.1.specifiskā atbalsta mērķa „Palielināt lielo ostu drošības līmeni un uzlabot transporta tīkla mobilitāti” īstenošanas noteikumi</dc:title>
  <dc:creator>Andis.Strods@sam.gov.lv</dc:creator>
  <cp:keywords>MK noteikumu projekts</cp:keywords>
  <dc:description>SMNot_SAM611_09052016</dc:description>
  <cp:lastModifiedBy>Satiksmes ministrija</cp:lastModifiedBy>
  <cp:revision>5</cp:revision>
  <cp:lastPrinted>2016-05-10T09:53:00Z</cp:lastPrinted>
  <dcterms:created xsi:type="dcterms:W3CDTF">2016-05-09T07:47:00Z</dcterms:created>
  <dcterms:modified xsi:type="dcterms:W3CDTF">2016-05-12T08:25:00Z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62de6b22-8c5c-435a-b322-e6d4ca62170b,3;62de6b22-8c5c-435a-b322-e6d4ca62170b,3;62de6b22-8c5c-435a-b322-e6d4ca62170b,3;62de6b22-8c5c-435a-b322-e6d4ca62170b,3;</vt:lpwstr>
  </property>
</Properties>
</file>