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73F7C" w14:textId="77777777" w:rsidR="00F85BE5" w:rsidRPr="00BE4405" w:rsidRDefault="00F85BE5" w:rsidP="00BE4405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05B70E8" w14:textId="77777777" w:rsidR="00F85BE5" w:rsidRPr="00BE4405" w:rsidRDefault="00F85BE5" w:rsidP="00BE4405">
      <w:pPr>
        <w:tabs>
          <w:tab w:val="left" w:pos="709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F074DAC" w14:textId="77777777" w:rsidR="00F85BE5" w:rsidRPr="00BE4405" w:rsidRDefault="00F85BE5" w:rsidP="00BE4405">
      <w:pPr>
        <w:tabs>
          <w:tab w:val="left" w:pos="709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63B8DB6" w14:textId="42309205" w:rsidR="00F85BE5" w:rsidRPr="00BE4405" w:rsidRDefault="00F85BE5" w:rsidP="00BE4405">
      <w:pPr>
        <w:tabs>
          <w:tab w:val="left" w:pos="709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405">
        <w:rPr>
          <w:rFonts w:ascii="Times New Roman" w:hAnsi="Times New Roman" w:cs="Times New Roman"/>
          <w:sz w:val="28"/>
          <w:szCs w:val="28"/>
        </w:rPr>
        <w:t xml:space="preserve">2016. gada </w:t>
      </w:r>
      <w:r w:rsidR="00147ABC">
        <w:rPr>
          <w:rFonts w:ascii="Times New Roman" w:hAnsi="Times New Roman" w:cs="Times New Roman"/>
          <w:sz w:val="28"/>
          <w:szCs w:val="28"/>
        </w:rPr>
        <w:t>26. aprīlī</w:t>
      </w:r>
      <w:r w:rsidRPr="00BE4405">
        <w:rPr>
          <w:rFonts w:ascii="Times New Roman" w:hAnsi="Times New Roman" w:cs="Times New Roman"/>
          <w:sz w:val="28"/>
          <w:szCs w:val="28"/>
        </w:rPr>
        <w:tab/>
        <w:t>Noteikumi Nr.</w:t>
      </w:r>
      <w:r w:rsidR="00147ABC">
        <w:rPr>
          <w:rFonts w:ascii="Times New Roman" w:hAnsi="Times New Roman" w:cs="Times New Roman"/>
          <w:sz w:val="28"/>
          <w:szCs w:val="28"/>
        </w:rPr>
        <w:t> 255</w:t>
      </w:r>
      <w:bookmarkStart w:id="0" w:name="_GoBack"/>
      <w:bookmarkEnd w:id="0"/>
    </w:p>
    <w:p w14:paraId="75B84ADE" w14:textId="3287E711" w:rsidR="00F85BE5" w:rsidRPr="00BE4405" w:rsidRDefault="00F85BE5" w:rsidP="00BE4405">
      <w:pPr>
        <w:tabs>
          <w:tab w:val="left" w:pos="709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405">
        <w:rPr>
          <w:rFonts w:ascii="Times New Roman" w:hAnsi="Times New Roman" w:cs="Times New Roman"/>
          <w:sz w:val="28"/>
          <w:szCs w:val="28"/>
        </w:rPr>
        <w:t>Rīgā</w:t>
      </w:r>
      <w:r w:rsidRPr="00BE4405">
        <w:rPr>
          <w:rFonts w:ascii="Times New Roman" w:hAnsi="Times New Roman" w:cs="Times New Roman"/>
          <w:sz w:val="28"/>
          <w:szCs w:val="28"/>
        </w:rPr>
        <w:tab/>
      </w:r>
      <w:r w:rsidR="00BE4405">
        <w:rPr>
          <w:rFonts w:ascii="Times New Roman" w:hAnsi="Times New Roman" w:cs="Times New Roman"/>
          <w:sz w:val="28"/>
          <w:szCs w:val="28"/>
        </w:rPr>
        <w:tab/>
      </w:r>
      <w:r w:rsidRPr="00BE4405">
        <w:rPr>
          <w:rFonts w:ascii="Times New Roman" w:hAnsi="Times New Roman" w:cs="Times New Roman"/>
          <w:sz w:val="28"/>
          <w:szCs w:val="28"/>
        </w:rPr>
        <w:t>(prot. Nr. </w:t>
      </w:r>
      <w:r w:rsidR="00147ABC">
        <w:rPr>
          <w:rFonts w:ascii="Times New Roman" w:hAnsi="Times New Roman" w:cs="Times New Roman"/>
          <w:sz w:val="28"/>
          <w:szCs w:val="28"/>
        </w:rPr>
        <w:t>20</w:t>
      </w:r>
      <w:r w:rsidRPr="00BE4405">
        <w:rPr>
          <w:rFonts w:ascii="Times New Roman" w:hAnsi="Times New Roman" w:cs="Times New Roman"/>
          <w:sz w:val="28"/>
          <w:szCs w:val="28"/>
        </w:rPr>
        <w:t> </w:t>
      </w:r>
      <w:r w:rsidR="00147ABC">
        <w:rPr>
          <w:rFonts w:ascii="Times New Roman" w:hAnsi="Times New Roman" w:cs="Times New Roman"/>
          <w:sz w:val="28"/>
          <w:szCs w:val="28"/>
        </w:rPr>
        <w:t>20</w:t>
      </w:r>
      <w:r w:rsidRPr="00BE4405">
        <w:rPr>
          <w:rFonts w:ascii="Times New Roman" w:hAnsi="Times New Roman" w:cs="Times New Roman"/>
          <w:sz w:val="28"/>
          <w:szCs w:val="28"/>
        </w:rPr>
        <w:t>. §)</w:t>
      </w:r>
    </w:p>
    <w:p w14:paraId="699D6400" w14:textId="4E56F023" w:rsidR="00C1125C" w:rsidRPr="00BE4405" w:rsidRDefault="00C1125C" w:rsidP="00BE4405">
      <w:pPr>
        <w:tabs>
          <w:tab w:val="left" w:pos="709"/>
          <w:tab w:val="left" w:pos="439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699D6401" w14:textId="2B4511AD" w:rsidR="00C1125C" w:rsidRPr="00BE4405" w:rsidRDefault="00C1125C" w:rsidP="00BE4405">
      <w:pPr>
        <w:keepNext/>
        <w:tabs>
          <w:tab w:val="left" w:pos="709"/>
          <w:tab w:val="left" w:pos="439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lv-LV"/>
        </w:rPr>
      </w:pPr>
      <w:bookmarkStart w:id="1" w:name="OLE_LINK1"/>
      <w:bookmarkStart w:id="2" w:name="OLE_LINK2"/>
      <w:r w:rsidRPr="00BE440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lv-LV"/>
        </w:rPr>
        <w:t xml:space="preserve">Valsts akciju sabiedrības </w:t>
      </w:r>
      <w:r w:rsidR="00F85BE5" w:rsidRPr="00BE440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lv-LV"/>
        </w:rPr>
        <w:t>"</w:t>
      </w:r>
      <w:r w:rsidRPr="00BE440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lv-LV"/>
        </w:rPr>
        <w:t>Elektroniskie sakari</w:t>
      </w:r>
      <w:r w:rsidR="00F85BE5" w:rsidRPr="00BE440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lv-LV"/>
        </w:rPr>
        <w:t>"</w:t>
      </w:r>
      <w:r w:rsidRPr="00BE440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lv-LV"/>
        </w:rPr>
        <w:t xml:space="preserve"> publisko maksas pakalpojumu cenrādis</w:t>
      </w:r>
    </w:p>
    <w:bookmarkEnd w:id="1"/>
    <w:bookmarkEnd w:id="2"/>
    <w:p w14:paraId="699D6402" w14:textId="77777777" w:rsidR="00C1125C" w:rsidRPr="00BE4405" w:rsidRDefault="00C1125C" w:rsidP="00BE4405">
      <w:pPr>
        <w:tabs>
          <w:tab w:val="left" w:pos="709"/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99D6403" w14:textId="77777777" w:rsidR="00C1125C" w:rsidRPr="00BE4405" w:rsidRDefault="00C1125C" w:rsidP="00BE4405">
      <w:pPr>
        <w:tabs>
          <w:tab w:val="left" w:pos="709"/>
          <w:tab w:val="left" w:pos="439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Izdoti saskaņā ar </w:t>
      </w:r>
    </w:p>
    <w:p w14:paraId="699D6404" w14:textId="77777777" w:rsidR="00C1125C" w:rsidRPr="00BE4405" w:rsidRDefault="00C1125C" w:rsidP="00BE4405">
      <w:pPr>
        <w:tabs>
          <w:tab w:val="left" w:pos="709"/>
          <w:tab w:val="left" w:pos="439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t>Elektronisko sakaru likuma</w:t>
      </w:r>
    </w:p>
    <w:p w14:paraId="699D6405" w14:textId="16FF2540" w:rsidR="00C1125C" w:rsidRPr="00BE4405" w:rsidRDefault="00C1125C" w:rsidP="00BE4405">
      <w:pPr>
        <w:tabs>
          <w:tab w:val="left" w:pos="709"/>
          <w:tab w:val="left" w:pos="439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="00F85BE5" w:rsidRP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t>. p</w:t>
      </w:r>
      <w:r w:rsidRP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t>anta ceturto daļu</w:t>
      </w:r>
    </w:p>
    <w:p w14:paraId="699D6406" w14:textId="77777777" w:rsidR="00C1125C" w:rsidRPr="00BE4405" w:rsidRDefault="00C1125C" w:rsidP="00BE4405">
      <w:pPr>
        <w:tabs>
          <w:tab w:val="left" w:pos="709"/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3" w:name="p-453268"/>
      <w:bookmarkStart w:id="4" w:name="p1"/>
      <w:bookmarkEnd w:id="3"/>
      <w:bookmarkEnd w:id="4"/>
    </w:p>
    <w:p w14:paraId="699D6407" w14:textId="2B8C2C05" w:rsidR="00C1125C" w:rsidRPr="00BE4405" w:rsidRDefault="00BE4405" w:rsidP="00BE4405">
      <w:pPr>
        <w:tabs>
          <w:tab w:val="left" w:pos="709"/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t>1. </w:t>
      </w:r>
      <w:r w:rsidR="00C1125C" w:rsidRP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Noteikumi nosaka valsts akciju sabiedrības </w:t>
      </w:r>
      <w:r w:rsidR="00F85BE5" w:rsidRP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C1125C" w:rsidRP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t>Elektroniskie sakari</w:t>
      </w:r>
      <w:r w:rsidR="00F85BE5" w:rsidRP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C1125C" w:rsidRP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sniegto publisko maksas pakalpojumu cenrādi un samaksas kārtību, kā arī tarifu korekcijas gadījumus un kārtību.</w:t>
      </w:r>
    </w:p>
    <w:p w14:paraId="7D1FBB82" w14:textId="77777777" w:rsidR="00695CEF" w:rsidRDefault="00695CEF" w:rsidP="00BE4405">
      <w:pPr>
        <w:tabs>
          <w:tab w:val="left" w:pos="709"/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99D6408" w14:textId="7598AAC5" w:rsidR="00C1125C" w:rsidRPr="00BE4405" w:rsidRDefault="00BE4405" w:rsidP="00BE4405">
      <w:pPr>
        <w:tabs>
          <w:tab w:val="left" w:pos="709"/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t>2. </w:t>
      </w:r>
      <w:r w:rsidR="003B07E8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akciju sabiedrība</w:t>
      </w:r>
      <w:r w:rsidR="00C1125C" w:rsidRP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F85BE5" w:rsidRP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C1125C" w:rsidRP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t>Elektroniskie sakari</w:t>
      </w:r>
      <w:r w:rsidR="00F85BE5" w:rsidRP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C1125C" w:rsidRP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publiskos maksas pakalpojumus sniedz saskaņā ar cenrādi (pielikums).</w:t>
      </w:r>
    </w:p>
    <w:p w14:paraId="40B560A9" w14:textId="77777777" w:rsidR="00BE4405" w:rsidRDefault="00BE4405" w:rsidP="00BE4405">
      <w:pPr>
        <w:tabs>
          <w:tab w:val="left" w:pos="709"/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99D6409" w14:textId="61A0138C" w:rsidR="00CE6C0A" w:rsidRPr="00BE4405" w:rsidRDefault="00BE4405" w:rsidP="00BE4405">
      <w:pPr>
        <w:tabs>
          <w:tab w:val="left" w:pos="709"/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t>3. </w:t>
      </w:r>
      <w:r w:rsidR="00C1125C" w:rsidRP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Par </w:t>
      </w:r>
      <w:r w:rsidR="003B07E8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akciju sabiedrības</w:t>
      </w:r>
      <w:r w:rsidR="00C1125C" w:rsidRP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F85BE5" w:rsidRP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C1125C" w:rsidRP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t>Elektroniskie sakari</w:t>
      </w:r>
      <w:r w:rsidR="00F85BE5" w:rsidRP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C1125C" w:rsidRP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sniegtajiem publiskajiem maksas pakalpojumiem norēķinās 15 dienu laikā pēc rēķina izrakstīšanas</w:t>
      </w:r>
      <w:r w:rsidR="00CE6C0A" w:rsidRP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094A1C00" w14:textId="77777777" w:rsidR="00BE4405" w:rsidRDefault="00BE4405" w:rsidP="00BE4405">
      <w:pPr>
        <w:tabs>
          <w:tab w:val="left" w:pos="709"/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99D640A" w14:textId="5B3EF9FF" w:rsidR="00C1125C" w:rsidRPr="003B07E8" w:rsidRDefault="00BE4405" w:rsidP="00BE4405">
      <w:pPr>
        <w:tabs>
          <w:tab w:val="left" w:pos="709"/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t>4.</w:t>
      </w:r>
      <w:r w:rsidR="00C1125C" w:rsidRP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CE6C0A" w:rsidRP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t>Elektronisko</w:t>
      </w:r>
      <w:r w:rsidR="00C1125C" w:rsidRP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sakaru tīklu ierīkošanas tehniskos projektus (pielikuma 4</w:t>
      </w:r>
      <w:r w:rsidR="00F85BE5" w:rsidRP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3B07E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F85BE5" w:rsidRP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C1125C" w:rsidRP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unkts) </w:t>
      </w:r>
      <w:r w:rsidR="003B07E8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akciju sabiedrība</w:t>
      </w:r>
      <w:r w:rsidR="00C1125C" w:rsidRP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3B07E8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C1125C" w:rsidRP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t>Elektroniskie sakari</w:t>
      </w:r>
      <w:r w:rsidR="00F85BE5" w:rsidRP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C1125C" w:rsidRP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izsniedz pēc rēķina </w:t>
      </w:r>
      <w:r w:rsidR="003B07E8">
        <w:rPr>
          <w:rFonts w:ascii="Times New Roman" w:eastAsia="Times New Roman" w:hAnsi="Times New Roman" w:cs="Times New Roman"/>
          <w:sz w:val="28"/>
          <w:szCs w:val="28"/>
          <w:lang w:eastAsia="lv-LV"/>
        </w:rPr>
        <w:t>sa</w:t>
      </w:r>
      <w:r w:rsidR="00C1125C" w:rsidRP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maksas (kad samaksa ir ieskaitīta </w:t>
      </w:r>
      <w:r w:rsidR="003B07E8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akciju sabiedrības</w:t>
      </w:r>
      <w:r w:rsidR="00C1125C" w:rsidRP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3B07E8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C1125C" w:rsidRP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t>Elektroniskie sakari</w:t>
      </w:r>
      <w:r w:rsidR="00F85BE5" w:rsidRP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C1125C" w:rsidRP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kontā vai </w:t>
      </w:r>
      <w:r w:rsidR="003B07E8" w:rsidRPr="003B07E8">
        <w:rPr>
          <w:rFonts w:ascii="Times New Roman" w:hAnsi="Times New Roman" w:cs="Times New Roman"/>
          <w:sz w:val="28"/>
          <w:szCs w:val="28"/>
          <w:shd w:val="clear" w:color="auto" w:fill="FFFFFF"/>
        </w:rPr>
        <w:t>ir uzrādīts bankas apliecināts maksājuma uzdevums</w:t>
      </w:r>
      <w:r w:rsidR="00C1125C" w:rsidRPr="003B07E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). </w:t>
      </w:r>
    </w:p>
    <w:p w14:paraId="7B20CEFD" w14:textId="77777777" w:rsidR="00BE4405" w:rsidRDefault="00BE4405" w:rsidP="00BE4405">
      <w:pPr>
        <w:tabs>
          <w:tab w:val="left" w:pos="709"/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99D640B" w14:textId="0A1D7E2F" w:rsidR="00095ABF" w:rsidRPr="00BE4405" w:rsidRDefault="00BE4405" w:rsidP="00BE4405">
      <w:pPr>
        <w:tabs>
          <w:tab w:val="left" w:pos="709"/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t>5. </w:t>
      </w:r>
      <w:r w:rsidR="00C1125C" w:rsidRP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Ja </w:t>
      </w:r>
      <w:r w:rsidR="003B07E8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akciju sabiedrības</w:t>
      </w:r>
      <w:r w:rsidR="00C1125C" w:rsidRP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F85BE5" w:rsidRP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C1125C" w:rsidRP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t>Elektroniskie sakari</w:t>
      </w:r>
      <w:r w:rsidR="00F85BE5" w:rsidRP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C1125C" w:rsidRP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pārskata gada ieņēmumi no elektromagnētiskās saderības nodrošināšanas pakalpojumiem pārsniedz ar šo pakalpojumu sniegšanu saistītās izmaksas, </w:t>
      </w:r>
      <w:r w:rsidR="008A45A2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akciju sabiedrība</w:t>
      </w:r>
      <w:r w:rsidR="00C1125C" w:rsidRP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F85BE5" w:rsidRP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C1125C" w:rsidRP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t>Elektroniskie sakari</w:t>
      </w:r>
      <w:r w:rsidR="00F85BE5" w:rsidRP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C1125C" w:rsidRP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veic tarifu korekciju kopējai maksai par pārskata gada laikā sniegtajiem elektromagnētiskās saderības nodrošināšanas pakalpojumiem šīs starpības apmērā</w:t>
      </w:r>
      <w:r w:rsidR="00095ABF" w:rsidRP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8A45A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34B1B972" w14:textId="77777777" w:rsidR="00BE4405" w:rsidRDefault="00BE4405" w:rsidP="00BE4405">
      <w:pPr>
        <w:tabs>
          <w:tab w:val="left" w:pos="709"/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99D640C" w14:textId="027BB3FC" w:rsidR="00CE6C0A" w:rsidRPr="00BE4405" w:rsidRDefault="00BE4405" w:rsidP="00BE4405">
      <w:pPr>
        <w:tabs>
          <w:tab w:val="left" w:pos="709"/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t>6. </w:t>
      </w:r>
      <w:r w:rsidR="00C1125C" w:rsidRP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A45A2">
        <w:rPr>
          <w:rFonts w:ascii="Times New Roman" w:eastAsia="Times New Roman" w:hAnsi="Times New Roman" w:cs="Times New Roman"/>
          <w:sz w:val="28"/>
          <w:szCs w:val="28"/>
          <w:lang w:eastAsia="lv-LV"/>
        </w:rPr>
        <w:t>Šo n</w:t>
      </w:r>
      <w:r w:rsidR="00370051" w:rsidRP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t>oteik</w:t>
      </w:r>
      <w:r w:rsidR="00095ABF" w:rsidRP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t>umu 5</w:t>
      </w:r>
      <w:r w:rsidR="00F85BE5" w:rsidRP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t>. p</w:t>
      </w:r>
      <w:r w:rsidR="00095ABF" w:rsidRP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t>unktā minētā ieņēmum</w:t>
      </w:r>
      <w:r w:rsidR="008A45A2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095ABF" w:rsidRP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izmaks</w:t>
      </w:r>
      <w:r w:rsidR="008A45A2">
        <w:rPr>
          <w:rFonts w:ascii="Times New Roman" w:eastAsia="Times New Roman" w:hAnsi="Times New Roman" w:cs="Times New Roman"/>
          <w:sz w:val="28"/>
          <w:szCs w:val="28"/>
          <w:lang w:eastAsia="lv-LV"/>
        </w:rPr>
        <w:t>u starpība</w:t>
      </w:r>
      <w:r w:rsidR="00095ABF" w:rsidRP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tiek sadalīta</w:t>
      </w:r>
      <w:r w:rsidR="00C1125C" w:rsidRP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proporcionāli katram pakalpojumu saņēmējam pārskata gadā piemērotajai maksai par elektromagnētiskās saderības nodrošināšanas </w:t>
      </w:r>
      <w:r w:rsidR="00C1125C" w:rsidRP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 xml:space="preserve">pakalpojumiem pret kopējiem elektromagnētiskās saderības nodrošināšanas pakalpojumu ieņēmumiem pārskata gadā. </w:t>
      </w:r>
    </w:p>
    <w:p w14:paraId="212415DE" w14:textId="77777777" w:rsidR="00BE4405" w:rsidRDefault="00BE4405" w:rsidP="00BE4405">
      <w:pPr>
        <w:tabs>
          <w:tab w:val="left" w:pos="709"/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99D640D" w14:textId="7434D404" w:rsidR="00CE6C0A" w:rsidRPr="00BE4405" w:rsidRDefault="00BE4405" w:rsidP="00BE4405">
      <w:pPr>
        <w:tabs>
          <w:tab w:val="left" w:pos="709"/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t>7. </w:t>
      </w:r>
      <w:r w:rsidR="00C1125C" w:rsidRP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Pārskata gada tarifu korekciju </w:t>
      </w:r>
      <w:r w:rsidR="008A45A2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akciju sabiedrība</w:t>
      </w:r>
      <w:r w:rsidR="0037254E" w:rsidRP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F85BE5" w:rsidRP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C1125C" w:rsidRP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t>Elektroniskie sakari</w:t>
      </w:r>
      <w:r w:rsidR="00F85BE5" w:rsidRP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C1125C" w:rsidRP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aprēķina nākamajā pārskata gadā līdz </w:t>
      </w:r>
      <w:r w:rsidR="008A45A2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akciju sabiedrības</w:t>
      </w:r>
      <w:r w:rsidR="0037254E" w:rsidRP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F85BE5" w:rsidRP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C1125C" w:rsidRP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t>Elektroniskie sakari</w:t>
      </w:r>
      <w:r w:rsidR="00F85BE5" w:rsidRP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C1125C" w:rsidRP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gada pārskata apstiprināšanas dienai, bet ne vēlāk kā līdz nākamā pārskata gada </w:t>
      </w:r>
      <w:r w:rsidR="0037254E" w:rsidRP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t>31. jūlijam</w:t>
      </w:r>
      <w:r w:rsidR="00C1125C" w:rsidRP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8A45A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0067BC1F" w14:textId="77777777" w:rsidR="00BE4405" w:rsidRDefault="00BE4405" w:rsidP="00BE4405">
      <w:pPr>
        <w:tabs>
          <w:tab w:val="left" w:pos="709"/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99D640E" w14:textId="1BA38F55" w:rsidR="00CE6C0A" w:rsidRPr="00BE4405" w:rsidRDefault="00BE4405" w:rsidP="00BE4405">
      <w:pPr>
        <w:tabs>
          <w:tab w:val="left" w:pos="709"/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t>8. </w:t>
      </w:r>
      <w:r w:rsidR="0037254E" w:rsidRP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C1125C" w:rsidRP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aziņojumu par aprēķināto pārskata gada korekciju publicē </w:t>
      </w:r>
      <w:r w:rsidR="008A45A2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akciju sabiedrības</w:t>
      </w:r>
      <w:r w:rsidR="0037254E" w:rsidRP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F85BE5" w:rsidRP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37254E" w:rsidRP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t>Elektroniskie sakari</w:t>
      </w:r>
      <w:r w:rsidR="00F85BE5" w:rsidRP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37254E" w:rsidRP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A45A2">
        <w:rPr>
          <w:rFonts w:ascii="Times New Roman" w:eastAsia="Times New Roman" w:hAnsi="Times New Roman" w:cs="Times New Roman"/>
          <w:sz w:val="28"/>
          <w:szCs w:val="28"/>
          <w:lang w:eastAsia="lv-LV"/>
        </w:rPr>
        <w:t>tīmekļvietnē</w:t>
      </w:r>
      <w:r w:rsidR="0037254E" w:rsidRP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C1125C" w:rsidRP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paziņojumā iekļaujot informāciju par kopējās korekcijas attiecību pret kopējo maksu par sniegtajiem elektromagnētiskās saderības nodrošināšanas pakalpojumiem</w:t>
      </w:r>
      <w:r w:rsidR="008A45A2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C1125C" w:rsidRP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izteiktu procentos. </w:t>
      </w:r>
    </w:p>
    <w:p w14:paraId="26A895E7" w14:textId="77777777" w:rsidR="00BE4405" w:rsidRDefault="00BE4405" w:rsidP="00BE4405">
      <w:pPr>
        <w:tabs>
          <w:tab w:val="left" w:pos="709"/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99D640F" w14:textId="563D367B" w:rsidR="00CE6C0A" w:rsidRPr="00BE4405" w:rsidRDefault="00BE4405" w:rsidP="00BE4405">
      <w:pPr>
        <w:tabs>
          <w:tab w:val="left" w:pos="709"/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t>9. </w:t>
      </w:r>
      <w:r w:rsidR="00C1125C" w:rsidRP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Tarifu korekciju katram pakalpojuma saņēmējam </w:t>
      </w:r>
      <w:r w:rsidR="00054694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akciju sabiedrība</w:t>
      </w:r>
      <w:r w:rsidR="00C1125C" w:rsidRP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F85BE5" w:rsidRP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C1125C" w:rsidRP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t>Elektroniskie sakari</w:t>
      </w:r>
      <w:r w:rsidR="00F85BE5" w:rsidRP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C1125C" w:rsidRP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veic pēc gada pārskata apstiprināšanas ieskaita veidā atbilstoši </w:t>
      </w:r>
      <w:r w:rsidR="00054694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akciju sabiedrības</w:t>
      </w:r>
      <w:r w:rsidR="00C1125C" w:rsidRP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F85BE5" w:rsidRP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C1125C" w:rsidRP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t>Elektroniskie sakari</w:t>
      </w:r>
      <w:r w:rsidR="00F85BE5" w:rsidRP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C1125C" w:rsidRP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prasījumiem par nākamajā pārskata gadā sniedzamajiem elektromagnētiskās saderības nodrošināšanas pakalpojumu maksājumiem. </w:t>
      </w:r>
      <w:r w:rsidR="0005469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2C8B91F1" w14:textId="77777777" w:rsidR="00BE4405" w:rsidRDefault="00BE4405" w:rsidP="00BE4405">
      <w:pPr>
        <w:tabs>
          <w:tab w:val="left" w:pos="709"/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99D6410" w14:textId="4DADD4FA" w:rsidR="00CE6C0A" w:rsidRPr="00BE4405" w:rsidRDefault="00BE4405" w:rsidP="00BE4405">
      <w:pPr>
        <w:tabs>
          <w:tab w:val="left" w:pos="709"/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t>10. </w:t>
      </w:r>
      <w:r w:rsidR="00C1125C" w:rsidRP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Ja nākamajā pārskata gadā maksa par saņemtajiem elektromagnētiskās saderības nodrošināšanas pakalpojumiem ir mazāka nekā pārskata gada tarifu korekcija attiecīgajam pakalpojuma saņēmējam, starpību atmaksā 10 dienu laikā pēc pakalpojuma saņēmēja iesnieguma saņemšanas. </w:t>
      </w:r>
    </w:p>
    <w:p w14:paraId="016A964F" w14:textId="77777777" w:rsidR="00BE4405" w:rsidRDefault="00BE4405" w:rsidP="00BE4405">
      <w:pPr>
        <w:tabs>
          <w:tab w:val="left" w:pos="709"/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99D6411" w14:textId="53158327" w:rsidR="00CE6C0A" w:rsidRPr="00BE4405" w:rsidRDefault="00BE4405" w:rsidP="00BE4405">
      <w:pPr>
        <w:tabs>
          <w:tab w:val="left" w:pos="709"/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t>11. </w:t>
      </w:r>
      <w:r w:rsidR="00C1125C" w:rsidRP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Prasījums noilgst, ja </w:t>
      </w:r>
      <w:r w:rsidR="00054694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akciju sabiedrība</w:t>
      </w:r>
      <w:r w:rsidR="00C1125C" w:rsidRP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3B07E8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C1125C" w:rsidRP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t>Elektroniskie sakari</w:t>
      </w:r>
      <w:r w:rsidR="00F85BE5" w:rsidRP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C1125C" w:rsidRP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pakalpojuma saņēmēja iesniegumu par atmaksu </w:t>
      </w:r>
      <w:r w:rsidR="00054694" w:rsidRP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nav saņēmusi </w:t>
      </w:r>
      <w:r w:rsidR="00C1125C" w:rsidRP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t>triju gadu laikā</w:t>
      </w:r>
      <w:r w:rsidR="0005469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 dienas</w:t>
      </w:r>
      <w:r w:rsidR="00C1125C" w:rsidRP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054694">
        <w:rPr>
          <w:rFonts w:ascii="Times New Roman" w:eastAsia="Times New Roman" w:hAnsi="Times New Roman" w:cs="Times New Roman"/>
          <w:sz w:val="28"/>
          <w:szCs w:val="28"/>
          <w:lang w:eastAsia="lv-LV"/>
        </w:rPr>
        <w:t>kad</w:t>
      </w:r>
      <w:r w:rsidR="00C1125C" w:rsidRP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paziņojum</w:t>
      </w:r>
      <w:r w:rsidR="00054694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C1125C" w:rsidRP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par aprēķināto pārskata gada korekciju publicē</w:t>
      </w:r>
      <w:r w:rsidR="00054694">
        <w:rPr>
          <w:rFonts w:ascii="Times New Roman" w:eastAsia="Times New Roman" w:hAnsi="Times New Roman" w:cs="Times New Roman"/>
          <w:sz w:val="28"/>
          <w:szCs w:val="28"/>
          <w:lang w:eastAsia="lv-LV"/>
        </w:rPr>
        <w:t>ts</w:t>
      </w:r>
      <w:r w:rsidR="00C1125C" w:rsidRP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54694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akciju sabiedrības</w:t>
      </w:r>
      <w:r w:rsidR="00C1125C" w:rsidRP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3B07E8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C1125C" w:rsidRP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t>Elektroniskie sakari</w:t>
      </w:r>
      <w:r w:rsidR="00F85BE5" w:rsidRP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C1125C" w:rsidRP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54694">
        <w:rPr>
          <w:rFonts w:ascii="Times New Roman" w:eastAsia="Times New Roman" w:hAnsi="Times New Roman" w:cs="Times New Roman"/>
          <w:sz w:val="28"/>
          <w:szCs w:val="28"/>
          <w:lang w:eastAsia="lv-LV"/>
        </w:rPr>
        <w:t>tīmekļvietnē</w:t>
      </w:r>
      <w:r w:rsidR="00C1125C" w:rsidRP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</w:p>
    <w:p w14:paraId="7114FA50" w14:textId="77777777" w:rsidR="00BE4405" w:rsidRDefault="00BE4405" w:rsidP="00BE4405">
      <w:pPr>
        <w:tabs>
          <w:tab w:val="left" w:pos="709"/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99D6412" w14:textId="10A3CD5B" w:rsidR="00C1125C" w:rsidRDefault="00BE4405" w:rsidP="00BE4405">
      <w:pPr>
        <w:tabs>
          <w:tab w:val="left" w:pos="709"/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t>12. </w:t>
      </w:r>
      <w:r w:rsidR="00C1125C" w:rsidRP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t>Tarifu korekciju aprēķina, izmantojot šādu formulu:</w:t>
      </w:r>
    </w:p>
    <w:p w14:paraId="241CD632" w14:textId="77777777" w:rsidR="00B87148" w:rsidRDefault="00B87148" w:rsidP="00B87148">
      <w:pPr>
        <w:tabs>
          <w:tab w:val="left" w:pos="709"/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20"/>
        <w:gridCol w:w="247"/>
        <w:gridCol w:w="4309"/>
      </w:tblGrid>
      <w:tr w:rsidR="00B87148" w:rsidRPr="00C1125C" w14:paraId="3C49F945" w14:textId="77777777" w:rsidTr="00B87148">
        <w:trPr>
          <w:tblCellSpacing w:w="15" w:type="dxa"/>
          <w:jc w:val="center"/>
        </w:trPr>
        <w:tc>
          <w:tcPr>
            <w:tcW w:w="1075" w:type="dxa"/>
            <w:vMerge w:val="restart"/>
            <w:noWrap/>
            <w:vAlign w:val="center"/>
          </w:tcPr>
          <w:p w14:paraId="406E8C39" w14:textId="77777777" w:rsidR="00B87148" w:rsidRPr="00B87148" w:rsidRDefault="00B87148" w:rsidP="00B87148">
            <w:pPr>
              <w:tabs>
                <w:tab w:val="left" w:pos="439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proofErr w:type="spellStart"/>
            <w:r w:rsidRPr="00B8714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Tk</w:t>
            </w:r>
            <w:proofErr w:type="spellEnd"/>
            <w:r w:rsidRPr="00B8714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= P x</w:t>
            </w:r>
          </w:p>
        </w:tc>
        <w:tc>
          <w:tcPr>
            <w:tcW w:w="182" w:type="dxa"/>
            <w:tcBorders>
              <w:bottom w:val="single" w:sz="6" w:space="0" w:color="000000"/>
            </w:tcBorders>
            <w:noWrap/>
            <w:vAlign w:val="center"/>
          </w:tcPr>
          <w:p w14:paraId="6C064078" w14:textId="77777777" w:rsidR="00B87148" w:rsidRPr="00B87148" w:rsidRDefault="00B87148" w:rsidP="00B87148">
            <w:pPr>
              <w:tabs>
                <w:tab w:val="left" w:pos="4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8714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R</w:t>
            </w:r>
          </w:p>
        </w:tc>
        <w:tc>
          <w:tcPr>
            <w:tcW w:w="4264" w:type="dxa"/>
            <w:vMerge w:val="restart"/>
            <w:noWrap/>
            <w:vAlign w:val="center"/>
          </w:tcPr>
          <w:p w14:paraId="46E43820" w14:textId="77777777" w:rsidR="00B87148" w:rsidRPr="00B87148" w:rsidRDefault="00B87148" w:rsidP="00B87148">
            <w:pPr>
              <w:tabs>
                <w:tab w:val="left" w:pos="4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8714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, kur</w:t>
            </w:r>
          </w:p>
        </w:tc>
      </w:tr>
      <w:tr w:rsidR="00B87148" w:rsidRPr="00C1125C" w14:paraId="3CEAE10F" w14:textId="77777777" w:rsidTr="00B87148">
        <w:trPr>
          <w:tblCellSpacing w:w="15" w:type="dxa"/>
          <w:jc w:val="center"/>
        </w:trPr>
        <w:tc>
          <w:tcPr>
            <w:tcW w:w="1075" w:type="dxa"/>
            <w:vMerge/>
            <w:vAlign w:val="center"/>
          </w:tcPr>
          <w:p w14:paraId="7CEC9724" w14:textId="77777777" w:rsidR="00B87148" w:rsidRPr="00C1125C" w:rsidRDefault="00B87148" w:rsidP="00DB28B7">
            <w:pPr>
              <w:numPr>
                <w:ilvl w:val="0"/>
                <w:numId w:val="1"/>
              </w:numPr>
              <w:tabs>
                <w:tab w:val="left" w:pos="4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2" w:type="dxa"/>
            <w:noWrap/>
            <w:vAlign w:val="center"/>
          </w:tcPr>
          <w:p w14:paraId="1B6F406F" w14:textId="77777777" w:rsidR="00B87148" w:rsidRPr="00C1125C" w:rsidRDefault="00B87148" w:rsidP="00DB28B7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12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</w:p>
        </w:tc>
        <w:tc>
          <w:tcPr>
            <w:tcW w:w="4264" w:type="dxa"/>
            <w:vMerge/>
            <w:vAlign w:val="center"/>
          </w:tcPr>
          <w:p w14:paraId="16079BA6" w14:textId="77777777" w:rsidR="00B87148" w:rsidRPr="00C1125C" w:rsidRDefault="00B87148" w:rsidP="00DB28B7">
            <w:pPr>
              <w:numPr>
                <w:ilvl w:val="0"/>
                <w:numId w:val="1"/>
              </w:numPr>
              <w:tabs>
                <w:tab w:val="left" w:pos="4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2BB88D9D" w14:textId="77777777" w:rsidR="00BE4405" w:rsidRDefault="00BE4405" w:rsidP="00BE4405">
      <w:pPr>
        <w:tabs>
          <w:tab w:val="left" w:pos="709"/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99D641B" w14:textId="22F8AB52" w:rsidR="00C1125C" w:rsidRPr="00BE4405" w:rsidRDefault="00C1125C" w:rsidP="00BE4405">
      <w:pPr>
        <w:tabs>
          <w:tab w:val="left" w:pos="709"/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proofErr w:type="spellStart"/>
      <w:r w:rsidRP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t>Tk</w:t>
      </w:r>
      <w:proofErr w:type="spellEnd"/>
      <w:r w:rsidRP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P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tarifu korekcija attiecīgajam pakalpojuma saņēmējam (</w:t>
      </w:r>
      <w:r w:rsidRPr="00BE4405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r w:rsidRP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t>);</w:t>
      </w:r>
    </w:p>
    <w:p w14:paraId="699D641C" w14:textId="77EFCA24" w:rsidR="00C1125C" w:rsidRPr="00BE4405" w:rsidRDefault="00C1125C" w:rsidP="00BE4405">
      <w:pPr>
        <w:tabs>
          <w:tab w:val="left" w:pos="709"/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3B07E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="003B07E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t>elektromagnētiskās saderības nodrošināšanas publisko maksas pakalpojumu ieņēmumu pārsniegums pār elektromagnētiskās saderības nodrošināšanas publisko maksas pakalpojumu izmaksām pārskata gadā (</w:t>
      </w:r>
      <w:r w:rsidRPr="00BE4405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r w:rsidRP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t>);</w:t>
      </w:r>
    </w:p>
    <w:p w14:paraId="699D641D" w14:textId="46948D30" w:rsidR="00C1125C" w:rsidRPr="00BE4405" w:rsidRDefault="00C1125C" w:rsidP="00BE4405">
      <w:pPr>
        <w:tabs>
          <w:tab w:val="left" w:pos="709"/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t>R</w:t>
      </w:r>
      <w:r w:rsid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t> – </w:t>
      </w:r>
      <w:r w:rsidRP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t>pakalpojumu saņēmējam piemērotā maksa par saņemto elektromagnētiskās sade</w:t>
      </w:r>
      <w:r w:rsidR="00287AD3">
        <w:rPr>
          <w:rFonts w:ascii="Times New Roman" w:eastAsia="Times New Roman" w:hAnsi="Times New Roman" w:cs="Times New Roman"/>
          <w:sz w:val="28"/>
          <w:szCs w:val="28"/>
          <w:lang w:eastAsia="lv-LV"/>
        </w:rPr>
        <w:t>r</w:t>
      </w:r>
      <w:r w:rsidRP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t>ības nodrošināšanas pakalpojumu apjomu pārskata gadā (</w:t>
      </w:r>
      <w:r w:rsidRPr="00BE4405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r w:rsidRP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t>);</w:t>
      </w:r>
    </w:p>
    <w:p w14:paraId="699D641E" w14:textId="28BD271C" w:rsidR="00C1125C" w:rsidRPr="00BE4405" w:rsidRDefault="00C1125C" w:rsidP="00BE4405">
      <w:pPr>
        <w:tabs>
          <w:tab w:val="left" w:pos="709"/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 </w:t>
      </w:r>
      <w:r w:rsid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P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kopējie elektromagnētiskās saderības nodrošināšanas pakalpojumu ieņēmumi pārskata gadā (</w:t>
      </w:r>
      <w:r w:rsidRPr="00BE4405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r w:rsidRP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t>).</w:t>
      </w:r>
    </w:p>
    <w:p w14:paraId="6EA3F7A4" w14:textId="77777777" w:rsidR="00BE4405" w:rsidRDefault="00BE4405" w:rsidP="00BE4405">
      <w:pPr>
        <w:tabs>
          <w:tab w:val="left" w:pos="709"/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99D641F" w14:textId="590432C7" w:rsidR="00C1125C" w:rsidRPr="00BE4405" w:rsidRDefault="00BE4405" w:rsidP="00BE4405">
      <w:pPr>
        <w:tabs>
          <w:tab w:val="left" w:pos="709"/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t>13. </w:t>
      </w:r>
      <w:r w:rsidR="00C1125C" w:rsidRP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t>Maksājum</w:t>
      </w:r>
      <w:r w:rsidR="00B87148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C1125C" w:rsidRP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par šo noteikumu pielikuma 2</w:t>
      </w:r>
      <w:r w:rsidR="00F85BE5" w:rsidRP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t>. n</w:t>
      </w:r>
      <w:r w:rsidR="00C1125C" w:rsidRP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t>odaļas 2.9. apakšpunkt</w:t>
      </w:r>
      <w:r w:rsidR="00785865">
        <w:rPr>
          <w:rFonts w:ascii="Times New Roman" w:eastAsia="Times New Roman" w:hAnsi="Times New Roman" w:cs="Times New Roman"/>
          <w:sz w:val="28"/>
          <w:szCs w:val="28"/>
          <w:lang w:eastAsia="lv-LV"/>
        </w:rPr>
        <w:t>ā norādītajiem pakalpojumiem</w:t>
      </w:r>
      <w:r w:rsidR="00C1125C" w:rsidRP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87148">
        <w:rPr>
          <w:rFonts w:ascii="Times New Roman" w:eastAsia="Times New Roman" w:hAnsi="Times New Roman" w:cs="Times New Roman"/>
          <w:sz w:val="28"/>
          <w:szCs w:val="28"/>
          <w:lang w:eastAsia="lv-LV"/>
        </w:rPr>
        <w:t>piemēro</w:t>
      </w:r>
      <w:r w:rsidR="00C1125C" w:rsidRP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par visu komersantam piešķirto radiofrekvenču spektra joslu</w:t>
      </w:r>
      <w:r w:rsidR="00AB227E" w:rsidRP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E666E" w:rsidRP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 šo noteikumu spēkā stāšanās dienas vai no radiofrekvenču spektra lietošanas tiesību sākuma datuma, ja šis datums ir vēlāks nekā šo noteikumu spēkā stāšanās datums. </w:t>
      </w:r>
      <w:r w:rsidR="00C1125C" w:rsidRP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t>Šis punkts attiecas uz frekvenču joslām, kuru izmantošana</w:t>
      </w:r>
      <w:r w:rsidR="00B87148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C1125C" w:rsidRP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komercdarbībai elektronisko sakaru nozarē ir noteikts ierobežots radiofrekvenču spektra lietošanas tiesību piešķiršanas apjoms.</w:t>
      </w:r>
    </w:p>
    <w:p w14:paraId="452AC316" w14:textId="77777777" w:rsidR="003B07E8" w:rsidRDefault="003B07E8" w:rsidP="00BE4405">
      <w:pPr>
        <w:tabs>
          <w:tab w:val="left" w:pos="709"/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99D6420" w14:textId="1099D5A1" w:rsidR="00C1125C" w:rsidRPr="00BE4405" w:rsidRDefault="00BE4405" w:rsidP="00BE4405">
      <w:pPr>
        <w:tabs>
          <w:tab w:val="left" w:pos="709"/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t>14. </w:t>
      </w:r>
      <w:r w:rsidR="00C1125C" w:rsidRP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t>Atzīt par spēku zaudējušiem Ministru kabineta 2014</w:t>
      </w:r>
      <w:r w:rsidR="00F85BE5" w:rsidRP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t>. g</w:t>
      </w:r>
      <w:r w:rsidR="00C1125C" w:rsidRP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t>ada 1</w:t>
      </w:r>
      <w:r w:rsidR="00F85BE5" w:rsidRP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t>. j</w:t>
      </w:r>
      <w:r w:rsidR="00C1125C" w:rsidRP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t>ūlija noteikumus Nr.</w:t>
      </w:r>
      <w:r w:rsidR="00B8714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1125C" w:rsidRP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375 </w:t>
      </w:r>
      <w:r w:rsidR="00F85BE5" w:rsidRP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hyperlink r:id="rId9" w:tgtFrame="_blank" w:history="1">
        <w:r w:rsidR="00C1125C" w:rsidRPr="00BE4405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 xml:space="preserve">Valsts akciju sabiedrības </w:t>
        </w:r>
        <w:r w:rsidR="00F85BE5" w:rsidRPr="00BE4405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"</w:t>
        </w:r>
        <w:r w:rsidR="00C1125C" w:rsidRPr="00BE4405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Elektroniskie sakari</w:t>
        </w:r>
        <w:r w:rsidR="00F85BE5" w:rsidRPr="00BE4405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"</w:t>
        </w:r>
        <w:r w:rsidR="00C1125C" w:rsidRPr="00BE4405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 xml:space="preserve"> publisko maksas pakalpojumu cenrādis </w:t>
        </w:r>
      </w:hyperlink>
      <w:r w:rsidR="00F85BE5" w:rsidRP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C1125C" w:rsidRP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(Latvijas Vēstnesis, 2014, 133</w:t>
      </w:r>
      <w:r w:rsidR="00F85BE5" w:rsidRP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t>. n</w:t>
      </w:r>
      <w:r w:rsidR="00C1125C" w:rsidRP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t>r.).</w:t>
      </w:r>
    </w:p>
    <w:p w14:paraId="148AEE26" w14:textId="77777777" w:rsidR="003B07E8" w:rsidRDefault="003B07E8" w:rsidP="00BE4405">
      <w:pPr>
        <w:tabs>
          <w:tab w:val="left" w:pos="709"/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17323D1" w14:textId="7A9B71B5" w:rsidR="00370051" w:rsidRPr="00BE4405" w:rsidRDefault="00BE4405" w:rsidP="00BE4405">
      <w:pPr>
        <w:tabs>
          <w:tab w:val="left" w:pos="709"/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t>15. </w:t>
      </w:r>
      <w:r w:rsidR="00370051" w:rsidRP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 stājas spēkā 2016</w:t>
      </w:r>
      <w:r w:rsidR="00F85BE5" w:rsidRP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t>. g</w:t>
      </w:r>
      <w:r w:rsidR="00370051" w:rsidRP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t>ada 1</w:t>
      </w:r>
      <w:r w:rsidR="00F85BE5" w:rsidRP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t>. j</w:t>
      </w:r>
      <w:r w:rsidR="00370051" w:rsidRP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t>ūlijā.</w:t>
      </w:r>
    </w:p>
    <w:p w14:paraId="30DEE266" w14:textId="77777777" w:rsidR="003B07E8" w:rsidRDefault="003B07E8" w:rsidP="00BE4405">
      <w:pPr>
        <w:tabs>
          <w:tab w:val="left" w:pos="709"/>
          <w:tab w:val="left" w:pos="439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699D6421" w14:textId="77777777" w:rsidR="00C1125C" w:rsidRDefault="00C1125C" w:rsidP="003B07E8">
      <w:pPr>
        <w:tabs>
          <w:tab w:val="left" w:pos="709"/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BE440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Informatīva atsauce uz Eiropas Savienības direktīvu</w:t>
      </w:r>
    </w:p>
    <w:p w14:paraId="71A03E8A" w14:textId="77777777" w:rsidR="003B07E8" w:rsidRPr="00BE4405" w:rsidRDefault="003B07E8" w:rsidP="00BE4405">
      <w:pPr>
        <w:tabs>
          <w:tab w:val="left" w:pos="709"/>
          <w:tab w:val="left" w:pos="439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699D6422" w14:textId="226FC50A" w:rsidR="00C1125C" w:rsidRPr="00BE4405" w:rsidRDefault="00C1125C" w:rsidP="00BE4405">
      <w:pPr>
        <w:tabs>
          <w:tab w:val="left" w:pos="709"/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Noteikumos iekļautas tiesību normas, kas izriet no Eiropas Parlamenta un Padomes 2002</w:t>
      </w:r>
      <w:r w:rsidR="00F85BE5" w:rsidRP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t>. g</w:t>
      </w:r>
      <w:r w:rsidRP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t>ada 7</w:t>
      </w:r>
      <w:r w:rsidR="00F85BE5" w:rsidRP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t>. m</w:t>
      </w:r>
      <w:r w:rsidRP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arta Direktīvas </w:t>
      </w:r>
      <w:hyperlink r:id="rId10" w:tgtFrame="_blank" w:history="1">
        <w:r w:rsidRPr="003B07E8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2002/20/EK</w:t>
        </w:r>
      </w:hyperlink>
      <w:r w:rsidRPr="00BE440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par elektronisko komunikāciju tīklu un pakalpojumu atļaušanu (atļauju izsniegšanas direktīva).</w:t>
      </w:r>
    </w:p>
    <w:p w14:paraId="5EC59DCD" w14:textId="77777777" w:rsidR="00F85BE5" w:rsidRPr="00BE4405" w:rsidRDefault="00F85BE5" w:rsidP="00BE440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43A966" w14:textId="77777777" w:rsidR="00F85BE5" w:rsidRPr="00BE4405" w:rsidRDefault="00F85BE5" w:rsidP="00BE440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C6856B" w14:textId="77777777" w:rsidR="00F85BE5" w:rsidRPr="00BE4405" w:rsidRDefault="00F85BE5" w:rsidP="00BE440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F95222" w14:textId="77777777" w:rsidR="00F85BE5" w:rsidRPr="00BE4405" w:rsidRDefault="00F85BE5" w:rsidP="00BE4405">
      <w:pPr>
        <w:pStyle w:val="naisf"/>
        <w:tabs>
          <w:tab w:val="left" w:pos="709"/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BE4405">
        <w:rPr>
          <w:sz w:val="28"/>
          <w:szCs w:val="28"/>
        </w:rPr>
        <w:t>Ministru prezidents</w:t>
      </w:r>
      <w:r w:rsidRPr="00BE4405">
        <w:rPr>
          <w:sz w:val="28"/>
          <w:szCs w:val="28"/>
        </w:rPr>
        <w:tab/>
        <w:t xml:space="preserve">Māris Kučinskis </w:t>
      </w:r>
    </w:p>
    <w:p w14:paraId="2DD0AA49" w14:textId="77777777" w:rsidR="00F85BE5" w:rsidRPr="00BE4405" w:rsidRDefault="00F85BE5" w:rsidP="00BE4405">
      <w:pPr>
        <w:pStyle w:val="naisf"/>
        <w:tabs>
          <w:tab w:val="left" w:pos="709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9217462" w14:textId="77777777" w:rsidR="00F85BE5" w:rsidRPr="00BE4405" w:rsidRDefault="00F85BE5" w:rsidP="00BE4405">
      <w:pPr>
        <w:pStyle w:val="naisf"/>
        <w:tabs>
          <w:tab w:val="left" w:pos="709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37AA07A" w14:textId="77777777" w:rsidR="00F85BE5" w:rsidRPr="00BE4405" w:rsidRDefault="00F85BE5" w:rsidP="00BE4405">
      <w:pPr>
        <w:pStyle w:val="naisf"/>
        <w:tabs>
          <w:tab w:val="left" w:pos="709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26B5019" w14:textId="77777777" w:rsidR="00F85BE5" w:rsidRPr="00BE4405" w:rsidRDefault="00F85BE5" w:rsidP="00BE4405">
      <w:pPr>
        <w:tabs>
          <w:tab w:val="left" w:pos="709"/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E4405">
        <w:rPr>
          <w:rFonts w:ascii="Times New Roman" w:hAnsi="Times New Roman" w:cs="Times New Roman"/>
          <w:sz w:val="28"/>
          <w:szCs w:val="28"/>
        </w:rPr>
        <w:t xml:space="preserve">Vides aizsardzības un </w:t>
      </w:r>
    </w:p>
    <w:p w14:paraId="09EC9884" w14:textId="77777777" w:rsidR="00F85BE5" w:rsidRPr="00BE4405" w:rsidRDefault="00F85BE5" w:rsidP="00BE4405">
      <w:pPr>
        <w:tabs>
          <w:tab w:val="left" w:pos="709"/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E4405">
        <w:rPr>
          <w:rFonts w:ascii="Times New Roman" w:hAnsi="Times New Roman" w:cs="Times New Roman"/>
          <w:sz w:val="28"/>
          <w:szCs w:val="28"/>
        </w:rPr>
        <w:t>reģionālās attīstības ministrs</w:t>
      </w:r>
      <w:r w:rsidRPr="00BE4405">
        <w:rPr>
          <w:rFonts w:ascii="Times New Roman" w:hAnsi="Times New Roman" w:cs="Times New Roman"/>
          <w:sz w:val="28"/>
          <w:szCs w:val="28"/>
        </w:rPr>
        <w:tab/>
        <w:t>Kaspars Gerhards</w:t>
      </w:r>
    </w:p>
    <w:sectPr w:rsidR="00F85BE5" w:rsidRPr="00BE4405" w:rsidSect="00BE440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D6441" w14:textId="77777777" w:rsidR="00F03C89" w:rsidRDefault="00F03C89">
      <w:pPr>
        <w:spacing w:after="0" w:line="240" w:lineRule="auto"/>
      </w:pPr>
      <w:r>
        <w:separator/>
      </w:r>
    </w:p>
  </w:endnote>
  <w:endnote w:type="continuationSeparator" w:id="0">
    <w:p w14:paraId="699D6442" w14:textId="77777777" w:rsidR="00F03C89" w:rsidRDefault="00F03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F876F" w14:textId="77777777" w:rsidR="00F85BE5" w:rsidRPr="00F85BE5" w:rsidRDefault="00F85BE5" w:rsidP="00F85BE5">
    <w:pPr>
      <w:pStyle w:val="Footer"/>
      <w:rPr>
        <w:rFonts w:ascii="Times New Roman" w:hAnsi="Times New Roman" w:cs="Times New Roman"/>
        <w:sz w:val="16"/>
        <w:szCs w:val="16"/>
      </w:rPr>
    </w:pPr>
    <w:r w:rsidRPr="00F85BE5">
      <w:rPr>
        <w:rFonts w:ascii="Times New Roman" w:hAnsi="Times New Roman" w:cs="Times New Roman"/>
        <w:sz w:val="16"/>
        <w:szCs w:val="16"/>
      </w:rPr>
      <w:t>N0615_6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D6449" w14:textId="261CB534" w:rsidR="0033217C" w:rsidRPr="00F85BE5" w:rsidRDefault="00F85BE5" w:rsidP="00F740A9">
    <w:pPr>
      <w:pStyle w:val="Footer"/>
      <w:rPr>
        <w:rFonts w:ascii="Times New Roman" w:hAnsi="Times New Roman" w:cs="Times New Roman"/>
        <w:sz w:val="16"/>
        <w:szCs w:val="16"/>
      </w:rPr>
    </w:pPr>
    <w:r w:rsidRPr="00F85BE5">
      <w:rPr>
        <w:rFonts w:ascii="Times New Roman" w:hAnsi="Times New Roman" w:cs="Times New Roman"/>
        <w:sz w:val="16"/>
        <w:szCs w:val="16"/>
      </w:rPr>
      <w:t>N0615_6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9D643F" w14:textId="77777777" w:rsidR="00F03C89" w:rsidRDefault="00F03C89">
      <w:pPr>
        <w:spacing w:after="0" w:line="240" w:lineRule="auto"/>
      </w:pPr>
      <w:r>
        <w:separator/>
      </w:r>
    </w:p>
  </w:footnote>
  <w:footnote w:type="continuationSeparator" w:id="0">
    <w:p w14:paraId="699D6440" w14:textId="77777777" w:rsidR="00F03C89" w:rsidRDefault="00F03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D6443" w14:textId="77777777" w:rsidR="0033217C" w:rsidRPr="00F85BE5" w:rsidRDefault="00140A5B" w:rsidP="00D75DCE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F85BE5">
      <w:rPr>
        <w:rFonts w:ascii="Times New Roman" w:hAnsi="Times New Roman" w:cs="Times New Roman"/>
        <w:sz w:val="24"/>
        <w:szCs w:val="24"/>
      </w:rPr>
      <w:fldChar w:fldCharType="begin"/>
    </w:r>
    <w:r w:rsidR="00AB227E" w:rsidRPr="00F85BE5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F85BE5">
      <w:rPr>
        <w:rFonts w:ascii="Times New Roman" w:hAnsi="Times New Roman" w:cs="Times New Roman"/>
        <w:sz w:val="24"/>
        <w:szCs w:val="24"/>
      </w:rPr>
      <w:fldChar w:fldCharType="separate"/>
    </w:r>
    <w:r w:rsidR="00535514">
      <w:rPr>
        <w:rFonts w:ascii="Times New Roman" w:hAnsi="Times New Roman" w:cs="Times New Roman"/>
        <w:noProof/>
        <w:sz w:val="24"/>
        <w:szCs w:val="24"/>
      </w:rPr>
      <w:t>3</w:t>
    </w:r>
    <w:r w:rsidRPr="00F85BE5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D6447" w14:textId="47BC7344" w:rsidR="0033217C" w:rsidRPr="00F85BE5" w:rsidRDefault="00535514" w:rsidP="00F85BE5">
    <w:pPr>
      <w:pStyle w:val="Header"/>
      <w:rPr>
        <w:rFonts w:ascii="Times New Roman" w:hAnsi="Times New Roman" w:cs="Times New Roman"/>
        <w:sz w:val="28"/>
        <w:szCs w:val="28"/>
      </w:rPr>
    </w:pPr>
  </w:p>
  <w:p w14:paraId="239EDD02" w14:textId="6EE65FC9" w:rsidR="00F85BE5" w:rsidRPr="00F85BE5" w:rsidRDefault="00F85BE5" w:rsidP="00D75DCE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F85BE5">
      <w:rPr>
        <w:rFonts w:ascii="Times New Roman" w:hAnsi="Times New Roman" w:cs="Times New Roman"/>
        <w:noProof/>
        <w:sz w:val="32"/>
        <w:szCs w:val="28"/>
        <w:lang w:eastAsia="lv-LV"/>
      </w:rPr>
      <w:drawing>
        <wp:inline distT="0" distB="0" distL="0" distR="0" wp14:anchorId="16F596FC" wp14:editId="0FD0CD17">
          <wp:extent cx="576008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F671C"/>
    <w:multiLevelType w:val="hybridMultilevel"/>
    <w:tmpl w:val="E168034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DB4CF5"/>
    <w:multiLevelType w:val="hybridMultilevel"/>
    <w:tmpl w:val="4168B894"/>
    <w:lvl w:ilvl="0" w:tplc="ECB22444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125C"/>
    <w:rsid w:val="00054694"/>
    <w:rsid w:val="000859AD"/>
    <w:rsid w:val="00095273"/>
    <w:rsid w:val="00095ABF"/>
    <w:rsid w:val="00140A5B"/>
    <w:rsid w:val="00147ABC"/>
    <w:rsid w:val="001644E2"/>
    <w:rsid w:val="00195AE0"/>
    <w:rsid w:val="001E6DCE"/>
    <w:rsid w:val="001F43D5"/>
    <w:rsid w:val="00224E26"/>
    <w:rsid w:val="00232790"/>
    <w:rsid w:val="00287AD3"/>
    <w:rsid w:val="002B1689"/>
    <w:rsid w:val="0030183C"/>
    <w:rsid w:val="00370051"/>
    <w:rsid w:val="0037254E"/>
    <w:rsid w:val="003A32B6"/>
    <w:rsid w:val="003B07E8"/>
    <w:rsid w:val="003E6A2F"/>
    <w:rsid w:val="004F44C5"/>
    <w:rsid w:val="00535514"/>
    <w:rsid w:val="00604271"/>
    <w:rsid w:val="006051E2"/>
    <w:rsid w:val="00695CEF"/>
    <w:rsid w:val="00785865"/>
    <w:rsid w:val="008442EC"/>
    <w:rsid w:val="008A45A2"/>
    <w:rsid w:val="008B55CC"/>
    <w:rsid w:val="008C26E5"/>
    <w:rsid w:val="0099651D"/>
    <w:rsid w:val="009C4039"/>
    <w:rsid w:val="009E0BF3"/>
    <w:rsid w:val="00AB227E"/>
    <w:rsid w:val="00AD6ED7"/>
    <w:rsid w:val="00AF1E76"/>
    <w:rsid w:val="00B24E62"/>
    <w:rsid w:val="00B30E93"/>
    <w:rsid w:val="00B87148"/>
    <w:rsid w:val="00BE4405"/>
    <w:rsid w:val="00C07BDF"/>
    <w:rsid w:val="00C1125C"/>
    <w:rsid w:val="00C33785"/>
    <w:rsid w:val="00C8733A"/>
    <w:rsid w:val="00CE6C0A"/>
    <w:rsid w:val="00CF22C8"/>
    <w:rsid w:val="00D01BA3"/>
    <w:rsid w:val="00DE666E"/>
    <w:rsid w:val="00E02DBB"/>
    <w:rsid w:val="00F03C89"/>
    <w:rsid w:val="00F21C4D"/>
    <w:rsid w:val="00F8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D63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A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2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25C"/>
  </w:style>
  <w:style w:type="paragraph" w:styleId="Footer">
    <w:name w:val="footer"/>
    <w:basedOn w:val="Normal"/>
    <w:link w:val="FooterChar"/>
    <w:uiPriority w:val="99"/>
    <w:unhideWhenUsed/>
    <w:rsid w:val="00C112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25C"/>
  </w:style>
  <w:style w:type="paragraph" w:styleId="BalloonText">
    <w:name w:val="Balloon Text"/>
    <w:basedOn w:val="Normal"/>
    <w:link w:val="BalloonTextChar"/>
    <w:uiPriority w:val="99"/>
    <w:semiHidden/>
    <w:unhideWhenUsed/>
    <w:rsid w:val="00DE6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66E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1E6DCE"/>
    <w:rPr>
      <w:color w:val="0000FF"/>
      <w:u w:val="single"/>
    </w:rPr>
  </w:style>
  <w:style w:type="paragraph" w:customStyle="1" w:styleId="naisf">
    <w:name w:val="naisf"/>
    <w:basedOn w:val="Normal"/>
    <w:rsid w:val="00F85BE5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eur-lex.europa.eu/LexUriServ/LexUriServ.do?uri=CONSLEG:2002L0020:20091219:LV: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kumi.lv/doc.php?id=207282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A5139-8673-49FE-859F-4EC883125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3252</Words>
  <Characters>1854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Katrīna Hohberga</dc:creator>
  <cp:lastModifiedBy>Jekaterina Borovika</cp:lastModifiedBy>
  <cp:revision>20</cp:revision>
  <cp:lastPrinted>2016-04-25T10:10:00Z</cp:lastPrinted>
  <dcterms:created xsi:type="dcterms:W3CDTF">2016-03-03T10:38:00Z</dcterms:created>
  <dcterms:modified xsi:type="dcterms:W3CDTF">2016-04-27T09:12:00Z</dcterms:modified>
</cp:coreProperties>
</file>