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AA12" w14:textId="77777777" w:rsidR="002F3A46" w:rsidRPr="002F3A46" w:rsidRDefault="0047498B" w:rsidP="002F3A46">
      <w:pPr>
        <w:pStyle w:val="BodyText3"/>
        <w:jc w:val="center"/>
        <w:rPr>
          <w:i w:val="0"/>
          <w:sz w:val="26"/>
          <w:szCs w:val="26"/>
        </w:rPr>
      </w:pPr>
      <w:bookmarkStart w:id="0" w:name="OLE_LINK1"/>
      <w:bookmarkStart w:id="1" w:name="OLE_LINK2"/>
      <w:r w:rsidRPr="00D13B02">
        <w:rPr>
          <w:bCs/>
          <w:i w:val="0"/>
          <w:sz w:val="26"/>
          <w:szCs w:val="26"/>
        </w:rPr>
        <w:t>M</w:t>
      </w:r>
      <w:r w:rsidR="002B5BA9" w:rsidRPr="00D13B02">
        <w:rPr>
          <w:bCs/>
          <w:i w:val="0"/>
          <w:sz w:val="26"/>
          <w:szCs w:val="26"/>
        </w:rPr>
        <w:t xml:space="preserve">inistru kabineta noteikumu </w:t>
      </w:r>
      <w:r w:rsidR="00C4534E">
        <w:rPr>
          <w:bCs/>
          <w:i w:val="0"/>
          <w:sz w:val="26"/>
          <w:szCs w:val="26"/>
        </w:rPr>
        <w:t xml:space="preserve">projekta </w:t>
      </w:r>
      <w:r w:rsidR="00DD413F">
        <w:rPr>
          <w:bCs/>
          <w:i w:val="0"/>
          <w:sz w:val="26"/>
          <w:szCs w:val="26"/>
        </w:rPr>
        <w:t>"</w:t>
      </w:r>
      <w:r w:rsidR="00852CD2" w:rsidRPr="00D13B02">
        <w:rPr>
          <w:bCs/>
          <w:i w:val="0"/>
          <w:sz w:val="26"/>
          <w:szCs w:val="26"/>
        </w:rPr>
        <w:t xml:space="preserve">Grozījumi </w:t>
      </w:r>
    </w:p>
    <w:p w14:paraId="17ABAA13" w14:textId="6010B4E0" w:rsidR="00852CD2" w:rsidRPr="00D13B02" w:rsidRDefault="002F3A46" w:rsidP="00852CD2">
      <w:pPr>
        <w:pStyle w:val="BodyText3"/>
        <w:jc w:val="center"/>
        <w:rPr>
          <w:b w:val="0"/>
          <w:sz w:val="26"/>
          <w:szCs w:val="26"/>
        </w:rPr>
      </w:pPr>
      <w:r w:rsidRPr="002F3A46">
        <w:rPr>
          <w:i w:val="0"/>
          <w:sz w:val="26"/>
          <w:szCs w:val="26"/>
        </w:rPr>
        <w:t>Ministru kabineta 2015.</w:t>
      </w:r>
      <w:r w:rsidR="00DD413F">
        <w:rPr>
          <w:i w:val="0"/>
          <w:sz w:val="26"/>
          <w:szCs w:val="26"/>
        </w:rPr>
        <w:t> </w:t>
      </w:r>
      <w:r w:rsidRPr="002F3A46">
        <w:rPr>
          <w:i w:val="0"/>
          <w:sz w:val="26"/>
          <w:szCs w:val="26"/>
        </w:rPr>
        <w:t>gada 14.</w:t>
      </w:r>
      <w:r w:rsidR="00DD413F">
        <w:rPr>
          <w:i w:val="0"/>
          <w:sz w:val="26"/>
          <w:szCs w:val="26"/>
        </w:rPr>
        <w:t> </w:t>
      </w:r>
      <w:r w:rsidRPr="002F3A46">
        <w:rPr>
          <w:i w:val="0"/>
          <w:sz w:val="26"/>
          <w:szCs w:val="26"/>
        </w:rPr>
        <w:t>jūlija noteikumos Nr.</w:t>
      </w:r>
      <w:r w:rsidR="00DD413F">
        <w:rPr>
          <w:i w:val="0"/>
          <w:sz w:val="26"/>
          <w:szCs w:val="26"/>
        </w:rPr>
        <w:t> </w:t>
      </w:r>
      <w:r w:rsidRPr="002F3A46">
        <w:rPr>
          <w:i w:val="0"/>
          <w:sz w:val="26"/>
          <w:szCs w:val="26"/>
        </w:rPr>
        <w:t xml:space="preserve">389 Darbības programmas </w:t>
      </w:r>
      <w:r w:rsidR="00DD413F">
        <w:rPr>
          <w:i w:val="0"/>
          <w:sz w:val="26"/>
          <w:szCs w:val="26"/>
        </w:rPr>
        <w:t>"</w:t>
      </w:r>
      <w:r w:rsidRPr="002F3A46">
        <w:rPr>
          <w:i w:val="0"/>
          <w:sz w:val="26"/>
          <w:szCs w:val="26"/>
        </w:rPr>
        <w:t>Izaugsme un nodarbinātība</w:t>
      </w:r>
      <w:r w:rsidR="00DD413F">
        <w:rPr>
          <w:i w:val="0"/>
          <w:sz w:val="26"/>
          <w:szCs w:val="26"/>
        </w:rPr>
        <w:t>"</w:t>
      </w:r>
      <w:r w:rsidRPr="002F3A46">
        <w:rPr>
          <w:i w:val="0"/>
          <w:sz w:val="26"/>
          <w:szCs w:val="26"/>
        </w:rPr>
        <w:t xml:space="preserve"> 3.4.2. specifiskā atbalsta mērķa </w:t>
      </w:r>
      <w:r w:rsidR="00DD413F">
        <w:rPr>
          <w:i w:val="0"/>
          <w:sz w:val="26"/>
          <w:szCs w:val="26"/>
        </w:rPr>
        <w:t>"</w:t>
      </w:r>
      <w:r w:rsidRPr="002F3A46">
        <w:rPr>
          <w:i w:val="0"/>
          <w:sz w:val="26"/>
          <w:szCs w:val="26"/>
        </w:rPr>
        <w:t>Valsts pārvaldes profesionālā pilnveide labāka tiesiskā regulējuma izstrādē mazo un vidējo komersantu atbalsta, korupcijas novēršanas un ēnu ekonomikas mazināša</w:t>
      </w:r>
      <w:r w:rsidR="00C4534E">
        <w:rPr>
          <w:i w:val="0"/>
          <w:sz w:val="26"/>
          <w:szCs w:val="26"/>
        </w:rPr>
        <w:t>nas jomās</w:t>
      </w:r>
      <w:r w:rsidR="00DD413F">
        <w:rPr>
          <w:i w:val="0"/>
          <w:sz w:val="26"/>
          <w:szCs w:val="26"/>
        </w:rPr>
        <w:t>"</w:t>
      </w:r>
      <w:r w:rsidR="00C4534E">
        <w:rPr>
          <w:i w:val="0"/>
          <w:sz w:val="26"/>
          <w:szCs w:val="26"/>
        </w:rPr>
        <w:t xml:space="preserve"> īstenošanas noteikum</w:t>
      </w:r>
      <w:r w:rsidR="004D7A34">
        <w:rPr>
          <w:i w:val="0"/>
          <w:sz w:val="26"/>
          <w:szCs w:val="26"/>
        </w:rPr>
        <w:t>i</w:t>
      </w:r>
      <w:r w:rsidR="00DD413F">
        <w:rPr>
          <w:i w:val="0"/>
          <w:sz w:val="26"/>
          <w:szCs w:val="26"/>
        </w:rPr>
        <w:t>"</w:t>
      </w:r>
    </w:p>
    <w:bookmarkEnd w:id="0"/>
    <w:bookmarkEnd w:id="1"/>
    <w:p w14:paraId="17ABAA14" w14:textId="77777777" w:rsidR="0070526D" w:rsidRPr="00D13B02" w:rsidRDefault="003E67CA" w:rsidP="003E67CA">
      <w:pPr>
        <w:pStyle w:val="BodyText3"/>
        <w:jc w:val="center"/>
        <w:rPr>
          <w:bCs/>
          <w:i w:val="0"/>
          <w:sz w:val="26"/>
          <w:szCs w:val="26"/>
        </w:rPr>
      </w:pPr>
      <w:r w:rsidRPr="00D13B02">
        <w:rPr>
          <w:bCs/>
          <w:i w:val="0"/>
          <w:sz w:val="26"/>
          <w:szCs w:val="26"/>
        </w:rPr>
        <w:t>sākotnējās</w:t>
      </w:r>
      <w:r w:rsidR="005A74FF" w:rsidRPr="00D13B02">
        <w:rPr>
          <w:bCs/>
          <w:i w:val="0"/>
          <w:sz w:val="26"/>
          <w:szCs w:val="26"/>
        </w:rPr>
        <w:t xml:space="preserve"> </w:t>
      </w:r>
      <w:r w:rsidRPr="00D13B02">
        <w:rPr>
          <w:bCs/>
          <w:i w:val="0"/>
          <w:sz w:val="26"/>
          <w:szCs w:val="26"/>
        </w:rPr>
        <w:t>ietekmes novērtējuma ziņojums (anotācija)</w:t>
      </w:r>
    </w:p>
    <w:p w14:paraId="17ABAA15" w14:textId="77777777" w:rsidR="0024678C" w:rsidRPr="00D13B02" w:rsidRDefault="0024678C" w:rsidP="0024678C">
      <w:pPr>
        <w:pStyle w:val="BodyText3"/>
        <w:jc w:val="center"/>
        <w:rPr>
          <w:i w:val="0"/>
          <w:sz w:val="26"/>
          <w:szCs w:val="26"/>
        </w:rPr>
      </w:pPr>
    </w:p>
    <w:tbl>
      <w:tblPr>
        <w:tblW w:w="9759"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3185"/>
        <w:gridCol w:w="6214"/>
      </w:tblGrid>
      <w:tr w:rsidR="00D13B02" w:rsidRPr="00D13B02" w14:paraId="17ABAA17" w14:textId="77777777" w:rsidTr="00FC1B30">
        <w:trPr>
          <w:tblCellSpacing w:w="0" w:type="dxa"/>
        </w:trPr>
        <w:tc>
          <w:tcPr>
            <w:tcW w:w="9759" w:type="dxa"/>
            <w:gridSpan w:val="3"/>
            <w:tcBorders>
              <w:top w:val="outset" w:sz="6" w:space="0" w:color="auto"/>
              <w:left w:val="outset" w:sz="6" w:space="0" w:color="auto"/>
              <w:bottom w:val="outset" w:sz="6" w:space="0" w:color="auto"/>
              <w:right w:val="outset" w:sz="6" w:space="0" w:color="auto"/>
            </w:tcBorders>
            <w:vAlign w:val="center"/>
            <w:hideMark/>
          </w:tcPr>
          <w:p w14:paraId="17ABAA16" w14:textId="77777777" w:rsidR="00062334" w:rsidRPr="00DD413F" w:rsidRDefault="00DD413F" w:rsidP="00DD413F">
            <w:pPr>
              <w:ind w:left="-588"/>
              <w:jc w:val="center"/>
              <w:rPr>
                <w:rFonts w:eastAsia="Times New Roman" w:cs="Times New Roman"/>
                <w:sz w:val="26"/>
                <w:szCs w:val="26"/>
                <w:lang w:eastAsia="lv-LV"/>
              </w:rPr>
            </w:pPr>
            <w:r>
              <w:rPr>
                <w:rFonts w:eastAsia="Times New Roman" w:cs="Times New Roman"/>
                <w:b/>
                <w:bCs/>
                <w:sz w:val="26"/>
                <w:szCs w:val="26"/>
                <w:lang w:eastAsia="lv-LV"/>
              </w:rPr>
              <w:t>I. </w:t>
            </w:r>
            <w:r w:rsidR="0070526D" w:rsidRPr="00DD413F">
              <w:rPr>
                <w:rFonts w:eastAsia="Times New Roman" w:cs="Times New Roman"/>
                <w:b/>
                <w:bCs/>
                <w:sz w:val="26"/>
                <w:szCs w:val="26"/>
                <w:lang w:eastAsia="lv-LV"/>
              </w:rPr>
              <w:t>Tiesību akta projekta izstrādes nepieciešamība</w:t>
            </w:r>
          </w:p>
        </w:tc>
      </w:tr>
      <w:tr w:rsidR="00D13B02" w:rsidRPr="00D13B02" w14:paraId="17ABAA23" w14:textId="77777777" w:rsidTr="005219E9">
        <w:trPr>
          <w:trHeight w:val="630"/>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17ABAA18" w14:textId="77777777" w:rsidR="00852CD2" w:rsidRPr="00D13B02" w:rsidRDefault="00852CD2" w:rsidP="0024678C">
            <w:pPr>
              <w:rPr>
                <w:rFonts w:eastAsia="Times New Roman" w:cs="Times New Roman"/>
                <w:sz w:val="24"/>
                <w:szCs w:val="24"/>
                <w:lang w:eastAsia="lv-LV"/>
              </w:rPr>
            </w:pPr>
            <w:r w:rsidRPr="00D13B02">
              <w:rPr>
                <w:rFonts w:eastAsia="Times New Roman" w:cs="Times New Roman"/>
                <w:sz w:val="24"/>
                <w:szCs w:val="24"/>
                <w:lang w:eastAsia="lv-LV"/>
              </w:rPr>
              <w:t> 1.</w:t>
            </w:r>
          </w:p>
        </w:tc>
        <w:tc>
          <w:tcPr>
            <w:tcW w:w="3185" w:type="dxa"/>
            <w:tcBorders>
              <w:top w:val="outset" w:sz="6" w:space="0" w:color="auto"/>
              <w:left w:val="outset" w:sz="6" w:space="0" w:color="auto"/>
              <w:bottom w:val="outset" w:sz="6" w:space="0" w:color="auto"/>
              <w:right w:val="outset" w:sz="6" w:space="0" w:color="auto"/>
            </w:tcBorders>
            <w:hideMark/>
          </w:tcPr>
          <w:p w14:paraId="17ABAA19" w14:textId="77777777" w:rsidR="003671E2" w:rsidRDefault="00852CD2" w:rsidP="0024678C">
            <w:pPr>
              <w:rPr>
                <w:rFonts w:eastAsia="Times New Roman" w:cs="Times New Roman"/>
                <w:sz w:val="24"/>
                <w:szCs w:val="24"/>
                <w:lang w:eastAsia="lv-LV"/>
              </w:rPr>
            </w:pPr>
            <w:r w:rsidRPr="00D13B02">
              <w:rPr>
                <w:rFonts w:eastAsia="Times New Roman" w:cs="Times New Roman"/>
                <w:sz w:val="24"/>
                <w:szCs w:val="24"/>
                <w:lang w:eastAsia="lv-LV"/>
              </w:rPr>
              <w:t>Pamatojums</w:t>
            </w:r>
          </w:p>
          <w:p w14:paraId="17ABAA1A" w14:textId="77777777" w:rsidR="003671E2" w:rsidRPr="003671E2" w:rsidRDefault="003671E2" w:rsidP="003671E2">
            <w:pPr>
              <w:rPr>
                <w:rFonts w:eastAsia="Times New Roman" w:cs="Times New Roman"/>
                <w:sz w:val="24"/>
                <w:szCs w:val="24"/>
                <w:lang w:eastAsia="lv-LV"/>
              </w:rPr>
            </w:pPr>
          </w:p>
          <w:p w14:paraId="17ABAA1B" w14:textId="77777777" w:rsidR="003671E2" w:rsidRPr="003671E2" w:rsidRDefault="003671E2" w:rsidP="003671E2">
            <w:pPr>
              <w:rPr>
                <w:rFonts w:eastAsia="Times New Roman" w:cs="Times New Roman"/>
                <w:sz w:val="24"/>
                <w:szCs w:val="24"/>
                <w:lang w:eastAsia="lv-LV"/>
              </w:rPr>
            </w:pPr>
          </w:p>
          <w:p w14:paraId="17ABAA1C" w14:textId="77777777" w:rsidR="003671E2" w:rsidRPr="003671E2" w:rsidRDefault="003671E2" w:rsidP="003671E2">
            <w:pPr>
              <w:rPr>
                <w:rFonts w:eastAsia="Times New Roman" w:cs="Times New Roman"/>
                <w:sz w:val="24"/>
                <w:szCs w:val="24"/>
                <w:lang w:eastAsia="lv-LV"/>
              </w:rPr>
            </w:pPr>
          </w:p>
          <w:p w14:paraId="17ABAA1D" w14:textId="77777777" w:rsidR="003671E2" w:rsidRPr="003671E2" w:rsidRDefault="003671E2" w:rsidP="003671E2">
            <w:pPr>
              <w:rPr>
                <w:rFonts w:eastAsia="Times New Roman" w:cs="Times New Roman"/>
                <w:sz w:val="24"/>
                <w:szCs w:val="24"/>
                <w:lang w:eastAsia="lv-LV"/>
              </w:rPr>
            </w:pPr>
          </w:p>
          <w:p w14:paraId="17ABAA1E" w14:textId="77777777" w:rsidR="003671E2" w:rsidRPr="003671E2" w:rsidRDefault="003671E2" w:rsidP="003671E2">
            <w:pPr>
              <w:rPr>
                <w:rFonts w:eastAsia="Times New Roman" w:cs="Times New Roman"/>
                <w:sz w:val="24"/>
                <w:szCs w:val="24"/>
                <w:lang w:eastAsia="lv-LV"/>
              </w:rPr>
            </w:pPr>
          </w:p>
          <w:p w14:paraId="17ABAA1F" w14:textId="77777777" w:rsidR="003671E2" w:rsidRPr="003671E2" w:rsidRDefault="003671E2" w:rsidP="003671E2">
            <w:pPr>
              <w:rPr>
                <w:rFonts w:eastAsia="Times New Roman" w:cs="Times New Roman"/>
                <w:sz w:val="24"/>
                <w:szCs w:val="24"/>
                <w:lang w:eastAsia="lv-LV"/>
              </w:rPr>
            </w:pPr>
          </w:p>
          <w:p w14:paraId="17ABAA20" w14:textId="77777777" w:rsidR="003671E2" w:rsidRDefault="003671E2" w:rsidP="003671E2">
            <w:pPr>
              <w:rPr>
                <w:rFonts w:eastAsia="Times New Roman" w:cs="Times New Roman"/>
                <w:sz w:val="24"/>
                <w:szCs w:val="24"/>
                <w:lang w:eastAsia="lv-LV"/>
              </w:rPr>
            </w:pPr>
          </w:p>
          <w:p w14:paraId="17ABAA21" w14:textId="77777777" w:rsidR="00852CD2" w:rsidRPr="003671E2" w:rsidRDefault="00852CD2" w:rsidP="003671E2">
            <w:pPr>
              <w:jc w:val="center"/>
              <w:rPr>
                <w:rFonts w:eastAsia="Times New Roman" w:cs="Times New Roman"/>
                <w:sz w:val="24"/>
                <w:szCs w:val="24"/>
                <w:lang w:eastAsia="lv-LV"/>
              </w:rPr>
            </w:pPr>
          </w:p>
        </w:tc>
        <w:tc>
          <w:tcPr>
            <w:tcW w:w="6214" w:type="dxa"/>
            <w:tcBorders>
              <w:top w:val="outset" w:sz="6" w:space="0" w:color="auto"/>
              <w:left w:val="outset" w:sz="6" w:space="0" w:color="auto"/>
              <w:bottom w:val="outset" w:sz="6" w:space="0" w:color="auto"/>
              <w:right w:val="outset" w:sz="6" w:space="0" w:color="auto"/>
            </w:tcBorders>
            <w:hideMark/>
          </w:tcPr>
          <w:p w14:paraId="17ABAA22" w14:textId="5EE31C52" w:rsidR="00FB093A" w:rsidRPr="00D13B02" w:rsidRDefault="00FB093A" w:rsidP="004D7A34">
            <w:pPr>
              <w:tabs>
                <w:tab w:val="left" w:pos="147"/>
              </w:tabs>
              <w:ind w:left="127"/>
              <w:jc w:val="both"/>
              <w:rPr>
                <w:sz w:val="24"/>
                <w:szCs w:val="24"/>
              </w:rPr>
            </w:pPr>
            <w:r w:rsidRPr="00D13B02">
              <w:rPr>
                <w:sz w:val="24"/>
                <w:szCs w:val="24"/>
              </w:rPr>
              <w:t>Ministru kabineta noteikumu</w:t>
            </w:r>
            <w:r>
              <w:rPr>
                <w:sz w:val="24"/>
                <w:szCs w:val="24"/>
              </w:rPr>
              <w:t xml:space="preserve"> projekt</w:t>
            </w:r>
            <w:r w:rsidR="004D7A34">
              <w:rPr>
                <w:sz w:val="24"/>
                <w:szCs w:val="24"/>
              </w:rPr>
              <w:t>s</w:t>
            </w:r>
            <w:r w:rsidRPr="00FB093A">
              <w:rPr>
                <w:sz w:val="24"/>
                <w:szCs w:val="24"/>
              </w:rPr>
              <w:t xml:space="preserve"> </w:t>
            </w:r>
            <w:r w:rsidR="00DD413F">
              <w:rPr>
                <w:sz w:val="24"/>
                <w:szCs w:val="24"/>
              </w:rPr>
              <w:t>"</w:t>
            </w:r>
            <w:r w:rsidR="00763466" w:rsidRPr="00763466">
              <w:rPr>
                <w:sz w:val="24"/>
                <w:szCs w:val="24"/>
              </w:rPr>
              <w:t>Grozī</w:t>
            </w:r>
            <w:r w:rsidR="00763466">
              <w:rPr>
                <w:sz w:val="24"/>
                <w:szCs w:val="24"/>
              </w:rPr>
              <w:t xml:space="preserve">jumi </w:t>
            </w:r>
            <w:r w:rsidR="00763466" w:rsidRPr="00763466">
              <w:rPr>
                <w:sz w:val="24"/>
                <w:szCs w:val="24"/>
              </w:rPr>
              <w:t>2015.</w:t>
            </w:r>
            <w:r w:rsidR="00DD413F">
              <w:rPr>
                <w:sz w:val="24"/>
                <w:szCs w:val="24"/>
              </w:rPr>
              <w:t> </w:t>
            </w:r>
            <w:r w:rsidR="00763466" w:rsidRPr="00763466">
              <w:rPr>
                <w:sz w:val="24"/>
                <w:szCs w:val="24"/>
              </w:rPr>
              <w:t>gada 14.</w:t>
            </w:r>
            <w:r w:rsidR="00DD413F">
              <w:rPr>
                <w:sz w:val="24"/>
                <w:szCs w:val="24"/>
              </w:rPr>
              <w:t> </w:t>
            </w:r>
            <w:r w:rsidR="00763466" w:rsidRPr="00763466">
              <w:rPr>
                <w:sz w:val="24"/>
                <w:szCs w:val="24"/>
              </w:rPr>
              <w:t>jūlija noteikumos Nr.</w:t>
            </w:r>
            <w:r w:rsidR="00DD413F">
              <w:rPr>
                <w:sz w:val="24"/>
                <w:szCs w:val="24"/>
              </w:rPr>
              <w:t> </w:t>
            </w:r>
            <w:r w:rsidR="00763466" w:rsidRPr="00763466">
              <w:rPr>
                <w:sz w:val="24"/>
                <w:szCs w:val="24"/>
              </w:rPr>
              <w:t xml:space="preserve">389 Darbības programmas </w:t>
            </w:r>
            <w:r w:rsidR="00DD413F">
              <w:rPr>
                <w:sz w:val="24"/>
                <w:szCs w:val="24"/>
              </w:rPr>
              <w:t>"</w:t>
            </w:r>
            <w:r w:rsidR="00763466" w:rsidRPr="00763466">
              <w:rPr>
                <w:sz w:val="24"/>
                <w:szCs w:val="24"/>
              </w:rPr>
              <w:t>Izaugsme un nodarbinātība</w:t>
            </w:r>
            <w:r w:rsidR="00DD413F">
              <w:rPr>
                <w:sz w:val="24"/>
                <w:szCs w:val="24"/>
              </w:rPr>
              <w:t>"</w:t>
            </w:r>
            <w:r w:rsidR="00763466" w:rsidRPr="00763466">
              <w:rPr>
                <w:sz w:val="24"/>
                <w:szCs w:val="24"/>
              </w:rPr>
              <w:t xml:space="preserve"> 3.4.2.</w:t>
            </w:r>
            <w:r w:rsidR="004D7A34">
              <w:rPr>
                <w:sz w:val="24"/>
                <w:szCs w:val="24"/>
              </w:rPr>
              <w:t> </w:t>
            </w:r>
            <w:r w:rsidR="00763466" w:rsidRPr="00763466">
              <w:rPr>
                <w:sz w:val="24"/>
                <w:szCs w:val="24"/>
              </w:rPr>
              <w:t xml:space="preserve">specifiskā atbalsta mērķa </w:t>
            </w:r>
            <w:r w:rsidR="00DD413F">
              <w:rPr>
                <w:sz w:val="24"/>
                <w:szCs w:val="24"/>
              </w:rPr>
              <w:t>"</w:t>
            </w:r>
            <w:r w:rsidR="00763466" w:rsidRPr="00763466">
              <w:rPr>
                <w:sz w:val="24"/>
                <w:szCs w:val="24"/>
              </w:rPr>
              <w:t>Valsts pārvaldes profesionālā pilnveide labāka tiesiskā regulējuma izstrādē mazo un vidējo komersantu atbalsta, korupcijas novēršanas un ēnu ekonomikas mazināšanas jomās</w:t>
            </w:r>
            <w:r w:rsidR="00DD413F">
              <w:rPr>
                <w:sz w:val="24"/>
                <w:szCs w:val="24"/>
              </w:rPr>
              <w:t>"</w:t>
            </w:r>
            <w:r w:rsidR="00763466" w:rsidRPr="00763466">
              <w:rPr>
                <w:sz w:val="24"/>
                <w:szCs w:val="24"/>
              </w:rPr>
              <w:t xml:space="preserve"> īstenošanas noteikum</w:t>
            </w:r>
            <w:r w:rsidR="004D7A34">
              <w:rPr>
                <w:sz w:val="24"/>
                <w:szCs w:val="24"/>
              </w:rPr>
              <w:t>i</w:t>
            </w:r>
            <w:r w:rsidR="00DD413F">
              <w:rPr>
                <w:sz w:val="24"/>
                <w:szCs w:val="24"/>
              </w:rPr>
              <w:t>"</w:t>
            </w:r>
            <w:r w:rsidR="00763466" w:rsidRPr="00763466">
              <w:rPr>
                <w:sz w:val="24"/>
                <w:szCs w:val="24"/>
              </w:rPr>
              <w:t xml:space="preserve"> </w:t>
            </w:r>
            <w:r w:rsidRPr="00E13418">
              <w:rPr>
                <w:sz w:val="24"/>
                <w:szCs w:val="24"/>
              </w:rPr>
              <w:t>(turpmāk –</w:t>
            </w:r>
            <w:r w:rsidR="00DD413F">
              <w:rPr>
                <w:sz w:val="24"/>
                <w:szCs w:val="24"/>
              </w:rPr>
              <w:t xml:space="preserve"> </w:t>
            </w:r>
            <w:r w:rsidR="00E13418" w:rsidRPr="00E13418">
              <w:rPr>
                <w:sz w:val="24"/>
                <w:szCs w:val="24"/>
              </w:rPr>
              <w:t>noteikumu projekts</w:t>
            </w:r>
            <w:r w:rsidR="0026757D" w:rsidRPr="00E13418">
              <w:rPr>
                <w:sz w:val="24"/>
                <w:szCs w:val="24"/>
              </w:rPr>
              <w:t>)</w:t>
            </w:r>
            <w:r w:rsidR="00CA3778">
              <w:t xml:space="preserve"> </w:t>
            </w:r>
            <w:r w:rsidR="00CA3778" w:rsidRPr="00CA3778">
              <w:rPr>
                <w:sz w:val="24"/>
                <w:szCs w:val="24"/>
              </w:rPr>
              <w:t>izstrādāts</w:t>
            </w:r>
            <w:r w:rsidR="004D7A34">
              <w:rPr>
                <w:sz w:val="24"/>
                <w:szCs w:val="24"/>
              </w:rPr>
              <w:t>,</w:t>
            </w:r>
            <w:r w:rsidR="00CA3778" w:rsidRPr="00CA3778">
              <w:rPr>
                <w:sz w:val="24"/>
                <w:szCs w:val="24"/>
              </w:rPr>
              <w:t xml:space="preserve"> pamatojoties uz Eiropas Savienības struktūrfondu un Kohēzijas fonda 2014.–2020. gada plānošanas perioda vadības likuma (pieņemts 2014. gada 3. jūli</w:t>
            </w:r>
            <w:r w:rsidR="004D7A34">
              <w:rPr>
                <w:sz w:val="24"/>
                <w:szCs w:val="24"/>
              </w:rPr>
              <w:t>jā) 20. panta 6. un 13. punktu</w:t>
            </w:r>
          </w:p>
        </w:tc>
      </w:tr>
      <w:tr w:rsidR="00D13B02" w:rsidRPr="00D13B02" w14:paraId="17ABAA2C" w14:textId="77777777" w:rsidTr="005219E9">
        <w:trPr>
          <w:trHeight w:val="472"/>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17ABAA24"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2.</w:t>
            </w:r>
          </w:p>
        </w:tc>
        <w:tc>
          <w:tcPr>
            <w:tcW w:w="3185" w:type="dxa"/>
            <w:tcBorders>
              <w:top w:val="outset" w:sz="6" w:space="0" w:color="auto"/>
              <w:left w:val="outset" w:sz="6" w:space="0" w:color="auto"/>
              <w:bottom w:val="outset" w:sz="6" w:space="0" w:color="auto"/>
              <w:right w:val="outset" w:sz="6" w:space="0" w:color="auto"/>
            </w:tcBorders>
            <w:hideMark/>
          </w:tcPr>
          <w:p w14:paraId="17ABAA25" w14:textId="77777777" w:rsidR="0070526D" w:rsidRPr="00D13B02" w:rsidRDefault="00CD29CB" w:rsidP="00CD29CB">
            <w:pPr>
              <w:rPr>
                <w:rFonts w:eastAsia="Times New Roman" w:cs="Times New Roman"/>
                <w:sz w:val="24"/>
                <w:szCs w:val="24"/>
                <w:lang w:eastAsia="lv-LV"/>
              </w:rPr>
            </w:pPr>
            <w:r w:rsidRPr="00D13B02">
              <w:rPr>
                <w:rFonts w:eastAsia="Times New Roman" w:cs="Times New Roman"/>
                <w:sz w:val="24"/>
                <w:szCs w:val="24"/>
                <w:lang w:eastAsia="lv-LV"/>
              </w:rPr>
              <w:t>Pašreizējā situācija un problēmas, kuru risināšanai tiesību akta projekts izstrādāts, tiesiskā regulējuma mērķis un būtība</w:t>
            </w:r>
          </w:p>
        </w:tc>
        <w:tc>
          <w:tcPr>
            <w:tcW w:w="6214" w:type="dxa"/>
            <w:tcBorders>
              <w:top w:val="outset" w:sz="6" w:space="0" w:color="auto"/>
              <w:left w:val="outset" w:sz="6" w:space="0" w:color="auto"/>
              <w:bottom w:val="outset" w:sz="6" w:space="0" w:color="auto"/>
              <w:right w:val="outset" w:sz="6" w:space="0" w:color="auto"/>
            </w:tcBorders>
          </w:tcPr>
          <w:p w14:paraId="17ABAA26" w14:textId="5BFC4C92" w:rsidR="002570D6" w:rsidRDefault="00CA3778" w:rsidP="004D7A34">
            <w:pPr>
              <w:pStyle w:val="BodyText"/>
              <w:tabs>
                <w:tab w:val="left" w:pos="547"/>
              </w:tabs>
              <w:spacing w:after="0"/>
              <w:ind w:left="127"/>
              <w:jc w:val="both"/>
              <w:rPr>
                <w:sz w:val="24"/>
                <w:szCs w:val="24"/>
              </w:rPr>
            </w:pPr>
            <w:r w:rsidRPr="00CA3778">
              <w:rPr>
                <w:spacing w:val="-3"/>
                <w:sz w:val="24"/>
                <w:szCs w:val="24"/>
              </w:rPr>
              <w:t xml:space="preserve">Noteikumu projekta izstrādes nepieciešamība saistīta ar papildu finansējuma saņēmēja noteikšanu, kuram Latvijas Republikā ir noteikts īpašs statuss – Valsts kontrole, kas ir neatkarīga koleģiāla augstākā revīzijas iestāde Latvijas Republikā. </w:t>
            </w:r>
            <w:r w:rsidR="00C87F2A">
              <w:rPr>
                <w:spacing w:val="-3"/>
                <w:sz w:val="24"/>
                <w:szCs w:val="24"/>
              </w:rPr>
              <w:t xml:space="preserve">Sākotnēji tika plānots, ka Valsts kontrole pilnveidos profesionālās zināšanas Valsts administrācijas </w:t>
            </w:r>
            <w:r w:rsidR="00B87A55">
              <w:rPr>
                <w:spacing w:val="-3"/>
                <w:sz w:val="24"/>
                <w:szCs w:val="24"/>
              </w:rPr>
              <w:t xml:space="preserve">skolas </w:t>
            </w:r>
            <w:r w:rsidR="00C87F2A">
              <w:rPr>
                <w:spacing w:val="-3"/>
                <w:sz w:val="24"/>
                <w:szCs w:val="24"/>
              </w:rPr>
              <w:t>projektu ietvaros, tomēr, ņ</w:t>
            </w:r>
            <w:r w:rsidR="00DE05DE">
              <w:rPr>
                <w:spacing w:val="-3"/>
                <w:sz w:val="24"/>
                <w:szCs w:val="24"/>
              </w:rPr>
              <w:t xml:space="preserve">emot vērā Valsts kontroles īpašo statusu, kas ir noteikts </w:t>
            </w:r>
            <w:r w:rsidR="00DE05DE" w:rsidRPr="00DD0549">
              <w:rPr>
                <w:spacing w:val="-3"/>
                <w:sz w:val="24"/>
                <w:szCs w:val="24"/>
              </w:rPr>
              <w:t>Latvijas Republikas Satversmē un Valsts kontroles likuma 2.</w:t>
            </w:r>
            <w:r w:rsidR="00DD413F">
              <w:rPr>
                <w:spacing w:val="-3"/>
                <w:sz w:val="24"/>
                <w:szCs w:val="24"/>
              </w:rPr>
              <w:t> </w:t>
            </w:r>
            <w:r w:rsidR="00DE05DE" w:rsidRPr="00DD0549">
              <w:rPr>
                <w:spacing w:val="-3"/>
                <w:sz w:val="24"/>
                <w:szCs w:val="24"/>
              </w:rPr>
              <w:t>pantā un 3.</w:t>
            </w:r>
            <w:r w:rsidR="00DD413F">
              <w:rPr>
                <w:spacing w:val="-3"/>
                <w:sz w:val="24"/>
                <w:szCs w:val="24"/>
              </w:rPr>
              <w:t> </w:t>
            </w:r>
            <w:r w:rsidR="00DE05DE" w:rsidRPr="00DD0549">
              <w:rPr>
                <w:spacing w:val="-3"/>
                <w:sz w:val="24"/>
                <w:szCs w:val="24"/>
              </w:rPr>
              <w:t>panta 2.punkt</w:t>
            </w:r>
            <w:r w:rsidR="004D7A34">
              <w:rPr>
                <w:spacing w:val="-3"/>
                <w:sz w:val="24"/>
                <w:szCs w:val="24"/>
              </w:rPr>
              <w:t>ā</w:t>
            </w:r>
            <w:r w:rsidR="00DE05DE" w:rsidRPr="00DD0549">
              <w:rPr>
                <w:spacing w:val="-3"/>
                <w:sz w:val="24"/>
                <w:szCs w:val="24"/>
              </w:rPr>
              <w:t>,</w:t>
            </w:r>
            <w:r w:rsidR="00DD413F">
              <w:rPr>
                <w:spacing w:val="-3"/>
                <w:sz w:val="24"/>
                <w:szCs w:val="24"/>
              </w:rPr>
              <w:t xml:space="preserve"> kas nosaka, </w:t>
            </w:r>
            <w:r w:rsidR="00DE05DE" w:rsidRPr="00DD0549">
              <w:rPr>
                <w:spacing w:val="-3"/>
                <w:sz w:val="24"/>
                <w:szCs w:val="24"/>
              </w:rPr>
              <w:t>ka Valsts kontrole ir neatkarīga koleģiāla augstākā revīzijas (audita) iestāde Latvijas Republikā un pakļauta vienīgi likumam</w:t>
            </w:r>
            <w:r w:rsidR="00DD413F">
              <w:rPr>
                <w:spacing w:val="-3"/>
                <w:sz w:val="24"/>
                <w:szCs w:val="24"/>
              </w:rPr>
              <w:t>,</w:t>
            </w:r>
            <w:r w:rsidR="00B87A55">
              <w:rPr>
                <w:spacing w:val="-3"/>
                <w:sz w:val="24"/>
                <w:szCs w:val="24"/>
              </w:rPr>
              <w:t xml:space="preserve"> ir nepieciešams nošķirt Valsts kontroli kā atsevišķu finansējuma saņēmēju </w:t>
            </w:r>
            <w:r w:rsidR="00DD413F">
              <w:rPr>
                <w:sz w:val="24"/>
                <w:szCs w:val="24"/>
              </w:rPr>
              <w:t>d</w:t>
            </w:r>
            <w:r w:rsidR="00B87A55" w:rsidRPr="00763466">
              <w:rPr>
                <w:sz w:val="24"/>
                <w:szCs w:val="24"/>
              </w:rPr>
              <w:t xml:space="preserve">arbības programmas </w:t>
            </w:r>
            <w:r w:rsidR="00DD413F">
              <w:rPr>
                <w:sz w:val="24"/>
                <w:szCs w:val="24"/>
              </w:rPr>
              <w:t>"</w:t>
            </w:r>
            <w:r w:rsidR="00B87A55" w:rsidRPr="00763466">
              <w:rPr>
                <w:sz w:val="24"/>
                <w:szCs w:val="24"/>
              </w:rPr>
              <w:t>Izaugsme un nodarbinātība</w:t>
            </w:r>
            <w:r w:rsidR="00DD413F">
              <w:rPr>
                <w:sz w:val="24"/>
                <w:szCs w:val="24"/>
              </w:rPr>
              <w:t>"</w:t>
            </w:r>
            <w:r w:rsidR="00B87A55">
              <w:rPr>
                <w:sz w:val="24"/>
                <w:szCs w:val="24"/>
              </w:rPr>
              <w:t xml:space="preserve"> </w:t>
            </w:r>
            <w:r w:rsidR="00B87A55" w:rsidRPr="00481D6E">
              <w:rPr>
                <w:sz w:val="24"/>
                <w:szCs w:val="24"/>
              </w:rPr>
              <w:t>3.4.2</w:t>
            </w:r>
            <w:r w:rsidR="00DD413F">
              <w:rPr>
                <w:sz w:val="24"/>
                <w:szCs w:val="24"/>
              </w:rPr>
              <w:t>. </w:t>
            </w:r>
            <w:r w:rsidR="00B87A55" w:rsidRPr="00481D6E">
              <w:rPr>
                <w:sz w:val="24"/>
                <w:szCs w:val="24"/>
              </w:rPr>
              <w:t xml:space="preserve"> specifiskā atbalsta mērķa </w:t>
            </w:r>
            <w:r w:rsidR="00DD413F">
              <w:rPr>
                <w:sz w:val="24"/>
                <w:szCs w:val="24"/>
              </w:rPr>
              <w:t>"</w:t>
            </w:r>
            <w:r w:rsidR="00B87A55" w:rsidRPr="00481D6E">
              <w:rPr>
                <w:sz w:val="24"/>
                <w:szCs w:val="24"/>
              </w:rPr>
              <w:t>Valsts pārvaldes profesionālā pilnveide labāka tiesiskā regulējuma izstrādē mazo un vidējo komersantu atbalsta, korupcijas novēršanas un ēnu ekonomikas mazināšanas jomās</w:t>
            </w:r>
            <w:r w:rsidR="00DD413F">
              <w:rPr>
                <w:sz w:val="24"/>
                <w:szCs w:val="24"/>
              </w:rPr>
              <w:t>"</w:t>
            </w:r>
            <w:r w:rsidR="00B87A55" w:rsidRPr="00481D6E">
              <w:rPr>
                <w:sz w:val="24"/>
                <w:szCs w:val="24"/>
              </w:rPr>
              <w:t xml:space="preserve"> </w:t>
            </w:r>
            <w:proofErr w:type="gramStart"/>
            <w:r w:rsidR="00B87A55">
              <w:rPr>
                <w:sz w:val="24"/>
                <w:szCs w:val="24"/>
              </w:rPr>
              <w:t>(</w:t>
            </w:r>
            <w:proofErr w:type="gramEnd"/>
            <w:r w:rsidR="00B87A55">
              <w:rPr>
                <w:sz w:val="24"/>
                <w:szCs w:val="24"/>
              </w:rPr>
              <w:t xml:space="preserve">turpmāk – 3.4.2. SAM) </w:t>
            </w:r>
            <w:r w:rsidR="00B87A55" w:rsidRPr="00481D6E">
              <w:rPr>
                <w:sz w:val="24"/>
                <w:szCs w:val="24"/>
              </w:rPr>
              <w:t>ietvaros</w:t>
            </w:r>
            <w:r w:rsidR="00DE05DE" w:rsidRPr="00DD0549">
              <w:rPr>
                <w:spacing w:val="-3"/>
                <w:sz w:val="24"/>
                <w:szCs w:val="24"/>
              </w:rPr>
              <w:t xml:space="preserve">. Atbilstoši Limas deklarācijai </w:t>
            </w:r>
            <w:r w:rsidR="00DE05DE" w:rsidRPr="00751650">
              <w:rPr>
                <w:spacing w:val="-3"/>
                <w:sz w:val="24"/>
                <w:szCs w:val="24"/>
              </w:rPr>
              <w:t>(</w:t>
            </w:r>
            <w:r w:rsidR="00DE05DE" w:rsidRPr="00DD0549">
              <w:rPr>
                <w:i/>
                <w:spacing w:val="-3"/>
                <w:sz w:val="24"/>
                <w:szCs w:val="24"/>
              </w:rPr>
              <w:t xml:space="preserve">Lima </w:t>
            </w:r>
            <w:proofErr w:type="spellStart"/>
            <w:r w:rsidR="00DE05DE" w:rsidRPr="00DD0549">
              <w:rPr>
                <w:i/>
                <w:spacing w:val="-3"/>
                <w:sz w:val="24"/>
                <w:szCs w:val="24"/>
              </w:rPr>
              <w:t>Declaration</w:t>
            </w:r>
            <w:proofErr w:type="spellEnd"/>
            <w:r w:rsidR="00DE05DE" w:rsidRPr="00DD0549">
              <w:rPr>
                <w:i/>
                <w:spacing w:val="-3"/>
                <w:sz w:val="24"/>
                <w:szCs w:val="24"/>
              </w:rPr>
              <w:t xml:space="preserve"> </w:t>
            </w:r>
            <w:proofErr w:type="spellStart"/>
            <w:r w:rsidR="00DE05DE" w:rsidRPr="00DD0549">
              <w:rPr>
                <w:i/>
                <w:spacing w:val="-3"/>
                <w:sz w:val="24"/>
                <w:szCs w:val="24"/>
              </w:rPr>
              <w:t>of</w:t>
            </w:r>
            <w:proofErr w:type="spellEnd"/>
            <w:r w:rsidR="00DE05DE" w:rsidRPr="00DD0549">
              <w:rPr>
                <w:i/>
                <w:spacing w:val="-3"/>
                <w:sz w:val="24"/>
                <w:szCs w:val="24"/>
              </w:rPr>
              <w:t xml:space="preserve"> </w:t>
            </w:r>
            <w:proofErr w:type="spellStart"/>
            <w:r w:rsidR="00DE05DE" w:rsidRPr="00DD0549">
              <w:rPr>
                <w:i/>
                <w:spacing w:val="-3"/>
                <w:sz w:val="24"/>
                <w:szCs w:val="24"/>
              </w:rPr>
              <w:t>Guidelines</w:t>
            </w:r>
            <w:proofErr w:type="spellEnd"/>
            <w:r w:rsidR="00DE05DE" w:rsidRPr="00DD0549">
              <w:rPr>
                <w:i/>
                <w:spacing w:val="-3"/>
                <w:sz w:val="24"/>
                <w:szCs w:val="24"/>
              </w:rPr>
              <w:t xml:space="preserve"> </w:t>
            </w:r>
            <w:proofErr w:type="spellStart"/>
            <w:r w:rsidR="00DE05DE" w:rsidRPr="00DD0549">
              <w:rPr>
                <w:i/>
                <w:spacing w:val="-3"/>
                <w:sz w:val="24"/>
                <w:szCs w:val="24"/>
              </w:rPr>
              <w:t>of</w:t>
            </w:r>
            <w:proofErr w:type="spellEnd"/>
            <w:r w:rsidR="00DE05DE" w:rsidRPr="00DD0549">
              <w:rPr>
                <w:i/>
                <w:spacing w:val="-3"/>
                <w:sz w:val="24"/>
                <w:szCs w:val="24"/>
              </w:rPr>
              <w:t xml:space="preserve"> </w:t>
            </w:r>
            <w:proofErr w:type="spellStart"/>
            <w:r w:rsidR="00DE05DE" w:rsidRPr="00DD0549">
              <w:rPr>
                <w:i/>
                <w:spacing w:val="-3"/>
                <w:sz w:val="24"/>
                <w:szCs w:val="24"/>
              </w:rPr>
              <w:t>Auditing</w:t>
            </w:r>
            <w:proofErr w:type="spellEnd"/>
            <w:r w:rsidR="00DE05DE" w:rsidRPr="00DD0549">
              <w:rPr>
                <w:i/>
                <w:spacing w:val="-3"/>
                <w:sz w:val="24"/>
                <w:szCs w:val="24"/>
              </w:rPr>
              <w:t xml:space="preserve"> </w:t>
            </w:r>
            <w:proofErr w:type="spellStart"/>
            <w:r w:rsidR="00DE05DE" w:rsidRPr="00DD0549">
              <w:rPr>
                <w:i/>
                <w:spacing w:val="-3"/>
                <w:sz w:val="24"/>
                <w:szCs w:val="24"/>
              </w:rPr>
              <w:t>Precepts</w:t>
            </w:r>
            <w:proofErr w:type="spellEnd"/>
            <w:r w:rsidR="00DE05DE" w:rsidRPr="00751650">
              <w:rPr>
                <w:spacing w:val="-3"/>
                <w:sz w:val="24"/>
                <w:szCs w:val="24"/>
              </w:rPr>
              <w:t>)</w:t>
            </w:r>
            <w:r w:rsidR="00DE05DE" w:rsidRPr="000763C7">
              <w:rPr>
                <w:spacing w:val="-3"/>
                <w:sz w:val="24"/>
                <w:szCs w:val="24"/>
              </w:rPr>
              <w:t xml:space="preserve"> </w:t>
            </w:r>
            <w:r w:rsidR="00DE05DE">
              <w:rPr>
                <w:spacing w:val="-3"/>
                <w:sz w:val="24"/>
                <w:szCs w:val="24"/>
              </w:rPr>
              <w:t>Augstākās revīzijas iestādes savus uzdevumus var veikt objektīvi un efektīvi tikai tad, ja tās ir neatkarīgas no revidējamās vienības, aizsargātas no ārējās ietekmes un ir nodrošinātas ar uzdevumu pildīšanai nepieciešamajiem finanšu līdzekļiem. Šie principi ir nostiprināti arī Apvienoto Nāciju Organizācijas Ģenerālās asamblejas 2011.</w:t>
            </w:r>
            <w:r w:rsidR="00751650">
              <w:rPr>
                <w:spacing w:val="-3"/>
                <w:sz w:val="24"/>
                <w:szCs w:val="24"/>
              </w:rPr>
              <w:t> </w:t>
            </w:r>
            <w:r w:rsidR="00DE05DE">
              <w:rPr>
                <w:spacing w:val="-3"/>
                <w:sz w:val="24"/>
                <w:szCs w:val="24"/>
              </w:rPr>
              <w:t>gada 22.</w:t>
            </w:r>
            <w:r w:rsidR="00751650">
              <w:rPr>
                <w:spacing w:val="-3"/>
                <w:sz w:val="24"/>
                <w:szCs w:val="24"/>
              </w:rPr>
              <w:t xml:space="preserve"> decembrī pieņemtajā rezolūcijā </w:t>
            </w:r>
            <w:r w:rsidR="00DE05DE">
              <w:rPr>
                <w:spacing w:val="-3"/>
                <w:sz w:val="24"/>
                <w:szCs w:val="24"/>
              </w:rPr>
              <w:t xml:space="preserve">A/66/209 </w:t>
            </w:r>
            <w:r w:rsidR="00DD413F">
              <w:rPr>
                <w:spacing w:val="-3"/>
                <w:sz w:val="24"/>
                <w:szCs w:val="24"/>
              </w:rPr>
              <w:t>"</w:t>
            </w:r>
            <w:r w:rsidR="00DE05DE">
              <w:rPr>
                <w:spacing w:val="-3"/>
                <w:sz w:val="24"/>
                <w:szCs w:val="24"/>
              </w:rPr>
              <w:t>Efektivitātes, atbildības un paredzamības valsts pārvaldē veicināšana, nostiprinot augstākās revīzijas institūcijas</w:t>
            </w:r>
            <w:r w:rsidR="00DD413F">
              <w:rPr>
                <w:spacing w:val="-3"/>
                <w:sz w:val="24"/>
                <w:szCs w:val="24"/>
              </w:rPr>
              <w:t>"</w:t>
            </w:r>
            <w:r w:rsidR="00DE05DE">
              <w:rPr>
                <w:spacing w:val="-3"/>
                <w:sz w:val="24"/>
                <w:szCs w:val="24"/>
              </w:rPr>
              <w:t xml:space="preserve">. </w:t>
            </w:r>
            <w:r w:rsidR="00C63FDF">
              <w:rPr>
                <w:sz w:val="24"/>
                <w:szCs w:val="24"/>
              </w:rPr>
              <w:t>Tā kā</w:t>
            </w:r>
            <w:r w:rsidR="00C63FDF" w:rsidRPr="001C4146">
              <w:rPr>
                <w:sz w:val="24"/>
                <w:szCs w:val="24"/>
              </w:rPr>
              <w:t xml:space="preserve"> revīziju plānošanas posmā tiek izvērtēta valsts un/vai pašvaldības institūcijas iekšējās kontroles vide, tajā skaitā korupcijas riski, </w:t>
            </w:r>
            <w:r w:rsidR="00C63FDF">
              <w:rPr>
                <w:sz w:val="24"/>
                <w:szCs w:val="24"/>
              </w:rPr>
              <w:t>un</w:t>
            </w:r>
            <w:r w:rsidR="00C63FDF" w:rsidRPr="001C4146">
              <w:rPr>
                <w:sz w:val="24"/>
                <w:szCs w:val="24"/>
              </w:rPr>
              <w:t xml:space="preserve"> revīziju rezultātā Valsts kontrole sniedz </w:t>
            </w:r>
            <w:r w:rsidR="00C63FDF" w:rsidRPr="001C4146">
              <w:rPr>
                <w:sz w:val="24"/>
                <w:szCs w:val="24"/>
              </w:rPr>
              <w:lastRenderedPageBreak/>
              <w:t>ieteikumus ti</w:t>
            </w:r>
            <w:r w:rsidR="00C63FDF">
              <w:rPr>
                <w:sz w:val="24"/>
                <w:szCs w:val="24"/>
              </w:rPr>
              <w:t xml:space="preserve">esiskā regulējuma pilnveidošanā, </w:t>
            </w:r>
            <w:r w:rsidR="00C63FDF">
              <w:rPr>
                <w:spacing w:val="-3"/>
                <w:sz w:val="24"/>
                <w:szCs w:val="24"/>
              </w:rPr>
              <w:t>i</w:t>
            </w:r>
            <w:r w:rsidR="00C87F2A">
              <w:rPr>
                <w:spacing w:val="-3"/>
                <w:sz w:val="24"/>
                <w:szCs w:val="24"/>
              </w:rPr>
              <w:t>zvērtējot Valsts kontroles būtisko ieguldījumu</w:t>
            </w:r>
            <w:r w:rsidR="00C87F2A" w:rsidRPr="001C4146">
              <w:rPr>
                <w:sz w:val="24"/>
                <w:szCs w:val="24"/>
              </w:rPr>
              <w:t xml:space="preserve"> tiesiskā regulējuma pilnveidošanā</w:t>
            </w:r>
            <w:r w:rsidR="006720BF">
              <w:rPr>
                <w:sz w:val="24"/>
                <w:szCs w:val="24"/>
              </w:rPr>
              <w:t>, kā arī</w:t>
            </w:r>
            <w:r w:rsidR="00C87F2A" w:rsidRPr="001C4146">
              <w:rPr>
                <w:sz w:val="24"/>
                <w:szCs w:val="24"/>
              </w:rPr>
              <w:t xml:space="preserve"> korupcijas</w:t>
            </w:r>
            <w:r w:rsidR="004D2624">
              <w:rPr>
                <w:sz w:val="24"/>
                <w:szCs w:val="24"/>
              </w:rPr>
              <w:t xml:space="preserve"> un ēnu ekonomikas mazināšanā</w:t>
            </w:r>
            <w:r w:rsidR="006720BF">
              <w:rPr>
                <w:sz w:val="24"/>
                <w:szCs w:val="24"/>
              </w:rPr>
              <w:t>,</w:t>
            </w:r>
            <w:r w:rsidR="00C87F2A">
              <w:rPr>
                <w:sz w:val="24"/>
                <w:szCs w:val="24"/>
              </w:rPr>
              <w:t xml:space="preserve"> </w:t>
            </w:r>
            <w:r w:rsidR="00751650">
              <w:rPr>
                <w:sz w:val="24"/>
                <w:szCs w:val="24"/>
              </w:rPr>
              <w:t xml:space="preserve">2016. gada 9. martā </w:t>
            </w:r>
            <w:r w:rsidR="00481D6E" w:rsidRPr="00481D6E">
              <w:rPr>
                <w:sz w:val="24"/>
                <w:szCs w:val="24"/>
              </w:rPr>
              <w:t xml:space="preserve">Koalīcijas partneru darba grupā par Eiropas Savienības struktūrfondu un Kohēzijas fonda jautājumiem </w:t>
            </w:r>
            <w:r w:rsidR="00751650" w:rsidRPr="00481D6E">
              <w:rPr>
                <w:sz w:val="24"/>
                <w:szCs w:val="24"/>
              </w:rPr>
              <w:t xml:space="preserve">Valsts kontrole </w:t>
            </w:r>
            <w:r w:rsidR="00481D6E" w:rsidRPr="00481D6E">
              <w:rPr>
                <w:sz w:val="24"/>
                <w:szCs w:val="24"/>
              </w:rPr>
              <w:t xml:space="preserve">tika atbalstīta kā finansējuma saņēmēja 3.4.2. </w:t>
            </w:r>
            <w:r w:rsidR="00B87A55">
              <w:rPr>
                <w:sz w:val="24"/>
                <w:szCs w:val="24"/>
              </w:rPr>
              <w:t>SAM</w:t>
            </w:r>
            <w:r w:rsidR="00481D6E" w:rsidRPr="00481D6E">
              <w:rPr>
                <w:sz w:val="24"/>
                <w:szCs w:val="24"/>
              </w:rPr>
              <w:t>.</w:t>
            </w:r>
            <w:r w:rsidR="00481D6E">
              <w:rPr>
                <w:sz w:val="24"/>
                <w:szCs w:val="24"/>
              </w:rPr>
              <w:t xml:space="preserve"> </w:t>
            </w:r>
            <w:r w:rsidR="0081258E" w:rsidRPr="0081258E">
              <w:rPr>
                <w:sz w:val="24"/>
                <w:szCs w:val="24"/>
              </w:rPr>
              <w:t>Valsts kontroles organizētajos apmācību pasākumos tiks pieaicināti valsts pārvaldes iekšējie auditori, jo revīziju plānošanas posmā Valsts kontroles revidenti sadarbojas ar ministriju un iestāžu iekšējā audita struktūrvienībām, kuru darbības mērķis saskaņā ar Iekšējā audita likuma 2.</w:t>
            </w:r>
            <w:r w:rsidR="006720BF">
              <w:rPr>
                <w:sz w:val="24"/>
                <w:szCs w:val="24"/>
              </w:rPr>
              <w:t> </w:t>
            </w:r>
            <w:r w:rsidR="0081258E" w:rsidRPr="0081258E">
              <w:rPr>
                <w:sz w:val="24"/>
                <w:szCs w:val="24"/>
              </w:rPr>
              <w:t>pantu ir sniegt neatkarīgu un objektīvu iekšējās kontroles sistēmas novērtēšanu, lai uzlabotu šīs sistēmas darbību valsts pārvaldē. Atbilstoši Ministru kabineta 2013.</w:t>
            </w:r>
            <w:r w:rsidR="006720BF">
              <w:rPr>
                <w:sz w:val="24"/>
                <w:szCs w:val="24"/>
              </w:rPr>
              <w:t> </w:t>
            </w:r>
            <w:r w:rsidR="0081258E" w:rsidRPr="0081258E">
              <w:rPr>
                <w:sz w:val="24"/>
                <w:szCs w:val="24"/>
              </w:rPr>
              <w:t>gada 9.</w:t>
            </w:r>
            <w:r w:rsidR="006720BF">
              <w:rPr>
                <w:sz w:val="24"/>
                <w:szCs w:val="24"/>
              </w:rPr>
              <w:t> </w:t>
            </w:r>
            <w:r w:rsidR="0081258E" w:rsidRPr="0081258E">
              <w:rPr>
                <w:sz w:val="24"/>
                <w:szCs w:val="24"/>
              </w:rPr>
              <w:t>jūlija noteikumu Nr.</w:t>
            </w:r>
            <w:r w:rsidR="006720BF">
              <w:rPr>
                <w:sz w:val="24"/>
                <w:szCs w:val="24"/>
              </w:rPr>
              <w:t> </w:t>
            </w:r>
            <w:r w:rsidR="0081258E" w:rsidRPr="0081258E">
              <w:rPr>
                <w:sz w:val="24"/>
                <w:szCs w:val="24"/>
              </w:rPr>
              <w:t xml:space="preserve">385 </w:t>
            </w:r>
            <w:r w:rsidR="006720BF">
              <w:rPr>
                <w:sz w:val="24"/>
                <w:szCs w:val="24"/>
              </w:rPr>
              <w:t>"</w:t>
            </w:r>
            <w:r w:rsidR="0081258E" w:rsidRPr="0081258E">
              <w:rPr>
                <w:sz w:val="24"/>
                <w:szCs w:val="24"/>
              </w:rPr>
              <w:t>Iekšējā audita veikšanas un novērtēšanas kārtība</w:t>
            </w:r>
            <w:r w:rsidR="006720BF">
              <w:rPr>
                <w:sz w:val="24"/>
                <w:szCs w:val="24"/>
              </w:rPr>
              <w:t>"</w:t>
            </w:r>
            <w:r w:rsidR="0081258E" w:rsidRPr="0081258E">
              <w:rPr>
                <w:sz w:val="24"/>
                <w:szCs w:val="24"/>
              </w:rPr>
              <w:t xml:space="preserve"> 54.6.</w:t>
            </w:r>
            <w:r w:rsidR="006720BF">
              <w:rPr>
                <w:sz w:val="24"/>
                <w:szCs w:val="24"/>
              </w:rPr>
              <w:t> apakš</w:t>
            </w:r>
            <w:r w:rsidR="0081258E" w:rsidRPr="0081258E">
              <w:rPr>
                <w:sz w:val="24"/>
                <w:szCs w:val="24"/>
              </w:rPr>
              <w:t>punktam katra iekšējā audita ietvaros tiek veikta risku, tai skaitā korupcijas (krāpšanas) risku</w:t>
            </w:r>
            <w:r w:rsidR="006720BF">
              <w:rPr>
                <w:sz w:val="24"/>
                <w:szCs w:val="24"/>
              </w:rPr>
              <w:t>,</w:t>
            </w:r>
            <w:r w:rsidR="0081258E" w:rsidRPr="0081258E">
              <w:rPr>
                <w:sz w:val="24"/>
                <w:szCs w:val="24"/>
              </w:rPr>
              <w:t xml:space="preserve"> iespējamības novērtēšana un kontroļu testēšana, kā rezultātā </w:t>
            </w:r>
            <w:r w:rsidR="0081258E" w:rsidRPr="00DD02FF">
              <w:rPr>
                <w:sz w:val="24"/>
                <w:szCs w:val="24"/>
              </w:rPr>
              <w:t>tiek sniegti ieteikumi kontroļu pilnveidei un risku mazināšanai.</w:t>
            </w:r>
            <w:r w:rsidR="00D247D5" w:rsidRPr="00DD02FF">
              <w:rPr>
                <w:sz w:val="24"/>
                <w:szCs w:val="24"/>
              </w:rPr>
              <w:t xml:space="preserve"> Īstenojot Eiropas Savienības fondu projektu</w:t>
            </w:r>
            <w:r w:rsidR="00F80E7F" w:rsidRPr="00DD02FF">
              <w:rPr>
                <w:sz w:val="24"/>
                <w:szCs w:val="24"/>
              </w:rPr>
              <w:t>,</w:t>
            </w:r>
            <w:r w:rsidR="00D247D5" w:rsidRPr="00DD02FF">
              <w:rPr>
                <w:sz w:val="24"/>
                <w:szCs w:val="24"/>
              </w:rPr>
              <w:t xml:space="preserve"> </w:t>
            </w:r>
            <w:r w:rsidR="00F80E7F" w:rsidRPr="00DD02FF">
              <w:rPr>
                <w:rFonts w:eastAsia="Times New Roman" w:cs="Times New Roman"/>
                <w:sz w:val="24"/>
                <w:szCs w:val="24"/>
                <w:lang w:eastAsia="lv-LV"/>
              </w:rPr>
              <w:t>finansējuma saņēmēji</w:t>
            </w:r>
            <w:r w:rsidR="00D247D5" w:rsidRPr="00DD02FF">
              <w:rPr>
                <w:rFonts w:eastAsia="Times New Roman" w:cs="Times New Roman"/>
                <w:sz w:val="24"/>
                <w:szCs w:val="24"/>
                <w:lang w:eastAsia="lv-LV"/>
              </w:rPr>
              <w:t xml:space="preserve"> </w:t>
            </w:r>
            <w:r w:rsidR="001946F1" w:rsidRPr="00DD02FF">
              <w:rPr>
                <w:sz w:val="24"/>
                <w:szCs w:val="24"/>
              </w:rPr>
              <w:t>piesaistīs ārpakalpojuma sniedzējus</w:t>
            </w:r>
            <w:r w:rsidR="00D247D5" w:rsidRPr="00DD02FF">
              <w:rPr>
                <w:rFonts w:eastAsia="Times New Roman" w:cs="Times New Roman"/>
                <w:sz w:val="24"/>
                <w:szCs w:val="24"/>
                <w:lang w:eastAsia="lv-LV"/>
              </w:rPr>
              <w:t xml:space="preserve"> saskaņā ar publiskā iepirkuma procedūru regulējošo normatīvo aktu</w:t>
            </w:r>
            <w:r w:rsidR="00BE40F3" w:rsidRPr="00DD02FF">
              <w:rPr>
                <w:rFonts w:eastAsia="Times New Roman" w:cs="Times New Roman"/>
                <w:sz w:val="24"/>
                <w:szCs w:val="24"/>
                <w:lang w:eastAsia="lv-LV"/>
              </w:rPr>
              <w:t xml:space="preserve"> prasībām.</w:t>
            </w:r>
            <w:r w:rsidR="00D247D5" w:rsidRPr="00DD02FF">
              <w:rPr>
                <w:rFonts w:eastAsia="Times New Roman" w:cs="Times New Roman"/>
                <w:sz w:val="24"/>
                <w:szCs w:val="24"/>
                <w:lang w:eastAsia="lv-LV"/>
              </w:rPr>
              <w:t xml:space="preserve"> </w:t>
            </w:r>
            <w:r w:rsidR="0026757D" w:rsidRPr="00DD02FF">
              <w:rPr>
                <w:sz w:val="24"/>
                <w:szCs w:val="24"/>
              </w:rPr>
              <w:t xml:space="preserve">Līdz ar to </w:t>
            </w:r>
            <w:r w:rsidR="00E13418" w:rsidRPr="00DD02FF">
              <w:rPr>
                <w:sz w:val="24"/>
                <w:szCs w:val="24"/>
              </w:rPr>
              <w:t>noteikumu projektā</w:t>
            </w:r>
            <w:r w:rsidR="00E13418">
              <w:rPr>
                <w:sz w:val="24"/>
                <w:szCs w:val="24"/>
              </w:rPr>
              <w:t xml:space="preserve"> </w:t>
            </w:r>
            <w:r w:rsidR="002570D6">
              <w:rPr>
                <w:sz w:val="24"/>
                <w:szCs w:val="24"/>
              </w:rPr>
              <w:t xml:space="preserve">tika veikti </w:t>
            </w:r>
            <w:r w:rsidR="00751650">
              <w:rPr>
                <w:sz w:val="24"/>
                <w:szCs w:val="24"/>
              </w:rPr>
              <w:t>šādi</w:t>
            </w:r>
            <w:r w:rsidR="002570D6">
              <w:rPr>
                <w:sz w:val="24"/>
                <w:szCs w:val="24"/>
              </w:rPr>
              <w:t xml:space="preserve"> precizējumi:</w:t>
            </w:r>
          </w:p>
          <w:p w14:paraId="17ABAA27" w14:textId="77777777" w:rsidR="004D2624" w:rsidRDefault="007553A8" w:rsidP="00490D8C">
            <w:pPr>
              <w:pStyle w:val="BodyText"/>
              <w:spacing w:after="0"/>
              <w:ind w:left="127"/>
              <w:jc w:val="both"/>
              <w:rPr>
                <w:sz w:val="24"/>
                <w:szCs w:val="24"/>
              </w:rPr>
            </w:pPr>
            <w:r>
              <w:rPr>
                <w:sz w:val="24"/>
                <w:szCs w:val="24"/>
              </w:rPr>
              <w:t>1)</w:t>
            </w:r>
            <w:r w:rsidR="00F0661D">
              <w:rPr>
                <w:sz w:val="24"/>
                <w:szCs w:val="24"/>
              </w:rPr>
              <w:t xml:space="preserve"> </w:t>
            </w:r>
            <w:r w:rsidR="002570D6">
              <w:rPr>
                <w:sz w:val="24"/>
                <w:szCs w:val="24"/>
              </w:rPr>
              <w:t xml:space="preserve">noteikts jauns finansējuma saņēmējs – </w:t>
            </w:r>
            <w:r w:rsidR="00751650">
              <w:rPr>
                <w:sz w:val="24"/>
                <w:szCs w:val="24"/>
              </w:rPr>
              <w:t>neatkarīga koleģiāla augstākā</w:t>
            </w:r>
            <w:r w:rsidR="00976F27" w:rsidRPr="00976F27">
              <w:rPr>
                <w:sz w:val="24"/>
                <w:szCs w:val="24"/>
              </w:rPr>
              <w:t xml:space="preserve"> revīzijas iestāde, kas veic revīzijas atbilstoši Latvijas Republikā atzītiem starptau</w:t>
            </w:r>
            <w:r w:rsidR="00976F27">
              <w:rPr>
                <w:sz w:val="24"/>
                <w:szCs w:val="24"/>
              </w:rPr>
              <w:t>tiskajiem revīzijas standartiem</w:t>
            </w:r>
            <w:r w:rsidR="00976F27" w:rsidRPr="00976F27">
              <w:rPr>
                <w:sz w:val="24"/>
                <w:szCs w:val="24"/>
              </w:rPr>
              <w:t xml:space="preserve"> </w:t>
            </w:r>
            <w:r w:rsidR="00751650">
              <w:rPr>
                <w:sz w:val="24"/>
                <w:szCs w:val="24"/>
              </w:rPr>
              <w:t>–</w:t>
            </w:r>
            <w:r w:rsidR="00976F27" w:rsidRPr="00976F27">
              <w:rPr>
                <w:sz w:val="24"/>
                <w:szCs w:val="24"/>
              </w:rPr>
              <w:t xml:space="preserve"> </w:t>
            </w:r>
            <w:r w:rsidR="002570D6">
              <w:rPr>
                <w:sz w:val="24"/>
                <w:szCs w:val="24"/>
              </w:rPr>
              <w:t xml:space="preserve">Valsts </w:t>
            </w:r>
            <w:r w:rsidR="00F0661D">
              <w:rPr>
                <w:sz w:val="24"/>
                <w:szCs w:val="24"/>
              </w:rPr>
              <w:t>kontrole;</w:t>
            </w:r>
          </w:p>
          <w:p w14:paraId="17ABAA28" w14:textId="77777777" w:rsidR="004D2624" w:rsidRDefault="007553A8" w:rsidP="00490D8C">
            <w:pPr>
              <w:pStyle w:val="BodyText"/>
              <w:spacing w:after="0"/>
              <w:ind w:left="127"/>
              <w:jc w:val="both"/>
              <w:rPr>
                <w:sz w:val="24"/>
                <w:szCs w:val="24"/>
              </w:rPr>
            </w:pPr>
            <w:r>
              <w:rPr>
                <w:sz w:val="24"/>
                <w:szCs w:val="24"/>
              </w:rPr>
              <w:t>2)</w:t>
            </w:r>
            <w:r w:rsidR="00F0661D">
              <w:rPr>
                <w:sz w:val="24"/>
                <w:szCs w:val="24"/>
              </w:rPr>
              <w:t xml:space="preserve"> </w:t>
            </w:r>
            <w:r w:rsidR="002570D6">
              <w:rPr>
                <w:sz w:val="24"/>
                <w:szCs w:val="24"/>
              </w:rPr>
              <w:t>specifiskā atbalsta mērķim ir no</w:t>
            </w:r>
            <w:r w:rsidR="004D2624">
              <w:rPr>
                <w:sz w:val="24"/>
                <w:szCs w:val="24"/>
              </w:rPr>
              <w:t>teiktas divas atlases kārtas, kur</w:t>
            </w:r>
            <w:r w:rsidR="002570D6">
              <w:rPr>
                <w:sz w:val="24"/>
                <w:szCs w:val="24"/>
              </w:rPr>
              <w:t xml:space="preserve"> otrās atlases kārtas finansēj</w:t>
            </w:r>
            <w:r w:rsidR="00F0661D">
              <w:rPr>
                <w:sz w:val="24"/>
                <w:szCs w:val="24"/>
              </w:rPr>
              <w:t>uma saņēmējs ir Valsts kontrole;</w:t>
            </w:r>
          </w:p>
          <w:p w14:paraId="17ABAA29" w14:textId="77777777" w:rsidR="00FC1B30" w:rsidRDefault="007553A8" w:rsidP="00490D8C">
            <w:pPr>
              <w:pStyle w:val="BodyText"/>
              <w:spacing w:after="0"/>
              <w:ind w:left="127"/>
              <w:jc w:val="both"/>
              <w:rPr>
                <w:sz w:val="24"/>
                <w:szCs w:val="24"/>
              </w:rPr>
            </w:pPr>
            <w:r>
              <w:rPr>
                <w:sz w:val="24"/>
                <w:szCs w:val="24"/>
              </w:rPr>
              <w:t>3)</w:t>
            </w:r>
            <w:r w:rsidR="00F0661D">
              <w:rPr>
                <w:sz w:val="24"/>
                <w:szCs w:val="24"/>
              </w:rPr>
              <w:t xml:space="preserve"> </w:t>
            </w:r>
            <w:r w:rsidR="002570D6">
              <w:rPr>
                <w:sz w:val="24"/>
                <w:szCs w:val="24"/>
              </w:rPr>
              <w:t xml:space="preserve">noteikts Valsts </w:t>
            </w:r>
            <w:r w:rsidR="002570D6" w:rsidRPr="002570D6">
              <w:rPr>
                <w:sz w:val="24"/>
                <w:szCs w:val="24"/>
              </w:rPr>
              <w:t>kontroles projektam pieejamais finansējum</w:t>
            </w:r>
            <w:r w:rsidR="002570D6">
              <w:rPr>
                <w:sz w:val="24"/>
                <w:szCs w:val="24"/>
              </w:rPr>
              <w:t>s</w:t>
            </w:r>
            <w:r w:rsidR="002570D6" w:rsidRPr="002570D6">
              <w:rPr>
                <w:sz w:val="24"/>
                <w:szCs w:val="24"/>
              </w:rPr>
              <w:t xml:space="preserve"> 300 000 </w:t>
            </w:r>
            <w:proofErr w:type="spellStart"/>
            <w:r w:rsidR="002570D6" w:rsidRPr="00A63E47">
              <w:rPr>
                <w:i/>
                <w:sz w:val="24"/>
                <w:szCs w:val="24"/>
              </w:rPr>
              <w:t>euro</w:t>
            </w:r>
            <w:proofErr w:type="spellEnd"/>
            <w:r w:rsidR="002570D6" w:rsidRPr="00A63E47">
              <w:rPr>
                <w:i/>
                <w:sz w:val="24"/>
                <w:szCs w:val="24"/>
              </w:rPr>
              <w:t xml:space="preserve"> </w:t>
            </w:r>
            <w:r w:rsidR="002570D6" w:rsidRPr="002570D6">
              <w:rPr>
                <w:sz w:val="24"/>
                <w:szCs w:val="24"/>
              </w:rPr>
              <w:t>apmērā, kas tiek pārvirzīts no valsts pārvaldes iestādēs nodarbināto pr</w:t>
            </w:r>
            <w:r w:rsidR="002570D6">
              <w:rPr>
                <w:sz w:val="24"/>
                <w:szCs w:val="24"/>
              </w:rPr>
              <w:t>ofesionālās pilnveides projekta</w:t>
            </w:r>
            <w:r w:rsidR="002570D6" w:rsidRPr="002570D6">
              <w:rPr>
                <w:sz w:val="24"/>
                <w:szCs w:val="24"/>
              </w:rPr>
              <w:t xml:space="preserve"> korupcijas novēršanas un</w:t>
            </w:r>
            <w:r w:rsidR="002570D6">
              <w:rPr>
                <w:sz w:val="24"/>
                <w:szCs w:val="24"/>
              </w:rPr>
              <w:t xml:space="preserve"> ēnu ekonomikas mazināšanas jomas</w:t>
            </w:r>
            <w:r w:rsidR="004D2624">
              <w:rPr>
                <w:sz w:val="24"/>
                <w:szCs w:val="24"/>
              </w:rPr>
              <w:t xml:space="preserve">, līdz ar to samazinot Valsts administrācijas skolas </w:t>
            </w:r>
            <w:r w:rsidR="00F0661D">
              <w:rPr>
                <w:sz w:val="24"/>
                <w:szCs w:val="24"/>
              </w:rPr>
              <w:t xml:space="preserve">apstiprinātā projekta </w:t>
            </w:r>
            <w:r w:rsidR="00DD413F">
              <w:rPr>
                <w:sz w:val="24"/>
                <w:szCs w:val="24"/>
              </w:rPr>
              <w:t>"</w:t>
            </w:r>
            <w:r w:rsidR="00F0661D" w:rsidRPr="00F0661D">
              <w:rPr>
                <w:sz w:val="24"/>
                <w:szCs w:val="24"/>
              </w:rPr>
              <w:t>Valsts pārvaldes cilvēkresursu profesionālā pilnveide korupcijas novēršanas un ēnu ekonomikas mazināšanas jomā</w:t>
            </w:r>
            <w:r w:rsidR="00DD413F">
              <w:rPr>
                <w:sz w:val="24"/>
                <w:szCs w:val="24"/>
              </w:rPr>
              <w:t>"</w:t>
            </w:r>
            <w:r w:rsidR="00F0661D">
              <w:rPr>
                <w:sz w:val="24"/>
                <w:szCs w:val="24"/>
              </w:rPr>
              <w:t xml:space="preserve"> finansējumu</w:t>
            </w:r>
            <w:r w:rsidR="00BF6A46">
              <w:rPr>
                <w:sz w:val="24"/>
                <w:szCs w:val="24"/>
              </w:rPr>
              <w:t>;</w:t>
            </w:r>
          </w:p>
          <w:p w14:paraId="17ABAA2A" w14:textId="77777777" w:rsidR="00D247D5" w:rsidRDefault="00BF6A46" w:rsidP="00490D8C">
            <w:pPr>
              <w:pStyle w:val="BodyText"/>
              <w:spacing w:after="0"/>
              <w:ind w:left="127"/>
              <w:jc w:val="both"/>
              <w:rPr>
                <w:sz w:val="24"/>
                <w:szCs w:val="24"/>
              </w:rPr>
            </w:pPr>
            <w:r w:rsidRPr="006C1138">
              <w:rPr>
                <w:sz w:val="24"/>
                <w:szCs w:val="24"/>
              </w:rPr>
              <w:t>4</w:t>
            </w:r>
            <w:r w:rsidR="007553A8" w:rsidRPr="006C1138">
              <w:rPr>
                <w:sz w:val="24"/>
                <w:szCs w:val="24"/>
              </w:rPr>
              <w:t>)</w:t>
            </w:r>
            <w:r w:rsidRPr="006C1138">
              <w:rPr>
                <w:sz w:val="24"/>
                <w:szCs w:val="24"/>
              </w:rPr>
              <w:t xml:space="preserve"> precizēts atbalstāmo darbību formulējums, iekļaujot ekspertu piesaisti projektu īstenošanas un apmācību atbalsta darbību nodrošināšanai</w:t>
            </w:r>
            <w:r w:rsidR="00D247D5">
              <w:rPr>
                <w:sz w:val="24"/>
                <w:szCs w:val="24"/>
              </w:rPr>
              <w:t>;</w:t>
            </w:r>
          </w:p>
          <w:p w14:paraId="6705FB9F" w14:textId="31F4ADC4" w:rsidR="0026067E" w:rsidRPr="0026067E" w:rsidRDefault="00D247D5" w:rsidP="00490D8C">
            <w:pPr>
              <w:ind w:left="127"/>
              <w:jc w:val="both"/>
              <w:rPr>
                <w:sz w:val="24"/>
                <w:szCs w:val="24"/>
              </w:rPr>
            </w:pPr>
            <w:r>
              <w:rPr>
                <w:sz w:val="24"/>
                <w:szCs w:val="24"/>
              </w:rPr>
              <w:t xml:space="preserve">5) </w:t>
            </w:r>
            <w:r w:rsidR="001946F1" w:rsidRPr="00DD02FF">
              <w:rPr>
                <w:sz w:val="24"/>
                <w:szCs w:val="24"/>
              </w:rPr>
              <w:t>iestrādāts papildu nosacījums, ka</w:t>
            </w:r>
            <w:r w:rsidR="0026067E">
              <w:rPr>
                <w:sz w:val="24"/>
                <w:szCs w:val="24"/>
              </w:rPr>
              <w:t>,</w:t>
            </w:r>
            <w:r w:rsidR="001946F1" w:rsidRPr="00DD02FF">
              <w:rPr>
                <w:sz w:val="24"/>
                <w:szCs w:val="24"/>
              </w:rPr>
              <w:t xml:space="preserve"> īstenojot projektu, </w:t>
            </w:r>
            <w:r w:rsidR="0026067E">
              <w:rPr>
                <w:sz w:val="24"/>
                <w:szCs w:val="24"/>
              </w:rPr>
              <w:t xml:space="preserve">finansējuma saņēmējs </w:t>
            </w:r>
            <w:r w:rsidR="0026067E" w:rsidRPr="0026067E">
              <w:rPr>
                <w:bCs/>
                <w:sz w:val="24"/>
                <w:szCs w:val="24"/>
              </w:rPr>
              <w:t xml:space="preserve">uzkrāj datus par projekta ietvaros atbalstu saņēmušajām personām atbilstoši normatīvajiem aktiem, kas nosaka Eiropas Savienības struktūrfondu un Kohēzijas fonda projektu pārbaužu veikšanas kārtību 2014.–2020. gada plānošanas periodā, un maksājuma pieprasījuma veidlapā noteiktajiem datiem, kas izriet no Eiropas Parlamenta </w:t>
            </w:r>
            <w:r w:rsidR="0026067E" w:rsidRPr="0026067E">
              <w:rPr>
                <w:bCs/>
                <w:sz w:val="24"/>
                <w:szCs w:val="24"/>
              </w:rPr>
              <w:lastRenderedPageBreak/>
              <w:t xml:space="preserve">un Padomes 2013. gada 17. decembra Regulas Nr. 1304/2013 par Eiropas Sociālo fondu un ar ko atceļ Padomes Regulu (EK) Nr. 1081/2006, 1. pielikumā </w:t>
            </w:r>
            <w:r w:rsidR="0026067E" w:rsidRPr="0026067E">
              <w:rPr>
                <w:color w:val="222222"/>
                <w:sz w:val="24"/>
                <w:szCs w:val="24"/>
                <w:shd w:val="clear" w:color="auto" w:fill="FFFFFF"/>
              </w:rPr>
              <w:t xml:space="preserve">ietvertajiem </w:t>
            </w:r>
            <w:r w:rsidR="0026067E" w:rsidRPr="0026067E">
              <w:rPr>
                <w:bCs/>
                <w:sz w:val="24"/>
                <w:szCs w:val="24"/>
              </w:rPr>
              <w:t xml:space="preserve">Eiropas Sociālā fonda </w:t>
            </w:r>
            <w:r w:rsidR="0026067E" w:rsidRPr="0026067E">
              <w:rPr>
                <w:color w:val="222222"/>
                <w:sz w:val="24"/>
                <w:szCs w:val="24"/>
                <w:shd w:val="clear" w:color="auto" w:fill="FFFFFF"/>
              </w:rPr>
              <w:t>kopējiem tūlītējiem rezultāta rādītājiem</w:t>
            </w:r>
            <w:r w:rsidR="0026067E" w:rsidRPr="0026067E">
              <w:rPr>
                <w:bCs/>
                <w:sz w:val="24"/>
                <w:szCs w:val="24"/>
              </w:rPr>
              <w:t>, tai skaitā pēc aiziešanas (pēc dalības pasākumā) izglītībā vai apmācībā iesaistītie dalībnieki, pēc aiziešanas (pēc dalības pasākumā) kvalifikāciju ieguvušie dalībnieki un nelabvēlīgā situācijā esošie dalībnieki, kas pēc aiziešanas (pēc dalības pasākumā) sākuši darba meklējumus, iesaistījušies izglītībā vai apmācībā, kvalifikācijas ieguvē, nodarbinātībā, tostarp pašnodarbinātie.</w:t>
            </w:r>
          </w:p>
          <w:p w14:paraId="17ABAA2B" w14:textId="3EFCB4DC" w:rsidR="00BF6A46" w:rsidRPr="004D2624" w:rsidRDefault="00D247D5" w:rsidP="00490D8C">
            <w:pPr>
              <w:ind w:left="127"/>
              <w:jc w:val="both"/>
              <w:rPr>
                <w:iCs/>
                <w:sz w:val="24"/>
                <w:szCs w:val="24"/>
              </w:rPr>
            </w:pPr>
            <w:r w:rsidRPr="00DD02FF">
              <w:rPr>
                <w:rFonts w:eastAsia="Times New Roman" w:cs="Times New Roman"/>
                <w:sz w:val="24"/>
                <w:szCs w:val="24"/>
                <w:lang w:eastAsia="lv-LV"/>
              </w:rPr>
              <w:t>Saskaņā ar 2015.</w:t>
            </w:r>
            <w:r w:rsidR="0026067E">
              <w:rPr>
                <w:rFonts w:eastAsia="Times New Roman" w:cs="Times New Roman"/>
                <w:sz w:val="24"/>
                <w:szCs w:val="24"/>
                <w:lang w:eastAsia="lv-LV"/>
              </w:rPr>
              <w:t> </w:t>
            </w:r>
            <w:r w:rsidRPr="00DD02FF">
              <w:rPr>
                <w:rFonts w:eastAsia="Times New Roman" w:cs="Times New Roman"/>
                <w:sz w:val="24"/>
                <w:szCs w:val="24"/>
                <w:lang w:eastAsia="lv-LV"/>
              </w:rPr>
              <w:t>gada septembra Eiropas Komisijas vadlīniju</w:t>
            </w:r>
            <w:proofErr w:type="gramStart"/>
            <w:r w:rsidRPr="00DD02FF">
              <w:rPr>
                <w:rFonts w:eastAsia="Times New Roman" w:cs="Times New Roman"/>
                <w:sz w:val="24"/>
                <w:szCs w:val="24"/>
                <w:lang w:eastAsia="lv-LV"/>
              </w:rPr>
              <w:t xml:space="preserve">  </w:t>
            </w:r>
            <w:proofErr w:type="gramEnd"/>
            <w:r w:rsidR="0026067E">
              <w:rPr>
                <w:rFonts w:eastAsia="Times New Roman" w:cs="Times New Roman"/>
                <w:sz w:val="24"/>
                <w:szCs w:val="24"/>
                <w:lang w:eastAsia="lv-LV"/>
              </w:rPr>
              <w:t>"</w:t>
            </w:r>
            <w:r w:rsidRPr="00DD02FF">
              <w:rPr>
                <w:rFonts w:eastAsia="Times New Roman" w:cs="Times New Roman"/>
                <w:sz w:val="24"/>
                <w:szCs w:val="24"/>
                <w:lang w:eastAsia="lv-LV"/>
              </w:rPr>
              <w:t>Praktiskās vadlīnijas datu uzkrāšanai un apstiprināšanai</w:t>
            </w:r>
            <w:r w:rsidR="0026067E">
              <w:rPr>
                <w:rFonts w:eastAsia="Times New Roman" w:cs="Times New Roman"/>
                <w:sz w:val="24"/>
                <w:szCs w:val="24"/>
                <w:lang w:eastAsia="lv-LV"/>
              </w:rPr>
              <w:t>"</w:t>
            </w:r>
            <w:r w:rsidRPr="00DD02FF">
              <w:rPr>
                <w:rFonts w:eastAsia="Times New Roman" w:cs="Times New Roman"/>
                <w:sz w:val="24"/>
                <w:szCs w:val="24"/>
                <w:lang w:eastAsia="lv-LV"/>
              </w:rPr>
              <w:t xml:space="preserve"> 4.1.2.</w:t>
            </w:r>
            <w:r w:rsidR="0026067E">
              <w:rPr>
                <w:rFonts w:eastAsia="Times New Roman" w:cs="Times New Roman"/>
                <w:sz w:val="24"/>
                <w:szCs w:val="24"/>
                <w:lang w:eastAsia="lv-LV"/>
              </w:rPr>
              <w:t> </w:t>
            </w:r>
            <w:r w:rsidRPr="00DD02FF">
              <w:rPr>
                <w:rFonts w:eastAsia="Times New Roman" w:cs="Times New Roman"/>
                <w:sz w:val="24"/>
                <w:szCs w:val="24"/>
                <w:lang w:eastAsia="lv-LV"/>
              </w:rPr>
              <w:t xml:space="preserve"> sadaļu </w:t>
            </w:r>
            <w:r w:rsidR="0026067E">
              <w:rPr>
                <w:rFonts w:eastAsia="Times New Roman" w:cs="Times New Roman"/>
                <w:sz w:val="24"/>
                <w:szCs w:val="24"/>
                <w:lang w:eastAsia="lv-LV"/>
              </w:rPr>
              <w:t>"</w:t>
            </w:r>
            <w:r w:rsidRPr="00DD02FF">
              <w:rPr>
                <w:rFonts w:eastAsia="Times New Roman" w:cs="Times New Roman"/>
                <w:sz w:val="24"/>
                <w:szCs w:val="24"/>
                <w:lang w:eastAsia="lv-LV"/>
              </w:rPr>
              <w:t>Minimālā robeža, kas nosaka dalībnieku uzskaiti</w:t>
            </w:r>
            <w:r w:rsidR="0026067E">
              <w:rPr>
                <w:rFonts w:eastAsia="Times New Roman" w:cs="Times New Roman"/>
                <w:sz w:val="24"/>
                <w:szCs w:val="24"/>
                <w:lang w:eastAsia="lv-LV"/>
              </w:rPr>
              <w:t>"</w:t>
            </w:r>
            <w:r w:rsidRPr="00DD02FF">
              <w:rPr>
                <w:rFonts w:eastAsia="Times New Roman" w:cs="Times New Roman"/>
                <w:sz w:val="24"/>
                <w:szCs w:val="24"/>
                <w:lang w:eastAsia="lv-LV"/>
              </w:rPr>
              <w:t xml:space="preserve">, kurā </w:t>
            </w:r>
            <w:r w:rsidR="0026067E">
              <w:rPr>
                <w:rFonts w:eastAsia="Times New Roman" w:cs="Times New Roman"/>
                <w:sz w:val="24"/>
                <w:szCs w:val="24"/>
                <w:lang w:eastAsia="lv-LV"/>
              </w:rPr>
              <w:t>paredzēts</w:t>
            </w:r>
            <w:r w:rsidRPr="00DD02FF">
              <w:rPr>
                <w:rFonts w:eastAsia="Times New Roman" w:cs="Times New Roman"/>
                <w:sz w:val="24"/>
                <w:szCs w:val="24"/>
                <w:lang w:eastAsia="lv-LV"/>
              </w:rPr>
              <w:t>, ka dalībvalsts var n</w:t>
            </w:r>
            <w:r w:rsidR="0026067E">
              <w:rPr>
                <w:rFonts w:eastAsia="Times New Roman" w:cs="Times New Roman"/>
                <w:sz w:val="24"/>
                <w:szCs w:val="24"/>
                <w:lang w:eastAsia="lv-LV"/>
              </w:rPr>
              <w:t xml:space="preserve">oteikt apmācību stundu apjomu, </w:t>
            </w:r>
            <w:r w:rsidRPr="00DD02FF">
              <w:rPr>
                <w:rFonts w:eastAsia="Times New Roman" w:cs="Times New Roman"/>
                <w:sz w:val="24"/>
                <w:szCs w:val="24"/>
                <w:lang w:eastAsia="lv-LV"/>
              </w:rPr>
              <w:t xml:space="preserve">pēc kuru apmeklējuma dalībnieks tiek norādīts pie Eiropas Sociālā fonda kopējiem </w:t>
            </w:r>
            <w:r w:rsidR="001946F1" w:rsidRPr="00DD02FF">
              <w:rPr>
                <w:rFonts w:eastAsia="Times New Roman" w:cs="Times New Roman"/>
                <w:sz w:val="24"/>
                <w:szCs w:val="24"/>
                <w:lang w:eastAsia="lv-LV"/>
              </w:rPr>
              <w:t xml:space="preserve">tūlītējiem rezultāta </w:t>
            </w:r>
            <w:r w:rsidR="001946F1" w:rsidRPr="00490D8C">
              <w:rPr>
                <w:rFonts w:eastAsia="Times New Roman" w:cs="Times New Roman"/>
                <w:sz w:val="24"/>
                <w:szCs w:val="24"/>
                <w:lang w:eastAsia="lv-LV"/>
              </w:rPr>
              <w:t>rādītājiem, atbildīgā iestāde</w:t>
            </w:r>
            <w:r w:rsidRPr="00490D8C">
              <w:rPr>
                <w:rFonts w:eastAsia="Times New Roman" w:cs="Times New Roman"/>
                <w:sz w:val="24"/>
                <w:szCs w:val="24"/>
                <w:lang w:eastAsia="lv-LV"/>
              </w:rPr>
              <w:t xml:space="preserve"> izvērtē</w:t>
            </w:r>
            <w:r w:rsidR="001946F1" w:rsidRPr="00490D8C">
              <w:rPr>
                <w:rFonts w:eastAsia="Times New Roman" w:cs="Times New Roman"/>
                <w:sz w:val="24"/>
                <w:szCs w:val="24"/>
                <w:lang w:eastAsia="lv-LV"/>
              </w:rPr>
              <w:t>j</w:t>
            </w:r>
            <w:r w:rsidRPr="00490D8C">
              <w:rPr>
                <w:rFonts w:eastAsia="Times New Roman" w:cs="Times New Roman"/>
                <w:sz w:val="24"/>
                <w:szCs w:val="24"/>
                <w:lang w:eastAsia="lv-LV"/>
              </w:rPr>
              <w:t>a apmācību specifik</w:t>
            </w:r>
            <w:r w:rsidR="001946F1" w:rsidRPr="00490D8C">
              <w:rPr>
                <w:rFonts w:eastAsia="Times New Roman" w:cs="Times New Roman"/>
                <w:sz w:val="24"/>
                <w:szCs w:val="24"/>
                <w:lang w:eastAsia="lv-LV"/>
              </w:rPr>
              <w:t>u</w:t>
            </w:r>
            <w:r w:rsidRPr="00490D8C">
              <w:rPr>
                <w:rFonts w:eastAsia="Times New Roman" w:cs="Times New Roman"/>
                <w:sz w:val="24"/>
                <w:szCs w:val="24"/>
                <w:lang w:eastAsia="lv-LV"/>
              </w:rPr>
              <w:t xml:space="preserve"> 3.4.2. SAM ietvaros un secinā</w:t>
            </w:r>
            <w:r w:rsidR="001946F1" w:rsidRPr="00490D8C">
              <w:rPr>
                <w:rFonts w:eastAsia="Times New Roman" w:cs="Times New Roman"/>
                <w:sz w:val="24"/>
                <w:szCs w:val="24"/>
                <w:lang w:eastAsia="lv-LV"/>
              </w:rPr>
              <w:t>ja</w:t>
            </w:r>
            <w:r w:rsidRPr="00490D8C">
              <w:rPr>
                <w:rFonts w:eastAsia="Times New Roman" w:cs="Times New Roman"/>
                <w:sz w:val="24"/>
                <w:szCs w:val="24"/>
                <w:lang w:eastAsia="lv-LV"/>
              </w:rPr>
              <w:t xml:space="preserve">, </w:t>
            </w:r>
            <w:r w:rsidR="0026067E" w:rsidRPr="00490D8C">
              <w:rPr>
                <w:rFonts w:eastAsia="Times New Roman" w:cs="Times New Roman"/>
                <w:sz w:val="24"/>
                <w:szCs w:val="24"/>
                <w:lang w:eastAsia="lv-LV"/>
              </w:rPr>
              <w:t>ka i</w:t>
            </w:r>
            <w:r w:rsidR="0026067E" w:rsidRPr="00490D8C">
              <w:rPr>
                <w:sz w:val="24"/>
                <w:szCs w:val="24"/>
              </w:rPr>
              <w:t xml:space="preserve">nformācijas </w:t>
            </w:r>
            <w:r w:rsidR="0026067E" w:rsidRPr="00490D8C">
              <w:rPr>
                <w:bCs/>
                <w:sz w:val="24"/>
                <w:szCs w:val="24"/>
              </w:rPr>
              <w:t>uzkrāšana</w:t>
            </w:r>
            <w:r w:rsidR="0026067E" w:rsidRPr="00490D8C">
              <w:rPr>
                <w:sz w:val="24"/>
                <w:szCs w:val="24"/>
              </w:rPr>
              <w:t xml:space="preserve"> par </w:t>
            </w:r>
            <w:r w:rsidR="0026067E" w:rsidRPr="00490D8C">
              <w:rPr>
                <w:bCs/>
                <w:sz w:val="24"/>
                <w:szCs w:val="24"/>
              </w:rPr>
              <w:t>Eiropas Sociālā fonda kopējo tūlītējo rezultāta rādītāju ir attiecināma uz apmācībām, kuru ilgums pārsniedz 64 apmācību stundas</w:t>
            </w:r>
            <w:r w:rsidR="0026067E" w:rsidRPr="00490D8C">
              <w:rPr>
                <w:rFonts w:eastAsia="Times New Roman" w:cs="Times New Roman"/>
                <w:sz w:val="24"/>
                <w:szCs w:val="24"/>
                <w:lang w:eastAsia="lv-LV"/>
              </w:rPr>
              <w:t xml:space="preserve"> </w:t>
            </w:r>
            <w:r w:rsidR="001946F1" w:rsidRPr="00490D8C">
              <w:rPr>
                <w:rFonts w:eastAsia="Times New Roman" w:cs="Times New Roman"/>
                <w:sz w:val="24"/>
                <w:szCs w:val="24"/>
                <w:lang w:eastAsia="lv-LV"/>
              </w:rPr>
              <w:t>(ar mācību stundu tiek saprasta astronomiskā stunda</w:t>
            </w:r>
            <w:r w:rsidR="001946F1" w:rsidRPr="00DD02FF">
              <w:rPr>
                <w:rFonts w:eastAsia="Times New Roman" w:cs="Times New Roman"/>
                <w:sz w:val="24"/>
                <w:szCs w:val="24"/>
                <w:lang w:eastAsia="lv-LV"/>
              </w:rPr>
              <w:t xml:space="preserve"> jeb 60 minūtes)</w:t>
            </w:r>
            <w:r w:rsidR="00490D8C">
              <w:rPr>
                <w:rFonts w:eastAsia="Times New Roman" w:cs="Times New Roman"/>
                <w:sz w:val="24"/>
                <w:szCs w:val="24"/>
                <w:lang w:eastAsia="lv-LV"/>
              </w:rPr>
              <w:t xml:space="preserve">. </w:t>
            </w:r>
            <w:r w:rsidRPr="00DD02FF">
              <w:rPr>
                <w:rFonts w:eastAsia="Times New Roman" w:cs="Times New Roman"/>
                <w:sz w:val="24"/>
                <w:szCs w:val="24"/>
                <w:lang w:eastAsia="lv-LV"/>
              </w:rPr>
              <w:t xml:space="preserve">Izanalizējot šobrīd pieejamās mācības valsts pārvaldē (tēmas, ilgumu, līmeņus), tika secināts, ka pārsvarā mācību ilgums </w:t>
            </w:r>
            <w:r w:rsidR="00490D8C">
              <w:rPr>
                <w:rFonts w:eastAsia="Times New Roman" w:cs="Times New Roman"/>
                <w:sz w:val="24"/>
                <w:szCs w:val="24"/>
                <w:lang w:eastAsia="lv-LV"/>
              </w:rPr>
              <w:t>ir</w:t>
            </w:r>
            <w:r w:rsidRPr="00DD02FF">
              <w:rPr>
                <w:rFonts w:eastAsia="Times New Roman" w:cs="Times New Roman"/>
                <w:sz w:val="24"/>
                <w:szCs w:val="24"/>
                <w:lang w:eastAsia="lv-LV"/>
              </w:rPr>
              <w:t xml:space="preserve"> 4</w:t>
            </w:r>
            <w:r w:rsidR="00490D8C">
              <w:rPr>
                <w:rFonts w:eastAsia="Times New Roman" w:cs="Times New Roman"/>
                <w:sz w:val="24"/>
                <w:szCs w:val="24"/>
                <w:lang w:eastAsia="lv-LV"/>
              </w:rPr>
              <w:t>–</w:t>
            </w:r>
            <w:r w:rsidRPr="00DD02FF">
              <w:rPr>
                <w:rFonts w:eastAsia="Times New Roman" w:cs="Times New Roman"/>
                <w:sz w:val="24"/>
                <w:szCs w:val="24"/>
                <w:lang w:eastAsia="lv-LV"/>
              </w:rPr>
              <w:t>16 apmācību stundas un šo mācību tūlītējā ietekme nav izmērāma. Tomēr ir pieejamas mācības, piemēram, svešvalodu, iekšējā audita, grāmatvedības u.c., kuru ilgums var sasniegt 100</w:t>
            </w:r>
            <w:r w:rsidR="00490D8C">
              <w:rPr>
                <w:rFonts w:eastAsia="Times New Roman" w:cs="Times New Roman"/>
                <w:sz w:val="24"/>
                <w:szCs w:val="24"/>
                <w:lang w:eastAsia="lv-LV"/>
              </w:rPr>
              <w:t> </w:t>
            </w:r>
            <w:r w:rsidRPr="00DD02FF">
              <w:rPr>
                <w:rFonts w:eastAsia="Times New Roman" w:cs="Times New Roman"/>
                <w:sz w:val="24"/>
                <w:szCs w:val="24"/>
                <w:lang w:eastAsia="lv-LV"/>
              </w:rPr>
              <w:t xml:space="preserve">apmācību stundas. </w:t>
            </w:r>
            <w:r w:rsidR="001946F1" w:rsidRPr="00DD02FF">
              <w:rPr>
                <w:rFonts w:eastAsia="Times New Roman" w:cs="Times New Roman"/>
                <w:sz w:val="24"/>
                <w:szCs w:val="24"/>
                <w:lang w:eastAsia="lv-LV"/>
              </w:rPr>
              <w:t>Vērtējot</w:t>
            </w:r>
            <w:r w:rsidRPr="00DD02FF">
              <w:rPr>
                <w:rFonts w:eastAsia="Times New Roman" w:cs="Times New Roman"/>
                <w:sz w:val="24"/>
                <w:szCs w:val="24"/>
                <w:lang w:eastAsia="lv-LV"/>
              </w:rPr>
              <w:t xml:space="preserve"> vidējo apmācību ilgumu, tika konstatēts, ka 64 apmācību stundas varētu uzskatīt par optimālo apmācību stundu skaitu, pēc kuru apmeklējuma 3.4.2. SAM ietvaros tiks uzskaitīts Eiropas Sociālā fonda kopējais tūlītējais rezultāta rādītājs</w:t>
            </w:r>
            <w:r w:rsidR="000E6302" w:rsidRPr="00DD02FF">
              <w:rPr>
                <w:rFonts w:eastAsia="Times New Roman" w:cs="Times New Roman"/>
                <w:sz w:val="24"/>
                <w:szCs w:val="24"/>
                <w:lang w:eastAsia="lv-LV"/>
              </w:rPr>
              <w:t xml:space="preserve">, </w:t>
            </w:r>
            <w:r w:rsidR="00490D8C">
              <w:rPr>
                <w:rFonts w:eastAsia="Times New Roman" w:cs="Times New Roman"/>
                <w:sz w:val="24"/>
                <w:szCs w:val="24"/>
                <w:lang w:eastAsia="lv-LV"/>
              </w:rPr>
              <w:t>lai</w:t>
            </w:r>
            <w:r w:rsidR="00576D75" w:rsidRPr="00DD02FF">
              <w:rPr>
                <w:rFonts w:eastAsia="Times New Roman" w:cs="Times New Roman"/>
                <w:sz w:val="24"/>
                <w:szCs w:val="24"/>
                <w:lang w:eastAsia="lv-LV"/>
              </w:rPr>
              <w:t xml:space="preserve"> veiksmīgāk</w:t>
            </w:r>
            <w:r w:rsidR="000E6302" w:rsidRPr="00DD02FF">
              <w:rPr>
                <w:rFonts w:eastAsia="Times New Roman" w:cs="Times New Roman"/>
                <w:sz w:val="24"/>
                <w:szCs w:val="24"/>
                <w:lang w:eastAsia="lv-LV"/>
              </w:rPr>
              <w:t xml:space="preserve"> atspoguļot</w:t>
            </w:r>
            <w:r w:rsidR="00490D8C">
              <w:rPr>
                <w:rFonts w:eastAsia="Times New Roman" w:cs="Times New Roman"/>
                <w:sz w:val="24"/>
                <w:szCs w:val="24"/>
                <w:lang w:eastAsia="lv-LV"/>
              </w:rPr>
              <w:t>u</w:t>
            </w:r>
            <w:r w:rsidR="000E6302" w:rsidRPr="00DD02FF">
              <w:rPr>
                <w:rFonts w:eastAsia="Times New Roman" w:cs="Times New Roman"/>
                <w:sz w:val="24"/>
                <w:szCs w:val="24"/>
                <w:lang w:eastAsia="lv-LV"/>
              </w:rPr>
              <w:t xml:space="preserve"> izmaiņas</w:t>
            </w:r>
            <w:r w:rsidR="00576D75" w:rsidRPr="00DD02FF">
              <w:rPr>
                <w:rFonts w:eastAsia="Times New Roman" w:cs="Times New Roman"/>
                <w:sz w:val="24"/>
                <w:szCs w:val="24"/>
                <w:lang w:eastAsia="lv-LV"/>
              </w:rPr>
              <w:t xml:space="preserve"> raksturlielumos, ko mēra </w:t>
            </w:r>
            <w:r w:rsidR="00576D75" w:rsidRPr="00DD02FF">
              <w:rPr>
                <w:sz w:val="24"/>
                <w:szCs w:val="24"/>
              </w:rPr>
              <w:t>Eiropas Sociālā fonda kopējie tūlītējie rezultāta rādītāji</w:t>
            </w:r>
          </w:p>
        </w:tc>
      </w:tr>
      <w:tr w:rsidR="00D13B02" w:rsidRPr="00D13B02" w14:paraId="17ABAA30" w14:textId="77777777" w:rsidTr="005219E9">
        <w:trPr>
          <w:trHeight w:val="476"/>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17ABAA2D" w14:textId="77777777" w:rsidR="0070526D" w:rsidRPr="00D13B02" w:rsidRDefault="00CD29CB"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lastRenderedPageBreak/>
              <w:t> 3</w:t>
            </w:r>
            <w:r w:rsidR="0070526D" w:rsidRPr="00D13B02">
              <w:rPr>
                <w:rFonts w:eastAsia="Times New Roman" w:cs="Times New Roman"/>
                <w:sz w:val="24"/>
                <w:szCs w:val="24"/>
                <w:lang w:eastAsia="lv-LV"/>
              </w:rPr>
              <w:t>.</w:t>
            </w:r>
          </w:p>
        </w:tc>
        <w:tc>
          <w:tcPr>
            <w:tcW w:w="3185" w:type="dxa"/>
            <w:tcBorders>
              <w:top w:val="outset" w:sz="6" w:space="0" w:color="auto"/>
              <w:left w:val="outset" w:sz="6" w:space="0" w:color="auto"/>
              <w:bottom w:val="outset" w:sz="6" w:space="0" w:color="auto"/>
              <w:right w:val="outset" w:sz="6" w:space="0" w:color="auto"/>
            </w:tcBorders>
            <w:hideMark/>
          </w:tcPr>
          <w:p w14:paraId="17ABAA2E"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Projekta izstrādē iesaistītās institūcijas</w:t>
            </w:r>
          </w:p>
        </w:tc>
        <w:tc>
          <w:tcPr>
            <w:tcW w:w="6214" w:type="dxa"/>
            <w:tcBorders>
              <w:top w:val="outset" w:sz="6" w:space="0" w:color="auto"/>
              <w:left w:val="outset" w:sz="6" w:space="0" w:color="auto"/>
              <w:bottom w:val="outset" w:sz="6" w:space="0" w:color="auto"/>
              <w:right w:val="outset" w:sz="6" w:space="0" w:color="auto"/>
            </w:tcBorders>
            <w:hideMark/>
          </w:tcPr>
          <w:p w14:paraId="17ABAA2F" w14:textId="77777777" w:rsidR="0070526D" w:rsidRPr="00D13B02" w:rsidRDefault="00E13418" w:rsidP="004D7A34">
            <w:pPr>
              <w:tabs>
                <w:tab w:val="left" w:pos="572"/>
              </w:tabs>
              <w:spacing w:before="100" w:beforeAutospacing="1" w:after="100" w:afterAutospacing="1"/>
              <w:ind w:left="127"/>
              <w:jc w:val="both"/>
              <w:rPr>
                <w:rFonts w:eastAsia="Times New Roman" w:cs="Times New Roman"/>
                <w:sz w:val="24"/>
                <w:szCs w:val="24"/>
                <w:lang w:eastAsia="lv-LV"/>
              </w:rPr>
            </w:pPr>
            <w:r w:rsidRPr="00E13418">
              <w:rPr>
                <w:rFonts w:eastAsia="Times New Roman" w:cs="Times New Roman"/>
                <w:sz w:val="24"/>
                <w:szCs w:val="24"/>
                <w:lang w:eastAsia="lv-LV"/>
              </w:rPr>
              <w:t xml:space="preserve">Valsts kancelejas Eiropas Savienības struktūrfondu </w:t>
            </w:r>
            <w:r>
              <w:rPr>
                <w:rFonts w:eastAsia="Times New Roman" w:cs="Times New Roman"/>
                <w:sz w:val="24"/>
                <w:szCs w:val="24"/>
                <w:lang w:eastAsia="lv-LV"/>
              </w:rPr>
              <w:t>nodaļa</w:t>
            </w:r>
          </w:p>
        </w:tc>
      </w:tr>
      <w:tr w:rsidR="00D13B02" w:rsidRPr="00D13B02" w14:paraId="17ABAA34" w14:textId="77777777" w:rsidTr="005219E9">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17ABAA31" w14:textId="77777777" w:rsidR="0070526D" w:rsidRPr="00D13B02" w:rsidRDefault="0070526D" w:rsidP="00CD29CB">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CD29CB" w:rsidRPr="00D13B02">
              <w:rPr>
                <w:rFonts w:eastAsia="Times New Roman" w:cs="Times New Roman"/>
                <w:sz w:val="24"/>
                <w:szCs w:val="24"/>
                <w:lang w:eastAsia="lv-LV"/>
              </w:rPr>
              <w:t>4</w:t>
            </w:r>
            <w:r w:rsidRPr="00D13B02">
              <w:rPr>
                <w:rFonts w:eastAsia="Times New Roman" w:cs="Times New Roman"/>
                <w:sz w:val="24"/>
                <w:szCs w:val="24"/>
                <w:lang w:eastAsia="lv-LV"/>
              </w:rPr>
              <w:t>.</w:t>
            </w:r>
          </w:p>
        </w:tc>
        <w:tc>
          <w:tcPr>
            <w:tcW w:w="3185" w:type="dxa"/>
            <w:tcBorders>
              <w:top w:val="outset" w:sz="6" w:space="0" w:color="auto"/>
              <w:left w:val="outset" w:sz="6" w:space="0" w:color="auto"/>
              <w:bottom w:val="outset" w:sz="6" w:space="0" w:color="auto"/>
              <w:right w:val="outset" w:sz="6" w:space="0" w:color="auto"/>
            </w:tcBorders>
            <w:hideMark/>
          </w:tcPr>
          <w:p w14:paraId="17ABAA32"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Cita informācija</w:t>
            </w:r>
          </w:p>
        </w:tc>
        <w:tc>
          <w:tcPr>
            <w:tcW w:w="6214" w:type="dxa"/>
            <w:tcBorders>
              <w:top w:val="outset" w:sz="6" w:space="0" w:color="auto"/>
              <w:left w:val="outset" w:sz="6" w:space="0" w:color="auto"/>
              <w:bottom w:val="outset" w:sz="6" w:space="0" w:color="auto"/>
              <w:right w:val="outset" w:sz="6" w:space="0" w:color="auto"/>
            </w:tcBorders>
            <w:hideMark/>
          </w:tcPr>
          <w:p w14:paraId="17ABAA33" w14:textId="77777777" w:rsidR="0070526D" w:rsidRPr="00D13B02" w:rsidRDefault="000035CB" w:rsidP="00490D8C">
            <w:pPr>
              <w:spacing w:before="100" w:beforeAutospacing="1" w:after="100" w:afterAutospacing="1"/>
              <w:ind w:left="127"/>
              <w:jc w:val="both"/>
              <w:rPr>
                <w:rFonts w:eastAsia="Times New Roman" w:cs="Times New Roman"/>
                <w:sz w:val="24"/>
                <w:szCs w:val="24"/>
                <w:lang w:eastAsia="lv-LV"/>
              </w:rPr>
            </w:pPr>
            <w:r>
              <w:rPr>
                <w:rFonts w:eastAsia="Times New Roman" w:cs="Times New Roman"/>
                <w:sz w:val="24"/>
                <w:szCs w:val="24"/>
                <w:lang w:eastAsia="lv-LV"/>
              </w:rPr>
              <w:t>2016.</w:t>
            </w:r>
            <w:r w:rsidR="00751650">
              <w:rPr>
                <w:rFonts w:eastAsia="Times New Roman" w:cs="Times New Roman"/>
                <w:sz w:val="24"/>
                <w:szCs w:val="24"/>
                <w:lang w:eastAsia="lv-LV"/>
              </w:rPr>
              <w:t> </w:t>
            </w:r>
            <w:r>
              <w:rPr>
                <w:rFonts w:eastAsia="Times New Roman" w:cs="Times New Roman"/>
                <w:sz w:val="24"/>
                <w:szCs w:val="24"/>
                <w:lang w:eastAsia="lv-LV"/>
              </w:rPr>
              <w:t>gada 9.</w:t>
            </w:r>
            <w:r w:rsidR="00751650">
              <w:rPr>
                <w:rFonts w:eastAsia="Times New Roman" w:cs="Times New Roman"/>
                <w:sz w:val="24"/>
                <w:szCs w:val="24"/>
                <w:lang w:eastAsia="lv-LV"/>
              </w:rPr>
              <w:t> </w:t>
            </w:r>
            <w:r>
              <w:rPr>
                <w:rFonts w:eastAsia="Times New Roman" w:cs="Times New Roman"/>
                <w:sz w:val="24"/>
                <w:szCs w:val="24"/>
                <w:lang w:eastAsia="lv-LV"/>
              </w:rPr>
              <w:t>mart</w:t>
            </w:r>
            <w:r w:rsidR="00751650">
              <w:rPr>
                <w:rFonts w:eastAsia="Times New Roman" w:cs="Times New Roman"/>
                <w:sz w:val="24"/>
                <w:szCs w:val="24"/>
                <w:lang w:eastAsia="lv-LV"/>
              </w:rPr>
              <w:t>ā</w:t>
            </w:r>
            <w:r>
              <w:rPr>
                <w:rFonts w:eastAsia="Times New Roman" w:cs="Times New Roman"/>
                <w:sz w:val="24"/>
                <w:szCs w:val="24"/>
                <w:lang w:eastAsia="lv-LV"/>
              </w:rPr>
              <w:t xml:space="preserve"> </w:t>
            </w:r>
            <w:r w:rsidR="00FA5D97">
              <w:rPr>
                <w:rFonts w:eastAsia="Times New Roman" w:cs="Times New Roman"/>
                <w:sz w:val="24"/>
                <w:szCs w:val="24"/>
                <w:lang w:eastAsia="lv-LV"/>
              </w:rPr>
              <w:t>Koalīcijas partneru darba grupā</w:t>
            </w:r>
            <w:r w:rsidR="00FA5D97" w:rsidRPr="00FA5D97">
              <w:rPr>
                <w:rFonts w:eastAsia="Times New Roman" w:cs="Times New Roman"/>
                <w:sz w:val="24"/>
                <w:szCs w:val="24"/>
                <w:lang w:eastAsia="lv-LV"/>
              </w:rPr>
              <w:t xml:space="preserve"> par Eiropas Savienības struktūrfondu un Kohēzijas fonda jautājumiem</w:t>
            </w:r>
            <w:r w:rsidR="00FA5D97">
              <w:rPr>
                <w:rFonts w:eastAsia="Times New Roman" w:cs="Times New Roman"/>
                <w:sz w:val="24"/>
                <w:szCs w:val="24"/>
                <w:lang w:eastAsia="lv-LV"/>
              </w:rPr>
              <w:t xml:space="preserve"> tika atbalstīta Valsts kontrole kā finansējuma saņēmēja </w:t>
            </w:r>
            <w:r w:rsidR="00FA5D97" w:rsidRPr="00FA5D97">
              <w:rPr>
                <w:rFonts w:eastAsia="Times New Roman" w:cs="Times New Roman"/>
                <w:sz w:val="24"/>
                <w:szCs w:val="24"/>
                <w:lang w:eastAsia="lv-LV"/>
              </w:rPr>
              <w:t xml:space="preserve">3.4.2. </w:t>
            </w:r>
            <w:r w:rsidR="00BE7DC6">
              <w:rPr>
                <w:rFonts w:eastAsia="Times New Roman" w:cs="Times New Roman"/>
                <w:sz w:val="24"/>
                <w:szCs w:val="24"/>
                <w:lang w:eastAsia="lv-LV"/>
              </w:rPr>
              <w:t xml:space="preserve">SAM </w:t>
            </w:r>
            <w:r w:rsidR="00751650">
              <w:rPr>
                <w:rFonts w:eastAsia="Times New Roman" w:cs="Times New Roman"/>
                <w:sz w:val="24"/>
                <w:szCs w:val="24"/>
                <w:lang w:eastAsia="lv-LV"/>
              </w:rPr>
              <w:t>ietvaros</w:t>
            </w:r>
          </w:p>
        </w:tc>
      </w:tr>
    </w:tbl>
    <w:p w14:paraId="17ABAA35" w14:textId="77777777" w:rsidR="0070526D" w:rsidRPr="00D13B02" w:rsidRDefault="0070526D" w:rsidP="00115E82">
      <w:pPr>
        <w:rPr>
          <w:rFonts w:eastAsia="Times New Roman" w:cs="Times New Roman"/>
          <w:sz w:val="16"/>
          <w:szCs w:val="16"/>
          <w:lang w:eastAsia="lv-LV"/>
        </w:rPr>
      </w:pPr>
    </w:p>
    <w:tbl>
      <w:tblPr>
        <w:tblW w:w="9782"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3024"/>
        <w:gridCol w:w="6237"/>
      </w:tblGrid>
      <w:tr w:rsidR="00D13B02" w:rsidRPr="00D13B02" w14:paraId="17ABAA37" w14:textId="77777777" w:rsidTr="006E6796">
        <w:trPr>
          <w:tblCellSpacing w:w="0" w:type="dxa"/>
        </w:trPr>
        <w:tc>
          <w:tcPr>
            <w:tcW w:w="9782" w:type="dxa"/>
            <w:gridSpan w:val="3"/>
            <w:tcBorders>
              <w:top w:val="outset" w:sz="6" w:space="0" w:color="auto"/>
              <w:left w:val="outset" w:sz="6" w:space="0" w:color="auto"/>
              <w:bottom w:val="outset" w:sz="6" w:space="0" w:color="auto"/>
              <w:right w:val="outset" w:sz="6" w:space="0" w:color="auto"/>
            </w:tcBorders>
            <w:vAlign w:val="center"/>
            <w:hideMark/>
          </w:tcPr>
          <w:p w14:paraId="17ABAA36" w14:textId="77777777" w:rsidR="00062334" w:rsidRPr="00751650" w:rsidRDefault="0070526D" w:rsidP="007553A8">
            <w:pPr>
              <w:spacing w:before="100" w:beforeAutospacing="1" w:after="100" w:afterAutospacing="1"/>
              <w:jc w:val="center"/>
              <w:rPr>
                <w:rFonts w:eastAsia="Times New Roman" w:cs="Times New Roman"/>
                <w:b/>
                <w:sz w:val="24"/>
                <w:szCs w:val="24"/>
                <w:lang w:eastAsia="lv-LV"/>
              </w:rPr>
            </w:pPr>
            <w:r w:rsidRPr="00751650">
              <w:rPr>
                <w:rFonts w:eastAsia="Times New Roman" w:cs="Times New Roman"/>
                <w:b/>
                <w:sz w:val="24"/>
                <w:szCs w:val="24"/>
                <w:lang w:eastAsia="lv-LV"/>
              </w:rPr>
              <w:t xml:space="preserve">II. </w:t>
            </w:r>
            <w:r w:rsidR="00222330" w:rsidRPr="00751650">
              <w:rPr>
                <w:rFonts w:eastAsia="Times New Roman" w:cs="Times New Roman"/>
                <w:b/>
                <w:bCs/>
                <w:sz w:val="24"/>
                <w:szCs w:val="24"/>
                <w:lang w:eastAsia="lv-LV"/>
              </w:rPr>
              <w:t>Tiesību akta projekta ietekme uz sabiedrību, tautsaimniecības attīstību un administratīvo slogu</w:t>
            </w:r>
          </w:p>
        </w:tc>
      </w:tr>
      <w:tr w:rsidR="00D13B02" w:rsidRPr="00D13B02" w14:paraId="17ABAA3B" w14:textId="77777777" w:rsidTr="005219E9">
        <w:trPr>
          <w:trHeight w:val="276"/>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17ABAA38"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1.</w:t>
            </w:r>
          </w:p>
        </w:tc>
        <w:tc>
          <w:tcPr>
            <w:tcW w:w="3024" w:type="dxa"/>
            <w:tcBorders>
              <w:top w:val="outset" w:sz="6" w:space="0" w:color="auto"/>
              <w:left w:val="outset" w:sz="6" w:space="0" w:color="auto"/>
              <w:bottom w:val="outset" w:sz="6" w:space="0" w:color="auto"/>
              <w:right w:val="outset" w:sz="6" w:space="0" w:color="auto"/>
            </w:tcBorders>
            <w:hideMark/>
          </w:tcPr>
          <w:p w14:paraId="17ABAA39"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CD29CB" w:rsidRPr="00D13B02">
              <w:rPr>
                <w:rFonts w:eastAsia="Times New Roman" w:cs="Times New Roman"/>
                <w:sz w:val="24"/>
                <w:szCs w:val="24"/>
                <w:lang w:eastAsia="lv-LV"/>
              </w:rPr>
              <w:t>Sabiedrības mērķgrupas, kuras tiesiskais regulējums ietekmē vai varētu ietekmēt</w:t>
            </w:r>
          </w:p>
        </w:tc>
        <w:tc>
          <w:tcPr>
            <w:tcW w:w="6237" w:type="dxa"/>
            <w:tcBorders>
              <w:top w:val="outset" w:sz="6" w:space="0" w:color="auto"/>
              <w:left w:val="outset" w:sz="6" w:space="0" w:color="auto"/>
              <w:bottom w:val="outset" w:sz="6" w:space="0" w:color="auto"/>
              <w:right w:val="outset" w:sz="6" w:space="0" w:color="auto"/>
            </w:tcBorders>
            <w:hideMark/>
          </w:tcPr>
          <w:p w14:paraId="17ABAA3A" w14:textId="77777777" w:rsidR="0070526D" w:rsidRPr="00D13B02" w:rsidRDefault="00C61D1E" w:rsidP="004D7A34">
            <w:pPr>
              <w:spacing w:before="100" w:beforeAutospacing="1" w:after="100" w:afterAutospacing="1"/>
              <w:ind w:left="127"/>
              <w:rPr>
                <w:rFonts w:eastAsia="Times New Roman" w:cs="Times New Roman"/>
                <w:sz w:val="24"/>
                <w:szCs w:val="24"/>
                <w:lang w:eastAsia="lv-LV"/>
              </w:rPr>
            </w:pPr>
            <w:r>
              <w:rPr>
                <w:rFonts w:eastAsia="Times New Roman" w:cs="Times New Roman"/>
                <w:sz w:val="24"/>
                <w:szCs w:val="24"/>
                <w:lang w:eastAsia="lv-LV"/>
              </w:rPr>
              <w:t>N</w:t>
            </w:r>
            <w:r w:rsidR="0034293C" w:rsidRPr="0034293C">
              <w:rPr>
                <w:rFonts w:eastAsia="Times New Roman" w:cs="Times New Roman"/>
                <w:sz w:val="24"/>
                <w:szCs w:val="24"/>
                <w:lang w:eastAsia="lv-LV"/>
              </w:rPr>
              <w:t>oteikumu projektā ir iekļautas normas, kas attiecas uz E</w:t>
            </w:r>
            <w:r w:rsidR="0034293C">
              <w:rPr>
                <w:rFonts w:eastAsia="Times New Roman" w:cs="Times New Roman"/>
                <w:sz w:val="24"/>
                <w:szCs w:val="24"/>
                <w:lang w:eastAsia="lv-LV"/>
              </w:rPr>
              <w:t xml:space="preserve">iropas </w:t>
            </w:r>
            <w:r w:rsidR="0034293C" w:rsidRPr="0034293C">
              <w:rPr>
                <w:rFonts w:eastAsia="Times New Roman" w:cs="Times New Roman"/>
                <w:sz w:val="24"/>
                <w:szCs w:val="24"/>
                <w:lang w:eastAsia="lv-LV"/>
              </w:rPr>
              <w:t>S</w:t>
            </w:r>
            <w:r w:rsidR="0034293C">
              <w:rPr>
                <w:rFonts w:eastAsia="Times New Roman" w:cs="Times New Roman"/>
                <w:sz w:val="24"/>
                <w:szCs w:val="24"/>
                <w:lang w:eastAsia="lv-LV"/>
              </w:rPr>
              <w:t>avienības</w:t>
            </w:r>
            <w:r w:rsidR="00751650">
              <w:rPr>
                <w:rFonts w:eastAsia="Times New Roman" w:cs="Times New Roman"/>
                <w:sz w:val="24"/>
                <w:szCs w:val="24"/>
                <w:lang w:eastAsia="lv-LV"/>
              </w:rPr>
              <w:t xml:space="preserve"> fondu finansējuma saņēmējiem</w:t>
            </w:r>
          </w:p>
        </w:tc>
      </w:tr>
      <w:tr w:rsidR="00D13B02" w:rsidRPr="00D13B02" w14:paraId="17ABAA3F" w14:textId="77777777" w:rsidTr="005219E9">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17ABAA3C"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2.</w:t>
            </w:r>
          </w:p>
        </w:tc>
        <w:tc>
          <w:tcPr>
            <w:tcW w:w="3024" w:type="dxa"/>
            <w:tcBorders>
              <w:top w:val="outset" w:sz="6" w:space="0" w:color="auto"/>
              <w:left w:val="outset" w:sz="6" w:space="0" w:color="auto"/>
              <w:bottom w:val="outset" w:sz="6" w:space="0" w:color="auto"/>
              <w:right w:val="outset" w:sz="6" w:space="0" w:color="auto"/>
            </w:tcBorders>
            <w:hideMark/>
          </w:tcPr>
          <w:p w14:paraId="17ABAA3D"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CD29CB" w:rsidRPr="00D13B02">
              <w:rPr>
                <w:rFonts w:eastAsia="Times New Roman" w:cs="Times New Roman"/>
                <w:sz w:val="24"/>
                <w:szCs w:val="24"/>
                <w:lang w:eastAsia="lv-LV"/>
              </w:rPr>
              <w:t>Tiesiskā regulējuma ietekme uz tautsaimniecību un administratīvo slogu</w:t>
            </w:r>
          </w:p>
        </w:tc>
        <w:tc>
          <w:tcPr>
            <w:tcW w:w="6237" w:type="dxa"/>
            <w:tcBorders>
              <w:top w:val="outset" w:sz="6" w:space="0" w:color="auto"/>
              <w:left w:val="outset" w:sz="6" w:space="0" w:color="auto"/>
              <w:bottom w:val="outset" w:sz="6" w:space="0" w:color="auto"/>
              <w:right w:val="outset" w:sz="6" w:space="0" w:color="auto"/>
            </w:tcBorders>
          </w:tcPr>
          <w:p w14:paraId="17ABAA3E" w14:textId="77777777" w:rsidR="00076B41" w:rsidRPr="00D13B02" w:rsidRDefault="00C61D1E" w:rsidP="004D7A34">
            <w:pPr>
              <w:ind w:left="127"/>
              <w:rPr>
                <w:rFonts w:eastAsia="Times New Roman" w:cs="Times New Roman"/>
                <w:sz w:val="24"/>
                <w:szCs w:val="24"/>
                <w:lang w:eastAsia="lv-LV"/>
              </w:rPr>
            </w:pPr>
            <w:r>
              <w:rPr>
                <w:rFonts w:eastAsia="Times New Roman" w:cs="Times New Roman"/>
                <w:sz w:val="24"/>
                <w:szCs w:val="24"/>
                <w:lang w:eastAsia="lv-LV"/>
              </w:rPr>
              <w:t>Projekts šo jomu neskar</w:t>
            </w:r>
          </w:p>
        </w:tc>
      </w:tr>
      <w:tr w:rsidR="00D13B02" w:rsidRPr="00D13B02" w14:paraId="17ABAA43" w14:textId="77777777" w:rsidTr="005219E9">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17ABAA40"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lastRenderedPageBreak/>
              <w:t> 3.</w:t>
            </w:r>
          </w:p>
        </w:tc>
        <w:tc>
          <w:tcPr>
            <w:tcW w:w="3024" w:type="dxa"/>
            <w:tcBorders>
              <w:top w:val="outset" w:sz="6" w:space="0" w:color="auto"/>
              <w:left w:val="outset" w:sz="6" w:space="0" w:color="auto"/>
              <w:bottom w:val="outset" w:sz="6" w:space="0" w:color="auto"/>
              <w:right w:val="outset" w:sz="6" w:space="0" w:color="auto"/>
            </w:tcBorders>
            <w:hideMark/>
          </w:tcPr>
          <w:p w14:paraId="17ABAA41"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D34375" w:rsidRPr="00D13B02">
              <w:rPr>
                <w:rFonts w:eastAsia="Times New Roman" w:cs="Times New Roman"/>
                <w:sz w:val="24"/>
                <w:szCs w:val="24"/>
                <w:lang w:eastAsia="lv-LV"/>
              </w:rPr>
              <w:t>Administratīvo izmaksu monetārs novērtējums</w:t>
            </w:r>
          </w:p>
        </w:tc>
        <w:tc>
          <w:tcPr>
            <w:tcW w:w="6237" w:type="dxa"/>
            <w:tcBorders>
              <w:top w:val="outset" w:sz="6" w:space="0" w:color="auto"/>
              <w:left w:val="outset" w:sz="6" w:space="0" w:color="auto"/>
              <w:bottom w:val="outset" w:sz="6" w:space="0" w:color="auto"/>
              <w:right w:val="outset" w:sz="6" w:space="0" w:color="auto"/>
            </w:tcBorders>
          </w:tcPr>
          <w:p w14:paraId="17ABAA42" w14:textId="77777777" w:rsidR="002D23CC" w:rsidRPr="00D13B02" w:rsidRDefault="00C61D1E" w:rsidP="00490D8C">
            <w:pPr>
              <w:ind w:left="127"/>
              <w:jc w:val="both"/>
              <w:rPr>
                <w:rFonts w:eastAsia="Times New Roman"/>
                <w:b/>
                <w:sz w:val="24"/>
                <w:szCs w:val="24"/>
                <w:lang w:eastAsia="lv-LV"/>
              </w:rPr>
            </w:pPr>
            <w:r w:rsidRPr="00C61D1E">
              <w:rPr>
                <w:rFonts w:eastAsia="Times New Roman" w:cs="Times New Roman"/>
                <w:sz w:val="24"/>
                <w:szCs w:val="24"/>
                <w:lang w:eastAsia="lv-LV"/>
              </w:rPr>
              <w:t>Noteikumu projekta ietvaros projekta finansējuma saņēmējs sagatavo un iesniedz projekta iesniegumu, kā arī tīmekļvietnē vismaz reizi trijos mēnešos aktualizē informāciju par projektu, savukārt sadarbības iestāde iesniedz atbildīgajā iestādē saskaņošanai finansējuma saņēmēja iesniegtos grozījumus, kas skar būtiskus projekta īstenošanas jautājumus. Minētā iesniedzamā informācija ir identiska ar 2007.–2013. gada plānošanas periodā prasīto iesniedzamo informāciju, kas izriet no normatīvajos aktos noteiktā, līdz ar to administratīvā sloga monetārais novērtējums nav jāveic</w:t>
            </w:r>
          </w:p>
        </w:tc>
      </w:tr>
      <w:tr w:rsidR="00D13B02" w:rsidRPr="00D13B02" w14:paraId="17ABAA47" w14:textId="77777777" w:rsidTr="005219E9">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14:paraId="17ABAA44"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4.</w:t>
            </w:r>
          </w:p>
        </w:tc>
        <w:tc>
          <w:tcPr>
            <w:tcW w:w="3024" w:type="dxa"/>
            <w:tcBorders>
              <w:top w:val="outset" w:sz="6" w:space="0" w:color="auto"/>
              <w:left w:val="outset" w:sz="6" w:space="0" w:color="auto"/>
              <w:bottom w:val="outset" w:sz="6" w:space="0" w:color="auto"/>
              <w:right w:val="outset" w:sz="6" w:space="0" w:color="auto"/>
            </w:tcBorders>
            <w:hideMark/>
          </w:tcPr>
          <w:p w14:paraId="17ABAA45" w14:textId="77777777" w:rsidR="0070526D" w:rsidRPr="00D13B02" w:rsidRDefault="0070526D" w:rsidP="0070526D">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D34375" w:rsidRPr="00D13B02">
              <w:rPr>
                <w:rFonts w:eastAsia="Times New Roman" w:cs="Times New Roman"/>
                <w:sz w:val="24"/>
                <w:szCs w:val="24"/>
                <w:lang w:eastAsia="lv-LV"/>
              </w:rPr>
              <w:t>Cita informācija</w:t>
            </w:r>
          </w:p>
        </w:tc>
        <w:tc>
          <w:tcPr>
            <w:tcW w:w="6237" w:type="dxa"/>
            <w:tcBorders>
              <w:top w:val="outset" w:sz="6" w:space="0" w:color="auto"/>
              <w:left w:val="outset" w:sz="6" w:space="0" w:color="auto"/>
              <w:bottom w:val="outset" w:sz="6" w:space="0" w:color="auto"/>
              <w:right w:val="outset" w:sz="6" w:space="0" w:color="auto"/>
            </w:tcBorders>
            <w:hideMark/>
          </w:tcPr>
          <w:p w14:paraId="17ABAA46" w14:textId="77777777" w:rsidR="0070526D" w:rsidRPr="00D13B02" w:rsidRDefault="00AD6191" w:rsidP="004D7A34">
            <w:pPr>
              <w:spacing w:before="100" w:beforeAutospacing="1" w:after="100" w:afterAutospacing="1"/>
              <w:ind w:left="127"/>
              <w:rPr>
                <w:rFonts w:eastAsia="Times New Roman" w:cs="Times New Roman"/>
                <w:sz w:val="24"/>
                <w:szCs w:val="24"/>
                <w:lang w:eastAsia="lv-LV"/>
              </w:rPr>
            </w:pPr>
            <w:r w:rsidRPr="00D13B02">
              <w:rPr>
                <w:rFonts w:eastAsia="Times New Roman" w:cs="Times New Roman"/>
                <w:sz w:val="24"/>
                <w:szCs w:val="24"/>
                <w:lang w:eastAsia="lv-LV"/>
              </w:rPr>
              <w:t>Nav</w:t>
            </w:r>
          </w:p>
        </w:tc>
      </w:tr>
    </w:tbl>
    <w:p w14:paraId="17ABAA48" w14:textId="77777777" w:rsidR="008F7BEC" w:rsidRDefault="0070526D" w:rsidP="00115E82">
      <w:pPr>
        <w:rPr>
          <w:rFonts w:eastAsia="Times New Roman" w:cs="Times New Roman"/>
          <w:sz w:val="16"/>
          <w:szCs w:val="16"/>
          <w:lang w:eastAsia="lv-LV"/>
        </w:rPr>
      </w:pPr>
      <w:r w:rsidRPr="00D13B02">
        <w:rPr>
          <w:rFonts w:eastAsia="Times New Roman" w:cs="Times New Roman"/>
          <w:sz w:val="16"/>
          <w:szCs w:val="16"/>
          <w:lang w:eastAsia="lv-LV"/>
        </w:rPr>
        <w:t> </w:t>
      </w:r>
    </w:p>
    <w:tbl>
      <w:tblPr>
        <w:tblpPr w:leftFromText="180" w:rightFromText="180" w:vertAnchor="text" w:horzAnchor="margin" w:tblpXSpec="center" w:tblpY="23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701"/>
        <w:gridCol w:w="1701"/>
        <w:gridCol w:w="1701"/>
        <w:gridCol w:w="1598"/>
      </w:tblGrid>
      <w:tr w:rsidR="008F7BEC" w:rsidRPr="000927B6" w14:paraId="17ABAA4B" w14:textId="77777777" w:rsidTr="00803D65">
        <w:trPr>
          <w:trHeight w:val="361"/>
        </w:trPr>
        <w:tc>
          <w:tcPr>
            <w:tcW w:w="9786" w:type="dxa"/>
            <w:gridSpan w:val="6"/>
            <w:vAlign w:val="center"/>
          </w:tcPr>
          <w:p w14:paraId="17ABAA49" w14:textId="77777777" w:rsidR="008F7BEC" w:rsidRDefault="008F7BEC" w:rsidP="008F7BEC">
            <w:pPr>
              <w:pStyle w:val="naisnod"/>
              <w:spacing w:before="0" w:beforeAutospacing="0" w:after="0" w:afterAutospacing="0"/>
              <w:jc w:val="center"/>
            </w:pPr>
          </w:p>
          <w:p w14:paraId="17ABAA4A" w14:textId="77777777" w:rsidR="008F7BEC" w:rsidRPr="000927B6" w:rsidRDefault="008F7BEC" w:rsidP="008F7BEC">
            <w:pPr>
              <w:pStyle w:val="naisnod"/>
              <w:spacing w:before="0" w:beforeAutospacing="0" w:after="0" w:afterAutospacing="0"/>
              <w:jc w:val="center"/>
              <w:rPr>
                <w:b/>
                <w:i/>
              </w:rPr>
            </w:pPr>
            <w:r w:rsidRPr="000927B6">
              <w:br w:type="page"/>
            </w:r>
            <w:r w:rsidRPr="000927B6">
              <w:rPr>
                <w:b/>
              </w:rPr>
              <w:t>III. Tiesību akta projekta ietekme uz valsts budžetu un pašvaldību budžetiem</w:t>
            </w:r>
          </w:p>
        </w:tc>
      </w:tr>
      <w:tr w:rsidR="00803D65" w:rsidRPr="000927B6" w14:paraId="17ABAA4F" w14:textId="77777777" w:rsidTr="00490D8C">
        <w:trPr>
          <w:trHeight w:val="20"/>
        </w:trPr>
        <w:tc>
          <w:tcPr>
            <w:tcW w:w="1951" w:type="dxa"/>
            <w:vMerge w:val="restart"/>
            <w:vAlign w:val="center"/>
          </w:tcPr>
          <w:p w14:paraId="17ABAA4C" w14:textId="77777777" w:rsidR="008F7BEC" w:rsidRPr="000927B6" w:rsidRDefault="008F7BEC" w:rsidP="008F7BEC">
            <w:pPr>
              <w:pStyle w:val="naisf"/>
              <w:spacing w:before="0" w:beforeAutospacing="0" w:after="0" w:afterAutospacing="0"/>
              <w:jc w:val="center"/>
            </w:pPr>
            <w:r w:rsidRPr="000927B6">
              <w:t>Rādītāji</w:t>
            </w:r>
          </w:p>
        </w:tc>
        <w:tc>
          <w:tcPr>
            <w:tcW w:w="2835" w:type="dxa"/>
            <w:gridSpan w:val="2"/>
            <w:vMerge w:val="restart"/>
            <w:vAlign w:val="center"/>
          </w:tcPr>
          <w:p w14:paraId="17ABAA4D" w14:textId="77777777" w:rsidR="008F7BEC" w:rsidRPr="000927B6" w:rsidRDefault="008F7BEC" w:rsidP="008F7BEC">
            <w:pPr>
              <w:pStyle w:val="naisf"/>
              <w:spacing w:before="0" w:beforeAutospacing="0" w:after="0" w:afterAutospacing="0"/>
              <w:jc w:val="center"/>
            </w:pPr>
            <w:r w:rsidRPr="000927B6">
              <w:t>201</w:t>
            </w:r>
            <w:r>
              <w:t>6</w:t>
            </w:r>
            <w:r w:rsidRPr="000927B6">
              <w:t>. gads</w:t>
            </w:r>
          </w:p>
        </w:tc>
        <w:tc>
          <w:tcPr>
            <w:tcW w:w="5000" w:type="dxa"/>
            <w:gridSpan w:val="3"/>
            <w:vAlign w:val="center"/>
          </w:tcPr>
          <w:p w14:paraId="17ABAA4E" w14:textId="77777777" w:rsidR="008F7BEC" w:rsidRPr="000927B6" w:rsidRDefault="008F7BEC" w:rsidP="008F7BEC">
            <w:pPr>
              <w:pStyle w:val="naisf"/>
              <w:spacing w:before="0" w:beforeAutospacing="0" w:after="0" w:afterAutospacing="0"/>
              <w:jc w:val="center"/>
              <w:rPr>
                <w:i/>
              </w:rPr>
            </w:pPr>
            <w:r w:rsidRPr="000927B6">
              <w:t>Turpmākie trīs gadi (</w:t>
            </w:r>
            <w:proofErr w:type="spellStart"/>
            <w:r w:rsidRPr="000927B6">
              <w:rPr>
                <w:i/>
              </w:rPr>
              <w:t>euro</w:t>
            </w:r>
            <w:proofErr w:type="spellEnd"/>
            <w:r w:rsidRPr="000927B6">
              <w:t>)</w:t>
            </w:r>
          </w:p>
        </w:tc>
      </w:tr>
      <w:tr w:rsidR="00803D65" w:rsidRPr="000927B6" w14:paraId="17ABAA55" w14:textId="77777777" w:rsidTr="00490D8C">
        <w:trPr>
          <w:trHeight w:val="20"/>
        </w:trPr>
        <w:tc>
          <w:tcPr>
            <w:tcW w:w="1951" w:type="dxa"/>
            <w:vMerge/>
            <w:vAlign w:val="center"/>
          </w:tcPr>
          <w:p w14:paraId="17ABAA50" w14:textId="77777777" w:rsidR="008F7BEC" w:rsidRPr="000927B6" w:rsidRDefault="008F7BEC" w:rsidP="008F7BEC">
            <w:pPr>
              <w:pStyle w:val="naisf"/>
              <w:spacing w:before="0" w:beforeAutospacing="0" w:after="0" w:afterAutospacing="0"/>
              <w:jc w:val="center"/>
              <w:rPr>
                <w:i/>
              </w:rPr>
            </w:pPr>
          </w:p>
        </w:tc>
        <w:tc>
          <w:tcPr>
            <w:tcW w:w="2835" w:type="dxa"/>
            <w:gridSpan w:val="2"/>
            <w:vMerge/>
            <w:vAlign w:val="center"/>
          </w:tcPr>
          <w:p w14:paraId="17ABAA51" w14:textId="77777777" w:rsidR="008F7BEC" w:rsidRPr="000927B6" w:rsidRDefault="008F7BEC" w:rsidP="008F7BEC">
            <w:pPr>
              <w:pStyle w:val="naisf"/>
              <w:spacing w:before="0" w:beforeAutospacing="0" w:after="0" w:afterAutospacing="0"/>
              <w:jc w:val="center"/>
              <w:rPr>
                <w:i/>
              </w:rPr>
            </w:pPr>
          </w:p>
        </w:tc>
        <w:tc>
          <w:tcPr>
            <w:tcW w:w="1701" w:type="dxa"/>
            <w:vAlign w:val="center"/>
          </w:tcPr>
          <w:p w14:paraId="17ABAA52" w14:textId="77777777" w:rsidR="008F7BEC" w:rsidRPr="000927B6" w:rsidRDefault="008F7BEC" w:rsidP="008F7BEC">
            <w:pPr>
              <w:pStyle w:val="naisf"/>
              <w:spacing w:before="0" w:beforeAutospacing="0" w:after="0" w:afterAutospacing="0"/>
              <w:jc w:val="center"/>
              <w:rPr>
                <w:i/>
              </w:rPr>
            </w:pPr>
            <w:r w:rsidRPr="000927B6">
              <w:t>201</w:t>
            </w:r>
            <w:r>
              <w:t>7</w:t>
            </w:r>
            <w:r w:rsidRPr="000927B6">
              <w:t>.</w:t>
            </w:r>
            <w:r w:rsidRPr="000927B6">
              <w:rPr>
                <w:bCs/>
              </w:rPr>
              <w:t> gad</w:t>
            </w:r>
            <w:r w:rsidRPr="000927B6">
              <w:t>s</w:t>
            </w:r>
          </w:p>
        </w:tc>
        <w:tc>
          <w:tcPr>
            <w:tcW w:w="1701" w:type="dxa"/>
            <w:vAlign w:val="center"/>
          </w:tcPr>
          <w:p w14:paraId="17ABAA53" w14:textId="77777777" w:rsidR="008F7BEC" w:rsidRPr="000927B6" w:rsidRDefault="008F7BEC" w:rsidP="008F7BEC">
            <w:pPr>
              <w:pStyle w:val="naisf"/>
              <w:spacing w:before="0" w:beforeAutospacing="0" w:after="0" w:afterAutospacing="0"/>
              <w:jc w:val="center"/>
              <w:rPr>
                <w:i/>
              </w:rPr>
            </w:pPr>
            <w:r w:rsidRPr="000927B6">
              <w:t>201</w:t>
            </w:r>
            <w:r>
              <w:t>8</w:t>
            </w:r>
            <w:r w:rsidRPr="000927B6">
              <w:t>.</w:t>
            </w:r>
            <w:r w:rsidRPr="000927B6">
              <w:rPr>
                <w:bCs/>
              </w:rPr>
              <w:t> gad</w:t>
            </w:r>
            <w:r w:rsidRPr="000927B6">
              <w:t>s</w:t>
            </w:r>
          </w:p>
        </w:tc>
        <w:tc>
          <w:tcPr>
            <w:tcW w:w="1598" w:type="dxa"/>
            <w:vAlign w:val="center"/>
          </w:tcPr>
          <w:p w14:paraId="17ABAA54" w14:textId="77777777" w:rsidR="008F7BEC" w:rsidRPr="000927B6" w:rsidRDefault="008F7BEC" w:rsidP="008F7BEC">
            <w:pPr>
              <w:pStyle w:val="naisf"/>
              <w:spacing w:before="0" w:beforeAutospacing="0" w:after="0" w:afterAutospacing="0"/>
              <w:jc w:val="center"/>
              <w:rPr>
                <w:i/>
              </w:rPr>
            </w:pPr>
            <w:r w:rsidRPr="000927B6">
              <w:t>201</w:t>
            </w:r>
            <w:r>
              <w:t>9</w:t>
            </w:r>
            <w:r w:rsidRPr="000927B6">
              <w:t>.</w:t>
            </w:r>
            <w:r w:rsidRPr="000927B6">
              <w:rPr>
                <w:bCs/>
              </w:rPr>
              <w:t> gad</w:t>
            </w:r>
            <w:r w:rsidRPr="000927B6">
              <w:t>s</w:t>
            </w:r>
          </w:p>
        </w:tc>
      </w:tr>
      <w:tr w:rsidR="00803D65" w:rsidRPr="000927B6" w14:paraId="17ABAA5C" w14:textId="77777777" w:rsidTr="00490D8C">
        <w:trPr>
          <w:trHeight w:val="20"/>
        </w:trPr>
        <w:tc>
          <w:tcPr>
            <w:tcW w:w="1951" w:type="dxa"/>
            <w:vMerge/>
            <w:vAlign w:val="center"/>
          </w:tcPr>
          <w:p w14:paraId="17ABAA56" w14:textId="77777777" w:rsidR="008F7BEC" w:rsidRPr="000927B6" w:rsidRDefault="008F7BEC" w:rsidP="008F7BEC">
            <w:pPr>
              <w:pStyle w:val="naisf"/>
              <w:spacing w:before="0" w:beforeAutospacing="0" w:after="0" w:afterAutospacing="0"/>
              <w:jc w:val="center"/>
              <w:rPr>
                <w:b/>
                <w:i/>
              </w:rPr>
            </w:pPr>
          </w:p>
        </w:tc>
        <w:tc>
          <w:tcPr>
            <w:tcW w:w="1134" w:type="dxa"/>
            <w:vAlign w:val="center"/>
          </w:tcPr>
          <w:p w14:paraId="17ABAA57" w14:textId="77777777" w:rsidR="008F7BEC" w:rsidRPr="000927B6" w:rsidRDefault="008F7BEC" w:rsidP="008F7BEC">
            <w:pPr>
              <w:pStyle w:val="naisf"/>
              <w:spacing w:before="0" w:beforeAutospacing="0" w:after="0" w:afterAutospacing="0"/>
              <w:jc w:val="center"/>
              <w:rPr>
                <w:b/>
                <w:i/>
              </w:rPr>
            </w:pPr>
            <w:r w:rsidRPr="000927B6">
              <w:t>saskaņā ar valsts budžetu kārtējam gadam</w:t>
            </w:r>
          </w:p>
        </w:tc>
        <w:tc>
          <w:tcPr>
            <w:tcW w:w="1701" w:type="dxa"/>
            <w:vAlign w:val="center"/>
          </w:tcPr>
          <w:p w14:paraId="17ABAA58" w14:textId="77777777" w:rsidR="008F7BEC" w:rsidRPr="000927B6" w:rsidRDefault="008F7BEC" w:rsidP="008F7BEC">
            <w:pPr>
              <w:pStyle w:val="naisf"/>
              <w:spacing w:before="0" w:beforeAutospacing="0" w:after="0" w:afterAutospacing="0"/>
              <w:jc w:val="center"/>
              <w:rPr>
                <w:b/>
                <w:i/>
                <w:spacing w:val="-6"/>
              </w:rPr>
            </w:pPr>
            <w:r w:rsidRPr="000927B6">
              <w:rPr>
                <w:spacing w:val="-6"/>
              </w:rPr>
              <w:t>izmaiņas kārtējā gadā, salīdzinot ar valsts budžetu kārtējam gadam</w:t>
            </w:r>
          </w:p>
        </w:tc>
        <w:tc>
          <w:tcPr>
            <w:tcW w:w="1701" w:type="dxa"/>
            <w:vAlign w:val="center"/>
          </w:tcPr>
          <w:p w14:paraId="17ABAA59" w14:textId="77777777" w:rsidR="008F7BEC" w:rsidRPr="000927B6" w:rsidRDefault="008F7BEC" w:rsidP="008F7BEC">
            <w:pPr>
              <w:pStyle w:val="naisf"/>
              <w:spacing w:before="0" w:beforeAutospacing="0" w:after="0" w:afterAutospacing="0"/>
              <w:jc w:val="center"/>
              <w:rPr>
                <w:b/>
                <w:i/>
              </w:rPr>
            </w:pPr>
            <w:r w:rsidRPr="000927B6">
              <w:t>izmaiņas, salīdzinot ar kārtējo (n) gadu</w:t>
            </w:r>
          </w:p>
        </w:tc>
        <w:tc>
          <w:tcPr>
            <w:tcW w:w="1701" w:type="dxa"/>
            <w:vAlign w:val="center"/>
          </w:tcPr>
          <w:p w14:paraId="17ABAA5A" w14:textId="77777777" w:rsidR="008F7BEC" w:rsidRPr="000927B6" w:rsidRDefault="008F7BEC" w:rsidP="008F7BEC">
            <w:pPr>
              <w:pStyle w:val="naisf"/>
              <w:spacing w:before="0" w:beforeAutospacing="0" w:after="0" w:afterAutospacing="0"/>
              <w:jc w:val="center"/>
              <w:rPr>
                <w:b/>
                <w:i/>
              </w:rPr>
            </w:pPr>
            <w:r w:rsidRPr="000927B6">
              <w:t>izmaiņas, salīdzinot ar kārtējo (n) gadu</w:t>
            </w:r>
          </w:p>
        </w:tc>
        <w:tc>
          <w:tcPr>
            <w:tcW w:w="1598" w:type="dxa"/>
            <w:vAlign w:val="center"/>
          </w:tcPr>
          <w:p w14:paraId="17ABAA5B" w14:textId="77777777" w:rsidR="008F7BEC" w:rsidRPr="000927B6" w:rsidRDefault="008F7BEC" w:rsidP="008F7BEC">
            <w:pPr>
              <w:pStyle w:val="naisf"/>
              <w:spacing w:before="0" w:beforeAutospacing="0" w:after="0" w:afterAutospacing="0"/>
              <w:jc w:val="center"/>
              <w:rPr>
                <w:b/>
                <w:i/>
              </w:rPr>
            </w:pPr>
            <w:r w:rsidRPr="000927B6">
              <w:t>izmaiņas, salīdzinot ar kārtējo (n) gadu</w:t>
            </w:r>
          </w:p>
        </w:tc>
      </w:tr>
      <w:tr w:rsidR="00803D65" w:rsidRPr="000927B6" w14:paraId="17ABAA63" w14:textId="77777777" w:rsidTr="00490D8C">
        <w:trPr>
          <w:trHeight w:val="20"/>
        </w:trPr>
        <w:tc>
          <w:tcPr>
            <w:tcW w:w="1951" w:type="dxa"/>
            <w:vAlign w:val="center"/>
          </w:tcPr>
          <w:p w14:paraId="17ABAA5D" w14:textId="77777777" w:rsidR="008F7BEC" w:rsidRPr="000927B6" w:rsidRDefault="008F7BEC" w:rsidP="008F7BEC">
            <w:pPr>
              <w:pStyle w:val="naisf"/>
              <w:spacing w:before="0" w:beforeAutospacing="0" w:after="0" w:afterAutospacing="0"/>
              <w:jc w:val="center"/>
              <w:rPr>
                <w:sz w:val="22"/>
              </w:rPr>
            </w:pPr>
            <w:r w:rsidRPr="000927B6">
              <w:rPr>
                <w:sz w:val="22"/>
              </w:rPr>
              <w:t>1</w:t>
            </w:r>
          </w:p>
        </w:tc>
        <w:tc>
          <w:tcPr>
            <w:tcW w:w="1134" w:type="dxa"/>
            <w:vAlign w:val="center"/>
          </w:tcPr>
          <w:p w14:paraId="17ABAA5E" w14:textId="77777777" w:rsidR="008F7BEC" w:rsidRPr="000927B6" w:rsidRDefault="008F7BEC" w:rsidP="008F7BEC">
            <w:pPr>
              <w:pStyle w:val="naisf"/>
              <w:spacing w:before="0" w:beforeAutospacing="0" w:after="0" w:afterAutospacing="0"/>
              <w:jc w:val="center"/>
              <w:rPr>
                <w:sz w:val="22"/>
              </w:rPr>
            </w:pPr>
            <w:r w:rsidRPr="000927B6">
              <w:rPr>
                <w:sz w:val="22"/>
              </w:rPr>
              <w:t>2</w:t>
            </w:r>
          </w:p>
        </w:tc>
        <w:tc>
          <w:tcPr>
            <w:tcW w:w="1701" w:type="dxa"/>
            <w:vAlign w:val="center"/>
          </w:tcPr>
          <w:p w14:paraId="17ABAA5F" w14:textId="77777777" w:rsidR="008F7BEC" w:rsidRPr="000927B6" w:rsidRDefault="008F7BEC" w:rsidP="008F7BEC">
            <w:pPr>
              <w:pStyle w:val="naisf"/>
              <w:spacing w:before="0" w:beforeAutospacing="0" w:after="0" w:afterAutospacing="0"/>
              <w:jc w:val="center"/>
              <w:rPr>
                <w:sz w:val="22"/>
              </w:rPr>
            </w:pPr>
            <w:r w:rsidRPr="000927B6">
              <w:rPr>
                <w:sz w:val="22"/>
              </w:rPr>
              <w:t>3</w:t>
            </w:r>
          </w:p>
        </w:tc>
        <w:tc>
          <w:tcPr>
            <w:tcW w:w="1701" w:type="dxa"/>
            <w:vAlign w:val="center"/>
          </w:tcPr>
          <w:p w14:paraId="17ABAA60" w14:textId="77777777" w:rsidR="008F7BEC" w:rsidRPr="000927B6" w:rsidRDefault="008F7BEC" w:rsidP="008F7BEC">
            <w:pPr>
              <w:pStyle w:val="naisf"/>
              <w:spacing w:before="0" w:beforeAutospacing="0" w:after="0" w:afterAutospacing="0"/>
              <w:jc w:val="center"/>
              <w:rPr>
                <w:sz w:val="22"/>
              </w:rPr>
            </w:pPr>
            <w:r w:rsidRPr="000927B6">
              <w:rPr>
                <w:sz w:val="22"/>
              </w:rPr>
              <w:t>4</w:t>
            </w:r>
          </w:p>
        </w:tc>
        <w:tc>
          <w:tcPr>
            <w:tcW w:w="1701" w:type="dxa"/>
            <w:vAlign w:val="center"/>
          </w:tcPr>
          <w:p w14:paraId="17ABAA61" w14:textId="77777777" w:rsidR="008F7BEC" w:rsidRPr="000927B6" w:rsidRDefault="008F7BEC" w:rsidP="008F7BEC">
            <w:pPr>
              <w:pStyle w:val="naisf"/>
              <w:spacing w:before="0" w:beforeAutospacing="0" w:after="0" w:afterAutospacing="0"/>
              <w:jc w:val="center"/>
              <w:rPr>
                <w:sz w:val="22"/>
              </w:rPr>
            </w:pPr>
            <w:r w:rsidRPr="000927B6">
              <w:rPr>
                <w:sz w:val="22"/>
              </w:rPr>
              <w:t>5</w:t>
            </w:r>
          </w:p>
        </w:tc>
        <w:tc>
          <w:tcPr>
            <w:tcW w:w="1598" w:type="dxa"/>
            <w:vAlign w:val="center"/>
          </w:tcPr>
          <w:p w14:paraId="17ABAA62" w14:textId="77777777" w:rsidR="008F7BEC" w:rsidRPr="000927B6" w:rsidRDefault="008F7BEC" w:rsidP="008F7BEC">
            <w:pPr>
              <w:pStyle w:val="naisf"/>
              <w:spacing w:before="0" w:beforeAutospacing="0" w:after="0" w:afterAutospacing="0"/>
              <w:jc w:val="center"/>
              <w:rPr>
                <w:sz w:val="22"/>
              </w:rPr>
            </w:pPr>
            <w:r w:rsidRPr="000927B6">
              <w:rPr>
                <w:sz w:val="22"/>
              </w:rPr>
              <w:t>6</w:t>
            </w:r>
          </w:p>
        </w:tc>
      </w:tr>
      <w:tr w:rsidR="00803D65" w:rsidRPr="000927B6" w14:paraId="17ABAA6B" w14:textId="77777777" w:rsidTr="00490D8C">
        <w:trPr>
          <w:trHeight w:val="20"/>
        </w:trPr>
        <w:tc>
          <w:tcPr>
            <w:tcW w:w="1951" w:type="dxa"/>
          </w:tcPr>
          <w:p w14:paraId="17ABAA64" w14:textId="77777777" w:rsidR="008F7BEC" w:rsidRPr="000927B6" w:rsidRDefault="008F7BEC" w:rsidP="008F7BEC">
            <w:pPr>
              <w:pStyle w:val="naisf"/>
              <w:spacing w:before="0" w:beforeAutospacing="0" w:after="0" w:afterAutospacing="0"/>
              <w:rPr>
                <w:i/>
                <w:spacing w:val="-4"/>
              </w:rPr>
            </w:pPr>
            <w:r w:rsidRPr="000927B6">
              <w:rPr>
                <w:spacing w:val="-4"/>
              </w:rPr>
              <w:t>1. Budžeta ieņēmumi</w:t>
            </w:r>
          </w:p>
        </w:tc>
        <w:tc>
          <w:tcPr>
            <w:tcW w:w="1134" w:type="dxa"/>
          </w:tcPr>
          <w:p w14:paraId="17ABAA65" w14:textId="77777777" w:rsidR="008F7BEC" w:rsidRPr="000927B6" w:rsidRDefault="008F7BEC" w:rsidP="008F7BEC">
            <w:pPr>
              <w:pStyle w:val="naisf"/>
              <w:spacing w:before="0" w:beforeAutospacing="0" w:after="0" w:afterAutospacing="0"/>
              <w:jc w:val="center"/>
              <w:rPr>
                <w:spacing w:val="-4"/>
              </w:rPr>
            </w:pPr>
            <w:r w:rsidRPr="000927B6">
              <w:rPr>
                <w:spacing w:val="-4"/>
              </w:rPr>
              <w:t>0</w:t>
            </w:r>
          </w:p>
        </w:tc>
        <w:tc>
          <w:tcPr>
            <w:tcW w:w="1701" w:type="dxa"/>
          </w:tcPr>
          <w:p w14:paraId="17ABAA66" w14:textId="77777777" w:rsidR="00803D65" w:rsidRPr="00FE6358" w:rsidRDefault="00803D65" w:rsidP="00FE6358">
            <w:pPr>
              <w:pStyle w:val="naisf"/>
              <w:spacing w:before="0" w:beforeAutospacing="0" w:after="0" w:afterAutospacing="0"/>
              <w:ind w:left="-227" w:right="284"/>
              <w:jc w:val="center"/>
              <w:rPr>
                <w:spacing w:val="-4"/>
              </w:rPr>
            </w:pPr>
            <w:r w:rsidRPr="00FE6358">
              <w:rPr>
                <w:spacing w:val="-4"/>
              </w:rPr>
              <w:t>790 011</w:t>
            </w:r>
          </w:p>
        </w:tc>
        <w:tc>
          <w:tcPr>
            <w:tcW w:w="1701" w:type="dxa"/>
          </w:tcPr>
          <w:p w14:paraId="17ABAA67" w14:textId="77777777" w:rsidR="00803D65" w:rsidRPr="00FE6358" w:rsidRDefault="00F553B3" w:rsidP="00FE6358">
            <w:pPr>
              <w:pStyle w:val="naisf"/>
              <w:spacing w:before="0" w:beforeAutospacing="0" w:after="0" w:afterAutospacing="0"/>
              <w:ind w:left="-113" w:right="57"/>
              <w:jc w:val="center"/>
              <w:rPr>
                <w:spacing w:val="-4"/>
              </w:rPr>
            </w:pPr>
            <w:r w:rsidRPr="00FE6358">
              <w:rPr>
                <w:spacing w:val="-4"/>
              </w:rPr>
              <w:t>1 016 7</w:t>
            </w:r>
            <w:r w:rsidR="00803D65" w:rsidRPr="00FE6358">
              <w:rPr>
                <w:spacing w:val="-4"/>
              </w:rPr>
              <w:t>26</w:t>
            </w:r>
          </w:p>
        </w:tc>
        <w:tc>
          <w:tcPr>
            <w:tcW w:w="1701" w:type="dxa"/>
          </w:tcPr>
          <w:p w14:paraId="17ABAA68" w14:textId="77777777" w:rsidR="00497C85" w:rsidRPr="00FE6358" w:rsidRDefault="00497C85" w:rsidP="00FE6358">
            <w:pPr>
              <w:pStyle w:val="naisf"/>
              <w:spacing w:before="0" w:beforeAutospacing="0" w:after="0" w:afterAutospacing="0"/>
              <w:ind w:left="-113" w:right="57"/>
              <w:jc w:val="center"/>
              <w:rPr>
                <w:spacing w:val="-4"/>
              </w:rPr>
            </w:pPr>
            <w:r w:rsidRPr="00FE6358">
              <w:rPr>
                <w:spacing w:val="-4"/>
              </w:rPr>
              <w:t>1 </w:t>
            </w:r>
            <w:r w:rsidR="00F553B3" w:rsidRPr="00FE6358">
              <w:rPr>
                <w:spacing w:val="-4"/>
              </w:rPr>
              <w:t>794</w:t>
            </w:r>
            <w:r w:rsidRPr="00FE6358">
              <w:rPr>
                <w:spacing w:val="-4"/>
              </w:rPr>
              <w:t xml:space="preserve"> </w:t>
            </w:r>
            <w:r w:rsidR="00F553B3" w:rsidRPr="00FE6358">
              <w:rPr>
                <w:spacing w:val="-4"/>
              </w:rPr>
              <w:t>3</w:t>
            </w:r>
            <w:r w:rsidRPr="00FE6358">
              <w:rPr>
                <w:spacing w:val="-4"/>
              </w:rPr>
              <w:t>48</w:t>
            </w:r>
          </w:p>
          <w:p w14:paraId="17ABAA69" w14:textId="77777777" w:rsidR="00803D65" w:rsidRPr="00FE6358" w:rsidRDefault="00803D65" w:rsidP="00FE6358">
            <w:pPr>
              <w:pStyle w:val="naisf"/>
              <w:spacing w:before="0" w:beforeAutospacing="0" w:after="0" w:afterAutospacing="0"/>
              <w:ind w:left="-113" w:right="57"/>
              <w:jc w:val="center"/>
              <w:rPr>
                <w:spacing w:val="-4"/>
              </w:rPr>
            </w:pPr>
          </w:p>
        </w:tc>
        <w:tc>
          <w:tcPr>
            <w:tcW w:w="1598" w:type="dxa"/>
          </w:tcPr>
          <w:p w14:paraId="17ABAA6A" w14:textId="77777777" w:rsidR="00497C85" w:rsidRPr="00FE6358" w:rsidRDefault="00497C85" w:rsidP="00FE6358">
            <w:pPr>
              <w:pStyle w:val="naisf"/>
              <w:spacing w:before="0" w:beforeAutospacing="0" w:after="0" w:afterAutospacing="0"/>
              <w:ind w:left="-113" w:right="57"/>
              <w:jc w:val="center"/>
              <w:rPr>
                <w:spacing w:val="-4"/>
              </w:rPr>
            </w:pPr>
            <w:r w:rsidRPr="00FE6358">
              <w:rPr>
                <w:spacing w:val="-4"/>
              </w:rPr>
              <w:t>1 505 317</w:t>
            </w:r>
          </w:p>
        </w:tc>
      </w:tr>
      <w:tr w:rsidR="00803D65" w:rsidRPr="000927B6" w14:paraId="17ABAA72" w14:textId="77777777" w:rsidTr="00490D8C">
        <w:trPr>
          <w:trHeight w:val="20"/>
        </w:trPr>
        <w:tc>
          <w:tcPr>
            <w:tcW w:w="1951" w:type="dxa"/>
          </w:tcPr>
          <w:p w14:paraId="17ABAA6C" w14:textId="77777777" w:rsidR="008F7BEC" w:rsidRPr="000927B6" w:rsidRDefault="008F7BEC" w:rsidP="008F7BEC">
            <w:pPr>
              <w:rPr>
                <w:spacing w:val="-4"/>
                <w:sz w:val="24"/>
                <w:szCs w:val="24"/>
              </w:rPr>
            </w:pPr>
            <w:r w:rsidRPr="000927B6">
              <w:rPr>
                <w:spacing w:val="-4"/>
                <w:sz w:val="24"/>
                <w:szCs w:val="24"/>
              </w:rPr>
              <w:t>2. Budžeta izdevumi</w:t>
            </w:r>
          </w:p>
        </w:tc>
        <w:tc>
          <w:tcPr>
            <w:tcW w:w="1134" w:type="dxa"/>
          </w:tcPr>
          <w:p w14:paraId="17ABAA6D" w14:textId="77777777" w:rsidR="008F7BEC" w:rsidRPr="000927B6" w:rsidRDefault="008F7BEC" w:rsidP="008F7BEC">
            <w:pPr>
              <w:pStyle w:val="naisf"/>
              <w:spacing w:before="0" w:beforeAutospacing="0" w:after="0" w:afterAutospacing="0"/>
              <w:jc w:val="center"/>
              <w:rPr>
                <w:spacing w:val="-4"/>
              </w:rPr>
            </w:pPr>
            <w:r w:rsidRPr="000927B6">
              <w:rPr>
                <w:spacing w:val="-4"/>
              </w:rPr>
              <w:t>0</w:t>
            </w:r>
          </w:p>
        </w:tc>
        <w:tc>
          <w:tcPr>
            <w:tcW w:w="1701" w:type="dxa"/>
          </w:tcPr>
          <w:p w14:paraId="17ABAA6E" w14:textId="77777777" w:rsidR="00803D65" w:rsidRPr="00FE6358" w:rsidRDefault="00803D65" w:rsidP="00FE6358">
            <w:pPr>
              <w:pStyle w:val="naisf"/>
              <w:spacing w:before="0" w:beforeAutospacing="0" w:after="0" w:afterAutospacing="0"/>
              <w:ind w:left="-227" w:right="284"/>
              <w:jc w:val="center"/>
              <w:rPr>
                <w:spacing w:val="-4"/>
              </w:rPr>
            </w:pPr>
            <w:r w:rsidRPr="00FE6358">
              <w:rPr>
                <w:spacing w:val="-4"/>
              </w:rPr>
              <w:t>929 424</w:t>
            </w:r>
          </w:p>
        </w:tc>
        <w:tc>
          <w:tcPr>
            <w:tcW w:w="1701" w:type="dxa"/>
          </w:tcPr>
          <w:p w14:paraId="17ABAA6F" w14:textId="77777777" w:rsidR="00803D65" w:rsidRPr="00FE6358" w:rsidRDefault="00803D65" w:rsidP="00FE6358">
            <w:pPr>
              <w:pStyle w:val="naisf"/>
              <w:spacing w:before="0" w:beforeAutospacing="0" w:after="0" w:afterAutospacing="0"/>
              <w:ind w:left="-113" w:right="57"/>
              <w:jc w:val="center"/>
              <w:rPr>
                <w:spacing w:val="-4"/>
              </w:rPr>
            </w:pPr>
            <w:r w:rsidRPr="00FE6358">
              <w:rPr>
                <w:spacing w:val="-4"/>
              </w:rPr>
              <w:t>1 </w:t>
            </w:r>
            <w:r w:rsidR="00F553B3" w:rsidRPr="00FE6358">
              <w:rPr>
                <w:spacing w:val="-4"/>
              </w:rPr>
              <w:t>19</w:t>
            </w:r>
            <w:r w:rsidRPr="00FE6358">
              <w:rPr>
                <w:spacing w:val="-4"/>
              </w:rPr>
              <w:t>6 149</w:t>
            </w:r>
          </w:p>
        </w:tc>
        <w:tc>
          <w:tcPr>
            <w:tcW w:w="1701" w:type="dxa"/>
          </w:tcPr>
          <w:p w14:paraId="17ABAA70" w14:textId="77777777" w:rsidR="00497C85" w:rsidRPr="00FE6358" w:rsidRDefault="00497C85" w:rsidP="00FE6358">
            <w:pPr>
              <w:pStyle w:val="naisf"/>
              <w:spacing w:before="0" w:beforeAutospacing="0" w:after="0" w:afterAutospacing="0"/>
              <w:ind w:left="-113" w:right="57"/>
              <w:jc w:val="center"/>
              <w:rPr>
                <w:spacing w:val="-4"/>
              </w:rPr>
            </w:pPr>
            <w:r w:rsidRPr="00FE6358">
              <w:rPr>
                <w:spacing w:val="-4"/>
              </w:rPr>
              <w:t>2 </w:t>
            </w:r>
            <w:r w:rsidR="00F553B3" w:rsidRPr="00FE6358">
              <w:rPr>
                <w:spacing w:val="-4"/>
              </w:rPr>
              <w:t>11</w:t>
            </w:r>
            <w:r w:rsidRPr="00FE6358">
              <w:rPr>
                <w:spacing w:val="-4"/>
              </w:rPr>
              <w:t>0 998</w:t>
            </w:r>
          </w:p>
        </w:tc>
        <w:tc>
          <w:tcPr>
            <w:tcW w:w="1598" w:type="dxa"/>
          </w:tcPr>
          <w:p w14:paraId="17ABAA71" w14:textId="77777777" w:rsidR="00497C85" w:rsidRPr="00FE6358" w:rsidRDefault="00497C85" w:rsidP="00FE6358">
            <w:pPr>
              <w:pStyle w:val="naisf"/>
              <w:spacing w:before="0" w:beforeAutospacing="0" w:after="0" w:afterAutospacing="0"/>
              <w:ind w:right="57"/>
              <w:jc w:val="center"/>
              <w:rPr>
                <w:spacing w:val="-4"/>
              </w:rPr>
            </w:pPr>
            <w:r w:rsidRPr="00FE6358">
              <w:rPr>
                <w:spacing w:val="-4"/>
              </w:rPr>
              <w:t>1 597 432</w:t>
            </w:r>
          </w:p>
        </w:tc>
      </w:tr>
      <w:tr w:rsidR="00803D65" w:rsidRPr="000927B6" w14:paraId="17ABAA79" w14:textId="77777777" w:rsidTr="00490D8C">
        <w:trPr>
          <w:trHeight w:val="20"/>
        </w:trPr>
        <w:tc>
          <w:tcPr>
            <w:tcW w:w="1951" w:type="dxa"/>
          </w:tcPr>
          <w:p w14:paraId="17ABAA73" w14:textId="77777777" w:rsidR="008F7BEC" w:rsidRPr="000927B6" w:rsidRDefault="008F7BEC" w:rsidP="008F7BEC">
            <w:pPr>
              <w:rPr>
                <w:spacing w:val="-4"/>
                <w:sz w:val="24"/>
                <w:szCs w:val="24"/>
              </w:rPr>
            </w:pPr>
            <w:r w:rsidRPr="000927B6">
              <w:rPr>
                <w:spacing w:val="-4"/>
                <w:sz w:val="24"/>
                <w:szCs w:val="24"/>
              </w:rPr>
              <w:t>3. Finansiālā ietekme</w:t>
            </w:r>
          </w:p>
        </w:tc>
        <w:tc>
          <w:tcPr>
            <w:tcW w:w="1134" w:type="dxa"/>
            <w:shd w:val="clear" w:color="auto" w:fill="auto"/>
          </w:tcPr>
          <w:p w14:paraId="17ABAA74" w14:textId="77777777" w:rsidR="008F7BEC" w:rsidRPr="000927B6" w:rsidRDefault="008F7BEC" w:rsidP="008F7BEC">
            <w:pPr>
              <w:pStyle w:val="naisf"/>
              <w:spacing w:before="0" w:beforeAutospacing="0" w:after="0" w:afterAutospacing="0"/>
              <w:jc w:val="center"/>
              <w:rPr>
                <w:spacing w:val="-4"/>
              </w:rPr>
            </w:pPr>
            <w:r w:rsidRPr="000927B6">
              <w:rPr>
                <w:spacing w:val="-4"/>
              </w:rPr>
              <w:t>0</w:t>
            </w:r>
          </w:p>
        </w:tc>
        <w:tc>
          <w:tcPr>
            <w:tcW w:w="1701" w:type="dxa"/>
            <w:shd w:val="clear" w:color="auto" w:fill="auto"/>
          </w:tcPr>
          <w:p w14:paraId="17ABAA75" w14:textId="1A16A086" w:rsidR="00803D65" w:rsidRPr="00FE6358" w:rsidRDefault="00490D8C" w:rsidP="00FE6358">
            <w:pPr>
              <w:pStyle w:val="naisf"/>
              <w:spacing w:before="0" w:beforeAutospacing="0" w:after="0" w:afterAutospacing="0"/>
              <w:ind w:left="-227" w:right="284"/>
              <w:jc w:val="center"/>
              <w:rPr>
                <w:spacing w:val="-4"/>
              </w:rPr>
            </w:pPr>
            <w:r>
              <w:rPr>
                <w:spacing w:val="-4"/>
              </w:rPr>
              <w:t>–</w:t>
            </w:r>
            <w:r w:rsidR="00803D65" w:rsidRPr="00FE6358">
              <w:rPr>
                <w:spacing w:val="-4"/>
              </w:rPr>
              <w:t>139 413</w:t>
            </w:r>
          </w:p>
        </w:tc>
        <w:tc>
          <w:tcPr>
            <w:tcW w:w="1701" w:type="dxa"/>
          </w:tcPr>
          <w:p w14:paraId="17ABAA76" w14:textId="4C903586" w:rsidR="00803D65" w:rsidRPr="00FE6358" w:rsidRDefault="00490D8C" w:rsidP="00FE6358">
            <w:pPr>
              <w:pStyle w:val="naisf"/>
              <w:spacing w:before="0" w:beforeAutospacing="0" w:after="0" w:afterAutospacing="0"/>
              <w:ind w:left="-113" w:right="57"/>
              <w:jc w:val="center"/>
              <w:rPr>
                <w:spacing w:val="-4"/>
              </w:rPr>
            </w:pPr>
            <w:r>
              <w:rPr>
                <w:spacing w:val="-4"/>
              </w:rPr>
              <w:t>–</w:t>
            </w:r>
            <w:r w:rsidR="00F553B3" w:rsidRPr="00FE6358">
              <w:rPr>
                <w:spacing w:val="-4"/>
              </w:rPr>
              <w:t>179</w:t>
            </w:r>
            <w:r w:rsidR="00803D65" w:rsidRPr="00FE6358">
              <w:rPr>
                <w:spacing w:val="-4"/>
              </w:rPr>
              <w:t xml:space="preserve"> </w:t>
            </w:r>
            <w:r w:rsidR="00F553B3" w:rsidRPr="00FE6358">
              <w:rPr>
                <w:spacing w:val="-4"/>
              </w:rPr>
              <w:t>4</w:t>
            </w:r>
            <w:r w:rsidR="00803D65" w:rsidRPr="00FE6358">
              <w:rPr>
                <w:spacing w:val="-4"/>
              </w:rPr>
              <w:t>23</w:t>
            </w:r>
          </w:p>
        </w:tc>
        <w:tc>
          <w:tcPr>
            <w:tcW w:w="1701" w:type="dxa"/>
          </w:tcPr>
          <w:p w14:paraId="17ABAA77" w14:textId="78F3D0EA" w:rsidR="00497C85" w:rsidRPr="00FE6358" w:rsidRDefault="00490D8C" w:rsidP="00FE6358">
            <w:pPr>
              <w:pStyle w:val="naisf"/>
              <w:spacing w:before="0" w:beforeAutospacing="0" w:after="0" w:afterAutospacing="0"/>
              <w:ind w:left="-113" w:right="57"/>
              <w:jc w:val="center"/>
              <w:rPr>
                <w:spacing w:val="-4"/>
              </w:rPr>
            </w:pPr>
            <w:r>
              <w:rPr>
                <w:spacing w:val="-4"/>
              </w:rPr>
              <w:t>–</w:t>
            </w:r>
            <w:r w:rsidR="00497C85" w:rsidRPr="00FE6358">
              <w:rPr>
                <w:spacing w:val="-4"/>
              </w:rPr>
              <w:t>3</w:t>
            </w:r>
            <w:r w:rsidR="00F553B3" w:rsidRPr="00FE6358">
              <w:rPr>
                <w:spacing w:val="-4"/>
              </w:rPr>
              <w:t>16 6</w:t>
            </w:r>
            <w:r w:rsidR="00497C85" w:rsidRPr="00FE6358">
              <w:rPr>
                <w:spacing w:val="-4"/>
              </w:rPr>
              <w:t>50</w:t>
            </w:r>
          </w:p>
        </w:tc>
        <w:tc>
          <w:tcPr>
            <w:tcW w:w="1598" w:type="dxa"/>
          </w:tcPr>
          <w:p w14:paraId="17ABAA78" w14:textId="479C1484" w:rsidR="00497C85" w:rsidRPr="00FE6358" w:rsidRDefault="00490D8C" w:rsidP="00FE6358">
            <w:pPr>
              <w:pStyle w:val="naisf"/>
              <w:spacing w:before="0" w:beforeAutospacing="0" w:after="0" w:afterAutospacing="0"/>
              <w:ind w:left="-113" w:right="57"/>
              <w:jc w:val="center"/>
              <w:rPr>
                <w:spacing w:val="-4"/>
              </w:rPr>
            </w:pPr>
            <w:r>
              <w:rPr>
                <w:spacing w:val="-4"/>
              </w:rPr>
              <w:t>–</w:t>
            </w:r>
            <w:r w:rsidR="00497C85" w:rsidRPr="00FE6358">
              <w:rPr>
                <w:spacing w:val="-4"/>
              </w:rPr>
              <w:t>239 615</w:t>
            </w:r>
          </w:p>
        </w:tc>
      </w:tr>
      <w:tr w:rsidR="00803D65" w:rsidRPr="000927B6" w14:paraId="17ABAA80" w14:textId="77777777" w:rsidTr="00490D8C">
        <w:trPr>
          <w:trHeight w:val="20"/>
        </w:trPr>
        <w:tc>
          <w:tcPr>
            <w:tcW w:w="1951" w:type="dxa"/>
          </w:tcPr>
          <w:p w14:paraId="17ABAA7A" w14:textId="77777777" w:rsidR="008F7BEC" w:rsidRPr="000927B6" w:rsidRDefault="008F7BEC" w:rsidP="008F7BEC">
            <w:pPr>
              <w:rPr>
                <w:spacing w:val="-4"/>
                <w:sz w:val="24"/>
                <w:szCs w:val="24"/>
              </w:rPr>
            </w:pPr>
            <w:r w:rsidRPr="000927B6">
              <w:rPr>
                <w:spacing w:val="-4"/>
                <w:sz w:val="24"/>
                <w:szCs w:val="24"/>
              </w:rPr>
              <w:t>4. Finanšu līdzekļi papildu izdevumu finansēšanai (kompensējošu izdevumu samazinājumu norāda ar "+" zīmi)</w:t>
            </w:r>
          </w:p>
        </w:tc>
        <w:tc>
          <w:tcPr>
            <w:tcW w:w="1134" w:type="dxa"/>
          </w:tcPr>
          <w:p w14:paraId="17ABAA7B" w14:textId="77777777" w:rsidR="008F7BEC" w:rsidRPr="000927B6" w:rsidRDefault="008F7BEC" w:rsidP="008F7BEC">
            <w:pPr>
              <w:pStyle w:val="naisf"/>
              <w:spacing w:before="0" w:beforeAutospacing="0" w:after="0" w:afterAutospacing="0"/>
              <w:jc w:val="center"/>
              <w:rPr>
                <w:spacing w:val="-4"/>
              </w:rPr>
            </w:pPr>
            <w:r w:rsidRPr="000927B6">
              <w:rPr>
                <w:spacing w:val="-4"/>
              </w:rPr>
              <w:t>N/A</w:t>
            </w:r>
          </w:p>
        </w:tc>
        <w:tc>
          <w:tcPr>
            <w:tcW w:w="1701" w:type="dxa"/>
          </w:tcPr>
          <w:p w14:paraId="17ABAA7C" w14:textId="77777777" w:rsidR="008F7BEC" w:rsidRPr="000927B6" w:rsidRDefault="008F7BEC" w:rsidP="008F7BEC">
            <w:pPr>
              <w:pStyle w:val="naisf"/>
              <w:spacing w:before="0" w:beforeAutospacing="0" w:after="0" w:afterAutospacing="0"/>
              <w:jc w:val="center"/>
              <w:rPr>
                <w:spacing w:val="-4"/>
              </w:rPr>
            </w:pPr>
            <w:r w:rsidRPr="000927B6">
              <w:rPr>
                <w:spacing w:val="-4"/>
              </w:rPr>
              <w:t>N/A</w:t>
            </w:r>
          </w:p>
        </w:tc>
        <w:tc>
          <w:tcPr>
            <w:tcW w:w="1701" w:type="dxa"/>
          </w:tcPr>
          <w:p w14:paraId="17ABAA7D" w14:textId="77777777" w:rsidR="008F7BEC" w:rsidRPr="000927B6" w:rsidRDefault="008F7BEC" w:rsidP="008F7BEC">
            <w:pPr>
              <w:pStyle w:val="naisf"/>
              <w:spacing w:before="0" w:beforeAutospacing="0" w:after="0" w:afterAutospacing="0"/>
              <w:jc w:val="center"/>
              <w:rPr>
                <w:spacing w:val="-4"/>
              </w:rPr>
            </w:pPr>
            <w:r w:rsidRPr="000927B6">
              <w:rPr>
                <w:spacing w:val="-4"/>
              </w:rPr>
              <w:t>N/A</w:t>
            </w:r>
          </w:p>
        </w:tc>
        <w:tc>
          <w:tcPr>
            <w:tcW w:w="1701" w:type="dxa"/>
          </w:tcPr>
          <w:p w14:paraId="17ABAA7E" w14:textId="77777777" w:rsidR="008F7BEC" w:rsidRPr="000927B6" w:rsidRDefault="008F7BEC" w:rsidP="008F7BEC">
            <w:pPr>
              <w:pStyle w:val="naisf"/>
              <w:spacing w:before="0" w:beforeAutospacing="0" w:after="0" w:afterAutospacing="0"/>
              <w:jc w:val="center"/>
              <w:rPr>
                <w:spacing w:val="-4"/>
              </w:rPr>
            </w:pPr>
            <w:r w:rsidRPr="000927B6">
              <w:rPr>
                <w:spacing w:val="-4"/>
              </w:rPr>
              <w:t>N/A</w:t>
            </w:r>
          </w:p>
        </w:tc>
        <w:tc>
          <w:tcPr>
            <w:tcW w:w="1598" w:type="dxa"/>
          </w:tcPr>
          <w:p w14:paraId="17ABAA7F" w14:textId="77777777" w:rsidR="008F7BEC" w:rsidRPr="000927B6" w:rsidRDefault="008F7BEC" w:rsidP="008F7BEC">
            <w:pPr>
              <w:pStyle w:val="naisf"/>
              <w:spacing w:before="0" w:beforeAutospacing="0" w:after="0" w:afterAutospacing="0"/>
              <w:jc w:val="center"/>
              <w:rPr>
                <w:spacing w:val="-4"/>
              </w:rPr>
            </w:pPr>
            <w:r w:rsidRPr="000927B6">
              <w:rPr>
                <w:spacing w:val="-4"/>
              </w:rPr>
              <w:t>N/A</w:t>
            </w:r>
          </w:p>
        </w:tc>
      </w:tr>
      <w:tr w:rsidR="00803D65" w:rsidRPr="000927B6" w14:paraId="17ABAA87" w14:textId="77777777" w:rsidTr="00490D8C">
        <w:trPr>
          <w:trHeight w:val="20"/>
        </w:trPr>
        <w:tc>
          <w:tcPr>
            <w:tcW w:w="1951" w:type="dxa"/>
          </w:tcPr>
          <w:p w14:paraId="17ABAA81" w14:textId="77777777" w:rsidR="008F7BEC" w:rsidRPr="000927B6" w:rsidRDefault="008F7BEC" w:rsidP="008F7BEC">
            <w:pPr>
              <w:rPr>
                <w:spacing w:val="-4"/>
                <w:sz w:val="24"/>
                <w:szCs w:val="24"/>
              </w:rPr>
            </w:pPr>
            <w:r w:rsidRPr="000927B6">
              <w:rPr>
                <w:spacing w:val="-4"/>
                <w:sz w:val="24"/>
                <w:szCs w:val="24"/>
              </w:rPr>
              <w:t>5. Precizēta finansiālā ietekme</w:t>
            </w:r>
          </w:p>
        </w:tc>
        <w:tc>
          <w:tcPr>
            <w:tcW w:w="1134" w:type="dxa"/>
          </w:tcPr>
          <w:p w14:paraId="17ABAA82" w14:textId="77777777" w:rsidR="008F7BEC" w:rsidRPr="000927B6" w:rsidRDefault="008F7BEC" w:rsidP="008F7BEC">
            <w:pPr>
              <w:pStyle w:val="naisf"/>
              <w:spacing w:before="0" w:beforeAutospacing="0" w:after="0" w:afterAutospacing="0"/>
              <w:jc w:val="center"/>
              <w:rPr>
                <w:spacing w:val="-4"/>
              </w:rPr>
            </w:pPr>
            <w:r w:rsidRPr="000927B6">
              <w:rPr>
                <w:spacing w:val="-4"/>
              </w:rPr>
              <w:t>N/A</w:t>
            </w:r>
          </w:p>
        </w:tc>
        <w:tc>
          <w:tcPr>
            <w:tcW w:w="1701" w:type="dxa"/>
          </w:tcPr>
          <w:p w14:paraId="17ABAA83" w14:textId="77777777" w:rsidR="008F7BEC" w:rsidRPr="000927B6" w:rsidRDefault="008F7BEC" w:rsidP="008F7BEC">
            <w:pPr>
              <w:pStyle w:val="naisf"/>
              <w:spacing w:before="0" w:beforeAutospacing="0" w:after="0" w:afterAutospacing="0"/>
              <w:jc w:val="center"/>
              <w:rPr>
                <w:spacing w:val="-4"/>
              </w:rPr>
            </w:pPr>
            <w:r w:rsidRPr="000927B6">
              <w:rPr>
                <w:spacing w:val="-4"/>
              </w:rPr>
              <w:t>N/A</w:t>
            </w:r>
          </w:p>
        </w:tc>
        <w:tc>
          <w:tcPr>
            <w:tcW w:w="1701" w:type="dxa"/>
          </w:tcPr>
          <w:p w14:paraId="17ABAA84" w14:textId="77777777" w:rsidR="008F7BEC" w:rsidRPr="000927B6" w:rsidRDefault="008F7BEC" w:rsidP="008F7BEC">
            <w:pPr>
              <w:jc w:val="center"/>
              <w:rPr>
                <w:spacing w:val="-4"/>
                <w:sz w:val="24"/>
                <w:szCs w:val="24"/>
              </w:rPr>
            </w:pPr>
            <w:r w:rsidRPr="000927B6">
              <w:rPr>
                <w:spacing w:val="-4"/>
                <w:sz w:val="24"/>
                <w:szCs w:val="24"/>
              </w:rPr>
              <w:t>N/A</w:t>
            </w:r>
          </w:p>
        </w:tc>
        <w:tc>
          <w:tcPr>
            <w:tcW w:w="1701" w:type="dxa"/>
          </w:tcPr>
          <w:p w14:paraId="17ABAA85" w14:textId="77777777" w:rsidR="008F7BEC" w:rsidRPr="000927B6" w:rsidRDefault="008F7BEC" w:rsidP="008F7BEC">
            <w:pPr>
              <w:jc w:val="center"/>
              <w:rPr>
                <w:spacing w:val="-4"/>
                <w:sz w:val="24"/>
                <w:szCs w:val="24"/>
              </w:rPr>
            </w:pPr>
            <w:r w:rsidRPr="000927B6">
              <w:rPr>
                <w:spacing w:val="-4"/>
                <w:sz w:val="24"/>
                <w:szCs w:val="24"/>
              </w:rPr>
              <w:t>N/A</w:t>
            </w:r>
          </w:p>
        </w:tc>
        <w:tc>
          <w:tcPr>
            <w:tcW w:w="1598" w:type="dxa"/>
          </w:tcPr>
          <w:p w14:paraId="17ABAA86" w14:textId="77777777" w:rsidR="008F7BEC" w:rsidRPr="000927B6" w:rsidRDefault="008F7BEC" w:rsidP="008F7BEC">
            <w:pPr>
              <w:jc w:val="center"/>
              <w:rPr>
                <w:spacing w:val="-4"/>
                <w:sz w:val="24"/>
                <w:szCs w:val="24"/>
              </w:rPr>
            </w:pPr>
            <w:r w:rsidRPr="000927B6">
              <w:rPr>
                <w:spacing w:val="-4"/>
                <w:sz w:val="24"/>
                <w:szCs w:val="24"/>
              </w:rPr>
              <w:t>N/A</w:t>
            </w:r>
          </w:p>
        </w:tc>
      </w:tr>
      <w:tr w:rsidR="00803D65" w:rsidRPr="000927B6" w14:paraId="17ABAA91" w14:textId="77777777" w:rsidTr="00924012">
        <w:trPr>
          <w:trHeight w:val="20"/>
        </w:trPr>
        <w:tc>
          <w:tcPr>
            <w:tcW w:w="1951" w:type="dxa"/>
            <w:shd w:val="clear" w:color="auto" w:fill="auto"/>
          </w:tcPr>
          <w:p w14:paraId="17ABAA88" w14:textId="77777777" w:rsidR="008F7BEC" w:rsidRPr="000927B6" w:rsidRDefault="008F7BEC" w:rsidP="008F7BEC">
            <w:pPr>
              <w:rPr>
                <w:spacing w:val="-4"/>
                <w:sz w:val="24"/>
                <w:szCs w:val="24"/>
              </w:rPr>
            </w:pPr>
            <w:r w:rsidRPr="000927B6">
              <w:rPr>
                <w:spacing w:val="-4"/>
                <w:sz w:val="24"/>
                <w:szCs w:val="24"/>
              </w:rPr>
              <w:t xml:space="preserve">6. Detalizēts ieņēmumu un izdevumu aprēķins (ja nepieciešams, detalizētu ieņēmumu un izdevumu aprēķinu var </w:t>
            </w:r>
            <w:r w:rsidRPr="000927B6">
              <w:rPr>
                <w:spacing w:val="-4"/>
                <w:sz w:val="24"/>
                <w:szCs w:val="24"/>
              </w:rPr>
              <w:lastRenderedPageBreak/>
              <w:t>pievienot anotācijas pielikumā)</w:t>
            </w:r>
          </w:p>
        </w:tc>
        <w:tc>
          <w:tcPr>
            <w:tcW w:w="7835" w:type="dxa"/>
            <w:gridSpan w:val="5"/>
            <w:vMerge w:val="restart"/>
            <w:shd w:val="clear" w:color="auto" w:fill="auto"/>
            <w:vAlign w:val="center"/>
          </w:tcPr>
          <w:p w14:paraId="17ABAA89" w14:textId="77777777" w:rsidR="008F7BEC" w:rsidRPr="00DE0E4F" w:rsidRDefault="008F7BEC" w:rsidP="00DE0E4F">
            <w:pPr>
              <w:shd w:val="clear" w:color="auto" w:fill="FFFFFF"/>
              <w:ind w:right="113"/>
              <w:jc w:val="both"/>
              <w:rPr>
                <w:spacing w:val="-4"/>
                <w:sz w:val="24"/>
                <w:szCs w:val="24"/>
              </w:rPr>
            </w:pPr>
            <w:r w:rsidRPr="00DE0E4F">
              <w:rPr>
                <w:spacing w:val="-4"/>
                <w:sz w:val="24"/>
                <w:szCs w:val="24"/>
              </w:rPr>
              <w:lastRenderedPageBreak/>
              <w:t>3.4.2. SAM kopējais plānotais finansējums (kopējās attiecināmās izmaksas) ir 9 491 392 </w:t>
            </w:r>
            <w:proofErr w:type="spellStart"/>
            <w:r w:rsidRPr="00DE0E4F">
              <w:rPr>
                <w:i/>
                <w:spacing w:val="-4"/>
                <w:sz w:val="24"/>
                <w:szCs w:val="24"/>
              </w:rPr>
              <w:t>euro</w:t>
            </w:r>
            <w:proofErr w:type="spellEnd"/>
            <w:r w:rsidRPr="00DE0E4F">
              <w:rPr>
                <w:spacing w:val="-4"/>
                <w:sz w:val="24"/>
                <w:szCs w:val="24"/>
              </w:rPr>
              <w:t>, tai skaitā ESF finansējums – 8 067 683 </w:t>
            </w:r>
            <w:proofErr w:type="spellStart"/>
            <w:r w:rsidRPr="00DE0E4F">
              <w:rPr>
                <w:i/>
                <w:spacing w:val="-4"/>
                <w:sz w:val="24"/>
                <w:szCs w:val="24"/>
              </w:rPr>
              <w:t>euro</w:t>
            </w:r>
            <w:proofErr w:type="spellEnd"/>
            <w:r w:rsidRPr="00DE0E4F">
              <w:rPr>
                <w:spacing w:val="-4"/>
                <w:sz w:val="24"/>
                <w:szCs w:val="24"/>
              </w:rPr>
              <w:t xml:space="preserve"> un valsts budžeta finansējums – 1 423 709</w:t>
            </w:r>
            <w:r w:rsidRPr="00DE0E4F">
              <w:rPr>
                <w:i/>
                <w:spacing w:val="-4"/>
                <w:sz w:val="24"/>
                <w:szCs w:val="24"/>
              </w:rPr>
              <w:t xml:space="preserve"> </w:t>
            </w:r>
            <w:proofErr w:type="spellStart"/>
            <w:r w:rsidRPr="00DE0E4F">
              <w:rPr>
                <w:i/>
                <w:spacing w:val="-4"/>
                <w:sz w:val="24"/>
                <w:szCs w:val="24"/>
              </w:rPr>
              <w:t>euro</w:t>
            </w:r>
            <w:proofErr w:type="spellEnd"/>
            <w:r w:rsidRPr="00DE0E4F">
              <w:rPr>
                <w:spacing w:val="-4"/>
                <w:sz w:val="24"/>
                <w:szCs w:val="24"/>
              </w:rPr>
              <w:t>. Uz 3.4.2. SAM pieejamo finansējumu tiek attiecināta arī snieguma ietvara rezerve 6,22 % apmērā (569 483</w:t>
            </w:r>
            <w:r w:rsidRPr="00DE0E4F">
              <w:rPr>
                <w:i/>
                <w:spacing w:val="-4"/>
                <w:sz w:val="24"/>
                <w:szCs w:val="24"/>
              </w:rPr>
              <w:t> </w:t>
            </w:r>
            <w:proofErr w:type="spellStart"/>
            <w:r w:rsidRPr="00DE0E4F">
              <w:rPr>
                <w:i/>
                <w:spacing w:val="-4"/>
                <w:sz w:val="24"/>
                <w:szCs w:val="24"/>
              </w:rPr>
              <w:t>euro</w:t>
            </w:r>
            <w:proofErr w:type="spellEnd"/>
            <w:r w:rsidRPr="00DE0E4F">
              <w:rPr>
                <w:spacing w:val="-4"/>
                <w:sz w:val="24"/>
                <w:szCs w:val="24"/>
              </w:rPr>
              <w:t xml:space="preserve">), kas līdz 2018. gada 31. decembrim ierobežo kopējā attiecināmā finansējuma pieejamību </w:t>
            </w:r>
            <w:r w:rsidRPr="00DE0E4F">
              <w:rPr>
                <w:b/>
                <w:spacing w:val="-4"/>
                <w:sz w:val="24"/>
                <w:szCs w:val="24"/>
              </w:rPr>
              <w:t>8 901 167</w:t>
            </w:r>
            <w:r w:rsidRPr="00DE0E4F">
              <w:rPr>
                <w:spacing w:val="-4"/>
                <w:sz w:val="24"/>
                <w:szCs w:val="24"/>
              </w:rPr>
              <w:t> </w:t>
            </w:r>
            <w:proofErr w:type="spellStart"/>
            <w:r w:rsidRPr="00DE0E4F">
              <w:rPr>
                <w:i/>
                <w:spacing w:val="-4"/>
                <w:sz w:val="24"/>
                <w:szCs w:val="24"/>
              </w:rPr>
              <w:t>euro</w:t>
            </w:r>
            <w:proofErr w:type="spellEnd"/>
            <w:r w:rsidRPr="00DE0E4F">
              <w:rPr>
                <w:spacing w:val="-4"/>
                <w:sz w:val="24"/>
                <w:szCs w:val="24"/>
              </w:rPr>
              <w:t xml:space="preserve"> apmērā, tai skaitā ESF finansējumu </w:t>
            </w:r>
            <w:r w:rsidRPr="00DE0E4F">
              <w:rPr>
                <w:b/>
                <w:spacing w:val="-4"/>
                <w:sz w:val="24"/>
                <w:szCs w:val="24"/>
              </w:rPr>
              <w:t>7 565 992</w:t>
            </w:r>
            <w:r w:rsidRPr="00DE0E4F">
              <w:rPr>
                <w:i/>
                <w:spacing w:val="-4"/>
                <w:sz w:val="24"/>
                <w:szCs w:val="24"/>
              </w:rPr>
              <w:t xml:space="preserve"> </w:t>
            </w:r>
            <w:proofErr w:type="spellStart"/>
            <w:r w:rsidRPr="00DE0E4F">
              <w:rPr>
                <w:i/>
                <w:spacing w:val="-4"/>
                <w:sz w:val="24"/>
                <w:szCs w:val="24"/>
              </w:rPr>
              <w:t>euro</w:t>
            </w:r>
            <w:proofErr w:type="spellEnd"/>
            <w:r w:rsidRPr="00DE0E4F">
              <w:rPr>
                <w:spacing w:val="-4"/>
                <w:sz w:val="24"/>
                <w:szCs w:val="24"/>
              </w:rPr>
              <w:t xml:space="preserve"> apmērā un valsts budžeta finansējumu </w:t>
            </w:r>
            <w:r w:rsidRPr="00DE0E4F">
              <w:rPr>
                <w:b/>
                <w:spacing w:val="-4"/>
                <w:sz w:val="24"/>
                <w:szCs w:val="24"/>
              </w:rPr>
              <w:t>1 335 175</w:t>
            </w:r>
            <w:r w:rsidRPr="00DE0E4F">
              <w:rPr>
                <w:i/>
                <w:spacing w:val="-4"/>
                <w:sz w:val="24"/>
                <w:szCs w:val="24"/>
              </w:rPr>
              <w:t xml:space="preserve"> </w:t>
            </w:r>
            <w:proofErr w:type="spellStart"/>
            <w:r w:rsidRPr="00DE0E4F">
              <w:rPr>
                <w:i/>
                <w:spacing w:val="-4"/>
                <w:sz w:val="24"/>
                <w:szCs w:val="24"/>
              </w:rPr>
              <w:t>euro</w:t>
            </w:r>
            <w:proofErr w:type="spellEnd"/>
            <w:r w:rsidRPr="00DE0E4F">
              <w:rPr>
                <w:spacing w:val="-4"/>
                <w:sz w:val="24"/>
                <w:szCs w:val="24"/>
              </w:rPr>
              <w:t xml:space="preserve"> apmērā.</w:t>
            </w:r>
          </w:p>
          <w:p w14:paraId="17ABAA8A" w14:textId="13C7D942" w:rsidR="008F7BEC" w:rsidRPr="00DE0E4F" w:rsidRDefault="008F7BEC" w:rsidP="00DE0E4F">
            <w:pPr>
              <w:ind w:right="113"/>
              <w:jc w:val="both"/>
              <w:rPr>
                <w:spacing w:val="-4"/>
                <w:sz w:val="24"/>
                <w:szCs w:val="24"/>
              </w:rPr>
            </w:pPr>
            <w:r w:rsidRPr="00DE0E4F">
              <w:rPr>
                <w:spacing w:val="-4"/>
                <w:sz w:val="24"/>
                <w:szCs w:val="24"/>
              </w:rPr>
              <w:t xml:space="preserve">3.4.2. SAM </w:t>
            </w:r>
            <w:r w:rsidRPr="00DE0E4F">
              <w:rPr>
                <w:b/>
                <w:spacing w:val="-4"/>
                <w:sz w:val="24"/>
                <w:szCs w:val="24"/>
              </w:rPr>
              <w:t xml:space="preserve">finanšu rādītājs </w:t>
            </w:r>
            <w:r w:rsidRPr="00DE0E4F">
              <w:rPr>
                <w:spacing w:val="-4"/>
                <w:sz w:val="24"/>
                <w:szCs w:val="24"/>
              </w:rPr>
              <w:t>–</w:t>
            </w:r>
            <w:r w:rsidRPr="00DE0E4F">
              <w:rPr>
                <w:b/>
                <w:spacing w:val="-4"/>
                <w:sz w:val="24"/>
                <w:szCs w:val="24"/>
              </w:rPr>
              <w:t xml:space="preserve"> </w:t>
            </w:r>
            <w:r w:rsidRPr="00DE0E4F">
              <w:rPr>
                <w:spacing w:val="-4"/>
                <w:sz w:val="24"/>
                <w:szCs w:val="24"/>
              </w:rPr>
              <w:t xml:space="preserve">apgūti 100 % no specifiskajam atbalsta mērķim paredzētā kopējā attiecināmā finansējuma, tai skaitā līdz 2018. gada </w:t>
            </w:r>
            <w:r w:rsidRPr="00DE0E4F">
              <w:rPr>
                <w:spacing w:val="-4"/>
                <w:sz w:val="24"/>
                <w:szCs w:val="24"/>
              </w:rPr>
              <w:lastRenderedPageBreak/>
              <w:t>31.</w:t>
            </w:r>
            <w:r w:rsidR="00DE0E4F" w:rsidRPr="00DE0E4F">
              <w:rPr>
                <w:spacing w:val="-4"/>
                <w:sz w:val="24"/>
                <w:szCs w:val="24"/>
              </w:rPr>
              <w:t> </w:t>
            </w:r>
            <w:r w:rsidRPr="00DE0E4F">
              <w:rPr>
                <w:spacing w:val="-4"/>
                <w:sz w:val="24"/>
                <w:szCs w:val="24"/>
              </w:rPr>
              <w:t>decembrim – 3 132 164</w:t>
            </w:r>
            <w:r w:rsidRPr="00DE0E4F">
              <w:rPr>
                <w:i/>
                <w:spacing w:val="-4"/>
                <w:sz w:val="24"/>
                <w:szCs w:val="24"/>
              </w:rPr>
              <w:t> </w:t>
            </w:r>
            <w:proofErr w:type="spellStart"/>
            <w:r w:rsidRPr="00DE0E4F">
              <w:rPr>
                <w:i/>
                <w:spacing w:val="-4"/>
                <w:sz w:val="24"/>
                <w:szCs w:val="24"/>
              </w:rPr>
              <w:t>euro</w:t>
            </w:r>
            <w:proofErr w:type="spellEnd"/>
            <w:r w:rsidRPr="00DE0E4F">
              <w:rPr>
                <w:spacing w:val="-4"/>
                <w:sz w:val="24"/>
                <w:szCs w:val="24"/>
              </w:rPr>
              <w:t>. Budžeta ieņēmumi ir finansējuma ESF daļa 85 % apmērā no projekta attiecināmajām izmaksām.</w:t>
            </w:r>
          </w:p>
          <w:p w14:paraId="17ABAA8B" w14:textId="77777777" w:rsidR="008F7BEC" w:rsidRPr="00DE0E4F" w:rsidRDefault="008F7BEC" w:rsidP="00DE0E4F">
            <w:pPr>
              <w:ind w:right="113"/>
              <w:jc w:val="both"/>
              <w:rPr>
                <w:spacing w:val="-4"/>
                <w:sz w:val="24"/>
                <w:szCs w:val="24"/>
              </w:rPr>
            </w:pPr>
            <w:r w:rsidRPr="00DE0E4F">
              <w:rPr>
                <w:spacing w:val="-4"/>
                <w:sz w:val="24"/>
                <w:szCs w:val="24"/>
              </w:rPr>
              <w:t>Budžeta izdevumi ir kopējie projekta ieviešanai nepieciešamie līdzekļi attiecīgajā gadā.</w:t>
            </w:r>
          </w:p>
          <w:p w14:paraId="17ABAA8C" w14:textId="74E684E0" w:rsidR="00497C85" w:rsidRPr="00DE0E4F" w:rsidRDefault="007F7DFB" w:rsidP="00DE0E4F">
            <w:pPr>
              <w:ind w:right="113"/>
              <w:jc w:val="both"/>
              <w:rPr>
                <w:spacing w:val="-4"/>
                <w:sz w:val="24"/>
                <w:szCs w:val="24"/>
              </w:rPr>
            </w:pPr>
            <w:r w:rsidRPr="00DE0E4F">
              <w:rPr>
                <w:spacing w:val="-4"/>
                <w:sz w:val="24"/>
                <w:szCs w:val="24"/>
              </w:rPr>
              <w:t xml:space="preserve">Pirmās kārtas </w:t>
            </w:r>
            <w:r w:rsidR="005B01E8" w:rsidRPr="00DE0E4F">
              <w:rPr>
                <w:spacing w:val="-4"/>
                <w:sz w:val="24"/>
                <w:szCs w:val="24"/>
              </w:rPr>
              <w:t>ierobežotas projektu iesniegumu atlases projekti</w:t>
            </w:r>
            <w:r w:rsidRPr="00DE0E4F">
              <w:rPr>
                <w:spacing w:val="-4"/>
                <w:sz w:val="24"/>
                <w:szCs w:val="24"/>
              </w:rPr>
              <w:t xml:space="preserve"> ir apstiprināti 2015.</w:t>
            </w:r>
            <w:r w:rsidR="00DE0E4F">
              <w:rPr>
                <w:spacing w:val="-4"/>
                <w:sz w:val="24"/>
                <w:szCs w:val="24"/>
              </w:rPr>
              <w:t> </w:t>
            </w:r>
            <w:r w:rsidRPr="00DE0E4F">
              <w:rPr>
                <w:spacing w:val="-4"/>
                <w:sz w:val="24"/>
                <w:szCs w:val="24"/>
              </w:rPr>
              <w:t>gada nogalē, vienošanās p</w:t>
            </w:r>
            <w:r w:rsidR="005B01E8" w:rsidRPr="00DE0E4F">
              <w:rPr>
                <w:spacing w:val="-4"/>
                <w:sz w:val="24"/>
                <w:szCs w:val="24"/>
              </w:rPr>
              <w:t>a</w:t>
            </w:r>
            <w:r w:rsidRPr="00DE0E4F">
              <w:rPr>
                <w:spacing w:val="-4"/>
                <w:sz w:val="24"/>
                <w:szCs w:val="24"/>
              </w:rPr>
              <w:t xml:space="preserve">r projektu īstenošanu ir noslēgtas </w:t>
            </w:r>
            <w:proofErr w:type="gramStart"/>
            <w:r w:rsidRPr="00DE0E4F">
              <w:rPr>
                <w:spacing w:val="-4"/>
                <w:sz w:val="24"/>
                <w:szCs w:val="24"/>
              </w:rPr>
              <w:t>2016.gada</w:t>
            </w:r>
            <w:proofErr w:type="gramEnd"/>
            <w:r w:rsidRPr="00DE0E4F">
              <w:rPr>
                <w:spacing w:val="-4"/>
                <w:sz w:val="24"/>
                <w:szCs w:val="24"/>
              </w:rPr>
              <w:t xml:space="preserve">  janvāra beigās un februāra sākumā</w:t>
            </w:r>
            <w:r w:rsidR="005B01E8" w:rsidRPr="00DE0E4F">
              <w:rPr>
                <w:spacing w:val="-4"/>
                <w:sz w:val="24"/>
                <w:szCs w:val="24"/>
              </w:rPr>
              <w:t xml:space="preserve">, savukārt finansējums projekta īstenošanai no </w:t>
            </w:r>
            <w:r w:rsidR="007F3AEE" w:rsidRPr="00DE0E4F">
              <w:rPr>
                <w:spacing w:val="-4"/>
                <w:sz w:val="24"/>
                <w:szCs w:val="24"/>
              </w:rPr>
              <w:t xml:space="preserve">80.00.00 programmas "Nesadalītais finansējums Eiropas Savienības politiku instrumentu un pārējās ārvalstu finanšu palīdzības līdzfinansēto projektu un pasākumu īstenošanai" </w:t>
            </w:r>
            <w:r w:rsidR="005B01E8" w:rsidRPr="00DE0E4F">
              <w:rPr>
                <w:spacing w:val="-4"/>
                <w:sz w:val="24"/>
                <w:szCs w:val="24"/>
              </w:rPr>
              <w:t>tika piešķirts 2016.gada februārī.</w:t>
            </w:r>
          </w:p>
          <w:p w14:paraId="17ABAA8D" w14:textId="25177B79" w:rsidR="007F3AEE" w:rsidRPr="00DE0E4F" w:rsidRDefault="005B01E8" w:rsidP="00DE0E4F">
            <w:pPr>
              <w:ind w:right="113"/>
              <w:jc w:val="both"/>
              <w:rPr>
                <w:spacing w:val="-4"/>
                <w:sz w:val="24"/>
                <w:szCs w:val="24"/>
              </w:rPr>
            </w:pPr>
            <w:r w:rsidRPr="00DE0E4F">
              <w:rPr>
                <w:spacing w:val="-4"/>
                <w:sz w:val="24"/>
                <w:szCs w:val="24"/>
              </w:rPr>
              <w:t>P</w:t>
            </w:r>
            <w:r w:rsidR="008F7BEC" w:rsidRPr="00DE0E4F">
              <w:rPr>
                <w:spacing w:val="-4"/>
                <w:sz w:val="24"/>
                <w:szCs w:val="24"/>
              </w:rPr>
              <w:t>lānots</w:t>
            </w:r>
            <w:r w:rsidRPr="00DE0E4F">
              <w:rPr>
                <w:spacing w:val="-4"/>
                <w:sz w:val="24"/>
                <w:szCs w:val="24"/>
              </w:rPr>
              <w:t>, ka otrās kārtas projektu iesniegumu atlase tiks izsludināta 2016</w:t>
            </w:r>
            <w:r w:rsidR="008F7BEC" w:rsidRPr="00DE0E4F">
              <w:rPr>
                <w:spacing w:val="-4"/>
                <w:sz w:val="24"/>
                <w:szCs w:val="24"/>
              </w:rPr>
              <w:t>. gada II</w:t>
            </w:r>
            <w:r w:rsidR="00DE0E4F">
              <w:rPr>
                <w:spacing w:val="-4"/>
                <w:sz w:val="24"/>
                <w:szCs w:val="24"/>
              </w:rPr>
              <w:t> </w:t>
            </w:r>
            <w:r w:rsidR="004E49D7" w:rsidRPr="00DE0E4F">
              <w:rPr>
                <w:spacing w:val="-4"/>
                <w:sz w:val="24"/>
                <w:szCs w:val="24"/>
              </w:rPr>
              <w:t>ceturkšņa beigās</w:t>
            </w:r>
            <w:r w:rsidR="006C1138" w:rsidRPr="00DE0E4F">
              <w:rPr>
                <w:spacing w:val="-4"/>
                <w:sz w:val="24"/>
                <w:szCs w:val="24"/>
              </w:rPr>
              <w:t xml:space="preserve"> vai </w:t>
            </w:r>
            <w:r w:rsidR="004E49D7" w:rsidRPr="00DE0E4F">
              <w:rPr>
                <w:spacing w:val="-4"/>
                <w:sz w:val="24"/>
                <w:szCs w:val="24"/>
              </w:rPr>
              <w:t>III ceturkšņa sākumā</w:t>
            </w:r>
            <w:r w:rsidR="006F6E31" w:rsidRPr="00DE0E4F">
              <w:rPr>
                <w:spacing w:val="-4"/>
                <w:sz w:val="24"/>
                <w:szCs w:val="24"/>
              </w:rPr>
              <w:t xml:space="preserve">, </w:t>
            </w:r>
            <w:r w:rsidRPr="00DE0E4F">
              <w:rPr>
                <w:spacing w:val="-4"/>
                <w:sz w:val="24"/>
                <w:szCs w:val="24"/>
              </w:rPr>
              <w:t xml:space="preserve">savukārt </w:t>
            </w:r>
            <w:r w:rsidR="006F6E31" w:rsidRPr="00DE0E4F">
              <w:rPr>
                <w:spacing w:val="-4"/>
                <w:sz w:val="24"/>
                <w:szCs w:val="24"/>
              </w:rPr>
              <w:t xml:space="preserve">Valsts kontroles </w:t>
            </w:r>
            <w:r w:rsidRPr="00DE0E4F">
              <w:rPr>
                <w:spacing w:val="-4"/>
                <w:sz w:val="24"/>
                <w:szCs w:val="24"/>
              </w:rPr>
              <w:t>projekta īstenošana varētu tikt uzsākta 2016.</w:t>
            </w:r>
            <w:r w:rsidR="00DE0E4F">
              <w:rPr>
                <w:spacing w:val="-4"/>
                <w:sz w:val="24"/>
                <w:szCs w:val="24"/>
              </w:rPr>
              <w:t> </w:t>
            </w:r>
            <w:r w:rsidRPr="00DE0E4F">
              <w:rPr>
                <w:spacing w:val="-4"/>
                <w:sz w:val="24"/>
                <w:szCs w:val="24"/>
              </w:rPr>
              <w:t>gada III ceturkšņa beigās</w:t>
            </w:r>
            <w:r w:rsidR="008F7BEC" w:rsidRPr="00DE0E4F">
              <w:rPr>
                <w:spacing w:val="-4"/>
                <w:sz w:val="24"/>
                <w:szCs w:val="24"/>
              </w:rPr>
              <w:t xml:space="preserve">. </w:t>
            </w:r>
            <w:r w:rsidRPr="00DE0E4F">
              <w:rPr>
                <w:spacing w:val="-4"/>
                <w:sz w:val="24"/>
                <w:szCs w:val="24"/>
              </w:rPr>
              <w:t>Ņemot vērā Valsts kontrolei pieejamo finansējumu</w:t>
            </w:r>
            <w:r w:rsidR="00DE0E4F">
              <w:rPr>
                <w:spacing w:val="-4"/>
                <w:sz w:val="24"/>
                <w:szCs w:val="24"/>
              </w:rPr>
              <w:t>,</w:t>
            </w:r>
            <w:r w:rsidRPr="00DE0E4F">
              <w:rPr>
                <w:spacing w:val="-4"/>
                <w:sz w:val="24"/>
                <w:szCs w:val="24"/>
              </w:rPr>
              <w:t xml:space="preserve"> tiek plānots, ka projekta pirmajā gadā </w:t>
            </w:r>
            <w:r w:rsidR="007F3AEE" w:rsidRPr="00DE0E4F">
              <w:rPr>
                <w:spacing w:val="-4"/>
                <w:sz w:val="24"/>
                <w:szCs w:val="24"/>
              </w:rPr>
              <w:t xml:space="preserve">indikatīvi tiks </w:t>
            </w:r>
            <w:r w:rsidRPr="00DE0E4F">
              <w:rPr>
                <w:spacing w:val="-4"/>
                <w:sz w:val="24"/>
                <w:szCs w:val="24"/>
              </w:rPr>
              <w:t>apg</w:t>
            </w:r>
            <w:r w:rsidR="007F3AEE" w:rsidRPr="00DE0E4F">
              <w:rPr>
                <w:spacing w:val="-4"/>
                <w:sz w:val="24"/>
                <w:szCs w:val="24"/>
              </w:rPr>
              <w:t>ūti 7</w:t>
            </w:r>
            <w:r w:rsidR="00DE0E4F">
              <w:rPr>
                <w:spacing w:val="-4"/>
                <w:sz w:val="24"/>
                <w:szCs w:val="24"/>
              </w:rPr>
              <w:t> </w:t>
            </w:r>
            <w:r w:rsidR="007F3AEE" w:rsidRPr="00DE0E4F">
              <w:rPr>
                <w:spacing w:val="-4"/>
                <w:sz w:val="24"/>
                <w:szCs w:val="24"/>
              </w:rPr>
              <w:t>%</w:t>
            </w:r>
            <w:proofErr w:type="gramStart"/>
            <w:r w:rsidR="007F3AEE" w:rsidRPr="00DE0E4F">
              <w:rPr>
                <w:spacing w:val="-4"/>
                <w:sz w:val="24"/>
                <w:szCs w:val="24"/>
              </w:rPr>
              <w:t xml:space="preserve">  </w:t>
            </w:r>
            <w:proofErr w:type="gramEnd"/>
            <w:r w:rsidR="007F3AEE" w:rsidRPr="00DE0E4F">
              <w:rPr>
                <w:spacing w:val="-4"/>
                <w:sz w:val="24"/>
                <w:szCs w:val="24"/>
              </w:rPr>
              <w:t>no projektā pieejamā finansējuma, bet</w:t>
            </w:r>
            <w:r w:rsidR="00DE0E4F">
              <w:rPr>
                <w:spacing w:val="-4"/>
                <w:sz w:val="24"/>
                <w:szCs w:val="24"/>
              </w:rPr>
              <w:t>,</w:t>
            </w:r>
            <w:r w:rsidR="007F3AEE" w:rsidRPr="00DE0E4F">
              <w:rPr>
                <w:spacing w:val="-4"/>
                <w:sz w:val="24"/>
                <w:szCs w:val="24"/>
              </w:rPr>
              <w:t xml:space="preserve"> sākot ar projekta otro gadu</w:t>
            </w:r>
            <w:r w:rsidR="00DE0E4F">
              <w:rPr>
                <w:spacing w:val="-4"/>
                <w:sz w:val="24"/>
                <w:szCs w:val="24"/>
              </w:rPr>
              <w:t>,</w:t>
            </w:r>
            <w:r w:rsidR="007F3AEE" w:rsidRPr="00DE0E4F">
              <w:rPr>
                <w:spacing w:val="-4"/>
                <w:sz w:val="24"/>
                <w:szCs w:val="24"/>
              </w:rPr>
              <w:t xml:space="preserve"> vidēji 15,5</w:t>
            </w:r>
            <w:r w:rsidR="00DE0E4F">
              <w:rPr>
                <w:spacing w:val="-4"/>
                <w:sz w:val="24"/>
                <w:szCs w:val="24"/>
              </w:rPr>
              <w:t> </w:t>
            </w:r>
            <w:r w:rsidR="007F3AEE" w:rsidRPr="00DE0E4F">
              <w:rPr>
                <w:spacing w:val="-4"/>
                <w:sz w:val="24"/>
                <w:szCs w:val="24"/>
              </w:rPr>
              <w:t>% gadā.</w:t>
            </w:r>
          </w:p>
          <w:p w14:paraId="17ABAA8E" w14:textId="3B06B5B0" w:rsidR="00AB3B79" w:rsidRPr="00DE0E4F" w:rsidRDefault="00497C85" w:rsidP="00DE0E4F">
            <w:pPr>
              <w:ind w:right="113"/>
              <w:jc w:val="both"/>
              <w:rPr>
                <w:spacing w:val="-4"/>
                <w:sz w:val="24"/>
                <w:szCs w:val="24"/>
              </w:rPr>
            </w:pPr>
            <w:r w:rsidRPr="00DE0E4F">
              <w:rPr>
                <w:b/>
                <w:spacing w:val="-4"/>
                <w:sz w:val="24"/>
                <w:szCs w:val="24"/>
              </w:rPr>
              <w:t>2016</w:t>
            </w:r>
            <w:r w:rsidR="008F7BEC" w:rsidRPr="00DE0E4F">
              <w:rPr>
                <w:b/>
                <w:spacing w:val="-4"/>
                <w:sz w:val="24"/>
                <w:szCs w:val="24"/>
              </w:rPr>
              <w:t>. gadā</w:t>
            </w:r>
            <w:r w:rsidR="00AB3B79" w:rsidRPr="00DE0E4F">
              <w:rPr>
                <w:spacing w:val="-4"/>
                <w:sz w:val="24"/>
                <w:szCs w:val="24"/>
              </w:rPr>
              <w:t xml:space="preserve"> no 74. resora "Gadskārtējā valsts budžeta izpildes procesā pārdalāmais finansējums" 80.00.00 programmas "Nesadalītais finansējums Eiropas Savienības politiku instrumentu un pārējās ārvalstu finanšu palīdzības līdzfinansēto projektu un pasākumu īstenošanai" Valsts administrācijas skolas projektiem un Valsts kancelejas projektam ir pārdalīti 929 424 </w:t>
            </w:r>
            <w:proofErr w:type="spellStart"/>
            <w:r w:rsidR="00AB3B79" w:rsidRPr="00DE0E4F">
              <w:rPr>
                <w:i/>
                <w:spacing w:val="-4"/>
                <w:sz w:val="24"/>
                <w:szCs w:val="24"/>
              </w:rPr>
              <w:t>euro</w:t>
            </w:r>
            <w:proofErr w:type="spellEnd"/>
            <w:r w:rsidR="008F7BEC" w:rsidRPr="00DE0E4F">
              <w:rPr>
                <w:spacing w:val="-4"/>
                <w:sz w:val="24"/>
                <w:szCs w:val="24"/>
              </w:rPr>
              <w:t>, tai skaitā ESF finansējums –</w:t>
            </w:r>
            <w:r w:rsidR="006D75C7" w:rsidRPr="00DE0E4F">
              <w:rPr>
                <w:spacing w:val="-4"/>
                <w:sz w:val="24"/>
                <w:szCs w:val="24"/>
              </w:rPr>
              <w:t xml:space="preserve"> </w:t>
            </w:r>
            <w:r w:rsidR="00AB3B79" w:rsidRPr="00DE0E4F">
              <w:rPr>
                <w:spacing w:val="-4"/>
                <w:sz w:val="24"/>
                <w:szCs w:val="24"/>
              </w:rPr>
              <w:t>790</w:t>
            </w:r>
            <w:r w:rsidR="00DE0E4F">
              <w:rPr>
                <w:spacing w:val="-4"/>
                <w:sz w:val="24"/>
                <w:szCs w:val="24"/>
              </w:rPr>
              <w:t> </w:t>
            </w:r>
            <w:r w:rsidR="00AB3B79" w:rsidRPr="00DE0E4F">
              <w:rPr>
                <w:spacing w:val="-4"/>
                <w:sz w:val="24"/>
                <w:szCs w:val="24"/>
              </w:rPr>
              <w:t>011</w:t>
            </w:r>
            <w:r w:rsidR="00DE0E4F">
              <w:rPr>
                <w:spacing w:val="-4"/>
                <w:sz w:val="24"/>
                <w:szCs w:val="24"/>
              </w:rPr>
              <w:t> </w:t>
            </w:r>
            <w:proofErr w:type="spellStart"/>
            <w:r w:rsidR="008F7BEC" w:rsidRPr="00DE0E4F">
              <w:rPr>
                <w:i/>
                <w:spacing w:val="-4"/>
                <w:sz w:val="24"/>
                <w:szCs w:val="24"/>
              </w:rPr>
              <w:t>euro</w:t>
            </w:r>
            <w:proofErr w:type="spellEnd"/>
            <w:r w:rsidR="008F7BEC" w:rsidRPr="00DE0E4F">
              <w:rPr>
                <w:spacing w:val="-4"/>
                <w:sz w:val="24"/>
                <w:szCs w:val="24"/>
              </w:rPr>
              <w:t xml:space="preserve"> un valsts budžeta līdzfinansējums –</w:t>
            </w:r>
            <w:r w:rsidR="00D036D4" w:rsidRPr="00DE0E4F">
              <w:rPr>
                <w:spacing w:val="-4"/>
                <w:sz w:val="24"/>
                <w:szCs w:val="24"/>
              </w:rPr>
              <w:t xml:space="preserve"> </w:t>
            </w:r>
            <w:r w:rsidR="00AB3B79" w:rsidRPr="00DE0E4F">
              <w:rPr>
                <w:spacing w:val="-4"/>
                <w:sz w:val="24"/>
                <w:szCs w:val="24"/>
              </w:rPr>
              <w:t>139 413</w:t>
            </w:r>
            <w:r w:rsidR="00A04B49" w:rsidRPr="00DE0E4F">
              <w:rPr>
                <w:spacing w:val="-4"/>
                <w:sz w:val="24"/>
                <w:szCs w:val="24"/>
              </w:rPr>
              <w:t> </w:t>
            </w:r>
            <w:proofErr w:type="spellStart"/>
            <w:r w:rsidR="008F7BEC" w:rsidRPr="00DE0E4F">
              <w:rPr>
                <w:i/>
                <w:spacing w:val="-4"/>
                <w:sz w:val="24"/>
                <w:szCs w:val="24"/>
              </w:rPr>
              <w:t>euro</w:t>
            </w:r>
            <w:proofErr w:type="spellEnd"/>
            <w:r w:rsidR="008F7BEC" w:rsidRPr="00DE0E4F">
              <w:rPr>
                <w:spacing w:val="-4"/>
                <w:sz w:val="24"/>
                <w:szCs w:val="24"/>
              </w:rPr>
              <w:t xml:space="preserve">. </w:t>
            </w:r>
            <w:r w:rsidR="007F3AEE" w:rsidRPr="00DE0E4F">
              <w:rPr>
                <w:spacing w:val="-4"/>
                <w:sz w:val="24"/>
                <w:szCs w:val="24"/>
              </w:rPr>
              <w:t>Valsts administrācijas skola pē</w:t>
            </w:r>
            <w:r w:rsidR="006C1138" w:rsidRPr="00DE0E4F">
              <w:rPr>
                <w:spacing w:val="-4"/>
                <w:sz w:val="24"/>
                <w:szCs w:val="24"/>
              </w:rPr>
              <w:t>c noteikumu projekta apstiprināšanas</w:t>
            </w:r>
            <w:r w:rsidR="00D036D4" w:rsidRPr="00DE0E4F">
              <w:rPr>
                <w:spacing w:val="-4"/>
                <w:sz w:val="24"/>
                <w:szCs w:val="24"/>
              </w:rPr>
              <w:t xml:space="preserve"> veiks</w:t>
            </w:r>
            <w:r w:rsidR="006C1138" w:rsidRPr="00DE0E4F">
              <w:rPr>
                <w:spacing w:val="-4"/>
                <w:sz w:val="24"/>
                <w:szCs w:val="24"/>
              </w:rPr>
              <w:t xml:space="preserve"> grozījumus projektā </w:t>
            </w:r>
            <w:r w:rsidR="00DE0E4F">
              <w:rPr>
                <w:spacing w:val="-4"/>
                <w:sz w:val="24"/>
                <w:szCs w:val="24"/>
              </w:rPr>
              <w:t>"</w:t>
            </w:r>
            <w:r w:rsidR="006C1138" w:rsidRPr="00DE0E4F">
              <w:rPr>
                <w:spacing w:val="-4"/>
                <w:sz w:val="24"/>
                <w:szCs w:val="24"/>
              </w:rPr>
              <w:t>Valsts pārvaldes cilvēkresursu profesionālā pilnveide korupcijas novēršanas un ēnu ekonomikas mazināšanas jomā</w:t>
            </w:r>
            <w:r w:rsidR="00DE0E4F">
              <w:rPr>
                <w:spacing w:val="-4"/>
                <w:sz w:val="24"/>
                <w:szCs w:val="24"/>
              </w:rPr>
              <w:t>"</w:t>
            </w:r>
            <w:r w:rsidR="007F3AEE" w:rsidRPr="00DE0E4F">
              <w:rPr>
                <w:spacing w:val="-4"/>
                <w:sz w:val="24"/>
                <w:szCs w:val="24"/>
              </w:rPr>
              <w:t xml:space="preserve">, kā arī veiks budžeta pārdali, atsakoties no finansējuma, kas bija paredzēts Valsts kontroles </w:t>
            </w:r>
            <w:r w:rsidR="00D036D4" w:rsidRPr="00DE0E4F">
              <w:rPr>
                <w:spacing w:val="-4"/>
                <w:sz w:val="24"/>
                <w:szCs w:val="24"/>
              </w:rPr>
              <w:t>mācīb</w:t>
            </w:r>
            <w:r w:rsidR="00DE0E4F">
              <w:rPr>
                <w:spacing w:val="-4"/>
                <w:sz w:val="24"/>
                <w:szCs w:val="24"/>
              </w:rPr>
              <w:t>ām</w:t>
            </w:r>
            <w:r w:rsidR="00D036D4" w:rsidRPr="00DE0E4F">
              <w:rPr>
                <w:spacing w:val="-4"/>
                <w:sz w:val="24"/>
                <w:szCs w:val="24"/>
              </w:rPr>
              <w:t xml:space="preserve"> </w:t>
            </w:r>
            <w:r w:rsidR="006C1138" w:rsidRPr="00DE0E4F">
              <w:rPr>
                <w:spacing w:val="-4"/>
                <w:sz w:val="24"/>
                <w:szCs w:val="24"/>
              </w:rPr>
              <w:t>2016.</w:t>
            </w:r>
            <w:r w:rsidR="00DE0E4F">
              <w:rPr>
                <w:spacing w:val="-4"/>
                <w:sz w:val="24"/>
                <w:szCs w:val="24"/>
              </w:rPr>
              <w:t> </w:t>
            </w:r>
            <w:r w:rsidR="006C1138" w:rsidRPr="00DE0E4F">
              <w:rPr>
                <w:spacing w:val="-4"/>
                <w:sz w:val="24"/>
                <w:szCs w:val="24"/>
              </w:rPr>
              <w:t xml:space="preserve">gadā. </w:t>
            </w:r>
            <w:r w:rsidR="007F3AEE" w:rsidRPr="00DE0E4F">
              <w:rPr>
                <w:spacing w:val="-4"/>
                <w:sz w:val="24"/>
                <w:szCs w:val="24"/>
              </w:rPr>
              <w:t xml:space="preserve">Valsts kontrole </w:t>
            </w:r>
            <w:r w:rsidR="00D036D4" w:rsidRPr="00DE0E4F">
              <w:rPr>
                <w:spacing w:val="-4"/>
                <w:sz w:val="24"/>
                <w:szCs w:val="24"/>
              </w:rPr>
              <w:t>izvērtēs</w:t>
            </w:r>
            <w:r w:rsidR="00C15C18" w:rsidRPr="00DE0E4F">
              <w:rPr>
                <w:spacing w:val="-4"/>
                <w:sz w:val="24"/>
                <w:szCs w:val="24"/>
              </w:rPr>
              <w:t xml:space="preserve"> savas vajadzības un kapacitāti </w:t>
            </w:r>
            <w:r w:rsidR="006C1138" w:rsidRPr="00DE0E4F">
              <w:rPr>
                <w:spacing w:val="-4"/>
                <w:sz w:val="24"/>
                <w:szCs w:val="24"/>
              </w:rPr>
              <w:t xml:space="preserve">darbību </w:t>
            </w:r>
            <w:r w:rsidR="00D036D4" w:rsidRPr="00DE0E4F">
              <w:rPr>
                <w:spacing w:val="-4"/>
                <w:sz w:val="24"/>
                <w:szCs w:val="24"/>
              </w:rPr>
              <w:t xml:space="preserve">īstenošanai </w:t>
            </w:r>
            <w:r w:rsidR="00C15C18" w:rsidRPr="00DE0E4F">
              <w:rPr>
                <w:spacing w:val="-4"/>
                <w:sz w:val="24"/>
                <w:szCs w:val="24"/>
              </w:rPr>
              <w:t>2016.</w:t>
            </w:r>
            <w:r w:rsidR="00DE0E4F">
              <w:rPr>
                <w:spacing w:val="-4"/>
                <w:sz w:val="24"/>
                <w:szCs w:val="24"/>
              </w:rPr>
              <w:t> </w:t>
            </w:r>
            <w:r w:rsidR="00C15C18" w:rsidRPr="00DE0E4F">
              <w:rPr>
                <w:spacing w:val="-4"/>
                <w:sz w:val="24"/>
                <w:szCs w:val="24"/>
              </w:rPr>
              <w:t xml:space="preserve">gadā </w:t>
            </w:r>
            <w:r w:rsidR="00D036D4" w:rsidRPr="00DE0E4F">
              <w:rPr>
                <w:spacing w:val="-4"/>
                <w:sz w:val="24"/>
                <w:szCs w:val="24"/>
              </w:rPr>
              <w:t xml:space="preserve">un </w:t>
            </w:r>
            <w:r w:rsidR="00C15C18" w:rsidRPr="00DE0E4F">
              <w:rPr>
                <w:spacing w:val="-4"/>
                <w:sz w:val="24"/>
                <w:szCs w:val="24"/>
              </w:rPr>
              <w:t>pieprasīs savā budžetā</w:t>
            </w:r>
            <w:r w:rsidR="006C1138" w:rsidRPr="00DE0E4F">
              <w:rPr>
                <w:spacing w:val="-4"/>
                <w:sz w:val="24"/>
                <w:szCs w:val="24"/>
              </w:rPr>
              <w:t xml:space="preserve"> nepieciešamo summu</w:t>
            </w:r>
            <w:r w:rsidR="00C15C18" w:rsidRPr="00DE0E4F">
              <w:rPr>
                <w:spacing w:val="-4"/>
                <w:sz w:val="24"/>
                <w:szCs w:val="24"/>
              </w:rPr>
              <w:t>. T</w:t>
            </w:r>
            <w:r w:rsidR="00D036D4" w:rsidRPr="00DE0E4F">
              <w:rPr>
                <w:spacing w:val="-4"/>
                <w:sz w:val="24"/>
                <w:szCs w:val="24"/>
              </w:rPr>
              <w:t>ā kā projektiem</w:t>
            </w:r>
            <w:r w:rsidR="006C1138" w:rsidRPr="00DE0E4F">
              <w:rPr>
                <w:spacing w:val="-4"/>
                <w:sz w:val="24"/>
                <w:szCs w:val="24"/>
              </w:rPr>
              <w:t xml:space="preserve"> valsts</w:t>
            </w:r>
            <w:r w:rsidR="007F3AEE" w:rsidRPr="00DE0E4F">
              <w:rPr>
                <w:spacing w:val="-4"/>
                <w:sz w:val="24"/>
                <w:szCs w:val="24"/>
              </w:rPr>
              <w:t xml:space="preserve"> budžetā ilgtermiņa saistības </w:t>
            </w:r>
            <w:r w:rsidR="006C1138" w:rsidRPr="00DE0E4F">
              <w:rPr>
                <w:spacing w:val="-4"/>
                <w:sz w:val="24"/>
                <w:szCs w:val="24"/>
              </w:rPr>
              <w:t xml:space="preserve">vēl </w:t>
            </w:r>
            <w:r w:rsidR="007F3AEE" w:rsidRPr="00DE0E4F">
              <w:rPr>
                <w:spacing w:val="-4"/>
                <w:sz w:val="24"/>
                <w:szCs w:val="24"/>
              </w:rPr>
              <w:t xml:space="preserve">nav iestrādātas, tad </w:t>
            </w:r>
            <w:r w:rsidR="006C1138" w:rsidRPr="00DE0E4F">
              <w:rPr>
                <w:spacing w:val="-4"/>
                <w:sz w:val="24"/>
                <w:szCs w:val="24"/>
              </w:rPr>
              <w:t xml:space="preserve">līdzekļu pārdale </w:t>
            </w:r>
            <w:r w:rsidR="007F3AEE" w:rsidRPr="00DE0E4F">
              <w:rPr>
                <w:spacing w:val="-4"/>
                <w:sz w:val="24"/>
                <w:szCs w:val="24"/>
              </w:rPr>
              <w:t>ir attiecināma tikai uz 2016.</w:t>
            </w:r>
            <w:r w:rsidR="00DE0E4F">
              <w:rPr>
                <w:spacing w:val="-4"/>
                <w:sz w:val="24"/>
                <w:szCs w:val="24"/>
              </w:rPr>
              <w:t> </w:t>
            </w:r>
            <w:r w:rsidR="007F3AEE" w:rsidRPr="00DE0E4F">
              <w:rPr>
                <w:spacing w:val="-4"/>
                <w:sz w:val="24"/>
                <w:szCs w:val="24"/>
              </w:rPr>
              <w:t>gadu.</w:t>
            </w:r>
            <w:r w:rsidR="00C15C18" w:rsidRPr="00DE0E4F">
              <w:rPr>
                <w:spacing w:val="-4"/>
                <w:sz w:val="24"/>
                <w:szCs w:val="24"/>
              </w:rPr>
              <w:t xml:space="preserve"> Līdz ar to indikatīvi ir plānots, ka</w:t>
            </w:r>
            <w:r w:rsidR="00D036D4" w:rsidRPr="00DE0E4F">
              <w:rPr>
                <w:spacing w:val="-4"/>
                <w:sz w:val="24"/>
                <w:szCs w:val="24"/>
              </w:rPr>
              <w:t xml:space="preserve"> 2016.</w:t>
            </w:r>
            <w:r w:rsidR="00A04B49" w:rsidRPr="00DE0E4F">
              <w:rPr>
                <w:spacing w:val="-4"/>
                <w:sz w:val="24"/>
                <w:szCs w:val="24"/>
              </w:rPr>
              <w:t> </w:t>
            </w:r>
            <w:r w:rsidR="00D036D4" w:rsidRPr="00DE0E4F">
              <w:rPr>
                <w:spacing w:val="-4"/>
                <w:sz w:val="24"/>
                <w:szCs w:val="24"/>
              </w:rPr>
              <w:t xml:space="preserve">gadā 3.4.2. SAM </w:t>
            </w:r>
            <w:r w:rsidR="00C15C18" w:rsidRPr="00DE0E4F">
              <w:rPr>
                <w:spacing w:val="-4"/>
                <w:sz w:val="24"/>
                <w:szCs w:val="24"/>
              </w:rPr>
              <w:t xml:space="preserve">piešķirtais finansējums </w:t>
            </w:r>
            <w:r w:rsidR="00D036D4" w:rsidRPr="00DE0E4F">
              <w:rPr>
                <w:spacing w:val="-4"/>
                <w:sz w:val="24"/>
                <w:szCs w:val="24"/>
              </w:rPr>
              <w:t xml:space="preserve">kopsummā </w:t>
            </w:r>
            <w:r w:rsidR="00C15C18" w:rsidRPr="00DE0E4F">
              <w:rPr>
                <w:spacing w:val="-4"/>
                <w:sz w:val="24"/>
                <w:szCs w:val="24"/>
              </w:rPr>
              <w:t>nemainīsies.</w:t>
            </w:r>
          </w:p>
          <w:p w14:paraId="17ABAA8F" w14:textId="392A264E" w:rsidR="008F7BEC" w:rsidRPr="00DE0E4F" w:rsidRDefault="008F7BEC" w:rsidP="00DE0E4F">
            <w:pPr>
              <w:ind w:right="113"/>
              <w:jc w:val="both"/>
              <w:rPr>
                <w:spacing w:val="-4"/>
                <w:sz w:val="24"/>
                <w:szCs w:val="24"/>
              </w:rPr>
            </w:pPr>
            <w:r w:rsidRPr="00DE0E4F">
              <w:rPr>
                <w:b/>
                <w:spacing w:val="-4"/>
                <w:sz w:val="24"/>
                <w:szCs w:val="24"/>
              </w:rPr>
              <w:t xml:space="preserve">No </w:t>
            </w:r>
            <w:r w:rsidR="00AB3B79" w:rsidRPr="00DE0E4F">
              <w:rPr>
                <w:b/>
                <w:spacing w:val="-4"/>
                <w:sz w:val="24"/>
                <w:szCs w:val="24"/>
              </w:rPr>
              <w:t>2017</w:t>
            </w:r>
            <w:r w:rsidR="00DE0E4F">
              <w:rPr>
                <w:b/>
                <w:spacing w:val="-4"/>
                <w:sz w:val="24"/>
                <w:szCs w:val="24"/>
              </w:rPr>
              <w:t>.</w:t>
            </w:r>
            <w:r w:rsidRPr="00DE0E4F">
              <w:rPr>
                <w:b/>
                <w:spacing w:val="-4"/>
                <w:sz w:val="24"/>
                <w:szCs w:val="24"/>
              </w:rPr>
              <w:t xml:space="preserve"> līdz 20</w:t>
            </w:r>
            <w:r w:rsidR="00AB3B79" w:rsidRPr="00DE0E4F">
              <w:rPr>
                <w:b/>
                <w:spacing w:val="-4"/>
                <w:sz w:val="24"/>
                <w:szCs w:val="24"/>
              </w:rPr>
              <w:t>19</w:t>
            </w:r>
            <w:r w:rsidRPr="00DE0E4F">
              <w:rPr>
                <w:b/>
                <w:spacing w:val="-4"/>
                <w:sz w:val="24"/>
                <w:szCs w:val="24"/>
              </w:rPr>
              <w:t>. gadam</w:t>
            </w:r>
            <w:r w:rsidRPr="00DE0E4F">
              <w:rPr>
                <w:spacing w:val="-4"/>
                <w:sz w:val="24"/>
                <w:szCs w:val="24"/>
              </w:rPr>
              <w:t xml:space="preserve"> </w:t>
            </w:r>
            <w:r w:rsidR="00566B9C" w:rsidRPr="00DE0E4F">
              <w:rPr>
                <w:spacing w:val="-4"/>
                <w:sz w:val="24"/>
                <w:szCs w:val="24"/>
              </w:rPr>
              <w:t xml:space="preserve">projektos plānots </w:t>
            </w:r>
            <w:r w:rsidR="00D036D4" w:rsidRPr="00DE0E4F">
              <w:rPr>
                <w:spacing w:val="-4"/>
                <w:sz w:val="24"/>
                <w:szCs w:val="24"/>
              </w:rPr>
              <w:t xml:space="preserve">finansējums </w:t>
            </w:r>
            <w:r w:rsidR="00AB3B79" w:rsidRPr="00DE0E4F">
              <w:rPr>
                <w:spacing w:val="-4"/>
                <w:sz w:val="24"/>
                <w:szCs w:val="24"/>
              </w:rPr>
              <w:t xml:space="preserve">4 904 579 </w:t>
            </w:r>
            <w:proofErr w:type="spellStart"/>
            <w:r w:rsidRPr="00DE0E4F">
              <w:rPr>
                <w:i/>
                <w:spacing w:val="-4"/>
                <w:sz w:val="24"/>
                <w:szCs w:val="24"/>
              </w:rPr>
              <w:t>euro</w:t>
            </w:r>
            <w:proofErr w:type="spellEnd"/>
            <w:r w:rsidR="00D036D4" w:rsidRPr="00DE0E4F">
              <w:rPr>
                <w:i/>
                <w:spacing w:val="-4"/>
                <w:sz w:val="24"/>
                <w:szCs w:val="24"/>
              </w:rPr>
              <w:t xml:space="preserve"> </w:t>
            </w:r>
            <w:r w:rsidR="00D036D4" w:rsidRPr="00DE0E4F">
              <w:rPr>
                <w:spacing w:val="-4"/>
                <w:sz w:val="24"/>
                <w:szCs w:val="24"/>
              </w:rPr>
              <w:t>apmērā</w:t>
            </w:r>
            <w:r w:rsidRPr="00DE0E4F">
              <w:rPr>
                <w:spacing w:val="-4"/>
                <w:sz w:val="24"/>
                <w:szCs w:val="24"/>
              </w:rPr>
              <w:t xml:space="preserve">. </w:t>
            </w:r>
            <w:r w:rsidR="00AB3B79" w:rsidRPr="00DE0E4F">
              <w:rPr>
                <w:spacing w:val="-4"/>
                <w:sz w:val="24"/>
                <w:szCs w:val="24"/>
              </w:rPr>
              <w:t>2017.</w:t>
            </w:r>
            <w:r w:rsidR="00DE0E4F">
              <w:rPr>
                <w:spacing w:val="-4"/>
                <w:sz w:val="24"/>
                <w:szCs w:val="24"/>
              </w:rPr>
              <w:t> </w:t>
            </w:r>
            <w:r w:rsidR="00AB3B79" w:rsidRPr="00DE0E4F">
              <w:rPr>
                <w:spacing w:val="-4"/>
                <w:sz w:val="24"/>
                <w:szCs w:val="24"/>
              </w:rPr>
              <w:t>gadā tiek pl</w:t>
            </w:r>
            <w:r w:rsidR="00566B9C" w:rsidRPr="00DE0E4F">
              <w:rPr>
                <w:spacing w:val="-4"/>
                <w:sz w:val="24"/>
                <w:szCs w:val="24"/>
              </w:rPr>
              <w:t xml:space="preserve">ānoti </w:t>
            </w:r>
            <w:r w:rsidR="00F553B3" w:rsidRPr="00DE0E4F">
              <w:rPr>
                <w:spacing w:val="-4"/>
                <w:sz w:val="24"/>
                <w:szCs w:val="24"/>
              </w:rPr>
              <w:t>1,2</w:t>
            </w:r>
            <w:r w:rsidR="00D036D4" w:rsidRPr="00DE0E4F">
              <w:rPr>
                <w:spacing w:val="-4"/>
                <w:sz w:val="24"/>
                <w:szCs w:val="24"/>
              </w:rPr>
              <w:t xml:space="preserve"> miljoni</w:t>
            </w:r>
            <w:r w:rsidR="00AB3B79" w:rsidRPr="00DE0E4F">
              <w:rPr>
                <w:spacing w:val="-4"/>
                <w:sz w:val="24"/>
                <w:szCs w:val="24"/>
              </w:rPr>
              <w:t xml:space="preserve"> </w:t>
            </w:r>
            <w:proofErr w:type="spellStart"/>
            <w:r w:rsidR="00AB3B79" w:rsidRPr="00DE0E4F">
              <w:rPr>
                <w:i/>
                <w:spacing w:val="-4"/>
                <w:sz w:val="24"/>
                <w:szCs w:val="24"/>
              </w:rPr>
              <w:t>euro</w:t>
            </w:r>
            <w:proofErr w:type="spellEnd"/>
            <w:r w:rsidR="00AB3B79" w:rsidRPr="00DE0E4F">
              <w:rPr>
                <w:spacing w:val="-4"/>
                <w:sz w:val="24"/>
                <w:szCs w:val="24"/>
              </w:rPr>
              <w:t>,</w:t>
            </w:r>
            <w:r w:rsidR="00566B9C" w:rsidRPr="00DE0E4F">
              <w:rPr>
                <w:spacing w:val="-4"/>
                <w:sz w:val="24"/>
                <w:szCs w:val="24"/>
              </w:rPr>
              <w:t xml:space="preserve"> savukārt</w:t>
            </w:r>
            <w:r w:rsidR="00AB3B79" w:rsidRPr="00DE0E4F">
              <w:rPr>
                <w:spacing w:val="-4"/>
                <w:sz w:val="24"/>
                <w:szCs w:val="24"/>
              </w:rPr>
              <w:t xml:space="preserve"> kā viens no finansiāli ietilpīgākajiem gadiem </w:t>
            </w:r>
            <w:r w:rsidR="00DE0E4F">
              <w:rPr>
                <w:spacing w:val="-4"/>
                <w:sz w:val="24"/>
                <w:szCs w:val="24"/>
              </w:rPr>
              <w:t>būs</w:t>
            </w:r>
            <w:r w:rsidR="00AB3B79" w:rsidRPr="00DE0E4F">
              <w:rPr>
                <w:spacing w:val="-4"/>
                <w:sz w:val="24"/>
                <w:szCs w:val="24"/>
              </w:rPr>
              <w:t xml:space="preserve"> 2018.</w:t>
            </w:r>
            <w:r w:rsidR="00DE0E4F">
              <w:rPr>
                <w:spacing w:val="-4"/>
                <w:sz w:val="24"/>
                <w:szCs w:val="24"/>
              </w:rPr>
              <w:t> </w:t>
            </w:r>
            <w:r w:rsidR="00566B9C" w:rsidRPr="00DE0E4F">
              <w:rPr>
                <w:spacing w:val="-4"/>
                <w:sz w:val="24"/>
                <w:szCs w:val="24"/>
              </w:rPr>
              <w:t>gad</w:t>
            </w:r>
            <w:r w:rsidR="00AB3B79" w:rsidRPr="00DE0E4F">
              <w:rPr>
                <w:spacing w:val="-4"/>
                <w:sz w:val="24"/>
                <w:szCs w:val="24"/>
              </w:rPr>
              <w:t>s,</w:t>
            </w:r>
            <w:r w:rsidR="00566B9C" w:rsidRPr="00DE0E4F">
              <w:rPr>
                <w:spacing w:val="-4"/>
                <w:sz w:val="24"/>
                <w:szCs w:val="24"/>
              </w:rPr>
              <w:t xml:space="preserve"> kurā plānoti 2</w:t>
            </w:r>
            <w:r w:rsidR="00F553B3" w:rsidRPr="00DE0E4F">
              <w:rPr>
                <w:spacing w:val="-4"/>
                <w:sz w:val="24"/>
                <w:szCs w:val="24"/>
              </w:rPr>
              <w:t>,1</w:t>
            </w:r>
            <w:r w:rsidR="00D036D4" w:rsidRPr="00DE0E4F">
              <w:rPr>
                <w:spacing w:val="-4"/>
                <w:sz w:val="24"/>
                <w:szCs w:val="24"/>
              </w:rPr>
              <w:t xml:space="preserve"> miljon</w:t>
            </w:r>
            <w:r w:rsidR="00566B9C" w:rsidRPr="00DE0E4F">
              <w:rPr>
                <w:spacing w:val="-4"/>
                <w:sz w:val="24"/>
                <w:szCs w:val="24"/>
              </w:rPr>
              <w:t xml:space="preserve">s </w:t>
            </w:r>
            <w:proofErr w:type="spellStart"/>
            <w:r w:rsidR="00566B9C" w:rsidRPr="00DE0E4F">
              <w:rPr>
                <w:i/>
                <w:spacing w:val="-4"/>
                <w:sz w:val="24"/>
                <w:szCs w:val="24"/>
              </w:rPr>
              <w:t>euro</w:t>
            </w:r>
            <w:proofErr w:type="spellEnd"/>
            <w:r w:rsidR="00566B9C" w:rsidRPr="00DE0E4F">
              <w:rPr>
                <w:i/>
                <w:spacing w:val="-4"/>
                <w:sz w:val="24"/>
                <w:szCs w:val="24"/>
              </w:rPr>
              <w:t>.</w:t>
            </w:r>
            <w:r w:rsidR="00566B9C" w:rsidRPr="00DE0E4F">
              <w:rPr>
                <w:spacing w:val="-4"/>
                <w:sz w:val="24"/>
                <w:szCs w:val="24"/>
              </w:rPr>
              <w:t xml:space="preserve"> </w:t>
            </w:r>
            <w:r w:rsidRPr="00DE0E4F">
              <w:rPr>
                <w:spacing w:val="-4"/>
                <w:sz w:val="24"/>
                <w:szCs w:val="24"/>
              </w:rPr>
              <w:t xml:space="preserve">Budžeta ilgtermiņa saistībās </w:t>
            </w:r>
            <w:r w:rsidR="00AB3B79" w:rsidRPr="00DE0E4F">
              <w:rPr>
                <w:spacing w:val="-4"/>
                <w:sz w:val="24"/>
                <w:szCs w:val="24"/>
              </w:rPr>
              <w:t>2017</w:t>
            </w:r>
            <w:r w:rsidRPr="00DE0E4F">
              <w:rPr>
                <w:spacing w:val="-4"/>
                <w:sz w:val="24"/>
                <w:szCs w:val="24"/>
              </w:rPr>
              <w:t>. gadam šobrīd finansējums projektiem nav paredzēts. Tas bu</w:t>
            </w:r>
            <w:r w:rsidR="006D75C7" w:rsidRPr="00DE0E4F">
              <w:rPr>
                <w:spacing w:val="-4"/>
                <w:sz w:val="24"/>
                <w:szCs w:val="24"/>
              </w:rPr>
              <w:t>džeta ilgtermiņa saistībās tiks</w:t>
            </w:r>
            <w:r w:rsidR="00D036D4" w:rsidRPr="00DE0E4F">
              <w:rPr>
                <w:spacing w:val="-4"/>
                <w:sz w:val="24"/>
                <w:szCs w:val="24"/>
              </w:rPr>
              <w:t xml:space="preserve"> iekļauts</w:t>
            </w:r>
            <w:r w:rsidRPr="00DE0E4F">
              <w:rPr>
                <w:spacing w:val="-4"/>
                <w:sz w:val="24"/>
                <w:szCs w:val="24"/>
              </w:rPr>
              <w:t xml:space="preserve">, izstrādājot valsts budžetu </w:t>
            </w:r>
            <w:r w:rsidR="00AB3B79" w:rsidRPr="00DE0E4F">
              <w:rPr>
                <w:spacing w:val="-4"/>
                <w:sz w:val="24"/>
                <w:szCs w:val="24"/>
              </w:rPr>
              <w:t>2017</w:t>
            </w:r>
            <w:r w:rsidRPr="00DE0E4F">
              <w:rPr>
                <w:spacing w:val="-4"/>
                <w:sz w:val="24"/>
                <w:szCs w:val="24"/>
              </w:rPr>
              <w:t xml:space="preserve">. gadam. </w:t>
            </w:r>
          </w:p>
          <w:p w14:paraId="17ABAA90" w14:textId="670A28CB" w:rsidR="008F7BEC" w:rsidRPr="000927B6" w:rsidRDefault="008F7BEC" w:rsidP="00DE0E4F">
            <w:pPr>
              <w:ind w:right="113"/>
              <w:jc w:val="both"/>
              <w:rPr>
                <w:b/>
                <w:spacing w:val="-4"/>
                <w:sz w:val="24"/>
                <w:szCs w:val="24"/>
              </w:rPr>
            </w:pPr>
            <w:r w:rsidRPr="00DE0E4F">
              <w:rPr>
                <w:b/>
                <w:spacing w:val="-4"/>
                <w:sz w:val="24"/>
                <w:szCs w:val="24"/>
              </w:rPr>
              <w:t xml:space="preserve">No </w:t>
            </w:r>
            <w:r w:rsidR="00566B9C" w:rsidRPr="00DE0E4F">
              <w:rPr>
                <w:b/>
                <w:spacing w:val="-4"/>
                <w:sz w:val="24"/>
                <w:szCs w:val="24"/>
              </w:rPr>
              <w:t>2020</w:t>
            </w:r>
            <w:r w:rsidR="00DE0E4F">
              <w:rPr>
                <w:b/>
                <w:spacing w:val="-4"/>
                <w:sz w:val="24"/>
                <w:szCs w:val="24"/>
              </w:rPr>
              <w:t>.</w:t>
            </w:r>
            <w:r w:rsidRPr="00DE0E4F">
              <w:rPr>
                <w:b/>
                <w:spacing w:val="-4"/>
                <w:sz w:val="24"/>
                <w:szCs w:val="24"/>
              </w:rPr>
              <w:t xml:space="preserve"> līdz 2022. gadam </w:t>
            </w:r>
            <w:r w:rsidR="00726380" w:rsidRPr="00DE0E4F">
              <w:rPr>
                <w:spacing w:val="-4"/>
                <w:sz w:val="24"/>
                <w:szCs w:val="24"/>
              </w:rPr>
              <w:t>projektos ieplānoti</w:t>
            </w:r>
            <w:r w:rsidR="00726380" w:rsidRPr="00DE0E4F">
              <w:rPr>
                <w:b/>
                <w:spacing w:val="-4"/>
                <w:sz w:val="24"/>
                <w:szCs w:val="24"/>
              </w:rPr>
              <w:t xml:space="preserve"> </w:t>
            </w:r>
            <w:r w:rsidR="00566B9C" w:rsidRPr="00DE0E4F">
              <w:rPr>
                <w:spacing w:val="-4"/>
                <w:sz w:val="24"/>
                <w:szCs w:val="24"/>
              </w:rPr>
              <w:t xml:space="preserve">3 067 164 </w:t>
            </w:r>
            <w:proofErr w:type="spellStart"/>
            <w:r w:rsidRPr="00DE0E4F">
              <w:rPr>
                <w:i/>
                <w:spacing w:val="-4"/>
                <w:sz w:val="24"/>
                <w:szCs w:val="24"/>
              </w:rPr>
              <w:t>euro</w:t>
            </w:r>
            <w:proofErr w:type="spellEnd"/>
            <w:r w:rsidRPr="00DE0E4F">
              <w:rPr>
                <w:spacing w:val="-4"/>
                <w:sz w:val="24"/>
                <w:szCs w:val="24"/>
              </w:rPr>
              <w:t xml:space="preserve">. Vidēji ik gadu kopējās izmaksas indikatīvi </w:t>
            </w:r>
            <w:r w:rsidR="00726380" w:rsidRPr="00DE0E4F">
              <w:rPr>
                <w:spacing w:val="-4"/>
                <w:sz w:val="24"/>
                <w:szCs w:val="24"/>
              </w:rPr>
              <w:t xml:space="preserve">varētu būt </w:t>
            </w:r>
            <w:r w:rsidRPr="00DE0E4F">
              <w:rPr>
                <w:spacing w:val="-4"/>
                <w:sz w:val="24"/>
                <w:szCs w:val="24"/>
              </w:rPr>
              <w:t>1</w:t>
            </w:r>
            <w:r w:rsidR="00566B9C" w:rsidRPr="00DE0E4F">
              <w:rPr>
                <w:spacing w:val="-4"/>
                <w:sz w:val="24"/>
                <w:szCs w:val="24"/>
              </w:rPr>
              <w:t xml:space="preserve"> 022 388 </w:t>
            </w:r>
            <w:proofErr w:type="spellStart"/>
            <w:r w:rsidRPr="00DE0E4F">
              <w:rPr>
                <w:i/>
                <w:spacing w:val="-4"/>
                <w:sz w:val="24"/>
                <w:szCs w:val="24"/>
              </w:rPr>
              <w:t>euro</w:t>
            </w:r>
            <w:proofErr w:type="spellEnd"/>
            <w:r w:rsidRPr="00DE0E4F">
              <w:rPr>
                <w:spacing w:val="-4"/>
                <w:sz w:val="24"/>
                <w:szCs w:val="24"/>
              </w:rPr>
              <w:t>, tai skaitā ESF finansējums –</w:t>
            </w:r>
            <w:r w:rsidR="00566B9C" w:rsidRPr="00DE0E4F">
              <w:rPr>
                <w:spacing w:val="-4"/>
                <w:sz w:val="24"/>
                <w:szCs w:val="24"/>
              </w:rPr>
              <w:t xml:space="preserve">869 030 </w:t>
            </w:r>
            <w:proofErr w:type="spellStart"/>
            <w:r w:rsidRPr="00DE0E4F">
              <w:rPr>
                <w:i/>
                <w:spacing w:val="-4"/>
                <w:sz w:val="24"/>
                <w:szCs w:val="24"/>
              </w:rPr>
              <w:t>euro</w:t>
            </w:r>
            <w:proofErr w:type="spellEnd"/>
            <w:r w:rsidRPr="00DE0E4F">
              <w:rPr>
                <w:spacing w:val="-4"/>
                <w:sz w:val="24"/>
                <w:szCs w:val="24"/>
              </w:rPr>
              <w:t xml:space="preserve"> un valsts budžeta līdzfinansējums – </w:t>
            </w:r>
            <w:r w:rsidR="00F553B3" w:rsidRPr="00DE0E4F">
              <w:rPr>
                <w:spacing w:val="-4"/>
                <w:sz w:val="24"/>
                <w:szCs w:val="24"/>
              </w:rPr>
              <w:t>153 358</w:t>
            </w:r>
            <w:r w:rsidRPr="00DE0E4F">
              <w:rPr>
                <w:i/>
                <w:spacing w:val="-4"/>
                <w:sz w:val="24"/>
                <w:szCs w:val="24"/>
              </w:rPr>
              <w:t xml:space="preserve"> </w:t>
            </w:r>
            <w:proofErr w:type="spellStart"/>
            <w:r w:rsidRPr="00DE0E4F">
              <w:rPr>
                <w:i/>
                <w:spacing w:val="-4"/>
                <w:sz w:val="24"/>
                <w:szCs w:val="24"/>
              </w:rPr>
              <w:t>euro</w:t>
            </w:r>
            <w:proofErr w:type="spellEnd"/>
          </w:p>
        </w:tc>
      </w:tr>
      <w:tr w:rsidR="00803D65" w:rsidRPr="000927B6" w14:paraId="17ABAA94" w14:textId="77777777" w:rsidTr="00924012">
        <w:tc>
          <w:tcPr>
            <w:tcW w:w="1951" w:type="dxa"/>
          </w:tcPr>
          <w:p w14:paraId="17ABAA92" w14:textId="77777777" w:rsidR="008F7BEC" w:rsidRPr="000927B6" w:rsidRDefault="008F7BEC" w:rsidP="008F7BEC">
            <w:pPr>
              <w:rPr>
                <w:spacing w:val="-4"/>
                <w:sz w:val="24"/>
                <w:szCs w:val="24"/>
              </w:rPr>
            </w:pPr>
            <w:r w:rsidRPr="000927B6">
              <w:rPr>
                <w:spacing w:val="-4"/>
                <w:sz w:val="24"/>
                <w:szCs w:val="24"/>
              </w:rPr>
              <w:lastRenderedPageBreak/>
              <w:t>6.1. detalizēts ieņēmumu aprēķins</w:t>
            </w:r>
          </w:p>
        </w:tc>
        <w:tc>
          <w:tcPr>
            <w:tcW w:w="7835" w:type="dxa"/>
            <w:gridSpan w:val="5"/>
            <w:vMerge/>
          </w:tcPr>
          <w:p w14:paraId="17ABAA93" w14:textId="77777777" w:rsidR="008F7BEC" w:rsidRPr="000927B6" w:rsidRDefault="008F7BEC" w:rsidP="008F7BEC">
            <w:pPr>
              <w:pStyle w:val="naisf"/>
              <w:spacing w:before="0" w:beforeAutospacing="0" w:after="0" w:afterAutospacing="0"/>
              <w:ind w:left="57" w:right="113"/>
              <w:rPr>
                <w:b/>
                <w:i/>
              </w:rPr>
            </w:pPr>
          </w:p>
        </w:tc>
      </w:tr>
      <w:tr w:rsidR="00803D65" w:rsidRPr="000927B6" w14:paraId="17ABAA97" w14:textId="77777777" w:rsidTr="00924012">
        <w:tc>
          <w:tcPr>
            <w:tcW w:w="1951" w:type="dxa"/>
          </w:tcPr>
          <w:p w14:paraId="17ABAA95" w14:textId="77777777" w:rsidR="008F7BEC" w:rsidRPr="000927B6" w:rsidRDefault="008F7BEC" w:rsidP="008F7BEC">
            <w:pPr>
              <w:rPr>
                <w:spacing w:val="-4"/>
                <w:sz w:val="24"/>
                <w:szCs w:val="24"/>
              </w:rPr>
            </w:pPr>
            <w:r w:rsidRPr="000927B6">
              <w:rPr>
                <w:spacing w:val="-4"/>
                <w:sz w:val="24"/>
                <w:szCs w:val="24"/>
              </w:rPr>
              <w:t>6.2. detalizēts izdevumu aprēķins</w:t>
            </w:r>
          </w:p>
        </w:tc>
        <w:tc>
          <w:tcPr>
            <w:tcW w:w="7835" w:type="dxa"/>
            <w:gridSpan w:val="5"/>
            <w:vMerge/>
          </w:tcPr>
          <w:p w14:paraId="17ABAA96" w14:textId="77777777" w:rsidR="008F7BEC" w:rsidRPr="000927B6" w:rsidRDefault="008F7BEC" w:rsidP="008F7BEC">
            <w:pPr>
              <w:pStyle w:val="naisf"/>
              <w:spacing w:before="0" w:beforeAutospacing="0" w:after="0" w:afterAutospacing="0"/>
              <w:ind w:left="57" w:right="113"/>
              <w:rPr>
                <w:b/>
                <w:i/>
              </w:rPr>
            </w:pPr>
          </w:p>
        </w:tc>
      </w:tr>
      <w:tr w:rsidR="00803D65" w:rsidRPr="000927B6" w14:paraId="17ABAA9C" w14:textId="77777777" w:rsidTr="00924012">
        <w:trPr>
          <w:trHeight w:val="556"/>
        </w:trPr>
        <w:tc>
          <w:tcPr>
            <w:tcW w:w="1951" w:type="dxa"/>
          </w:tcPr>
          <w:p w14:paraId="17ABAA98" w14:textId="77777777" w:rsidR="008F7BEC" w:rsidRPr="000927B6" w:rsidRDefault="008F7BEC" w:rsidP="008F7BEC">
            <w:pPr>
              <w:rPr>
                <w:sz w:val="24"/>
                <w:szCs w:val="24"/>
              </w:rPr>
            </w:pPr>
            <w:r w:rsidRPr="000927B6">
              <w:rPr>
                <w:sz w:val="24"/>
                <w:szCs w:val="24"/>
              </w:rPr>
              <w:t>7. Cita informācija</w:t>
            </w:r>
          </w:p>
        </w:tc>
        <w:tc>
          <w:tcPr>
            <w:tcW w:w="7835" w:type="dxa"/>
            <w:gridSpan w:val="5"/>
          </w:tcPr>
          <w:p w14:paraId="17ABAA99" w14:textId="38EA1FF2" w:rsidR="00726380" w:rsidRDefault="008F7BEC" w:rsidP="002A1BA8">
            <w:pPr>
              <w:pStyle w:val="naisf"/>
              <w:tabs>
                <w:tab w:val="left" w:pos="4644"/>
              </w:tabs>
              <w:spacing w:before="0" w:beforeAutospacing="0" w:after="0" w:afterAutospacing="0"/>
              <w:ind w:right="57"/>
              <w:jc w:val="both"/>
              <w:rPr>
                <w:spacing w:val="-4"/>
              </w:rPr>
            </w:pPr>
            <w:r w:rsidRPr="000927B6">
              <w:rPr>
                <w:spacing w:val="-4"/>
              </w:rPr>
              <w:t>Finansējuma sadalījums pa gadiem norādīts</w:t>
            </w:r>
            <w:r w:rsidR="00C15C18">
              <w:rPr>
                <w:spacing w:val="-4"/>
              </w:rPr>
              <w:t xml:space="preserve">, ņemot vērā pirmajā projektu iesniegumu </w:t>
            </w:r>
            <w:r w:rsidR="006A0D1B">
              <w:rPr>
                <w:spacing w:val="-4"/>
              </w:rPr>
              <w:t xml:space="preserve">atlases </w:t>
            </w:r>
            <w:r w:rsidR="00C15C18">
              <w:rPr>
                <w:spacing w:val="-4"/>
              </w:rPr>
              <w:t>kārtā apstiprināto projektu pieprasīto finansējumu 2016.</w:t>
            </w:r>
            <w:r w:rsidR="002A1BA8">
              <w:rPr>
                <w:spacing w:val="-4"/>
              </w:rPr>
              <w:t> </w:t>
            </w:r>
            <w:r w:rsidR="00C15C18">
              <w:rPr>
                <w:spacing w:val="-4"/>
              </w:rPr>
              <w:t>gadam, kā arī finansējuma saņēm</w:t>
            </w:r>
            <w:r w:rsidR="00726380">
              <w:rPr>
                <w:spacing w:val="-4"/>
              </w:rPr>
              <w:t>ēju sniegtās prognozes un otrajā</w:t>
            </w:r>
            <w:r w:rsidR="00C15C18">
              <w:rPr>
                <w:spacing w:val="-4"/>
              </w:rPr>
              <w:t xml:space="preserve"> projektu iesniegumu </w:t>
            </w:r>
            <w:r w:rsidR="006A0D1B">
              <w:rPr>
                <w:spacing w:val="-4"/>
              </w:rPr>
              <w:t xml:space="preserve">atlases </w:t>
            </w:r>
            <w:r w:rsidR="00726380">
              <w:rPr>
                <w:spacing w:val="-4"/>
              </w:rPr>
              <w:t>kārtā pieejamo finansējumu un projekta ilgumu.</w:t>
            </w:r>
          </w:p>
          <w:p w14:paraId="17ABAA9A" w14:textId="611B335E" w:rsidR="00695DDB" w:rsidRDefault="00695DDB" w:rsidP="002A1BA8">
            <w:pPr>
              <w:pStyle w:val="naisf"/>
              <w:tabs>
                <w:tab w:val="left" w:pos="4644"/>
              </w:tabs>
              <w:spacing w:before="0" w:beforeAutospacing="0" w:after="0" w:afterAutospacing="0"/>
              <w:ind w:right="57"/>
              <w:jc w:val="both"/>
              <w:rPr>
                <w:spacing w:val="-4"/>
              </w:rPr>
            </w:pPr>
            <w:r>
              <w:rPr>
                <w:spacing w:val="-4"/>
              </w:rPr>
              <w:t>Papildus jāmin, ka Valsts kontrolei pārdalāmais finansējums būtisku ietekmi uz finansējuma plūsmu starp gadiem nemaina, jo, kā</w:t>
            </w:r>
            <w:proofErr w:type="gramStart"/>
            <w:r>
              <w:rPr>
                <w:spacing w:val="-4"/>
              </w:rPr>
              <w:t xml:space="preserve"> </w:t>
            </w:r>
            <w:r w:rsidR="002A1BA8">
              <w:rPr>
                <w:spacing w:val="-4"/>
              </w:rPr>
              <w:t xml:space="preserve"> </w:t>
            </w:r>
            <w:proofErr w:type="gramEnd"/>
            <w:r w:rsidR="002A1BA8">
              <w:rPr>
                <w:spacing w:val="-4"/>
              </w:rPr>
              <w:t xml:space="preserve">minēts </w:t>
            </w:r>
            <w:r>
              <w:rPr>
                <w:spacing w:val="-4"/>
              </w:rPr>
              <w:t xml:space="preserve">iepriekš, tad šis finansējums jau bija ieplānots Valsts administrācijas projektā, kas </w:t>
            </w:r>
            <w:r w:rsidR="006A0D1B">
              <w:rPr>
                <w:spacing w:val="-4"/>
              </w:rPr>
              <w:t xml:space="preserve">ar noteikumu projektu </w:t>
            </w:r>
            <w:r>
              <w:rPr>
                <w:spacing w:val="-4"/>
              </w:rPr>
              <w:t>tiek novirzīts Valsts kontrolei kā atsevišķam finansējuma saņēmējam.</w:t>
            </w:r>
          </w:p>
          <w:p w14:paraId="17ABAA9B" w14:textId="6B8E76AF" w:rsidR="008F7BEC" w:rsidRPr="000927B6" w:rsidRDefault="008F7BEC" w:rsidP="002A1BA8">
            <w:pPr>
              <w:pStyle w:val="naisf"/>
              <w:tabs>
                <w:tab w:val="left" w:pos="4644"/>
              </w:tabs>
              <w:spacing w:before="0" w:beforeAutospacing="0" w:after="0" w:afterAutospacing="0"/>
              <w:ind w:right="57"/>
              <w:jc w:val="both"/>
            </w:pPr>
            <w:r w:rsidRPr="000927B6">
              <w:rPr>
                <w:spacing w:val="-4"/>
              </w:rPr>
              <w:lastRenderedPageBreak/>
              <w:t>3.4.2. SAM projektu ietvaros ir plānoti neparedzēti izdevumi, kas nepārsniedz 2</w:t>
            </w:r>
            <w:r>
              <w:rPr>
                <w:spacing w:val="-4"/>
              </w:rPr>
              <w:t> </w:t>
            </w:r>
            <w:r w:rsidRPr="000927B6">
              <w:rPr>
                <w:spacing w:val="-4"/>
              </w:rPr>
              <w:t>% no tiešajām izmaksām. Neparedzēti</w:t>
            </w:r>
            <w:r w:rsidR="002A1BA8">
              <w:rPr>
                <w:spacing w:val="-4"/>
              </w:rPr>
              <w:t>e</w:t>
            </w:r>
            <w:r w:rsidRPr="000927B6">
              <w:rPr>
                <w:spacing w:val="-4"/>
              </w:rPr>
              <w:t xml:space="preserve"> izdevumi ir izdevumi par papildu darbu vai pakalpojumu veikšanu, kas neparedzamu apstākļu dēļ ir kļuvuši nepieciešami, lai varētu nodrošināt par projekta īstenošanu noslēgtā līguma izpildi, ja finansējuma saņēmējs veicis visus plānošanas pasākumus, lai šādus izdevumus novērstu. Par neparedzamiem apstākļiem uzskatāmi dabas apstākļi</w:t>
            </w:r>
            <w:r>
              <w:rPr>
                <w:spacing w:val="-4"/>
              </w:rPr>
              <w:t>, p</w:t>
            </w:r>
            <w:r w:rsidRPr="000927B6">
              <w:rPr>
                <w:spacing w:val="-4"/>
              </w:rPr>
              <w:t>iemēram, sals</w:t>
            </w:r>
            <w:r>
              <w:rPr>
                <w:spacing w:val="-4"/>
              </w:rPr>
              <w:t xml:space="preserve"> vai</w:t>
            </w:r>
            <w:r w:rsidRPr="000927B6">
              <w:rPr>
                <w:spacing w:val="-4"/>
              </w:rPr>
              <w:t xml:space="preserve"> sniegputenis, kuru dēļ, piemē</w:t>
            </w:r>
            <w:r>
              <w:rPr>
                <w:spacing w:val="-4"/>
              </w:rPr>
              <w:t>ram, ir kavēta vai atcelta avio</w:t>
            </w:r>
            <w:r w:rsidRPr="000927B6">
              <w:rPr>
                <w:spacing w:val="-4"/>
              </w:rPr>
              <w:t xml:space="preserve">satiksme un </w:t>
            </w:r>
            <w:r>
              <w:rPr>
                <w:spacing w:val="-4"/>
              </w:rPr>
              <w:t>tā</w:t>
            </w:r>
            <w:r w:rsidRPr="000927B6">
              <w:rPr>
                <w:spacing w:val="-4"/>
              </w:rPr>
              <w:t>dēļ tiek atcelta vai pārcelta projekta darbība, trešo personu radītie apstākļi, piemēram, izmaiņas normatīvajos aktos, pakalpojumu sadārdzinājums un tehniski iemesli, piemēram, specifiski konstatējumi attiecībā uz mērķa grupas vajadzību nodrošināšanu</w:t>
            </w:r>
          </w:p>
        </w:tc>
      </w:tr>
    </w:tbl>
    <w:p w14:paraId="17ABAA9D" w14:textId="77777777" w:rsidR="008F7BEC" w:rsidRDefault="008F7BEC" w:rsidP="00115E82">
      <w:pPr>
        <w:rPr>
          <w:rFonts w:eastAsia="Times New Roman" w:cs="Times New Roman"/>
          <w:sz w:val="16"/>
          <w:szCs w:val="16"/>
          <w:lang w:eastAsia="lv-LV"/>
        </w:rPr>
      </w:pPr>
    </w:p>
    <w:p w14:paraId="17ABAA9F" w14:textId="77777777" w:rsidR="008F7BEC" w:rsidRDefault="008F7BEC" w:rsidP="00115E82">
      <w:pPr>
        <w:rPr>
          <w:rFonts w:eastAsia="Times New Roman" w:cs="Times New Roman"/>
          <w:sz w:val="16"/>
          <w:szCs w:val="16"/>
          <w:lang w:eastAsia="lv-LV"/>
        </w:rPr>
      </w:pPr>
    </w:p>
    <w:tbl>
      <w:tblPr>
        <w:tblW w:w="533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78"/>
        <w:gridCol w:w="6368"/>
      </w:tblGrid>
      <w:tr w:rsidR="00DB5926" w:rsidRPr="00DB5926" w14:paraId="17ABAAA1" w14:textId="77777777" w:rsidTr="005219E9">
        <w:tc>
          <w:tcPr>
            <w:tcW w:w="5000" w:type="pct"/>
            <w:gridSpan w:val="3"/>
            <w:shd w:val="clear" w:color="auto" w:fill="auto"/>
          </w:tcPr>
          <w:p w14:paraId="17ABAAA0" w14:textId="77777777" w:rsidR="00DB5926" w:rsidRPr="00DB5926" w:rsidRDefault="00DB5926" w:rsidP="00DA0D41">
            <w:pPr>
              <w:jc w:val="center"/>
              <w:rPr>
                <w:b/>
                <w:sz w:val="24"/>
                <w:szCs w:val="24"/>
              </w:rPr>
            </w:pPr>
            <w:r w:rsidRPr="00DB5926">
              <w:rPr>
                <w:b/>
                <w:sz w:val="24"/>
                <w:szCs w:val="24"/>
              </w:rPr>
              <w:t>VI</w:t>
            </w:r>
            <w:r>
              <w:rPr>
                <w:b/>
                <w:sz w:val="24"/>
                <w:szCs w:val="24"/>
              </w:rPr>
              <w:t>.</w:t>
            </w:r>
            <w:r w:rsidRPr="00DB5926">
              <w:rPr>
                <w:b/>
                <w:sz w:val="24"/>
                <w:szCs w:val="24"/>
              </w:rPr>
              <w:t xml:space="preserve"> Sabiedrības līdzdalība un komunikācijas aktivitātes</w:t>
            </w:r>
          </w:p>
        </w:tc>
      </w:tr>
      <w:tr w:rsidR="00DB5926" w:rsidRPr="00DB5926" w14:paraId="17ABAAA5" w14:textId="77777777" w:rsidTr="00FD7FC2">
        <w:trPr>
          <w:trHeight w:val="425"/>
        </w:trPr>
        <w:tc>
          <w:tcPr>
            <w:tcW w:w="286" w:type="pct"/>
            <w:shd w:val="clear" w:color="auto" w:fill="auto"/>
          </w:tcPr>
          <w:p w14:paraId="17ABAAA2" w14:textId="77777777" w:rsidR="00DB5926" w:rsidRPr="00DB5926" w:rsidRDefault="00DB5926" w:rsidP="00DA0D41">
            <w:pPr>
              <w:jc w:val="both"/>
              <w:rPr>
                <w:sz w:val="24"/>
                <w:szCs w:val="24"/>
              </w:rPr>
            </w:pPr>
            <w:r w:rsidRPr="00DB5926">
              <w:rPr>
                <w:sz w:val="24"/>
                <w:szCs w:val="24"/>
              </w:rPr>
              <w:t>1.</w:t>
            </w:r>
          </w:p>
        </w:tc>
        <w:tc>
          <w:tcPr>
            <w:tcW w:w="1502" w:type="pct"/>
            <w:shd w:val="clear" w:color="auto" w:fill="auto"/>
          </w:tcPr>
          <w:p w14:paraId="17ABAAA3" w14:textId="77777777" w:rsidR="00DB5926" w:rsidRPr="00DB5926" w:rsidRDefault="00DB5926" w:rsidP="00DC6C75">
            <w:pPr>
              <w:rPr>
                <w:sz w:val="24"/>
                <w:szCs w:val="24"/>
              </w:rPr>
            </w:pPr>
            <w:r w:rsidRPr="00DB5926">
              <w:rPr>
                <w:sz w:val="24"/>
                <w:szCs w:val="24"/>
              </w:rPr>
              <w:t>Plānotās sabiedrības līdzdalības un komunikācijas aktivitātes saistībā ar projektu</w:t>
            </w:r>
          </w:p>
        </w:tc>
        <w:tc>
          <w:tcPr>
            <w:tcW w:w="3212" w:type="pct"/>
            <w:shd w:val="clear" w:color="auto" w:fill="auto"/>
          </w:tcPr>
          <w:p w14:paraId="17ABAAA4" w14:textId="77777777" w:rsidR="00C61D1E" w:rsidRPr="00DB5926" w:rsidRDefault="00C61D1E" w:rsidP="00DC6C75">
            <w:pPr>
              <w:autoSpaceDE w:val="0"/>
              <w:autoSpaceDN w:val="0"/>
              <w:adjustRightInd w:val="0"/>
              <w:rPr>
                <w:sz w:val="24"/>
                <w:szCs w:val="24"/>
              </w:rPr>
            </w:pPr>
            <w:r w:rsidRPr="00C61D1E">
              <w:rPr>
                <w:sz w:val="24"/>
                <w:szCs w:val="24"/>
              </w:rPr>
              <w:t>Sabiedrības pārstāvji varēs līdzdarboties noteikumu projekta izstrādē, sniedzot atzinumu un viedokli par Valsts sekretāru sanāksmē</w:t>
            </w:r>
            <w:r w:rsidR="00DC6C75">
              <w:rPr>
                <w:sz w:val="24"/>
                <w:szCs w:val="24"/>
              </w:rPr>
              <w:t xml:space="preserve"> izsludināto noteikumu projektu</w:t>
            </w:r>
          </w:p>
        </w:tc>
      </w:tr>
      <w:tr w:rsidR="00DB5926" w:rsidRPr="00DB5926" w14:paraId="17ABAAA9" w14:textId="77777777" w:rsidTr="00FD7FC2">
        <w:trPr>
          <w:trHeight w:val="425"/>
        </w:trPr>
        <w:tc>
          <w:tcPr>
            <w:tcW w:w="286" w:type="pct"/>
            <w:shd w:val="clear" w:color="auto" w:fill="auto"/>
          </w:tcPr>
          <w:p w14:paraId="17ABAAA6" w14:textId="77777777" w:rsidR="00DB5926" w:rsidRPr="00DB5926" w:rsidRDefault="00DB5926" w:rsidP="00DA0D41">
            <w:pPr>
              <w:jc w:val="both"/>
              <w:rPr>
                <w:sz w:val="24"/>
                <w:szCs w:val="24"/>
              </w:rPr>
            </w:pPr>
            <w:r w:rsidRPr="00DB5926">
              <w:rPr>
                <w:sz w:val="24"/>
                <w:szCs w:val="24"/>
              </w:rPr>
              <w:t>2.</w:t>
            </w:r>
          </w:p>
        </w:tc>
        <w:tc>
          <w:tcPr>
            <w:tcW w:w="1502" w:type="pct"/>
            <w:shd w:val="clear" w:color="auto" w:fill="auto"/>
          </w:tcPr>
          <w:p w14:paraId="17ABAAA7" w14:textId="77777777" w:rsidR="00DB5926" w:rsidRPr="00DB5926" w:rsidRDefault="00DB5926" w:rsidP="00DC6C75">
            <w:pPr>
              <w:rPr>
                <w:sz w:val="24"/>
                <w:szCs w:val="24"/>
              </w:rPr>
            </w:pPr>
            <w:r w:rsidRPr="00DB5926">
              <w:rPr>
                <w:sz w:val="24"/>
                <w:szCs w:val="24"/>
              </w:rPr>
              <w:t>Sabiedrības līdzdalība projekta izstrādē</w:t>
            </w:r>
          </w:p>
        </w:tc>
        <w:tc>
          <w:tcPr>
            <w:tcW w:w="3212" w:type="pct"/>
            <w:shd w:val="clear" w:color="auto" w:fill="auto"/>
          </w:tcPr>
          <w:p w14:paraId="17ABAAA8" w14:textId="77777777" w:rsidR="00DB5926" w:rsidRPr="00DB5926" w:rsidRDefault="00BE4650" w:rsidP="00DC6C75">
            <w:pPr>
              <w:contextualSpacing/>
              <w:rPr>
                <w:sz w:val="24"/>
                <w:szCs w:val="24"/>
                <w:highlight w:val="yellow"/>
              </w:rPr>
            </w:pPr>
            <w:r w:rsidRPr="00AC447A">
              <w:rPr>
                <w:sz w:val="24"/>
                <w:szCs w:val="24"/>
              </w:rPr>
              <w:t>Sabiedrības grupām projekta tiesiskais regulējums pēc būtības ne</w:t>
            </w:r>
            <w:r w:rsidR="00DC6C75">
              <w:rPr>
                <w:sz w:val="24"/>
                <w:szCs w:val="24"/>
              </w:rPr>
              <w:t>maina to tiesības un pienākumus</w:t>
            </w:r>
          </w:p>
        </w:tc>
      </w:tr>
      <w:tr w:rsidR="00DB5926" w:rsidRPr="00DB5926" w14:paraId="17ABAAAD" w14:textId="77777777" w:rsidTr="00FD7FC2">
        <w:trPr>
          <w:trHeight w:val="425"/>
        </w:trPr>
        <w:tc>
          <w:tcPr>
            <w:tcW w:w="286" w:type="pct"/>
            <w:shd w:val="clear" w:color="auto" w:fill="auto"/>
          </w:tcPr>
          <w:p w14:paraId="17ABAAAA" w14:textId="77777777" w:rsidR="00DB5926" w:rsidRPr="00DB5926" w:rsidRDefault="00DB5926" w:rsidP="00DA0D41">
            <w:pPr>
              <w:jc w:val="both"/>
              <w:rPr>
                <w:sz w:val="24"/>
                <w:szCs w:val="24"/>
              </w:rPr>
            </w:pPr>
            <w:r w:rsidRPr="00DB5926">
              <w:rPr>
                <w:sz w:val="24"/>
                <w:szCs w:val="24"/>
              </w:rPr>
              <w:t>3.</w:t>
            </w:r>
          </w:p>
        </w:tc>
        <w:tc>
          <w:tcPr>
            <w:tcW w:w="1502" w:type="pct"/>
            <w:shd w:val="clear" w:color="auto" w:fill="auto"/>
          </w:tcPr>
          <w:p w14:paraId="17ABAAAB" w14:textId="77777777" w:rsidR="00DB5926" w:rsidRPr="00DB5926" w:rsidRDefault="00DB5926" w:rsidP="00DC6C75">
            <w:pPr>
              <w:rPr>
                <w:sz w:val="24"/>
                <w:szCs w:val="24"/>
              </w:rPr>
            </w:pPr>
            <w:r w:rsidRPr="00DB5926">
              <w:rPr>
                <w:sz w:val="24"/>
                <w:szCs w:val="24"/>
              </w:rPr>
              <w:t>Sabiedrības līdzdalības rezultāti</w:t>
            </w:r>
          </w:p>
        </w:tc>
        <w:tc>
          <w:tcPr>
            <w:tcW w:w="3212" w:type="pct"/>
            <w:shd w:val="clear" w:color="auto" w:fill="auto"/>
          </w:tcPr>
          <w:p w14:paraId="17ABAAAC" w14:textId="77777777" w:rsidR="00DB5926" w:rsidRPr="00DB5926" w:rsidRDefault="00B85A0F" w:rsidP="00DC6C75">
            <w:pPr>
              <w:contextualSpacing/>
              <w:rPr>
                <w:sz w:val="24"/>
                <w:szCs w:val="24"/>
                <w:highlight w:val="yellow"/>
              </w:rPr>
            </w:pPr>
            <w:r w:rsidRPr="00FD7FC2">
              <w:rPr>
                <w:sz w:val="24"/>
                <w:szCs w:val="24"/>
              </w:rPr>
              <w:t>Noteikumu projekts šo jomu neskar</w:t>
            </w:r>
          </w:p>
        </w:tc>
      </w:tr>
      <w:tr w:rsidR="00DB5926" w:rsidRPr="00DB5926" w14:paraId="17ABAAB1" w14:textId="77777777" w:rsidTr="005219E9">
        <w:trPr>
          <w:trHeight w:val="425"/>
        </w:trPr>
        <w:tc>
          <w:tcPr>
            <w:tcW w:w="286" w:type="pct"/>
            <w:shd w:val="clear" w:color="auto" w:fill="auto"/>
          </w:tcPr>
          <w:p w14:paraId="17ABAAAE" w14:textId="77777777" w:rsidR="00DB5926" w:rsidRPr="00DB5926" w:rsidRDefault="00DB5926" w:rsidP="00DA0D41">
            <w:pPr>
              <w:jc w:val="both"/>
              <w:rPr>
                <w:sz w:val="24"/>
                <w:szCs w:val="24"/>
              </w:rPr>
            </w:pPr>
            <w:r w:rsidRPr="00DB5926">
              <w:rPr>
                <w:sz w:val="24"/>
                <w:szCs w:val="24"/>
              </w:rPr>
              <w:t>4.</w:t>
            </w:r>
          </w:p>
        </w:tc>
        <w:tc>
          <w:tcPr>
            <w:tcW w:w="1502" w:type="pct"/>
            <w:shd w:val="clear" w:color="auto" w:fill="auto"/>
          </w:tcPr>
          <w:p w14:paraId="17ABAAAF" w14:textId="77777777" w:rsidR="00DB5926" w:rsidRPr="00DB5926" w:rsidRDefault="00DB5926" w:rsidP="00DC6C75">
            <w:pPr>
              <w:rPr>
                <w:sz w:val="24"/>
                <w:szCs w:val="24"/>
              </w:rPr>
            </w:pPr>
            <w:r w:rsidRPr="00DB5926">
              <w:rPr>
                <w:sz w:val="24"/>
                <w:szCs w:val="24"/>
                <w:shd w:val="clear" w:color="auto" w:fill="FFFFFF"/>
              </w:rPr>
              <w:t>Cita informācija</w:t>
            </w:r>
          </w:p>
        </w:tc>
        <w:tc>
          <w:tcPr>
            <w:tcW w:w="3212" w:type="pct"/>
            <w:shd w:val="clear" w:color="auto" w:fill="auto"/>
          </w:tcPr>
          <w:p w14:paraId="17ABAAB0" w14:textId="77777777" w:rsidR="00DB5926" w:rsidRPr="00DB5926" w:rsidRDefault="00DB5926" w:rsidP="00DC6C75">
            <w:pPr>
              <w:contextualSpacing/>
              <w:rPr>
                <w:sz w:val="24"/>
                <w:szCs w:val="24"/>
                <w:highlight w:val="yellow"/>
              </w:rPr>
            </w:pPr>
            <w:r w:rsidRPr="00DB5926">
              <w:rPr>
                <w:sz w:val="24"/>
                <w:szCs w:val="24"/>
              </w:rPr>
              <w:t>Nav</w:t>
            </w:r>
          </w:p>
        </w:tc>
      </w:tr>
    </w:tbl>
    <w:p w14:paraId="17ABAAB2" w14:textId="77777777" w:rsidR="00DB5926" w:rsidRDefault="00DB5926" w:rsidP="00115E82">
      <w:pPr>
        <w:rPr>
          <w:rFonts w:eastAsia="Times New Roman" w:cs="Times New Roman"/>
          <w:sz w:val="16"/>
          <w:szCs w:val="16"/>
          <w:lang w:eastAsia="lv-LV"/>
        </w:rPr>
      </w:pPr>
    </w:p>
    <w:p w14:paraId="17ABAAB3" w14:textId="77777777" w:rsidR="00DB5926" w:rsidRPr="00D13B02" w:rsidRDefault="00DB5926" w:rsidP="00115E82">
      <w:pPr>
        <w:rPr>
          <w:rFonts w:eastAsia="Times New Roman" w:cs="Times New Roman"/>
          <w:sz w:val="16"/>
          <w:szCs w:val="16"/>
          <w:lang w:eastAsia="lv-LV"/>
        </w:rPr>
      </w:pPr>
    </w:p>
    <w:tbl>
      <w:tblPr>
        <w:tblW w:w="9908"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3070"/>
        <w:gridCol w:w="6309"/>
      </w:tblGrid>
      <w:tr w:rsidR="00D13B02" w:rsidRPr="00D13B02" w14:paraId="17ABAAB5" w14:textId="77777777" w:rsidTr="00983E53">
        <w:trPr>
          <w:trHeight w:val="525"/>
          <w:tblCellSpacing w:w="0" w:type="dxa"/>
        </w:trPr>
        <w:tc>
          <w:tcPr>
            <w:tcW w:w="9908" w:type="dxa"/>
            <w:gridSpan w:val="3"/>
            <w:tcBorders>
              <w:top w:val="outset" w:sz="6" w:space="0" w:color="auto"/>
              <w:left w:val="outset" w:sz="6" w:space="0" w:color="auto"/>
              <w:bottom w:val="outset" w:sz="6" w:space="0" w:color="auto"/>
              <w:right w:val="outset" w:sz="6" w:space="0" w:color="auto"/>
            </w:tcBorders>
          </w:tcPr>
          <w:p w14:paraId="17ABAAB4" w14:textId="77777777" w:rsidR="00E66814" w:rsidRPr="00D13B02" w:rsidRDefault="00E66814" w:rsidP="007553A8">
            <w:pPr>
              <w:spacing w:before="100" w:beforeAutospacing="1" w:after="100" w:afterAutospacing="1"/>
              <w:jc w:val="center"/>
              <w:rPr>
                <w:rFonts w:eastAsia="Times New Roman" w:cs="Times New Roman"/>
                <w:b/>
                <w:sz w:val="26"/>
                <w:szCs w:val="26"/>
                <w:lang w:eastAsia="lv-LV"/>
              </w:rPr>
            </w:pPr>
            <w:r w:rsidRPr="00D13B02">
              <w:rPr>
                <w:rFonts w:eastAsia="Times New Roman" w:cs="Times New Roman"/>
                <w:b/>
                <w:sz w:val="26"/>
                <w:szCs w:val="26"/>
                <w:lang w:eastAsia="lv-LV"/>
              </w:rPr>
              <w:t>VII. Tiesību akta projekta izpildes nodrošināšana un tās ietekme uz institūcijām</w:t>
            </w:r>
          </w:p>
        </w:tc>
      </w:tr>
      <w:tr w:rsidR="00D13B02" w:rsidRPr="00D13B02" w14:paraId="17ABAAB9" w14:textId="77777777" w:rsidTr="00924012">
        <w:trPr>
          <w:trHeight w:val="525"/>
          <w:tblCellSpacing w:w="0" w:type="dxa"/>
        </w:trPr>
        <w:tc>
          <w:tcPr>
            <w:tcW w:w="529" w:type="dxa"/>
            <w:tcBorders>
              <w:top w:val="outset" w:sz="6" w:space="0" w:color="auto"/>
              <w:left w:val="outset" w:sz="6" w:space="0" w:color="auto"/>
              <w:bottom w:val="outset" w:sz="6" w:space="0" w:color="auto"/>
              <w:right w:val="outset" w:sz="6" w:space="0" w:color="auto"/>
            </w:tcBorders>
          </w:tcPr>
          <w:p w14:paraId="17ABAAB6" w14:textId="77777777" w:rsidR="00E66814" w:rsidRPr="00D13B02" w:rsidRDefault="00E66814"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1.</w:t>
            </w:r>
          </w:p>
        </w:tc>
        <w:tc>
          <w:tcPr>
            <w:tcW w:w="3070" w:type="dxa"/>
            <w:tcBorders>
              <w:top w:val="outset" w:sz="6" w:space="0" w:color="auto"/>
              <w:left w:val="outset" w:sz="6" w:space="0" w:color="auto"/>
              <w:bottom w:val="outset" w:sz="6" w:space="0" w:color="auto"/>
              <w:right w:val="outset" w:sz="6" w:space="0" w:color="auto"/>
            </w:tcBorders>
          </w:tcPr>
          <w:p w14:paraId="17ABAAB7" w14:textId="77777777" w:rsidR="00E66814" w:rsidRPr="00D13B02" w:rsidRDefault="007C4D8F"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E66814" w:rsidRPr="00D13B02">
              <w:rPr>
                <w:rFonts w:eastAsia="Times New Roman" w:cs="Times New Roman"/>
                <w:sz w:val="24"/>
                <w:szCs w:val="24"/>
                <w:lang w:eastAsia="lv-LV"/>
              </w:rPr>
              <w:t>Projekta izpildē iesaistītās institūcijas</w:t>
            </w:r>
          </w:p>
        </w:tc>
        <w:tc>
          <w:tcPr>
            <w:tcW w:w="6309" w:type="dxa"/>
            <w:tcBorders>
              <w:top w:val="outset" w:sz="6" w:space="0" w:color="auto"/>
              <w:left w:val="outset" w:sz="6" w:space="0" w:color="auto"/>
              <w:bottom w:val="outset" w:sz="6" w:space="0" w:color="auto"/>
              <w:right w:val="outset" w:sz="6" w:space="0" w:color="auto"/>
            </w:tcBorders>
          </w:tcPr>
          <w:p w14:paraId="17ABAAB8" w14:textId="7F33B477" w:rsidR="000145DE" w:rsidRPr="00D247D5" w:rsidRDefault="007F3F45" w:rsidP="00F20924">
            <w:pPr>
              <w:ind w:left="73"/>
              <w:jc w:val="both"/>
              <w:rPr>
                <w:rFonts w:eastAsia="Times New Roman" w:cs="Times New Roman"/>
                <w:sz w:val="24"/>
                <w:szCs w:val="24"/>
                <w:lang w:eastAsia="lv-LV"/>
              </w:rPr>
            </w:pPr>
            <w:r w:rsidRPr="007F3F45">
              <w:rPr>
                <w:rFonts w:eastAsia="Times New Roman" w:cs="Times New Roman"/>
                <w:sz w:val="24"/>
                <w:szCs w:val="24"/>
                <w:lang w:eastAsia="lv-LV"/>
              </w:rPr>
              <w:t xml:space="preserve">Atbildīgās iestādes funkcijas pilda Valsts kanceleja, sadarbības iestādes funkcijas – Centrālā finanšu un līgumu aģentūra. Valsts administrācijas skola un Valsts </w:t>
            </w:r>
            <w:r>
              <w:rPr>
                <w:rFonts w:eastAsia="Times New Roman" w:cs="Times New Roman"/>
                <w:sz w:val="24"/>
                <w:szCs w:val="24"/>
                <w:lang w:eastAsia="lv-LV"/>
              </w:rPr>
              <w:t xml:space="preserve">kontrole </w:t>
            </w:r>
            <w:r w:rsidRPr="007F3F45">
              <w:rPr>
                <w:rFonts w:eastAsia="Times New Roman" w:cs="Times New Roman"/>
                <w:sz w:val="24"/>
                <w:szCs w:val="24"/>
                <w:lang w:eastAsia="lv-LV"/>
              </w:rPr>
              <w:t>ir Eiropas Savienības fondu finansējuma saņēmēji</w:t>
            </w:r>
            <w:r w:rsidR="00995B35">
              <w:rPr>
                <w:rFonts w:eastAsia="Times New Roman" w:cs="Times New Roman"/>
                <w:sz w:val="24"/>
                <w:szCs w:val="24"/>
                <w:lang w:eastAsia="lv-LV"/>
              </w:rPr>
              <w:t xml:space="preserve">. </w:t>
            </w:r>
            <w:r w:rsidR="00193E01">
              <w:rPr>
                <w:rFonts w:eastAsia="Times New Roman" w:cs="Times New Roman"/>
                <w:sz w:val="24"/>
                <w:szCs w:val="24"/>
                <w:lang w:eastAsia="lv-LV"/>
              </w:rPr>
              <w:t>F</w:t>
            </w:r>
            <w:r w:rsidR="000145DE">
              <w:rPr>
                <w:rFonts w:eastAsia="Times New Roman" w:cs="Times New Roman"/>
                <w:sz w:val="24"/>
                <w:szCs w:val="24"/>
                <w:lang w:eastAsia="lv-LV"/>
              </w:rPr>
              <w:t>inans</w:t>
            </w:r>
            <w:r w:rsidR="003637EA">
              <w:rPr>
                <w:rFonts w:eastAsia="Times New Roman" w:cs="Times New Roman"/>
                <w:sz w:val="24"/>
                <w:szCs w:val="24"/>
                <w:lang w:eastAsia="lv-LV"/>
              </w:rPr>
              <w:t>ējumu</w:t>
            </w:r>
            <w:r w:rsidR="000145DE">
              <w:rPr>
                <w:rFonts w:eastAsia="Times New Roman" w:cs="Times New Roman"/>
                <w:sz w:val="24"/>
                <w:szCs w:val="24"/>
                <w:lang w:eastAsia="lv-LV"/>
              </w:rPr>
              <w:t xml:space="preserve"> Valsts kontrolei</w:t>
            </w:r>
            <w:r w:rsidR="003637EA">
              <w:rPr>
                <w:rFonts w:eastAsia="Times New Roman" w:cs="Times New Roman"/>
                <w:sz w:val="24"/>
                <w:szCs w:val="24"/>
                <w:lang w:eastAsia="lv-LV"/>
              </w:rPr>
              <w:t xml:space="preserve"> plāno</w:t>
            </w:r>
            <w:r w:rsidR="00CC1899">
              <w:rPr>
                <w:rFonts w:eastAsia="Times New Roman" w:cs="Times New Roman"/>
                <w:sz w:val="24"/>
                <w:szCs w:val="24"/>
                <w:lang w:eastAsia="lv-LV"/>
              </w:rPr>
              <w:t>ts</w:t>
            </w:r>
            <w:r w:rsidR="000145DE">
              <w:rPr>
                <w:rFonts w:eastAsia="Times New Roman" w:cs="Times New Roman"/>
                <w:sz w:val="24"/>
                <w:szCs w:val="24"/>
                <w:lang w:eastAsia="lv-LV"/>
              </w:rPr>
              <w:t xml:space="preserve"> novirz</w:t>
            </w:r>
            <w:r w:rsidR="003637EA">
              <w:rPr>
                <w:rFonts w:eastAsia="Times New Roman" w:cs="Times New Roman"/>
                <w:sz w:val="24"/>
                <w:szCs w:val="24"/>
                <w:lang w:eastAsia="lv-LV"/>
              </w:rPr>
              <w:t>īt</w:t>
            </w:r>
            <w:r w:rsidR="000145DE">
              <w:rPr>
                <w:rFonts w:eastAsia="Times New Roman" w:cs="Times New Roman"/>
                <w:sz w:val="24"/>
                <w:szCs w:val="24"/>
                <w:lang w:eastAsia="lv-LV"/>
              </w:rPr>
              <w:t xml:space="preserve"> no Valsts administrācijas</w:t>
            </w:r>
            <w:r w:rsidR="003637EA">
              <w:rPr>
                <w:rFonts w:eastAsia="Times New Roman" w:cs="Times New Roman"/>
                <w:sz w:val="24"/>
                <w:szCs w:val="24"/>
                <w:lang w:eastAsia="lv-LV"/>
              </w:rPr>
              <w:t xml:space="preserve"> skolas</w:t>
            </w:r>
            <w:r w:rsidR="000145DE">
              <w:rPr>
                <w:rFonts w:eastAsia="Times New Roman" w:cs="Times New Roman"/>
                <w:sz w:val="24"/>
                <w:szCs w:val="24"/>
                <w:lang w:eastAsia="lv-LV"/>
              </w:rPr>
              <w:t xml:space="preserve"> īstenošanā esošā projekta</w:t>
            </w:r>
            <w:r w:rsidR="000145DE" w:rsidRPr="000145DE">
              <w:rPr>
                <w:rFonts w:eastAsia="Times New Roman" w:cs="Times New Roman"/>
                <w:sz w:val="24"/>
                <w:szCs w:val="24"/>
                <w:lang w:eastAsia="lv-LV"/>
              </w:rPr>
              <w:t xml:space="preserve"> </w:t>
            </w:r>
            <w:r w:rsidR="002A1BA8">
              <w:rPr>
                <w:rFonts w:eastAsia="Times New Roman" w:cs="Times New Roman"/>
                <w:sz w:val="24"/>
                <w:szCs w:val="24"/>
                <w:lang w:eastAsia="lv-LV"/>
              </w:rPr>
              <w:t>"</w:t>
            </w:r>
            <w:r w:rsidR="00702576" w:rsidRPr="00F0661D">
              <w:rPr>
                <w:sz w:val="24"/>
                <w:szCs w:val="24"/>
              </w:rPr>
              <w:t>Valsts pārvaldes cilvēkresursu profesionālā pilnveide korupcijas novēršanas un ēnu ekonomikas mazināšanas jomā</w:t>
            </w:r>
            <w:r w:rsidR="002A1BA8">
              <w:rPr>
                <w:sz w:val="24"/>
                <w:szCs w:val="24"/>
              </w:rPr>
              <w:t>"</w:t>
            </w:r>
            <w:r w:rsidR="00702576">
              <w:rPr>
                <w:sz w:val="24"/>
                <w:szCs w:val="24"/>
              </w:rPr>
              <w:t xml:space="preserve">, </w:t>
            </w:r>
            <w:r w:rsidR="00702576">
              <w:rPr>
                <w:rFonts w:eastAsia="Times New Roman" w:cs="Times New Roman"/>
                <w:sz w:val="24"/>
                <w:szCs w:val="24"/>
                <w:lang w:eastAsia="lv-LV"/>
              </w:rPr>
              <w:t>kurā</w:t>
            </w:r>
            <w:r w:rsidR="003637EA">
              <w:rPr>
                <w:rFonts w:eastAsia="Times New Roman" w:cs="Times New Roman"/>
                <w:sz w:val="24"/>
                <w:szCs w:val="24"/>
                <w:lang w:eastAsia="lv-LV"/>
              </w:rPr>
              <w:t xml:space="preserve"> </w:t>
            </w:r>
            <w:r w:rsidR="00193E01">
              <w:rPr>
                <w:rFonts w:eastAsia="Times New Roman" w:cs="Times New Roman"/>
                <w:sz w:val="24"/>
                <w:szCs w:val="24"/>
                <w:lang w:eastAsia="lv-LV"/>
              </w:rPr>
              <w:t>šobrīd ir ie</w:t>
            </w:r>
            <w:r w:rsidR="00702576">
              <w:rPr>
                <w:rFonts w:eastAsia="Times New Roman" w:cs="Times New Roman"/>
                <w:sz w:val="24"/>
                <w:szCs w:val="24"/>
                <w:lang w:eastAsia="lv-LV"/>
              </w:rPr>
              <w:t>pl</w:t>
            </w:r>
            <w:r w:rsidR="003637EA">
              <w:rPr>
                <w:rFonts w:eastAsia="Times New Roman" w:cs="Times New Roman"/>
                <w:sz w:val="24"/>
                <w:szCs w:val="24"/>
                <w:lang w:eastAsia="lv-LV"/>
              </w:rPr>
              <w:t>ān</w:t>
            </w:r>
            <w:r w:rsidR="00193E01">
              <w:rPr>
                <w:rFonts w:eastAsia="Times New Roman" w:cs="Times New Roman"/>
                <w:sz w:val="24"/>
                <w:szCs w:val="24"/>
                <w:lang w:eastAsia="lv-LV"/>
              </w:rPr>
              <w:t>ots Valsts kontroles</w:t>
            </w:r>
            <w:r w:rsidR="003C3F4F">
              <w:rPr>
                <w:rFonts w:eastAsia="Times New Roman" w:cs="Times New Roman"/>
                <w:sz w:val="24"/>
                <w:szCs w:val="24"/>
                <w:lang w:eastAsia="lv-LV"/>
              </w:rPr>
              <w:t xml:space="preserve"> </w:t>
            </w:r>
            <w:r w:rsidR="00193E01">
              <w:rPr>
                <w:rFonts w:eastAsia="Times New Roman" w:cs="Times New Roman"/>
                <w:sz w:val="24"/>
                <w:szCs w:val="24"/>
                <w:lang w:eastAsia="lv-LV"/>
              </w:rPr>
              <w:t>darbībām nepieciešamais finansējums</w:t>
            </w:r>
            <w:r w:rsidR="00995B35">
              <w:rPr>
                <w:rFonts w:eastAsia="Times New Roman" w:cs="Times New Roman"/>
                <w:sz w:val="24"/>
                <w:szCs w:val="24"/>
                <w:lang w:eastAsia="lv-LV"/>
              </w:rPr>
              <w:t>. P</w:t>
            </w:r>
            <w:r w:rsidR="003637EA">
              <w:rPr>
                <w:rFonts w:eastAsia="Times New Roman" w:cs="Times New Roman"/>
                <w:sz w:val="24"/>
                <w:szCs w:val="24"/>
                <w:lang w:eastAsia="lv-LV"/>
              </w:rPr>
              <w:t>ēc noteikumu</w:t>
            </w:r>
            <w:r w:rsidR="003C3F4F">
              <w:rPr>
                <w:rFonts w:eastAsia="Times New Roman" w:cs="Times New Roman"/>
                <w:sz w:val="24"/>
                <w:szCs w:val="24"/>
                <w:lang w:eastAsia="lv-LV"/>
              </w:rPr>
              <w:t xml:space="preserve"> projekta</w:t>
            </w:r>
            <w:r w:rsidR="003637EA">
              <w:rPr>
                <w:rFonts w:eastAsia="Times New Roman" w:cs="Times New Roman"/>
                <w:sz w:val="24"/>
                <w:szCs w:val="24"/>
                <w:lang w:eastAsia="lv-LV"/>
              </w:rPr>
              <w:t xml:space="preserve"> apstiprinā</w:t>
            </w:r>
            <w:r w:rsidR="003C3F4F">
              <w:rPr>
                <w:rFonts w:eastAsia="Times New Roman" w:cs="Times New Roman"/>
                <w:sz w:val="24"/>
                <w:szCs w:val="24"/>
                <w:lang w:eastAsia="lv-LV"/>
              </w:rPr>
              <w:t>šanas</w:t>
            </w:r>
            <w:r w:rsidR="003637EA">
              <w:rPr>
                <w:rFonts w:eastAsia="Times New Roman" w:cs="Times New Roman"/>
                <w:sz w:val="24"/>
                <w:szCs w:val="24"/>
                <w:lang w:eastAsia="lv-LV"/>
              </w:rPr>
              <w:t xml:space="preserve"> Valsts administrācijas skola iesniegs sadarbības iestādē </w:t>
            </w:r>
            <w:r w:rsidR="00A04B49">
              <w:rPr>
                <w:rFonts w:eastAsia="Times New Roman" w:cs="Times New Roman"/>
                <w:sz w:val="24"/>
                <w:szCs w:val="24"/>
                <w:lang w:eastAsia="lv-LV"/>
              </w:rPr>
              <w:t>–</w:t>
            </w:r>
            <w:r w:rsidR="003637EA">
              <w:rPr>
                <w:rFonts w:eastAsia="Times New Roman" w:cs="Times New Roman"/>
                <w:sz w:val="24"/>
                <w:szCs w:val="24"/>
                <w:lang w:eastAsia="lv-LV"/>
              </w:rPr>
              <w:t xml:space="preserve"> Centrālajā finanšu un līgumu aģentūrā</w:t>
            </w:r>
            <w:r w:rsidR="002A1BA8">
              <w:rPr>
                <w:rFonts w:eastAsia="Times New Roman" w:cs="Times New Roman"/>
                <w:sz w:val="24"/>
                <w:szCs w:val="24"/>
                <w:lang w:eastAsia="lv-LV"/>
              </w:rPr>
              <w:t xml:space="preserve"> –</w:t>
            </w:r>
            <w:r w:rsidR="003637EA">
              <w:rPr>
                <w:rFonts w:eastAsia="Times New Roman" w:cs="Times New Roman"/>
                <w:sz w:val="24"/>
                <w:szCs w:val="24"/>
                <w:lang w:eastAsia="lv-LV"/>
              </w:rPr>
              <w:t xml:space="preserve"> projekta grozījumus par finans</w:t>
            </w:r>
            <w:r w:rsidR="003C3F4F">
              <w:rPr>
                <w:rFonts w:eastAsia="Times New Roman" w:cs="Times New Roman"/>
                <w:sz w:val="24"/>
                <w:szCs w:val="24"/>
                <w:lang w:eastAsia="lv-LV"/>
              </w:rPr>
              <w:t xml:space="preserve">ējuma </w:t>
            </w:r>
            <w:r w:rsidR="003637EA" w:rsidRPr="00924012">
              <w:rPr>
                <w:rFonts w:eastAsia="Times New Roman" w:cs="Times New Roman"/>
                <w:sz w:val="24"/>
                <w:szCs w:val="24"/>
                <w:lang w:eastAsia="lv-LV"/>
              </w:rPr>
              <w:t>samazinā</w:t>
            </w:r>
            <w:r w:rsidR="001E5F21" w:rsidRPr="00924012">
              <w:rPr>
                <w:rFonts w:eastAsia="Times New Roman" w:cs="Times New Roman"/>
                <w:sz w:val="24"/>
                <w:szCs w:val="24"/>
                <w:lang w:eastAsia="lv-LV"/>
              </w:rPr>
              <w:t>šanu.</w:t>
            </w:r>
            <w:r w:rsidR="00193E01">
              <w:rPr>
                <w:rFonts w:eastAsia="Times New Roman" w:cs="Times New Roman"/>
                <w:sz w:val="24"/>
                <w:szCs w:val="24"/>
                <w:lang w:eastAsia="lv-LV"/>
              </w:rPr>
              <w:t xml:space="preserve"> </w:t>
            </w:r>
            <w:r w:rsidR="006A0D1B">
              <w:rPr>
                <w:rFonts w:eastAsia="Times New Roman" w:cs="Times New Roman"/>
                <w:sz w:val="24"/>
                <w:szCs w:val="24"/>
                <w:lang w:eastAsia="lv-LV"/>
              </w:rPr>
              <w:t xml:space="preserve">Ņemot vērā, ka noteikumu projekts neparedz papildu finansējuma piesaisti 3.4.2. SAM ietvaros, bet gan novirza nelielu finansējuma daļu, </w:t>
            </w:r>
            <w:r w:rsidR="002A1BA8">
              <w:rPr>
                <w:rFonts w:eastAsia="Times New Roman" w:cs="Times New Roman"/>
                <w:sz w:val="24"/>
                <w:szCs w:val="24"/>
                <w:lang w:eastAsia="lv-LV"/>
              </w:rPr>
              <w:t>(</w:t>
            </w:r>
            <w:r w:rsidR="006A0D1B">
              <w:rPr>
                <w:rFonts w:eastAsia="Times New Roman" w:cs="Times New Roman"/>
                <w:sz w:val="24"/>
                <w:szCs w:val="24"/>
                <w:lang w:eastAsia="lv-LV"/>
              </w:rPr>
              <w:t>3,16</w:t>
            </w:r>
            <w:r w:rsidR="002A1BA8">
              <w:rPr>
                <w:rFonts w:eastAsia="Times New Roman" w:cs="Times New Roman"/>
                <w:sz w:val="24"/>
                <w:szCs w:val="24"/>
                <w:lang w:eastAsia="lv-LV"/>
              </w:rPr>
              <w:t> </w:t>
            </w:r>
            <w:r w:rsidR="006A0D1B">
              <w:rPr>
                <w:rFonts w:eastAsia="Times New Roman" w:cs="Times New Roman"/>
                <w:sz w:val="24"/>
                <w:szCs w:val="24"/>
                <w:lang w:eastAsia="lv-LV"/>
              </w:rPr>
              <w:t xml:space="preserve">% no kopējā </w:t>
            </w:r>
            <w:r w:rsidR="00F20924">
              <w:rPr>
                <w:rFonts w:eastAsia="Times New Roman" w:cs="Times New Roman"/>
                <w:sz w:val="24"/>
                <w:szCs w:val="24"/>
                <w:lang w:eastAsia="lv-LV"/>
              </w:rPr>
              <w:t xml:space="preserve">SAM </w:t>
            </w:r>
            <w:r w:rsidR="000C1004">
              <w:rPr>
                <w:rFonts w:eastAsia="Times New Roman" w:cs="Times New Roman"/>
                <w:sz w:val="24"/>
                <w:szCs w:val="24"/>
                <w:lang w:eastAsia="lv-LV"/>
              </w:rPr>
              <w:t>3.4.2. finansējuma</w:t>
            </w:r>
            <w:r w:rsidR="00F20924">
              <w:rPr>
                <w:rFonts w:eastAsia="Times New Roman" w:cs="Times New Roman"/>
                <w:sz w:val="24"/>
                <w:szCs w:val="24"/>
                <w:lang w:eastAsia="lv-LV"/>
              </w:rPr>
              <w:t>)</w:t>
            </w:r>
            <w:r w:rsidR="000C1004">
              <w:rPr>
                <w:rFonts w:eastAsia="Times New Roman" w:cs="Times New Roman"/>
                <w:sz w:val="24"/>
                <w:szCs w:val="24"/>
                <w:lang w:eastAsia="lv-LV"/>
              </w:rPr>
              <w:t xml:space="preserve"> finansējuma saņēmējam – Valsts kontrolei, k</w:t>
            </w:r>
            <w:r w:rsidR="00F20924">
              <w:rPr>
                <w:rFonts w:eastAsia="Times New Roman" w:cs="Times New Roman"/>
                <w:sz w:val="24"/>
                <w:szCs w:val="24"/>
                <w:lang w:eastAsia="lv-LV"/>
              </w:rPr>
              <w:t>uru</w:t>
            </w:r>
            <w:r w:rsidR="000C1004">
              <w:rPr>
                <w:rFonts w:eastAsia="Times New Roman" w:cs="Times New Roman"/>
                <w:sz w:val="24"/>
                <w:szCs w:val="24"/>
                <w:lang w:eastAsia="lv-LV"/>
              </w:rPr>
              <w:t xml:space="preserve"> </w:t>
            </w:r>
            <w:r w:rsidR="00F20924">
              <w:rPr>
                <w:rFonts w:eastAsia="Times New Roman" w:cs="Times New Roman"/>
                <w:sz w:val="24"/>
                <w:szCs w:val="24"/>
                <w:lang w:eastAsia="lv-LV"/>
              </w:rPr>
              <w:t>tās</w:t>
            </w:r>
            <w:r w:rsidR="000C1004">
              <w:rPr>
                <w:rFonts w:eastAsia="Times New Roman" w:cs="Times New Roman"/>
                <w:sz w:val="24"/>
                <w:szCs w:val="24"/>
                <w:lang w:eastAsia="lv-LV"/>
              </w:rPr>
              <w:t xml:space="preserve"> funkciju </w:t>
            </w:r>
            <w:r w:rsidR="00411A2F">
              <w:rPr>
                <w:rFonts w:eastAsia="Times New Roman" w:cs="Times New Roman"/>
                <w:sz w:val="24"/>
                <w:szCs w:val="24"/>
                <w:lang w:eastAsia="lv-LV"/>
              </w:rPr>
              <w:t xml:space="preserve">un statusa </w:t>
            </w:r>
            <w:r w:rsidR="000C1004">
              <w:rPr>
                <w:rFonts w:eastAsia="Times New Roman" w:cs="Times New Roman"/>
                <w:sz w:val="24"/>
                <w:szCs w:val="24"/>
                <w:lang w:eastAsia="lv-LV"/>
              </w:rPr>
              <w:t>dēļ nevar apmācīt kopā ar pārējo mēr</w:t>
            </w:r>
            <w:r w:rsidR="00DC4195">
              <w:rPr>
                <w:rFonts w:eastAsia="Times New Roman" w:cs="Times New Roman"/>
                <w:sz w:val="24"/>
                <w:szCs w:val="24"/>
                <w:lang w:eastAsia="lv-LV"/>
              </w:rPr>
              <w:t>ķa grup</w:t>
            </w:r>
            <w:r w:rsidR="00411A2F">
              <w:rPr>
                <w:rFonts w:eastAsia="Times New Roman" w:cs="Times New Roman"/>
                <w:sz w:val="24"/>
                <w:szCs w:val="24"/>
                <w:lang w:eastAsia="lv-LV"/>
              </w:rPr>
              <w:t>u</w:t>
            </w:r>
            <w:r w:rsidR="000C1004">
              <w:rPr>
                <w:rFonts w:eastAsia="Times New Roman" w:cs="Times New Roman"/>
                <w:sz w:val="24"/>
                <w:szCs w:val="24"/>
                <w:lang w:eastAsia="lv-LV"/>
              </w:rPr>
              <w:t xml:space="preserve">, tad atbilstoši novirzītajai </w:t>
            </w:r>
            <w:r w:rsidR="000C1004" w:rsidRPr="00924012">
              <w:rPr>
                <w:rFonts w:eastAsia="Times New Roman" w:cs="Times New Roman"/>
                <w:sz w:val="24"/>
                <w:szCs w:val="24"/>
                <w:lang w:eastAsia="lv-LV"/>
              </w:rPr>
              <w:t>summai</w:t>
            </w:r>
            <w:r w:rsidR="0097630A" w:rsidRPr="00924012">
              <w:rPr>
                <w:rFonts w:eastAsia="Times New Roman" w:cs="Times New Roman"/>
                <w:sz w:val="24"/>
                <w:szCs w:val="24"/>
                <w:lang w:eastAsia="lv-LV"/>
              </w:rPr>
              <w:t>, kā</w:t>
            </w:r>
            <w:r w:rsidR="0097630A" w:rsidRPr="001B0B9B">
              <w:rPr>
                <w:rFonts w:eastAsia="Times New Roman" w:cs="Times New Roman"/>
                <w:sz w:val="24"/>
                <w:szCs w:val="24"/>
                <w:lang w:eastAsia="lv-LV"/>
              </w:rPr>
              <w:t xml:space="preserve"> arī projektā plānotaja</w:t>
            </w:r>
            <w:r w:rsidR="00F20924">
              <w:rPr>
                <w:rFonts w:eastAsia="Times New Roman" w:cs="Times New Roman"/>
                <w:sz w:val="24"/>
                <w:szCs w:val="24"/>
                <w:lang w:eastAsia="lv-LV"/>
              </w:rPr>
              <w:t>i Valsts kontroles mērķa grupai</w:t>
            </w:r>
            <w:r w:rsidR="000C1004" w:rsidRPr="001B0B9B">
              <w:rPr>
                <w:rFonts w:eastAsia="Times New Roman" w:cs="Times New Roman"/>
                <w:sz w:val="24"/>
                <w:szCs w:val="24"/>
                <w:lang w:eastAsia="lv-LV"/>
              </w:rPr>
              <w:t xml:space="preserve"> tiks pre</w:t>
            </w:r>
            <w:r w:rsidR="000C1004">
              <w:rPr>
                <w:rFonts w:eastAsia="Times New Roman" w:cs="Times New Roman"/>
                <w:sz w:val="24"/>
                <w:szCs w:val="24"/>
                <w:lang w:eastAsia="lv-LV"/>
              </w:rPr>
              <w:t xml:space="preserve">cizēti arī rezultāta un iznākuma radītāji sadalījumā starp finansējuma saņēmējiem, kas tiks </w:t>
            </w:r>
            <w:r w:rsidR="000C1004" w:rsidRPr="00CC1899">
              <w:rPr>
                <w:rFonts w:eastAsia="Times New Roman" w:cs="Times New Roman"/>
                <w:sz w:val="24"/>
                <w:szCs w:val="24"/>
                <w:lang w:eastAsia="lv-LV"/>
              </w:rPr>
              <w:t>norādīti</w:t>
            </w:r>
            <w:r w:rsidR="0097630A" w:rsidRPr="00CC1899">
              <w:rPr>
                <w:rFonts w:eastAsia="Times New Roman" w:cs="Times New Roman"/>
                <w:sz w:val="24"/>
                <w:szCs w:val="24"/>
                <w:lang w:eastAsia="lv-LV"/>
              </w:rPr>
              <w:t xml:space="preserve"> </w:t>
            </w:r>
            <w:r w:rsidR="00D247D5">
              <w:rPr>
                <w:rFonts w:eastAsia="Times New Roman" w:cs="Times New Roman"/>
                <w:sz w:val="24"/>
                <w:szCs w:val="24"/>
                <w:lang w:eastAsia="lv-LV"/>
              </w:rPr>
              <w:t>projektu</w:t>
            </w:r>
            <w:r w:rsidR="000C1004" w:rsidRPr="00CC1899">
              <w:rPr>
                <w:rFonts w:eastAsia="Times New Roman" w:cs="Times New Roman"/>
                <w:sz w:val="24"/>
                <w:szCs w:val="24"/>
                <w:lang w:eastAsia="lv-LV"/>
              </w:rPr>
              <w:t xml:space="preserve"> vērtēšanas metodikā</w:t>
            </w:r>
            <w:r w:rsidR="00BF7A14" w:rsidRPr="00CC1899">
              <w:rPr>
                <w:rFonts w:eastAsia="Times New Roman" w:cs="Times New Roman"/>
                <w:sz w:val="24"/>
                <w:szCs w:val="24"/>
                <w:lang w:eastAsia="lv-LV"/>
              </w:rPr>
              <w:t>.</w:t>
            </w:r>
            <w:r w:rsidR="00995B35">
              <w:rPr>
                <w:rFonts w:eastAsia="Times New Roman" w:cs="Times New Roman"/>
                <w:sz w:val="24"/>
                <w:szCs w:val="24"/>
                <w:lang w:eastAsia="lv-LV"/>
              </w:rPr>
              <w:t xml:space="preserve"> </w:t>
            </w:r>
            <w:r w:rsidR="00BF7A14">
              <w:rPr>
                <w:rFonts w:eastAsia="Times New Roman" w:cs="Times New Roman"/>
                <w:sz w:val="24"/>
                <w:szCs w:val="24"/>
                <w:lang w:eastAsia="lv-LV"/>
              </w:rPr>
              <w:t>T</w:t>
            </w:r>
            <w:r w:rsidR="00995B35">
              <w:rPr>
                <w:rFonts w:eastAsia="Times New Roman" w:cs="Times New Roman"/>
                <w:sz w:val="24"/>
                <w:szCs w:val="24"/>
                <w:lang w:eastAsia="lv-LV"/>
              </w:rPr>
              <w:t>ā kā veiktās izmaiņas nav būtiskas</w:t>
            </w:r>
            <w:r w:rsidR="0097630A">
              <w:rPr>
                <w:rFonts w:eastAsia="Times New Roman" w:cs="Times New Roman"/>
                <w:sz w:val="24"/>
                <w:szCs w:val="24"/>
                <w:lang w:eastAsia="lv-LV"/>
              </w:rPr>
              <w:t xml:space="preserve"> un skar tikai finansējuma pār</w:t>
            </w:r>
            <w:r w:rsidR="00411A2F">
              <w:rPr>
                <w:rFonts w:eastAsia="Times New Roman" w:cs="Times New Roman"/>
                <w:sz w:val="24"/>
                <w:szCs w:val="24"/>
                <w:lang w:eastAsia="lv-LV"/>
              </w:rPr>
              <w:t>dali</w:t>
            </w:r>
            <w:r w:rsidR="0097630A">
              <w:rPr>
                <w:rFonts w:eastAsia="Times New Roman" w:cs="Times New Roman"/>
                <w:sz w:val="24"/>
                <w:szCs w:val="24"/>
                <w:lang w:eastAsia="lv-LV"/>
              </w:rPr>
              <w:t xml:space="preserve"> starp finansējuma </w:t>
            </w:r>
            <w:r w:rsidR="0097630A">
              <w:rPr>
                <w:rFonts w:eastAsia="Times New Roman" w:cs="Times New Roman"/>
                <w:sz w:val="24"/>
                <w:szCs w:val="24"/>
                <w:lang w:eastAsia="lv-LV"/>
              </w:rPr>
              <w:lastRenderedPageBreak/>
              <w:t>saņēmējiem</w:t>
            </w:r>
            <w:r w:rsidR="00995B35">
              <w:rPr>
                <w:rFonts w:eastAsia="Times New Roman" w:cs="Times New Roman"/>
                <w:sz w:val="24"/>
                <w:szCs w:val="24"/>
                <w:lang w:eastAsia="lv-LV"/>
              </w:rPr>
              <w:t>, ietekm</w:t>
            </w:r>
            <w:r w:rsidR="00BF7A14">
              <w:rPr>
                <w:rFonts w:eastAsia="Times New Roman" w:cs="Times New Roman"/>
                <w:sz w:val="24"/>
                <w:szCs w:val="24"/>
                <w:lang w:eastAsia="lv-LV"/>
              </w:rPr>
              <w:t>e</w:t>
            </w:r>
            <w:r w:rsidR="00995B35">
              <w:rPr>
                <w:rFonts w:eastAsia="Times New Roman" w:cs="Times New Roman"/>
                <w:sz w:val="24"/>
                <w:szCs w:val="24"/>
                <w:lang w:eastAsia="lv-LV"/>
              </w:rPr>
              <w:t xml:space="preserve"> uz </w:t>
            </w:r>
            <w:r w:rsidR="004E49D7">
              <w:rPr>
                <w:rFonts w:eastAsia="Times New Roman" w:cs="Times New Roman"/>
                <w:sz w:val="24"/>
                <w:szCs w:val="24"/>
                <w:lang w:eastAsia="lv-LV"/>
              </w:rPr>
              <w:t xml:space="preserve">3.4.2. SAM noteiktajiem kopējiem </w:t>
            </w:r>
            <w:r w:rsidR="00995B35">
              <w:rPr>
                <w:rFonts w:eastAsia="Times New Roman" w:cs="Times New Roman"/>
                <w:sz w:val="24"/>
                <w:szCs w:val="24"/>
                <w:lang w:eastAsia="lv-LV"/>
              </w:rPr>
              <w:t>finanšu, iznākum</w:t>
            </w:r>
            <w:r w:rsidR="00411A2F">
              <w:rPr>
                <w:rFonts w:eastAsia="Times New Roman" w:cs="Times New Roman"/>
                <w:sz w:val="24"/>
                <w:szCs w:val="24"/>
                <w:lang w:eastAsia="lv-LV"/>
              </w:rPr>
              <w:t>a</w:t>
            </w:r>
            <w:r w:rsidR="00995B35">
              <w:rPr>
                <w:rFonts w:eastAsia="Times New Roman" w:cs="Times New Roman"/>
                <w:sz w:val="24"/>
                <w:szCs w:val="24"/>
                <w:lang w:eastAsia="lv-LV"/>
              </w:rPr>
              <w:t xml:space="preserve"> un rezultāta rādītājiem</w:t>
            </w:r>
            <w:r w:rsidR="00BF7A14">
              <w:rPr>
                <w:rFonts w:eastAsia="Times New Roman" w:cs="Times New Roman"/>
                <w:sz w:val="24"/>
                <w:szCs w:val="24"/>
                <w:lang w:eastAsia="lv-LV"/>
              </w:rPr>
              <w:t xml:space="preserve"> netiek plānota</w:t>
            </w:r>
            <w:r w:rsidR="000C1004">
              <w:rPr>
                <w:rFonts w:eastAsia="Times New Roman" w:cs="Times New Roman"/>
                <w:sz w:val="24"/>
                <w:szCs w:val="24"/>
                <w:lang w:eastAsia="lv-LV"/>
              </w:rPr>
              <w:t xml:space="preserve">. </w:t>
            </w:r>
            <w:r w:rsidR="00F20924">
              <w:rPr>
                <w:rFonts w:eastAsia="Times New Roman" w:cs="Times New Roman"/>
                <w:sz w:val="24"/>
                <w:szCs w:val="24"/>
                <w:lang w:eastAsia="lv-LV"/>
              </w:rPr>
              <w:t>Plānots</w:t>
            </w:r>
            <w:r w:rsidR="00995B35">
              <w:rPr>
                <w:rFonts w:eastAsia="Times New Roman" w:cs="Times New Roman"/>
                <w:sz w:val="24"/>
                <w:szCs w:val="24"/>
                <w:lang w:eastAsia="lv-LV"/>
              </w:rPr>
              <w:t>, ka projektu iesniegumu otr</w:t>
            </w:r>
            <w:r w:rsidR="00F20924">
              <w:rPr>
                <w:rFonts w:eastAsia="Times New Roman" w:cs="Times New Roman"/>
                <w:sz w:val="24"/>
                <w:szCs w:val="24"/>
                <w:lang w:eastAsia="lv-LV"/>
              </w:rPr>
              <w:t>o</w:t>
            </w:r>
            <w:r w:rsidR="00995B35">
              <w:rPr>
                <w:rFonts w:eastAsia="Times New Roman" w:cs="Times New Roman"/>
                <w:sz w:val="24"/>
                <w:szCs w:val="24"/>
                <w:lang w:eastAsia="lv-LV"/>
              </w:rPr>
              <w:t xml:space="preserve"> atlases kārt</w:t>
            </w:r>
            <w:r w:rsidR="00F20924">
              <w:rPr>
                <w:rFonts w:eastAsia="Times New Roman" w:cs="Times New Roman"/>
                <w:sz w:val="24"/>
                <w:szCs w:val="24"/>
                <w:lang w:eastAsia="lv-LV"/>
              </w:rPr>
              <w:t>u</w:t>
            </w:r>
            <w:r w:rsidR="00995B35">
              <w:rPr>
                <w:rFonts w:eastAsia="Times New Roman" w:cs="Times New Roman"/>
                <w:sz w:val="24"/>
                <w:szCs w:val="24"/>
                <w:lang w:eastAsia="lv-LV"/>
              </w:rPr>
              <w:t xml:space="preserve"> varētu izsludināt 2016.</w:t>
            </w:r>
            <w:r w:rsidR="00F20924">
              <w:rPr>
                <w:rFonts w:eastAsia="Times New Roman" w:cs="Times New Roman"/>
                <w:sz w:val="24"/>
                <w:szCs w:val="24"/>
                <w:lang w:eastAsia="lv-LV"/>
              </w:rPr>
              <w:t> </w:t>
            </w:r>
            <w:r w:rsidR="00995B35">
              <w:rPr>
                <w:rFonts w:eastAsia="Times New Roman" w:cs="Times New Roman"/>
                <w:sz w:val="24"/>
                <w:szCs w:val="24"/>
                <w:lang w:eastAsia="lv-LV"/>
              </w:rPr>
              <w:t>gada II ceturkšņa beigās vai III ceturkšņa sākumā.</w:t>
            </w:r>
          </w:p>
        </w:tc>
      </w:tr>
      <w:tr w:rsidR="00D13B02" w:rsidRPr="00D13B02" w14:paraId="17ABAABD" w14:textId="77777777" w:rsidTr="00924012">
        <w:trPr>
          <w:trHeight w:val="1139"/>
          <w:tblCellSpacing w:w="0" w:type="dxa"/>
        </w:trPr>
        <w:tc>
          <w:tcPr>
            <w:tcW w:w="529" w:type="dxa"/>
            <w:tcBorders>
              <w:top w:val="outset" w:sz="6" w:space="0" w:color="auto"/>
              <w:left w:val="outset" w:sz="6" w:space="0" w:color="auto"/>
              <w:bottom w:val="outset" w:sz="6" w:space="0" w:color="auto"/>
              <w:right w:val="outset" w:sz="6" w:space="0" w:color="auto"/>
            </w:tcBorders>
          </w:tcPr>
          <w:p w14:paraId="17ABAABA" w14:textId="77777777" w:rsidR="00E66814" w:rsidRPr="00D13B02" w:rsidRDefault="00074A1E"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lastRenderedPageBreak/>
              <w:t>2.</w:t>
            </w:r>
          </w:p>
        </w:tc>
        <w:tc>
          <w:tcPr>
            <w:tcW w:w="3070" w:type="dxa"/>
            <w:tcBorders>
              <w:top w:val="outset" w:sz="6" w:space="0" w:color="auto"/>
              <w:left w:val="outset" w:sz="6" w:space="0" w:color="auto"/>
              <w:bottom w:val="outset" w:sz="6" w:space="0" w:color="auto"/>
              <w:right w:val="outset" w:sz="6" w:space="0" w:color="auto"/>
            </w:tcBorders>
          </w:tcPr>
          <w:p w14:paraId="17ABAABB" w14:textId="77777777" w:rsidR="00E66814" w:rsidRPr="00D13B02" w:rsidRDefault="007C4D8F" w:rsidP="00074A1E">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074A1E" w:rsidRPr="00D13B02">
              <w:rPr>
                <w:rFonts w:eastAsia="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309" w:type="dxa"/>
            <w:tcBorders>
              <w:top w:val="outset" w:sz="6" w:space="0" w:color="auto"/>
              <w:left w:val="outset" w:sz="6" w:space="0" w:color="auto"/>
              <w:bottom w:val="outset" w:sz="6" w:space="0" w:color="auto"/>
              <w:right w:val="outset" w:sz="6" w:space="0" w:color="auto"/>
            </w:tcBorders>
          </w:tcPr>
          <w:p w14:paraId="17ABAABC" w14:textId="77777777" w:rsidR="00E66814" w:rsidRPr="00D13B02" w:rsidRDefault="007C4D8F" w:rsidP="004D7A34">
            <w:pPr>
              <w:spacing w:before="100" w:beforeAutospacing="1" w:after="100" w:afterAutospacing="1"/>
              <w:ind w:left="73"/>
              <w:rPr>
                <w:rFonts w:eastAsia="Times New Roman" w:cs="Times New Roman"/>
                <w:sz w:val="24"/>
                <w:szCs w:val="24"/>
                <w:lang w:eastAsia="lv-LV"/>
              </w:rPr>
            </w:pPr>
            <w:r w:rsidRPr="00D13B02">
              <w:rPr>
                <w:rFonts w:eastAsia="Times New Roman" w:cs="Times New Roman"/>
                <w:sz w:val="24"/>
                <w:szCs w:val="24"/>
                <w:lang w:eastAsia="lv-LV"/>
              </w:rPr>
              <w:t> </w:t>
            </w:r>
            <w:r w:rsidR="007F3F45">
              <w:rPr>
                <w:rFonts w:eastAsia="Times New Roman" w:cs="Times New Roman"/>
                <w:sz w:val="24"/>
                <w:szCs w:val="24"/>
                <w:lang w:eastAsia="lv-LV"/>
              </w:rPr>
              <w:t>Noteikumu p</w:t>
            </w:r>
            <w:r w:rsidR="00AD6191" w:rsidRPr="00D13B02">
              <w:rPr>
                <w:rFonts w:eastAsia="Times New Roman" w:cs="Times New Roman"/>
                <w:sz w:val="24"/>
                <w:szCs w:val="24"/>
                <w:lang w:eastAsia="lv-LV"/>
              </w:rPr>
              <w:t>rojekts šo jomu neskar</w:t>
            </w:r>
          </w:p>
        </w:tc>
      </w:tr>
      <w:tr w:rsidR="00D13B02" w:rsidRPr="00D13B02" w14:paraId="17ABAAC1" w14:textId="77777777" w:rsidTr="00924012">
        <w:trPr>
          <w:trHeight w:val="525"/>
          <w:tblCellSpacing w:w="0" w:type="dxa"/>
        </w:trPr>
        <w:tc>
          <w:tcPr>
            <w:tcW w:w="529" w:type="dxa"/>
            <w:tcBorders>
              <w:top w:val="outset" w:sz="6" w:space="0" w:color="auto"/>
              <w:left w:val="outset" w:sz="6" w:space="0" w:color="auto"/>
              <w:bottom w:val="outset" w:sz="6" w:space="0" w:color="auto"/>
              <w:right w:val="outset" w:sz="6" w:space="0" w:color="auto"/>
            </w:tcBorders>
          </w:tcPr>
          <w:p w14:paraId="17ABAABE" w14:textId="77777777" w:rsidR="00E66814" w:rsidRPr="00D13B02" w:rsidRDefault="00074A1E"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3.</w:t>
            </w:r>
          </w:p>
        </w:tc>
        <w:tc>
          <w:tcPr>
            <w:tcW w:w="3070" w:type="dxa"/>
            <w:tcBorders>
              <w:top w:val="outset" w:sz="6" w:space="0" w:color="auto"/>
              <w:left w:val="outset" w:sz="6" w:space="0" w:color="auto"/>
              <w:bottom w:val="outset" w:sz="6" w:space="0" w:color="auto"/>
              <w:right w:val="outset" w:sz="6" w:space="0" w:color="auto"/>
            </w:tcBorders>
          </w:tcPr>
          <w:p w14:paraId="17ABAABF" w14:textId="77777777" w:rsidR="00E66814" w:rsidRPr="00D13B02" w:rsidRDefault="007C4D8F" w:rsidP="00C145BF">
            <w:pPr>
              <w:spacing w:before="100" w:beforeAutospacing="1" w:after="100" w:afterAutospacing="1"/>
              <w:rPr>
                <w:rFonts w:eastAsia="Times New Roman" w:cs="Times New Roman"/>
                <w:sz w:val="24"/>
                <w:szCs w:val="24"/>
                <w:lang w:eastAsia="lv-LV"/>
              </w:rPr>
            </w:pPr>
            <w:r w:rsidRPr="00D13B02">
              <w:rPr>
                <w:rFonts w:eastAsia="Times New Roman" w:cs="Times New Roman"/>
                <w:sz w:val="24"/>
                <w:szCs w:val="24"/>
                <w:lang w:eastAsia="lv-LV"/>
              </w:rPr>
              <w:t> </w:t>
            </w:r>
            <w:r w:rsidR="00074A1E" w:rsidRPr="00D13B02">
              <w:rPr>
                <w:rFonts w:eastAsia="Times New Roman" w:cs="Times New Roman"/>
                <w:sz w:val="24"/>
                <w:szCs w:val="24"/>
                <w:lang w:eastAsia="lv-LV"/>
              </w:rPr>
              <w:t>Cita informācija</w:t>
            </w:r>
          </w:p>
        </w:tc>
        <w:tc>
          <w:tcPr>
            <w:tcW w:w="6309" w:type="dxa"/>
            <w:tcBorders>
              <w:top w:val="outset" w:sz="6" w:space="0" w:color="auto"/>
              <w:left w:val="outset" w:sz="6" w:space="0" w:color="auto"/>
              <w:bottom w:val="outset" w:sz="6" w:space="0" w:color="auto"/>
              <w:right w:val="outset" w:sz="6" w:space="0" w:color="auto"/>
            </w:tcBorders>
          </w:tcPr>
          <w:p w14:paraId="17ABAAC0" w14:textId="77777777" w:rsidR="00E66814" w:rsidRPr="00D13B02" w:rsidRDefault="007C4D8F" w:rsidP="004D7A34">
            <w:pPr>
              <w:spacing w:before="100" w:beforeAutospacing="1" w:after="100" w:afterAutospacing="1"/>
              <w:ind w:left="73"/>
              <w:rPr>
                <w:rFonts w:eastAsia="Times New Roman" w:cs="Times New Roman"/>
                <w:sz w:val="24"/>
                <w:szCs w:val="24"/>
                <w:lang w:eastAsia="lv-LV"/>
              </w:rPr>
            </w:pPr>
            <w:r w:rsidRPr="00D13B02">
              <w:rPr>
                <w:rFonts w:eastAsia="Times New Roman" w:cs="Times New Roman"/>
                <w:sz w:val="24"/>
                <w:szCs w:val="24"/>
                <w:lang w:eastAsia="lv-LV"/>
              </w:rPr>
              <w:t> </w:t>
            </w:r>
            <w:r w:rsidR="00074A1E" w:rsidRPr="00D13B02">
              <w:rPr>
                <w:rFonts w:eastAsia="Times New Roman" w:cs="Times New Roman"/>
                <w:sz w:val="24"/>
                <w:szCs w:val="24"/>
                <w:lang w:eastAsia="lv-LV"/>
              </w:rPr>
              <w:t>Nav</w:t>
            </w:r>
          </w:p>
        </w:tc>
      </w:tr>
    </w:tbl>
    <w:p w14:paraId="17ABAAC2" w14:textId="38FA23B1" w:rsidR="0070526D" w:rsidRPr="00A04B49" w:rsidRDefault="005872BE" w:rsidP="00115E82">
      <w:pPr>
        <w:rPr>
          <w:rFonts w:eastAsia="Times New Roman" w:cs="Times New Roman"/>
          <w:sz w:val="26"/>
          <w:szCs w:val="26"/>
          <w:lang w:eastAsia="lv-LV"/>
        </w:rPr>
      </w:pPr>
      <w:r>
        <w:rPr>
          <w:rFonts w:eastAsia="Times New Roman" w:cs="Times New Roman"/>
          <w:iCs/>
          <w:sz w:val="24"/>
          <w:szCs w:val="24"/>
          <w:lang w:eastAsia="lv-LV"/>
        </w:rPr>
        <w:t>Anotācijas IV</w:t>
      </w:r>
      <w:r w:rsidR="00995B35" w:rsidRPr="00A04B49">
        <w:rPr>
          <w:rFonts w:eastAsia="Times New Roman" w:cs="Times New Roman"/>
          <w:iCs/>
          <w:sz w:val="24"/>
          <w:szCs w:val="24"/>
          <w:lang w:eastAsia="lv-LV"/>
        </w:rPr>
        <w:t xml:space="preserve"> un</w:t>
      </w:r>
      <w:r w:rsidR="002A1BA8">
        <w:rPr>
          <w:rFonts w:eastAsia="Times New Roman" w:cs="Times New Roman"/>
          <w:iCs/>
          <w:sz w:val="24"/>
          <w:szCs w:val="24"/>
          <w:lang w:eastAsia="lv-LV"/>
        </w:rPr>
        <w:t xml:space="preserve"> </w:t>
      </w:r>
      <w:r>
        <w:rPr>
          <w:rFonts w:eastAsia="Times New Roman" w:cs="Times New Roman"/>
          <w:iCs/>
          <w:sz w:val="24"/>
          <w:szCs w:val="24"/>
          <w:lang w:eastAsia="lv-LV"/>
        </w:rPr>
        <w:t>V</w:t>
      </w:r>
      <w:r w:rsidR="009267DF" w:rsidRPr="00A04B49">
        <w:rPr>
          <w:rFonts w:eastAsia="Times New Roman" w:cs="Times New Roman"/>
          <w:iCs/>
          <w:sz w:val="24"/>
          <w:szCs w:val="24"/>
          <w:lang w:eastAsia="lv-LV"/>
        </w:rPr>
        <w:t xml:space="preserve"> </w:t>
      </w:r>
      <w:r w:rsidR="00E77C7F" w:rsidRPr="00A04B49">
        <w:rPr>
          <w:rFonts w:eastAsia="Times New Roman" w:cs="Times New Roman"/>
          <w:iCs/>
          <w:sz w:val="24"/>
          <w:szCs w:val="24"/>
          <w:lang w:eastAsia="lv-LV"/>
        </w:rPr>
        <w:t>sadaļa</w:t>
      </w:r>
      <w:r w:rsidR="00F50272" w:rsidRPr="00A04B49">
        <w:rPr>
          <w:rFonts w:eastAsia="Times New Roman" w:cs="Times New Roman"/>
          <w:iCs/>
          <w:sz w:val="24"/>
          <w:szCs w:val="24"/>
          <w:lang w:eastAsia="lv-LV"/>
        </w:rPr>
        <w:t xml:space="preserve"> – </w:t>
      </w:r>
      <w:r w:rsidR="00E77C7F" w:rsidRPr="00A04B49">
        <w:rPr>
          <w:rFonts w:eastAsia="Times New Roman" w:cs="Times New Roman"/>
          <w:sz w:val="24"/>
          <w:szCs w:val="24"/>
          <w:lang w:eastAsia="lv-LV"/>
        </w:rPr>
        <w:t>projekt</w:t>
      </w:r>
      <w:r w:rsidR="00F50272" w:rsidRPr="00A04B49">
        <w:rPr>
          <w:rFonts w:eastAsia="Times New Roman" w:cs="Times New Roman"/>
          <w:sz w:val="24"/>
          <w:szCs w:val="24"/>
          <w:lang w:eastAsia="lv-LV"/>
        </w:rPr>
        <w:t xml:space="preserve">s </w:t>
      </w:r>
      <w:r w:rsidR="00E77C7F" w:rsidRPr="00A04B49">
        <w:rPr>
          <w:rFonts w:eastAsia="Times New Roman" w:cs="Times New Roman"/>
          <w:sz w:val="24"/>
          <w:szCs w:val="24"/>
          <w:lang w:eastAsia="lv-LV"/>
        </w:rPr>
        <w:t>š</w:t>
      </w:r>
      <w:r w:rsidR="009F2BAE" w:rsidRPr="00A04B49">
        <w:rPr>
          <w:rFonts w:eastAsia="Times New Roman" w:cs="Times New Roman"/>
          <w:sz w:val="24"/>
          <w:szCs w:val="24"/>
          <w:lang w:eastAsia="lv-LV"/>
        </w:rPr>
        <w:t>īs jomas</w:t>
      </w:r>
      <w:r w:rsidR="00E77C7F" w:rsidRPr="00A04B49">
        <w:rPr>
          <w:rFonts w:eastAsia="Times New Roman" w:cs="Times New Roman"/>
          <w:sz w:val="24"/>
          <w:szCs w:val="24"/>
          <w:lang w:eastAsia="lv-LV"/>
        </w:rPr>
        <w:t xml:space="preserve"> neskar</w:t>
      </w:r>
      <w:r w:rsidR="009C7CB7" w:rsidRPr="00A04B49">
        <w:rPr>
          <w:rFonts w:eastAsia="Times New Roman" w:cs="Times New Roman"/>
          <w:sz w:val="24"/>
          <w:szCs w:val="24"/>
          <w:lang w:eastAsia="lv-LV"/>
        </w:rPr>
        <w:t>.</w:t>
      </w:r>
    </w:p>
    <w:p w14:paraId="17ABAAC3" w14:textId="77777777" w:rsidR="00100469" w:rsidRDefault="0070526D" w:rsidP="00935378">
      <w:pPr>
        <w:rPr>
          <w:rFonts w:eastAsia="Times New Roman" w:cs="Times New Roman"/>
          <w:sz w:val="26"/>
          <w:szCs w:val="26"/>
          <w:lang w:eastAsia="lv-LV"/>
        </w:rPr>
      </w:pPr>
      <w:r w:rsidRPr="00D13B02">
        <w:rPr>
          <w:rFonts w:eastAsia="Times New Roman" w:cs="Times New Roman"/>
          <w:sz w:val="26"/>
          <w:szCs w:val="26"/>
          <w:lang w:eastAsia="lv-LV"/>
        </w:rPr>
        <w:t> </w:t>
      </w:r>
    </w:p>
    <w:p w14:paraId="17ABAAC4" w14:textId="77777777" w:rsidR="00983E53" w:rsidRDefault="00983E53" w:rsidP="00983E53">
      <w:pPr>
        <w:tabs>
          <w:tab w:val="left" w:pos="6804"/>
        </w:tabs>
        <w:rPr>
          <w:rFonts w:eastAsia="Times New Roman" w:cs="Times New Roman"/>
          <w:bCs/>
          <w:szCs w:val="28"/>
          <w:lang w:eastAsia="lv-LV"/>
        </w:rPr>
      </w:pPr>
    </w:p>
    <w:p w14:paraId="17ABAAC5" w14:textId="77777777" w:rsidR="00983E53" w:rsidRDefault="00983E53" w:rsidP="00983E53">
      <w:pPr>
        <w:tabs>
          <w:tab w:val="left" w:pos="6804"/>
        </w:tabs>
        <w:rPr>
          <w:rFonts w:eastAsia="Times New Roman" w:cs="Times New Roman"/>
          <w:bCs/>
          <w:szCs w:val="28"/>
          <w:lang w:eastAsia="lv-LV"/>
        </w:rPr>
      </w:pPr>
    </w:p>
    <w:p w14:paraId="17ABAAC6" w14:textId="77777777" w:rsidR="00983E53" w:rsidRPr="00983E53" w:rsidRDefault="00983E53" w:rsidP="00983E53">
      <w:pPr>
        <w:tabs>
          <w:tab w:val="left" w:pos="6804"/>
        </w:tabs>
        <w:rPr>
          <w:rFonts w:eastAsia="Times New Roman" w:cs="Times New Roman"/>
          <w:bCs/>
          <w:szCs w:val="28"/>
          <w:lang w:eastAsia="lv-LV"/>
        </w:rPr>
      </w:pPr>
      <w:r w:rsidRPr="00983E53">
        <w:rPr>
          <w:rFonts w:eastAsia="Times New Roman" w:cs="Times New Roman"/>
          <w:bCs/>
          <w:szCs w:val="28"/>
          <w:lang w:eastAsia="lv-LV"/>
        </w:rPr>
        <w:t>Ministru prezidents</w:t>
      </w:r>
      <w:r w:rsidRPr="00983E53">
        <w:rPr>
          <w:rFonts w:eastAsia="Times New Roman" w:cs="Times New Roman"/>
          <w:bCs/>
          <w:szCs w:val="28"/>
          <w:lang w:eastAsia="lv-LV"/>
        </w:rPr>
        <w:tab/>
        <w:t>M</w:t>
      </w:r>
      <w:r w:rsidR="007553A8">
        <w:rPr>
          <w:rFonts w:eastAsia="Times New Roman" w:cs="Times New Roman"/>
          <w:bCs/>
          <w:szCs w:val="28"/>
          <w:lang w:eastAsia="lv-LV"/>
        </w:rPr>
        <w:t xml:space="preserve">āris </w:t>
      </w:r>
      <w:r w:rsidRPr="00983E53">
        <w:rPr>
          <w:rFonts w:eastAsia="Times New Roman" w:cs="Times New Roman"/>
          <w:bCs/>
          <w:szCs w:val="28"/>
          <w:lang w:eastAsia="lv-LV"/>
        </w:rPr>
        <w:t>Kučinskis</w:t>
      </w:r>
    </w:p>
    <w:p w14:paraId="17ABAAC7" w14:textId="77777777" w:rsidR="00983E53" w:rsidRPr="00983E53" w:rsidRDefault="00983E53" w:rsidP="00983E53">
      <w:pPr>
        <w:tabs>
          <w:tab w:val="left" w:pos="6804"/>
        </w:tabs>
        <w:rPr>
          <w:rFonts w:eastAsia="Times New Roman" w:cs="Times New Roman"/>
          <w:bCs/>
          <w:szCs w:val="28"/>
          <w:lang w:eastAsia="lv-LV"/>
        </w:rPr>
      </w:pPr>
      <w:bookmarkStart w:id="2" w:name="_GoBack"/>
      <w:bookmarkEnd w:id="2"/>
    </w:p>
    <w:p w14:paraId="17ABAAC8" w14:textId="77777777" w:rsidR="00983E53" w:rsidRPr="00983E53" w:rsidRDefault="00983E53" w:rsidP="00983E53">
      <w:pPr>
        <w:tabs>
          <w:tab w:val="left" w:pos="6804"/>
        </w:tabs>
        <w:rPr>
          <w:rFonts w:eastAsia="Times New Roman" w:cs="Times New Roman"/>
          <w:bCs/>
          <w:szCs w:val="28"/>
          <w:lang w:eastAsia="lv-LV"/>
        </w:rPr>
      </w:pPr>
    </w:p>
    <w:p w14:paraId="17ABAAC9" w14:textId="77777777" w:rsidR="007553A8" w:rsidRDefault="00983E53" w:rsidP="00983E53">
      <w:pPr>
        <w:tabs>
          <w:tab w:val="left" w:pos="6804"/>
        </w:tabs>
        <w:rPr>
          <w:rFonts w:eastAsia="Times New Roman" w:cs="Times New Roman"/>
          <w:bCs/>
          <w:szCs w:val="28"/>
          <w:lang w:eastAsia="lv-LV"/>
        </w:rPr>
      </w:pPr>
      <w:r w:rsidRPr="00983E53">
        <w:rPr>
          <w:rFonts w:eastAsia="Times New Roman" w:cs="Times New Roman"/>
          <w:bCs/>
          <w:szCs w:val="28"/>
          <w:lang w:eastAsia="lv-LV"/>
        </w:rPr>
        <w:t xml:space="preserve">Vizē: </w:t>
      </w:r>
    </w:p>
    <w:p w14:paraId="17ABAACA" w14:textId="58687C4B" w:rsidR="00983E53" w:rsidRPr="00983E53" w:rsidRDefault="009B61FC" w:rsidP="00983E53">
      <w:pPr>
        <w:tabs>
          <w:tab w:val="left" w:pos="6804"/>
        </w:tabs>
        <w:rPr>
          <w:rFonts w:eastAsia="Times New Roman" w:cs="Times New Roman"/>
          <w:bCs/>
          <w:szCs w:val="28"/>
          <w:lang w:eastAsia="lv-LV"/>
        </w:rPr>
      </w:pPr>
      <w:r>
        <w:rPr>
          <w:rFonts w:eastAsia="Times New Roman" w:cs="Times New Roman"/>
          <w:bCs/>
          <w:szCs w:val="28"/>
          <w:lang w:eastAsia="lv-LV"/>
        </w:rPr>
        <w:t xml:space="preserve">Valsts kancelejas direktors____________________________ </w:t>
      </w:r>
      <w:r w:rsidR="00983E53" w:rsidRPr="00983E53">
        <w:rPr>
          <w:rFonts w:eastAsia="Times New Roman" w:cs="Times New Roman"/>
          <w:bCs/>
          <w:szCs w:val="28"/>
          <w:lang w:eastAsia="lv-LV"/>
        </w:rPr>
        <w:t>M</w:t>
      </w:r>
      <w:r w:rsidR="007553A8">
        <w:rPr>
          <w:rFonts w:eastAsia="Times New Roman" w:cs="Times New Roman"/>
          <w:bCs/>
          <w:szCs w:val="28"/>
          <w:lang w:eastAsia="lv-LV"/>
        </w:rPr>
        <w:t xml:space="preserve">ārtiņš </w:t>
      </w:r>
      <w:r w:rsidR="00983E53" w:rsidRPr="00983E53">
        <w:rPr>
          <w:rFonts w:eastAsia="Times New Roman" w:cs="Times New Roman"/>
          <w:bCs/>
          <w:szCs w:val="28"/>
          <w:lang w:eastAsia="lv-LV"/>
        </w:rPr>
        <w:t>Krieviņš</w:t>
      </w:r>
    </w:p>
    <w:p w14:paraId="17ABAACB" w14:textId="77777777" w:rsidR="00983E53" w:rsidRDefault="00983E53" w:rsidP="00983E53">
      <w:pPr>
        <w:tabs>
          <w:tab w:val="left" w:pos="6804"/>
        </w:tabs>
        <w:rPr>
          <w:rFonts w:eastAsia="Times New Roman" w:cs="Times New Roman"/>
          <w:bCs/>
          <w:szCs w:val="28"/>
          <w:lang w:eastAsia="lv-LV"/>
        </w:rPr>
      </w:pPr>
    </w:p>
    <w:p w14:paraId="68FD8548" w14:textId="77777777" w:rsidR="00681994" w:rsidRDefault="00681994" w:rsidP="00983E53">
      <w:pPr>
        <w:tabs>
          <w:tab w:val="left" w:pos="6804"/>
        </w:tabs>
        <w:rPr>
          <w:rFonts w:eastAsia="Times New Roman" w:cs="Times New Roman"/>
          <w:bCs/>
          <w:szCs w:val="28"/>
          <w:lang w:eastAsia="lv-LV"/>
        </w:rPr>
      </w:pPr>
    </w:p>
    <w:p w14:paraId="60EF1942" w14:textId="77777777" w:rsidR="00681994" w:rsidRDefault="00681994" w:rsidP="00983E53">
      <w:pPr>
        <w:tabs>
          <w:tab w:val="left" w:pos="6804"/>
        </w:tabs>
        <w:rPr>
          <w:rFonts w:eastAsia="Times New Roman" w:cs="Times New Roman"/>
          <w:bCs/>
          <w:szCs w:val="28"/>
          <w:lang w:eastAsia="lv-LV"/>
        </w:rPr>
      </w:pPr>
    </w:p>
    <w:p w14:paraId="4FA8EDB7" w14:textId="77777777" w:rsidR="00681994" w:rsidRDefault="00681994" w:rsidP="00983E53">
      <w:pPr>
        <w:tabs>
          <w:tab w:val="left" w:pos="6804"/>
        </w:tabs>
        <w:rPr>
          <w:rFonts w:eastAsia="Times New Roman" w:cs="Times New Roman"/>
          <w:bCs/>
          <w:szCs w:val="28"/>
          <w:lang w:eastAsia="lv-LV"/>
        </w:rPr>
      </w:pPr>
    </w:p>
    <w:p w14:paraId="1EB45F2C" w14:textId="77777777" w:rsidR="00681994" w:rsidRDefault="00681994" w:rsidP="00983E53">
      <w:pPr>
        <w:tabs>
          <w:tab w:val="left" w:pos="6804"/>
        </w:tabs>
        <w:rPr>
          <w:rFonts w:eastAsia="Times New Roman" w:cs="Times New Roman"/>
          <w:bCs/>
          <w:szCs w:val="28"/>
          <w:lang w:eastAsia="lv-LV"/>
        </w:rPr>
      </w:pPr>
    </w:p>
    <w:p w14:paraId="08B3DEB9" w14:textId="77777777" w:rsidR="00681994" w:rsidRPr="00983E53" w:rsidRDefault="00681994" w:rsidP="00983E53">
      <w:pPr>
        <w:tabs>
          <w:tab w:val="left" w:pos="6804"/>
        </w:tabs>
        <w:rPr>
          <w:rFonts w:eastAsia="Times New Roman" w:cs="Times New Roman"/>
          <w:bCs/>
          <w:szCs w:val="28"/>
          <w:lang w:eastAsia="lv-LV"/>
        </w:rPr>
      </w:pPr>
    </w:p>
    <w:p w14:paraId="17ABAACC" w14:textId="77777777" w:rsidR="00983E53" w:rsidRPr="009B61FC" w:rsidRDefault="00983E53" w:rsidP="00983E53">
      <w:pPr>
        <w:jc w:val="both"/>
        <w:rPr>
          <w:rFonts w:eastAsia="Times New Roman" w:cs="Times New Roman"/>
          <w:sz w:val="24"/>
          <w:szCs w:val="24"/>
          <w:lang w:eastAsia="lv-LV"/>
        </w:rPr>
      </w:pPr>
      <w:r w:rsidRPr="009B61FC">
        <w:rPr>
          <w:rFonts w:eastAsia="Times New Roman" w:cs="Times New Roman"/>
          <w:sz w:val="24"/>
          <w:szCs w:val="24"/>
          <w:lang w:eastAsia="lv-LV"/>
        </w:rPr>
        <w:fldChar w:fldCharType="begin"/>
      </w:r>
      <w:r w:rsidRPr="009B61FC">
        <w:rPr>
          <w:rFonts w:eastAsia="Times New Roman" w:cs="Times New Roman"/>
          <w:sz w:val="24"/>
          <w:szCs w:val="24"/>
          <w:lang w:eastAsia="lv-LV"/>
        </w:rPr>
        <w:instrText xml:space="preserve"> TIME  \@ "yyyy.MM.dd. H:mm"  \* MERGEFORMAT </w:instrText>
      </w:r>
      <w:r w:rsidRPr="009B61FC">
        <w:rPr>
          <w:rFonts w:eastAsia="Times New Roman" w:cs="Times New Roman"/>
          <w:sz w:val="24"/>
          <w:szCs w:val="24"/>
          <w:lang w:eastAsia="lv-LV"/>
        </w:rPr>
        <w:fldChar w:fldCharType="separate"/>
      </w:r>
      <w:r w:rsidR="001205BC">
        <w:rPr>
          <w:rFonts w:eastAsia="Times New Roman" w:cs="Times New Roman"/>
          <w:noProof/>
          <w:sz w:val="24"/>
          <w:szCs w:val="24"/>
          <w:lang w:eastAsia="lv-LV"/>
        </w:rPr>
        <w:t>2016.05.06. 10:57</w:t>
      </w:r>
      <w:r w:rsidRPr="009B61FC">
        <w:rPr>
          <w:rFonts w:eastAsia="Times New Roman" w:cs="Times New Roman"/>
          <w:sz w:val="24"/>
          <w:szCs w:val="24"/>
          <w:lang w:eastAsia="lv-LV"/>
        </w:rPr>
        <w:fldChar w:fldCharType="end"/>
      </w:r>
    </w:p>
    <w:p w14:paraId="17ABAACD" w14:textId="4FAB054C" w:rsidR="00983E53" w:rsidRPr="009B61FC" w:rsidRDefault="009B61FC" w:rsidP="00983E53">
      <w:pPr>
        <w:jc w:val="both"/>
        <w:rPr>
          <w:rFonts w:eastAsia="Times New Roman" w:cs="Times New Roman"/>
          <w:sz w:val="24"/>
          <w:szCs w:val="24"/>
          <w:lang w:eastAsia="lv-LV"/>
        </w:rPr>
      </w:pPr>
      <w:r>
        <w:rPr>
          <w:rFonts w:eastAsia="Times New Roman" w:cs="Times New Roman"/>
          <w:sz w:val="24"/>
          <w:szCs w:val="24"/>
          <w:lang w:eastAsia="lv-LV"/>
        </w:rPr>
        <w:t>225</w:t>
      </w:r>
      <w:r w:rsidR="001205BC">
        <w:rPr>
          <w:rFonts w:eastAsia="Times New Roman" w:cs="Times New Roman"/>
          <w:sz w:val="24"/>
          <w:szCs w:val="24"/>
          <w:lang w:eastAsia="lv-LV"/>
        </w:rPr>
        <w:t>3</w:t>
      </w:r>
    </w:p>
    <w:p w14:paraId="17ABAACE" w14:textId="77777777" w:rsidR="00983E53" w:rsidRPr="009B61FC" w:rsidRDefault="00983E53" w:rsidP="00983E53">
      <w:pPr>
        <w:rPr>
          <w:rFonts w:eastAsia="Times New Roman" w:cs="Times New Roman"/>
          <w:noProof/>
          <w:sz w:val="24"/>
          <w:szCs w:val="24"/>
          <w:lang w:eastAsia="lv-LV"/>
        </w:rPr>
      </w:pPr>
      <w:r w:rsidRPr="009B61FC">
        <w:rPr>
          <w:rFonts w:eastAsia="Times New Roman" w:cs="Times New Roman"/>
          <w:noProof/>
          <w:sz w:val="24"/>
          <w:szCs w:val="24"/>
          <w:lang w:eastAsia="lv-LV"/>
        </w:rPr>
        <w:t>Balode 67082917</w:t>
      </w:r>
    </w:p>
    <w:p w14:paraId="17ABAACF" w14:textId="77777777" w:rsidR="00983E53" w:rsidRPr="009B61FC" w:rsidRDefault="00175DA7" w:rsidP="00983E53">
      <w:pPr>
        <w:rPr>
          <w:rFonts w:eastAsia="Times New Roman" w:cs="Times New Roman"/>
          <w:sz w:val="24"/>
          <w:szCs w:val="24"/>
          <w:lang w:eastAsia="lv-LV"/>
        </w:rPr>
      </w:pPr>
      <w:hyperlink r:id="rId12" w:history="1">
        <w:r w:rsidR="00983E53" w:rsidRPr="009B61FC">
          <w:rPr>
            <w:rFonts w:eastAsia="Times New Roman" w:cs="Times New Roman"/>
            <w:sz w:val="24"/>
            <w:szCs w:val="24"/>
            <w:lang w:eastAsia="lv-LV"/>
          </w:rPr>
          <w:t>Dace.Balode@mk.gov.lv</w:t>
        </w:r>
      </w:hyperlink>
      <w:r w:rsidR="00983E53" w:rsidRPr="009B61FC">
        <w:rPr>
          <w:rFonts w:eastAsia="Times New Roman" w:cs="Times New Roman"/>
          <w:sz w:val="24"/>
          <w:szCs w:val="24"/>
          <w:lang w:eastAsia="lv-LV"/>
        </w:rPr>
        <w:t xml:space="preserve"> </w:t>
      </w:r>
    </w:p>
    <w:p w14:paraId="17ABAAD0" w14:textId="77777777" w:rsidR="00443571" w:rsidRPr="009B61FC" w:rsidRDefault="00443571" w:rsidP="00935378">
      <w:pPr>
        <w:rPr>
          <w:sz w:val="24"/>
          <w:szCs w:val="24"/>
        </w:rPr>
      </w:pPr>
    </w:p>
    <w:sectPr w:rsidR="00443571" w:rsidRPr="009B61FC" w:rsidSect="00E46928">
      <w:headerReference w:type="default" r:id="rId13"/>
      <w:footerReference w:type="default" r:id="rId14"/>
      <w:footerReference w:type="first" r:id="rId15"/>
      <w:pgSz w:w="11906" w:h="16838"/>
      <w:pgMar w:top="851" w:right="1134" w:bottom="184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BAAD3" w14:textId="77777777" w:rsidR="00D641B2" w:rsidRDefault="00D641B2" w:rsidP="007740F2">
      <w:r>
        <w:separator/>
      </w:r>
    </w:p>
  </w:endnote>
  <w:endnote w:type="continuationSeparator" w:id="0">
    <w:p w14:paraId="17ABAAD4" w14:textId="77777777" w:rsidR="00D641B2" w:rsidRDefault="00D641B2"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7F520" w14:textId="77777777" w:rsidR="009B61FC" w:rsidRPr="00523728" w:rsidRDefault="009B61FC" w:rsidP="009B61FC">
    <w:pPr>
      <w:pStyle w:val="Footer"/>
      <w:jc w:val="both"/>
      <w:rPr>
        <w:rFonts w:cs="Times New Roman"/>
        <w:sz w:val="18"/>
        <w:szCs w:val="18"/>
      </w:rPr>
    </w:pPr>
    <w:r w:rsidRPr="009B61FC">
      <w:rPr>
        <w:sz w:val="16"/>
        <w:szCs w:val="16"/>
      </w:rPr>
      <w:t>VKAnot_270416_342</w:t>
    </w:r>
    <w:r>
      <w:rPr>
        <w:rFonts w:cs="Times New Roman"/>
        <w:sz w:val="18"/>
        <w:szCs w:val="18"/>
      </w:rPr>
      <w:t>; MK noteikumu</w:t>
    </w:r>
    <w:r w:rsidRPr="00B85A0F">
      <w:rPr>
        <w:rFonts w:cs="Times New Roman"/>
        <w:sz w:val="18"/>
        <w:szCs w:val="18"/>
      </w:rPr>
      <w:t xml:space="preserve"> </w:t>
    </w:r>
    <w:r>
      <w:rPr>
        <w:rFonts w:cs="Times New Roman"/>
        <w:sz w:val="18"/>
        <w:szCs w:val="18"/>
      </w:rPr>
      <w:t>projekta "Grozījumi</w:t>
    </w:r>
    <w:r w:rsidRPr="00B85A0F">
      <w:rPr>
        <w:rFonts w:cs="Times New Roman"/>
        <w:sz w:val="18"/>
        <w:szCs w:val="18"/>
      </w:rPr>
      <w:t xml:space="preserve"> Ministru kabineta 2015.</w:t>
    </w:r>
    <w:r>
      <w:rPr>
        <w:rFonts w:cs="Times New Roman"/>
        <w:sz w:val="18"/>
        <w:szCs w:val="18"/>
      </w:rPr>
      <w:t> </w:t>
    </w:r>
    <w:r w:rsidRPr="00B85A0F">
      <w:rPr>
        <w:rFonts w:cs="Times New Roman"/>
        <w:sz w:val="18"/>
        <w:szCs w:val="18"/>
      </w:rPr>
      <w:t>gada 14.</w:t>
    </w:r>
    <w:r>
      <w:rPr>
        <w:rFonts w:cs="Times New Roman"/>
        <w:sz w:val="18"/>
        <w:szCs w:val="18"/>
      </w:rPr>
      <w:t> </w:t>
    </w:r>
    <w:r w:rsidRPr="00B85A0F">
      <w:rPr>
        <w:rFonts w:cs="Times New Roman"/>
        <w:sz w:val="18"/>
        <w:szCs w:val="18"/>
      </w:rPr>
      <w:t>jūlija noteikumos Nr.</w:t>
    </w:r>
    <w:r>
      <w:rPr>
        <w:rFonts w:cs="Times New Roman"/>
        <w:sz w:val="18"/>
        <w:szCs w:val="18"/>
      </w:rPr>
      <w:t> </w:t>
    </w:r>
    <w:r w:rsidRPr="00B85A0F">
      <w:rPr>
        <w:rFonts w:cs="Times New Roman"/>
        <w:sz w:val="18"/>
        <w:szCs w:val="18"/>
      </w:rPr>
      <w:t>389 “Darbības programmas "Izaugsme un nodarbinātība" 3.4.2. specifiskā atbalsta mērķa "Valsts pārvaldes profesionālā pilnveide labāka tiesiskā regulējuma izstrādē mazo un vidējo komersantu atbalsta, korupcijas novēršanas un ēnu ekonomikas mazināša</w:t>
    </w:r>
    <w:r>
      <w:rPr>
        <w:rFonts w:cs="Times New Roman"/>
        <w:sz w:val="18"/>
        <w:szCs w:val="18"/>
      </w:rPr>
      <w:t>nas jomās" īstenošanas noteikumi"</w:t>
    </w:r>
    <w:r w:rsidRPr="00B85A0F">
      <w:rPr>
        <w:rFonts w:cs="Times New Roman"/>
        <w:sz w:val="18"/>
        <w:szCs w:val="18"/>
      </w:rPr>
      <w:t xml:space="preserve"> </w:t>
    </w:r>
    <w:r>
      <w:rPr>
        <w:rFonts w:cs="Times New Roman"/>
        <w:sz w:val="18"/>
        <w:szCs w:val="18"/>
      </w:rPr>
      <w:t>sākotnējās ietekmes novērtējuma ziņojums (anotācija)</w:t>
    </w:r>
    <w:proofErr w:type="gramStart"/>
    <w:r>
      <w:rPr>
        <w:rFonts w:cs="Times New Roman"/>
        <w:sz w:val="18"/>
        <w:szCs w:val="18"/>
      </w:rPr>
      <w:t xml:space="preserve">  </w:t>
    </w:r>
    <w:proofErr w:type="gramEnd"/>
    <w:r>
      <w:rPr>
        <w:rFonts w:cs="Times New Roman"/>
        <w:sz w:val="18"/>
        <w:szCs w:val="18"/>
      </w:rPr>
      <w:t>(21660)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BAAD9" w14:textId="0D954F18" w:rsidR="003671E2" w:rsidRPr="00523728" w:rsidRDefault="009B61FC" w:rsidP="003671E2">
    <w:pPr>
      <w:pStyle w:val="Footer"/>
      <w:jc w:val="both"/>
      <w:rPr>
        <w:rFonts w:cs="Times New Roman"/>
        <w:sz w:val="18"/>
        <w:szCs w:val="18"/>
      </w:rPr>
    </w:pPr>
    <w:r w:rsidRPr="009B61FC">
      <w:rPr>
        <w:sz w:val="16"/>
        <w:szCs w:val="16"/>
      </w:rPr>
      <w:t>VKAnot_270416_342</w:t>
    </w:r>
    <w:r w:rsidR="00B85A0F">
      <w:rPr>
        <w:rFonts w:cs="Times New Roman"/>
        <w:sz w:val="18"/>
        <w:szCs w:val="18"/>
      </w:rPr>
      <w:t>; MK noteikumu</w:t>
    </w:r>
    <w:r w:rsidR="00B85A0F" w:rsidRPr="00B85A0F">
      <w:rPr>
        <w:rFonts w:cs="Times New Roman"/>
        <w:sz w:val="18"/>
        <w:szCs w:val="18"/>
      </w:rPr>
      <w:t xml:space="preserve"> </w:t>
    </w:r>
    <w:r w:rsidR="00B85A0F">
      <w:rPr>
        <w:rFonts w:cs="Times New Roman"/>
        <w:sz w:val="18"/>
        <w:szCs w:val="18"/>
      </w:rPr>
      <w:t>projekta "Grozījumi</w:t>
    </w:r>
    <w:r w:rsidR="00B85A0F" w:rsidRPr="00B85A0F">
      <w:rPr>
        <w:rFonts w:cs="Times New Roman"/>
        <w:sz w:val="18"/>
        <w:szCs w:val="18"/>
      </w:rPr>
      <w:t xml:space="preserve"> Ministru kabineta 2015.</w:t>
    </w:r>
    <w:r w:rsidR="004D7A34">
      <w:rPr>
        <w:rFonts w:cs="Times New Roman"/>
        <w:sz w:val="18"/>
        <w:szCs w:val="18"/>
      </w:rPr>
      <w:t> </w:t>
    </w:r>
    <w:r w:rsidR="00B85A0F" w:rsidRPr="00B85A0F">
      <w:rPr>
        <w:rFonts w:cs="Times New Roman"/>
        <w:sz w:val="18"/>
        <w:szCs w:val="18"/>
      </w:rPr>
      <w:t>gada 14.</w:t>
    </w:r>
    <w:r w:rsidR="004D7A34">
      <w:rPr>
        <w:rFonts w:cs="Times New Roman"/>
        <w:sz w:val="18"/>
        <w:szCs w:val="18"/>
      </w:rPr>
      <w:t> </w:t>
    </w:r>
    <w:r w:rsidR="00B85A0F" w:rsidRPr="00B85A0F">
      <w:rPr>
        <w:rFonts w:cs="Times New Roman"/>
        <w:sz w:val="18"/>
        <w:szCs w:val="18"/>
      </w:rPr>
      <w:t>jūlija noteikumos Nr.</w:t>
    </w:r>
    <w:r w:rsidR="004D7A34">
      <w:rPr>
        <w:rFonts w:cs="Times New Roman"/>
        <w:sz w:val="18"/>
        <w:szCs w:val="18"/>
      </w:rPr>
      <w:t> </w:t>
    </w:r>
    <w:r w:rsidR="00B85A0F" w:rsidRPr="00B85A0F">
      <w:rPr>
        <w:rFonts w:cs="Times New Roman"/>
        <w:sz w:val="18"/>
        <w:szCs w:val="18"/>
      </w:rPr>
      <w:t>389 “Darbības programmas "Izaugsme un nodarbinātība" 3.4.2. specifiskā atbalsta mērķa "Valsts pārvaldes profesionālā pilnveide labāka tiesiskā regulējuma izstrādē mazo un vidējo komersantu atbalsta, korupcijas novēršanas un ēnu ekonomikas mazināša</w:t>
    </w:r>
    <w:r w:rsidR="00B85A0F">
      <w:rPr>
        <w:rFonts w:cs="Times New Roman"/>
        <w:sz w:val="18"/>
        <w:szCs w:val="18"/>
      </w:rPr>
      <w:t>nas jomās" īstenošanas noteikum</w:t>
    </w:r>
    <w:r w:rsidR="004D7A34">
      <w:rPr>
        <w:rFonts w:cs="Times New Roman"/>
        <w:sz w:val="18"/>
        <w:szCs w:val="18"/>
      </w:rPr>
      <w:t>i"</w:t>
    </w:r>
    <w:r w:rsidR="00B85A0F" w:rsidRPr="00B85A0F">
      <w:rPr>
        <w:rFonts w:cs="Times New Roman"/>
        <w:sz w:val="18"/>
        <w:szCs w:val="18"/>
      </w:rPr>
      <w:t xml:space="preserve"> </w:t>
    </w:r>
    <w:r w:rsidR="00B85A0F">
      <w:rPr>
        <w:rFonts w:cs="Times New Roman"/>
        <w:sz w:val="18"/>
        <w:szCs w:val="18"/>
      </w:rPr>
      <w:t>sākotnējās ietekmes novērtējuma ziņojums (anotācija)</w:t>
    </w:r>
    <w:proofErr w:type="gramStart"/>
    <w:r w:rsidR="00681994">
      <w:rPr>
        <w:rFonts w:cs="Times New Roman"/>
        <w:sz w:val="18"/>
        <w:szCs w:val="18"/>
      </w:rPr>
      <w:t xml:space="preserve">  </w:t>
    </w:r>
    <w:proofErr w:type="gramEnd"/>
    <w:r w:rsidR="00681994">
      <w:rPr>
        <w:rFonts w:cs="Times New Roman"/>
        <w:sz w:val="18"/>
        <w:szCs w:val="18"/>
      </w:rPr>
      <w:t>(21660)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BAAD1" w14:textId="77777777" w:rsidR="00D641B2" w:rsidRDefault="00D641B2" w:rsidP="007740F2">
      <w:r>
        <w:separator/>
      </w:r>
    </w:p>
  </w:footnote>
  <w:footnote w:type="continuationSeparator" w:id="0">
    <w:p w14:paraId="17ABAAD2" w14:textId="77777777" w:rsidR="00D641B2" w:rsidRDefault="00D641B2"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58421"/>
      <w:docPartObj>
        <w:docPartGallery w:val="Page Numbers (Top of Page)"/>
        <w:docPartUnique/>
      </w:docPartObj>
    </w:sdtPr>
    <w:sdtEndPr/>
    <w:sdtContent>
      <w:p w14:paraId="17ABAAD5" w14:textId="77777777" w:rsidR="0055124D" w:rsidRDefault="0055124D">
        <w:pPr>
          <w:pStyle w:val="Header"/>
          <w:jc w:val="center"/>
        </w:pPr>
        <w:r w:rsidRPr="00F8589C">
          <w:rPr>
            <w:sz w:val="24"/>
            <w:szCs w:val="24"/>
          </w:rPr>
          <w:fldChar w:fldCharType="begin"/>
        </w:r>
        <w:r w:rsidRPr="00F8589C">
          <w:rPr>
            <w:sz w:val="24"/>
            <w:szCs w:val="24"/>
          </w:rPr>
          <w:instrText xml:space="preserve"> PAGE   \* MERGEFORMAT </w:instrText>
        </w:r>
        <w:r w:rsidRPr="00F8589C">
          <w:rPr>
            <w:sz w:val="24"/>
            <w:szCs w:val="24"/>
          </w:rPr>
          <w:fldChar w:fldCharType="separate"/>
        </w:r>
        <w:r w:rsidR="00175DA7">
          <w:rPr>
            <w:noProof/>
            <w:sz w:val="24"/>
            <w:szCs w:val="24"/>
          </w:rPr>
          <w:t>7</w:t>
        </w:r>
        <w:r w:rsidRPr="00F8589C">
          <w:rPr>
            <w:noProof/>
            <w:sz w:val="24"/>
            <w:szCs w:val="24"/>
          </w:rPr>
          <w:fldChar w:fldCharType="end"/>
        </w:r>
      </w:p>
    </w:sdtContent>
  </w:sdt>
  <w:p w14:paraId="17ABAAD6" w14:textId="77777777" w:rsidR="009821C9" w:rsidRDefault="009821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BB5306C"/>
    <w:multiLevelType w:val="hybridMultilevel"/>
    <w:tmpl w:val="A870483E"/>
    <w:lvl w:ilvl="0" w:tplc="02223560">
      <w:start w:val="1"/>
      <w:numFmt w:val="upperRoman"/>
      <w:lvlText w:val="%1."/>
      <w:lvlJc w:val="left"/>
      <w:pPr>
        <w:ind w:left="840" w:hanging="720"/>
      </w:pPr>
      <w:rPr>
        <w:rFonts w:hint="default"/>
        <w:b/>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4">
    <w:nsid w:val="6E162279"/>
    <w:multiLevelType w:val="hybridMultilevel"/>
    <w:tmpl w:val="E222DC60"/>
    <w:lvl w:ilvl="0" w:tplc="FC8054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B302C21"/>
    <w:multiLevelType w:val="hybridMultilevel"/>
    <w:tmpl w:val="F678F6DC"/>
    <w:lvl w:ilvl="0" w:tplc="E2FEB7B6">
      <w:start w:val="1"/>
      <w:numFmt w:val="decimal"/>
      <w:lvlText w:val="%1)"/>
      <w:lvlJc w:val="left"/>
      <w:pPr>
        <w:ind w:left="889" w:hanging="360"/>
      </w:pPr>
      <w:rPr>
        <w:rFonts w:ascii="Times New Roman" w:eastAsiaTheme="minorHAnsi" w:hAnsi="Times New Roman" w:cstheme="minorBidi"/>
      </w:rPr>
    </w:lvl>
    <w:lvl w:ilvl="1" w:tplc="04260019" w:tentative="1">
      <w:start w:val="1"/>
      <w:numFmt w:val="lowerLetter"/>
      <w:lvlText w:val="%2."/>
      <w:lvlJc w:val="left"/>
      <w:pPr>
        <w:ind w:left="1609" w:hanging="360"/>
      </w:pPr>
    </w:lvl>
    <w:lvl w:ilvl="2" w:tplc="0426001B" w:tentative="1">
      <w:start w:val="1"/>
      <w:numFmt w:val="lowerRoman"/>
      <w:lvlText w:val="%3."/>
      <w:lvlJc w:val="right"/>
      <w:pPr>
        <w:ind w:left="2329" w:hanging="180"/>
      </w:pPr>
    </w:lvl>
    <w:lvl w:ilvl="3" w:tplc="0426000F" w:tentative="1">
      <w:start w:val="1"/>
      <w:numFmt w:val="decimal"/>
      <w:lvlText w:val="%4."/>
      <w:lvlJc w:val="left"/>
      <w:pPr>
        <w:ind w:left="3049" w:hanging="360"/>
      </w:pPr>
    </w:lvl>
    <w:lvl w:ilvl="4" w:tplc="04260019" w:tentative="1">
      <w:start w:val="1"/>
      <w:numFmt w:val="lowerLetter"/>
      <w:lvlText w:val="%5."/>
      <w:lvlJc w:val="left"/>
      <w:pPr>
        <w:ind w:left="3769" w:hanging="360"/>
      </w:pPr>
    </w:lvl>
    <w:lvl w:ilvl="5" w:tplc="0426001B" w:tentative="1">
      <w:start w:val="1"/>
      <w:numFmt w:val="lowerRoman"/>
      <w:lvlText w:val="%6."/>
      <w:lvlJc w:val="right"/>
      <w:pPr>
        <w:ind w:left="4489" w:hanging="180"/>
      </w:pPr>
    </w:lvl>
    <w:lvl w:ilvl="6" w:tplc="0426000F" w:tentative="1">
      <w:start w:val="1"/>
      <w:numFmt w:val="decimal"/>
      <w:lvlText w:val="%7."/>
      <w:lvlJc w:val="left"/>
      <w:pPr>
        <w:ind w:left="5209" w:hanging="360"/>
      </w:pPr>
    </w:lvl>
    <w:lvl w:ilvl="7" w:tplc="04260019" w:tentative="1">
      <w:start w:val="1"/>
      <w:numFmt w:val="lowerLetter"/>
      <w:lvlText w:val="%8."/>
      <w:lvlJc w:val="left"/>
      <w:pPr>
        <w:ind w:left="5929" w:hanging="360"/>
      </w:pPr>
    </w:lvl>
    <w:lvl w:ilvl="8" w:tplc="0426001B" w:tentative="1">
      <w:start w:val="1"/>
      <w:numFmt w:val="lowerRoman"/>
      <w:lvlText w:val="%9."/>
      <w:lvlJc w:val="right"/>
      <w:pPr>
        <w:ind w:left="6649"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031D"/>
    <w:rsid w:val="0000317F"/>
    <w:rsid w:val="000035CB"/>
    <w:rsid w:val="00003AA7"/>
    <w:rsid w:val="000042C8"/>
    <w:rsid w:val="0001298E"/>
    <w:rsid w:val="00013474"/>
    <w:rsid w:val="000145DE"/>
    <w:rsid w:val="00017AAA"/>
    <w:rsid w:val="00017E1C"/>
    <w:rsid w:val="00020DEF"/>
    <w:rsid w:val="00026F6C"/>
    <w:rsid w:val="00041BC5"/>
    <w:rsid w:val="00046ADB"/>
    <w:rsid w:val="00051A8F"/>
    <w:rsid w:val="00054559"/>
    <w:rsid w:val="00054C53"/>
    <w:rsid w:val="000558C0"/>
    <w:rsid w:val="00060255"/>
    <w:rsid w:val="000608D1"/>
    <w:rsid w:val="00062334"/>
    <w:rsid w:val="0007283C"/>
    <w:rsid w:val="00072DC7"/>
    <w:rsid w:val="00074A1E"/>
    <w:rsid w:val="00076B41"/>
    <w:rsid w:val="00087F0C"/>
    <w:rsid w:val="00090F7C"/>
    <w:rsid w:val="00095D9F"/>
    <w:rsid w:val="000A16FE"/>
    <w:rsid w:val="000A1EBA"/>
    <w:rsid w:val="000A3048"/>
    <w:rsid w:val="000A3D41"/>
    <w:rsid w:val="000B39E7"/>
    <w:rsid w:val="000B3C16"/>
    <w:rsid w:val="000B52E8"/>
    <w:rsid w:val="000C1004"/>
    <w:rsid w:val="000C39BE"/>
    <w:rsid w:val="000C4DF9"/>
    <w:rsid w:val="000D08B5"/>
    <w:rsid w:val="000D3D6E"/>
    <w:rsid w:val="000E0E9C"/>
    <w:rsid w:val="000E0EAB"/>
    <w:rsid w:val="000E4D67"/>
    <w:rsid w:val="000E6302"/>
    <w:rsid w:val="000F0666"/>
    <w:rsid w:val="000F2D60"/>
    <w:rsid w:val="00100469"/>
    <w:rsid w:val="00115E82"/>
    <w:rsid w:val="0012014A"/>
    <w:rsid w:val="001205BC"/>
    <w:rsid w:val="00122717"/>
    <w:rsid w:val="00124BE5"/>
    <w:rsid w:val="0012536F"/>
    <w:rsid w:val="00130A65"/>
    <w:rsid w:val="00131852"/>
    <w:rsid w:val="00133FC3"/>
    <w:rsid w:val="001373D3"/>
    <w:rsid w:val="0014131D"/>
    <w:rsid w:val="00142743"/>
    <w:rsid w:val="00143A5E"/>
    <w:rsid w:val="0014438B"/>
    <w:rsid w:val="00150939"/>
    <w:rsid w:val="00152376"/>
    <w:rsid w:val="001544B1"/>
    <w:rsid w:val="0015634F"/>
    <w:rsid w:val="00161D6A"/>
    <w:rsid w:val="0016244A"/>
    <w:rsid w:val="00163FE2"/>
    <w:rsid w:val="00170A5E"/>
    <w:rsid w:val="00171362"/>
    <w:rsid w:val="00174D79"/>
    <w:rsid w:val="00175DA7"/>
    <w:rsid w:val="00182716"/>
    <w:rsid w:val="0018303A"/>
    <w:rsid w:val="00184225"/>
    <w:rsid w:val="0018668D"/>
    <w:rsid w:val="0018679A"/>
    <w:rsid w:val="00192B03"/>
    <w:rsid w:val="00193E01"/>
    <w:rsid w:val="001946F1"/>
    <w:rsid w:val="001952CE"/>
    <w:rsid w:val="00195D19"/>
    <w:rsid w:val="001A1C0A"/>
    <w:rsid w:val="001A5D75"/>
    <w:rsid w:val="001A7971"/>
    <w:rsid w:val="001B0B9B"/>
    <w:rsid w:val="001B1E3E"/>
    <w:rsid w:val="001C2CD5"/>
    <w:rsid w:val="001C3291"/>
    <w:rsid w:val="001C4146"/>
    <w:rsid w:val="001C519F"/>
    <w:rsid w:val="001D0571"/>
    <w:rsid w:val="001D2B26"/>
    <w:rsid w:val="001D5678"/>
    <w:rsid w:val="001D7B24"/>
    <w:rsid w:val="001E1202"/>
    <w:rsid w:val="001E5F21"/>
    <w:rsid w:val="001F56FF"/>
    <w:rsid w:val="00200731"/>
    <w:rsid w:val="00200C8A"/>
    <w:rsid w:val="00201FE1"/>
    <w:rsid w:val="00203F69"/>
    <w:rsid w:val="00216F53"/>
    <w:rsid w:val="002176AD"/>
    <w:rsid w:val="00222330"/>
    <w:rsid w:val="00227194"/>
    <w:rsid w:val="002302E5"/>
    <w:rsid w:val="00230D49"/>
    <w:rsid w:val="00232BA7"/>
    <w:rsid w:val="002364B3"/>
    <w:rsid w:val="0023657A"/>
    <w:rsid w:val="00237CE7"/>
    <w:rsid w:val="002424D8"/>
    <w:rsid w:val="002460DD"/>
    <w:rsid w:val="0024678C"/>
    <w:rsid w:val="00250856"/>
    <w:rsid w:val="00256191"/>
    <w:rsid w:val="002570D6"/>
    <w:rsid w:val="002577A1"/>
    <w:rsid w:val="0026067E"/>
    <w:rsid w:val="0026659A"/>
    <w:rsid w:val="00266D26"/>
    <w:rsid w:val="0026757D"/>
    <w:rsid w:val="00267D9E"/>
    <w:rsid w:val="002705B5"/>
    <w:rsid w:val="0027097A"/>
    <w:rsid w:val="0027277F"/>
    <w:rsid w:val="002727AD"/>
    <w:rsid w:val="00275DF0"/>
    <w:rsid w:val="00275FD8"/>
    <w:rsid w:val="002816F8"/>
    <w:rsid w:val="002842DF"/>
    <w:rsid w:val="00286673"/>
    <w:rsid w:val="002A09D6"/>
    <w:rsid w:val="002A18B1"/>
    <w:rsid w:val="002A1BA8"/>
    <w:rsid w:val="002A2506"/>
    <w:rsid w:val="002A2997"/>
    <w:rsid w:val="002A3DAE"/>
    <w:rsid w:val="002A429F"/>
    <w:rsid w:val="002A46CC"/>
    <w:rsid w:val="002B33E3"/>
    <w:rsid w:val="002B368B"/>
    <w:rsid w:val="002B5BA9"/>
    <w:rsid w:val="002C0414"/>
    <w:rsid w:val="002C37E6"/>
    <w:rsid w:val="002C49F7"/>
    <w:rsid w:val="002D23CC"/>
    <w:rsid w:val="002D7459"/>
    <w:rsid w:val="002E69E7"/>
    <w:rsid w:val="002F0327"/>
    <w:rsid w:val="002F14AD"/>
    <w:rsid w:val="002F3527"/>
    <w:rsid w:val="002F3A46"/>
    <w:rsid w:val="002F7FE7"/>
    <w:rsid w:val="0030223A"/>
    <w:rsid w:val="00303583"/>
    <w:rsid w:val="00303E69"/>
    <w:rsid w:val="003050B9"/>
    <w:rsid w:val="00307B0B"/>
    <w:rsid w:val="00312AA6"/>
    <w:rsid w:val="003243DA"/>
    <w:rsid w:val="003244A1"/>
    <w:rsid w:val="00324680"/>
    <w:rsid w:val="00325216"/>
    <w:rsid w:val="003339A6"/>
    <w:rsid w:val="00342319"/>
    <w:rsid w:val="0034293C"/>
    <w:rsid w:val="00342CDC"/>
    <w:rsid w:val="0035017E"/>
    <w:rsid w:val="003539EF"/>
    <w:rsid w:val="0035647F"/>
    <w:rsid w:val="00356748"/>
    <w:rsid w:val="00360180"/>
    <w:rsid w:val="003608AD"/>
    <w:rsid w:val="0036096D"/>
    <w:rsid w:val="00360CEA"/>
    <w:rsid w:val="00361901"/>
    <w:rsid w:val="00362E77"/>
    <w:rsid w:val="003637EA"/>
    <w:rsid w:val="00366C1A"/>
    <w:rsid w:val="003671E2"/>
    <w:rsid w:val="003729C7"/>
    <w:rsid w:val="003760E3"/>
    <w:rsid w:val="00377F94"/>
    <w:rsid w:val="0038376D"/>
    <w:rsid w:val="00385736"/>
    <w:rsid w:val="003941B7"/>
    <w:rsid w:val="0039636F"/>
    <w:rsid w:val="003A59AD"/>
    <w:rsid w:val="003B32D5"/>
    <w:rsid w:val="003B544A"/>
    <w:rsid w:val="003B71D3"/>
    <w:rsid w:val="003B7D1C"/>
    <w:rsid w:val="003C3F4F"/>
    <w:rsid w:val="003C5CEA"/>
    <w:rsid w:val="003C7172"/>
    <w:rsid w:val="003D47B9"/>
    <w:rsid w:val="003D6E2F"/>
    <w:rsid w:val="003D7A7B"/>
    <w:rsid w:val="003E333B"/>
    <w:rsid w:val="003E67CA"/>
    <w:rsid w:val="003F0215"/>
    <w:rsid w:val="003F2463"/>
    <w:rsid w:val="003F29C4"/>
    <w:rsid w:val="004027CE"/>
    <w:rsid w:val="00404A9F"/>
    <w:rsid w:val="00406416"/>
    <w:rsid w:val="00406D73"/>
    <w:rsid w:val="00411A2F"/>
    <w:rsid w:val="00411BC0"/>
    <w:rsid w:val="004124FD"/>
    <w:rsid w:val="004125EE"/>
    <w:rsid w:val="00417CCF"/>
    <w:rsid w:val="0042009D"/>
    <w:rsid w:val="00422671"/>
    <w:rsid w:val="00423F30"/>
    <w:rsid w:val="004250B6"/>
    <w:rsid w:val="00425672"/>
    <w:rsid w:val="004269B0"/>
    <w:rsid w:val="00431480"/>
    <w:rsid w:val="00434867"/>
    <w:rsid w:val="004368AE"/>
    <w:rsid w:val="00437848"/>
    <w:rsid w:val="004408BD"/>
    <w:rsid w:val="004427A4"/>
    <w:rsid w:val="00443571"/>
    <w:rsid w:val="00444C23"/>
    <w:rsid w:val="004454AD"/>
    <w:rsid w:val="00445CF1"/>
    <w:rsid w:val="0044601F"/>
    <w:rsid w:val="00450B86"/>
    <w:rsid w:val="00457159"/>
    <w:rsid w:val="0046430C"/>
    <w:rsid w:val="00464608"/>
    <w:rsid w:val="00465DA1"/>
    <w:rsid w:val="00466B74"/>
    <w:rsid w:val="004704D8"/>
    <w:rsid w:val="00472A11"/>
    <w:rsid w:val="00473FED"/>
    <w:rsid w:val="0047498B"/>
    <w:rsid w:val="00475E26"/>
    <w:rsid w:val="004807EA"/>
    <w:rsid w:val="00481D6E"/>
    <w:rsid w:val="00484512"/>
    <w:rsid w:val="00490D8C"/>
    <w:rsid w:val="0049457B"/>
    <w:rsid w:val="00496A52"/>
    <w:rsid w:val="00497C85"/>
    <w:rsid w:val="004A783D"/>
    <w:rsid w:val="004A7AFE"/>
    <w:rsid w:val="004B4BE7"/>
    <w:rsid w:val="004C0984"/>
    <w:rsid w:val="004D012C"/>
    <w:rsid w:val="004D1FD8"/>
    <w:rsid w:val="004D2624"/>
    <w:rsid w:val="004D7A34"/>
    <w:rsid w:val="004E0339"/>
    <w:rsid w:val="004E3EA8"/>
    <w:rsid w:val="004E49D7"/>
    <w:rsid w:val="004E63DA"/>
    <w:rsid w:val="004F4590"/>
    <w:rsid w:val="004F6E25"/>
    <w:rsid w:val="004F7055"/>
    <w:rsid w:val="004F7DC8"/>
    <w:rsid w:val="00501105"/>
    <w:rsid w:val="005219E9"/>
    <w:rsid w:val="00523728"/>
    <w:rsid w:val="00524111"/>
    <w:rsid w:val="00524E95"/>
    <w:rsid w:val="005500B1"/>
    <w:rsid w:val="0055124D"/>
    <w:rsid w:val="00551AFE"/>
    <w:rsid w:val="005527C7"/>
    <w:rsid w:val="0055511C"/>
    <w:rsid w:val="0056019C"/>
    <w:rsid w:val="005631DF"/>
    <w:rsid w:val="00563CED"/>
    <w:rsid w:val="005657D6"/>
    <w:rsid w:val="00565E76"/>
    <w:rsid w:val="00566793"/>
    <w:rsid w:val="005668B0"/>
    <w:rsid w:val="00566B9C"/>
    <w:rsid w:val="00566FC5"/>
    <w:rsid w:val="00570E1F"/>
    <w:rsid w:val="00573D7A"/>
    <w:rsid w:val="00574AB3"/>
    <w:rsid w:val="0057577F"/>
    <w:rsid w:val="00576D75"/>
    <w:rsid w:val="00580FFB"/>
    <w:rsid w:val="00585F3A"/>
    <w:rsid w:val="005872BE"/>
    <w:rsid w:val="005912E0"/>
    <w:rsid w:val="005951DA"/>
    <w:rsid w:val="00595AFA"/>
    <w:rsid w:val="00596CDE"/>
    <w:rsid w:val="005A3AC5"/>
    <w:rsid w:val="005A4DBB"/>
    <w:rsid w:val="005A74FF"/>
    <w:rsid w:val="005A7E8D"/>
    <w:rsid w:val="005B01E8"/>
    <w:rsid w:val="005B5AA6"/>
    <w:rsid w:val="005B61EB"/>
    <w:rsid w:val="005B7B1F"/>
    <w:rsid w:val="005C37C2"/>
    <w:rsid w:val="005C6A54"/>
    <w:rsid w:val="005D40D7"/>
    <w:rsid w:val="005D466E"/>
    <w:rsid w:val="005D47F4"/>
    <w:rsid w:val="005D695A"/>
    <w:rsid w:val="005E039A"/>
    <w:rsid w:val="005F2843"/>
    <w:rsid w:val="005F389A"/>
    <w:rsid w:val="00603C61"/>
    <w:rsid w:val="006044A8"/>
    <w:rsid w:val="00605A33"/>
    <w:rsid w:val="00606A4B"/>
    <w:rsid w:val="0061334F"/>
    <w:rsid w:val="00613BF4"/>
    <w:rsid w:val="00627B2A"/>
    <w:rsid w:val="00634950"/>
    <w:rsid w:val="00643A1F"/>
    <w:rsid w:val="006455CB"/>
    <w:rsid w:val="00645E21"/>
    <w:rsid w:val="0064669A"/>
    <w:rsid w:val="006502C4"/>
    <w:rsid w:val="00653D0C"/>
    <w:rsid w:val="0066496D"/>
    <w:rsid w:val="00665CE0"/>
    <w:rsid w:val="006720BF"/>
    <w:rsid w:val="00672F44"/>
    <w:rsid w:val="00672F87"/>
    <w:rsid w:val="00674A47"/>
    <w:rsid w:val="00675607"/>
    <w:rsid w:val="0068087C"/>
    <w:rsid w:val="00681994"/>
    <w:rsid w:val="00684105"/>
    <w:rsid w:val="006906B4"/>
    <w:rsid w:val="0069205F"/>
    <w:rsid w:val="006935D1"/>
    <w:rsid w:val="00693B48"/>
    <w:rsid w:val="00695DDB"/>
    <w:rsid w:val="006A0D1B"/>
    <w:rsid w:val="006B3E2A"/>
    <w:rsid w:val="006B45D8"/>
    <w:rsid w:val="006B7A79"/>
    <w:rsid w:val="006C0E9A"/>
    <w:rsid w:val="006C1138"/>
    <w:rsid w:val="006C1B3A"/>
    <w:rsid w:val="006C5BC2"/>
    <w:rsid w:val="006C60FA"/>
    <w:rsid w:val="006D0D20"/>
    <w:rsid w:val="006D3764"/>
    <w:rsid w:val="006D75C7"/>
    <w:rsid w:val="006E0584"/>
    <w:rsid w:val="006E0C4B"/>
    <w:rsid w:val="006E101C"/>
    <w:rsid w:val="006E1A22"/>
    <w:rsid w:val="006E1FEE"/>
    <w:rsid w:val="006E3186"/>
    <w:rsid w:val="006E6796"/>
    <w:rsid w:val="006F07B8"/>
    <w:rsid w:val="006F3E87"/>
    <w:rsid w:val="006F4A10"/>
    <w:rsid w:val="006F6A48"/>
    <w:rsid w:val="006F6E31"/>
    <w:rsid w:val="00701DC5"/>
    <w:rsid w:val="007022B9"/>
    <w:rsid w:val="00702576"/>
    <w:rsid w:val="00702BF0"/>
    <w:rsid w:val="00703BA7"/>
    <w:rsid w:val="0070526D"/>
    <w:rsid w:val="00711492"/>
    <w:rsid w:val="007131A5"/>
    <w:rsid w:val="0071489C"/>
    <w:rsid w:val="00716D7C"/>
    <w:rsid w:val="007200A6"/>
    <w:rsid w:val="00724190"/>
    <w:rsid w:val="00725501"/>
    <w:rsid w:val="00726380"/>
    <w:rsid w:val="00730771"/>
    <w:rsid w:val="00733739"/>
    <w:rsid w:val="00735651"/>
    <w:rsid w:val="0073757A"/>
    <w:rsid w:val="00751650"/>
    <w:rsid w:val="00753410"/>
    <w:rsid w:val="007553A8"/>
    <w:rsid w:val="00760C6B"/>
    <w:rsid w:val="00763466"/>
    <w:rsid w:val="00765723"/>
    <w:rsid w:val="007740F2"/>
    <w:rsid w:val="007745A6"/>
    <w:rsid w:val="007756E5"/>
    <w:rsid w:val="00776CCD"/>
    <w:rsid w:val="0078057E"/>
    <w:rsid w:val="007831DC"/>
    <w:rsid w:val="007841C0"/>
    <w:rsid w:val="007844C5"/>
    <w:rsid w:val="0078510C"/>
    <w:rsid w:val="007862F1"/>
    <w:rsid w:val="00786509"/>
    <w:rsid w:val="00793890"/>
    <w:rsid w:val="00796CCD"/>
    <w:rsid w:val="007A4CA0"/>
    <w:rsid w:val="007A5B2F"/>
    <w:rsid w:val="007B2EEC"/>
    <w:rsid w:val="007B5773"/>
    <w:rsid w:val="007B5ACE"/>
    <w:rsid w:val="007B649C"/>
    <w:rsid w:val="007C4D8F"/>
    <w:rsid w:val="007C58B2"/>
    <w:rsid w:val="007C655C"/>
    <w:rsid w:val="007D4F27"/>
    <w:rsid w:val="007D791F"/>
    <w:rsid w:val="007E1438"/>
    <w:rsid w:val="007E241A"/>
    <w:rsid w:val="007E26D2"/>
    <w:rsid w:val="007E6B54"/>
    <w:rsid w:val="007E747F"/>
    <w:rsid w:val="007F1998"/>
    <w:rsid w:val="007F1CFD"/>
    <w:rsid w:val="007F3204"/>
    <w:rsid w:val="007F3AEE"/>
    <w:rsid w:val="007F3F45"/>
    <w:rsid w:val="007F7DFB"/>
    <w:rsid w:val="00803914"/>
    <w:rsid w:val="00803D65"/>
    <w:rsid w:val="00804892"/>
    <w:rsid w:val="00804EB8"/>
    <w:rsid w:val="00806404"/>
    <w:rsid w:val="00807539"/>
    <w:rsid w:val="0081258E"/>
    <w:rsid w:val="008138A9"/>
    <w:rsid w:val="0082071F"/>
    <w:rsid w:val="00826821"/>
    <w:rsid w:val="008304F2"/>
    <w:rsid w:val="00832579"/>
    <w:rsid w:val="00835068"/>
    <w:rsid w:val="00835802"/>
    <w:rsid w:val="008442FB"/>
    <w:rsid w:val="00851D90"/>
    <w:rsid w:val="00852CD2"/>
    <w:rsid w:val="00861512"/>
    <w:rsid w:val="00862EB1"/>
    <w:rsid w:val="00864570"/>
    <w:rsid w:val="00864869"/>
    <w:rsid w:val="008738FA"/>
    <w:rsid w:val="00877908"/>
    <w:rsid w:val="00877A89"/>
    <w:rsid w:val="0088044F"/>
    <w:rsid w:val="0088217B"/>
    <w:rsid w:val="0089165D"/>
    <w:rsid w:val="00896087"/>
    <w:rsid w:val="0089697E"/>
    <w:rsid w:val="008A06DF"/>
    <w:rsid w:val="008A1796"/>
    <w:rsid w:val="008A59AE"/>
    <w:rsid w:val="008A7A42"/>
    <w:rsid w:val="008B1D2E"/>
    <w:rsid w:val="008B3CD1"/>
    <w:rsid w:val="008B7114"/>
    <w:rsid w:val="008B730E"/>
    <w:rsid w:val="008C1196"/>
    <w:rsid w:val="008C14A5"/>
    <w:rsid w:val="008C160B"/>
    <w:rsid w:val="008C1EF1"/>
    <w:rsid w:val="008C2E53"/>
    <w:rsid w:val="008C2F4F"/>
    <w:rsid w:val="008C4091"/>
    <w:rsid w:val="008C6C7D"/>
    <w:rsid w:val="008D01F8"/>
    <w:rsid w:val="008D11BA"/>
    <w:rsid w:val="008D28C7"/>
    <w:rsid w:val="008D33D9"/>
    <w:rsid w:val="008D5368"/>
    <w:rsid w:val="008D545A"/>
    <w:rsid w:val="008D76BC"/>
    <w:rsid w:val="008E5289"/>
    <w:rsid w:val="008E6AFB"/>
    <w:rsid w:val="008E74E0"/>
    <w:rsid w:val="008F0B2E"/>
    <w:rsid w:val="008F7BEC"/>
    <w:rsid w:val="00901616"/>
    <w:rsid w:val="00901E0A"/>
    <w:rsid w:val="009039D8"/>
    <w:rsid w:val="009052B2"/>
    <w:rsid w:val="00914A3B"/>
    <w:rsid w:val="00915FA9"/>
    <w:rsid w:val="00921B9C"/>
    <w:rsid w:val="00923883"/>
    <w:rsid w:val="00923FDF"/>
    <w:rsid w:val="00924012"/>
    <w:rsid w:val="009267DF"/>
    <w:rsid w:val="00927926"/>
    <w:rsid w:val="00931F57"/>
    <w:rsid w:val="0093409E"/>
    <w:rsid w:val="00935378"/>
    <w:rsid w:val="00945255"/>
    <w:rsid w:val="00953466"/>
    <w:rsid w:val="00955248"/>
    <w:rsid w:val="00957AFB"/>
    <w:rsid w:val="00963B7D"/>
    <w:rsid w:val="00970036"/>
    <w:rsid w:val="00975747"/>
    <w:rsid w:val="0097630A"/>
    <w:rsid w:val="00976F27"/>
    <w:rsid w:val="009804AB"/>
    <w:rsid w:val="009821C9"/>
    <w:rsid w:val="00983E53"/>
    <w:rsid w:val="009927C3"/>
    <w:rsid w:val="009933EB"/>
    <w:rsid w:val="0099586B"/>
    <w:rsid w:val="00995B35"/>
    <w:rsid w:val="009A5BF0"/>
    <w:rsid w:val="009B236A"/>
    <w:rsid w:val="009B42FC"/>
    <w:rsid w:val="009B4C0B"/>
    <w:rsid w:val="009B4DC9"/>
    <w:rsid w:val="009B61FC"/>
    <w:rsid w:val="009B73F8"/>
    <w:rsid w:val="009C430B"/>
    <w:rsid w:val="009C6BC3"/>
    <w:rsid w:val="009C7CB7"/>
    <w:rsid w:val="009D0419"/>
    <w:rsid w:val="009D6228"/>
    <w:rsid w:val="009E20C8"/>
    <w:rsid w:val="009E3154"/>
    <w:rsid w:val="009E423D"/>
    <w:rsid w:val="009E615A"/>
    <w:rsid w:val="009F1C8A"/>
    <w:rsid w:val="009F2004"/>
    <w:rsid w:val="009F2BAE"/>
    <w:rsid w:val="009F49A6"/>
    <w:rsid w:val="009F71E7"/>
    <w:rsid w:val="00A02AEE"/>
    <w:rsid w:val="00A046DC"/>
    <w:rsid w:val="00A04B49"/>
    <w:rsid w:val="00A14139"/>
    <w:rsid w:val="00A16888"/>
    <w:rsid w:val="00A16B49"/>
    <w:rsid w:val="00A2149E"/>
    <w:rsid w:val="00A27D1D"/>
    <w:rsid w:val="00A31194"/>
    <w:rsid w:val="00A4048B"/>
    <w:rsid w:val="00A452AA"/>
    <w:rsid w:val="00A53B29"/>
    <w:rsid w:val="00A546D2"/>
    <w:rsid w:val="00A560F3"/>
    <w:rsid w:val="00A57A47"/>
    <w:rsid w:val="00A63E47"/>
    <w:rsid w:val="00A6731B"/>
    <w:rsid w:val="00A70C5A"/>
    <w:rsid w:val="00A75A00"/>
    <w:rsid w:val="00A87936"/>
    <w:rsid w:val="00A90CCA"/>
    <w:rsid w:val="00A923DC"/>
    <w:rsid w:val="00A94684"/>
    <w:rsid w:val="00A94EB9"/>
    <w:rsid w:val="00A976A4"/>
    <w:rsid w:val="00AA094C"/>
    <w:rsid w:val="00AA2299"/>
    <w:rsid w:val="00AB20BE"/>
    <w:rsid w:val="00AB3B79"/>
    <w:rsid w:val="00AB3CBF"/>
    <w:rsid w:val="00AB7A60"/>
    <w:rsid w:val="00AC26DD"/>
    <w:rsid w:val="00AC3508"/>
    <w:rsid w:val="00AC3BEB"/>
    <w:rsid w:val="00AC447A"/>
    <w:rsid w:val="00AC702C"/>
    <w:rsid w:val="00AD6191"/>
    <w:rsid w:val="00AE5A6F"/>
    <w:rsid w:val="00AF079B"/>
    <w:rsid w:val="00AF4B4C"/>
    <w:rsid w:val="00B07A5E"/>
    <w:rsid w:val="00B103E7"/>
    <w:rsid w:val="00B10CE6"/>
    <w:rsid w:val="00B1463A"/>
    <w:rsid w:val="00B253BC"/>
    <w:rsid w:val="00B254E1"/>
    <w:rsid w:val="00B26E00"/>
    <w:rsid w:val="00B2717F"/>
    <w:rsid w:val="00B30A99"/>
    <w:rsid w:val="00B30D51"/>
    <w:rsid w:val="00B31F9C"/>
    <w:rsid w:val="00B35C6D"/>
    <w:rsid w:val="00B37224"/>
    <w:rsid w:val="00B425AC"/>
    <w:rsid w:val="00B4486A"/>
    <w:rsid w:val="00B47F2B"/>
    <w:rsid w:val="00B5249F"/>
    <w:rsid w:val="00B52B42"/>
    <w:rsid w:val="00B5358B"/>
    <w:rsid w:val="00B565FF"/>
    <w:rsid w:val="00B56D81"/>
    <w:rsid w:val="00B66FC6"/>
    <w:rsid w:val="00B71B92"/>
    <w:rsid w:val="00B73B49"/>
    <w:rsid w:val="00B7762B"/>
    <w:rsid w:val="00B77A16"/>
    <w:rsid w:val="00B83911"/>
    <w:rsid w:val="00B8427E"/>
    <w:rsid w:val="00B85A0F"/>
    <w:rsid w:val="00B87A55"/>
    <w:rsid w:val="00B93AD7"/>
    <w:rsid w:val="00B9529B"/>
    <w:rsid w:val="00BA0537"/>
    <w:rsid w:val="00BA068E"/>
    <w:rsid w:val="00BA1E74"/>
    <w:rsid w:val="00BA20D0"/>
    <w:rsid w:val="00BA5C0C"/>
    <w:rsid w:val="00BA6E0A"/>
    <w:rsid w:val="00BA73BF"/>
    <w:rsid w:val="00BA75AE"/>
    <w:rsid w:val="00BB5474"/>
    <w:rsid w:val="00BB7856"/>
    <w:rsid w:val="00BC243A"/>
    <w:rsid w:val="00BD05EE"/>
    <w:rsid w:val="00BD1E6E"/>
    <w:rsid w:val="00BE1C92"/>
    <w:rsid w:val="00BE3FFA"/>
    <w:rsid w:val="00BE40F3"/>
    <w:rsid w:val="00BE447C"/>
    <w:rsid w:val="00BE4650"/>
    <w:rsid w:val="00BE4663"/>
    <w:rsid w:val="00BE6EE6"/>
    <w:rsid w:val="00BE7DC6"/>
    <w:rsid w:val="00BF4552"/>
    <w:rsid w:val="00BF6A46"/>
    <w:rsid w:val="00BF7A14"/>
    <w:rsid w:val="00C009FD"/>
    <w:rsid w:val="00C030E6"/>
    <w:rsid w:val="00C0345C"/>
    <w:rsid w:val="00C060CE"/>
    <w:rsid w:val="00C07A1A"/>
    <w:rsid w:val="00C07BD4"/>
    <w:rsid w:val="00C11128"/>
    <w:rsid w:val="00C15C18"/>
    <w:rsid w:val="00C2074D"/>
    <w:rsid w:val="00C24025"/>
    <w:rsid w:val="00C27314"/>
    <w:rsid w:val="00C3705C"/>
    <w:rsid w:val="00C41080"/>
    <w:rsid w:val="00C41A24"/>
    <w:rsid w:val="00C41EFB"/>
    <w:rsid w:val="00C4534E"/>
    <w:rsid w:val="00C53542"/>
    <w:rsid w:val="00C54418"/>
    <w:rsid w:val="00C55F00"/>
    <w:rsid w:val="00C60184"/>
    <w:rsid w:val="00C60F8C"/>
    <w:rsid w:val="00C61D1E"/>
    <w:rsid w:val="00C62121"/>
    <w:rsid w:val="00C63FDF"/>
    <w:rsid w:val="00C65492"/>
    <w:rsid w:val="00C674C2"/>
    <w:rsid w:val="00C67AB6"/>
    <w:rsid w:val="00C751F2"/>
    <w:rsid w:val="00C77FE9"/>
    <w:rsid w:val="00C8056A"/>
    <w:rsid w:val="00C80A73"/>
    <w:rsid w:val="00C80B41"/>
    <w:rsid w:val="00C84F1F"/>
    <w:rsid w:val="00C87F2A"/>
    <w:rsid w:val="00C93300"/>
    <w:rsid w:val="00C94B60"/>
    <w:rsid w:val="00CA1A14"/>
    <w:rsid w:val="00CA3778"/>
    <w:rsid w:val="00CA526E"/>
    <w:rsid w:val="00CA529E"/>
    <w:rsid w:val="00CA65BD"/>
    <w:rsid w:val="00CB48DC"/>
    <w:rsid w:val="00CB589D"/>
    <w:rsid w:val="00CB67AC"/>
    <w:rsid w:val="00CB7236"/>
    <w:rsid w:val="00CC052C"/>
    <w:rsid w:val="00CC1899"/>
    <w:rsid w:val="00CC2F68"/>
    <w:rsid w:val="00CC35D2"/>
    <w:rsid w:val="00CC6EFB"/>
    <w:rsid w:val="00CD0DDE"/>
    <w:rsid w:val="00CD1309"/>
    <w:rsid w:val="00CD17EB"/>
    <w:rsid w:val="00CD29CB"/>
    <w:rsid w:val="00CD4010"/>
    <w:rsid w:val="00CD656C"/>
    <w:rsid w:val="00CD7799"/>
    <w:rsid w:val="00CE1730"/>
    <w:rsid w:val="00CE2D10"/>
    <w:rsid w:val="00CE30D1"/>
    <w:rsid w:val="00CE3DB5"/>
    <w:rsid w:val="00CE7A8D"/>
    <w:rsid w:val="00CF1757"/>
    <w:rsid w:val="00CF51F0"/>
    <w:rsid w:val="00CF52D9"/>
    <w:rsid w:val="00CF742B"/>
    <w:rsid w:val="00CF7BE1"/>
    <w:rsid w:val="00D02869"/>
    <w:rsid w:val="00D03436"/>
    <w:rsid w:val="00D03451"/>
    <w:rsid w:val="00D036D4"/>
    <w:rsid w:val="00D06959"/>
    <w:rsid w:val="00D07C37"/>
    <w:rsid w:val="00D107DE"/>
    <w:rsid w:val="00D13B02"/>
    <w:rsid w:val="00D237F7"/>
    <w:rsid w:val="00D23A73"/>
    <w:rsid w:val="00D247D5"/>
    <w:rsid w:val="00D261F6"/>
    <w:rsid w:val="00D34375"/>
    <w:rsid w:val="00D47C94"/>
    <w:rsid w:val="00D5055B"/>
    <w:rsid w:val="00D51669"/>
    <w:rsid w:val="00D520F1"/>
    <w:rsid w:val="00D56190"/>
    <w:rsid w:val="00D57E12"/>
    <w:rsid w:val="00D623CD"/>
    <w:rsid w:val="00D62D21"/>
    <w:rsid w:val="00D63500"/>
    <w:rsid w:val="00D641B2"/>
    <w:rsid w:val="00D64500"/>
    <w:rsid w:val="00D721B8"/>
    <w:rsid w:val="00D73EFC"/>
    <w:rsid w:val="00D754A5"/>
    <w:rsid w:val="00D76AD0"/>
    <w:rsid w:val="00D81CB1"/>
    <w:rsid w:val="00D879B4"/>
    <w:rsid w:val="00D87F5B"/>
    <w:rsid w:val="00D90AC4"/>
    <w:rsid w:val="00D9437D"/>
    <w:rsid w:val="00D94D1D"/>
    <w:rsid w:val="00D96E3F"/>
    <w:rsid w:val="00DA1516"/>
    <w:rsid w:val="00DA2445"/>
    <w:rsid w:val="00DA3A26"/>
    <w:rsid w:val="00DA5F8F"/>
    <w:rsid w:val="00DA6233"/>
    <w:rsid w:val="00DA7E66"/>
    <w:rsid w:val="00DB3796"/>
    <w:rsid w:val="00DB5926"/>
    <w:rsid w:val="00DC050F"/>
    <w:rsid w:val="00DC4195"/>
    <w:rsid w:val="00DC4A5E"/>
    <w:rsid w:val="00DC5246"/>
    <w:rsid w:val="00DC6C75"/>
    <w:rsid w:val="00DC7B44"/>
    <w:rsid w:val="00DD02FF"/>
    <w:rsid w:val="00DD16D1"/>
    <w:rsid w:val="00DD28B4"/>
    <w:rsid w:val="00DD413F"/>
    <w:rsid w:val="00DE05DE"/>
    <w:rsid w:val="00DE0E4F"/>
    <w:rsid w:val="00DE1A07"/>
    <w:rsid w:val="00DE3D44"/>
    <w:rsid w:val="00DF0D03"/>
    <w:rsid w:val="00DF219A"/>
    <w:rsid w:val="00DF4B58"/>
    <w:rsid w:val="00DF511F"/>
    <w:rsid w:val="00DF56E7"/>
    <w:rsid w:val="00E040B8"/>
    <w:rsid w:val="00E061B5"/>
    <w:rsid w:val="00E12F7F"/>
    <w:rsid w:val="00E13418"/>
    <w:rsid w:val="00E1587D"/>
    <w:rsid w:val="00E16B00"/>
    <w:rsid w:val="00E20D5A"/>
    <w:rsid w:val="00E222EA"/>
    <w:rsid w:val="00E24549"/>
    <w:rsid w:val="00E24D1C"/>
    <w:rsid w:val="00E26EA7"/>
    <w:rsid w:val="00E33FF6"/>
    <w:rsid w:val="00E34609"/>
    <w:rsid w:val="00E36613"/>
    <w:rsid w:val="00E414CA"/>
    <w:rsid w:val="00E46928"/>
    <w:rsid w:val="00E471C3"/>
    <w:rsid w:val="00E473DD"/>
    <w:rsid w:val="00E503EA"/>
    <w:rsid w:val="00E51789"/>
    <w:rsid w:val="00E5514D"/>
    <w:rsid w:val="00E5641D"/>
    <w:rsid w:val="00E61587"/>
    <w:rsid w:val="00E64ACE"/>
    <w:rsid w:val="00E66814"/>
    <w:rsid w:val="00E70758"/>
    <w:rsid w:val="00E73F6A"/>
    <w:rsid w:val="00E77C7F"/>
    <w:rsid w:val="00E77D29"/>
    <w:rsid w:val="00E805D4"/>
    <w:rsid w:val="00E82DB4"/>
    <w:rsid w:val="00E833C2"/>
    <w:rsid w:val="00E8681C"/>
    <w:rsid w:val="00E87B78"/>
    <w:rsid w:val="00EA02E2"/>
    <w:rsid w:val="00EA55C3"/>
    <w:rsid w:val="00EA5615"/>
    <w:rsid w:val="00EA7AB6"/>
    <w:rsid w:val="00EB0AD9"/>
    <w:rsid w:val="00EB39A0"/>
    <w:rsid w:val="00EB66C1"/>
    <w:rsid w:val="00EB6795"/>
    <w:rsid w:val="00EC3E65"/>
    <w:rsid w:val="00EC3F8A"/>
    <w:rsid w:val="00EC4FF3"/>
    <w:rsid w:val="00EC6DFA"/>
    <w:rsid w:val="00ED0B57"/>
    <w:rsid w:val="00ED34A0"/>
    <w:rsid w:val="00ED3D32"/>
    <w:rsid w:val="00ED4B47"/>
    <w:rsid w:val="00ED4D51"/>
    <w:rsid w:val="00EE0E01"/>
    <w:rsid w:val="00EF0010"/>
    <w:rsid w:val="00EF1C47"/>
    <w:rsid w:val="00EF3296"/>
    <w:rsid w:val="00EF3549"/>
    <w:rsid w:val="00EF406C"/>
    <w:rsid w:val="00F01922"/>
    <w:rsid w:val="00F020D9"/>
    <w:rsid w:val="00F025CE"/>
    <w:rsid w:val="00F04291"/>
    <w:rsid w:val="00F0661D"/>
    <w:rsid w:val="00F068CD"/>
    <w:rsid w:val="00F1200C"/>
    <w:rsid w:val="00F16AFA"/>
    <w:rsid w:val="00F179D6"/>
    <w:rsid w:val="00F17A59"/>
    <w:rsid w:val="00F20924"/>
    <w:rsid w:val="00F21BCD"/>
    <w:rsid w:val="00F21DE0"/>
    <w:rsid w:val="00F2780E"/>
    <w:rsid w:val="00F365F4"/>
    <w:rsid w:val="00F4097F"/>
    <w:rsid w:val="00F4712B"/>
    <w:rsid w:val="00F47BDF"/>
    <w:rsid w:val="00F50272"/>
    <w:rsid w:val="00F50D8F"/>
    <w:rsid w:val="00F553B3"/>
    <w:rsid w:val="00F574AE"/>
    <w:rsid w:val="00F57AAC"/>
    <w:rsid w:val="00F6632C"/>
    <w:rsid w:val="00F67175"/>
    <w:rsid w:val="00F675D3"/>
    <w:rsid w:val="00F70677"/>
    <w:rsid w:val="00F708BC"/>
    <w:rsid w:val="00F80E7F"/>
    <w:rsid w:val="00F8589C"/>
    <w:rsid w:val="00F8684A"/>
    <w:rsid w:val="00F94342"/>
    <w:rsid w:val="00F96BD4"/>
    <w:rsid w:val="00FA241A"/>
    <w:rsid w:val="00FA2FDC"/>
    <w:rsid w:val="00FA5D97"/>
    <w:rsid w:val="00FA6B6E"/>
    <w:rsid w:val="00FA6D95"/>
    <w:rsid w:val="00FA71A2"/>
    <w:rsid w:val="00FB093A"/>
    <w:rsid w:val="00FB1F36"/>
    <w:rsid w:val="00FB528D"/>
    <w:rsid w:val="00FB5B96"/>
    <w:rsid w:val="00FB6276"/>
    <w:rsid w:val="00FC1B30"/>
    <w:rsid w:val="00FC6A45"/>
    <w:rsid w:val="00FC6E03"/>
    <w:rsid w:val="00FD0185"/>
    <w:rsid w:val="00FD7FC2"/>
    <w:rsid w:val="00FE056B"/>
    <w:rsid w:val="00FE11DF"/>
    <w:rsid w:val="00FE2864"/>
    <w:rsid w:val="00FE5D02"/>
    <w:rsid w:val="00FE6358"/>
    <w:rsid w:val="00FF3662"/>
    <w:rsid w:val="00FF3BF4"/>
    <w:rsid w:val="00FF6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AB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uiPriority w:val="99"/>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uiPriority w:val="99"/>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rsid w:val="007740F2"/>
  </w:style>
  <w:style w:type="paragraph" w:styleId="ListParagraph">
    <w:name w:val="List Paragraph"/>
    <w:basedOn w:val="Normal"/>
    <w:uiPriority w:val="99"/>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 w:type="paragraph" w:styleId="BodyText">
    <w:name w:val="Body Text"/>
    <w:basedOn w:val="Normal"/>
    <w:link w:val="BodyTextChar"/>
    <w:uiPriority w:val="99"/>
    <w:unhideWhenUsed/>
    <w:rsid w:val="00D63500"/>
    <w:pPr>
      <w:spacing w:after="120"/>
    </w:pPr>
  </w:style>
  <w:style w:type="character" w:customStyle="1" w:styleId="BodyTextChar">
    <w:name w:val="Body Text Char"/>
    <w:basedOn w:val="DefaultParagraphFont"/>
    <w:link w:val="BodyText"/>
    <w:uiPriority w:val="99"/>
    <w:rsid w:val="00D63500"/>
  </w:style>
  <w:style w:type="paragraph" w:customStyle="1" w:styleId="naisvisr">
    <w:name w:val="naisvisr"/>
    <w:basedOn w:val="Normal"/>
    <w:rsid w:val="00FB093A"/>
    <w:pPr>
      <w:spacing w:before="100" w:beforeAutospacing="1" w:after="100" w:afterAutospacing="1"/>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uiPriority w:val="99"/>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uiPriority w:val="99"/>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rsid w:val="007740F2"/>
  </w:style>
  <w:style w:type="paragraph" w:styleId="ListParagraph">
    <w:name w:val="List Paragraph"/>
    <w:basedOn w:val="Normal"/>
    <w:uiPriority w:val="99"/>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 w:type="paragraph" w:styleId="BodyText">
    <w:name w:val="Body Text"/>
    <w:basedOn w:val="Normal"/>
    <w:link w:val="BodyTextChar"/>
    <w:uiPriority w:val="99"/>
    <w:unhideWhenUsed/>
    <w:rsid w:val="00D63500"/>
    <w:pPr>
      <w:spacing w:after="120"/>
    </w:pPr>
  </w:style>
  <w:style w:type="character" w:customStyle="1" w:styleId="BodyTextChar">
    <w:name w:val="Body Text Char"/>
    <w:basedOn w:val="DefaultParagraphFont"/>
    <w:link w:val="BodyText"/>
    <w:uiPriority w:val="99"/>
    <w:rsid w:val="00D63500"/>
  </w:style>
  <w:style w:type="paragraph" w:customStyle="1" w:styleId="naisvisr">
    <w:name w:val="naisvisr"/>
    <w:basedOn w:val="Normal"/>
    <w:rsid w:val="00FB093A"/>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ce.Balode@mk.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L.Ruškule</Vad_x012b_t_x0101_js>
    <Kategorija xmlns="2e5bb04e-596e-45bd-9003-43ca78b1ba16">Anotācija</Kategorija>
    <DKP xmlns="2e5bb04e-596e-45bd-9003-43ca78b1ba16">12</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6E74-1375-4EAF-8B01-A30BC1459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5DBF74-7919-4B71-A43B-DB2817F10B5D}">
  <ds:schemaRefs>
    <ds:schemaRef ds:uri="http://schemas.microsoft.com/sharepoint/v3/contenttype/forms"/>
  </ds:schemaRefs>
</ds:datastoreItem>
</file>

<file path=customXml/itemProps3.xml><?xml version="1.0" encoding="utf-8"?>
<ds:datastoreItem xmlns:ds="http://schemas.openxmlformats.org/officeDocument/2006/customXml" ds:itemID="{996C66FB-5F34-4422-B311-54C1CF655C7F}">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2e5bb04e-596e-45bd-9003-43ca78b1ba16"/>
    <ds:schemaRef ds:uri="http://purl.org/dc/terms/"/>
  </ds:schemaRefs>
</ds:datastoreItem>
</file>

<file path=customXml/itemProps4.xml><?xml version="1.0" encoding="utf-8"?>
<ds:datastoreItem xmlns:ds="http://schemas.openxmlformats.org/officeDocument/2006/customXml" ds:itemID="{DFE04843-77F3-40F0-AF8E-229C90A1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11338</Words>
  <Characters>6464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MK noteikumu projekta „Grozījumi Ministru kabineta 2010.gada 21.jūnija noteikumos Nr.541 „Noteikumi par valsts un pašvaldību institūciju amatpersonu un darbinieku atlīdzības uzskaites sistēmu”” sākotnējās ietekmes novērtējuma ziņojums (anotācija)</vt:lpstr>
    </vt:vector>
  </TitlesOfParts>
  <Company>fm</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2010.gada 21.jūnija noteikumos Nr.541 „Noteikumi par valsts un pašvaldību institūciju amatpersonu un darbinieku atlīdzības uzskaites sistēmu”” sākotnējās ietekmes novērtējuma ziņojums (anotācija)</dc:title>
  <dc:subject>Anotācija</dc:subject>
  <dc:creator>I.Artemjeva</dc:creator>
  <dc:description>t.67083979 Ginta Goldmane ginta.goldmane@fm.gov.lv</dc:description>
  <cp:lastModifiedBy>Aija Tālmane</cp:lastModifiedBy>
  <cp:revision>10</cp:revision>
  <cp:lastPrinted>2016-05-06T07:57:00Z</cp:lastPrinted>
  <dcterms:created xsi:type="dcterms:W3CDTF">2016-05-02T11:19:00Z</dcterms:created>
  <dcterms:modified xsi:type="dcterms:W3CDTF">2016-05-06T07:59:00Z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