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F24" w:rsidRPr="00355571" w:rsidRDefault="00E03F24" w:rsidP="007530F5">
      <w:pPr>
        <w:jc w:val="center"/>
        <w:rPr>
          <w:rFonts w:cs="Times New Roman"/>
          <w:b/>
          <w:kern w:val="28"/>
          <w:szCs w:val="24"/>
        </w:rPr>
      </w:pPr>
      <w:bookmarkStart w:id="0" w:name="OLE_LINK1"/>
      <w:bookmarkStart w:id="1" w:name="OLE_LINK2"/>
      <w:r w:rsidRPr="00355571">
        <w:rPr>
          <w:rFonts w:cs="Times New Roman"/>
          <w:b/>
          <w:kern w:val="28"/>
          <w:szCs w:val="24"/>
        </w:rPr>
        <w:t>Ministru kabineta noteikumu projekta</w:t>
      </w:r>
    </w:p>
    <w:bookmarkEnd w:id="0"/>
    <w:bookmarkEnd w:id="1"/>
    <w:p w:rsidR="00C529EB" w:rsidRPr="00355571" w:rsidRDefault="00E03F24" w:rsidP="007530F5">
      <w:pPr>
        <w:jc w:val="center"/>
        <w:rPr>
          <w:rFonts w:cs="Times New Roman"/>
          <w:b/>
          <w:szCs w:val="24"/>
        </w:rPr>
      </w:pPr>
      <w:r w:rsidRPr="00355571">
        <w:rPr>
          <w:rFonts w:cs="Times New Roman"/>
          <w:b/>
          <w:szCs w:val="24"/>
        </w:rPr>
        <w:t>„Grozījum</w:t>
      </w:r>
      <w:r w:rsidR="00E75E68" w:rsidRPr="00355571">
        <w:rPr>
          <w:rFonts w:cs="Times New Roman"/>
          <w:b/>
          <w:szCs w:val="24"/>
        </w:rPr>
        <w:t>i</w:t>
      </w:r>
      <w:r w:rsidRPr="00355571">
        <w:rPr>
          <w:rFonts w:cs="Times New Roman"/>
          <w:b/>
          <w:szCs w:val="24"/>
        </w:rPr>
        <w:t xml:space="preserve"> </w:t>
      </w:r>
      <w:r w:rsidRPr="00355571">
        <w:rPr>
          <w:rFonts w:cs="Times New Roman"/>
          <w:b/>
          <w:bCs/>
          <w:szCs w:val="24"/>
        </w:rPr>
        <w:t xml:space="preserve">Ministru kabineta </w:t>
      </w:r>
      <w:proofErr w:type="gramStart"/>
      <w:r w:rsidRPr="00355571">
        <w:rPr>
          <w:rFonts w:cs="Times New Roman"/>
          <w:b/>
          <w:bCs/>
          <w:szCs w:val="24"/>
        </w:rPr>
        <w:t>2010.gada</w:t>
      </w:r>
      <w:proofErr w:type="gramEnd"/>
      <w:r w:rsidRPr="00355571">
        <w:rPr>
          <w:rFonts w:cs="Times New Roman"/>
          <w:b/>
          <w:bCs/>
          <w:szCs w:val="24"/>
        </w:rPr>
        <w:t xml:space="preserve"> 16.novembra noteikumos Nr.1050</w:t>
      </w:r>
      <w:r w:rsidRPr="00355571">
        <w:rPr>
          <w:rFonts w:cs="Times New Roman"/>
          <w:b/>
          <w:szCs w:val="24"/>
        </w:rPr>
        <w:t xml:space="preserve"> „</w:t>
      </w:r>
      <w:r w:rsidRPr="00355571">
        <w:rPr>
          <w:rFonts w:cs="Times New Roman"/>
          <w:b/>
          <w:bCs/>
          <w:szCs w:val="24"/>
        </w:rPr>
        <w:t>Sabiedrības veselības aizsardzības pasākumu veikšanas kārtība</w:t>
      </w:r>
      <w:r w:rsidRPr="00355571">
        <w:rPr>
          <w:rFonts w:cs="Times New Roman"/>
          <w:b/>
          <w:szCs w:val="24"/>
        </w:rPr>
        <w:t xml:space="preserve">”” </w:t>
      </w:r>
      <w:r w:rsidR="00C529EB" w:rsidRPr="00355571">
        <w:rPr>
          <w:rFonts w:cs="Times New Roman"/>
          <w:b/>
          <w:szCs w:val="24"/>
        </w:rPr>
        <w:t>sākotnējās ietekmes novērtējuma ziņojums (anotācija)</w:t>
      </w:r>
    </w:p>
    <w:p w:rsidR="00490A4B" w:rsidRPr="00355571" w:rsidRDefault="00490A4B" w:rsidP="007530F5">
      <w:pPr>
        <w:jc w:val="center"/>
        <w:rPr>
          <w:rFonts w:cs="Times New Roman"/>
          <w:i/>
          <w:iCs/>
          <w:sz w:val="24"/>
          <w:szCs w:val="24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7"/>
        <w:gridCol w:w="2739"/>
        <w:gridCol w:w="5935"/>
      </w:tblGrid>
      <w:tr w:rsidR="00C529EB" w:rsidRPr="00355571" w:rsidTr="00C529EB">
        <w:trPr>
          <w:trHeight w:val="40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04403" w:rsidRPr="00355571" w:rsidRDefault="00C529EB" w:rsidP="008D24A8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355571">
              <w:rPr>
                <w:rFonts w:cs="Times New Roman"/>
                <w:b/>
                <w:bCs/>
                <w:sz w:val="24"/>
                <w:szCs w:val="24"/>
              </w:rPr>
              <w:t>I. Tiesību akta projekta izstrādes nepieciešamība</w:t>
            </w:r>
          </w:p>
        </w:tc>
      </w:tr>
      <w:tr w:rsidR="00C529EB" w:rsidRPr="00355571" w:rsidTr="005A59A8">
        <w:trPr>
          <w:trHeight w:val="40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04403" w:rsidRPr="00355571" w:rsidRDefault="00C529EB" w:rsidP="008D24A8">
            <w:pPr>
              <w:rPr>
                <w:rFonts w:cs="Times New Roman"/>
                <w:sz w:val="24"/>
                <w:szCs w:val="24"/>
              </w:rPr>
            </w:pPr>
            <w:r w:rsidRPr="00355571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529EB" w:rsidRPr="00355571" w:rsidRDefault="00C529EB" w:rsidP="008D24A8">
            <w:pPr>
              <w:rPr>
                <w:rFonts w:cs="Times New Roman"/>
                <w:sz w:val="24"/>
                <w:szCs w:val="24"/>
              </w:rPr>
            </w:pPr>
            <w:r w:rsidRPr="00355571">
              <w:rPr>
                <w:rFonts w:cs="Times New Roman"/>
                <w:sz w:val="24"/>
                <w:szCs w:val="24"/>
              </w:rPr>
              <w:t>Pamatojums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529EB" w:rsidRPr="00355571" w:rsidRDefault="00481035" w:rsidP="008D24A8">
            <w:pPr>
              <w:rPr>
                <w:rFonts w:cs="Times New Roman"/>
                <w:sz w:val="24"/>
                <w:szCs w:val="24"/>
              </w:rPr>
            </w:pPr>
            <w:r w:rsidRPr="00355571">
              <w:rPr>
                <w:rFonts w:cs="Times New Roman"/>
                <w:sz w:val="24"/>
                <w:szCs w:val="24"/>
              </w:rPr>
              <w:t>Epidemioloģiskās drošības likuma 36.</w:t>
            </w:r>
            <w:r w:rsidRPr="00355571">
              <w:rPr>
                <w:rFonts w:cs="Times New Roman"/>
                <w:sz w:val="24"/>
                <w:szCs w:val="24"/>
                <w:vertAlign w:val="superscript"/>
              </w:rPr>
              <w:t xml:space="preserve">2 </w:t>
            </w:r>
            <w:r w:rsidRPr="00355571">
              <w:rPr>
                <w:rFonts w:cs="Times New Roman"/>
                <w:sz w:val="24"/>
                <w:szCs w:val="24"/>
              </w:rPr>
              <w:t xml:space="preserve">panta otrā daļa. </w:t>
            </w:r>
          </w:p>
        </w:tc>
      </w:tr>
      <w:tr w:rsidR="00C529EB" w:rsidRPr="00355571" w:rsidTr="005A59A8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04403" w:rsidRPr="00355571" w:rsidRDefault="00C529EB" w:rsidP="008D24A8">
            <w:pPr>
              <w:rPr>
                <w:rFonts w:cs="Times New Roman"/>
                <w:sz w:val="24"/>
                <w:szCs w:val="24"/>
              </w:rPr>
            </w:pPr>
            <w:r w:rsidRPr="00355571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529EB" w:rsidRPr="00355571" w:rsidRDefault="00C529EB" w:rsidP="008D24A8">
            <w:pPr>
              <w:rPr>
                <w:rFonts w:cs="Times New Roman"/>
                <w:sz w:val="24"/>
                <w:szCs w:val="24"/>
              </w:rPr>
            </w:pPr>
            <w:r w:rsidRPr="00355571">
              <w:rPr>
                <w:rFonts w:cs="Times New Roman"/>
                <w:sz w:val="24"/>
                <w:szCs w:val="24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472C2" w:rsidRPr="001630FB" w:rsidRDefault="000472C2" w:rsidP="008D24A8">
            <w:pPr>
              <w:rPr>
                <w:rFonts w:eastAsia="Calibri" w:cs="Times New Roman"/>
                <w:sz w:val="24"/>
                <w:szCs w:val="24"/>
              </w:rPr>
            </w:pPr>
            <w:r w:rsidRPr="001630FB">
              <w:rPr>
                <w:rFonts w:eastAsia="Calibri" w:cs="Times New Roman"/>
                <w:sz w:val="24"/>
                <w:szCs w:val="24"/>
              </w:rPr>
              <w:t>Veselības inspekcija (turpmāk – Inspekcija) izsniedz</w:t>
            </w:r>
            <w:r w:rsidRPr="001630FB">
              <w:rPr>
                <w:rFonts w:eastAsia="Calibri" w:cs="Times New Roman"/>
                <w:bCs/>
                <w:sz w:val="24"/>
                <w:szCs w:val="24"/>
              </w:rPr>
              <w:t xml:space="preserve"> </w:t>
            </w:r>
            <w:r w:rsidRPr="001630FB">
              <w:rPr>
                <w:rFonts w:eastAsia="Calibri" w:cs="Times New Roman"/>
                <w:sz w:val="24"/>
                <w:szCs w:val="24"/>
              </w:rPr>
              <w:t>„Kuģu sanitārās apstrādes kontroles atbrīvojuma apliecības” un „Kuģu sanitārās apstrādes kontroles apliecības” (turpmāk - Apliecības), šādās ostās - Rīgas Brīvostā, Liepājas speciālās ekonomiskās zonas ostā un Ventspils brīvostā saskaņā ar:</w:t>
            </w:r>
          </w:p>
          <w:p w:rsidR="008D4262" w:rsidRPr="001630FB" w:rsidRDefault="00E03F24" w:rsidP="008D24A8">
            <w:pPr>
              <w:rPr>
                <w:rFonts w:eastAsia="Calibri" w:cs="Times New Roman"/>
                <w:sz w:val="24"/>
                <w:szCs w:val="24"/>
              </w:rPr>
            </w:pPr>
            <w:r w:rsidRPr="001630FB">
              <w:rPr>
                <w:rFonts w:eastAsia="Calibri" w:cs="Times New Roman"/>
                <w:bCs/>
                <w:sz w:val="24"/>
                <w:szCs w:val="24"/>
              </w:rPr>
              <w:t>-</w:t>
            </w:r>
            <w:r w:rsidR="00CB46F2" w:rsidRPr="001630FB">
              <w:rPr>
                <w:rFonts w:eastAsia="Calibri" w:cs="Times New Roman"/>
                <w:bCs/>
                <w:sz w:val="24"/>
                <w:szCs w:val="24"/>
              </w:rPr>
              <w:t> </w:t>
            </w:r>
            <w:r w:rsidR="0071116D" w:rsidRPr="001630FB">
              <w:rPr>
                <w:rFonts w:eastAsia="Calibri" w:cs="Times New Roman"/>
                <w:bCs/>
                <w:sz w:val="24"/>
                <w:szCs w:val="24"/>
              </w:rPr>
              <w:t xml:space="preserve">Pasaules Veselības organizācijas (turpmāk – PVO) Starptautisko veselības aizsardzības noteikumu </w:t>
            </w:r>
            <w:r w:rsidR="00655357" w:rsidRPr="001630FB">
              <w:rPr>
                <w:rFonts w:eastAsia="Calibri" w:cs="Times New Roman"/>
                <w:sz w:val="24"/>
                <w:szCs w:val="24"/>
              </w:rPr>
              <w:t xml:space="preserve">(stājušies spēkā 15.06.2007.) (turpmāk - SVAN) </w:t>
            </w:r>
            <w:proofErr w:type="gramStart"/>
            <w:r w:rsidR="00655357" w:rsidRPr="001630FB">
              <w:rPr>
                <w:rFonts w:eastAsia="Calibri" w:cs="Times New Roman"/>
                <w:sz w:val="24"/>
                <w:szCs w:val="24"/>
              </w:rPr>
              <w:t>20.panta</w:t>
            </w:r>
            <w:proofErr w:type="gramEnd"/>
            <w:r w:rsidR="00655357" w:rsidRPr="001630FB">
              <w:rPr>
                <w:rFonts w:eastAsia="Calibri" w:cs="Times New Roman"/>
                <w:sz w:val="24"/>
                <w:szCs w:val="24"/>
              </w:rPr>
              <w:t xml:space="preserve"> prasībām</w:t>
            </w:r>
            <w:r w:rsidR="008D4262" w:rsidRPr="001630FB">
              <w:rPr>
                <w:rFonts w:eastAsia="Calibri" w:cs="Times New Roman"/>
                <w:sz w:val="24"/>
                <w:szCs w:val="24"/>
              </w:rPr>
              <w:t xml:space="preserve"> (</w:t>
            </w:r>
            <w:r w:rsidR="008D4262" w:rsidRPr="001630FB">
              <w:rPr>
                <w:rFonts w:eastAsia="Calibri" w:cs="Times New Roman"/>
                <w:bCs/>
                <w:sz w:val="24"/>
                <w:szCs w:val="24"/>
              </w:rPr>
              <w:t>Starptautisko veselības aizsardzības noteikumu pilnvaroto ostu sarakstu  (</w:t>
            </w:r>
            <w:proofErr w:type="spellStart"/>
            <w:r w:rsidR="008D4262" w:rsidRPr="001630FB">
              <w:rPr>
                <w:rFonts w:eastAsia="Calibri" w:cs="Times New Roman"/>
                <w:bCs/>
                <w:i/>
                <w:sz w:val="24"/>
                <w:szCs w:val="24"/>
              </w:rPr>
              <w:t>International</w:t>
            </w:r>
            <w:proofErr w:type="spellEnd"/>
            <w:r w:rsidR="008D4262" w:rsidRPr="001630FB">
              <w:rPr>
                <w:rFonts w:eastAsia="Calibri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8D4262" w:rsidRPr="001630FB">
              <w:rPr>
                <w:rFonts w:eastAsia="Calibri" w:cs="Times New Roman"/>
                <w:bCs/>
                <w:i/>
                <w:sz w:val="24"/>
                <w:szCs w:val="24"/>
              </w:rPr>
              <w:t>Health</w:t>
            </w:r>
            <w:proofErr w:type="spellEnd"/>
            <w:r w:rsidR="008D4262" w:rsidRPr="001630FB">
              <w:rPr>
                <w:rFonts w:eastAsia="Calibri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8D4262" w:rsidRPr="001630FB">
              <w:rPr>
                <w:rFonts w:eastAsia="Calibri" w:cs="Times New Roman"/>
                <w:bCs/>
                <w:i/>
                <w:sz w:val="24"/>
                <w:szCs w:val="24"/>
              </w:rPr>
              <w:t>Regulations</w:t>
            </w:r>
            <w:proofErr w:type="spellEnd"/>
            <w:r w:rsidR="008D4262" w:rsidRPr="001630FB">
              <w:rPr>
                <w:rFonts w:eastAsia="Calibri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8D4262" w:rsidRPr="001630FB">
              <w:rPr>
                <w:rFonts w:eastAsia="Calibri" w:cs="Times New Roman"/>
                <w:bCs/>
                <w:i/>
                <w:sz w:val="24"/>
                <w:szCs w:val="24"/>
              </w:rPr>
              <w:t>authorized</w:t>
            </w:r>
            <w:proofErr w:type="spellEnd"/>
            <w:r w:rsidR="008D4262" w:rsidRPr="001630FB">
              <w:rPr>
                <w:rFonts w:eastAsia="Calibri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8D4262" w:rsidRPr="001630FB">
              <w:rPr>
                <w:rFonts w:eastAsia="Calibri" w:cs="Times New Roman"/>
                <w:bCs/>
                <w:i/>
                <w:sz w:val="24"/>
                <w:szCs w:val="24"/>
              </w:rPr>
              <w:t>list</w:t>
            </w:r>
            <w:proofErr w:type="spellEnd"/>
            <w:r w:rsidR="008D4262" w:rsidRPr="001630FB">
              <w:rPr>
                <w:rFonts w:eastAsia="Calibri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8D4262" w:rsidRPr="001630FB">
              <w:rPr>
                <w:rFonts w:eastAsia="Calibri" w:cs="Times New Roman"/>
                <w:bCs/>
                <w:i/>
                <w:sz w:val="24"/>
                <w:szCs w:val="24"/>
              </w:rPr>
              <w:t>of</w:t>
            </w:r>
            <w:proofErr w:type="spellEnd"/>
            <w:r w:rsidR="008D4262" w:rsidRPr="001630FB">
              <w:rPr>
                <w:rFonts w:eastAsia="Calibri" w:cs="Times New Roman"/>
                <w:bCs/>
                <w:i/>
                <w:sz w:val="24"/>
                <w:szCs w:val="24"/>
              </w:rPr>
              <w:t xml:space="preserve"> ports</w:t>
            </w:r>
            <w:r w:rsidR="008D4262" w:rsidRPr="001630FB">
              <w:rPr>
                <w:rFonts w:eastAsia="Calibri" w:cs="Times New Roman"/>
                <w:bCs/>
                <w:sz w:val="24"/>
                <w:szCs w:val="24"/>
              </w:rPr>
              <w:t>) (turpmāk - Saraksts))</w:t>
            </w:r>
            <w:r w:rsidRPr="001630FB">
              <w:rPr>
                <w:rFonts w:eastAsia="Calibri" w:cs="Times New Roman"/>
                <w:sz w:val="24"/>
                <w:szCs w:val="24"/>
              </w:rPr>
              <w:t xml:space="preserve"> un</w:t>
            </w:r>
          </w:p>
          <w:p w:rsidR="00655357" w:rsidRPr="001630FB" w:rsidRDefault="00E03F24" w:rsidP="008D24A8">
            <w:pPr>
              <w:rPr>
                <w:rFonts w:cs="Times New Roman"/>
                <w:bCs/>
                <w:sz w:val="24"/>
                <w:szCs w:val="24"/>
              </w:rPr>
            </w:pPr>
            <w:r w:rsidRPr="001630FB">
              <w:rPr>
                <w:rFonts w:eastAsia="Calibri" w:cs="Times New Roman"/>
                <w:sz w:val="24"/>
                <w:szCs w:val="24"/>
              </w:rPr>
              <w:t>-</w:t>
            </w:r>
            <w:r w:rsidR="00CB46F2" w:rsidRPr="001630FB">
              <w:rPr>
                <w:rFonts w:eastAsia="Calibri" w:cs="Times New Roman"/>
                <w:sz w:val="24"/>
                <w:szCs w:val="24"/>
              </w:rPr>
              <w:t> </w:t>
            </w:r>
            <w:r w:rsidR="00655357" w:rsidRPr="001630FB">
              <w:rPr>
                <w:rFonts w:eastAsia="Calibri" w:cs="Times New Roman"/>
                <w:sz w:val="24"/>
                <w:szCs w:val="24"/>
              </w:rPr>
              <w:t xml:space="preserve">Ministru kabineta </w:t>
            </w:r>
            <w:proofErr w:type="gramStart"/>
            <w:r w:rsidR="00655357" w:rsidRPr="001630FB">
              <w:rPr>
                <w:rFonts w:eastAsia="Calibri" w:cs="Times New Roman"/>
                <w:sz w:val="24"/>
                <w:szCs w:val="24"/>
              </w:rPr>
              <w:t>2010.gada</w:t>
            </w:r>
            <w:proofErr w:type="gramEnd"/>
            <w:r w:rsidR="00655357" w:rsidRPr="001630FB">
              <w:rPr>
                <w:rFonts w:eastAsia="Calibri" w:cs="Times New Roman"/>
                <w:sz w:val="24"/>
                <w:szCs w:val="24"/>
              </w:rPr>
              <w:t xml:space="preserve"> 16.novembra noteikumu Nr.1050 „Sabiedrības veselības aizsardzības pasākumu veikšanas kārtība” (turpmāk </w:t>
            </w:r>
            <w:r w:rsidR="000472C2" w:rsidRPr="001630FB">
              <w:rPr>
                <w:rFonts w:eastAsia="Calibri" w:cs="Times New Roman"/>
                <w:sz w:val="24"/>
                <w:szCs w:val="24"/>
              </w:rPr>
              <w:t>– Noteikumi Nr.1050) 11.punktu</w:t>
            </w:r>
            <w:r w:rsidRPr="001630FB">
              <w:rPr>
                <w:rFonts w:eastAsia="Calibri" w:cs="Times New Roman"/>
                <w:bCs/>
                <w:sz w:val="24"/>
                <w:szCs w:val="24"/>
              </w:rPr>
              <w:t>.</w:t>
            </w:r>
          </w:p>
          <w:p w:rsidR="00655357" w:rsidRPr="001630FB" w:rsidRDefault="00655357" w:rsidP="008D24A8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655357" w:rsidRPr="001630FB" w:rsidRDefault="00655357" w:rsidP="008D24A8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1630FB">
              <w:rPr>
                <w:rFonts w:eastAsia="Calibri" w:cs="Times New Roman"/>
                <w:bCs/>
                <w:sz w:val="24"/>
                <w:szCs w:val="24"/>
              </w:rPr>
              <w:t>Latvijas Republikas teritorijā, saskaņā ar PVO Starptautisko veselības aizsardzības noteikumu pilnvaroto ostu sarakstu</w:t>
            </w:r>
            <w:proofErr w:type="gramStart"/>
            <w:r w:rsidRPr="001630FB">
              <w:rPr>
                <w:rFonts w:eastAsia="Calibri" w:cs="Times New Roman"/>
                <w:bCs/>
                <w:sz w:val="24"/>
                <w:szCs w:val="24"/>
              </w:rPr>
              <w:t xml:space="preserve">  </w:t>
            </w:r>
            <w:proofErr w:type="gramEnd"/>
            <w:r w:rsidRPr="001630FB">
              <w:rPr>
                <w:rFonts w:eastAsia="Calibri" w:cs="Times New Roman"/>
                <w:bCs/>
                <w:sz w:val="24"/>
                <w:szCs w:val="24"/>
              </w:rPr>
              <w:t>(</w:t>
            </w:r>
            <w:proofErr w:type="spellStart"/>
            <w:r w:rsidRPr="001630FB">
              <w:rPr>
                <w:rFonts w:eastAsia="Calibri" w:cs="Times New Roman"/>
                <w:bCs/>
                <w:i/>
                <w:sz w:val="24"/>
                <w:szCs w:val="24"/>
              </w:rPr>
              <w:t>International</w:t>
            </w:r>
            <w:proofErr w:type="spellEnd"/>
            <w:r w:rsidRPr="001630FB">
              <w:rPr>
                <w:rFonts w:eastAsia="Calibri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630FB">
              <w:rPr>
                <w:rFonts w:eastAsia="Calibri" w:cs="Times New Roman"/>
                <w:bCs/>
                <w:i/>
                <w:sz w:val="24"/>
                <w:szCs w:val="24"/>
              </w:rPr>
              <w:t>Health</w:t>
            </w:r>
            <w:proofErr w:type="spellEnd"/>
            <w:r w:rsidRPr="001630FB">
              <w:rPr>
                <w:rFonts w:eastAsia="Calibri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630FB">
              <w:rPr>
                <w:rFonts w:eastAsia="Calibri" w:cs="Times New Roman"/>
                <w:bCs/>
                <w:i/>
                <w:sz w:val="24"/>
                <w:szCs w:val="24"/>
              </w:rPr>
              <w:t>Regulations</w:t>
            </w:r>
            <w:proofErr w:type="spellEnd"/>
            <w:r w:rsidRPr="001630FB">
              <w:rPr>
                <w:rFonts w:eastAsia="Calibri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630FB">
              <w:rPr>
                <w:rFonts w:eastAsia="Calibri" w:cs="Times New Roman"/>
                <w:bCs/>
                <w:i/>
                <w:sz w:val="24"/>
                <w:szCs w:val="24"/>
              </w:rPr>
              <w:t>authorized</w:t>
            </w:r>
            <w:proofErr w:type="spellEnd"/>
            <w:r w:rsidRPr="001630FB">
              <w:rPr>
                <w:rFonts w:eastAsia="Calibri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630FB">
              <w:rPr>
                <w:rFonts w:eastAsia="Calibri" w:cs="Times New Roman"/>
                <w:bCs/>
                <w:i/>
                <w:sz w:val="24"/>
                <w:szCs w:val="24"/>
              </w:rPr>
              <w:t>list</w:t>
            </w:r>
            <w:proofErr w:type="spellEnd"/>
            <w:r w:rsidRPr="001630FB">
              <w:rPr>
                <w:rFonts w:eastAsia="Calibri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630FB">
              <w:rPr>
                <w:rFonts w:eastAsia="Calibri" w:cs="Times New Roman"/>
                <w:bCs/>
                <w:i/>
                <w:sz w:val="24"/>
                <w:szCs w:val="24"/>
              </w:rPr>
              <w:t>of</w:t>
            </w:r>
            <w:proofErr w:type="spellEnd"/>
            <w:r w:rsidRPr="001630FB">
              <w:rPr>
                <w:rFonts w:eastAsia="Calibri" w:cs="Times New Roman"/>
                <w:bCs/>
                <w:i/>
                <w:sz w:val="24"/>
                <w:szCs w:val="24"/>
              </w:rPr>
              <w:t xml:space="preserve"> ports</w:t>
            </w:r>
            <w:r w:rsidRPr="001630FB">
              <w:rPr>
                <w:rFonts w:eastAsia="Calibri" w:cs="Times New Roman"/>
                <w:bCs/>
                <w:sz w:val="24"/>
                <w:szCs w:val="24"/>
              </w:rPr>
              <w:t>) (turpmāk - Saraksts)</w:t>
            </w:r>
            <w:r w:rsidR="00E03F24" w:rsidRPr="001630FB">
              <w:rPr>
                <w:rFonts w:eastAsia="Calibri" w:cs="Times New Roman"/>
                <w:bCs/>
                <w:sz w:val="24"/>
                <w:szCs w:val="24"/>
              </w:rPr>
              <w:t xml:space="preserve"> </w:t>
            </w:r>
            <w:r w:rsidRPr="001630FB">
              <w:rPr>
                <w:rFonts w:eastAsia="Calibri" w:cs="Times New Roman"/>
                <w:bCs/>
                <w:sz w:val="24"/>
                <w:szCs w:val="24"/>
              </w:rPr>
              <w:t xml:space="preserve">un Noteikumu Nr.1050 13.punktu SVAN 20.pantā noteiktos </w:t>
            </w:r>
            <w:r w:rsidR="00F46D61" w:rsidRPr="001630FB">
              <w:rPr>
                <w:rFonts w:eastAsia="Calibri" w:cs="Times New Roman"/>
                <w:bCs/>
                <w:sz w:val="24"/>
                <w:szCs w:val="24"/>
              </w:rPr>
              <w:t>pakalpojumus</w:t>
            </w:r>
            <w:r w:rsidRPr="001630FB">
              <w:rPr>
                <w:rFonts w:eastAsia="Calibri" w:cs="Times New Roman"/>
                <w:bCs/>
                <w:sz w:val="24"/>
                <w:szCs w:val="24"/>
              </w:rPr>
              <w:t xml:space="preserve"> pilnvarotas piedāvāt </w:t>
            </w:r>
            <w:r w:rsidR="00993165" w:rsidRPr="001630FB">
              <w:rPr>
                <w:rFonts w:eastAsia="Calibri" w:cs="Times New Roman"/>
                <w:bCs/>
                <w:sz w:val="24"/>
                <w:szCs w:val="24"/>
              </w:rPr>
              <w:t>šādas</w:t>
            </w:r>
            <w:r w:rsidRPr="001630FB">
              <w:rPr>
                <w:rFonts w:eastAsia="Calibri" w:cs="Times New Roman"/>
                <w:bCs/>
                <w:sz w:val="24"/>
                <w:szCs w:val="24"/>
              </w:rPr>
              <w:t xml:space="preserve"> ostas: Rīgas Brīvosta, Liepājas speciālās ekonomiskās zonas osta un Ventspils brīvosta. </w:t>
            </w:r>
          </w:p>
          <w:p w:rsidR="00B16689" w:rsidRPr="001630FB" w:rsidRDefault="00B16689" w:rsidP="008D24A8">
            <w:pPr>
              <w:rPr>
                <w:rFonts w:eastAsia="Calibri" w:cs="Times New Roman"/>
                <w:bCs/>
                <w:sz w:val="24"/>
                <w:szCs w:val="24"/>
              </w:rPr>
            </w:pPr>
          </w:p>
          <w:p w:rsidR="00F46D61" w:rsidRPr="001630FB" w:rsidRDefault="0072798D" w:rsidP="00B60360">
            <w:pPr>
              <w:rPr>
                <w:rFonts w:cs="Times New Roman"/>
                <w:sz w:val="24"/>
                <w:szCs w:val="24"/>
              </w:rPr>
            </w:pPr>
            <w:r w:rsidRPr="001630FB">
              <w:rPr>
                <w:rFonts w:cs="Times New Roman"/>
                <w:sz w:val="24"/>
                <w:szCs w:val="24"/>
              </w:rPr>
              <w:t>Šobrīd</w:t>
            </w:r>
            <w:r w:rsidRPr="001630FB">
              <w:rPr>
                <w:rFonts w:eastAsia="Calibri" w:cs="Times New Roman"/>
                <w:sz w:val="24"/>
                <w:szCs w:val="24"/>
              </w:rPr>
              <w:t xml:space="preserve"> no Mērsraga ostas (komerckravu pārvadājumi) un Rojas ostas (gan pasažieru, gan komerckravu pārvadājumi) aģentiem </w:t>
            </w:r>
            <w:r w:rsidRPr="001630FB">
              <w:rPr>
                <w:rFonts w:cs="Times New Roman"/>
                <w:sz w:val="24"/>
                <w:szCs w:val="24"/>
              </w:rPr>
              <w:t>tiek saņemti</w:t>
            </w:r>
            <w:r w:rsidRPr="001630FB">
              <w:rPr>
                <w:rFonts w:eastAsia="Calibri" w:cs="Times New Roman"/>
                <w:sz w:val="24"/>
                <w:szCs w:val="24"/>
              </w:rPr>
              <w:t xml:space="preserve"> pieprasījum</w:t>
            </w:r>
            <w:r w:rsidRPr="001630FB">
              <w:rPr>
                <w:rFonts w:cs="Times New Roman"/>
                <w:sz w:val="24"/>
                <w:szCs w:val="24"/>
              </w:rPr>
              <w:t>i</w:t>
            </w:r>
            <w:r w:rsidRPr="001630FB">
              <w:rPr>
                <w:rFonts w:eastAsia="Calibri" w:cs="Times New Roman"/>
                <w:sz w:val="24"/>
                <w:szCs w:val="24"/>
              </w:rPr>
              <w:t xml:space="preserve"> veikt kuģa apsekošanu un izsniegt Apliecības.</w:t>
            </w:r>
            <w:r w:rsidRPr="001630FB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1630FB">
              <w:rPr>
                <w:rFonts w:cs="Times New Roman"/>
                <w:sz w:val="24"/>
                <w:szCs w:val="24"/>
              </w:rPr>
              <w:t>2014.gada</w:t>
            </w:r>
            <w:proofErr w:type="gramEnd"/>
            <w:r w:rsidRPr="001630FB">
              <w:rPr>
                <w:rFonts w:cs="Times New Roman"/>
                <w:sz w:val="24"/>
                <w:szCs w:val="24"/>
              </w:rPr>
              <w:t xml:space="preserve"> oktobrī Rojas un Mērsraga ostas griezās pie Inspekcijas, lai šajās ostās tiktu veikta kuģu sanitārās apstrādes kontrole, jo bija radusies nepieciešamība pēc šāda pakalpojuma. Līdzīgi lūgumi ir izteikti jau kopš </w:t>
            </w:r>
            <w:proofErr w:type="gramStart"/>
            <w:r w:rsidRPr="001630FB">
              <w:rPr>
                <w:rFonts w:cs="Times New Roman"/>
                <w:sz w:val="24"/>
                <w:szCs w:val="24"/>
              </w:rPr>
              <w:t>2010.gada</w:t>
            </w:r>
            <w:proofErr w:type="gramEnd"/>
            <w:r w:rsidRPr="001630FB">
              <w:rPr>
                <w:rFonts w:cs="Times New Roman"/>
                <w:sz w:val="24"/>
                <w:szCs w:val="24"/>
              </w:rPr>
              <w:t xml:space="preserve">. </w:t>
            </w:r>
            <w:r w:rsidR="00B60360" w:rsidRPr="001630FB">
              <w:rPr>
                <w:rFonts w:cs="Times New Roman"/>
                <w:sz w:val="24"/>
                <w:szCs w:val="24"/>
              </w:rPr>
              <w:t>Norma tiks ieviesta</w:t>
            </w:r>
            <w:r w:rsidR="000B7B0C" w:rsidRPr="001630FB">
              <w:rPr>
                <w:rFonts w:cs="Times New Roman"/>
                <w:sz w:val="24"/>
                <w:szCs w:val="24"/>
              </w:rPr>
              <w:t>,</w:t>
            </w:r>
            <w:r w:rsidR="00B60360" w:rsidRPr="001630FB">
              <w:rPr>
                <w:rFonts w:cs="Times New Roman"/>
                <w:sz w:val="24"/>
                <w:szCs w:val="24"/>
              </w:rPr>
              <w:t xml:space="preserve"> veicot papildinājumu esošo noteikumu 11.punktā.</w:t>
            </w:r>
          </w:p>
          <w:p w:rsidR="00B60360" w:rsidRPr="001630FB" w:rsidRDefault="00B60360" w:rsidP="00B60360">
            <w:pPr>
              <w:rPr>
                <w:rFonts w:cs="Times New Roman"/>
                <w:sz w:val="24"/>
                <w:szCs w:val="24"/>
              </w:rPr>
            </w:pPr>
          </w:p>
          <w:p w:rsidR="00015FF7" w:rsidRPr="001630FB" w:rsidRDefault="00015FF7" w:rsidP="00DB27F3">
            <w:pPr>
              <w:rPr>
                <w:rFonts w:cs="Times New Roman"/>
                <w:sz w:val="24"/>
                <w:szCs w:val="24"/>
              </w:rPr>
            </w:pPr>
            <w:r w:rsidRPr="001630FB">
              <w:rPr>
                <w:rFonts w:cs="Times New Roman"/>
                <w:sz w:val="24"/>
                <w:szCs w:val="24"/>
              </w:rPr>
              <w:t xml:space="preserve">11.2.punkts tiek </w:t>
            </w:r>
            <w:r w:rsidR="00DB27F3">
              <w:rPr>
                <w:rFonts w:cs="Times New Roman"/>
                <w:sz w:val="24"/>
                <w:szCs w:val="24"/>
              </w:rPr>
              <w:t>precizēts</w:t>
            </w:r>
            <w:r w:rsidRPr="001630FB">
              <w:rPr>
                <w:rFonts w:cs="Times New Roman"/>
                <w:sz w:val="24"/>
                <w:szCs w:val="24"/>
              </w:rPr>
              <w:t xml:space="preserve">, jo norma par 6 mēnešu periodu jau ir paredzēta SVAN un nav nepieciešams to atkārtot. </w:t>
            </w:r>
            <w:r w:rsidR="00762F1C" w:rsidRPr="001630FB">
              <w:rPr>
                <w:rFonts w:cs="Times New Roman"/>
                <w:sz w:val="24"/>
                <w:szCs w:val="24"/>
              </w:rPr>
              <w:t xml:space="preserve">Tai pašā laikā </w:t>
            </w:r>
            <w:r w:rsidRPr="001630FB">
              <w:rPr>
                <w:rFonts w:cs="Times New Roman"/>
                <w:sz w:val="24"/>
                <w:szCs w:val="24"/>
              </w:rPr>
              <w:t xml:space="preserve">SVAN paredz </w:t>
            </w:r>
            <w:r w:rsidR="00762F1C" w:rsidRPr="001630FB">
              <w:rPr>
                <w:rFonts w:cs="Times New Roman"/>
                <w:sz w:val="24"/>
                <w:szCs w:val="24"/>
              </w:rPr>
              <w:t xml:space="preserve">arī </w:t>
            </w:r>
            <w:r w:rsidRPr="001630FB">
              <w:rPr>
                <w:rFonts w:cs="Times New Roman"/>
                <w:sz w:val="24"/>
                <w:szCs w:val="24"/>
              </w:rPr>
              <w:t>Sanitārās apstrādes kontroles atbrīvojuma apliecību vai kuģa sanitārās apstrādes kontroles apliecību derīguma termiņa pagarināšanu par 1 mēnesi.</w:t>
            </w:r>
            <w:r w:rsidR="00762F1C" w:rsidRPr="001630FB">
              <w:rPr>
                <w:rFonts w:cs="Times New Roman"/>
                <w:sz w:val="24"/>
                <w:szCs w:val="24"/>
              </w:rPr>
              <w:t xml:space="preserve"> Līdz </w:t>
            </w:r>
            <w:r w:rsidR="00762F1C" w:rsidRPr="001630FB">
              <w:rPr>
                <w:rFonts w:cs="Times New Roman"/>
                <w:sz w:val="24"/>
                <w:szCs w:val="24"/>
              </w:rPr>
              <w:lastRenderedPageBreak/>
              <w:t xml:space="preserve">ar to esošā punkta redakcija </w:t>
            </w:r>
            <w:r w:rsidR="009544C4" w:rsidRPr="001630FB">
              <w:rPr>
                <w:rFonts w:cs="Times New Roman"/>
                <w:sz w:val="24"/>
                <w:szCs w:val="24"/>
              </w:rPr>
              <w:t>tikai daļēji atspoguļo SVAN normas.</w:t>
            </w:r>
          </w:p>
        </w:tc>
      </w:tr>
      <w:tr w:rsidR="00C529EB" w:rsidRPr="00355571" w:rsidTr="005A59A8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04403" w:rsidRPr="00355571" w:rsidRDefault="00C529EB" w:rsidP="008D24A8">
            <w:pPr>
              <w:rPr>
                <w:rFonts w:cs="Times New Roman"/>
                <w:sz w:val="24"/>
                <w:szCs w:val="24"/>
              </w:rPr>
            </w:pPr>
            <w:r w:rsidRPr="00355571">
              <w:rPr>
                <w:rFonts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529EB" w:rsidRPr="00355571" w:rsidRDefault="00C529EB" w:rsidP="008D24A8">
            <w:pPr>
              <w:rPr>
                <w:rFonts w:cs="Times New Roman"/>
                <w:sz w:val="24"/>
                <w:szCs w:val="24"/>
              </w:rPr>
            </w:pPr>
            <w:r w:rsidRPr="00355571">
              <w:rPr>
                <w:rFonts w:cs="Times New Roman"/>
                <w:sz w:val="24"/>
                <w:szCs w:val="24"/>
              </w:rPr>
              <w:t>Projekta izstrādē iesaistītās institūcijas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A6568" w:rsidRPr="001630FB" w:rsidRDefault="006A76AA" w:rsidP="008D24A8">
            <w:pPr>
              <w:rPr>
                <w:rFonts w:cs="Times New Roman"/>
                <w:sz w:val="24"/>
                <w:szCs w:val="24"/>
              </w:rPr>
            </w:pPr>
            <w:r w:rsidRPr="001630FB">
              <w:rPr>
                <w:rFonts w:cs="Times New Roman"/>
                <w:sz w:val="24"/>
                <w:szCs w:val="24"/>
              </w:rPr>
              <w:t>Veselības inspekcija, Neatliekamās medicīniskās palīdzības dienests, Slimību profilakses un kontroles centrs.</w:t>
            </w:r>
          </w:p>
        </w:tc>
      </w:tr>
      <w:tr w:rsidR="00C529EB" w:rsidRPr="00355571" w:rsidTr="005A59A8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04403" w:rsidRPr="00355571" w:rsidRDefault="00C529EB" w:rsidP="008D24A8">
            <w:pPr>
              <w:rPr>
                <w:rFonts w:cs="Times New Roman"/>
                <w:sz w:val="24"/>
                <w:szCs w:val="24"/>
              </w:rPr>
            </w:pPr>
            <w:r w:rsidRPr="00355571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529EB" w:rsidRPr="00355571" w:rsidRDefault="00C529EB" w:rsidP="008D24A8">
            <w:pPr>
              <w:rPr>
                <w:rFonts w:cs="Times New Roman"/>
                <w:sz w:val="24"/>
                <w:szCs w:val="24"/>
              </w:rPr>
            </w:pPr>
            <w:r w:rsidRPr="00355571">
              <w:rPr>
                <w:rFonts w:cs="Times New Roman"/>
                <w:sz w:val="24"/>
                <w:szCs w:val="24"/>
              </w:rPr>
              <w:t>Cita informācija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04403" w:rsidRPr="00355571" w:rsidRDefault="006A76AA" w:rsidP="008D24A8">
            <w:pPr>
              <w:rPr>
                <w:rFonts w:cs="Times New Roman"/>
                <w:sz w:val="24"/>
                <w:szCs w:val="24"/>
              </w:rPr>
            </w:pPr>
            <w:r w:rsidRPr="00355571">
              <w:rPr>
                <w:rFonts w:cs="Times New Roman"/>
                <w:sz w:val="24"/>
                <w:szCs w:val="24"/>
              </w:rPr>
              <w:t>Nav.</w:t>
            </w:r>
          </w:p>
        </w:tc>
      </w:tr>
      <w:tr w:rsidR="007530F5" w:rsidRPr="00355571" w:rsidTr="007530F5">
        <w:tblPrEx>
          <w:jc w:val="center"/>
        </w:tblPrEx>
        <w:trPr>
          <w:trHeight w:val="42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530F5" w:rsidRPr="00355571" w:rsidRDefault="007530F5" w:rsidP="008D24A8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C529EB" w:rsidRPr="00355571" w:rsidTr="00C529EB">
        <w:trPr>
          <w:trHeight w:val="55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04403" w:rsidRPr="00355571" w:rsidRDefault="00C529EB" w:rsidP="008D24A8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355571">
              <w:rPr>
                <w:rFonts w:cs="Times New Roman"/>
                <w:b/>
                <w:bCs/>
                <w:sz w:val="24"/>
                <w:szCs w:val="24"/>
              </w:rPr>
              <w:t>II. Tiesību akta projekta ietekme uz sabiedrību, tautsaimniecības attīstību un administratīvo slogu</w:t>
            </w:r>
          </w:p>
        </w:tc>
      </w:tr>
      <w:tr w:rsidR="00C529EB" w:rsidRPr="00355571" w:rsidTr="00AC2E81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529EB" w:rsidRPr="00355571" w:rsidRDefault="00C529EB" w:rsidP="008D24A8">
            <w:pPr>
              <w:rPr>
                <w:rFonts w:cs="Times New Roman"/>
                <w:sz w:val="24"/>
                <w:szCs w:val="24"/>
              </w:rPr>
            </w:pPr>
            <w:r w:rsidRPr="00355571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529EB" w:rsidRPr="00355571" w:rsidRDefault="00C529EB" w:rsidP="008D24A8">
            <w:pPr>
              <w:rPr>
                <w:rFonts w:cs="Times New Roman"/>
                <w:sz w:val="24"/>
                <w:szCs w:val="24"/>
              </w:rPr>
            </w:pPr>
            <w:r w:rsidRPr="00355571">
              <w:rPr>
                <w:rFonts w:cs="Times New Roman"/>
                <w:sz w:val="24"/>
                <w:szCs w:val="24"/>
              </w:rPr>
              <w:t>Sabiedrības mērķgrupas, kuras tiesiskais regulējums ietekmē vai varētu ietekmēt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529EB" w:rsidRPr="00355571" w:rsidRDefault="00CF48DF" w:rsidP="008D24A8">
            <w:pPr>
              <w:rPr>
                <w:rFonts w:cs="Times New Roman"/>
                <w:sz w:val="24"/>
                <w:szCs w:val="24"/>
              </w:rPr>
            </w:pPr>
            <w:r w:rsidRPr="00355571">
              <w:rPr>
                <w:rFonts w:cs="Times New Roman"/>
                <w:sz w:val="24"/>
                <w:szCs w:val="24"/>
              </w:rPr>
              <w:t>Veselības inspekcijas Kurzemes kontroles nodaļas darbinieki.</w:t>
            </w:r>
          </w:p>
          <w:p w:rsidR="00CF48DF" w:rsidRPr="00355571" w:rsidRDefault="00CF48DF" w:rsidP="008D24A8">
            <w:pPr>
              <w:rPr>
                <w:rFonts w:cs="Times New Roman"/>
                <w:sz w:val="24"/>
                <w:szCs w:val="24"/>
              </w:rPr>
            </w:pPr>
            <w:r w:rsidRPr="00355571">
              <w:rPr>
                <w:rFonts w:cs="Times New Roman"/>
                <w:sz w:val="24"/>
                <w:szCs w:val="24"/>
              </w:rPr>
              <w:t>Mērsraga un Rojas ostas.</w:t>
            </w:r>
          </w:p>
        </w:tc>
      </w:tr>
      <w:tr w:rsidR="00C529EB" w:rsidRPr="00355571" w:rsidTr="00AC2E81">
        <w:trPr>
          <w:trHeight w:val="51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529EB" w:rsidRPr="00355571" w:rsidRDefault="00C529EB" w:rsidP="008D24A8">
            <w:pPr>
              <w:rPr>
                <w:rFonts w:cs="Times New Roman"/>
                <w:sz w:val="24"/>
                <w:szCs w:val="24"/>
              </w:rPr>
            </w:pPr>
            <w:r w:rsidRPr="00355571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529EB" w:rsidRPr="00355571" w:rsidRDefault="00C529EB" w:rsidP="008D24A8">
            <w:pPr>
              <w:rPr>
                <w:rFonts w:cs="Times New Roman"/>
                <w:sz w:val="24"/>
                <w:szCs w:val="24"/>
              </w:rPr>
            </w:pPr>
            <w:r w:rsidRPr="00355571">
              <w:rPr>
                <w:rFonts w:cs="Times New Roman"/>
                <w:sz w:val="24"/>
                <w:szCs w:val="24"/>
              </w:rPr>
              <w:t>Tiesiskā regulējuma ietekme uz tautsaimniecību un administratīvo slogu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16689" w:rsidRPr="00355571" w:rsidRDefault="00B16689" w:rsidP="008D24A8">
            <w:pPr>
              <w:rPr>
                <w:rFonts w:cs="Times New Roman"/>
                <w:sz w:val="24"/>
                <w:szCs w:val="24"/>
              </w:rPr>
            </w:pPr>
            <w:r w:rsidRPr="00355571">
              <w:rPr>
                <w:rFonts w:cs="Times New Roman"/>
                <w:sz w:val="24"/>
                <w:szCs w:val="24"/>
              </w:rPr>
              <w:t xml:space="preserve">Projekts paredz iekļaut Sarakstā Mērsraga un Rojas ostas, lai tās varētu uzņemt kuģus, kam ir nepieciešams saņemt </w:t>
            </w:r>
            <w:r w:rsidR="00791765" w:rsidRPr="00355571">
              <w:rPr>
                <w:rFonts w:cs="Times New Roman"/>
                <w:sz w:val="24"/>
                <w:szCs w:val="24"/>
              </w:rPr>
              <w:t>a</w:t>
            </w:r>
            <w:r w:rsidRPr="00355571">
              <w:rPr>
                <w:rFonts w:cs="Times New Roman"/>
                <w:sz w:val="24"/>
                <w:szCs w:val="24"/>
              </w:rPr>
              <w:t>pliecības.</w:t>
            </w:r>
          </w:p>
          <w:p w:rsidR="00B16689" w:rsidRPr="00355571" w:rsidRDefault="00B16689" w:rsidP="008D24A8">
            <w:pPr>
              <w:rPr>
                <w:rFonts w:cs="Times New Roman"/>
                <w:sz w:val="24"/>
                <w:szCs w:val="24"/>
              </w:rPr>
            </w:pPr>
            <w:r w:rsidRPr="00355571">
              <w:rPr>
                <w:rFonts w:cs="Times New Roman"/>
                <w:sz w:val="24"/>
                <w:szCs w:val="24"/>
              </w:rPr>
              <w:t>Esošais un plānotais kuģu skaits gadā, kam tiktu veiktas pārbaudes un izsniegtas apliecības:</w:t>
            </w:r>
          </w:p>
          <w:p w:rsidR="00B16689" w:rsidRPr="00355571" w:rsidRDefault="00B16689" w:rsidP="008D24A8">
            <w:pPr>
              <w:rPr>
                <w:rFonts w:cs="Times New Roman"/>
                <w:sz w:val="24"/>
                <w:szCs w:val="24"/>
              </w:rPr>
            </w:pPr>
            <w:r w:rsidRPr="00355571">
              <w:rPr>
                <w:rFonts w:cs="Times New Roman"/>
                <w:sz w:val="24"/>
                <w:szCs w:val="24"/>
              </w:rPr>
              <w:t>- Mērsraga ostā esošais kuģu skaits – 130 kravas kuģi gadā, bet plānotais kravas kuģu skaits – 160;</w:t>
            </w:r>
          </w:p>
          <w:p w:rsidR="00C529EB" w:rsidRPr="00355571" w:rsidRDefault="00B16689" w:rsidP="008D24A8">
            <w:pPr>
              <w:rPr>
                <w:rFonts w:cs="Times New Roman"/>
                <w:sz w:val="24"/>
                <w:szCs w:val="24"/>
              </w:rPr>
            </w:pPr>
            <w:r w:rsidRPr="00355571">
              <w:rPr>
                <w:rFonts w:cs="Times New Roman"/>
                <w:sz w:val="24"/>
                <w:szCs w:val="24"/>
              </w:rPr>
              <w:t>- Rojas ostā esošais kravas kuģu skaits gadā – 15, bet plānotais – 30 kravas kuģi.</w:t>
            </w:r>
          </w:p>
          <w:p w:rsidR="00791765" w:rsidRPr="00355571" w:rsidRDefault="00791765" w:rsidP="008D24A8">
            <w:pPr>
              <w:rPr>
                <w:rFonts w:cs="Times New Roman"/>
                <w:sz w:val="24"/>
                <w:szCs w:val="24"/>
              </w:rPr>
            </w:pPr>
            <w:r w:rsidRPr="00355571">
              <w:rPr>
                <w:rFonts w:cs="Times New Roman"/>
                <w:sz w:val="24"/>
                <w:szCs w:val="24"/>
              </w:rPr>
              <w:t>Projekts pozitīvi ietekmētu Mērsraga un Rojas ostu darbību</w:t>
            </w:r>
            <w:r w:rsidR="00AC2E81" w:rsidRPr="00355571">
              <w:rPr>
                <w:rFonts w:cs="Times New Roman"/>
                <w:sz w:val="24"/>
                <w:szCs w:val="24"/>
              </w:rPr>
              <w:t>,</w:t>
            </w:r>
            <w:r w:rsidRPr="00355571">
              <w:rPr>
                <w:rFonts w:cs="Times New Roman"/>
                <w:sz w:val="24"/>
                <w:szCs w:val="24"/>
              </w:rPr>
              <w:t xml:space="preserve"> </w:t>
            </w:r>
            <w:r w:rsidR="00AC2E81" w:rsidRPr="00355571">
              <w:rPr>
                <w:rFonts w:cs="Times New Roman"/>
                <w:sz w:val="24"/>
                <w:szCs w:val="24"/>
              </w:rPr>
              <w:t>paplašinot ostu pakalpojumu klāstu. Apliecību izsniegšana ir viens no priekšnosacījumiem kuģa ienākšanai ostā.</w:t>
            </w:r>
          </w:p>
          <w:p w:rsidR="009A21CF" w:rsidRPr="00355571" w:rsidRDefault="009A21CF" w:rsidP="008D24A8">
            <w:pPr>
              <w:rPr>
                <w:rFonts w:cs="Times New Roman"/>
                <w:sz w:val="24"/>
                <w:szCs w:val="24"/>
              </w:rPr>
            </w:pPr>
          </w:p>
          <w:p w:rsidR="009A21CF" w:rsidRPr="00355571" w:rsidRDefault="009A21CF" w:rsidP="008D24A8">
            <w:pPr>
              <w:rPr>
                <w:rFonts w:cs="Times New Roman"/>
                <w:sz w:val="24"/>
                <w:szCs w:val="24"/>
              </w:rPr>
            </w:pPr>
            <w:r w:rsidRPr="00355571">
              <w:rPr>
                <w:rFonts w:cs="Times New Roman"/>
                <w:sz w:val="24"/>
                <w:szCs w:val="24"/>
              </w:rPr>
              <w:t xml:space="preserve">Veselības inspekcijas Kurzemes kontroles nodaļa ir saņēmusi apstiprinājumu no abu </w:t>
            </w:r>
            <w:r w:rsidR="004C0887" w:rsidRPr="00355571">
              <w:rPr>
                <w:rFonts w:cs="Times New Roman"/>
                <w:sz w:val="24"/>
                <w:szCs w:val="24"/>
              </w:rPr>
              <w:t>iepriekš minēto</w:t>
            </w:r>
            <w:r w:rsidRPr="00355571">
              <w:rPr>
                <w:rFonts w:cs="Times New Roman"/>
                <w:sz w:val="24"/>
                <w:szCs w:val="24"/>
              </w:rPr>
              <w:t xml:space="preserve"> ostu pārstāvjiem par ostu gatavību nodrošināt pasākumu kopumu, kas nepieciešams to iekļaušanai Sarakstā un Apliecību izsniegšanai, ievērojot SVAN noteiktās prasības.</w:t>
            </w:r>
          </w:p>
        </w:tc>
      </w:tr>
      <w:tr w:rsidR="00C529EB" w:rsidRPr="00355571" w:rsidTr="00AC2E81">
        <w:trPr>
          <w:trHeight w:val="51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529EB" w:rsidRPr="00355571" w:rsidRDefault="00C529EB" w:rsidP="008D24A8">
            <w:pPr>
              <w:rPr>
                <w:rFonts w:cs="Times New Roman"/>
                <w:sz w:val="24"/>
                <w:szCs w:val="24"/>
              </w:rPr>
            </w:pPr>
            <w:r w:rsidRPr="00355571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529EB" w:rsidRPr="00355571" w:rsidRDefault="00C529EB" w:rsidP="008D24A8">
            <w:pPr>
              <w:rPr>
                <w:rFonts w:cs="Times New Roman"/>
                <w:sz w:val="24"/>
                <w:szCs w:val="24"/>
              </w:rPr>
            </w:pPr>
            <w:r w:rsidRPr="00355571">
              <w:rPr>
                <w:rFonts w:cs="Times New Roman"/>
                <w:sz w:val="24"/>
                <w:szCs w:val="24"/>
              </w:rPr>
              <w:t>Administratīvo izmaksu monetārs novērtējums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529EB" w:rsidRPr="00355571" w:rsidRDefault="009A21CF" w:rsidP="008D24A8">
            <w:pPr>
              <w:rPr>
                <w:rFonts w:cs="Times New Roman"/>
                <w:sz w:val="24"/>
                <w:szCs w:val="24"/>
              </w:rPr>
            </w:pPr>
            <w:r w:rsidRPr="00355571">
              <w:rPr>
                <w:rFonts w:cs="Times New Roman"/>
                <w:sz w:val="24"/>
                <w:szCs w:val="24"/>
              </w:rPr>
              <w:t>Neattiecas.</w:t>
            </w:r>
          </w:p>
        </w:tc>
      </w:tr>
      <w:tr w:rsidR="00C529EB" w:rsidRPr="00355571" w:rsidTr="00AC2E81">
        <w:trPr>
          <w:trHeight w:val="34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529EB" w:rsidRPr="00355571" w:rsidRDefault="00C529EB" w:rsidP="008D24A8">
            <w:pPr>
              <w:rPr>
                <w:rFonts w:cs="Times New Roman"/>
                <w:sz w:val="24"/>
                <w:szCs w:val="24"/>
              </w:rPr>
            </w:pPr>
            <w:r w:rsidRPr="00355571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529EB" w:rsidRPr="00355571" w:rsidRDefault="00C529EB" w:rsidP="008D24A8">
            <w:pPr>
              <w:rPr>
                <w:rFonts w:cs="Times New Roman"/>
                <w:sz w:val="24"/>
                <w:szCs w:val="24"/>
              </w:rPr>
            </w:pPr>
            <w:r w:rsidRPr="00355571">
              <w:rPr>
                <w:rFonts w:cs="Times New Roman"/>
                <w:sz w:val="24"/>
                <w:szCs w:val="24"/>
              </w:rPr>
              <w:t>Cita informācija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04403" w:rsidRPr="00355571" w:rsidRDefault="00AC2E81" w:rsidP="008D24A8">
            <w:pPr>
              <w:rPr>
                <w:rFonts w:cs="Times New Roman"/>
                <w:sz w:val="24"/>
                <w:szCs w:val="24"/>
              </w:rPr>
            </w:pPr>
            <w:r w:rsidRPr="00355571">
              <w:rPr>
                <w:rFonts w:cs="Times New Roman"/>
                <w:sz w:val="24"/>
                <w:szCs w:val="24"/>
              </w:rPr>
              <w:t>Nav.</w:t>
            </w:r>
          </w:p>
        </w:tc>
      </w:tr>
      <w:tr w:rsidR="007530F5" w:rsidRPr="00355571" w:rsidTr="007530F5">
        <w:tblPrEx>
          <w:jc w:val="center"/>
        </w:tblPrEx>
        <w:trPr>
          <w:trHeight w:val="42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530F5" w:rsidRPr="00355571" w:rsidRDefault="007530F5" w:rsidP="008D24A8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C529EB" w:rsidRPr="00355571" w:rsidTr="00C529EB">
        <w:tblPrEx>
          <w:jc w:val="center"/>
        </w:tblPrEx>
        <w:trPr>
          <w:trHeight w:val="375"/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04403" w:rsidRPr="00355571" w:rsidRDefault="00C529EB" w:rsidP="008D24A8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355571">
              <w:rPr>
                <w:rFonts w:cs="Times New Roman"/>
                <w:b/>
                <w:bCs/>
                <w:sz w:val="24"/>
                <w:szCs w:val="24"/>
              </w:rPr>
              <w:t>VII. Tiesību akta projekta izpildes nodrošināšana un tās ietekme uz institūcijām</w:t>
            </w:r>
          </w:p>
        </w:tc>
      </w:tr>
      <w:tr w:rsidR="00C529EB" w:rsidRPr="00355571" w:rsidTr="00AC2E81">
        <w:tblPrEx>
          <w:jc w:val="center"/>
        </w:tblPrEx>
        <w:trPr>
          <w:trHeight w:val="420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529EB" w:rsidRPr="00355571" w:rsidRDefault="00C529EB" w:rsidP="008D24A8">
            <w:pPr>
              <w:rPr>
                <w:rFonts w:cs="Times New Roman"/>
                <w:sz w:val="24"/>
                <w:szCs w:val="24"/>
              </w:rPr>
            </w:pPr>
            <w:r w:rsidRPr="00355571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529EB" w:rsidRPr="00355571" w:rsidRDefault="00C529EB" w:rsidP="008D24A8">
            <w:pPr>
              <w:rPr>
                <w:rFonts w:cs="Times New Roman"/>
                <w:sz w:val="24"/>
                <w:szCs w:val="24"/>
              </w:rPr>
            </w:pPr>
            <w:r w:rsidRPr="00355571">
              <w:rPr>
                <w:rFonts w:cs="Times New Roman"/>
                <w:sz w:val="24"/>
                <w:szCs w:val="24"/>
              </w:rPr>
              <w:t>Projekta izpildē iesaistītās institūcijas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C5AC9" w:rsidRPr="00355571" w:rsidRDefault="005C5AC9" w:rsidP="008D24A8">
            <w:pPr>
              <w:rPr>
                <w:rFonts w:cs="Times New Roman"/>
                <w:sz w:val="24"/>
                <w:szCs w:val="24"/>
              </w:rPr>
            </w:pPr>
            <w:r w:rsidRPr="00355571">
              <w:rPr>
                <w:rFonts w:cs="Times New Roman"/>
                <w:sz w:val="24"/>
                <w:szCs w:val="24"/>
              </w:rPr>
              <w:t>Neatliekamās medicīniskās palīdzības dienests,</w:t>
            </w:r>
          </w:p>
          <w:p w:rsidR="00C529EB" w:rsidRPr="00355571" w:rsidRDefault="005C5AC9" w:rsidP="008D24A8">
            <w:pPr>
              <w:rPr>
                <w:rFonts w:cs="Times New Roman"/>
                <w:sz w:val="24"/>
                <w:szCs w:val="24"/>
              </w:rPr>
            </w:pPr>
            <w:r w:rsidRPr="00355571">
              <w:rPr>
                <w:rFonts w:cs="Times New Roman"/>
                <w:sz w:val="24"/>
                <w:szCs w:val="24"/>
              </w:rPr>
              <w:t>Veselības inspekcija.</w:t>
            </w:r>
          </w:p>
        </w:tc>
      </w:tr>
      <w:tr w:rsidR="00C529EB" w:rsidRPr="00355571" w:rsidTr="00AC2E81">
        <w:tblPrEx>
          <w:jc w:val="center"/>
        </w:tblPrEx>
        <w:trPr>
          <w:trHeight w:val="450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529EB" w:rsidRPr="00355571" w:rsidRDefault="00C529EB" w:rsidP="008D24A8">
            <w:pPr>
              <w:rPr>
                <w:rFonts w:cs="Times New Roman"/>
                <w:sz w:val="24"/>
                <w:szCs w:val="24"/>
              </w:rPr>
            </w:pPr>
            <w:r w:rsidRPr="00355571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529EB" w:rsidRPr="00355571" w:rsidRDefault="00C529EB" w:rsidP="008D24A8">
            <w:pPr>
              <w:rPr>
                <w:rFonts w:cs="Times New Roman"/>
                <w:sz w:val="24"/>
                <w:szCs w:val="24"/>
              </w:rPr>
            </w:pPr>
            <w:r w:rsidRPr="00355571">
              <w:rPr>
                <w:rFonts w:cs="Times New Roman"/>
                <w:sz w:val="24"/>
                <w:szCs w:val="24"/>
              </w:rPr>
              <w:t>Projekta izpildes ietekme uz pārvaldes funkcijām un institucionālo struktūru.</w:t>
            </w:r>
          </w:p>
          <w:p w:rsidR="00A04403" w:rsidRPr="00355571" w:rsidRDefault="00C529EB" w:rsidP="008D24A8">
            <w:pPr>
              <w:rPr>
                <w:rFonts w:cs="Times New Roman"/>
                <w:sz w:val="24"/>
                <w:szCs w:val="24"/>
              </w:rPr>
            </w:pPr>
            <w:r w:rsidRPr="00355571">
              <w:rPr>
                <w:rFonts w:cs="Times New Roman"/>
                <w:sz w:val="24"/>
                <w:szCs w:val="24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34237" w:rsidRPr="00355571" w:rsidRDefault="005C5AC9" w:rsidP="008D24A8">
            <w:pPr>
              <w:rPr>
                <w:rFonts w:cs="Times New Roman"/>
                <w:sz w:val="24"/>
                <w:szCs w:val="24"/>
              </w:rPr>
            </w:pPr>
            <w:r w:rsidRPr="00355571">
              <w:rPr>
                <w:rFonts w:cs="Times New Roman"/>
                <w:sz w:val="24"/>
                <w:szCs w:val="24"/>
              </w:rPr>
              <w:t>Veselības inspekcijas Kurzemes kontroles nodaļ</w:t>
            </w:r>
            <w:r w:rsidR="009A21CF" w:rsidRPr="00355571">
              <w:rPr>
                <w:rFonts w:cs="Times New Roman"/>
                <w:sz w:val="24"/>
                <w:szCs w:val="24"/>
              </w:rPr>
              <w:t xml:space="preserve">a var nodrošināt nepieciešamos cilvēkresursus, jo tajā ir četri higiēnas ārsti, kas apguvuši kuģu apsekošanu. </w:t>
            </w:r>
          </w:p>
          <w:p w:rsidR="00C529EB" w:rsidRPr="00355571" w:rsidRDefault="00C529EB" w:rsidP="008D24A8">
            <w:pPr>
              <w:rPr>
                <w:rFonts w:cs="Times New Roman"/>
                <w:sz w:val="24"/>
                <w:szCs w:val="24"/>
              </w:rPr>
            </w:pPr>
          </w:p>
          <w:p w:rsidR="009A21CF" w:rsidRPr="00355571" w:rsidRDefault="009A21CF" w:rsidP="008D24A8">
            <w:pPr>
              <w:rPr>
                <w:rFonts w:cs="Times New Roman"/>
                <w:sz w:val="24"/>
                <w:szCs w:val="24"/>
              </w:rPr>
            </w:pPr>
            <w:r w:rsidRPr="00355571">
              <w:rPr>
                <w:rFonts w:cs="Times New Roman"/>
                <w:sz w:val="24"/>
                <w:szCs w:val="24"/>
              </w:rPr>
              <w:t>Saistībā ar projekta izpildi nav plānota jaunu institūciju izveide</w:t>
            </w:r>
            <w:r w:rsidR="00E75E68" w:rsidRPr="00355571">
              <w:rPr>
                <w:rFonts w:cs="Times New Roman"/>
                <w:sz w:val="24"/>
                <w:szCs w:val="24"/>
              </w:rPr>
              <w:t>, institūciju likvidācija vai reorganizācija.</w:t>
            </w:r>
          </w:p>
        </w:tc>
      </w:tr>
      <w:tr w:rsidR="00C529EB" w:rsidRPr="00355571" w:rsidTr="00AC2E81">
        <w:tblPrEx>
          <w:jc w:val="center"/>
        </w:tblPrEx>
        <w:trPr>
          <w:trHeight w:val="390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529EB" w:rsidRPr="00355571" w:rsidRDefault="00C529EB" w:rsidP="008D24A8">
            <w:pPr>
              <w:rPr>
                <w:rFonts w:cs="Times New Roman"/>
                <w:sz w:val="24"/>
                <w:szCs w:val="24"/>
              </w:rPr>
            </w:pPr>
            <w:r w:rsidRPr="00355571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529EB" w:rsidRPr="00355571" w:rsidRDefault="00C529EB" w:rsidP="008D24A8">
            <w:pPr>
              <w:rPr>
                <w:rFonts w:cs="Times New Roman"/>
                <w:sz w:val="24"/>
                <w:szCs w:val="24"/>
              </w:rPr>
            </w:pPr>
            <w:r w:rsidRPr="00355571">
              <w:rPr>
                <w:rFonts w:cs="Times New Roman"/>
                <w:sz w:val="24"/>
                <w:szCs w:val="24"/>
              </w:rPr>
              <w:t>Cita informācija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04403" w:rsidRPr="00355571" w:rsidRDefault="00E75E68" w:rsidP="008D24A8">
            <w:pPr>
              <w:rPr>
                <w:rFonts w:cs="Times New Roman"/>
                <w:sz w:val="24"/>
                <w:szCs w:val="24"/>
              </w:rPr>
            </w:pPr>
            <w:r w:rsidRPr="00355571">
              <w:rPr>
                <w:rFonts w:eastAsia="Times New Roman" w:cs="Times New Roman"/>
                <w:sz w:val="24"/>
                <w:szCs w:val="24"/>
                <w:lang w:eastAsia="lv-LV"/>
              </w:rPr>
              <w:t>Veselības inspekcija noteikumu projektā paredzētos pasākumus nodrošinās tām piešķirto valsts budžeta līdzekļu ietvaros.</w:t>
            </w:r>
          </w:p>
        </w:tc>
      </w:tr>
    </w:tbl>
    <w:p w:rsidR="00E6562D" w:rsidRPr="00355571" w:rsidRDefault="00E6562D" w:rsidP="007530F5">
      <w:pPr>
        <w:rPr>
          <w:rFonts w:cs="Times New Roman"/>
          <w:iCs/>
          <w:szCs w:val="28"/>
        </w:rPr>
      </w:pPr>
      <w:r w:rsidRPr="00355571">
        <w:rPr>
          <w:rFonts w:cs="Times New Roman"/>
          <w:iCs/>
          <w:szCs w:val="28"/>
        </w:rPr>
        <w:t>Anotācijas III., IV.</w:t>
      </w:r>
      <w:r w:rsidR="00E96224">
        <w:rPr>
          <w:rFonts w:cs="Times New Roman"/>
          <w:iCs/>
          <w:szCs w:val="28"/>
        </w:rPr>
        <w:t>, V</w:t>
      </w:r>
      <w:r w:rsidRPr="00355571">
        <w:rPr>
          <w:rFonts w:cs="Times New Roman"/>
          <w:iCs/>
          <w:szCs w:val="28"/>
        </w:rPr>
        <w:t xml:space="preserve"> un V</w:t>
      </w:r>
      <w:r w:rsidR="00E96224">
        <w:rPr>
          <w:rFonts w:cs="Times New Roman"/>
          <w:iCs/>
          <w:szCs w:val="28"/>
        </w:rPr>
        <w:t>I</w:t>
      </w:r>
      <w:r w:rsidRPr="00355571">
        <w:rPr>
          <w:rFonts w:cs="Times New Roman"/>
          <w:iCs/>
          <w:szCs w:val="28"/>
        </w:rPr>
        <w:t>. sadaļa – projekts šīs jomas neskar.</w:t>
      </w:r>
    </w:p>
    <w:p w:rsidR="00E6562D" w:rsidRPr="00355571" w:rsidRDefault="00E6562D" w:rsidP="007530F5">
      <w:pPr>
        <w:rPr>
          <w:rFonts w:cs="Times New Roman"/>
          <w:szCs w:val="28"/>
        </w:rPr>
      </w:pPr>
    </w:p>
    <w:p w:rsidR="00E6562D" w:rsidRPr="00355571" w:rsidRDefault="00E6562D" w:rsidP="007530F5">
      <w:pPr>
        <w:rPr>
          <w:rFonts w:cs="Times New Roman"/>
          <w:szCs w:val="28"/>
        </w:rPr>
      </w:pPr>
    </w:p>
    <w:p w:rsidR="00E6562D" w:rsidRPr="00355571" w:rsidRDefault="00E6562D" w:rsidP="007530F5">
      <w:pPr>
        <w:rPr>
          <w:rFonts w:cs="Times New Roman"/>
          <w:szCs w:val="28"/>
        </w:rPr>
      </w:pPr>
    </w:p>
    <w:p w:rsidR="00E6562D" w:rsidRPr="00355571" w:rsidRDefault="00E6562D" w:rsidP="00E75E68">
      <w:pPr>
        <w:tabs>
          <w:tab w:val="right" w:pos="9071"/>
        </w:tabs>
        <w:rPr>
          <w:rFonts w:cs="Times New Roman"/>
          <w:szCs w:val="28"/>
        </w:rPr>
      </w:pPr>
      <w:r w:rsidRPr="00355571">
        <w:rPr>
          <w:rFonts w:cs="Times New Roman"/>
          <w:szCs w:val="28"/>
        </w:rPr>
        <w:t xml:space="preserve">Veselības ministrs </w:t>
      </w:r>
      <w:r w:rsidRPr="00355571">
        <w:rPr>
          <w:rFonts w:cs="Times New Roman"/>
          <w:szCs w:val="28"/>
        </w:rPr>
        <w:tab/>
      </w:r>
      <w:r w:rsidR="00E25ACB">
        <w:rPr>
          <w:rFonts w:cs="Times New Roman"/>
          <w:szCs w:val="28"/>
        </w:rPr>
        <w:t xml:space="preserve">Guntis </w:t>
      </w:r>
      <w:r w:rsidRPr="00355571">
        <w:rPr>
          <w:rFonts w:cs="Times New Roman"/>
          <w:szCs w:val="28"/>
        </w:rPr>
        <w:t>Belēvičs</w:t>
      </w:r>
    </w:p>
    <w:p w:rsidR="00E6562D" w:rsidRDefault="00E6562D" w:rsidP="00E75E68">
      <w:pPr>
        <w:tabs>
          <w:tab w:val="right" w:pos="9071"/>
        </w:tabs>
        <w:rPr>
          <w:rFonts w:cs="Times New Roman"/>
          <w:szCs w:val="28"/>
        </w:rPr>
      </w:pPr>
    </w:p>
    <w:p w:rsidR="00E37EAC" w:rsidRPr="00355571" w:rsidRDefault="00E37EAC" w:rsidP="00E75E68">
      <w:pPr>
        <w:tabs>
          <w:tab w:val="right" w:pos="9071"/>
        </w:tabs>
        <w:rPr>
          <w:rFonts w:cs="Times New Roman"/>
          <w:szCs w:val="28"/>
        </w:rPr>
      </w:pPr>
    </w:p>
    <w:p w:rsidR="00E75E68" w:rsidRPr="00355571" w:rsidRDefault="00E75E68" w:rsidP="00E75E68">
      <w:pPr>
        <w:tabs>
          <w:tab w:val="right" w:pos="9071"/>
        </w:tabs>
        <w:ind w:right="-766"/>
        <w:jc w:val="left"/>
        <w:rPr>
          <w:rFonts w:eastAsia="Calibri" w:cs="Times New Roman"/>
          <w:szCs w:val="28"/>
        </w:rPr>
      </w:pPr>
      <w:r w:rsidRPr="00355571">
        <w:rPr>
          <w:rFonts w:eastAsia="Calibri" w:cs="Times New Roman"/>
          <w:szCs w:val="28"/>
        </w:rPr>
        <w:t>Vīza: Valsts sekretāre</w:t>
      </w:r>
      <w:r w:rsidRPr="00355571">
        <w:rPr>
          <w:rFonts w:eastAsia="Calibri" w:cs="Times New Roman"/>
          <w:szCs w:val="28"/>
        </w:rPr>
        <w:tab/>
      </w:r>
      <w:r w:rsidR="00E25ACB">
        <w:rPr>
          <w:rFonts w:eastAsia="Calibri" w:cs="Times New Roman"/>
          <w:szCs w:val="28"/>
        </w:rPr>
        <w:t xml:space="preserve">Solvita </w:t>
      </w:r>
      <w:proofErr w:type="spellStart"/>
      <w:r w:rsidRPr="00355571">
        <w:rPr>
          <w:rFonts w:eastAsia="Calibri" w:cs="Times New Roman"/>
          <w:szCs w:val="28"/>
        </w:rPr>
        <w:t>Zvidriņa</w:t>
      </w:r>
      <w:proofErr w:type="spellEnd"/>
    </w:p>
    <w:p w:rsidR="00E6562D" w:rsidRPr="00355571" w:rsidRDefault="00E6562D" w:rsidP="007530F5">
      <w:pPr>
        <w:rPr>
          <w:rFonts w:cs="Times New Roman"/>
          <w:szCs w:val="28"/>
        </w:rPr>
      </w:pPr>
    </w:p>
    <w:p w:rsidR="00E6562D" w:rsidRPr="00355571" w:rsidRDefault="00E6562D" w:rsidP="007530F5">
      <w:pPr>
        <w:rPr>
          <w:rFonts w:cs="Times New Roman"/>
          <w:szCs w:val="28"/>
        </w:rPr>
      </w:pPr>
    </w:p>
    <w:p w:rsidR="00E6562D" w:rsidRPr="00355571" w:rsidRDefault="00E6562D" w:rsidP="007530F5">
      <w:pPr>
        <w:rPr>
          <w:rFonts w:cs="Times New Roman"/>
          <w:szCs w:val="28"/>
        </w:rPr>
      </w:pPr>
    </w:p>
    <w:p w:rsidR="00E050D0" w:rsidRPr="00355571" w:rsidRDefault="00DF0153" w:rsidP="007530F5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05.04</w:t>
      </w:r>
      <w:r w:rsidR="00DA6D3B">
        <w:rPr>
          <w:rFonts w:cs="Times New Roman"/>
          <w:sz w:val="20"/>
          <w:szCs w:val="20"/>
        </w:rPr>
        <w:t>.2016.</w:t>
      </w:r>
      <w:r w:rsidR="00E6562D" w:rsidRPr="00355571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9:25</w:t>
      </w:r>
    </w:p>
    <w:p w:rsidR="00E6562D" w:rsidRPr="00355571" w:rsidRDefault="00DA6D3B" w:rsidP="007530F5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6</w:t>
      </w:r>
      <w:r w:rsidR="004D2876">
        <w:rPr>
          <w:rFonts w:cs="Times New Roman"/>
          <w:sz w:val="20"/>
          <w:szCs w:val="20"/>
        </w:rPr>
        <w:t>06</w:t>
      </w:r>
    </w:p>
    <w:p w:rsidR="00E6562D" w:rsidRPr="00355571" w:rsidRDefault="00E6562D" w:rsidP="007530F5">
      <w:pPr>
        <w:rPr>
          <w:rFonts w:cs="Times New Roman"/>
          <w:sz w:val="20"/>
          <w:szCs w:val="20"/>
        </w:rPr>
      </w:pPr>
      <w:bookmarkStart w:id="2" w:name="OLE_LINK5"/>
      <w:bookmarkStart w:id="3" w:name="OLE_LINK6"/>
      <w:r w:rsidRPr="00355571">
        <w:rPr>
          <w:rFonts w:cs="Times New Roman"/>
          <w:sz w:val="20"/>
          <w:szCs w:val="20"/>
        </w:rPr>
        <w:t>I.Volkovska-Cielava</w:t>
      </w:r>
    </w:p>
    <w:p w:rsidR="00E6562D" w:rsidRPr="00355571" w:rsidRDefault="00D82618" w:rsidP="007530F5">
      <w:pPr>
        <w:rPr>
          <w:rFonts w:cs="Times New Roman"/>
          <w:sz w:val="20"/>
          <w:szCs w:val="20"/>
        </w:rPr>
      </w:pPr>
      <w:hyperlink r:id="rId6" w:history="1">
        <w:r w:rsidR="00E6562D" w:rsidRPr="00355571">
          <w:rPr>
            <w:rStyle w:val="Hyperlink"/>
            <w:rFonts w:cs="Times New Roman"/>
            <w:sz w:val="20"/>
            <w:szCs w:val="20"/>
          </w:rPr>
          <w:t>iveta.volkovska@vm.gov.lv</w:t>
        </w:r>
      </w:hyperlink>
      <w:r w:rsidR="00E75E68" w:rsidRPr="00355571">
        <w:rPr>
          <w:rFonts w:cs="Times New Roman"/>
          <w:sz w:val="20"/>
          <w:szCs w:val="20"/>
        </w:rPr>
        <w:t xml:space="preserve">, </w:t>
      </w:r>
      <w:r w:rsidR="00E6562D" w:rsidRPr="00355571">
        <w:rPr>
          <w:rFonts w:cs="Times New Roman"/>
          <w:sz w:val="20"/>
          <w:szCs w:val="20"/>
        </w:rPr>
        <w:t>67876089</w:t>
      </w:r>
      <w:bookmarkEnd w:id="2"/>
      <w:bookmarkEnd w:id="3"/>
    </w:p>
    <w:p w:rsidR="00DC304F" w:rsidRPr="00355571" w:rsidRDefault="00DC304F" w:rsidP="007530F5">
      <w:pPr>
        <w:rPr>
          <w:rFonts w:cs="Times New Roman"/>
          <w:sz w:val="24"/>
          <w:szCs w:val="24"/>
        </w:rPr>
      </w:pPr>
    </w:p>
    <w:sectPr w:rsidR="00DC304F" w:rsidRPr="00355571" w:rsidSect="00E75E68">
      <w:headerReference w:type="default" r:id="rId7"/>
      <w:footerReference w:type="even" r:id="rId8"/>
      <w:footerReference w:type="default" r:id="rId9"/>
      <w:footerReference w:type="first" r:id="rId10"/>
      <w:pgSz w:w="11906" w:h="16838" w:code="9"/>
      <w:pgMar w:top="1418" w:right="1134" w:bottom="1134" w:left="1701" w:header="709" w:footer="1134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224" w:rsidRDefault="00E96224" w:rsidP="00E6562D">
      <w:r>
        <w:separator/>
      </w:r>
    </w:p>
  </w:endnote>
  <w:endnote w:type="continuationSeparator" w:id="0">
    <w:p w:rsidR="00E96224" w:rsidRDefault="00E96224" w:rsidP="00E65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224" w:rsidRPr="00E75E68" w:rsidRDefault="00E96224">
    <w:pPr>
      <w:pStyle w:val="Footer"/>
      <w:rPr>
        <w:sz w:val="24"/>
      </w:rPr>
    </w:pPr>
    <w:r w:rsidRPr="00E75E68">
      <w:rPr>
        <w:sz w:val="24"/>
      </w:rPr>
      <w:t>VManot_</w:t>
    </w:r>
    <w:r w:rsidR="00DF0153">
      <w:rPr>
        <w:sz w:val="24"/>
      </w:rPr>
      <w:t>0504</w:t>
    </w:r>
    <w:r w:rsidR="00243DDB">
      <w:rPr>
        <w:sz w:val="24"/>
      </w:rPr>
      <w:t>16</w:t>
    </w:r>
    <w:r w:rsidRPr="00E75E68">
      <w:rPr>
        <w:sz w:val="24"/>
      </w:rPr>
      <w:t xml:space="preserve">_1050; Ministru kabineta noteikumu projekta „Grozījumi </w:t>
    </w:r>
    <w:r w:rsidRPr="00E75E68">
      <w:rPr>
        <w:bCs/>
        <w:sz w:val="24"/>
      </w:rPr>
      <w:t xml:space="preserve">Ministru kabineta </w:t>
    </w:r>
    <w:proofErr w:type="gramStart"/>
    <w:r w:rsidRPr="00E75E68">
      <w:rPr>
        <w:bCs/>
        <w:sz w:val="24"/>
      </w:rPr>
      <w:t>2010.gada</w:t>
    </w:r>
    <w:proofErr w:type="gramEnd"/>
    <w:r w:rsidRPr="00E75E68">
      <w:rPr>
        <w:bCs/>
        <w:sz w:val="24"/>
      </w:rPr>
      <w:t xml:space="preserve"> 16.novembra noteikumos Nr.1050</w:t>
    </w:r>
    <w:r w:rsidRPr="00E75E68">
      <w:rPr>
        <w:sz w:val="24"/>
      </w:rPr>
      <w:t xml:space="preserve"> „</w:t>
    </w:r>
    <w:r w:rsidRPr="00E75E68">
      <w:rPr>
        <w:bCs/>
        <w:sz w:val="24"/>
      </w:rPr>
      <w:t>Sabiedrības veselības aizsardzības pasākumu veikšanas kārtība</w:t>
    </w:r>
    <w:r w:rsidRPr="00E75E68">
      <w:rPr>
        <w:sz w:val="24"/>
      </w:rPr>
      <w:t>”” sākotnējās ietekmes novērtējuma ziņojums (anotācija)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224" w:rsidRPr="00E75E68" w:rsidRDefault="00E96224" w:rsidP="00E75E68">
    <w:pPr>
      <w:rPr>
        <w:sz w:val="24"/>
        <w:szCs w:val="24"/>
      </w:rPr>
    </w:pPr>
    <w:r w:rsidRPr="00E75E68">
      <w:rPr>
        <w:sz w:val="24"/>
        <w:szCs w:val="24"/>
      </w:rPr>
      <w:t>VManot_</w:t>
    </w:r>
    <w:r w:rsidR="004D2876">
      <w:rPr>
        <w:sz w:val="24"/>
        <w:szCs w:val="24"/>
      </w:rPr>
      <w:t>2103</w:t>
    </w:r>
    <w:r w:rsidR="00640240">
      <w:rPr>
        <w:sz w:val="24"/>
        <w:szCs w:val="24"/>
      </w:rPr>
      <w:t>16</w:t>
    </w:r>
    <w:r w:rsidRPr="00E75E68">
      <w:rPr>
        <w:sz w:val="24"/>
        <w:szCs w:val="24"/>
      </w:rPr>
      <w:t xml:space="preserve">_1050; </w:t>
    </w:r>
    <w:bookmarkStart w:id="4" w:name="OLE_LINK3"/>
    <w:bookmarkStart w:id="5" w:name="OLE_LINK4"/>
    <w:r w:rsidRPr="00E75E68">
      <w:rPr>
        <w:rFonts w:cs="Times New Roman"/>
        <w:kern w:val="28"/>
        <w:sz w:val="24"/>
        <w:szCs w:val="24"/>
      </w:rPr>
      <w:t xml:space="preserve">Ministru kabineta noteikumu projekta </w:t>
    </w:r>
    <w:r w:rsidRPr="00E75E68">
      <w:rPr>
        <w:rFonts w:cs="Times New Roman"/>
        <w:sz w:val="24"/>
        <w:szCs w:val="24"/>
      </w:rPr>
      <w:t xml:space="preserve">„Grozījumi </w:t>
    </w:r>
    <w:r w:rsidRPr="00E75E68">
      <w:rPr>
        <w:rFonts w:cs="Times New Roman"/>
        <w:bCs/>
        <w:sz w:val="24"/>
        <w:szCs w:val="24"/>
      </w:rPr>
      <w:t xml:space="preserve">Ministru kabineta </w:t>
    </w:r>
    <w:proofErr w:type="gramStart"/>
    <w:r w:rsidRPr="00E75E68">
      <w:rPr>
        <w:rFonts w:cs="Times New Roman"/>
        <w:bCs/>
        <w:sz w:val="24"/>
        <w:szCs w:val="24"/>
      </w:rPr>
      <w:t>2010.gada</w:t>
    </w:r>
    <w:proofErr w:type="gramEnd"/>
    <w:r w:rsidRPr="00E75E68">
      <w:rPr>
        <w:rFonts w:cs="Times New Roman"/>
        <w:bCs/>
        <w:sz w:val="24"/>
        <w:szCs w:val="24"/>
      </w:rPr>
      <w:t xml:space="preserve"> 16.novembra noteikumos Nr.1050</w:t>
    </w:r>
    <w:r w:rsidRPr="00E75E68">
      <w:rPr>
        <w:rFonts w:cs="Times New Roman"/>
        <w:sz w:val="24"/>
        <w:szCs w:val="24"/>
      </w:rPr>
      <w:t xml:space="preserve"> „</w:t>
    </w:r>
    <w:r w:rsidRPr="00E75E68">
      <w:rPr>
        <w:rFonts w:cs="Times New Roman"/>
        <w:bCs/>
        <w:sz w:val="24"/>
        <w:szCs w:val="24"/>
      </w:rPr>
      <w:t>Sabiedrības veselības aizsardzības pasākumu veikšanas kārtība</w:t>
    </w:r>
    <w:r w:rsidRPr="00E75E68">
      <w:rPr>
        <w:rFonts w:cs="Times New Roman"/>
        <w:sz w:val="24"/>
        <w:szCs w:val="24"/>
      </w:rPr>
      <w:t>”” sākotnējās ietekmes novērtējuma ziņojums (anotācija)</w:t>
    </w:r>
    <w:bookmarkEnd w:id="4"/>
    <w:bookmarkEnd w:id="5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224" w:rsidRPr="007E2457" w:rsidRDefault="00E96224">
    <w:pPr>
      <w:pStyle w:val="Footer"/>
      <w:rPr>
        <w:sz w:val="24"/>
      </w:rPr>
    </w:pPr>
    <w:r w:rsidRPr="007E2457">
      <w:rPr>
        <w:sz w:val="24"/>
      </w:rPr>
      <w:t>VManot_</w:t>
    </w:r>
    <w:r w:rsidR="00DF0153">
      <w:rPr>
        <w:sz w:val="24"/>
      </w:rPr>
      <w:t>0504</w:t>
    </w:r>
    <w:r w:rsidR="00243DDB">
      <w:rPr>
        <w:sz w:val="24"/>
      </w:rPr>
      <w:t>16</w:t>
    </w:r>
    <w:r w:rsidRPr="007E2457">
      <w:rPr>
        <w:sz w:val="24"/>
      </w:rPr>
      <w:t>_1050</w:t>
    </w:r>
    <w:proofErr w:type="gramStart"/>
    <w:r w:rsidR="00243DDB">
      <w:rPr>
        <w:sz w:val="24"/>
      </w:rPr>
      <w:t xml:space="preserve"> </w:t>
    </w:r>
    <w:r w:rsidRPr="007E2457">
      <w:rPr>
        <w:sz w:val="24"/>
      </w:rPr>
      <w:t>;</w:t>
    </w:r>
    <w:proofErr w:type="gramEnd"/>
    <w:r w:rsidRPr="007E2457">
      <w:rPr>
        <w:sz w:val="24"/>
      </w:rPr>
      <w:t xml:space="preserve"> Ministru kabineta noteikumu projekta „Grozījumi </w:t>
    </w:r>
    <w:r w:rsidRPr="007E2457">
      <w:rPr>
        <w:bCs/>
        <w:sz w:val="24"/>
      </w:rPr>
      <w:t>Ministru kabineta 2010.gada 16.novembra noteikumos Nr.1050</w:t>
    </w:r>
    <w:r w:rsidRPr="007E2457">
      <w:rPr>
        <w:sz w:val="24"/>
      </w:rPr>
      <w:t xml:space="preserve"> „</w:t>
    </w:r>
    <w:r w:rsidRPr="007E2457">
      <w:rPr>
        <w:bCs/>
        <w:sz w:val="24"/>
      </w:rPr>
      <w:t>Sabiedrības veselības aizsardzības pasākumu veikšanas kārtība</w:t>
    </w:r>
    <w:r w:rsidRPr="007E2457">
      <w:rPr>
        <w:sz w:val="24"/>
      </w:rPr>
      <w:t>”” sākotnējās ietekmes novērtējuma ziņojums (anotācija)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224" w:rsidRDefault="00E96224" w:rsidP="00E6562D">
      <w:r>
        <w:separator/>
      </w:r>
    </w:p>
  </w:footnote>
  <w:footnote w:type="continuationSeparator" w:id="0">
    <w:p w:rsidR="00E96224" w:rsidRDefault="00E96224" w:rsidP="00E65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4502752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E96224" w:rsidRPr="00E75E68" w:rsidRDefault="00D82618">
        <w:pPr>
          <w:pStyle w:val="Header"/>
          <w:jc w:val="center"/>
          <w:rPr>
            <w:sz w:val="24"/>
          </w:rPr>
        </w:pPr>
        <w:r w:rsidRPr="00E75E68">
          <w:rPr>
            <w:sz w:val="24"/>
          </w:rPr>
          <w:fldChar w:fldCharType="begin"/>
        </w:r>
        <w:r w:rsidR="00E96224" w:rsidRPr="00E75E68">
          <w:rPr>
            <w:sz w:val="24"/>
          </w:rPr>
          <w:instrText xml:space="preserve"> PAGE   \* MERGEFORMAT </w:instrText>
        </w:r>
        <w:r w:rsidRPr="00E75E68">
          <w:rPr>
            <w:sz w:val="24"/>
          </w:rPr>
          <w:fldChar w:fldCharType="separate"/>
        </w:r>
        <w:r w:rsidR="00DF0153">
          <w:rPr>
            <w:noProof/>
            <w:sz w:val="24"/>
          </w:rPr>
          <w:t>3</w:t>
        </w:r>
        <w:r w:rsidRPr="00E75E68">
          <w:rPr>
            <w:sz w:val="24"/>
          </w:rPr>
          <w:fldChar w:fldCharType="end"/>
        </w:r>
      </w:p>
    </w:sdtContent>
  </w:sdt>
  <w:p w:rsidR="00E96224" w:rsidRDefault="00E9622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4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529EB"/>
    <w:rsid w:val="00006CEE"/>
    <w:rsid w:val="00015FF7"/>
    <w:rsid w:val="0002544D"/>
    <w:rsid w:val="00030A67"/>
    <w:rsid w:val="00044E10"/>
    <w:rsid w:val="00045621"/>
    <w:rsid w:val="000472C2"/>
    <w:rsid w:val="00047979"/>
    <w:rsid w:val="000607F9"/>
    <w:rsid w:val="00060F9F"/>
    <w:rsid w:val="000643B1"/>
    <w:rsid w:val="00067168"/>
    <w:rsid w:val="00072D18"/>
    <w:rsid w:val="00076BB3"/>
    <w:rsid w:val="000A27F7"/>
    <w:rsid w:val="000A2FA0"/>
    <w:rsid w:val="000B14D1"/>
    <w:rsid w:val="000B5961"/>
    <w:rsid w:val="000B7B0C"/>
    <w:rsid w:val="000D26BE"/>
    <w:rsid w:val="000E7F55"/>
    <w:rsid w:val="00104C47"/>
    <w:rsid w:val="00106C3B"/>
    <w:rsid w:val="001142A4"/>
    <w:rsid w:val="00133EA2"/>
    <w:rsid w:val="001428E1"/>
    <w:rsid w:val="00145030"/>
    <w:rsid w:val="00145121"/>
    <w:rsid w:val="001515F8"/>
    <w:rsid w:val="001630FB"/>
    <w:rsid w:val="0017492A"/>
    <w:rsid w:val="0018546B"/>
    <w:rsid w:val="00186B1F"/>
    <w:rsid w:val="001970D4"/>
    <w:rsid w:val="001B13DF"/>
    <w:rsid w:val="001B3001"/>
    <w:rsid w:val="001C7A7D"/>
    <w:rsid w:val="001D394C"/>
    <w:rsid w:val="001F6894"/>
    <w:rsid w:val="00243DDB"/>
    <w:rsid w:val="002513F6"/>
    <w:rsid w:val="002530E2"/>
    <w:rsid w:val="00266091"/>
    <w:rsid w:val="00272DC2"/>
    <w:rsid w:val="00286023"/>
    <w:rsid w:val="00295D74"/>
    <w:rsid w:val="002979FA"/>
    <w:rsid w:val="002A685C"/>
    <w:rsid w:val="002B4733"/>
    <w:rsid w:val="002B4EEA"/>
    <w:rsid w:val="002B7DD4"/>
    <w:rsid w:val="002C6CEE"/>
    <w:rsid w:val="002E184C"/>
    <w:rsid w:val="00303D73"/>
    <w:rsid w:val="00306BA2"/>
    <w:rsid w:val="00324E22"/>
    <w:rsid w:val="003257FF"/>
    <w:rsid w:val="00355571"/>
    <w:rsid w:val="00362E9B"/>
    <w:rsid w:val="003904C0"/>
    <w:rsid w:val="003A280E"/>
    <w:rsid w:val="003B0A21"/>
    <w:rsid w:val="003C34BA"/>
    <w:rsid w:val="003D0C6C"/>
    <w:rsid w:val="003E568C"/>
    <w:rsid w:val="003F1030"/>
    <w:rsid w:val="003F6D2D"/>
    <w:rsid w:val="004073C2"/>
    <w:rsid w:val="00414AAE"/>
    <w:rsid w:val="00430D8D"/>
    <w:rsid w:val="00436E1E"/>
    <w:rsid w:val="00481035"/>
    <w:rsid w:val="0048431D"/>
    <w:rsid w:val="0049070A"/>
    <w:rsid w:val="00490A4B"/>
    <w:rsid w:val="004C0887"/>
    <w:rsid w:val="004D2876"/>
    <w:rsid w:val="004D6DCC"/>
    <w:rsid w:val="004E0320"/>
    <w:rsid w:val="004E0790"/>
    <w:rsid w:val="004E1250"/>
    <w:rsid w:val="004E24FD"/>
    <w:rsid w:val="004E75BA"/>
    <w:rsid w:val="004F4D98"/>
    <w:rsid w:val="00504347"/>
    <w:rsid w:val="0051239A"/>
    <w:rsid w:val="00524078"/>
    <w:rsid w:val="005242E3"/>
    <w:rsid w:val="00524424"/>
    <w:rsid w:val="00534BBD"/>
    <w:rsid w:val="00552E1C"/>
    <w:rsid w:val="005856A8"/>
    <w:rsid w:val="005A59A8"/>
    <w:rsid w:val="005B5CA2"/>
    <w:rsid w:val="005B7C04"/>
    <w:rsid w:val="005C5AC9"/>
    <w:rsid w:val="005E05CD"/>
    <w:rsid w:val="005F0D28"/>
    <w:rsid w:val="005F5F1B"/>
    <w:rsid w:val="00617CA6"/>
    <w:rsid w:val="006225DB"/>
    <w:rsid w:val="00624D87"/>
    <w:rsid w:val="00640240"/>
    <w:rsid w:val="00655357"/>
    <w:rsid w:val="00656C08"/>
    <w:rsid w:val="0067592D"/>
    <w:rsid w:val="00683C4F"/>
    <w:rsid w:val="006A24AB"/>
    <w:rsid w:val="006A66DA"/>
    <w:rsid w:val="006A76AA"/>
    <w:rsid w:val="006B4602"/>
    <w:rsid w:val="006F6522"/>
    <w:rsid w:val="0071116D"/>
    <w:rsid w:val="0072798D"/>
    <w:rsid w:val="00730253"/>
    <w:rsid w:val="007530F5"/>
    <w:rsid w:val="007556CA"/>
    <w:rsid w:val="0076151E"/>
    <w:rsid w:val="00762F1C"/>
    <w:rsid w:val="00791765"/>
    <w:rsid w:val="007969C6"/>
    <w:rsid w:val="007975AB"/>
    <w:rsid w:val="007B1BBB"/>
    <w:rsid w:val="007C03B8"/>
    <w:rsid w:val="007E2457"/>
    <w:rsid w:val="007E4300"/>
    <w:rsid w:val="007F150C"/>
    <w:rsid w:val="007F7A83"/>
    <w:rsid w:val="007F7A96"/>
    <w:rsid w:val="00804F71"/>
    <w:rsid w:val="00813E33"/>
    <w:rsid w:val="0081697A"/>
    <w:rsid w:val="00823F4F"/>
    <w:rsid w:val="008328A2"/>
    <w:rsid w:val="00846D37"/>
    <w:rsid w:val="00851B3F"/>
    <w:rsid w:val="008710C0"/>
    <w:rsid w:val="00887C79"/>
    <w:rsid w:val="008A0CF7"/>
    <w:rsid w:val="008A3D43"/>
    <w:rsid w:val="008A66E5"/>
    <w:rsid w:val="008D24A8"/>
    <w:rsid w:val="008D4262"/>
    <w:rsid w:val="00906A81"/>
    <w:rsid w:val="0090738D"/>
    <w:rsid w:val="009125BC"/>
    <w:rsid w:val="00913473"/>
    <w:rsid w:val="00920DBD"/>
    <w:rsid w:val="009238AE"/>
    <w:rsid w:val="00931840"/>
    <w:rsid w:val="00940980"/>
    <w:rsid w:val="00940EB7"/>
    <w:rsid w:val="00943449"/>
    <w:rsid w:val="009544C4"/>
    <w:rsid w:val="00963C78"/>
    <w:rsid w:val="00964F99"/>
    <w:rsid w:val="009653A4"/>
    <w:rsid w:val="009657C4"/>
    <w:rsid w:val="00973940"/>
    <w:rsid w:val="00982523"/>
    <w:rsid w:val="00993165"/>
    <w:rsid w:val="009A0DCC"/>
    <w:rsid w:val="009A21CF"/>
    <w:rsid w:val="009B3465"/>
    <w:rsid w:val="009B5DA4"/>
    <w:rsid w:val="009B61AE"/>
    <w:rsid w:val="009F7137"/>
    <w:rsid w:val="00A04403"/>
    <w:rsid w:val="00A047F9"/>
    <w:rsid w:val="00A2204B"/>
    <w:rsid w:val="00A36753"/>
    <w:rsid w:val="00A43538"/>
    <w:rsid w:val="00A4366F"/>
    <w:rsid w:val="00A6176B"/>
    <w:rsid w:val="00A61EC8"/>
    <w:rsid w:val="00A63D05"/>
    <w:rsid w:val="00A65CED"/>
    <w:rsid w:val="00A924F8"/>
    <w:rsid w:val="00A95E27"/>
    <w:rsid w:val="00AA3450"/>
    <w:rsid w:val="00AC2CA5"/>
    <w:rsid w:val="00AC2E81"/>
    <w:rsid w:val="00AC7462"/>
    <w:rsid w:val="00AE0448"/>
    <w:rsid w:val="00AE20CF"/>
    <w:rsid w:val="00AE46DE"/>
    <w:rsid w:val="00B05A82"/>
    <w:rsid w:val="00B16689"/>
    <w:rsid w:val="00B34237"/>
    <w:rsid w:val="00B479B9"/>
    <w:rsid w:val="00B60360"/>
    <w:rsid w:val="00B63926"/>
    <w:rsid w:val="00B74784"/>
    <w:rsid w:val="00B81710"/>
    <w:rsid w:val="00B82CFC"/>
    <w:rsid w:val="00B8627D"/>
    <w:rsid w:val="00B91D6C"/>
    <w:rsid w:val="00B94DA2"/>
    <w:rsid w:val="00BA1282"/>
    <w:rsid w:val="00BA6568"/>
    <w:rsid w:val="00BA6AF0"/>
    <w:rsid w:val="00BB52F5"/>
    <w:rsid w:val="00BD01B5"/>
    <w:rsid w:val="00BD26C4"/>
    <w:rsid w:val="00BD3EB7"/>
    <w:rsid w:val="00C230B6"/>
    <w:rsid w:val="00C43442"/>
    <w:rsid w:val="00C529EB"/>
    <w:rsid w:val="00C55D78"/>
    <w:rsid w:val="00C63DC4"/>
    <w:rsid w:val="00C710FB"/>
    <w:rsid w:val="00C71DB2"/>
    <w:rsid w:val="00C743A7"/>
    <w:rsid w:val="00CA0A94"/>
    <w:rsid w:val="00CA7BDD"/>
    <w:rsid w:val="00CB0320"/>
    <w:rsid w:val="00CB46F2"/>
    <w:rsid w:val="00CC6B0A"/>
    <w:rsid w:val="00CD694F"/>
    <w:rsid w:val="00CF48DF"/>
    <w:rsid w:val="00CF492D"/>
    <w:rsid w:val="00CF4BD9"/>
    <w:rsid w:val="00CF654A"/>
    <w:rsid w:val="00D40B1B"/>
    <w:rsid w:val="00D47F95"/>
    <w:rsid w:val="00D5165C"/>
    <w:rsid w:val="00D6165B"/>
    <w:rsid w:val="00D77FBD"/>
    <w:rsid w:val="00D803A5"/>
    <w:rsid w:val="00D80402"/>
    <w:rsid w:val="00D82618"/>
    <w:rsid w:val="00D87D7A"/>
    <w:rsid w:val="00D9245A"/>
    <w:rsid w:val="00DA0118"/>
    <w:rsid w:val="00DA6348"/>
    <w:rsid w:val="00DA6D3B"/>
    <w:rsid w:val="00DB27F3"/>
    <w:rsid w:val="00DC304F"/>
    <w:rsid w:val="00DC6974"/>
    <w:rsid w:val="00DD3AF2"/>
    <w:rsid w:val="00DE3D9B"/>
    <w:rsid w:val="00DF0153"/>
    <w:rsid w:val="00DF6E21"/>
    <w:rsid w:val="00E03F24"/>
    <w:rsid w:val="00E050D0"/>
    <w:rsid w:val="00E10B56"/>
    <w:rsid w:val="00E112AE"/>
    <w:rsid w:val="00E25ACB"/>
    <w:rsid w:val="00E349A9"/>
    <w:rsid w:val="00E3757F"/>
    <w:rsid w:val="00E37EAC"/>
    <w:rsid w:val="00E41478"/>
    <w:rsid w:val="00E6562D"/>
    <w:rsid w:val="00E7231F"/>
    <w:rsid w:val="00E74C30"/>
    <w:rsid w:val="00E75E68"/>
    <w:rsid w:val="00E96224"/>
    <w:rsid w:val="00E97F5D"/>
    <w:rsid w:val="00EC2F08"/>
    <w:rsid w:val="00EC5C96"/>
    <w:rsid w:val="00EC7108"/>
    <w:rsid w:val="00ED44A8"/>
    <w:rsid w:val="00F13C5D"/>
    <w:rsid w:val="00F3691C"/>
    <w:rsid w:val="00F41037"/>
    <w:rsid w:val="00F46D61"/>
    <w:rsid w:val="00F6007C"/>
    <w:rsid w:val="00F81A12"/>
    <w:rsid w:val="00F875E1"/>
    <w:rsid w:val="00FA4708"/>
    <w:rsid w:val="00FB2548"/>
    <w:rsid w:val="00FD1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BA2"/>
    <w:pPr>
      <w:spacing w:after="0" w:line="240" w:lineRule="auto"/>
      <w:jc w:val="both"/>
    </w:pPr>
    <w:rPr>
      <w:rFonts w:ascii="Times New Roman" w:hAnsi="Times New Roman"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29E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56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62D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E656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62D"/>
    <w:rPr>
      <w:rFonts w:ascii="Times New Roman" w:hAnsi="Times New Roman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6562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56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3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3725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63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464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84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7523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711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36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55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68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016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888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498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eta.volkovska@vm.gov.lv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632</Words>
  <Characters>4407</Characters>
  <Application>Microsoft Office Word</Application>
  <DocSecurity>0</DocSecurity>
  <Lines>231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„Grozījumi Ministru kabineta 2010.gada 16.novembra noteikumos Nr.1050 „Sabiedrības veselības aizsardzības pasākumu veikšanas kārtība”” sākotnējās ietekmes novērtējuma ziņojums (anotācija)</vt:lpstr>
    </vt:vector>
  </TitlesOfParts>
  <Company>Veselības ministrija</Company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„Grozījumi Ministru kabineta 2010.gada 16.novembra noteikumos Nr.1050 „Sabiedrības veselības aizsardzības pasākumu veikšanas kārtība”” sākotnējās ietekmes novērtējuma ziņojums (anotācija)</dc:title>
  <dc:subject>Anotācija</dc:subject>
  <dc:creator>Iveta Volkovska-Cielava</dc:creator>
  <dc:description>iveta.volkovska@vm.gov.lv; 67876089</dc:description>
  <cp:lastModifiedBy>ivolkovska</cp:lastModifiedBy>
  <cp:revision>16</cp:revision>
  <cp:lastPrinted>2016-02-03T14:05:00Z</cp:lastPrinted>
  <dcterms:created xsi:type="dcterms:W3CDTF">2016-01-26T11:52:00Z</dcterms:created>
  <dcterms:modified xsi:type="dcterms:W3CDTF">2016-04-05T06:25:00Z</dcterms:modified>
</cp:coreProperties>
</file>