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988AF" w14:textId="77777777" w:rsidR="00A574F7" w:rsidRPr="008A78CD" w:rsidRDefault="00A574F7" w:rsidP="00A574F7">
      <w:pPr>
        <w:jc w:val="center"/>
        <w:rPr>
          <w:b/>
          <w:bCs/>
          <w:sz w:val="28"/>
          <w:szCs w:val="28"/>
        </w:rPr>
      </w:pPr>
      <w:bookmarkStart w:id="0" w:name="_GoBack"/>
      <w:bookmarkEnd w:id="0"/>
      <w:r w:rsidRPr="008A78CD">
        <w:rPr>
          <w:b/>
          <w:bCs/>
          <w:sz w:val="28"/>
          <w:szCs w:val="28"/>
        </w:rPr>
        <w:t xml:space="preserve">Ministru kabineta noteikumu </w:t>
      </w:r>
    </w:p>
    <w:p w14:paraId="37DD8A40" w14:textId="77777777" w:rsidR="00A574F7" w:rsidRPr="008A78CD" w:rsidRDefault="00A574F7" w:rsidP="00A574F7">
      <w:pPr>
        <w:jc w:val="center"/>
        <w:rPr>
          <w:b/>
          <w:bCs/>
          <w:sz w:val="28"/>
          <w:szCs w:val="28"/>
        </w:rPr>
      </w:pPr>
      <w:r w:rsidRPr="008A78CD">
        <w:rPr>
          <w:b/>
          <w:bCs/>
          <w:sz w:val="28"/>
          <w:szCs w:val="28"/>
        </w:rPr>
        <w:t>“Grozījum</w:t>
      </w:r>
      <w:r w:rsidR="00A263B5">
        <w:rPr>
          <w:b/>
          <w:bCs/>
          <w:sz w:val="28"/>
          <w:szCs w:val="28"/>
        </w:rPr>
        <w:t>i</w:t>
      </w:r>
      <w:r w:rsidRPr="008A78CD">
        <w:rPr>
          <w:b/>
          <w:bCs/>
          <w:sz w:val="28"/>
          <w:szCs w:val="28"/>
        </w:rPr>
        <w:t xml:space="preserve"> Ministru kabineta 2009.gada 22.decembra noteikumos Nr.1623 “Noteikumi par valsts nodevas likmi par sabiedrisko pakalpojumu regulēšanu un nodevas maksāšanas kārtību”” </w:t>
      </w:r>
    </w:p>
    <w:p w14:paraId="490D8993" w14:textId="77777777" w:rsidR="00A574F7" w:rsidRPr="008A78CD" w:rsidRDefault="00A574F7" w:rsidP="00A574F7">
      <w:pPr>
        <w:jc w:val="center"/>
        <w:rPr>
          <w:b/>
          <w:bCs/>
          <w:sz w:val="28"/>
          <w:szCs w:val="28"/>
        </w:rPr>
      </w:pPr>
      <w:r w:rsidRPr="008A78CD">
        <w:rPr>
          <w:b/>
          <w:bCs/>
          <w:sz w:val="28"/>
          <w:szCs w:val="28"/>
        </w:rPr>
        <w:t>sākotnējās ietekmes novērtējuma ziņojums (anotācija)</w:t>
      </w:r>
    </w:p>
    <w:p w14:paraId="27639B74" w14:textId="77777777" w:rsidR="00A574F7" w:rsidRPr="008A78CD" w:rsidRDefault="00A574F7" w:rsidP="00A574F7">
      <w:pPr>
        <w:ind w:firstLine="301"/>
        <w:jc w:val="center"/>
        <w:rPr>
          <w:rFonts w:ascii="Arial" w:hAnsi="Arial" w:cs="Arial"/>
          <w:i/>
          <w:iCs/>
          <w:sz w:val="20"/>
          <w:szCs w:val="20"/>
        </w:rPr>
      </w:pPr>
    </w:p>
    <w:p w14:paraId="334F7CD2" w14:textId="77777777" w:rsidR="00743931" w:rsidRPr="008A78CD" w:rsidRDefault="00743931" w:rsidP="00A574F7">
      <w:pPr>
        <w:ind w:firstLine="301"/>
        <w:jc w:val="center"/>
        <w:rPr>
          <w:rFonts w:ascii="Arial" w:hAnsi="Arial" w:cs="Arial"/>
          <w:i/>
          <w:iCs/>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475"/>
        <w:gridCol w:w="6088"/>
      </w:tblGrid>
      <w:tr w:rsidR="00A574F7" w:rsidRPr="008A78CD" w14:paraId="072CCD9E" w14:textId="77777777" w:rsidTr="00730921">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74494D" w14:textId="77777777" w:rsidR="00A574F7" w:rsidRPr="008A78CD" w:rsidRDefault="00A574F7" w:rsidP="00A574F7">
            <w:pPr>
              <w:spacing w:before="100" w:beforeAutospacing="1" w:after="100" w:afterAutospacing="1" w:line="360" w:lineRule="auto"/>
              <w:ind w:firstLine="300"/>
              <w:jc w:val="center"/>
              <w:rPr>
                <w:b/>
                <w:bCs/>
              </w:rPr>
            </w:pPr>
            <w:r w:rsidRPr="008A78CD">
              <w:rPr>
                <w:b/>
                <w:bCs/>
              </w:rPr>
              <w:t>I. Tiesību akta projekta izstrādes nepieciešamība</w:t>
            </w:r>
          </w:p>
        </w:tc>
      </w:tr>
      <w:tr w:rsidR="00A574F7" w:rsidRPr="008A78CD" w14:paraId="0A024C7E" w14:textId="77777777" w:rsidTr="00637890">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CD8D42E" w14:textId="77777777" w:rsidR="00A574F7" w:rsidRPr="008A78CD" w:rsidRDefault="00A574F7" w:rsidP="00002813">
            <w:pPr>
              <w:spacing w:before="100" w:beforeAutospacing="1" w:after="100" w:afterAutospacing="1" w:line="360" w:lineRule="auto"/>
              <w:jc w:val="center"/>
            </w:pPr>
            <w:r w:rsidRPr="008A78CD">
              <w:t>1.</w:t>
            </w:r>
          </w:p>
        </w:tc>
        <w:tc>
          <w:tcPr>
            <w:tcW w:w="1350" w:type="pct"/>
            <w:tcBorders>
              <w:top w:val="outset" w:sz="6" w:space="0" w:color="auto"/>
              <w:left w:val="outset" w:sz="6" w:space="0" w:color="auto"/>
              <w:bottom w:val="outset" w:sz="6" w:space="0" w:color="auto"/>
              <w:right w:val="outset" w:sz="6" w:space="0" w:color="auto"/>
            </w:tcBorders>
            <w:hideMark/>
          </w:tcPr>
          <w:p w14:paraId="0550C1E1" w14:textId="77777777" w:rsidR="00A574F7" w:rsidRPr="008A78CD" w:rsidRDefault="00A574F7" w:rsidP="00A574F7">
            <w:r w:rsidRPr="008A78CD">
              <w:t>Pamatojums</w:t>
            </w:r>
          </w:p>
        </w:tc>
        <w:tc>
          <w:tcPr>
            <w:tcW w:w="3336" w:type="pct"/>
            <w:tcBorders>
              <w:top w:val="outset" w:sz="6" w:space="0" w:color="auto"/>
              <w:left w:val="outset" w:sz="6" w:space="0" w:color="auto"/>
              <w:bottom w:val="outset" w:sz="6" w:space="0" w:color="auto"/>
              <w:right w:val="outset" w:sz="6" w:space="0" w:color="auto"/>
            </w:tcBorders>
            <w:hideMark/>
          </w:tcPr>
          <w:p w14:paraId="062A8E10" w14:textId="77777777" w:rsidR="00A574F7" w:rsidRPr="008A78CD" w:rsidRDefault="00A574F7" w:rsidP="00F87F96">
            <w:pPr>
              <w:spacing w:after="80"/>
              <w:jc w:val="both"/>
            </w:pPr>
            <w:r w:rsidRPr="008A78CD">
              <w:t>Saskaņā ar likuma “Par sabiedrisko pakalpojumu regulatoriem” (turpmāk – Likums) 29.pantu Sabiedrisko pakalpojumu regulēšanas komisijas (turpmāk – Regulators) darbību finansē no ieņēmumiem, kas gūti, iekasējot valsts nodevu par sabiedrisko pakalpojumu regulēšanu.</w:t>
            </w:r>
          </w:p>
          <w:p w14:paraId="2998AD91" w14:textId="77777777" w:rsidR="00A574F7" w:rsidRPr="008A78CD" w:rsidRDefault="00A574F7" w:rsidP="00F87F96">
            <w:pPr>
              <w:spacing w:after="80"/>
              <w:jc w:val="both"/>
            </w:pPr>
            <w:r w:rsidRPr="008A78CD">
              <w:t>Saskaņā ar Likuma 31.panta pirmo daļu valsts nodevas par sabiedrisko pakalpojumu regulēšanu likmi atsevišķi katram regulējamās nozares sabiedrisko pakalpojumu veidam nosaka Ministru kabinets, pamatojoties uz sabiedrisko pakalpojumu gada neto apgrozījumu un Regulatora darbības nodrošināšanai nepieciešamajiem izdevumiem.</w:t>
            </w:r>
          </w:p>
          <w:p w14:paraId="61475E87" w14:textId="77777777" w:rsidR="00A574F7" w:rsidRPr="008A78CD" w:rsidRDefault="00A574F7" w:rsidP="00F87F96">
            <w:pPr>
              <w:spacing w:after="80"/>
              <w:jc w:val="both"/>
            </w:pPr>
            <w:r w:rsidRPr="008A78CD">
              <w:t xml:space="preserve">Saskaņā ar Likuma 31.panta </w:t>
            </w:r>
            <w:r w:rsidR="008E794A">
              <w:t>otro</w:t>
            </w:r>
            <w:r w:rsidR="008E794A" w:rsidRPr="008A78CD">
              <w:t xml:space="preserve"> </w:t>
            </w:r>
            <w:r w:rsidRPr="008A78CD">
              <w:t>daļu valsts nodevas par sabiedrisko pakalpojumu regulēšanu gada likme nedrīkst pārsniegt 0,2 procentus no komersanta sniegto sabiedrisko pakalpojumu neto apgrozījuma iepriekšējā kalendāra gadā.</w:t>
            </w:r>
          </w:p>
        </w:tc>
      </w:tr>
      <w:tr w:rsidR="00A574F7" w:rsidRPr="008A78CD" w14:paraId="21A79692" w14:textId="77777777" w:rsidTr="00637890">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53D4362" w14:textId="77777777" w:rsidR="00A574F7" w:rsidRPr="008A78CD" w:rsidRDefault="00A574F7" w:rsidP="00002813">
            <w:pPr>
              <w:spacing w:before="100" w:beforeAutospacing="1" w:after="100" w:afterAutospacing="1" w:line="360" w:lineRule="auto"/>
              <w:jc w:val="center"/>
            </w:pPr>
            <w:r w:rsidRPr="008A78CD">
              <w:t>2.</w:t>
            </w:r>
          </w:p>
        </w:tc>
        <w:tc>
          <w:tcPr>
            <w:tcW w:w="1350" w:type="pct"/>
            <w:tcBorders>
              <w:top w:val="outset" w:sz="6" w:space="0" w:color="auto"/>
              <w:left w:val="outset" w:sz="6" w:space="0" w:color="auto"/>
              <w:bottom w:val="outset" w:sz="6" w:space="0" w:color="auto"/>
              <w:right w:val="outset" w:sz="6" w:space="0" w:color="auto"/>
            </w:tcBorders>
            <w:hideMark/>
          </w:tcPr>
          <w:p w14:paraId="6A4ED69F" w14:textId="77777777" w:rsidR="00A574F7" w:rsidRPr="008A78CD" w:rsidRDefault="00A574F7" w:rsidP="00A574F7">
            <w:r w:rsidRPr="008A78CD">
              <w:t>Pašreizējā situācija un problēmas, kuru risināšanai tiesību akta projekts izstrādāts, tiesiskā regulējuma mērķis un būtība</w:t>
            </w:r>
          </w:p>
        </w:tc>
        <w:tc>
          <w:tcPr>
            <w:tcW w:w="3336" w:type="pct"/>
            <w:tcBorders>
              <w:top w:val="outset" w:sz="6" w:space="0" w:color="auto"/>
              <w:left w:val="outset" w:sz="6" w:space="0" w:color="auto"/>
              <w:bottom w:val="outset" w:sz="6" w:space="0" w:color="auto"/>
              <w:right w:val="outset" w:sz="6" w:space="0" w:color="auto"/>
            </w:tcBorders>
            <w:hideMark/>
          </w:tcPr>
          <w:p w14:paraId="6D8C91A9" w14:textId="77777777" w:rsidR="00A574F7" w:rsidRPr="008A78CD" w:rsidRDefault="00A574F7" w:rsidP="00F87F96">
            <w:pPr>
              <w:spacing w:after="80"/>
              <w:jc w:val="both"/>
              <w:rPr>
                <w:rFonts w:eastAsiaTheme="minorHAnsi" w:cstheme="minorBidi"/>
                <w:lang w:eastAsia="en-US"/>
              </w:rPr>
            </w:pPr>
            <w:r w:rsidRPr="008A78CD">
              <w:rPr>
                <w:rFonts w:eastAsiaTheme="minorHAnsi" w:cstheme="minorBidi"/>
                <w:lang w:eastAsia="en-US"/>
              </w:rPr>
              <w:t>Saskaņā ar Likumu Latvijā ir izveidota sabiedrisko pakalpojumu regulēšanas sistēma, kuras mērķis ir nodrošināt iespēju saņemt nepārtrauktus, drošus un kvalitatīvus sabiedriskos pakalpojumus, kuru tarifi (cenas) atbilst ekonomiski pamatotām izmaksām, kā arī veicināt attīstību un ekonomiski pamatotu konkurenci regulējamās nozarēs, nosakot sabiedrisko pakalpojumu regulēšanas kārtību un tiesiskās attiecības sabiedrisko pakalpojumu sniegšanā.</w:t>
            </w:r>
          </w:p>
          <w:p w14:paraId="44BD02EB" w14:textId="77777777" w:rsidR="00A574F7" w:rsidRDefault="00A574F7" w:rsidP="00F87F96">
            <w:pPr>
              <w:spacing w:after="80"/>
              <w:jc w:val="both"/>
              <w:rPr>
                <w:rFonts w:eastAsiaTheme="minorHAnsi"/>
                <w:szCs w:val="22"/>
                <w:lang w:eastAsia="en-US"/>
              </w:rPr>
            </w:pPr>
            <w:r w:rsidRPr="008A78CD">
              <w:t xml:space="preserve">Saskaņā ar likumu “Par nodokļiem un nodevām” valsts nodeva ir </w:t>
            </w:r>
            <w:r w:rsidRPr="008A78CD">
              <w:rPr>
                <w:rFonts w:eastAsiaTheme="minorHAnsi"/>
                <w:szCs w:val="22"/>
                <w:lang w:eastAsia="en-US"/>
              </w:rPr>
              <w:t xml:space="preserve">obligāts </w:t>
            </w:r>
            <w:r w:rsidRPr="00322540">
              <w:rPr>
                <w:rFonts w:eastAsiaTheme="minorHAnsi"/>
                <w:szCs w:val="22"/>
                <w:lang w:eastAsia="en-US"/>
              </w:rPr>
              <w:t xml:space="preserve">maksājums </w:t>
            </w:r>
            <w:r w:rsidR="00C55064" w:rsidRPr="00322540">
              <w:t>valsts budžetā vai šajā likumā noteiktajos gadījumos pašvaldības budžetā</w:t>
            </w:r>
            <w:r w:rsidR="00C55064" w:rsidRPr="00322540">
              <w:rPr>
                <w:rFonts w:eastAsiaTheme="minorHAnsi"/>
                <w:szCs w:val="22"/>
                <w:lang w:eastAsia="en-US"/>
              </w:rPr>
              <w:t xml:space="preserve"> </w:t>
            </w:r>
            <w:r w:rsidRPr="00322540">
              <w:rPr>
                <w:rFonts w:eastAsiaTheme="minorHAnsi"/>
                <w:szCs w:val="22"/>
                <w:lang w:eastAsia="en-US"/>
              </w:rPr>
              <w:t xml:space="preserve">par valsts </w:t>
            </w:r>
            <w:r w:rsidR="00C55064" w:rsidRPr="00322540">
              <w:rPr>
                <w:rFonts w:eastAsiaTheme="minorHAnsi"/>
                <w:szCs w:val="22"/>
                <w:lang w:eastAsia="en-US"/>
              </w:rPr>
              <w:t xml:space="preserve">vai pašvaldības </w:t>
            </w:r>
            <w:r w:rsidRPr="00322540">
              <w:rPr>
                <w:rFonts w:eastAsiaTheme="minorHAnsi"/>
                <w:szCs w:val="22"/>
                <w:lang w:eastAsia="en-US"/>
              </w:rPr>
              <w:t xml:space="preserve">institūcijas </w:t>
            </w:r>
            <w:r w:rsidRPr="008A78CD">
              <w:rPr>
                <w:rFonts w:eastAsiaTheme="minorHAnsi"/>
                <w:szCs w:val="22"/>
                <w:lang w:eastAsia="en-US"/>
              </w:rPr>
              <w:t>veicamo darbību, kas izriet no šīs institūcijas funkcijām. Valsts nodevas mērķis ir personu darbību regulēšana (kontrolēšana, veicināšana, ierobežošana).</w:t>
            </w:r>
            <w:r w:rsidR="00872F9F">
              <w:rPr>
                <w:rFonts w:eastAsiaTheme="minorHAnsi"/>
                <w:szCs w:val="22"/>
                <w:lang w:eastAsia="en-US"/>
              </w:rPr>
              <w:t xml:space="preserve"> </w:t>
            </w:r>
            <w:r w:rsidR="00872F9F">
              <w:t>Valsts nodevas apmērs nav tiešā veidā saistīts ar institūcijas veiktās darbības izmaksu segšanu.</w:t>
            </w:r>
          </w:p>
          <w:p w14:paraId="2225DB66" w14:textId="77777777" w:rsidR="00A574F7" w:rsidRPr="008A78CD" w:rsidRDefault="00A574F7" w:rsidP="00F87F96">
            <w:pPr>
              <w:spacing w:after="80"/>
              <w:jc w:val="both"/>
            </w:pPr>
            <w:r w:rsidRPr="008A78CD">
              <w:t xml:space="preserve">Likums nodrošina finansiālo (budžeta) autonomiju un Regulatora patstāvību attiecīgā gada likumā par valsts  budžetu apstiprinātā budžeta izpildē, paredzot, ka Regulatora darbību finansē no ieņēmumiem, kas gūti, iekasējot valsts nodevu par sabiedrisko pakalpojumu regulēšanu, ko maksā regulējamo nozaru sabiedrisko pakalpojumu sniedzēji un iemaksātā valsts </w:t>
            </w:r>
            <w:r w:rsidRPr="008A78CD">
              <w:lastRenderedPageBreak/>
              <w:t>nodeva par sabiedrisko pakalpojumu regulēšanu regulējamās nozarēs izmantojama vienīgi Regulatora darbības nodrošināšanai.</w:t>
            </w:r>
          </w:p>
          <w:p w14:paraId="215E8C5B" w14:textId="77777777" w:rsidR="00743931" w:rsidRDefault="00A574F7" w:rsidP="00F87F96">
            <w:pPr>
              <w:spacing w:after="80"/>
              <w:jc w:val="both"/>
              <w:rPr>
                <w:rFonts w:eastAsiaTheme="minorHAnsi"/>
                <w:szCs w:val="22"/>
                <w:lang w:eastAsia="en-US"/>
              </w:rPr>
            </w:pPr>
            <w:r w:rsidRPr="008A78CD">
              <w:rPr>
                <w:rFonts w:eastAsiaTheme="minorHAnsi"/>
                <w:szCs w:val="22"/>
                <w:lang w:eastAsia="en-US"/>
              </w:rPr>
              <w:t xml:space="preserve">Eiropas Parlamenta un Padomes 2009. gada 13. jūlija Direktīva 2009/72/EK par kopīgiem noteikumiem attiecībā uz </w:t>
            </w:r>
            <w:r w:rsidRPr="00322540">
              <w:rPr>
                <w:rFonts w:eastAsiaTheme="minorHAnsi"/>
                <w:szCs w:val="22"/>
                <w:lang w:eastAsia="en-US"/>
              </w:rPr>
              <w:t>elektroenerģijas iekšējo tirgu</w:t>
            </w:r>
            <w:r w:rsidR="00922E41" w:rsidRPr="00322540">
              <w:t xml:space="preserve"> </w:t>
            </w:r>
            <w:r w:rsidR="00922E41" w:rsidRPr="00922E41">
              <w:t>un par Direktīvas 2003/54/EK atcelšanu</w:t>
            </w:r>
            <w:r w:rsidRPr="00322540">
              <w:rPr>
                <w:rFonts w:eastAsiaTheme="minorHAnsi"/>
                <w:szCs w:val="22"/>
                <w:lang w:eastAsia="en-US"/>
              </w:rPr>
              <w:t xml:space="preserve">, kā arī Eiropas Parlamenta un Padomes 2009. gada 13. jūlija Direktīva 2009/73/EK par </w:t>
            </w:r>
            <w:r w:rsidRPr="008A78CD">
              <w:rPr>
                <w:rFonts w:eastAsiaTheme="minorHAnsi"/>
                <w:szCs w:val="22"/>
                <w:lang w:eastAsia="en-US"/>
              </w:rPr>
              <w:t>kopīgiem noteikumiem attiecībā uz dabasgāzes iekšējo tirgu un par Direktīvas 2003/55/EK atcelšanu (turpmāk – Direktīva 2009/73/EK) nosaka paaugstinātas prasības dalībvalstīm nodrošināt minētājās direktīvās ietvertos principus attiecībā uz Regulatora finansiālo (budžeta) autonomiju, Regulatora patstāvību un neatkarību budžeta resursu izmantošanā un kvalificēta personāla piesaistīšanā.</w:t>
            </w:r>
          </w:p>
          <w:p w14:paraId="433B50A8" w14:textId="77777777" w:rsidR="00A574F7" w:rsidRPr="008A78CD" w:rsidRDefault="00A574F7" w:rsidP="00F87F96">
            <w:pPr>
              <w:spacing w:after="80"/>
              <w:jc w:val="both"/>
              <w:rPr>
                <w:rFonts w:eastAsiaTheme="minorHAnsi"/>
                <w:szCs w:val="22"/>
                <w:lang w:eastAsia="en-US"/>
              </w:rPr>
            </w:pPr>
            <w:r w:rsidRPr="008A78CD">
              <w:rPr>
                <w:rFonts w:eastAsiaTheme="minorHAnsi"/>
                <w:szCs w:val="22"/>
                <w:lang w:eastAsia="en-US"/>
              </w:rPr>
              <w:t xml:space="preserve">Savukārt Eiropas Parlamenta un Padomes 2009.gada 25.novembra Direktīva 2009/140/EK, ar ko izdara grozījumus Direktīvā 2002/21/EK par kopējiem reglamentējošiem noteikumiem attiecībā uz elektronisko komunikāciju tīkliem un pakalpojumiem, Direktīvā 2002/19/EK par piekļuvi elektronisko komunikāciju tīkliem un ar tiem saistītām iekārtām un to savstarpēju savienojumu un Direktīvā 2002/20/EK par elektronisko komunikāciju tīklu un pakalpojumu atļaušanu  nosaka prasību dalībvalstīm nodrošināt Regulatoram pienācīgus finanšu resursus un cilvēkresursus tam uzticēto uzdevumu izpildei. </w:t>
            </w:r>
          </w:p>
          <w:p w14:paraId="55920F74" w14:textId="77777777" w:rsidR="00A574F7" w:rsidRPr="008A78CD" w:rsidRDefault="00A574F7" w:rsidP="00F87F96">
            <w:pPr>
              <w:spacing w:after="80"/>
              <w:jc w:val="both"/>
              <w:rPr>
                <w:rFonts w:eastAsiaTheme="minorHAnsi" w:cstheme="minorBidi"/>
                <w:lang w:eastAsia="en-US"/>
              </w:rPr>
            </w:pPr>
            <w:r w:rsidRPr="008A78CD">
              <w:rPr>
                <w:rFonts w:eastAsiaTheme="minorHAnsi" w:cstheme="minorBidi"/>
                <w:lang w:eastAsia="en-US"/>
              </w:rPr>
              <w:t xml:space="preserve">Regulēšanas funkciju veikšana, tajā skaitā regulējamo pakalpojumu sniedzēju tarifu izvērtēšana, nodrošina tarifu atbilstību ekonomiski pamatotām izmaksām, tajā skaitā samazinot pakalpojumu tarifus un pakalpojumu sniedzēju apgrozījumu. Piemēram, 2013.gada laikā septiņiem, 2014.gada laikā sešiem </w:t>
            </w:r>
            <w:r w:rsidR="001F4B0E" w:rsidRPr="008A78CD">
              <w:rPr>
                <w:rFonts w:eastAsiaTheme="minorHAnsi" w:cstheme="minorBidi"/>
                <w:lang w:eastAsia="en-US"/>
              </w:rPr>
              <w:t xml:space="preserve">un 2015.gada laikā </w:t>
            </w:r>
            <w:r w:rsidR="00F459A0" w:rsidRPr="008A78CD">
              <w:rPr>
                <w:rFonts w:eastAsiaTheme="minorHAnsi" w:cstheme="minorBidi"/>
                <w:lang w:eastAsia="en-US"/>
              </w:rPr>
              <w:t xml:space="preserve">vēl </w:t>
            </w:r>
            <w:r w:rsidR="00B20F50">
              <w:rPr>
                <w:rFonts w:eastAsiaTheme="minorHAnsi" w:cstheme="minorBidi"/>
                <w:lang w:eastAsia="en-US"/>
              </w:rPr>
              <w:t>četriem</w:t>
            </w:r>
            <w:r w:rsidR="00B20F50" w:rsidRPr="008A78CD">
              <w:rPr>
                <w:rFonts w:eastAsiaTheme="minorHAnsi" w:cstheme="minorBidi"/>
                <w:lang w:eastAsia="en-US"/>
              </w:rPr>
              <w:t xml:space="preserve"> </w:t>
            </w:r>
            <w:r w:rsidRPr="008A78CD">
              <w:rPr>
                <w:rFonts w:eastAsiaTheme="minorHAnsi" w:cstheme="minorBidi"/>
                <w:lang w:eastAsia="en-US"/>
              </w:rPr>
              <w:t xml:space="preserve">siltumapgādes komersantiem ir apstiprināti samazināti siltumenerģijas gala tarifi. Tā kā piemērotais regulēšanas režīms paredz skaidru siltumapgādes komersantu kurināmā izmaksu noteikšanu atbilstoši kurināmā cenu izmaiņām, un vairāk kā 80% no siltumenerģijas apjoma, kas piegādāta par regulētiem tarifiem, tarifs ir piesaistīts dabasgāzes cenas izmaiņām, līdz ar dabasgāzes cenu  samazinājumu sarūk arī </w:t>
            </w:r>
            <w:r w:rsidR="00F459A0" w:rsidRPr="008A78CD">
              <w:rPr>
                <w:szCs w:val="20"/>
                <w:lang w:eastAsia="x-none"/>
              </w:rPr>
              <w:t xml:space="preserve">siltumenerģijas tarifi un </w:t>
            </w:r>
            <w:r w:rsidRPr="008A78CD">
              <w:rPr>
                <w:rFonts w:eastAsiaTheme="minorHAnsi" w:cstheme="minorBidi"/>
                <w:lang w:eastAsia="en-US"/>
              </w:rPr>
              <w:t>regulējamo komersantu apgrozījums.</w:t>
            </w:r>
            <w:r w:rsidR="00F459A0" w:rsidRPr="008A78CD">
              <w:rPr>
                <w:szCs w:val="20"/>
                <w:lang w:eastAsia="x-none"/>
              </w:rPr>
              <w:t xml:space="preserve"> Sagaidāms, ka šī tendence turpināsies 2016.gada laikā.</w:t>
            </w:r>
          </w:p>
          <w:p w14:paraId="5F67A77C" w14:textId="77777777" w:rsidR="00A574F7" w:rsidRPr="008A78CD" w:rsidRDefault="00A574F7" w:rsidP="00F87F96">
            <w:pPr>
              <w:spacing w:after="80"/>
              <w:jc w:val="both"/>
              <w:rPr>
                <w:rFonts w:eastAsiaTheme="minorHAnsi" w:cstheme="minorBidi"/>
                <w:lang w:eastAsia="en-US"/>
              </w:rPr>
            </w:pPr>
            <w:r w:rsidRPr="008A78CD">
              <w:rPr>
                <w:rFonts w:eastAsiaTheme="minorHAnsi" w:cstheme="minorBidi"/>
                <w:lang w:eastAsia="en-US"/>
              </w:rPr>
              <w:t xml:space="preserve">No 2015.gada 1.janvāra ir atvērts elektroenerģijas tirgus mājsaimniecībām, kā rezultātā elektroenerģijas tirgotāju apgrozījums par elektroenerģijas piegādēm mājsaimniecībām tiek noteikts, izmantojot piegādātās elektroenerģijas cenas, nevis kā iepriekšējos gados aprēķinos izmantojot saistīto lietotāju </w:t>
            </w:r>
            <w:r w:rsidR="00743931" w:rsidRPr="008A78CD">
              <w:rPr>
                <w:rFonts w:eastAsiaTheme="minorHAnsi" w:cstheme="minorBidi"/>
                <w:lang w:eastAsia="en-US"/>
              </w:rPr>
              <w:t xml:space="preserve">elektroenerģijas </w:t>
            </w:r>
            <w:r w:rsidRPr="008A78CD">
              <w:rPr>
                <w:rFonts w:eastAsiaTheme="minorHAnsi" w:cstheme="minorBidi"/>
                <w:lang w:eastAsia="en-US"/>
              </w:rPr>
              <w:t xml:space="preserve">gala tarifus. Sadales sistēmas operatoru pakalpojumu apgrozījums jau līdz šim bija uzskaitīts </w:t>
            </w:r>
            <w:r w:rsidRPr="008A78CD">
              <w:rPr>
                <w:rFonts w:eastAsiaTheme="minorHAnsi" w:cstheme="minorBidi"/>
                <w:lang w:eastAsia="en-US"/>
              </w:rPr>
              <w:lastRenderedPageBreak/>
              <w:t>atsevišķi un tirgus atvēršana mājsaimniecībām to nav ietekmējusi. Līdz ar to ir nozīmīgi samazinājies regulējamo pakalpojumu apgrozījums saistībā ar elektroenerģijas piegādēm mājsaimniecībām.</w:t>
            </w:r>
          </w:p>
          <w:p w14:paraId="269131CA" w14:textId="77777777" w:rsidR="00A574F7" w:rsidRPr="008A78CD" w:rsidRDefault="00A574F7" w:rsidP="00F87F96">
            <w:pPr>
              <w:spacing w:after="80"/>
              <w:jc w:val="both"/>
              <w:rPr>
                <w:rFonts w:eastAsiaTheme="minorHAnsi" w:cstheme="minorBidi"/>
                <w:lang w:eastAsia="en-US"/>
              </w:rPr>
            </w:pPr>
            <w:r w:rsidRPr="008A78CD">
              <w:rPr>
                <w:rFonts w:eastAsiaTheme="minorHAnsi" w:cstheme="minorBidi"/>
                <w:lang w:eastAsia="en-US"/>
              </w:rPr>
              <w:t xml:space="preserve">Saistībā ar </w:t>
            </w:r>
            <w:r w:rsidR="007977BB">
              <w:rPr>
                <w:rFonts w:eastAsiaTheme="minorHAnsi" w:cstheme="minorBidi"/>
                <w:lang w:eastAsia="en-US"/>
              </w:rPr>
              <w:t xml:space="preserve">nesen pieņemtajiem </w:t>
            </w:r>
            <w:r w:rsidRPr="008A78CD">
              <w:rPr>
                <w:rFonts w:eastAsiaTheme="minorHAnsi" w:cstheme="minorBidi"/>
                <w:lang w:eastAsia="en-US"/>
              </w:rPr>
              <w:t xml:space="preserve">grozījumiem Likumā un Dzelzceļa </w:t>
            </w:r>
            <w:r w:rsidRPr="00322540">
              <w:rPr>
                <w:rFonts w:eastAsiaTheme="minorHAnsi" w:cstheme="minorBidi"/>
                <w:lang w:eastAsia="en-US"/>
              </w:rPr>
              <w:t>likumā</w:t>
            </w:r>
            <w:r w:rsidR="009C6AAA" w:rsidRPr="00322540">
              <w:rPr>
                <w:rFonts w:eastAsiaTheme="minorHAnsi" w:cstheme="minorBidi"/>
                <w:lang w:eastAsia="en-US"/>
              </w:rPr>
              <w:t xml:space="preserve"> (Saeimā pieņemti 25.02.2016.)</w:t>
            </w:r>
            <w:r w:rsidRPr="00322540">
              <w:rPr>
                <w:rFonts w:eastAsiaTheme="minorHAnsi" w:cstheme="minorBidi"/>
                <w:lang w:eastAsia="en-US"/>
              </w:rPr>
              <w:t xml:space="preserve">, lai ieviestu Eiropas Parlamenta un Padomes 2012.gada 21.novembra direktīvas </w:t>
            </w:r>
            <w:r w:rsidRPr="008A78CD">
              <w:rPr>
                <w:rFonts w:eastAsiaTheme="minorHAnsi" w:cstheme="minorBidi"/>
                <w:lang w:eastAsia="en-US"/>
              </w:rPr>
              <w:t>2012/34/ES, ar ko izveido vienotu Eiropas dzelzceļa telpu, prasības, p</w:t>
            </w:r>
            <w:r w:rsidR="00F459A0" w:rsidRPr="008A78CD">
              <w:rPr>
                <w:rFonts w:eastAsiaTheme="minorHAnsi" w:cstheme="minorBidi"/>
                <w:lang w:eastAsia="en-US"/>
              </w:rPr>
              <w:t>aredzē</w:t>
            </w:r>
            <w:r w:rsidRPr="008A78CD">
              <w:rPr>
                <w:rFonts w:eastAsiaTheme="minorHAnsi" w:cstheme="minorBidi"/>
                <w:lang w:eastAsia="en-US"/>
              </w:rPr>
              <w:t>ts, ka 2016.gadā dzelzceļa transports vairs nebūs regulējamā nozare Likuma izpratnē. Līdz ar to 2016.gadā dzelzceļa nozares komersanti vairs neveiks nodevas maksājumus.</w:t>
            </w:r>
          </w:p>
          <w:p w14:paraId="2B2FE1E2" w14:textId="77777777" w:rsidR="00A574F7" w:rsidRPr="008A78CD" w:rsidRDefault="00A574F7" w:rsidP="00F87F96">
            <w:pPr>
              <w:spacing w:after="80"/>
              <w:jc w:val="both"/>
              <w:rPr>
                <w:rFonts w:eastAsiaTheme="minorHAnsi" w:cstheme="minorBidi"/>
                <w:lang w:eastAsia="en-US"/>
              </w:rPr>
            </w:pPr>
            <w:r w:rsidRPr="008A78CD">
              <w:rPr>
                <w:rFonts w:eastAsiaTheme="minorHAnsi" w:cstheme="minorBidi"/>
                <w:lang w:eastAsia="en-US"/>
              </w:rPr>
              <w:t xml:space="preserve">Līdz ar 2015.gada 24.februāra Ministru kabineta noteikumiem Nr. 94 </w:t>
            </w:r>
            <w:r w:rsidRPr="008A78CD">
              <w:rPr>
                <w:rFonts w:eastAsiaTheme="minorHAnsi"/>
                <w:lang w:eastAsia="en-US"/>
              </w:rPr>
              <w:t>„</w:t>
            </w:r>
            <w:r w:rsidRPr="008A78CD">
              <w:rPr>
                <w:rFonts w:eastAsiaTheme="minorHAnsi" w:cstheme="minorBidi"/>
                <w:lang w:eastAsia="en-US"/>
              </w:rPr>
              <w:t xml:space="preserve">Grozījumi Ministru kabineta 2009.gada 27.oktobra noteikumos Nr.1227 </w:t>
            </w:r>
            <w:r w:rsidRPr="008A78CD">
              <w:rPr>
                <w:rFonts w:eastAsiaTheme="minorHAnsi"/>
                <w:lang w:eastAsia="en-US"/>
              </w:rPr>
              <w:t>„</w:t>
            </w:r>
            <w:r w:rsidRPr="008A78CD">
              <w:rPr>
                <w:rFonts w:eastAsiaTheme="minorHAnsi" w:cstheme="minorBidi"/>
                <w:lang w:eastAsia="en-US"/>
              </w:rPr>
              <w:t>Noteikumi par regulējamiem sabiedrisko pakalpojumu veidiem”” (stājās spēkā 2015.gada 27.februārī) ir noteikts ūdenssaimniecības nozares komersantu sniegto pakalpojumu minimālais apjoms, kā rezultātā samazinās regulējamo komersantu skaits.</w:t>
            </w:r>
          </w:p>
          <w:p w14:paraId="66F96A39" w14:textId="77777777" w:rsidR="00A574F7" w:rsidRPr="008A78CD" w:rsidRDefault="00A574F7" w:rsidP="00F87F96">
            <w:pPr>
              <w:spacing w:after="80"/>
              <w:jc w:val="both"/>
              <w:rPr>
                <w:rFonts w:eastAsiaTheme="minorHAnsi" w:cstheme="minorBidi"/>
                <w:lang w:eastAsia="en-US"/>
              </w:rPr>
            </w:pPr>
            <w:r w:rsidRPr="008A78CD">
              <w:rPr>
                <w:rFonts w:eastAsiaTheme="minorHAnsi" w:cstheme="minorBidi"/>
                <w:lang w:eastAsia="en-US"/>
              </w:rPr>
              <w:t xml:space="preserve">Nozarēs, kur tas tehnoloģiski iespējams, stiprinot konkurenci palielinās ietekme uz pakalpojumu cenām un samazinās regulēto pakalpojumu apgrozījums. Elektronisko sakaru jomā, ieviešot Eiropas vienoto regulējumu </w:t>
            </w:r>
            <w:proofErr w:type="spellStart"/>
            <w:r w:rsidRPr="008A78CD">
              <w:rPr>
                <w:rFonts w:eastAsiaTheme="minorHAnsi" w:cstheme="minorBidi"/>
                <w:lang w:eastAsia="en-US"/>
              </w:rPr>
              <w:t>vairumtirgus</w:t>
            </w:r>
            <w:proofErr w:type="spellEnd"/>
            <w:r w:rsidRPr="008A78CD">
              <w:rPr>
                <w:rFonts w:eastAsiaTheme="minorHAnsi" w:cstheme="minorBidi"/>
                <w:lang w:eastAsia="en-US"/>
              </w:rPr>
              <w:t xml:space="preserve"> līmenī, operatoru </w:t>
            </w:r>
            <w:proofErr w:type="spellStart"/>
            <w:r w:rsidRPr="008A78CD">
              <w:rPr>
                <w:rFonts w:eastAsiaTheme="minorHAnsi" w:cstheme="minorBidi"/>
                <w:lang w:eastAsia="en-US"/>
              </w:rPr>
              <w:t>starpsavienojumu</w:t>
            </w:r>
            <w:proofErr w:type="spellEnd"/>
            <w:r w:rsidRPr="008A78CD">
              <w:rPr>
                <w:rFonts w:eastAsiaTheme="minorHAnsi" w:cstheme="minorBidi"/>
                <w:lang w:eastAsia="en-US"/>
              </w:rPr>
              <w:t xml:space="preserve"> tarifiem noteikta zemāko maksimālo tarifu vērtība, kā rezultātā regulējamo komersantu apgrozījums pēdējo piecu gadu laikā samazinājies par 18%.</w:t>
            </w:r>
          </w:p>
          <w:p w14:paraId="096D05B8" w14:textId="77777777" w:rsidR="00A574F7" w:rsidRPr="008A78CD" w:rsidRDefault="00A574F7" w:rsidP="00F87F96">
            <w:pPr>
              <w:spacing w:after="80"/>
              <w:jc w:val="both"/>
              <w:rPr>
                <w:rFonts w:eastAsiaTheme="minorHAnsi" w:cstheme="minorBidi"/>
                <w:lang w:eastAsia="en-US"/>
              </w:rPr>
            </w:pPr>
            <w:r w:rsidRPr="008A78CD">
              <w:rPr>
                <w:rFonts w:eastAsiaTheme="minorHAnsi" w:cstheme="minorBidi"/>
                <w:lang w:eastAsia="en-US"/>
              </w:rPr>
              <w:t xml:space="preserve">Tajā pat laikā vairākās jomās Regulatora veicamo uzdevumu loks paplašinās un darba intensitāte pieaug. </w:t>
            </w:r>
          </w:p>
          <w:p w14:paraId="368124BC" w14:textId="77777777" w:rsidR="00A574F7" w:rsidRPr="008A78CD" w:rsidRDefault="00A574F7" w:rsidP="00F87F96">
            <w:pPr>
              <w:spacing w:after="80"/>
              <w:jc w:val="both"/>
              <w:rPr>
                <w:rFonts w:eastAsiaTheme="minorHAnsi" w:cstheme="minorBidi"/>
                <w:lang w:eastAsia="en-US"/>
              </w:rPr>
            </w:pPr>
            <w:r w:rsidRPr="008A78CD">
              <w:rPr>
                <w:rFonts w:eastAsiaTheme="minorHAnsi" w:cstheme="minorBidi"/>
                <w:lang w:eastAsia="en-US"/>
              </w:rPr>
              <w:t xml:space="preserve">Saistībā ar papildus pienākumiem, kas noteikti elektronisko sakaru komersantiem atbilstoši 2014.gadā </w:t>
            </w:r>
            <w:r w:rsidRPr="00322540">
              <w:rPr>
                <w:rFonts w:eastAsiaTheme="minorHAnsi" w:cstheme="minorBidi"/>
                <w:lang w:eastAsia="en-US"/>
              </w:rPr>
              <w:t>Elektronisko sakaru likumā veiktajiem grozījumiem</w:t>
            </w:r>
            <w:r w:rsidR="009C6AAA" w:rsidRPr="00322540">
              <w:rPr>
                <w:rFonts w:eastAsiaTheme="minorHAnsi" w:cstheme="minorBidi"/>
                <w:lang w:eastAsia="en-US"/>
              </w:rPr>
              <w:t xml:space="preserve"> (Saeimā pieņemti </w:t>
            </w:r>
            <w:r w:rsidR="00365073" w:rsidRPr="00322540">
              <w:rPr>
                <w:rFonts w:eastAsiaTheme="minorHAnsi" w:cstheme="minorBidi"/>
                <w:lang w:eastAsia="en-US"/>
              </w:rPr>
              <w:t>09.01.2014.</w:t>
            </w:r>
            <w:r w:rsidR="009C6AAA" w:rsidRPr="00322540">
              <w:rPr>
                <w:rFonts w:eastAsiaTheme="minorHAnsi" w:cstheme="minorBidi"/>
                <w:lang w:eastAsia="en-US"/>
              </w:rPr>
              <w:t>)</w:t>
            </w:r>
            <w:r w:rsidRPr="00322540">
              <w:rPr>
                <w:rFonts w:eastAsiaTheme="minorHAnsi" w:cstheme="minorBidi"/>
                <w:lang w:eastAsia="en-US"/>
              </w:rPr>
              <w:t xml:space="preserve">, Regulatoram jāuzrauga piekļuves nodrošināšana elektronisko sakaru infrastruktūrai, kā arī jāveic papildu pasākumi, lai novērstu </w:t>
            </w:r>
            <w:proofErr w:type="spellStart"/>
            <w:r w:rsidRPr="00322540">
              <w:rPr>
                <w:rFonts w:eastAsiaTheme="minorHAnsi" w:cstheme="minorBidi"/>
                <w:lang w:eastAsia="en-US"/>
              </w:rPr>
              <w:t>krāpniecī</w:t>
            </w:r>
            <w:r w:rsidRPr="008A78CD">
              <w:rPr>
                <w:rFonts w:eastAsiaTheme="minorHAnsi" w:cstheme="minorBidi"/>
                <w:lang w:eastAsia="en-US"/>
              </w:rPr>
              <w:t>bu</w:t>
            </w:r>
            <w:proofErr w:type="spellEnd"/>
            <w:r w:rsidRPr="008A78CD">
              <w:rPr>
                <w:rFonts w:eastAsiaTheme="minorHAnsi" w:cstheme="minorBidi"/>
                <w:lang w:eastAsia="en-US"/>
              </w:rPr>
              <w:t>, kas veikta, izmantojot numerāciju.</w:t>
            </w:r>
          </w:p>
          <w:p w14:paraId="136AFF51" w14:textId="77777777" w:rsidR="00A574F7" w:rsidRPr="008A78CD" w:rsidRDefault="00A574F7" w:rsidP="00F87F96">
            <w:pPr>
              <w:spacing w:after="80"/>
              <w:jc w:val="both"/>
              <w:rPr>
                <w:rFonts w:eastAsiaTheme="minorHAnsi"/>
                <w:szCs w:val="22"/>
                <w:lang w:eastAsia="en-US"/>
              </w:rPr>
            </w:pPr>
            <w:r w:rsidRPr="008A78CD">
              <w:rPr>
                <w:rFonts w:eastAsiaTheme="minorHAnsi" w:cstheme="minorBidi"/>
                <w:lang w:eastAsia="en-US"/>
              </w:rPr>
              <w:t>Noslēdzoties daudziem ar Eiropas Savienības struktūrfondu atbalstu īstenotiem ūdenssaimniecības modernizācijas projektiem, būtiski palielinās darba apjoms saistībā ar ūdenssaimniecības tarifu projektu izskatīšanu. Tāpēc, lai nodrošinātu  Likuma 9.panta pirmās daļas 3. un 6.punktā noteikto funkciju savlaicīgu izpildi, ir nepieciešams stiprināt Regulatora kapacitāti.</w:t>
            </w:r>
          </w:p>
          <w:p w14:paraId="0AD170B0" w14:textId="77777777" w:rsidR="00A574F7" w:rsidRPr="008A78CD" w:rsidRDefault="00A574F7" w:rsidP="00F87F96">
            <w:pPr>
              <w:spacing w:after="80"/>
              <w:jc w:val="both"/>
              <w:rPr>
                <w:rFonts w:eastAsiaTheme="minorHAnsi" w:cstheme="minorBidi"/>
                <w:lang w:eastAsia="en-US"/>
              </w:rPr>
            </w:pPr>
            <w:r w:rsidRPr="008A78CD">
              <w:rPr>
                <w:rFonts w:eastAsiaTheme="minorHAnsi"/>
                <w:szCs w:val="22"/>
                <w:lang w:eastAsia="en-US"/>
              </w:rPr>
              <w:t xml:space="preserve">Vienlaikus Regulatoram jāievieš Eiropas Parlamenta un </w:t>
            </w:r>
            <w:r w:rsidRPr="00322540">
              <w:rPr>
                <w:rFonts w:eastAsiaTheme="minorHAnsi"/>
                <w:szCs w:val="22"/>
                <w:lang w:eastAsia="en-US"/>
              </w:rPr>
              <w:t xml:space="preserve">Padomes </w:t>
            </w:r>
            <w:r w:rsidR="00392349" w:rsidRPr="00322540">
              <w:rPr>
                <w:rStyle w:val="st"/>
              </w:rPr>
              <w:t xml:space="preserve">2011.gada 25.oktobra </w:t>
            </w:r>
            <w:r w:rsidRPr="00322540">
              <w:rPr>
                <w:rFonts w:eastAsiaTheme="minorHAnsi"/>
                <w:szCs w:val="22"/>
                <w:lang w:eastAsia="en-US"/>
              </w:rPr>
              <w:t xml:space="preserve">Regulas Nr.1227/2011 par enerģijas </w:t>
            </w:r>
            <w:proofErr w:type="spellStart"/>
            <w:r w:rsidRPr="00322540">
              <w:rPr>
                <w:rFonts w:eastAsiaTheme="minorHAnsi"/>
                <w:szCs w:val="22"/>
                <w:lang w:eastAsia="en-US"/>
              </w:rPr>
              <w:t>vairumtirgus</w:t>
            </w:r>
            <w:proofErr w:type="spellEnd"/>
            <w:r w:rsidRPr="00322540">
              <w:rPr>
                <w:rFonts w:eastAsiaTheme="minorHAnsi"/>
                <w:szCs w:val="22"/>
                <w:lang w:eastAsia="en-US"/>
              </w:rPr>
              <w:t xml:space="preserve"> integritāti un </w:t>
            </w:r>
            <w:proofErr w:type="spellStart"/>
            <w:r w:rsidRPr="00322540">
              <w:rPr>
                <w:rFonts w:eastAsiaTheme="minorHAnsi"/>
                <w:szCs w:val="22"/>
                <w:lang w:eastAsia="en-US"/>
              </w:rPr>
              <w:t>pārredzamību</w:t>
            </w:r>
            <w:proofErr w:type="spellEnd"/>
            <w:r w:rsidRPr="00322540">
              <w:rPr>
                <w:rFonts w:eastAsiaTheme="minorHAnsi"/>
                <w:szCs w:val="22"/>
                <w:lang w:eastAsia="en-US"/>
              </w:rPr>
              <w:t xml:space="preserve"> (REMIT) </w:t>
            </w:r>
            <w:r w:rsidRPr="008A78CD">
              <w:rPr>
                <w:rFonts w:eastAsiaTheme="minorHAnsi"/>
                <w:szCs w:val="22"/>
                <w:lang w:eastAsia="en-US"/>
              </w:rPr>
              <w:t xml:space="preserve">prasības un procedūras un jāveic elektroenerģijas </w:t>
            </w:r>
            <w:proofErr w:type="spellStart"/>
            <w:r w:rsidRPr="008A78CD">
              <w:rPr>
                <w:rFonts w:eastAsiaTheme="minorHAnsi"/>
                <w:szCs w:val="22"/>
                <w:lang w:eastAsia="en-US"/>
              </w:rPr>
              <w:t>vairumtirgus</w:t>
            </w:r>
            <w:proofErr w:type="spellEnd"/>
            <w:r w:rsidRPr="008A78CD">
              <w:rPr>
                <w:rFonts w:eastAsiaTheme="minorHAnsi"/>
                <w:szCs w:val="22"/>
                <w:lang w:eastAsia="en-US"/>
              </w:rPr>
              <w:t xml:space="preserve"> uzraudzība, jānodrošina sadarbībā ar </w:t>
            </w:r>
            <w:r w:rsidRPr="008A78CD">
              <w:rPr>
                <w:rFonts w:eastAsiaTheme="minorHAnsi" w:cstheme="minorBidi"/>
                <w:lang w:eastAsia="en-US"/>
              </w:rPr>
              <w:t xml:space="preserve">Eiropas Komisiju, </w:t>
            </w:r>
            <w:proofErr w:type="spellStart"/>
            <w:r w:rsidRPr="008A78CD">
              <w:rPr>
                <w:rFonts w:eastAsiaTheme="minorHAnsi" w:cstheme="minorBidi"/>
                <w:lang w:eastAsia="en-US"/>
              </w:rPr>
              <w:lastRenderedPageBreak/>
              <w:t>Energoregulatoru</w:t>
            </w:r>
            <w:proofErr w:type="spellEnd"/>
            <w:r w:rsidRPr="008A78CD">
              <w:rPr>
                <w:rFonts w:eastAsiaTheme="minorHAnsi" w:cstheme="minorBidi"/>
                <w:lang w:eastAsia="en-US"/>
              </w:rPr>
              <w:t xml:space="preserve"> sadarbības aģentūru ACER (</w:t>
            </w:r>
            <w:proofErr w:type="spellStart"/>
            <w:r w:rsidRPr="008A78CD">
              <w:rPr>
                <w:rFonts w:eastAsiaTheme="minorHAnsi" w:cstheme="minorBidi"/>
                <w:lang w:eastAsia="en-US"/>
              </w:rPr>
              <w:t>Agency</w:t>
            </w:r>
            <w:proofErr w:type="spellEnd"/>
            <w:r w:rsidRPr="008A78CD">
              <w:rPr>
                <w:rFonts w:eastAsiaTheme="minorHAnsi" w:cstheme="minorBidi"/>
                <w:lang w:eastAsia="en-US"/>
              </w:rPr>
              <w:t xml:space="preserve"> </w:t>
            </w:r>
            <w:proofErr w:type="spellStart"/>
            <w:r w:rsidRPr="008A78CD">
              <w:rPr>
                <w:rFonts w:eastAsiaTheme="minorHAnsi" w:cstheme="minorBidi"/>
                <w:lang w:eastAsia="en-US"/>
              </w:rPr>
              <w:t>for</w:t>
            </w:r>
            <w:proofErr w:type="spellEnd"/>
            <w:r w:rsidRPr="008A78CD">
              <w:rPr>
                <w:rFonts w:eastAsiaTheme="minorHAnsi" w:cstheme="minorBidi"/>
                <w:lang w:eastAsia="en-US"/>
              </w:rPr>
              <w:t xml:space="preserve"> </w:t>
            </w:r>
            <w:proofErr w:type="spellStart"/>
            <w:r w:rsidRPr="008A78CD">
              <w:rPr>
                <w:rFonts w:eastAsiaTheme="minorHAnsi" w:cstheme="minorBidi"/>
                <w:lang w:eastAsia="en-US"/>
              </w:rPr>
              <w:t>the</w:t>
            </w:r>
            <w:proofErr w:type="spellEnd"/>
            <w:r w:rsidRPr="008A78CD">
              <w:rPr>
                <w:rFonts w:eastAsiaTheme="minorHAnsi" w:cstheme="minorBidi"/>
                <w:lang w:eastAsia="en-US"/>
              </w:rPr>
              <w:t xml:space="preserve"> </w:t>
            </w:r>
            <w:proofErr w:type="spellStart"/>
            <w:r w:rsidRPr="008A78CD">
              <w:rPr>
                <w:rFonts w:eastAsiaTheme="minorHAnsi" w:cstheme="minorBidi"/>
                <w:lang w:eastAsia="en-US"/>
              </w:rPr>
              <w:t>Cooperation</w:t>
            </w:r>
            <w:proofErr w:type="spellEnd"/>
            <w:r w:rsidRPr="008A78CD">
              <w:rPr>
                <w:rFonts w:eastAsiaTheme="minorHAnsi" w:cstheme="minorBidi"/>
                <w:lang w:eastAsia="en-US"/>
              </w:rPr>
              <w:t xml:space="preserve"> </w:t>
            </w:r>
            <w:proofErr w:type="spellStart"/>
            <w:r w:rsidRPr="008A78CD">
              <w:rPr>
                <w:rFonts w:eastAsiaTheme="minorHAnsi" w:cstheme="minorBidi"/>
                <w:lang w:eastAsia="en-US"/>
              </w:rPr>
              <w:t>of</w:t>
            </w:r>
            <w:proofErr w:type="spellEnd"/>
            <w:r w:rsidRPr="008A78CD">
              <w:rPr>
                <w:rFonts w:eastAsiaTheme="minorHAnsi" w:cstheme="minorBidi"/>
                <w:lang w:eastAsia="en-US"/>
              </w:rPr>
              <w:t xml:space="preserve"> </w:t>
            </w:r>
            <w:proofErr w:type="spellStart"/>
            <w:r w:rsidRPr="008A78CD">
              <w:rPr>
                <w:rFonts w:eastAsiaTheme="minorHAnsi" w:cstheme="minorBidi"/>
                <w:lang w:eastAsia="en-US"/>
              </w:rPr>
              <w:t>Energy</w:t>
            </w:r>
            <w:proofErr w:type="spellEnd"/>
            <w:r w:rsidRPr="008A78CD">
              <w:rPr>
                <w:rFonts w:eastAsiaTheme="minorHAnsi" w:cstheme="minorBidi"/>
                <w:lang w:eastAsia="en-US"/>
              </w:rPr>
              <w:t xml:space="preserve"> Regulators), Elektroenerģijas pārvades sistēmu operatoru Eiropas tīklu ENTSO-E (</w:t>
            </w:r>
            <w:proofErr w:type="spellStart"/>
            <w:r w:rsidRPr="008A78CD">
              <w:rPr>
                <w:rFonts w:eastAsiaTheme="minorHAnsi" w:cstheme="minorBidi"/>
                <w:lang w:eastAsia="en-US"/>
              </w:rPr>
              <w:t>European</w:t>
            </w:r>
            <w:proofErr w:type="spellEnd"/>
            <w:r w:rsidRPr="008A78CD">
              <w:rPr>
                <w:rFonts w:eastAsiaTheme="minorHAnsi" w:cstheme="minorBidi"/>
                <w:lang w:eastAsia="en-US"/>
              </w:rPr>
              <w:t xml:space="preserve"> </w:t>
            </w:r>
            <w:proofErr w:type="spellStart"/>
            <w:r w:rsidRPr="008A78CD">
              <w:rPr>
                <w:rFonts w:eastAsiaTheme="minorHAnsi" w:cstheme="minorBidi"/>
                <w:lang w:eastAsia="en-US"/>
              </w:rPr>
              <w:t>Network</w:t>
            </w:r>
            <w:proofErr w:type="spellEnd"/>
            <w:r w:rsidRPr="008A78CD">
              <w:rPr>
                <w:rFonts w:eastAsiaTheme="minorHAnsi" w:cstheme="minorBidi"/>
                <w:lang w:eastAsia="en-US"/>
              </w:rPr>
              <w:t xml:space="preserve"> </w:t>
            </w:r>
            <w:proofErr w:type="spellStart"/>
            <w:r w:rsidRPr="008A78CD">
              <w:rPr>
                <w:rFonts w:eastAsiaTheme="minorHAnsi" w:cstheme="minorBidi"/>
                <w:lang w:eastAsia="en-US"/>
              </w:rPr>
              <w:t>of</w:t>
            </w:r>
            <w:proofErr w:type="spellEnd"/>
            <w:r w:rsidRPr="008A78CD">
              <w:rPr>
                <w:rFonts w:eastAsiaTheme="minorHAnsi" w:cstheme="minorBidi"/>
                <w:lang w:eastAsia="en-US"/>
              </w:rPr>
              <w:t xml:space="preserve"> </w:t>
            </w:r>
            <w:proofErr w:type="spellStart"/>
            <w:r w:rsidRPr="008A78CD">
              <w:rPr>
                <w:rFonts w:eastAsiaTheme="minorHAnsi" w:cstheme="minorBidi"/>
                <w:lang w:eastAsia="en-US"/>
              </w:rPr>
              <w:t>Transmission</w:t>
            </w:r>
            <w:proofErr w:type="spellEnd"/>
            <w:r w:rsidRPr="008A78CD">
              <w:rPr>
                <w:rFonts w:eastAsiaTheme="minorHAnsi" w:cstheme="minorBidi"/>
                <w:lang w:eastAsia="en-US"/>
              </w:rPr>
              <w:t xml:space="preserve"> </w:t>
            </w:r>
            <w:proofErr w:type="spellStart"/>
            <w:r w:rsidRPr="008A78CD">
              <w:rPr>
                <w:rFonts w:eastAsiaTheme="minorHAnsi" w:cstheme="minorBidi"/>
                <w:lang w:eastAsia="en-US"/>
              </w:rPr>
              <w:t>System</w:t>
            </w:r>
            <w:proofErr w:type="spellEnd"/>
            <w:r w:rsidRPr="008A78CD">
              <w:rPr>
                <w:rFonts w:eastAsiaTheme="minorHAnsi" w:cstheme="minorBidi"/>
                <w:lang w:eastAsia="en-US"/>
              </w:rPr>
              <w:t xml:space="preserve"> Operators </w:t>
            </w:r>
            <w:proofErr w:type="spellStart"/>
            <w:r w:rsidRPr="008A78CD">
              <w:rPr>
                <w:rFonts w:eastAsiaTheme="minorHAnsi" w:cstheme="minorBidi"/>
                <w:lang w:eastAsia="en-US"/>
              </w:rPr>
              <w:t>for</w:t>
            </w:r>
            <w:proofErr w:type="spellEnd"/>
            <w:r w:rsidRPr="008A78CD">
              <w:rPr>
                <w:rFonts w:eastAsiaTheme="minorHAnsi" w:cstheme="minorBidi"/>
                <w:lang w:eastAsia="en-US"/>
              </w:rPr>
              <w:t xml:space="preserve"> </w:t>
            </w:r>
            <w:proofErr w:type="spellStart"/>
            <w:r w:rsidRPr="008A78CD">
              <w:rPr>
                <w:rFonts w:eastAsiaTheme="minorHAnsi" w:cstheme="minorBidi"/>
                <w:lang w:eastAsia="en-US"/>
              </w:rPr>
              <w:t>Electricity</w:t>
            </w:r>
            <w:proofErr w:type="spellEnd"/>
            <w:r w:rsidRPr="008A78CD">
              <w:rPr>
                <w:rFonts w:eastAsiaTheme="minorHAnsi" w:cstheme="minorBidi"/>
                <w:lang w:eastAsia="en-US"/>
              </w:rPr>
              <w:t>) veicamā kopējo interešu projektu vērtēšana, ES tīkla kodeksu izstrāde un sistēmas operatoru sertificēšanas uzraudzība.</w:t>
            </w:r>
          </w:p>
          <w:p w14:paraId="1FDCD480" w14:textId="77777777" w:rsidR="00A574F7" w:rsidRPr="008A78CD" w:rsidRDefault="00A574F7" w:rsidP="00F87F96">
            <w:pPr>
              <w:spacing w:after="80"/>
              <w:jc w:val="both"/>
              <w:rPr>
                <w:rFonts w:eastAsiaTheme="minorHAnsi" w:cstheme="minorBidi"/>
                <w:lang w:eastAsia="en-US"/>
              </w:rPr>
            </w:pPr>
            <w:r w:rsidRPr="008A78CD">
              <w:rPr>
                <w:rFonts w:eastAsiaTheme="minorHAnsi" w:cstheme="minorBidi"/>
                <w:lang w:eastAsia="en-US"/>
              </w:rPr>
              <w:t xml:space="preserve">Pēdējos divos gados būtiski ir pieaudzis un turpmākajos gados turpinās pieaugt veicamo uzdevumu loks saistībā ar dabasgāzes tirgus liberalizāciju. Regulators </w:t>
            </w:r>
            <w:r w:rsidR="00F459A0" w:rsidRPr="008A78CD">
              <w:rPr>
                <w:szCs w:val="20"/>
                <w:lang w:eastAsia="x-none"/>
              </w:rPr>
              <w:t>izvērtēja, apsprieda</w:t>
            </w:r>
            <w:r w:rsidRPr="008A78CD">
              <w:rPr>
                <w:rFonts w:eastAsiaTheme="minorHAnsi" w:cstheme="minorBidi"/>
                <w:lang w:eastAsia="en-US"/>
              </w:rPr>
              <w:t xml:space="preserve"> ar ieinteresētajām pusēm, tostarp Lietuvas un Igaunijas sistēmu operatoriem, ministrijām un regulatoriem, un </w:t>
            </w:r>
            <w:r w:rsidR="00F459A0" w:rsidRPr="008A78CD">
              <w:rPr>
                <w:szCs w:val="20"/>
                <w:lang w:eastAsia="x-none"/>
              </w:rPr>
              <w:t xml:space="preserve">apstiprināja </w:t>
            </w:r>
            <w:r w:rsidRPr="008A78CD">
              <w:rPr>
                <w:rFonts w:eastAsiaTheme="minorHAnsi" w:cstheme="minorBidi"/>
                <w:lang w:eastAsia="en-US"/>
              </w:rPr>
              <w:t xml:space="preserve">AS “Latvijas Gāze” izstrādātos sistēmas lietošanas noteikumus. Ir </w:t>
            </w:r>
            <w:r w:rsidR="00F459A0" w:rsidRPr="008A78CD">
              <w:rPr>
                <w:szCs w:val="20"/>
                <w:lang w:eastAsia="x-none"/>
              </w:rPr>
              <w:t>noslēdzies intensīvs darbs pie</w:t>
            </w:r>
            <w:r w:rsidRPr="008A78CD">
              <w:rPr>
                <w:rFonts w:eastAsiaTheme="minorHAnsi" w:cstheme="minorBidi"/>
                <w:lang w:eastAsia="en-US"/>
              </w:rPr>
              <w:t xml:space="preserve"> apjomīgi</w:t>
            </w:r>
            <w:r w:rsidR="00F459A0" w:rsidRPr="008A78CD">
              <w:rPr>
                <w:rFonts w:eastAsiaTheme="minorHAnsi" w:cstheme="minorBidi"/>
                <w:lang w:eastAsia="en-US"/>
              </w:rPr>
              <w:t>em</w:t>
            </w:r>
            <w:r w:rsidRPr="008A78CD">
              <w:rPr>
                <w:rFonts w:eastAsiaTheme="minorHAnsi" w:cstheme="minorBidi"/>
                <w:lang w:eastAsia="en-US"/>
              </w:rPr>
              <w:t xml:space="preserve"> grozījumi</w:t>
            </w:r>
            <w:r w:rsidR="00F459A0" w:rsidRPr="008A78CD">
              <w:rPr>
                <w:rFonts w:eastAsiaTheme="minorHAnsi" w:cstheme="minorBidi"/>
                <w:lang w:eastAsia="en-US"/>
              </w:rPr>
              <w:t>em</w:t>
            </w:r>
            <w:r w:rsidRPr="008A78CD">
              <w:rPr>
                <w:rFonts w:eastAsiaTheme="minorHAnsi" w:cstheme="minorBidi"/>
                <w:lang w:eastAsia="en-US"/>
              </w:rPr>
              <w:t xml:space="preserve"> Enerģētikas likumā, kas, ieviešot Direktīvas 2009/73/EK prasības, paredz Regulatora</w:t>
            </w:r>
            <w:r w:rsidR="00F459A0" w:rsidRPr="008A78CD">
              <w:rPr>
                <w:rFonts w:eastAsiaTheme="minorHAnsi" w:cstheme="minorBidi"/>
                <w:lang w:eastAsia="en-US"/>
              </w:rPr>
              <w:t>m papildu</w:t>
            </w:r>
            <w:r w:rsidRPr="008A78CD">
              <w:rPr>
                <w:rFonts w:eastAsiaTheme="minorHAnsi" w:cstheme="minorBidi"/>
                <w:lang w:eastAsia="en-US"/>
              </w:rPr>
              <w:t xml:space="preserve"> pienākumus dabasgāzes apgādē, tostarp </w:t>
            </w:r>
            <w:r w:rsidR="00F459A0" w:rsidRPr="008A78CD">
              <w:rPr>
                <w:szCs w:val="20"/>
                <w:lang w:eastAsia="x-none"/>
              </w:rPr>
              <w:t>jaunu dabasgāzes apgādes pakalpojumu tarifu aprēķināšanas metodiku izstrādi,</w:t>
            </w:r>
            <w:r w:rsidR="00F459A0" w:rsidRPr="008A78CD">
              <w:rPr>
                <w:rFonts w:eastAsiaTheme="minorHAnsi" w:cstheme="minorBidi"/>
                <w:lang w:eastAsia="en-US"/>
              </w:rPr>
              <w:t xml:space="preserve"> </w:t>
            </w:r>
            <w:r w:rsidRPr="008A78CD">
              <w:rPr>
                <w:rFonts w:eastAsiaTheme="minorHAnsi" w:cstheme="minorBidi"/>
                <w:lang w:eastAsia="en-US"/>
              </w:rPr>
              <w:t xml:space="preserve">dabasgāzes pārvades sistēmas operatora sertificēšanu, sadales sistēmas operatora atbilstības neatkarības prasībām izvērtēšanu, pārvades sistēmas attīstības 10 gadu plāna apstiprināšanu, uzraudzību u.c. pienākumus, kas saistīti ar ievērojamu </w:t>
            </w:r>
            <w:r w:rsidR="00F459A0" w:rsidRPr="008A78CD">
              <w:rPr>
                <w:szCs w:val="20"/>
                <w:lang w:eastAsia="x-none"/>
              </w:rPr>
              <w:t xml:space="preserve">Regulatora </w:t>
            </w:r>
            <w:r w:rsidRPr="008A78CD">
              <w:rPr>
                <w:rFonts w:eastAsiaTheme="minorHAnsi" w:cstheme="minorBidi"/>
                <w:lang w:eastAsia="en-US"/>
              </w:rPr>
              <w:t xml:space="preserve">resursu </w:t>
            </w:r>
            <w:r w:rsidR="00F459A0" w:rsidRPr="008A78CD">
              <w:rPr>
                <w:szCs w:val="20"/>
                <w:lang w:eastAsia="x-none"/>
              </w:rPr>
              <w:t>izmantošanu</w:t>
            </w:r>
            <w:r w:rsidRPr="008A78CD">
              <w:rPr>
                <w:rFonts w:eastAsiaTheme="minorHAnsi" w:cstheme="minorBidi"/>
                <w:lang w:eastAsia="en-US"/>
              </w:rPr>
              <w:t>.</w:t>
            </w:r>
          </w:p>
          <w:p w14:paraId="75D0EDB1" w14:textId="77777777" w:rsidR="00A574F7" w:rsidRPr="008A78CD" w:rsidRDefault="00A574F7" w:rsidP="00F87F96">
            <w:pPr>
              <w:spacing w:after="80"/>
              <w:jc w:val="both"/>
            </w:pPr>
            <w:r w:rsidRPr="008A78CD">
              <w:t xml:space="preserve">Likuma 31.pants paredz, ka valsts nodevas likme par sabiedrisko pakalpojumu regulēšanu nedrīkst pārsniegt 0,2% no komersanta sniegto sabiedrisko pakalpojumu neto apgrozījuma iepriekšējā kalendārā gadā. Noteikumu projekts paredz valsts nodevas par sabiedrisko pakalpojumu regulēšanu likmes pielīdzināšanu Likumā noteiktajai, lai nodrošinātu finanšu resursu pietiekamību pieaugošo regulatīvo funkciju izpildei un sekmētu </w:t>
            </w:r>
            <w:r w:rsidRPr="008A78CD">
              <w:rPr>
                <w:rFonts w:eastAsiaTheme="minorHAnsi"/>
                <w:szCs w:val="22"/>
                <w:lang w:eastAsia="en-US"/>
              </w:rPr>
              <w:t xml:space="preserve">Regulatora </w:t>
            </w:r>
            <w:r w:rsidRPr="008A78CD">
              <w:t>spēju kvalitatīvi un pastāvīgi pieaugošā apjomā dinamiskā tirgus attīstības procesā veikt sabiedrisko pakalpojumu regulēšanu saskaņā ar Likumu.</w:t>
            </w:r>
          </w:p>
          <w:p w14:paraId="667D4AF9" w14:textId="56299067" w:rsidR="00A574F7" w:rsidRDefault="00A574F7" w:rsidP="00F87F96">
            <w:pPr>
              <w:spacing w:after="80"/>
              <w:jc w:val="both"/>
            </w:pPr>
            <w:r w:rsidRPr="008A78CD">
              <w:t xml:space="preserve">Noteikumu projekts paredz, ka </w:t>
            </w:r>
            <w:r w:rsidR="00443468">
              <w:t xml:space="preserve">valsts </w:t>
            </w:r>
            <w:r w:rsidRPr="008A78CD">
              <w:t xml:space="preserve">nodevas likme </w:t>
            </w:r>
            <w:r w:rsidR="00443468">
              <w:t>no 201</w:t>
            </w:r>
            <w:r w:rsidR="00501613">
              <w:t>7</w:t>
            </w:r>
            <w:r w:rsidR="00443468">
              <w:t>.gada 1.</w:t>
            </w:r>
            <w:r w:rsidR="00501613">
              <w:t xml:space="preserve">janvāra </w:t>
            </w:r>
            <w:r w:rsidR="00443468">
              <w:t xml:space="preserve"> </w:t>
            </w:r>
            <w:r w:rsidRPr="008A78CD">
              <w:t>tiks palielināta no 0,17% uz 0,2%</w:t>
            </w:r>
            <w:r w:rsidR="007977BB">
              <w:t xml:space="preserve"> (par 0,03%)</w:t>
            </w:r>
            <w:r w:rsidRPr="008A78CD">
              <w:t xml:space="preserve">, </w:t>
            </w:r>
            <w:r w:rsidR="007977BB">
              <w:t>jo</w:t>
            </w:r>
            <w:r w:rsidRPr="008A78CD">
              <w:t xml:space="preserve"> </w:t>
            </w:r>
            <w:r w:rsidR="007977BB">
              <w:t>ir notikušas regulējamo komersantu loka un apgrozījuma izmaiņas.</w:t>
            </w:r>
            <w:r w:rsidR="00806A33">
              <w:t xml:space="preserve"> </w:t>
            </w:r>
            <w:r w:rsidR="007977BB">
              <w:t>K</w:t>
            </w:r>
            <w:r w:rsidR="00806A33">
              <w:t>opējais nodevas ieņēmumu apjoms</w:t>
            </w:r>
            <w:r w:rsidR="008A4E27">
              <w:t>,</w:t>
            </w:r>
            <w:r w:rsidR="00806A33">
              <w:t xml:space="preserve"> salīdzinot ar budžetā plānoto apjomu</w:t>
            </w:r>
            <w:r w:rsidR="008A4E27">
              <w:t>,</w:t>
            </w:r>
            <w:r w:rsidR="00806A33">
              <w:t xml:space="preserve"> nepieaug</w:t>
            </w:r>
            <w:r w:rsidR="007977BB">
              <w:t>s</w:t>
            </w:r>
            <w:r w:rsidRPr="008A78CD">
              <w:t>.</w:t>
            </w:r>
          </w:p>
          <w:p w14:paraId="6FB22E50" w14:textId="77777777" w:rsidR="000E18B9" w:rsidRPr="008A78CD" w:rsidRDefault="000E18B9" w:rsidP="00F87F96">
            <w:pPr>
              <w:spacing w:after="80"/>
              <w:jc w:val="both"/>
            </w:pPr>
            <w:r w:rsidRPr="00AC77F5">
              <w:t xml:space="preserve">Pēc Finanšu ministrijas lūguma noteikumu projektā ir ietverta arī tiesību norma, kas paredz, ka valsts nodevu maksā valsts pamatbudžeta ieņēmumu kontā ar tāda maksājumu pakalpojumu sniedzēja starpniecību, kuram ir tiesības sniegt maksājumu pakalpojumus Maksājumu pakalpojumu un elektroniskās naudas likuma izpratnē. </w:t>
            </w:r>
          </w:p>
        </w:tc>
      </w:tr>
      <w:tr w:rsidR="00C54770" w:rsidRPr="008A78CD" w14:paraId="133BCEE4" w14:textId="77777777" w:rsidTr="00637890">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5481AE8" w14:textId="77777777" w:rsidR="00C54770" w:rsidRPr="008A78CD" w:rsidRDefault="00C54770" w:rsidP="00C54770">
            <w:pPr>
              <w:spacing w:before="100" w:beforeAutospacing="1" w:after="100" w:afterAutospacing="1" w:line="360" w:lineRule="auto"/>
              <w:jc w:val="center"/>
            </w:pPr>
            <w:r w:rsidRPr="008A78CD">
              <w:lastRenderedPageBreak/>
              <w:t>3.</w:t>
            </w:r>
          </w:p>
        </w:tc>
        <w:tc>
          <w:tcPr>
            <w:tcW w:w="1350" w:type="pct"/>
            <w:tcBorders>
              <w:top w:val="outset" w:sz="6" w:space="0" w:color="auto"/>
              <w:left w:val="outset" w:sz="6" w:space="0" w:color="auto"/>
              <w:bottom w:val="outset" w:sz="6" w:space="0" w:color="auto"/>
              <w:right w:val="outset" w:sz="6" w:space="0" w:color="auto"/>
            </w:tcBorders>
            <w:hideMark/>
          </w:tcPr>
          <w:p w14:paraId="2A3D1524" w14:textId="77777777" w:rsidR="00C54770" w:rsidRPr="008A78CD" w:rsidRDefault="00C54770" w:rsidP="00C54770">
            <w:r w:rsidRPr="008A78CD">
              <w:t>Projekta izstrādē iesaistītās institūcijas</w:t>
            </w:r>
          </w:p>
        </w:tc>
        <w:tc>
          <w:tcPr>
            <w:tcW w:w="3336" w:type="pct"/>
            <w:tcBorders>
              <w:top w:val="outset" w:sz="6" w:space="0" w:color="auto"/>
              <w:left w:val="outset" w:sz="6" w:space="0" w:color="auto"/>
              <w:bottom w:val="outset" w:sz="6" w:space="0" w:color="auto"/>
              <w:right w:val="outset" w:sz="6" w:space="0" w:color="auto"/>
            </w:tcBorders>
            <w:hideMark/>
          </w:tcPr>
          <w:p w14:paraId="0460DE46" w14:textId="77777777" w:rsidR="00C54770" w:rsidRPr="008A78CD" w:rsidRDefault="005B04A2" w:rsidP="00C54770">
            <w:r w:rsidRPr="00322540">
              <w:t>Regulators</w:t>
            </w:r>
          </w:p>
        </w:tc>
      </w:tr>
      <w:tr w:rsidR="00C54770" w:rsidRPr="008A78CD" w14:paraId="3371D55D" w14:textId="77777777" w:rsidTr="00637890">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87CC1CA" w14:textId="77777777" w:rsidR="00C54770" w:rsidRPr="008A78CD" w:rsidRDefault="00C54770" w:rsidP="00C54770">
            <w:pPr>
              <w:spacing w:before="100" w:beforeAutospacing="1" w:after="100" w:afterAutospacing="1" w:line="360" w:lineRule="auto"/>
              <w:jc w:val="center"/>
            </w:pPr>
            <w:r w:rsidRPr="008A78CD">
              <w:t>4.</w:t>
            </w:r>
          </w:p>
        </w:tc>
        <w:tc>
          <w:tcPr>
            <w:tcW w:w="1350" w:type="pct"/>
            <w:tcBorders>
              <w:top w:val="outset" w:sz="6" w:space="0" w:color="auto"/>
              <w:left w:val="outset" w:sz="6" w:space="0" w:color="auto"/>
              <w:bottom w:val="outset" w:sz="6" w:space="0" w:color="auto"/>
              <w:right w:val="outset" w:sz="6" w:space="0" w:color="auto"/>
            </w:tcBorders>
            <w:hideMark/>
          </w:tcPr>
          <w:p w14:paraId="65234EBA" w14:textId="77777777" w:rsidR="00C54770" w:rsidRPr="008A78CD" w:rsidRDefault="00C54770" w:rsidP="00C54770">
            <w:r w:rsidRPr="008A78CD">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16902897" w14:textId="77777777" w:rsidR="00C54770" w:rsidRPr="008A78CD" w:rsidRDefault="00C54770" w:rsidP="00C54770">
            <w:pPr>
              <w:spacing w:before="100" w:beforeAutospacing="1" w:after="100" w:afterAutospacing="1" w:line="360" w:lineRule="auto"/>
            </w:pPr>
            <w:r w:rsidRPr="008A78CD">
              <w:t>Nav</w:t>
            </w:r>
          </w:p>
        </w:tc>
      </w:tr>
    </w:tbl>
    <w:p w14:paraId="31132694" w14:textId="77777777" w:rsidR="00A574F7" w:rsidRPr="008A78CD" w:rsidRDefault="00A574F7" w:rsidP="00A574F7">
      <w:pPr>
        <w:ind w:firstLine="301"/>
        <w:rPr>
          <w:rFonts w:ascii="Arial" w:hAnsi="Arial" w:cs="Arial"/>
          <w:sz w:val="20"/>
          <w:szCs w:val="20"/>
        </w:rPr>
      </w:pPr>
    </w:p>
    <w:p w14:paraId="46BBD4C8" w14:textId="77777777" w:rsidR="00A63501" w:rsidRDefault="00A63501" w:rsidP="00A574F7">
      <w:pPr>
        <w:ind w:firstLine="301"/>
        <w:rPr>
          <w:rFonts w:ascii="Arial" w:hAnsi="Arial" w:cs="Arial"/>
          <w:sz w:val="20"/>
          <w:szCs w:val="20"/>
        </w:rPr>
      </w:pPr>
    </w:p>
    <w:p w14:paraId="2EDECE68" w14:textId="77777777" w:rsidR="00F87F96" w:rsidRPr="008A78CD" w:rsidRDefault="00F87F96" w:rsidP="00A574F7">
      <w:pPr>
        <w:ind w:firstLine="301"/>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902"/>
        <w:gridCol w:w="5662"/>
      </w:tblGrid>
      <w:tr w:rsidR="00A574F7" w:rsidRPr="008A78CD" w14:paraId="25330D66" w14:textId="77777777" w:rsidTr="00730921">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A125C7" w14:textId="77777777" w:rsidR="00A574F7" w:rsidRPr="008A78CD" w:rsidRDefault="00A574F7" w:rsidP="00C156CF">
            <w:pPr>
              <w:spacing w:before="100" w:beforeAutospacing="1" w:after="100" w:afterAutospacing="1"/>
              <w:ind w:firstLine="301"/>
              <w:jc w:val="center"/>
              <w:rPr>
                <w:b/>
                <w:bCs/>
              </w:rPr>
            </w:pPr>
            <w:r w:rsidRPr="008A78CD">
              <w:rPr>
                <w:b/>
                <w:bCs/>
              </w:rPr>
              <w:t>II. Tiesību akta projekta ietekme uz sabiedrību, tautsaimniecības attīstību un administratīvo slogu</w:t>
            </w:r>
          </w:p>
        </w:tc>
      </w:tr>
      <w:tr w:rsidR="00A574F7" w:rsidRPr="008A78CD" w14:paraId="051719F8" w14:textId="77777777" w:rsidTr="00637890">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295CE2F" w14:textId="77777777" w:rsidR="00A574F7" w:rsidRPr="008A78CD" w:rsidRDefault="00A574F7" w:rsidP="00A574F7">
            <w:r w:rsidRPr="008A78CD">
              <w:t>1.</w:t>
            </w:r>
          </w:p>
        </w:tc>
        <w:tc>
          <w:tcPr>
            <w:tcW w:w="1585" w:type="pct"/>
            <w:tcBorders>
              <w:top w:val="outset" w:sz="6" w:space="0" w:color="auto"/>
              <w:left w:val="outset" w:sz="6" w:space="0" w:color="auto"/>
              <w:bottom w:val="outset" w:sz="6" w:space="0" w:color="auto"/>
              <w:right w:val="outset" w:sz="6" w:space="0" w:color="auto"/>
            </w:tcBorders>
            <w:hideMark/>
          </w:tcPr>
          <w:p w14:paraId="3813A988" w14:textId="77777777" w:rsidR="00A574F7" w:rsidRPr="008A78CD" w:rsidRDefault="00A574F7" w:rsidP="00A63501">
            <w:pPr>
              <w:spacing w:line="21" w:lineRule="atLeast"/>
            </w:pPr>
            <w:r w:rsidRPr="008A78CD">
              <w:t xml:space="preserve">Sabiedrības </w:t>
            </w:r>
            <w:proofErr w:type="spellStart"/>
            <w:r w:rsidRPr="008A78CD">
              <w:t>mērķgrupas</w:t>
            </w:r>
            <w:proofErr w:type="spellEnd"/>
            <w:r w:rsidRPr="008A78CD">
              <w:t>, kuras tiesiskais regulējums ietekmē vai varētu ietekmēt</w:t>
            </w:r>
          </w:p>
        </w:tc>
        <w:tc>
          <w:tcPr>
            <w:tcW w:w="3101" w:type="pct"/>
            <w:tcBorders>
              <w:top w:val="outset" w:sz="6" w:space="0" w:color="auto"/>
              <w:left w:val="outset" w:sz="6" w:space="0" w:color="auto"/>
              <w:bottom w:val="outset" w:sz="6" w:space="0" w:color="auto"/>
              <w:right w:val="outset" w:sz="6" w:space="0" w:color="auto"/>
            </w:tcBorders>
            <w:hideMark/>
          </w:tcPr>
          <w:p w14:paraId="655B92AE" w14:textId="77777777" w:rsidR="00A574F7" w:rsidRPr="008A78CD" w:rsidRDefault="00A574F7" w:rsidP="00A63501">
            <w:pPr>
              <w:spacing w:after="120" w:line="21" w:lineRule="atLeast"/>
              <w:jc w:val="both"/>
            </w:pPr>
            <w:r w:rsidRPr="008A78CD">
              <w:t>Komersants, kurš Likumā noteiktajās regulējamās nozarēs sniedz regulējamos sabiedriskos pakalpojumus, un kura darbība sabiedrisko pakalpojumu sniegšanā tiek regulēta saskaņā ar Likumu.</w:t>
            </w:r>
          </w:p>
        </w:tc>
      </w:tr>
      <w:tr w:rsidR="00A574F7" w:rsidRPr="008A78CD" w14:paraId="19183AB7" w14:textId="77777777" w:rsidTr="00637890">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24C0320" w14:textId="77777777" w:rsidR="00A574F7" w:rsidRPr="008A78CD" w:rsidRDefault="00A574F7" w:rsidP="00A574F7">
            <w:r w:rsidRPr="008A78CD">
              <w:t>2.</w:t>
            </w:r>
          </w:p>
        </w:tc>
        <w:tc>
          <w:tcPr>
            <w:tcW w:w="1585" w:type="pct"/>
            <w:tcBorders>
              <w:top w:val="outset" w:sz="6" w:space="0" w:color="auto"/>
              <w:left w:val="outset" w:sz="6" w:space="0" w:color="auto"/>
              <w:bottom w:val="outset" w:sz="6" w:space="0" w:color="auto"/>
              <w:right w:val="outset" w:sz="6" w:space="0" w:color="auto"/>
            </w:tcBorders>
            <w:hideMark/>
          </w:tcPr>
          <w:p w14:paraId="1920E022" w14:textId="77777777" w:rsidR="00A574F7" w:rsidRPr="008A78CD" w:rsidRDefault="00A574F7" w:rsidP="00A63501">
            <w:pPr>
              <w:spacing w:line="21" w:lineRule="atLeast"/>
            </w:pPr>
            <w:r w:rsidRPr="008A78CD">
              <w:t>Tiesiskā regulējuma ietekme uz tautsaimniecību un administratīvo slogu</w:t>
            </w:r>
          </w:p>
        </w:tc>
        <w:tc>
          <w:tcPr>
            <w:tcW w:w="3101" w:type="pct"/>
            <w:tcBorders>
              <w:top w:val="outset" w:sz="6" w:space="0" w:color="auto"/>
              <w:left w:val="outset" w:sz="6" w:space="0" w:color="auto"/>
              <w:bottom w:val="outset" w:sz="6" w:space="0" w:color="auto"/>
              <w:right w:val="outset" w:sz="6" w:space="0" w:color="auto"/>
            </w:tcBorders>
            <w:hideMark/>
          </w:tcPr>
          <w:p w14:paraId="1D433558" w14:textId="77777777" w:rsidR="00A574F7" w:rsidRPr="008A78CD" w:rsidRDefault="00A574F7" w:rsidP="00F87F96">
            <w:pPr>
              <w:spacing w:after="80"/>
              <w:jc w:val="both"/>
            </w:pPr>
            <w:r w:rsidRPr="008A78CD">
              <w:t xml:space="preserve">Sabiedrības grupām un institūcijām noteikumu projektā ietvertais tiesiskais regulējums nemaina </w:t>
            </w:r>
            <w:r w:rsidR="00280044" w:rsidRPr="008A78CD">
              <w:t xml:space="preserve">līdzšinējās </w:t>
            </w:r>
            <w:r w:rsidRPr="008A78CD">
              <w:t>tiesības un pienākumus, kā arī veicamās darbības</w:t>
            </w:r>
            <w:r w:rsidR="00090E58" w:rsidRPr="008A78CD">
              <w:t>.</w:t>
            </w:r>
          </w:p>
          <w:p w14:paraId="1552807F" w14:textId="482B2618" w:rsidR="00C156CF" w:rsidRPr="008A78CD" w:rsidRDefault="00280044" w:rsidP="008A4E27">
            <w:pPr>
              <w:spacing w:after="80"/>
              <w:jc w:val="both"/>
            </w:pPr>
            <w:r w:rsidRPr="008A78CD">
              <w:t>Noteikumu projekts paredz, ka nodevas likme tiks palielināta par 0,03% no komersanta sniegto sabiedrisko pakalpojumu neto apgrozījuma iepriekšējā kalendārā gadā</w:t>
            </w:r>
            <w:r w:rsidR="00C01577" w:rsidRPr="008A78CD">
              <w:t>.</w:t>
            </w:r>
            <w:r w:rsidRPr="008A78CD">
              <w:t xml:space="preserve"> Ņemot vērā, ka </w:t>
            </w:r>
            <w:r w:rsidR="00077E61">
              <w:t xml:space="preserve">ir notikušas arī </w:t>
            </w:r>
            <w:r w:rsidR="008D7D4D">
              <w:t xml:space="preserve">regulējamo komersantu loka un apgrozījuma </w:t>
            </w:r>
            <w:r w:rsidR="00077E61">
              <w:t>izmaiņas, kopējais nodevas ieņēmumu apjoms salīdzinot ar budžetā plānoto apjomu nepieaug</w:t>
            </w:r>
            <w:r w:rsidR="00077E61" w:rsidRPr="008A78CD">
              <w:t xml:space="preserve">. </w:t>
            </w:r>
          </w:p>
        </w:tc>
      </w:tr>
      <w:tr w:rsidR="00A574F7" w:rsidRPr="008A78CD" w14:paraId="617D4E79" w14:textId="77777777" w:rsidTr="00637890">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1914942" w14:textId="77777777" w:rsidR="00A574F7" w:rsidRPr="008A78CD" w:rsidRDefault="00A574F7" w:rsidP="00A574F7">
            <w:r w:rsidRPr="008A78CD">
              <w:t>3.</w:t>
            </w:r>
          </w:p>
        </w:tc>
        <w:tc>
          <w:tcPr>
            <w:tcW w:w="1585" w:type="pct"/>
            <w:tcBorders>
              <w:top w:val="outset" w:sz="6" w:space="0" w:color="auto"/>
              <w:left w:val="outset" w:sz="6" w:space="0" w:color="auto"/>
              <w:bottom w:val="outset" w:sz="6" w:space="0" w:color="auto"/>
              <w:right w:val="outset" w:sz="6" w:space="0" w:color="auto"/>
            </w:tcBorders>
            <w:hideMark/>
          </w:tcPr>
          <w:p w14:paraId="4DB44D74" w14:textId="77777777" w:rsidR="00A574F7" w:rsidRPr="008A78CD" w:rsidRDefault="00A574F7" w:rsidP="00A63501">
            <w:pPr>
              <w:spacing w:after="120" w:line="21" w:lineRule="atLeast"/>
            </w:pPr>
            <w:r w:rsidRPr="008A78CD">
              <w:t>Administratīvo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190C4B3C" w14:textId="77777777" w:rsidR="008758B9" w:rsidRPr="008A78CD" w:rsidRDefault="00090E58" w:rsidP="00F87F96">
            <w:pPr>
              <w:spacing w:after="80"/>
              <w:jc w:val="both"/>
            </w:pPr>
            <w:r w:rsidRPr="008A78CD">
              <w:t xml:space="preserve">Saskaņā ar Regulatora 2009.gada 11.novembra lēmumu Nr.1/5 “Noteikumi par Sabiedrisko pakalpojumu regulēšanas komisijai iesniedzamo informāciju” sabiedrisko pakalpojumu sniedzējs reizi gadā līdz 1.februārim iesniedz Regulatoram informāciju par aprēķināto valsts nodevu par sabiedrisko pakalpojumu regulēšanu kārtējā kalendārajā gadā un divu nedēļu laikā pēc Gada pārskatu un konsolidēto gada pārskatu likumā noteiktā termiņa gada pārskata iesniegšanai Valsts ieņēmumu dienestā iesniedz Regulatoram informāciju par peļņas vai zaudējumu aprēķinā norādīto komersanta sniegto sabiedrisko pakalpojumu neto apgrozījumu (turpmāk – neto apgrozījums). Ja sabiedrisko pakalpojumu sniedzēja līdz kārtējā gada 1.februārim iesniegtā informācija un veiktais valsts nodevas par sabiedrisko pakalpojumu regulēšanu maksājums nesakrīt ar sabiedrisko pakalpojumu sniedzēja neto apgrozījumu, tad attiecīgais sabiedrisko pakalpojumu sniedzējs iesniedz Regulatoram precizēto informāciju par aprēķināto valsts nodevu par sabiedrisko pakalpojumu regulēšanu kārtējā kalendārajā gadā. </w:t>
            </w:r>
          </w:p>
          <w:p w14:paraId="07AF0C73" w14:textId="77777777" w:rsidR="00A574F7" w:rsidRPr="008A78CD" w:rsidRDefault="008758B9" w:rsidP="00F87F96">
            <w:pPr>
              <w:spacing w:after="80"/>
              <w:jc w:val="both"/>
            </w:pPr>
            <w:r w:rsidRPr="008A78CD">
              <w:t>Noteikumu projekts paredz valsts nodevas likmes izmaiņas, bet neparedz grozīt kārtību, kādā sabiedrisko pakalpojumu sniedzēji aprēķina un maksā valsts nodevu, līdz ar to Regulatora un sabiedrisko pakalpojumu sniedzēju administratīvās izmaksas, kas saistīt</w:t>
            </w:r>
            <w:r w:rsidR="00C01577" w:rsidRPr="008A78CD">
              <w:t>a</w:t>
            </w:r>
            <w:r w:rsidRPr="008A78CD">
              <w:t>s ar valsts nodevas administrēšanu salīdzinājuma ar iepriekšējiem periodiem paliek nemainīgas</w:t>
            </w:r>
            <w:r w:rsidR="002A3869" w:rsidRPr="008A78CD">
              <w:t>. Regulatoram administratīv</w:t>
            </w:r>
            <w:r w:rsidR="00C01577" w:rsidRPr="008A78CD">
              <w:t>o</w:t>
            </w:r>
            <w:r w:rsidR="002A3869" w:rsidRPr="008A78CD">
              <w:t xml:space="preserve"> </w:t>
            </w:r>
            <w:r w:rsidR="002A3869" w:rsidRPr="008A78CD">
              <w:lastRenderedPageBreak/>
              <w:t>izmaksu, kas saistīt</w:t>
            </w:r>
            <w:r w:rsidR="00C01577" w:rsidRPr="008A78CD">
              <w:t>a</w:t>
            </w:r>
            <w:r w:rsidR="002A3869" w:rsidRPr="008A78CD">
              <w:t>s ar valsts nodevas administrēšanu, palielinājums vai samazinājums ir atkarīgs no regulējamo sabiedrisko pakalpojumu sniedzēju skaita un valsts nodevas maksājumu veikšanas disciplīnas, tajā pat laikā Regulatora administratīvās izmaksas pilnā apmērā tiek finansēta</w:t>
            </w:r>
            <w:r w:rsidR="00C01577" w:rsidRPr="008A78CD">
              <w:t>s</w:t>
            </w:r>
            <w:r w:rsidR="002A3869" w:rsidRPr="008A78CD">
              <w:t xml:space="preserve"> no valsts nodevas ieņēmumiem, kas izmantojami vienīgi Regulatora darbības nodrošināšanai.</w:t>
            </w:r>
          </w:p>
        </w:tc>
      </w:tr>
      <w:tr w:rsidR="00A574F7" w:rsidRPr="008A78CD" w14:paraId="5E8A12A1" w14:textId="77777777" w:rsidTr="00637890">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F3868BA" w14:textId="77777777" w:rsidR="00A574F7" w:rsidRPr="008A78CD" w:rsidRDefault="00A574F7" w:rsidP="00A574F7">
            <w:r w:rsidRPr="008A78CD">
              <w:lastRenderedPageBreak/>
              <w:t>4.</w:t>
            </w:r>
          </w:p>
        </w:tc>
        <w:tc>
          <w:tcPr>
            <w:tcW w:w="1585" w:type="pct"/>
            <w:tcBorders>
              <w:top w:val="outset" w:sz="6" w:space="0" w:color="auto"/>
              <w:left w:val="outset" w:sz="6" w:space="0" w:color="auto"/>
              <w:bottom w:val="outset" w:sz="6" w:space="0" w:color="auto"/>
              <w:right w:val="outset" w:sz="6" w:space="0" w:color="auto"/>
            </w:tcBorders>
            <w:hideMark/>
          </w:tcPr>
          <w:p w14:paraId="52166935" w14:textId="77777777" w:rsidR="00A574F7" w:rsidRPr="008A78CD" w:rsidRDefault="00A574F7" w:rsidP="00A63501">
            <w:pPr>
              <w:spacing w:line="21" w:lineRule="atLeast"/>
            </w:pPr>
            <w:r w:rsidRPr="008A78CD">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40CEF497" w14:textId="77777777" w:rsidR="00A574F7" w:rsidRPr="008A78CD" w:rsidRDefault="00A574F7" w:rsidP="00A63501">
            <w:pPr>
              <w:spacing w:before="100" w:beforeAutospacing="1" w:after="100" w:afterAutospacing="1" w:line="21" w:lineRule="atLeast"/>
            </w:pPr>
            <w:r w:rsidRPr="008A78CD">
              <w:t>Nav</w:t>
            </w:r>
          </w:p>
        </w:tc>
      </w:tr>
    </w:tbl>
    <w:p w14:paraId="71F99928" w14:textId="77777777" w:rsidR="00A574F7" w:rsidRPr="008A78CD" w:rsidRDefault="00A574F7" w:rsidP="00A574F7">
      <w:pPr>
        <w:ind w:firstLine="301"/>
        <w:rPr>
          <w:rFonts w:ascii="Arial" w:hAnsi="Arial" w:cs="Arial"/>
          <w:sz w:val="20"/>
          <w:szCs w:val="20"/>
        </w:rPr>
      </w:pPr>
    </w:p>
    <w:p w14:paraId="0F75783D" w14:textId="77777777" w:rsidR="00A63501" w:rsidRDefault="00A63501" w:rsidP="00A574F7">
      <w:pPr>
        <w:ind w:firstLine="301"/>
        <w:rPr>
          <w:rFonts w:ascii="Arial" w:hAnsi="Arial" w:cs="Arial"/>
          <w:sz w:val="20"/>
          <w:szCs w:val="20"/>
        </w:rPr>
      </w:pPr>
    </w:p>
    <w:p w14:paraId="2892746F" w14:textId="77777777" w:rsidR="00F87F96" w:rsidRPr="008A78CD" w:rsidRDefault="00F87F96" w:rsidP="00A574F7">
      <w:pPr>
        <w:ind w:firstLine="301"/>
        <w:rPr>
          <w:rFonts w:ascii="Arial" w:hAnsi="Arial" w:cs="Arial"/>
          <w:sz w:val="20"/>
          <w:szCs w:val="2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20"/>
        <w:gridCol w:w="1364"/>
        <w:gridCol w:w="1141"/>
        <w:gridCol w:w="1400"/>
        <w:gridCol w:w="1400"/>
        <w:gridCol w:w="1531"/>
      </w:tblGrid>
      <w:tr w:rsidR="00A574F7" w:rsidRPr="008A78CD" w14:paraId="587103DB" w14:textId="77777777" w:rsidTr="00730921">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1589899D" w14:textId="77777777" w:rsidR="00A574F7" w:rsidRPr="008A78CD" w:rsidRDefault="00A574F7" w:rsidP="00A574F7">
            <w:pPr>
              <w:spacing w:before="100" w:beforeAutospacing="1" w:after="100" w:afterAutospacing="1" w:line="360" w:lineRule="auto"/>
              <w:ind w:firstLine="300"/>
              <w:jc w:val="center"/>
              <w:rPr>
                <w:b/>
                <w:bCs/>
              </w:rPr>
            </w:pPr>
            <w:r w:rsidRPr="008A78CD">
              <w:rPr>
                <w:b/>
                <w:bCs/>
              </w:rPr>
              <w:t>III. Tiesību akta projekta ietekme uz valsts budžetu un pašvaldību budžetiem</w:t>
            </w:r>
          </w:p>
        </w:tc>
      </w:tr>
      <w:tr w:rsidR="00A574F7" w:rsidRPr="008A78CD" w14:paraId="45B3800D" w14:textId="77777777" w:rsidTr="00281B49">
        <w:trPr>
          <w:tblCellSpacing w:w="15" w:type="dxa"/>
          <w:jc w:val="center"/>
        </w:trPr>
        <w:tc>
          <w:tcPr>
            <w:tcW w:w="1223" w:type="pct"/>
            <w:vMerge w:val="restart"/>
            <w:tcBorders>
              <w:top w:val="outset" w:sz="6" w:space="0" w:color="auto"/>
              <w:left w:val="outset" w:sz="6" w:space="0" w:color="auto"/>
              <w:bottom w:val="outset" w:sz="6" w:space="0" w:color="auto"/>
              <w:right w:val="outset" w:sz="6" w:space="0" w:color="auto"/>
            </w:tcBorders>
            <w:vAlign w:val="center"/>
            <w:hideMark/>
          </w:tcPr>
          <w:p w14:paraId="02ADCEC4" w14:textId="77777777" w:rsidR="00A574F7" w:rsidRPr="008A78CD" w:rsidRDefault="00A574F7" w:rsidP="00A574F7">
            <w:pPr>
              <w:spacing w:before="100" w:beforeAutospacing="1" w:after="100" w:afterAutospacing="1" w:line="360" w:lineRule="auto"/>
              <w:ind w:firstLine="300"/>
              <w:jc w:val="center"/>
              <w:rPr>
                <w:b/>
                <w:bCs/>
              </w:rPr>
            </w:pPr>
            <w:r w:rsidRPr="008A78CD">
              <w:rPr>
                <w:b/>
                <w:bCs/>
              </w:rPr>
              <w:t>Rādītāji</w:t>
            </w:r>
          </w:p>
        </w:tc>
        <w:tc>
          <w:tcPr>
            <w:tcW w:w="137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0E1DF63" w14:textId="77777777" w:rsidR="00A574F7" w:rsidRPr="008A78CD" w:rsidRDefault="00E243C7" w:rsidP="00A574F7">
            <w:pPr>
              <w:spacing w:before="100" w:beforeAutospacing="1" w:after="100" w:afterAutospacing="1" w:line="360" w:lineRule="auto"/>
              <w:ind w:firstLine="300"/>
              <w:jc w:val="center"/>
              <w:rPr>
                <w:bCs/>
              </w:rPr>
            </w:pPr>
            <w:r w:rsidRPr="008A78CD">
              <w:rPr>
                <w:bCs/>
              </w:rPr>
              <w:t>2016</w:t>
            </w:r>
            <w:r w:rsidR="00A574F7" w:rsidRPr="008A78CD">
              <w:rPr>
                <w:bCs/>
              </w:rPr>
              <w:t>. gads</w:t>
            </w:r>
          </w:p>
        </w:tc>
        <w:tc>
          <w:tcPr>
            <w:tcW w:w="2333" w:type="pct"/>
            <w:gridSpan w:val="3"/>
            <w:tcBorders>
              <w:top w:val="outset" w:sz="6" w:space="0" w:color="auto"/>
              <w:left w:val="outset" w:sz="6" w:space="0" w:color="auto"/>
              <w:bottom w:val="outset" w:sz="6" w:space="0" w:color="auto"/>
              <w:right w:val="outset" w:sz="6" w:space="0" w:color="auto"/>
            </w:tcBorders>
            <w:vAlign w:val="center"/>
            <w:hideMark/>
          </w:tcPr>
          <w:p w14:paraId="5443BCEC" w14:textId="77777777" w:rsidR="00A574F7" w:rsidRPr="008A78CD" w:rsidRDefault="00A574F7" w:rsidP="00A574F7">
            <w:pPr>
              <w:spacing w:before="100" w:beforeAutospacing="1" w:after="100" w:afterAutospacing="1" w:line="360" w:lineRule="auto"/>
              <w:ind w:firstLine="300"/>
              <w:jc w:val="center"/>
            </w:pPr>
            <w:r w:rsidRPr="008A78CD">
              <w:t>Turpmākie trīs gadi (</w:t>
            </w:r>
            <w:proofErr w:type="spellStart"/>
            <w:r w:rsidRPr="008A78CD">
              <w:rPr>
                <w:i/>
                <w:iCs/>
              </w:rPr>
              <w:t>euro</w:t>
            </w:r>
            <w:proofErr w:type="spellEnd"/>
            <w:r w:rsidRPr="008A78CD">
              <w:t>)</w:t>
            </w:r>
          </w:p>
        </w:tc>
      </w:tr>
      <w:tr w:rsidR="00A574F7" w:rsidRPr="008A78CD" w14:paraId="3BD20A58" w14:textId="77777777" w:rsidTr="00281B49">
        <w:trPr>
          <w:tblCellSpacing w:w="15" w:type="dxa"/>
          <w:jc w:val="center"/>
        </w:trPr>
        <w:tc>
          <w:tcPr>
            <w:tcW w:w="1223" w:type="pct"/>
            <w:vMerge/>
            <w:tcBorders>
              <w:top w:val="outset" w:sz="6" w:space="0" w:color="auto"/>
              <w:left w:val="outset" w:sz="6" w:space="0" w:color="auto"/>
              <w:bottom w:val="outset" w:sz="6" w:space="0" w:color="auto"/>
              <w:right w:val="outset" w:sz="6" w:space="0" w:color="auto"/>
            </w:tcBorders>
            <w:vAlign w:val="center"/>
            <w:hideMark/>
          </w:tcPr>
          <w:p w14:paraId="12445628" w14:textId="77777777" w:rsidR="00A574F7" w:rsidRPr="008A78CD" w:rsidRDefault="00A574F7" w:rsidP="00A574F7">
            <w:pPr>
              <w:rPr>
                <w:b/>
                <w:bCs/>
              </w:rPr>
            </w:pPr>
          </w:p>
        </w:tc>
        <w:tc>
          <w:tcPr>
            <w:tcW w:w="1378" w:type="pct"/>
            <w:gridSpan w:val="2"/>
            <w:vMerge/>
            <w:tcBorders>
              <w:top w:val="outset" w:sz="6" w:space="0" w:color="auto"/>
              <w:left w:val="outset" w:sz="6" w:space="0" w:color="auto"/>
              <w:bottom w:val="outset" w:sz="6" w:space="0" w:color="auto"/>
              <w:right w:val="outset" w:sz="6" w:space="0" w:color="auto"/>
            </w:tcBorders>
            <w:vAlign w:val="center"/>
            <w:hideMark/>
          </w:tcPr>
          <w:p w14:paraId="62A9F16E" w14:textId="77777777" w:rsidR="00A574F7" w:rsidRPr="008A78CD" w:rsidRDefault="00A574F7" w:rsidP="00A574F7">
            <w:pPr>
              <w:rPr>
                <w:bCs/>
              </w:rPr>
            </w:pPr>
          </w:p>
        </w:tc>
        <w:tc>
          <w:tcPr>
            <w:tcW w:w="756" w:type="pct"/>
            <w:tcBorders>
              <w:top w:val="outset" w:sz="6" w:space="0" w:color="auto"/>
              <w:left w:val="outset" w:sz="6" w:space="0" w:color="auto"/>
              <w:bottom w:val="outset" w:sz="6" w:space="0" w:color="auto"/>
              <w:right w:val="outset" w:sz="6" w:space="0" w:color="auto"/>
            </w:tcBorders>
            <w:vAlign w:val="center"/>
            <w:hideMark/>
          </w:tcPr>
          <w:p w14:paraId="2C9FEBF1" w14:textId="77777777" w:rsidR="00A574F7" w:rsidRPr="008A78CD" w:rsidRDefault="00E243C7" w:rsidP="00A574F7">
            <w:pPr>
              <w:spacing w:before="100" w:beforeAutospacing="1" w:after="100" w:afterAutospacing="1" w:line="360" w:lineRule="auto"/>
              <w:ind w:firstLine="300"/>
              <w:jc w:val="center"/>
              <w:rPr>
                <w:bCs/>
              </w:rPr>
            </w:pPr>
            <w:r w:rsidRPr="008A78CD">
              <w:rPr>
                <w:bCs/>
              </w:rPr>
              <w:t>2017</w:t>
            </w:r>
            <w:r w:rsidR="00A574F7" w:rsidRPr="008A78CD">
              <w:rPr>
                <w:bCs/>
              </w:rPr>
              <w:t>.gads</w:t>
            </w:r>
          </w:p>
        </w:tc>
        <w:tc>
          <w:tcPr>
            <w:tcW w:w="756" w:type="pct"/>
            <w:tcBorders>
              <w:top w:val="outset" w:sz="6" w:space="0" w:color="auto"/>
              <w:left w:val="outset" w:sz="6" w:space="0" w:color="auto"/>
              <w:bottom w:val="outset" w:sz="6" w:space="0" w:color="auto"/>
              <w:right w:val="outset" w:sz="6" w:space="0" w:color="auto"/>
            </w:tcBorders>
            <w:vAlign w:val="center"/>
            <w:hideMark/>
          </w:tcPr>
          <w:p w14:paraId="0E2B545F" w14:textId="77777777" w:rsidR="00A574F7" w:rsidRPr="008A78CD" w:rsidRDefault="00E243C7" w:rsidP="00A574F7">
            <w:pPr>
              <w:spacing w:before="100" w:beforeAutospacing="1" w:after="100" w:afterAutospacing="1" w:line="360" w:lineRule="auto"/>
              <w:ind w:firstLine="300"/>
              <w:jc w:val="center"/>
              <w:rPr>
                <w:bCs/>
              </w:rPr>
            </w:pPr>
            <w:r w:rsidRPr="008A78CD">
              <w:rPr>
                <w:bCs/>
              </w:rPr>
              <w:t>2018</w:t>
            </w:r>
            <w:r w:rsidR="00A574F7" w:rsidRPr="008A78CD">
              <w:rPr>
                <w:bCs/>
              </w:rPr>
              <w:t>.gads</w:t>
            </w:r>
          </w:p>
        </w:tc>
        <w:tc>
          <w:tcPr>
            <w:tcW w:w="787" w:type="pct"/>
            <w:tcBorders>
              <w:top w:val="outset" w:sz="6" w:space="0" w:color="auto"/>
              <w:left w:val="outset" w:sz="6" w:space="0" w:color="auto"/>
              <w:bottom w:val="outset" w:sz="6" w:space="0" w:color="auto"/>
              <w:right w:val="outset" w:sz="6" w:space="0" w:color="auto"/>
            </w:tcBorders>
            <w:vAlign w:val="center"/>
            <w:hideMark/>
          </w:tcPr>
          <w:p w14:paraId="2F506F7E" w14:textId="77777777" w:rsidR="00A574F7" w:rsidRPr="008A78CD" w:rsidRDefault="00E243C7" w:rsidP="00A574F7">
            <w:pPr>
              <w:spacing w:before="100" w:beforeAutospacing="1" w:after="100" w:afterAutospacing="1" w:line="360" w:lineRule="auto"/>
              <w:ind w:firstLine="300"/>
              <w:jc w:val="center"/>
              <w:rPr>
                <w:bCs/>
              </w:rPr>
            </w:pPr>
            <w:r w:rsidRPr="008A78CD">
              <w:rPr>
                <w:bCs/>
              </w:rPr>
              <w:t>2019</w:t>
            </w:r>
            <w:r w:rsidR="00A574F7" w:rsidRPr="008A78CD">
              <w:rPr>
                <w:bCs/>
              </w:rPr>
              <w:t>.gads</w:t>
            </w:r>
          </w:p>
        </w:tc>
      </w:tr>
      <w:tr w:rsidR="00A574F7" w:rsidRPr="008A78CD" w14:paraId="51B052AB" w14:textId="77777777" w:rsidTr="00281B49">
        <w:trPr>
          <w:tblCellSpacing w:w="15" w:type="dxa"/>
          <w:jc w:val="center"/>
        </w:trPr>
        <w:tc>
          <w:tcPr>
            <w:tcW w:w="1223" w:type="pct"/>
            <w:vMerge/>
            <w:tcBorders>
              <w:top w:val="outset" w:sz="6" w:space="0" w:color="auto"/>
              <w:left w:val="outset" w:sz="6" w:space="0" w:color="auto"/>
              <w:bottom w:val="outset" w:sz="6" w:space="0" w:color="auto"/>
              <w:right w:val="outset" w:sz="6" w:space="0" w:color="auto"/>
            </w:tcBorders>
            <w:vAlign w:val="center"/>
            <w:hideMark/>
          </w:tcPr>
          <w:p w14:paraId="03E39615" w14:textId="77777777" w:rsidR="00A574F7" w:rsidRPr="008A78CD" w:rsidRDefault="00A574F7" w:rsidP="00A574F7">
            <w:pPr>
              <w:rPr>
                <w:b/>
                <w:bCs/>
              </w:rPr>
            </w:pPr>
          </w:p>
        </w:tc>
        <w:tc>
          <w:tcPr>
            <w:tcW w:w="751" w:type="pct"/>
            <w:tcBorders>
              <w:top w:val="outset" w:sz="6" w:space="0" w:color="auto"/>
              <w:left w:val="outset" w:sz="6" w:space="0" w:color="auto"/>
              <w:bottom w:val="outset" w:sz="6" w:space="0" w:color="auto"/>
              <w:right w:val="outset" w:sz="6" w:space="0" w:color="auto"/>
            </w:tcBorders>
            <w:vAlign w:val="center"/>
            <w:hideMark/>
          </w:tcPr>
          <w:p w14:paraId="4D015B60" w14:textId="77777777" w:rsidR="00A574F7" w:rsidRPr="008A78CD" w:rsidRDefault="00A574F7" w:rsidP="00FF5D32">
            <w:pPr>
              <w:ind w:firstLine="86"/>
              <w:jc w:val="center"/>
            </w:pPr>
            <w:r w:rsidRPr="008A78CD">
              <w:t>saskaņā ar valsts budžetu kārtējam gadam</w:t>
            </w:r>
          </w:p>
        </w:tc>
        <w:tc>
          <w:tcPr>
            <w:tcW w:w="610" w:type="pct"/>
            <w:tcBorders>
              <w:top w:val="outset" w:sz="6" w:space="0" w:color="auto"/>
              <w:left w:val="outset" w:sz="6" w:space="0" w:color="auto"/>
              <w:bottom w:val="outset" w:sz="6" w:space="0" w:color="auto"/>
              <w:right w:val="outset" w:sz="6" w:space="0" w:color="auto"/>
            </w:tcBorders>
            <w:vAlign w:val="center"/>
            <w:hideMark/>
          </w:tcPr>
          <w:p w14:paraId="481B511C" w14:textId="77777777" w:rsidR="00A574F7" w:rsidRPr="008A78CD" w:rsidRDefault="00A574F7" w:rsidP="00A574F7">
            <w:pPr>
              <w:ind w:firstLine="52"/>
              <w:jc w:val="center"/>
            </w:pPr>
            <w:r w:rsidRPr="008A78CD">
              <w:t>izmaiņas kārtējā gadā, salīdzinot ar valsts budžetu kārtējam gadam</w:t>
            </w:r>
          </w:p>
        </w:tc>
        <w:tc>
          <w:tcPr>
            <w:tcW w:w="756" w:type="pct"/>
            <w:tcBorders>
              <w:top w:val="outset" w:sz="6" w:space="0" w:color="auto"/>
              <w:left w:val="outset" w:sz="6" w:space="0" w:color="auto"/>
              <w:bottom w:val="outset" w:sz="6" w:space="0" w:color="auto"/>
              <w:right w:val="outset" w:sz="6" w:space="0" w:color="auto"/>
            </w:tcBorders>
            <w:vAlign w:val="center"/>
            <w:hideMark/>
          </w:tcPr>
          <w:p w14:paraId="5B0373D7" w14:textId="77777777" w:rsidR="00A574F7" w:rsidRPr="008A78CD" w:rsidRDefault="00A574F7" w:rsidP="00FF5D32">
            <w:pPr>
              <w:ind w:firstLine="53"/>
              <w:jc w:val="center"/>
            </w:pPr>
            <w:r w:rsidRPr="008A78CD">
              <w:t>izmaiņas, salīdzinot ar kārtējo (n) gadu</w:t>
            </w:r>
          </w:p>
        </w:tc>
        <w:tc>
          <w:tcPr>
            <w:tcW w:w="756" w:type="pct"/>
            <w:tcBorders>
              <w:top w:val="outset" w:sz="6" w:space="0" w:color="auto"/>
              <w:left w:val="outset" w:sz="6" w:space="0" w:color="auto"/>
              <w:bottom w:val="outset" w:sz="6" w:space="0" w:color="auto"/>
              <w:right w:val="outset" w:sz="6" w:space="0" w:color="auto"/>
            </w:tcBorders>
            <w:vAlign w:val="center"/>
            <w:hideMark/>
          </w:tcPr>
          <w:p w14:paraId="2E7FE2B0" w14:textId="77777777" w:rsidR="00A574F7" w:rsidRPr="008A78CD" w:rsidRDefault="00A574F7" w:rsidP="00FF5D32">
            <w:pPr>
              <w:ind w:firstLine="70"/>
              <w:jc w:val="center"/>
            </w:pPr>
            <w:r w:rsidRPr="008A78CD">
              <w:t>izmaiņas, salīdzinot ar kārtējo (n) gadu</w:t>
            </w:r>
          </w:p>
        </w:tc>
        <w:tc>
          <w:tcPr>
            <w:tcW w:w="787" w:type="pct"/>
            <w:tcBorders>
              <w:top w:val="outset" w:sz="6" w:space="0" w:color="auto"/>
              <w:left w:val="outset" w:sz="6" w:space="0" w:color="auto"/>
              <w:bottom w:val="outset" w:sz="6" w:space="0" w:color="auto"/>
              <w:right w:val="outset" w:sz="6" w:space="0" w:color="auto"/>
            </w:tcBorders>
            <w:vAlign w:val="center"/>
            <w:hideMark/>
          </w:tcPr>
          <w:p w14:paraId="7B283CC5" w14:textId="77777777" w:rsidR="00A574F7" w:rsidRPr="008A78CD" w:rsidRDefault="00A574F7" w:rsidP="00FF5D32">
            <w:pPr>
              <w:ind w:firstLine="88"/>
              <w:jc w:val="center"/>
            </w:pPr>
            <w:r w:rsidRPr="008A78CD">
              <w:t>izmaiņas, salīdzinot ar kārtējo (n) gadu</w:t>
            </w:r>
          </w:p>
        </w:tc>
      </w:tr>
      <w:tr w:rsidR="00A574F7" w:rsidRPr="008A78CD" w14:paraId="73353788" w14:textId="77777777"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vAlign w:val="center"/>
            <w:hideMark/>
          </w:tcPr>
          <w:p w14:paraId="746042C2" w14:textId="77777777" w:rsidR="00A574F7" w:rsidRPr="008A78CD" w:rsidRDefault="00A574F7" w:rsidP="00A574F7">
            <w:pPr>
              <w:spacing w:before="100" w:beforeAutospacing="1" w:after="100" w:afterAutospacing="1" w:line="360" w:lineRule="auto"/>
              <w:ind w:firstLine="300"/>
              <w:jc w:val="center"/>
            </w:pPr>
            <w:r w:rsidRPr="008A78CD">
              <w:t>1</w:t>
            </w:r>
          </w:p>
        </w:tc>
        <w:tc>
          <w:tcPr>
            <w:tcW w:w="751" w:type="pct"/>
            <w:tcBorders>
              <w:top w:val="outset" w:sz="6" w:space="0" w:color="auto"/>
              <w:left w:val="outset" w:sz="6" w:space="0" w:color="auto"/>
              <w:bottom w:val="outset" w:sz="6" w:space="0" w:color="auto"/>
              <w:right w:val="outset" w:sz="6" w:space="0" w:color="auto"/>
            </w:tcBorders>
            <w:vAlign w:val="center"/>
            <w:hideMark/>
          </w:tcPr>
          <w:p w14:paraId="2BEE081C" w14:textId="77777777" w:rsidR="00A574F7" w:rsidRPr="008A78CD" w:rsidRDefault="00A574F7" w:rsidP="00A574F7">
            <w:pPr>
              <w:spacing w:before="100" w:beforeAutospacing="1" w:after="100" w:afterAutospacing="1" w:line="360" w:lineRule="auto"/>
              <w:ind w:firstLine="300"/>
              <w:jc w:val="center"/>
            </w:pPr>
            <w:r w:rsidRPr="008A78CD">
              <w:t>2</w:t>
            </w:r>
          </w:p>
        </w:tc>
        <w:tc>
          <w:tcPr>
            <w:tcW w:w="610" w:type="pct"/>
            <w:tcBorders>
              <w:top w:val="outset" w:sz="6" w:space="0" w:color="auto"/>
              <w:left w:val="outset" w:sz="6" w:space="0" w:color="auto"/>
              <w:bottom w:val="outset" w:sz="6" w:space="0" w:color="auto"/>
              <w:right w:val="outset" w:sz="6" w:space="0" w:color="auto"/>
            </w:tcBorders>
            <w:vAlign w:val="center"/>
            <w:hideMark/>
          </w:tcPr>
          <w:p w14:paraId="65B9E8EB" w14:textId="77777777" w:rsidR="00A574F7" w:rsidRPr="008A78CD" w:rsidRDefault="00A574F7" w:rsidP="00A574F7">
            <w:pPr>
              <w:spacing w:before="100" w:beforeAutospacing="1" w:after="100" w:afterAutospacing="1" w:line="360" w:lineRule="auto"/>
              <w:ind w:firstLine="300"/>
              <w:jc w:val="center"/>
            </w:pPr>
            <w:r w:rsidRPr="008A78CD">
              <w:t>3</w:t>
            </w:r>
          </w:p>
        </w:tc>
        <w:tc>
          <w:tcPr>
            <w:tcW w:w="756" w:type="pct"/>
            <w:tcBorders>
              <w:top w:val="outset" w:sz="6" w:space="0" w:color="auto"/>
              <w:left w:val="outset" w:sz="6" w:space="0" w:color="auto"/>
              <w:bottom w:val="outset" w:sz="6" w:space="0" w:color="auto"/>
              <w:right w:val="outset" w:sz="6" w:space="0" w:color="auto"/>
            </w:tcBorders>
            <w:vAlign w:val="center"/>
            <w:hideMark/>
          </w:tcPr>
          <w:p w14:paraId="28297BE7" w14:textId="77777777" w:rsidR="00A574F7" w:rsidRPr="008A78CD" w:rsidRDefault="00A574F7" w:rsidP="00A574F7">
            <w:pPr>
              <w:spacing w:before="100" w:beforeAutospacing="1" w:after="100" w:afterAutospacing="1" w:line="360" w:lineRule="auto"/>
              <w:ind w:firstLine="300"/>
              <w:jc w:val="center"/>
            </w:pPr>
            <w:r w:rsidRPr="008A78CD">
              <w:t>4</w:t>
            </w:r>
          </w:p>
        </w:tc>
        <w:tc>
          <w:tcPr>
            <w:tcW w:w="756" w:type="pct"/>
            <w:tcBorders>
              <w:top w:val="outset" w:sz="6" w:space="0" w:color="auto"/>
              <w:left w:val="outset" w:sz="6" w:space="0" w:color="auto"/>
              <w:bottom w:val="outset" w:sz="6" w:space="0" w:color="auto"/>
              <w:right w:val="outset" w:sz="6" w:space="0" w:color="auto"/>
            </w:tcBorders>
            <w:vAlign w:val="center"/>
            <w:hideMark/>
          </w:tcPr>
          <w:p w14:paraId="5A832269" w14:textId="77777777" w:rsidR="00A574F7" w:rsidRPr="008A78CD" w:rsidRDefault="00A574F7" w:rsidP="00A574F7">
            <w:pPr>
              <w:spacing w:before="100" w:beforeAutospacing="1" w:after="100" w:afterAutospacing="1" w:line="360" w:lineRule="auto"/>
              <w:ind w:firstLine="300"/>
              <w:jc w:val="center"/>
            </w:pPr>
            <w:r w:rsidRPr="008A78CD">
              <w:t>5</w:t>
            </w:r>
          </w:p>
        </w:tc>
        <w:tc>
          <w:tcPr>
            <w:tcW w:w="787" w:type="pct"/>
            <w:tcBorders>
              <w:top w:val="outset" w:sz="6" w:space="0" w:color="auto"/>
              <w:left w:val="outset" w:sz="6" w:space="0" w:color="auto"/>
              <w:bottom w:val="outset" w:sz="6" w:space="0" w:color="auto"/>
              <w:right w:val="outset" w:sz="6" w:space="0" w:color="auto"/>
            </w:tcBorders>
            <w:vAlign w:val="center"/>
            <w:hideMark/>
          </w:tcPr>
          <w:p w14:paraId="73CBF9A5" w14:textId="77777777" w:rsidR="00A574F7" w:rsidRPr="008A78CD" w:rsidRDefault="00A574F7" w:rsidP="00A574F7">
            <w:pPr>
              <w:spacing w:before="100" w:beforeAutospacing="1" w:after="100" w:afterAutospacing="1" w:line="360" w:lineRule="auto"/>
              <w:ind w:firstLine="300"/>
              <w:jc w:val="center"/>
            </w:pPr>
            <w:r w:rsidRPr="008A78CD">
              <w:t>6</w:t>
            </w:r>
          </w:p>
        </w:tc>
      </w:tr>
      <w:tr w:rsidR="00A574F7" w:rsidRPr="008A78CD" w14:paraId="50B020E4" w14:textId="77777777"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14:paraId="5BA061B4" w14:textId="77777777" w:rsidR="00A574F7" w:rsidRPr="008A78CD" w:rsidRDefault="00A574F7" w:rsidP="00FF5D32">
            <w:pPr>
              <w:spacing w:after="120"/>
            </w:pPr>
            <w:r w:rsidRPr="008A78CD">
              <w:t>1. Budžeta ieņēmumi:</w:t>
            </w:r>
          </w:p>
        </w:tc>
        <w:tc>
          <w:tcPr>
            <w:tcW w:w="751" w:type="pct"/>
            <w:tcBorders>
              <w:top w:val="outset" w:sz="6" w:space="0" w:color="auto"/>
              <w:left w:val="outset" w:sz="6" w:space="0" w:color="auto"/>
              <w:bottom w:val="outset" w:sz="6" w:space="0" w:color="auto"/>
              <w:right w:val="outset" w:sz="6" w:space="0" w:color="auto"/>
            </w:tcBorders>
            <w:hideMark/>
          </w:tcPr>
          <w:p w14:paraId="32D115A0" w14:textId="77777777" w:rsidR="00A574F7" w:rsidRPr="00AC77F5" w:rsidRDefault="00A574F7" w:rsidP="00A574F7">
            <w:r w:rsidRPr="00AC77F5">
              <w:t> </w:t>
            </w:r>
            <w:r w:rsidR="00002813" w:rsidRPr="00AC77F5">
              <w:t>4 </w:t>
            </w:r>
            <w:r w:rsidR="006C6C85" w:rsidRPr="00AC77F5">
              <w:t>2</w:t>
            </w:r>
            <w:r w:rsidR="00002813" w:rsidRPr="00AC77F5">
              <w:t>98 792</w:t>
            </w:r>
          </w:p>
        </w:tc>
        <w:tc>
          <w:tcPr>
            <w:tcW w:w="610" w:type="pct"/>
            <w:tcBorders>
              <w:top w:val="outset" w:sz="6" w:space="0" w:color="auto"/>
              <w:left w:val="outset" w:sz="6" w:space="0" w:color="auto"/>
              <w:bottom w:val="outset" w:sz="6" w:space="0" w:color="auto"/>
              <w:right w:val="outset" w:sz="6" w:space="0" w:color="auto"/>
            </w:tcBorders>
            <w:hideMark/>
          </w:tcPr>
          <w:p w14:paraId="1A376FCC" w14:textId="62025FB1" w:rsidR="00941C39" w:rsidRPr="008A78CD" w:rsidRDefault="00A574F7" w:rsidP="00536E06">
            <w:r w:rsidRPr="008A78CD">
              <w:t> </w:t>
            </w:r>
            <w:r w:rsidR="00292935">
              <w:t>–</w:t>
            </w:r>
            <w:r w:rsidR="00536E06">
              <w:t>677 923</w:t>
            </w:r>
          </w:p>
        </w:tc>
        <w:tc>
          <w:tcPr>
            <w:tcW w:w="756" w:type="pct"/>
            <w:tcBorders>
              <w:top w:val="outset" w:sz="6" w:space="0" w:color="auto"/>
              <w:left w:val="outset" w:sz="6" w:space="0" w:color="auto"/>
              <w:bottom w:val="outset" w:sz="6" w:space="0" w:color="auto"/>
              <w:right w:val="outset" w:sz="6" w:space="0" w:color="auto"/>
            </w:tcBorders>
            <w:hideMark/>
          </w:tcPr>
          <w:p w14:paraId="5BC8A253" w14:textId="77777777" w:rsidR="00A574F7" w:rsidRPr="008A78CD" w:rsidRDefault="00A574F7" w:rsidP="00292935">
            <w:r w:rsidRPr="008A78CD">
              <w:t> </w:t>
            </w:r>
            <w:r w:rsidR="00292935">
              <w:t>–3</w:t>
            </w:r>
            <w:r w:rsidR="00341838" w:rsidRPr="008A78CD">
              <w:t>1</w:t>
            </w:r>
            <w:r w:rsidR="00292935">
              <w:t>4</w:t>
            </w:r>
            <w:r w:rsidR="00341838" w:rsidRPr="008A78CD">
              <w:t> </w:t>
            </w:r>
            <w:r w:rsidR="00292935">
              <w:t>6</w:t>
            </w:r>
            <w:r w:rsidR="00341838" w:rsidRPr="008A78CD">
              <w:t>79</w:t>
            </w:r>
          </w:p>
        </w:tc>
        <w:tc>
          <w:tcPr>
            <w:tcW w:w="756" w:type="pct"/>
            <w:tcBorders>
              <w:top w:val="outset" w:sz="6" w:space="0" w:color="auto"/>
              <w:left w:val="outset" w:sz="6" w:space="0" w:color="auto"/>
              <w:bottom w:val="outset" w:sz="6" w:space="0" w:color="auto"/>
              <w:right w:val="outset" w:sz="6" w:space="0" w:color="auto"/>
            </w:tcBorders>
            <w:hideMark/>
          </w:tcPr>
          <w:p w14:paraId="3B08335A" w14:textId="77777777" w:rsidR="00A574F7" w:rsidRPr="008A78CD" w:rsidRDefault="00A574F7" w:rsidP="00292935">
            <w:r w:rsidRPr="008A78CD">
              <w:t> </w:t>
            </w:r>
            <w:r w:rsidR="00292935">
              <w:t>–3</w:t>
            </w:r>
            <w:r w:rsidR="00292935" w:rsidRPr="008A78CD">
              <w:t>1</w:t>
            </w:r>
            <w:r w:rsidR="00292935">
              <w:t>4</w:t>
            </w:r>
            <w:r w:rsidR="00292935" w:rsidRPr="008A78CD">
              <w:t> </w:t>
            </w:r>
            <w:r w:rsidR="00292935">
              <w:t>6</w:t>
            </w:r>
            <w:r w:rsidR="00292935" w:rsidRPr="008A78CD">
              <w:t>79</w:t>
            </w:r>
          </w:p>
        </w:tc>
        <w:tc>
          <w:tcPr>
            <w:tcW w:w="787" w:type="pct"/>
            <w:tcBorders>
              <w:top w:val="outset" w:sz="6" w:space="0" w:color="auto"/>
              <w:left w:val="outset" w:sz="6" w:space="0" w:color="auto"/>
              <w:bottom w:val="outset" w:sz="6" w:space="0" w:color="auto"/>
              <w:right w:val="outset" w:sz="6" w:space="0" w:color="auto"/>
            </w:tcBorders>
            <w:hideMark/>
          </w:tcPr>
          <w:p w14:paraId="44A6DE6F" w14:textId="77777777" w:rsidR="00A574F7" w:rsidRPr="008A78CD" w:rsidRDefault="00A574F7" w:rsidP="00292935">
            <w:r w:rsidRPr="008A78CD">
              <w:t> </w:t>
            </w:r>
            <w:r w:rsidR="00292935">
              <w:t>–3</w:t>
            </w:r>
            <w:r w:rsidR="00292935" w:rsidRPr="008A78CD">
              <w:t>1</w:t>
            </w:r>
            <w:r w:rsidR="00292935">
              <w:t>4</w:t>
            </w:r>
            <w:r w:rsidR="00292935" w:rsidRPr="008A78CD">
              <w:t> </w:t>
            </w:r>
            <w:r w:rsidR="00292935">
              <w:t>6</w:t>
            </w:r>
            <w:r w:rsidR="00292935" w:rsidRPr="008A78CD">
              <w:t>79</w:t>
            </w:r>
          </w:p>
        </w:tc>
      </w:tr>
      <w:tr w:rsidR="00A574F7" w:rsidRPr="008A78CD" w14:paraId="02704918" w14:textId="77777777"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14:paraId="0FEA9922" w14:textId="77777777" w:rsidR="00A574F7" w:rsidRPr="008A78CD" w:rsidRDefault="00A574F7" w:rsidP="00FF5D32">
            <w:pPr>
              <w:spacing w:after="120"/>
            </w:pPr>
            <w:r w:rsidRPr="008A78CD">
              <w:t>1.1. valsts pamatbudžets, tai skaitā ieņēmumi no maksas pakalpojumiem un citi pašu ieņēmumi</w:t>
            </w:r>
          </w:p>
        </w:tc>
        <w:tc>
          <w:tcPr>
            <w:tcW w:w="751" w:type="pct"/>
            <w:tcBorders>
              <w:top w:val="outset" w:sz="6" w:space="0" w:color="auto"/>
              <w:left w:val="outset" w:sz="6" w:space="0" w:color="auto"/>
              <w:bottom w:val="outset" w:sz="6" w:space="0" w:color="auto"/>
              <w:right w:val="outset" w:sz="6" w:space="0" w:color="auto"/>
            </w:tcBorders>
            <w:hideMark/>
          </w:tcPr>
          <w:p w14:paraId="360159B6" w14:textId="77777777" w:rsidR="00A574F7" w:rsidRPr="00AC77F5" w:rsidRDefault="00A574F7" w:rsidP="00002813">
            <w:r w:rsidRPr="00AC77F5">
              <w:t> </w:t>
            </w:r>
            <w:r w:rsidR="00002813" w:rsidRPr="00AC77F5">
              <w:t>4 </w:t>
            </w:r>
            <w:r w:rsidR="006C6C85" w:rsidRPr="00AC77F5">
              <w:t>2</w:t>
            </w:r>
            <w:r w:rsidR="00002813" w:rsidRPr="00AC77F5">
              <w:t>98 792</w:t>
            </w:r>
          </w:p>
        </w:tc>
        <w:tc>
          <w:tcPr>
            <w:tcW w:w="610" w:type="pct"/>
            <w:tcBorders>
              <w:top w:val="outset" w:sz="6" w:space="0" w:color="auto"/>
              <w:left w:val="outset" w:sz="6" w:space="0" w:color="auto"/>
              <w:bottom w:val="outset" w:sz="6" w:space="0" w:color="auto"/>
              <w:right w:val="outset" w:sz="6" w:space="0" w:color="auto"/>
            </w:tcBorders>
            <w:hideMark/>
          </w:tcPr>
          <w:p w14:paraId="6CDB62F9" w14:textId="101DF055" w:rsidR="00941C39" w:rsidRPr="008A78CD" w:rsidRDefault="00292935" w:rsidP="00536E06">
            <w:r>
              <w:t> –</w:t>
            </w:r>
            <w:r w:rsidR="00536E06">
              <w:t>677 923</w:t>
            </w:r>
          </w:p>
        </w:tc>
        <w:tc>
          <w:tcPr>
            <w:tcW w:w="756" w:type="pct"/>
            <w:tcBorders>
              <w:top w:val="outset" w:sz="6" w:space="0" w:color="auto"/>
              <w:left w:val="outset" w:sz="6" w:space="0" w:color="auto"/>
              <w:bottom w:val="outset" w:sz="6" w:space="0" w:color="auto"/>
              <w:right w:val="outset" w:sz="6" w:space="0" w:color="auto"/>
            </w:tcBorders>
            <w:hideMark/>
          </w:tcPr>
          <w:p w14:paraId="3770CBB7" w14:textId="77777777" w:rsidR="00A574F7" w:rsidRPr="008A78CD" w:rsidRDefault="00A574F7" w:rsidP="00292935">
            <w:r w:rsidRPr="008A78CD">
              <w:t> </w:t>
            </w:r>
            <w:r w:rsidR="00292935">
              <w:t>–3</w:t>
            </w:r>
            <w:r w:rsidR="00292935" w:rsidRPr="008A78CD">
              <w:t>1</w:t>
            </w:r>
            <w:r w:rsidR="00292935">
              <w:t>4</w:t>
            </w:r>
            <w:r w:rsidR="00292935" w:rsidRPr="008A78CD">
              <w:t> </w:t>
            </w:r>
            <w:r w:rsidR="00292935">
              <w:t>6</w:t>
            </w:r>
            <w:r w:rsidR="00292935" w:rsidRPr="008A78CD">
              <w:t>79</w:t>
            </w:r>
          </w:p>
        </w:tc>
        <w:tc>
          <w:tcPr>
            <w:tcW w:w="756" w:type="pct"/>
            <w:tcBorders>
              <w:top w:val="outset" w:sz="6" w:space="0" w:color="auto"/>
              <w:left w:val="outset" w:sz="6" w:space="0" w:color="auto"/>
              <w:bottom w:val="outset" w:sz="6" w:space="0" w:color="auto"/>
              <w:right w:val="outset" w:sz="6" w:space="0" w:color="auto"/>
            </w:tcBorders>
            <w:hideMark/>
          </w:tcPr>
          <w:p w14:paraId="7D43FCA0" w14:textId="77777777" w:rsidR="00A574F7" w:rsidRPr="008A78CD" w:rsidRDefault="00A574F7" w:rsidP="00292935">
            <w:r w:rsidRPr="008A78CD">
              <w:t> </w:t>
            </w:r>
            <w:r w:rsidR="00292935">
              <w:t>–3</w:t>
            </w:r>
            <w:r w:rsidR="00292935" w:rsidRPr="008A78CD">
              <w:t>1</w:t>
            </w:r>
            <w:r w:rsidR="00292935">
              <w:t>4</w:t>
            </w:r>
            <w:r w:rsidR="00292935" w:rsidRPr="008A78CD">
              <w:t> </w:t>
            </w:r>
            <w:r w:rsidR="00292935">
              <w:t>6</w:t>
            </w:r>
            <w:r w:rsidR="00292935" w:rsidRPr="008A78CD">
              <w:t>79</w:t>
            </w:r>
          </w:p>
        </w:tc>
        <w:tc>
          <w:tcPr>
            <w:tcW w:w="787" w:type="pct"/>
            <w:tcBorders>
              <w:top w:val="outset" w:sz="6" w:space="0" w:color="auto"/>
              <w:left w:val="outset" w:sz="6" w:space="0" w:color="auto"/>
              <w:bottom w:val="outset" w:sz="6" w:space="0" w:color="auto"/>
              <w:right w:val="outset" w:sz="6" w:space="0" w:color="auto"/>
            </w:tcBorders>
            <w:hideMark/>
          </w:tcPr>
          <w:p w14:paraId="343F7B77" w14:textId="77777777" w:rsidR="00A574F7" w:rsidRPr="008A78CD" w:rsidRDefault="00292935" w:rsidP="00292935">
            <w:r>
              <w:t> –3</w:t>
            </w:r>
            <w:r w:rsidRPr="008A78CD">
              <w:t>1</w:t>
            </w:r>
            <w:r>
              <w:t>4</w:t>
            </w:r>
            <w:r w:rsidRPr="008A78CD">
              <w:t> </w:t>
            </w:r>
            <w:r>
              <w:t>6</w:t>
            </w:r>
            <w:r w:rsidRPr="008A78CD">
              <w:t>79</w:t>
            </w:r>
          </w:p>
        </w:tc>
      </w:tr>
      <w:tr w:rsidR="00A574F7" w:rsidRPr="008A78CD" w14:paraId="5B796A7A" w14:textId="77777777"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14:paraId="28B0CE6D" w14:textId="77777777" w:rsidR="00A574F7" w:rsidRPr="008A78CD" w:rsidRDefault="00A574F7" w:rsidP="00FF5D32">
            <w:pPr>
              <w:spacing w:after="120"/>
            </w:pPr>
            <w:r w:rsidRPr="008A78CD">
              <w:t>1.2. valsts speciālais budžets</w:t>
            </w:r>
          </w:p>
        </w:tc>
        <w:tc>
          <w:tcPr>
            <w:tcW w:w="751" w:type="pct"/>
            <w:tcBorders>
              <w:top w:val="outset" w:sz="6" w:space="0" w:color="auto"/>
              <w:left w:val="outset" w:sz="6" w:space="0" w:color="auto"/>
              <w:bottom w:val="outset" w:sz="6" w:space="0" w:color="auto"/>
              <w:right w:val="outset" w:sz="6" w:space="0" w:color="auto"/>
            </w:tcBorders>
            <w:hideMark/>
          </w:tcPr>
          <w:p w14:paraId="21EBE1A0" w14:textId="77777777" w:rsidR="00A574F7" w:rsidRPr="008A78CD" w:rsidRDefault="00A574F7" w:rsidP="00A574F7">
            <w:r w:rsidRPr="008A78CD">
              <w:t> -</w:t>
            </w:r>
          </w:p>
        </w:tc>
        <w:tc>
          <w:tcPr>
            <w:tcW w:w="610" w:type="pct"/>
            <w:tcBorders>
              <w:top w:val="outset" w:sz="6" w:space="0" w:color="auto"/>
              <w:left w:val="outset" w:sz="6" w:space="0" w:color="auto"/>
              <w:bottom w:val="outset" w:sz="6" w:space="0" w:color="auto"/>
              <w:right w:val="outset" w:sz="6" w:space="0" w:color="auto"/>
            </w:tcBorders>
            <w:hideMark/>
          </w:tcPr>
          <w:p w14:paraId="713B802D" w14:textId="77777777"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14:paraId="12B14260" w14:textId="77777777"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14:paraId="354C1273" w14:textId="77777777" w:rsidR="00A574F7" w:rsidRPr="008A78CD" w:rsidRDefault="00A574F7" w:rsidP="00A574F7">
            <w:r w:rsidRPr="008A78CD">
              <w:t> -</w:t>
            </w:r>
          </w:p>
        </w:tc>
        <w:tc>
          <w:tcPr>
            <w:tcW w:w="787" w:type="pct"/>
            <w:tcBorders>
              <w:top w:val="outset" w:sz="6" w:space="0" w:color="auto"/>
              <w:left w:val="outset" w:sz="6" w:space="0" w:color="auto"/>
              <w:bottom w:val="outset" w:sz="6" w:space="0" w:color="auto"/>
              <w:right w:val="outset" w:sz="6" w:space="0" w:color="auto"/>
            </w:tcBorders>
            <w:hideMark/>
          </w:tcPr>
          <w:p w14:paraId="426C9ABF" w14:textId="77777777" w:rsidR="00A574F7" w:rsidRPr="008A78CD" w:rsidRDefault="00A574F7" w:rsidP="00A574F7">
            <w:r w:rsidRPr="008A78CD">
              <w:t> -</w:t>
            </w:r>
          </w:p>
        </w:tc>
      </w:tr>
      <w:tr w:rsidR="00A574F7" w:rsidRPr="008A78CD" w14:paraId="39A687D3" w14:textId="77777777"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14:paraId="5BF6A309" w14:textId="77777777" w:rsidR="00A574F7" w:rsidRPr="008A78CD" w:rsidRDefault="00A574F7" w:rsidP="00FF5D32">
            <w:pPr>
              <w:spacing w:after="120"/>
            </w:pPr>
            <w:r w:rsidRPr="008A78CD">
              <w:t>1.3. pašvaldību budžets</w:t>
            </w:r>
          </w:p>
        </w:tc>
        <w:tc>
          <w:tcPr>
            <w:tcW w:w="751" w:type="pct"/>
            <w:tcBorders>
              <w:top w:val="outset" w:sz="6" w:space="0" w:color="auto"/>
              <w:left w:val="outset" w:sz="6" w:space="0" w:color="auto"/>
              <w:bottom w:val="outset" w:sz="6" w:space="0" w:color="auto"/>
              <w:right w:val="outset" w:sz="6" w:space="0" w:color="auto"/>
            </w:tcBorders>
            <w:hideMark/>
          </w:tcPr>
          <w:p w14:paraId="1FD96C82" w14:textId="77777777" w:rsidR="00A574F7" w:rsidRPr="008A78CD" w:rsidRDefault="00A574F7" w:rsidP="00A574F7">
            <w:r w:rsidRPr="008A78CD">
              <w:t> -</w:t>
            </w:r>
          </w:p>
        </w:tc>
        <w:tc>
          <w:tcPr>
            <w:tcW w:w="610" w:type="pct"/>
            <w:tcBorders>
              <w:top w:val="outset" w:sz="6" w:space="0" w:color="auto"/>
              <w:left w:val="outset" w:sz="6" w:space="0" w:color="auto"/>
              <w:bottom w:val="outset" w:sz="6" w:space="0" w:color="auto"/>
              <w:right w:val="outset" w:sz="6" w:space="0" w:color="auto"/>
            </w:tcBorders>
            <w:hideMark/>
          </w:tcPr>
          <w:p w14:paraId="732481B4" w14:textId="77777777"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14:paraId="5A90C55C" w14:textId="77777777"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14:paraId="7EF034B5" w14:textId="77777777" w:rsidR="00A574F7" w:rsidRPr="008A78CD" w:rsidRDefault="00A574F7" w:rsidP="00A574F7">
            <w:r w:rsidRPr="008A78CD">
              <w:t> -</w:t>
            </w:r>
          </w:p>
        </w:tc>
        <w:tc>
          <w:tcPr>
            <w:tcW w:w="787" w:type="pct"/>
            <w:tcBorders>
              <w:top w:val="outset" w:sz="6" w:space="0" w:color="auto"/>
              <w:left w:val="outset" w:sz="6" w:space="0" w:color="auto"/>
              <w:bottom w:val="outset" w:sz="6" w:space="0" w:color="auto"/>
              <w:right w:val="outset" w:sz="6" w:space="0" w:color="auto"/>
            </w:tcBorders>
            <w:hideMark/>
          </w:tcPr>
          <w:p w14:paraId="6022FF3C" w14:textId="77777777" w:rsidR="00A574F7" w:rsidRPr="008A78CD" w:rsidRDefault="00A574F7" w:rsidP="00A574F7">
            <w:r w:rsidRPr="008A78CD">
              <w:t> -</w:t>
            </w:r>
          </w:p>
        </w:tc>
      </w:tr>
      <w:tr w:rsidR="00A574F7" w:rsidRPr="008A78CD" w14:paraId="177D722B" w14:textId="77777777"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14:paraId="44B57A20" w14:textId="77777777" w:rsidR="00A574F7" w:rsidRPr="008A78CD" w:rsidRDefault="00A574F7" w:rsidP="00FF5D32">
            <w:pPr>
              <w:spacing w:after="120"/>
            </w:pPr>
            <w:r w:rsidRPr="008A78CD">
              <w:t>2. Budžeta izdevumi:</w:t>
            </w:r>
          </w:p>
        </w:tc>
        <w:tc>
          <w:tcPr>
            <w:tcW w:w="751" w:type="pct"/>
            <w:tcBorders>
              <w:top w:val="outset" w:sz="6" w:space="0" w:color="auto"/>
              <w:left w:val="outset" w:sz="6" w:space="0" w:color="auto"/>
              <w:bottom w:val="outset" w:sz="6" w:space="0" w:color="auto"/>
              <w:right w:val="outset" w:sz="6" w:space="0" w:color="auto"/>
            </w:tcBorders>
            <w:hideMark/>
          </w:tcPr>
          <w:p w14:paraId="011AFA9D" w14:textId="77777777" w:rsidR="00A574F7" w:rsidRPr="008A78CD" w:rsidRDefault="00002813" w:rsidP="00A574F7">
            <w:r w:rsidRPr="008A78CD">
              <w:t> </w:t>
            </w:r>
            <w:r w:rsidRPr="00002813">
              <w:t>4</w:t>
            </w:r>
            <w:r>
              <w:t> </w:t>
            </w:r>
            <w:r w:rsidRPr="00002813">
              <w:t>798</w:t>
            </w:r>
            <w:r>
              <w:t> </w:t>
            </w:r>
            <w:r w:rsidRPr="00002813">
              <w:t>792</w:t>
            </w:r>
          </w:p>
        </w:tc>
        <w:tc>
          <w:tcPr>
            <w:tcW w:w="610" w:type="pct"/>
            <w:tcBorders>
              <w:top w:val="outset" w:sz="6" w:space="0" w:color="auto"/>
              <w:left w:val="outset" w:sz="6" w:space="0" w:color="auto"/>
              <w:bottom w:val="outset" w:sz="6" w:space="0" w:color="auto"/>
              <w:right w:val="outset" w:sz="6" w:space="0" w:color="auto"/>
            </w:tcBorders>
            <w:hideMark/>
          </w:tcPr>
          <w:p w14:paraId="030D1C7A" w14:textId="6ED35507" w:rsidR="00941C39" w:rsidRPr="008A78CD" w:rsidRDefault="00A574F7" w:rsidP="00637890">
            <w:r w:rsidRPr="008A78CD">
              <w:t> </w:t>
            </w:r>
            <w:r w:rsidR="00292935">
              <w:t>–</w:t>
            </w:r>
            <w:r w:rsidR="00536E06">
              <w:t> 677 923</w:t>
            </w:r>
          </w:p>
        </w:tc>
        <w:tc>
          <w:tcPr>
            <w:tcW w:w="756" w:type="pct"/>
            <w:tcBorders>
              <w:top w:val="outset" w:sz="6" w:space="0" w:color="auto"/>
              <w:left w:val="outset" w:sz="6" w:space="0" w:color="auto"/>
              <w:bottom w:val="outset" w:sz="6" w:space="0" w:color="auto"/>
              <w:right w:val="outset" w:sz="6" w:space="0" w:color="auto"/>
            </w:tcBorders>
            <w:hideMark/>
          </w:tcPr>
          <w:p w14:paraId="290A13B8" w14:textId="77777777" w:rsidR="00A574F7" w:rsidRPr="008A78CD" w:rsidRDefault="00A574F7" w:rsidP="00292935">
            <w:r w:rsidRPr="008A78CD">
              <w:t> </w:t>
            </w:r>
            <w:r w:rsidR="00292935">
              <w:t>–3</w:t>
            </w:r>
            <w:r w:rsidR="00292935" w:rsidRPr="008A78CD">
              <w:t>1</w:t>
            </w:r>
            <w:r w:rsidR="00292935">
              <w:t>4</w:t>
            </w:r>
            <w:r w:rsidR="00292935" w:rsidRPr="008A78CD">
              <w:t> </w:t>
            </w:r>
            <w:r w:rsidR="00292935">
              <w:t>6</w:t>
            </w:r>
            <w:r w:rsidR="00292935" w:rsidRPr="008A78CD">
              <w:t>79</w:t>
            </w:r>
          </w:p>
        </w:tc>
        <w:tc>
          <w:tcPr>
            <w:tcW w:w="756" w:type="pct"/>
            <w:tcBorders>
              <w:top w:val="outset" w:sz="6" w:space="0" w:color="auto"/>
              <w:left w:val="outset" w:sz="6" w:space="0" w:color="auto"/>
              <w:bottom w:val="outset" w:sz="6" w:space="0" w:color="auto"/>
              <w:right w:val="outset" w:sz="6" w:space="0" w:color="auto"/>
            </w:tcBorders>
            <w:hideMark/>
          </w:tcPr>
          <w:p w14:paraId="02A33CF2" w14:textId="77777777" w:rsidR="00A574F7" w:rsidRPr="008A78CD" w:rsidRDefault="00292935" w:rsidP="00292935">
            <w:r>
              <w:t> –3</w:t>
            </w:r>
            <w:r w:rsidRPr="008A78CD">
              <w:t>1</w:t>
            </w:r>
            <w:r>
              <w:t>4</w:t>
            </w:r>
            <w:r w:rsidRPr="008A78CD">
              <w:t> </w:t>
            </w:r>
            <w:r>
              <w:t>6</w:t>
            </w:r>
            <w:r w:rsidRPr="008A78CD">
              <w:t>79</w:t>
            </w:r>
          </w:p>
        </w:tc>
        <w:tc>
          <w:tcPr>
            <w:tcW w:w="787" w:type="pct"/>
            <w:tcBorders>
              <w:top w:val="outset" w:sz="6" w:space="0" w:color="auto"/>
              <w:left w:val="outset" w:sz="6" w:space="0" w:color="auto"/>
              <w:bottom w:val="outset" w:sz="6" w:space="0" w:color="auto"/>
              <w:right w:val="outset" w:sz="6" w:space="0" w:color="auto"/>
            </w:tcBorders>
            <w:hideMark/>
          </w:tcPr>
          <w:p w14:paraId="4B65B27E" w14:textId="77777777" w:rsidR="00A574F7" w:rsidRPr="008A78CD" w:rsidRDefault="00A574F7" w:rsidP="00292935">
            <w:r w:rsidRPr="008A78CD">
              <w:t> </w:t>
            </w:r>
            <w:r w:rsidR="00292935">
              <w:t>–3</w:t>
            </w:r>
            <w:r w:rsidR="00292935" w:rsidRPr="008A78CD">
              <w:t>1</w:t>
            </w:r>
            <w:r w:rsidR="00292935">
              <w:t>4</w:t>
            </w:r>
            <w:r w:rsidR="00292935" w:rsidRPr="008A78CD">
              <w:t> </w:t>
            </w:r>
            <w:r w:rsidR="00292935">
              <w:t>6</w:t>
            </w:r>
            <w:r w:rsidR="00292935" w:rsidRPr="008A78CD">
              <w:t>79</w:t>
            </w:r>
          </w:p>
        </w:tc>
      </w:tr>
      <w:tr w:rsidR="00A574F7" w:rsidRPr="008A78CD" w14:paraId="262EAA53" w14:textId="77777777"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14:paraId="42919B03" w14:textId="77777777" w:rsidR="00A574F7" w:rsidRPr="008A78CD" w:rsidRDefault="00A574F7" w:rsidP="00FF5D32">
            <w:pPr>
              <w:spacing w:after="120"/>
            </w:pPr>
            <w:r w:rsidRPr="008A78CD">
              <w:t>2.1. valsts pamatbudžets</w:t>
            </w:r>
          </w:p>
        </w:tc>
        <w:tc>
          <w:tcPr>
            <w:tcW w:w="751" w:type="pct"/>
            <w:tcBorders>
              <w:top w:val="outset" w:sz="6" w:space="0" w:color="auto"/>
              <w:left w:val="outset" w:sz="6" w:space="0" w:color="auto"/>
              <w:bottom w:val="outset" w:sz="6" w:space="0" w:color="auto"/>
              <w:right w:val="outset" w:sz="6" w:space="0" w:color="auto"/>
            </w:tcBorders>
            <w:hideMark/>
          </w:tcPr>
          <w:p w14:paraId="66F48F30" w14:textId="77777777" w:rsidR="00A574F7" w:rsidRPr="008A78CD" w:rsidRDefault="00002813" w:rsidP="00A574F7">
            <w:r w:rsidRPr="008A78CD">
              <w:t> </w:t>
            </w:r>
            <w:r w:rsidRPr="00002813">
              <w:t>4</w:t>
            </w:r>
            <w:r>
              <w:t> </w:t>
            </w:r>
            <w:r w:rsidRPr="00002813">
              <w:t>798</w:t>
            </w:r>
            <w:r>
              <w:t> </w:t>
            </w:r>
            <w:r w:rsidRPr="00002813">
              <w:t>792</w:t>
            </w:r>
          </w:p>
        </w:tc>
        <w:tc>
          <w:tcPr>
            <w:tcW w:w="610" w:type="pct"/>
            <w:tcBorders>
              <w:top w:val="outset" w:sz="6" w:space="0" w:color="auto"/>
              <w:left w:val="outset" w:sz="6" w:space="0" w:color="auto"/>
              <w:bottom w:val="outset" w:sz="6" w:space="0" w:color="auto"/>
              <w:right w:val="outset" w:sz="6" w:space="0" w:color="auto"/>
            </w:tcBorders>
            <w:hideMark/>
          </w:tcPr>
          <w:p w14:paraId="4F26211E" w14:textId="2B59EEFE" w:rsidR="00941C39" w:rsidRPr="008A78CD" w:rsidRDefault="00A574F7" w:rsidP="00B94810">
            <w:r w:rsidRPr="008A78CD">
              <w:t> </w:t>
            </w:r>
            <w:r w:rsidR="00292935">
              <w:t>–</w:t>
            </w:r>
            <w:r w:rsidR="00B94810">
              <w:t>677 923</w:t>
            </w:r>
          </w:p>
        </w:tc>
        <w:tc>
          <w:tcPr>
            <w:tcW w:w="756" w:type="pct"/>
            <w:tcBorders>
              <w:top w:val="outset" w:sz="6" w:space="0" w:color="auto"/>
              <w:left w:val="outset" w:sz="6" w:space="0" w:color="auto"/>
              <w:bottom w:val="outset" w:sz="6" w:space="0" w:color="auto"/>
              <w:right w:val="outset" w:sz="6" w:space="0" w:color="auto"/>
            </w:tcBorders>
            <w:hideMark/>
          </w:tcPr>
          <w:p w14:paraId="04D15F55" w14:textId="77777777" w:rsidR="00A574F7" w:rsidRPr="008A78CD" w:rsidRDefault="00292935" w:rsidP="00292935">
            <w:r>
              <w:t> –3</w:t>
            </w:r>
            <w:r w:rsidRPr="008A78CD">
              <w:t>1</w:t>
            </w:r>
            <w:r>
              <w:t>4</w:t>
            </w:r>
            <w:r w:rsidRPr="008A78CD">
              <w:t> </w:t>
            </w:r>
            <w:r>
              <w:t>6</w:t>
            </w:r>
            <w:r w:rsidRPr="008A78CD">
              <w:t>79</w:t>
            </w:r>
          </w:p>
        </w:tc>
        <w:tc>
          <w:tcPr>
            <w:tcW w:w="756" w:type="pct"/>
            <w:tcBorders>
              <w:top w:val="outset" w:sz="6" w:space="0" w:color="auto"/>
              <w:left w:val="outset" w:sz="6" w:space="0" w:color="auto"/>
              <w:bottom w:val="outset" w:sz="6" w:space="0" w:color="auto"/>
              <w:right w:val="outset" w:sz="6" w:space="0" w:color="auto"/>
            </w:tcBorders>
            <w:hideMark/>
          </w:tcPr>
          <w:p w14:paraId="6F42F4C7" w14:textId="77777777" w:rsidR="00A574F7" w:rsidRPr="008A78CD" w:rsidRDefault="00292935" w:rsidP="00292935">
            <w:r>
              <w:t> –3</w:t>
            </w:r>
            <w:r w:rsidRPr="008A78CD">
              <w:t>1</w:t>
            </w:r>
            <w:r>
              <w:t>4</w:t>
            </w:r>
            <w:r w:rsidRPr="008A78CD">
              <w:t> </w:t>
            </w:r>
            <w:r>
              <w:t>6</w:t>
            </w:r>
            <w:r w:rsidRPr="008A78CD">
              <w:t>79</w:t>
            </w:r>
          </w:p>
        </w:tc>
        <w:tc>
          <w:tcPr>
            <w:tcW w:w="787" w:type="pct"/>
            <w:tcBorders>
              <w:top w:val="outset" w:sz="6" w:space="0" w:color="auto"/>
              <w:left w:val="outset" w:sz="6" w:space="0" w:color="auto"/>
              <w:bottom w:val="outset" w:sz="6" w:space="0" w:color="auto"/>
              <w:right w:val="outset" w:sz="6" w:space="0" w:color="auto"/>
            </w:tcBorders>
            <w:hideMark/>
          </w:tcPr>
          <w:p w14:paraId="76B55945" w14:textId="77777777" w:rsidR="00A574F7" w:rsidRPr="008A78CD" w:rsidRDefault="00A574F7" w:rsidP="00292935">
            <w:r w:rsidRPr="008A78CD">
              <w:t> </w:t>
            </w:r>
            <w:r w:rsidR="00292935">
              <w:t>–3</w:t>
            </w:r>
            <w:r w:rsidR="00292935" w:rsidRPr="008A78CD">
              <w:t>1</w:t>
            </w:r>
            <w:r w:rsidR="00292935">
              <w:t>4</w:t>
            </w:r>
            <w:r w:rsidR="00292935" w:rsidRPr="008A78CD">
              <w:t> </w:t>
            </w:r>
            <w:r w:rsidR="00292935">
              <w:t>6</w:t>
            </w:r>
            <w:r w:rsidR="00292935" w:rsidRPr="008A78CD">
              <w:t>79</w:t>
            </w:r>
          </w:p>
        </w:tc>
      </w:tr>
      <w:tr w:rsidR="00A574F7" w:rsidRPr="008A78CD" w14:paraId="71371A6B" w14:textId="77777777"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14:paraId="6748E82C" w14:textId="77777777" w:rsidR="00A574F7" w:rsidRPr="008A78CD" w:rsidRDefault="00A574F7" w:rsidP="00FF5D32">
            <w:pPr>
              <w:spacing w:after="120"/>
            </w:pPr>
            <w:r w:rsidRPr="008A78CD">
              <w:lastRenderedPageBreak/>
              <w:t>2.2. valsts speciālais budžets</w:t>
            </w:r>
          </w:p>
        </w:tc>
        <w:tc>
          <w:tcPr>
            <w:tcW w:w="751" w:type="pct"/>
            <w:tcBorders>
              <w:top w:val="outset" w:sz="6" w:space="0" w:color="auto"/>
              <w:left w:val="outset" w:sz="6" w:space="0" w:color="auto"/>
              <w:bottom w:val="outset" w:sz="6" w:space="0" w:color="auto"/>
              <w:right w:val="outset" w:sz="6" w:space="0" w:color="auto"/>
            </w:tcBorders>
            <w:hideMark/>
          </w:tcPr>
          <w:p w14:paraId="72FFDEC3" w14:textId="77777777" w:rsidR="00A574F7" w:rsidRPr="008A78CD" w:rsidRDefault="00A574F7" w:rsidP="00A574F7">
            <w:r w:rsidRPr="008A78CD">
              <w:t> -</w:t>
            </w:r>
          </w:p>
        </w:tc>
        <w:tc>
          <w:tcPr>
            <w:tcW w:w="610" w:type="pct"/>
            <w:tcBorders>
              <w:top w:val="outset" w:sz="6" w:space="0" w:color="auto"/>
              <w:left w:val="outset" w:sz="6" w:space="0" w:color="auto"/>
              <w:bottom w:val="outset" w:sz="6" w:space="0" w:color="auto"/>
              <w:right w:val="outset" w:sz="6" w:space="0" w:color="auto"/>
            </w:tcBorders>
            <w:hideMark/>
          </w:tcPr>
          <w:p w14:paraId="5D11C591" w14:textId="77777777"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14:paraId="0DD526B8" w14:textId="77777777"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14:paraId="453B088E" w14:textId="77777777" w:rsidR="00A574F7" w:rsidRPr="008A78CD" w:rsidRDefault="00A574F7" w:rsidP="00A574F7">
            <w:r w:rsidRPr="008A78CD">
              <w:t> -</w:t>
            </w:r>
          </w:p>
        </w:tc>
        <w:tc>
          <w:tcPr>
            <w:tcW w:w="787" w:type="pct"/>
            <w:tcBorders>
              <w:top w:val="outset" w:sz="6" w:space="0" w:color="auto"/>
              <w:left w:val="outset" w:sz="6" w:space="0" w:color="auto"/>
              <w:bottom w:val="outset" w:sz="6" w:space="0" w:color="auto"/>
              <w:right w:val="outset" w:sz="6" w:space="0" w:color="auto"/>
            </w:tcBorders>
            <w:hideMark/>
          </w:tcPr>
          <w:p w14:paraId="04C413C5" w14:textId="77777777" w:rsidR="00A574F7" w:rsidRPr="008A78CD" w:rsidRDefault="00A574F7" w:rsidP="00A574F7">
            <w:r w:rsidRPr="008A78CD">
              <w:t> -</w:t>
            </w:r>
          </w:p>
        </w:tc>
      </w:tr>
      <w:tr w:rsidR="00A574F7" w:rsidRPr="008A78CD" w14:paraId="39A7CCFC" w14:textId="77777777"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14:paraId="69FD815D" w14:textId="77777777" w:rsidR="00A574F7" w:rsidRPr="008A78CD" w:rsidRDefault="00A574F7" w:rsidP="00FF5D32">
            <w:pPr>
              <w:spacing w:after="120"/>
            </w:pPr>
            <w:r w:rsidRPr="008A78CD">
              <w:t>2.3. pašvaldību budžets</w:t>
            </w:r>
          </w:p>
        </w:tc>
        <w:tc>
          <w:tcPr>
            <w:tcW w:w="751" w:type="pct"/>
            <w:tcBorders>
              <w:top w:val="outset" w:sz="6" w:space="0" w:color="auto"/>
              <w:left w:val="outset" w:sz="6" w:space="0" w:color="auto"/>
              <w:bottom w:val="outset" w:sz="6" w:space="0" w:color="auto"/>
              <w:right w:val="outset" w:sz="6" w:space="0" w:color="auto"/>
            </w:tcBorders>
            <w:hideMark/>
          </w:tcPr>
          <w:p w14:paraId="3D58CEC9" w14:textId="77777777" w:rsidR="00A574F7" w:rsidRPr="008A78CD" w:rsidRDefault="00A574F7" w:rsidP="00A574F7">
            <w:r w:rsidRPr="008A78CD">
              <w:t> -</w:t>
            </w:r>
          </w:p>
        </w:tc>
        <w:tc>
          <w:tcPr>
            <w:tcW w:w="610" w:type="pct"/>
            <w:tcBorders>
              <w:top w:val="outset" w:sz="6" w:space="0" w:color="auto"/>
              <w:left w:val="outset" w:sz="6" w:space="0" w:color="auto"/>
              <w:bottom w:val="outset" w:sz="6" w:space="0" w:color="auto"/>
              <w:right w:val="outset" w:sz="6" w:space="0" w:color="auto"/>
            </w:tcBorders>
            <w:hideMark/>
          </w:tcPr>
          <w:p w14:paraId="1301D47B" w14:textId="77777777"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14:paraId="484135E5" w14:textId="77777777"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14:paraId="08BD6969" w14:textId="77777777" w:rsidR="00A574F7" w:rsidRPr="008A78CD" w:rsidRDefault="00A574F7" w:rsidP="00A574F7">
            <w:r w:rsidRPr="008A78CD">
              <w:t> -</w:t>
            </w:r>
          </w:p>
        </w:tc>
        <w:tc>
          <w:tcPr>
            <w:tcW w:w="787" w:type="pct"/>
            <w:tcBorders>
              <w:top w:val="outset" w:sz="6" w:space="0" w:color="auto"/>
              <w:left w:val="outset" w:sz="6" w:space="0" w:color="auto"/>
              <w:bottom w:val="outset" w:sz="6" w:space="0" w:color="auto"/>
              <w:right w:val="outset" w:sz="6" w:space="0" w:color="auto"/>
            </w:tcBorders>
            <w:hideMark/>
          </w:tcPr>
          <w:p w14:paraId="6581A51A" w14:textId="77777777" w:rsidR="00A574F7" w:rsidRPr="008A78CD" w:rsidRDefault="00A574F7" w:rsidP="00A574F7">
            <w:r w:rsidRPr="008A78CD">
              <w:t> -</w:t>
            </w:r>
          </w:p>
        </w:tc>
      </w:tr>
      <w:tr w:rsidR="00A574F7" w:rsidRPr="008A78CD" w14:paraId="760BDFF1" w14:textId="77777777"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14:paraId="756FA0A8" w14:textId="77777777" w:rsidR="00A574F7" w:rsidRPr="008A78CD" w:rsidRDefault="00A574F7" w:rsidP="00FF5D32">
            <w:pPr>
              <w:spacing w:after="120"/>
            </w:pPr>
            <w:r w:rsidRPr="008A78CD">
              <w:t>3. Finansiālā ietekme:</w:t>
            </w:r>
          </w:p>
        </w:tc>
        <w:tc>
          <w:tcPr>
            <w:tcW w:w="751" w:type="pct"/>
            <w:tcBorders>
              <w:top w:val="outset" w:sz="6" w:space="0" w:color="auto"/>
              <w:left w:val="outset" w:sz="6" w:space="0" w:color="auto"/>
              <w:bottom w:val="outset" w:sz="6" w:space="0" w:color="auto"/>
              <w:right w:val="outset" w:sz="6" w:space="0" w:color="auto"/>
            </w:tcBorders>
            <w:vAlign w:val="center"/>
            <w:hideMark/>
          </w:tcPr>
          <w:p w14:paraId="56734750" w14:textId="77777777" w:rsidR="00A574F7" w:rsidRPr="00AC77F5" w:rsidRDefault="00002813" w:rsidP="00A574F7">
            <w:r w:rsidRPr="00AC77F5">
              <w:t> </w:t>
            </w:r>
            <w:r w:rsidR="00051635" w:rsidRPr="00AC77F5">
              <w:t>-</w:t>
            </w:r>
            <w:r w:rsidR="006C6C85" w:rsidRPr="00AC77F5">
              <w:t>500 000</w:t>
            </w:r>
          </w:p>
        </w:tc>
        <w:tc>
          <w:tcPr>
            <w:tcW w:w="610" w:type="pct"/>
            <w:tcBorders>
              <w:top w:val="outset" w:sz="6" w:space="0" w:color="auto"/>
              <w:left w:val="outset" w:sz="6" w:space="0" w:color="auto"/>
              <w:bottom w:val="outset" w:sz="6" w:space="0" w:color="auto"/>
              <w:right w:val="outset" w:sz="6" w:space="0" w:color="auto"/>
            </w:tcBorders>
            <w:hideMark/>
          </w:tcPr>
          <w:p w14:paraId="1F83B2B0" w14:textId="77777777" w:rsidR="00A574F7" w:rsidRPr="008A78CD" w:rsidRDefault="00002813" w:rsidP="00002813">
            <w:r>
              <w:t> </w:t>
            </w:r>
            <w:r w:rsidR="00A574F7" w:rsidRPr="008A78CD">
              <w:t>0</w:t>
            </w:r>
          </w:p>
        </w:tc>
        <w:tc>
          <w:tcPr>
            <w:tcW w:w="756" w:type="pct"/>
            <w:tcBorders>
              <w:top w:val="outset" w:sz="6" w:space="0" w:color="auto"/>
              <w:left w:val="outset" w:sz="6" w:space="0" w:color="auto"/>
              <w:bottom w:val="outset" w:sz="6" w:space="0" w:color="auto"/>
              <w:right w:val="outset" w:sz="6" w:space="0" w:color="auto"/>
            </w:tcBorders>
            <w:hideMark/>
          </w:tcPr>
          <w:p w14:paraId="1A6ACFA0" w14:textId="77777777" w:rsidR="00A574F7" w:rsidRPr="008A78CD" w:rsidRDefault="00002813" w:rsidP="00002813">
            <w:r>
              <w:t> </w:t>
            </w:r>
            <w:r w:rsidR="00A574F7" w:rsidRPr="008A78CD">
              <w:t>0</w:t>
            </w:r>
          </w:p>
        </w:tc>
        <w:tc>
          <w:tcPr>
            <w:tcW w:w="756" w:type="pct"/>
            <w:tcBorders>
              <w:top w:val="outset" w:sz="6" w:space="0" w:color="auto"/>
              <w:left w:val="outset" w:sz="6" w:space="0" w:color="auto"/>
              <w:bottom w:val="outset" w:sz="6" w:space="0" w:color="auto"/>
              <w:right w:val="outset" w:sz="6" w:space="0" w:color="auto"/>
            </w:tcBorders>
            <w:hideMark/>
          </w:tcPr>
          <w:p w14:paraId="0EABDDC2" w14:textId="77777777" w:rsidR="00A574F7" w:rsidRPr="008A78CD" w:rsidRDefault="00A574F7" w:rsidP="00A574F7">
            <w:r w:rsidRPr="008A78CD">
              <w:t> 0</w:t>
            </w:r>
          </w:p>
        </w:tc>
        <w:tc>
          <w:tcPr>
            <w:tcW w:w="787" w:type="pct"/>
            <w:tcBorders>
              <w:top w:val="outset" w:sz="6" w:space="0" w:color="auto"/>
              <w:left w:val="outset" w:sz="6" w:space="0" w:color="auto"/>
              <w:bottom w:val="outset" w:sz="6" w:space="0" w:color="auto"/>
              <w:right w:val="outset" w:sz="6" w:space="0" w:color="auto"/>
            </w:tcBorders>
            <w:hideMark/>
          </w:tcPr>
          <w:p w14:paraId="72670A87" w14:textId="77777777" w:rsidR="00A574F7" w:rsidRPr="008A78CD" w:rsidRDefault="00A574F7" w:rsidP="00A574F7">
            <w:r w:rsidRPr="008A78CD">
              <w:t> 0</w:t>
            </w:r>
          </w:p>
        </w:tc>
      </w:tr>
      <w:tr w:rsidR="00A574F7" w:rsidRPr="008A78CD" w14:paraId="3A5F18F1" w14:textId="77777777"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14:paraId="409B06FA" w14:textId="77777777" w:rsidR="00A574F7" w:rsidRPr="008A78CD" w:rsidRDefault="00A574F7" w:rsidP="00FF5D32">
            <w:pPr>
              <w:spacing w:after="120"/>
            </w:pPr>
            <w:r w:rsidRPr="00AC77F5">
              <w:t>3.1. valsts pamatbudžets</w:t>
            </w:r>
            <w:r w:rsidR="006C6C85" w:rsidRPr="00AC77F5">
              <w:t xml:space="preserve"> (atlikums)</w:t>
            </w:r>
          </w:p>
        </w:tc>
        <w:tc>
          <w:tcPr>
            <w:tcW w:w="751" w:type="pct"/>
            <w:tcBorders>
              <w:top w:val="outset" w:sz="6" w:space="0" w:color="auto"/>
              <w:left w:val="outset" w:sz="6" w:space="0" w:color="auto"/>
              <w:bottom w:val="outset" w:sz="6" w:space="0" w:color="auto"/>
              <w:right w:val="outset" w:sz="6" w:space="0" w:color="auto"/>
            </w:tcBorders>
            <w:hideMark/>
          </w:tcPr>
          <w:p w14:paraId="16678A5A" w14:textId="77777777" w:rsidR="00A574F7" w:rsidRPr="00AC77F5" w:rsidRDefault="00A574F7" w:rsidP="006C6C85">
            <w:r w:rsidRPr="00AC77F5">
              <w:t> </w:t>
            </w:r>
            <w:r w:rsidR="00051635" w:rsidRPr="00AC77F5">
              <w:t>-</w:t>
            </w:r>
            <w:r w:rsidR="006C6C85" w:rsidRPr="00AC77F5">
              <w:t>500 000</w:t>
            </w:r>
          </w:p>
        </w:tc>
        <w:tc>
          <w:tcPr>
            <w:tcW w:w="610" w:type="pct"/>
            <w:tcBorders>
              <w:top w:val="outset" w:sz="6" w:space="0" w:color="auto"/>
              <w:left w:val="outset" w:sz="6" w:space="0" w:color="auto"/>
              <w:bottom w:val="outset" w:sz="6" w:space="0" w:color="auto"/>
              <w:right w:val="outset" w:sz="6" w:space="0" w:color="auto"/>
            </w:tcBorders>
            <w:hideMark/>
          </w:tcPr>
          <w:p w14:paraId="1D3356E5" w14:textId="77777777" w:rsidR="00A574F7" w:rsidRPr="008A78CD" w:rsidRDefault="00002813" w:rsidP="00002813">
            <w:r>
              <w:t> </w:t>
            </w:r>
            <w:r w:rsidR="00A574F7" w:rsidRPr="008A78CD">
              <w:t>0</w:t>
            </w:r>
          </w:p>
        </w:tc>
        <w:tc>
          <w:tcPr>
            <w:tcW w:w="756" w:type="pct"/>
            <w:tcBorders>
              <w:top w:val="outset" w:sz="6" w:space="0" w:color="auto"/>
              <w:left w:val="outset" w:sz="6" w:space="0" w:color="auto"/>
              <w:bottom w:val="outset" w:sz="6" w:space="0" w:color="auto"/>
              <w:right w:val="outset" w:sz="6" w:space="0" w:color="auto"/>
            </w:tcBorders>
            <w:hideMark/>
          </w:tcPr>
          <w:p w14:paraId="55994B82" w14:textId="77777777" w:rsidR="00A574F7" w:rsidRPr="008A78CD" w:rsidRDefault="00A574F7" w:rsidP="00A574F7">
            <w:r w:rsidRPr="008A78CD">
              <w:t> 0</w:t>
            </w:r>
          </w:p>
        </w:tc>
        <w:tc>
          <w:tcPr>
            <w:tcW w:w="756" w:type="pct"/>
            <w:tcBorders>
              <w:top w:val="outset" w:sz="6" w:space="0" w:color="auto"/>
              <w:left w:val="outset" w:sz="6" w:space="0" w:color="auto"/>
              <w:bottom w:val="outset" w:sz="6" w:space="0" w:color="auto"/>
              <w:right w:val="outset" w:sz="6" w:space="0" w:color="auto"/>
            </w:tcBorders>
            <w:hideMark/>
          </w:tcPr>
          <w:p w14:paraId="74F29C88" w14:textId="77777777" w:rsidR="00A574F7" w:rsidRPr="008A78CD" w:rsidRDefault="00A574F7" w:rsidP="00A574F7">
            <w:r w:rsidRPr="008A78CD">
              <w:t> 0</w:t>
            </w:r>
          </w:p>
        </w:tc>
        <w:tc>
          <w:tcPr>
            <w:tcW w:w="787" w:type="pct"/>
            <w:tcBorders>
              <w:top w:val="outset" w:sz="6" w:space="0" w:color="auto"/>
              <w:left w:val="outset" w:sz="6" w:space="0" w:color="auto"/>
              <w:bottom w:val="outset" w:sz="6" w:space="0" w:color="auto"/>
              <w:right w:val="outset" w:sz="6" w:space="0" w:color="auto"/>
            </w:tcBorders>
            <w:hideMark/>
          </w:tcPr>
          <w:p w14:paraId="1A6BF33D" w14:textId="77777777" w:rsidR="00A574F7" w:rsidRPr="008A78CD" w:rsidRDefault="00A574F7" w:rsidP="00A574F7">
            <w:r w:rsidRPr="008A78CD">
              <w:t> 0</w:t>
            </w:r>
          </w:p>
        </w:tc>
      </w:tr>
      <w:tr w:rsidR="00A574F7" w:rsidRPr="008A78CD" w14:paraId="28AB7EFE" w14:textId="77777777"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14:paraId="6D4CAEB7" w14:textId="77777777" w:rsidR="00A574F7" w:rsidRPr="008A78CD" w:rsidRDefault="00A574F7" w:rsidP="00FF5D32">
            <w:pPr>
              <w:spacing w:after="120"/>
            </w:pPr>
            <w:r w:rsidRPr="008A78CD">
              <w:t>3.2. speciālais budžets</w:t>
            </w:r>
          </w:p>
        </w:tc>
        <w:tc>
          <w:tcPr>
            <w:tcW w:w="751" w:type="pct"/>
            <w:tcBorders>
              <w:top w:val="outset" w:sz="6" w:space="0" w:color="auto"/>
              <w:left w:val="outset" w:sz="6" w:space="0" w:color="auto"/>
              <w:bottom w:val="outset" w:sz="6" w:space="0" w:color="auto"/>
              <w:right w:val="outset" w:sz="6" w:space="0" w:color="auto"/>
            </w:tcBorders>
            <w:hideMark/>
          </w:tcPr>
          <w:p w14:paraId="31D7822A" w14:textId="77777777" w:rsidR="00A574F7" w:rsidRPr="008A78CD" w:rsidRDefault="00A574F7" w:rsidP="00A574F7">
            <w:r w:rsidRPr="008A78CD">
              <w:t> -</w:t>
            </w:r>
          </w:p>
        </w:tc>
        <w:tc>
          <w:tcPr>
            <w:tcW w:w="610" w:type="pct"/>
            <w:tcBorders>
              <w:top w:val="outset" w:sz="6" w:space="0" w:color="auto"/>
              <w:left w:val="outset" w:sz="6" w:space="0" w:color="auto"/>
              <w:bottom w:val="outset" w:sz="6" w:space="0" w:color="auto"/>
              <w:right w:val="outset" w:sz="6" w:space="0" w:color="auto"/>
            </w:tcBorders>
            <w:hideMark/>
          </w:tcPr>
          <w:p w14:paraId="33A95D73" w14:textId="77777777"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14:paraId="0372D69A" w14:textId="77777777"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14:paraId="679F92E8" w14:textId="77777777" w:rsidR="00A574F7" w:rsidRPr="008A78CD" w:rsidRDefault="00A574F7" w:rsidP="00A574F7">
            <w:r w:rsidRPr="008A78CD">
              <w:t> -</w:t>
            </w:r>
          </w:p>
        </w:tc>
        <w:tc>
          <w:tcPr>
            <w:tcW w:w="787" w:type="pct"/>
            <w:tcBorders>
              <w:top w:val="outset" w:sz="6" w:space="0" w:color="auto"/>
              <w:left w:val="outset" w:sz="6" w:space="0" w:color="auto"/>
              <w:bottom w:val="outset" w:sz="6" w:space="0" w:color="auto"/>
              <w:right w:val="outset" w:sz="6" w:space="0" w:color="auto"/>
            </w:tcBorders>
            <w:hideMark/>
          </w:tcPr>
          <w:p w14:paraId="6FD3BAA0" w14:textId="77777777" w:rsidR="00A574F7" w:rsidRPr="008A78CD" w:rsidRDefault="00A574F7" w:rsidP="00A574F7">
            <w:r w:rsidRPr="008A78CD">
              <w:t> -</w:t>
            </w:r>
          </w:p>
        </w:tc>
      </w:tr>
      <w:tr w:rsidR="00A574F7" w:rsidRPr="008A78CD" w14:paraId="087F2024" w14:textId="77777777"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14:paraId="56339B48" w14:textId="77777777" w:rsidR="00A574F7" w:rsidRPr="008A78CD" w:rsidRDefault="00A574F7" w:rsidP="00FF5D32">
            <w:pPr>
              <w:spacing w:after="120"/>
            </w:pPr>
            <w:r w:rsidRPr="008A78CD">
              <w:t>3.3. pašvaldību budžets</w:t>
            </w:r>
          </w:p>
        </w:tc>
        <w:tc>
          <w:tcPr>
            <w:tcW w:w="751" w:type="pct"/>
            <w:tcBorders>
              <w:top w:val="outset" w:sz="6" w:space="0" w:color="auto"/>
              <w:left w:val="outset" w:sz="6" w:space="0" w:color="auto"/>
              <w:bottom w:val="outset" w:sz="6" w:space="0" w:color="auto"/>
              <w:right w:val="outset" w:sz="6" w:space="0" w:color="auto"/>
            </w:tcBorders>
            <w:hideMark/>
          </w:tcPr>
          <w:p w14:paraId="14D8FE2A" w14:textId="77777777" w:rsidR="00A574F7" w:rsidRPr="008A78CD" w:rsidRDefault="00A574F7" w:rsidP="00A574F7">
            <w:r w:rsidRPr="008A78CD">
              <w:t> -</w:t>
            </w:r>
          </w:p>
        </w:tc>
        <w:tc>
          <w:tcPr>
            <w:tcW w:w="610" w:type="pct"/>
            <w:tcBorders>
              <w:top w:val="outset" w:sz="6" w:space="0" w:color="auto"/>
              <w:left w:val="outset" w:sz="6" w:space="0" w:color="auto"/>
              <w:bottom w:val="outset" w:sz="6" w:space="0" w:color="auto"/>
              <w:right w:val="outset" w:sz="6" w:space="0" w:color="auto"/>
            </w:tcBorders>
            <w:hideMark/>
          </w:tcPr>
          <w:p w14:paraId="639B3F0A" w14:textId="77777777"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14:paraId="55CE3BCC" w14:textId="77777777"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14:paraId="63D8E0CA" w14:textId="77777777" w:rsidR="00A574F7" w:rsidRPr="008A78CD" w:rsidRDefault="00A574F7" w:rsidP="00A574F7">
            <w:r w:rsidRPr="008A78CD">
              <w:t> -</w:t>
            </w:r>
          </w:p>
        </w:tc>
        <w:tc>
          <w:tcPr>
            <w:tcW w:w="787" w:type="pct"/>
            <w:tcBorders>
              <w:top w:val="outset" w:sz="6" w:space="0" w:color="auto"/>
              <w:left w:val="outset" w:sz="6" w:space="0" w:color="auto"/>
              <w:bottom w:val="outset" w:sz="6" w:space="0" w:color="auto"/>
              <w:right w:val="outset" w:sz="6" w:space="0" w:color="auto"/>
            </w:tcBorders>
            <w:hideMark/>
          </w:tcPr>
          <w:p w14:paraId="1234A3DD" w14:textId="77777777" w:rsidR="00A574F7" w:rsidRPr="008A78CD" w:rsidRDefault="00A574F7" w:rsidP="00A574F7">
            <w:r w:rsidRPr="008A78CD">
              <w:t> -</w:t>
            </w:r>
          </w:p>
        </w:tc>
      </w:tr>
      <w:tr w:rsidR="00A574F7" w:rsidRPr="008A78CD" w14:paraId="57AAE969" w14:textId="77777777" w:rsidTr="00281B49">
        <w:trPr>
          <w:tblCellSpacing w:w="15" w:type="dxa"/>
          <w:jc w:val="center"/>
        </w:trPr>
        <w:tc>
          <w:tcPr>
            <w:tcW w:w="1223" w:type="pct"/>
            <w:vMerge w:val="restart"/>
            <w:tcBorders>
              <w:top w:val="outset" w:sz="6" w:space="0" w:color="auto"/>
              <w:left w:val="outset" w:sz="6" w:space="0" w:color="auto"/>
              <w:bottom w:val="outset" w:sz="6" w:space="0" w:color="auto"/>
              <w:right w:val="outset" w:sz="6" w:space="0" w:color="auto"/>
            </w:tcBorders>
            <w:hideMark/>
          </w:tcPr>
          <w:p w14:paraId="1000CA2A" w14:textId="77777777" w:rsidR="00A574F7" w:rsidRPr="008A78CD" w:rsidRDefault="00A574F7" w:rsidP="00FF5D32">
            <w:pPr>
              <w:spacing w:after="120"/>
            </w:pPr>
            <w:r w:rsidRPr="008A78CD">
              <w:t>4. Finanšu līdzekļi papildu izdevumu finansēšanai (kompensējošu izdevumu samazinājumu norāda ar "+" zīmi)</w:t>
            </w:r>
          </w:p>
        </w:tc>
        <w:tc>
          <w:tcPr>
            <w:tcW w:w="751" w:type="pct"/>
            <w:vMerge w:val="restart"/>
            <w:tcBorders>
              <w:top w:val="outset" w:sz="6" w:space="0" w:color="auto"/>
              <w:left w:val="outset" w:sz="6" w:space="0" w:color="auto"/>
              <w:bottom w:val="outset" w:sz="6" w:space="0" w:color="auto"/>
              <w:right w:val="outset" w:sz="6" w:space="0" w:color="auto"/>
            </w:tcBorders>
            <w:hideMark/>
          </w:tcPr>
          <w:p w14:paraId="095872DF" w14:textId="77777777" w:rsidR="00A574F7" w:rsidRPr="008A78CD" w:rsidRDefault="00A574F7" w:rsidP="00A574F7">
            <w:pPr>
              <w:ind w:firstLine="300"/>
              <w:jc w:val="center"/>
            </w:pPr>
            <w:r w:rsidRPr="008A78CD">
              <w:t>X</w:t>
            </w:r>
          </w:p>
        </w:tc>
        <w:tc>
          <w:tcPr>
            <w:tcW w:w="610" w:type="pct"/>
            <w:tcBorders>
              <w:top w:val="outset" w:sz="6" w:space="0" w:color="auto"/>
              <w:left w:val="outset" w:sz="6" w:space="0" w:color="auto"/>
              <w:bottom w:val="outset" w:sz="6" w:space="0" w:color="auto"/>
              <w:right w:val="outset" w:sz="6" w:space="0" w:color="auto"/>
            </w:tcBorders>
            <w:hideMark/>
          </w:tcPr>
          <w:p w14:paraId="213B7EAD" w14:textId="77777777"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14:paraId="02776607" w14:textId="77777777"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14:paraId="3991D058" w14:textId="77777777" w:rsidR="00A574F7" w:rsidRPr="008A78CD" w:rsidRDefault="00A574F7" w:rsidP="00A574F7">
            <w:r w:rsidRPr="008A78CD">
              <w:t> -</w:t>
            </w:r>
          </w:p>
        </w:tc>
        <w:tc>
          <w:tcPr>
            <w:tcW w:w="787" w:type="pct"/>
            <w:tcBorders>
              <w:top w:val="outset" w:sz="6" w:space="0" w:color="auto"/>
              <w:left w:val="outset" w:sz="6" w:space="0" w:color="auto"/>
              <w:bottom w:val="outset" w:sz="6" w:space="0" w:color="auto"/>
              <w:right w:val="outset" w:sz="6" w:space="0" w:color="auto"/>
            </w:tcBorders>
            <w:hideMark/>
          </w:tcPr>
          <w:p w14:paraId="29F2837C" w14:textId="77777777" w:rsidR="00A574F7" w:rsidRPr="008A78CD" w:rsidRDefault="00A574F7" w:rsidP="00A574F7">
            <w:r w:rsidRPr="008A78CD">
              <w:t> -</w:t>
            </w:r>
          </w:p>
        </w:tc>
      </w:tr>
      <w:tr w:rsidR="00A574F7" w:rsidRPr="008A78CD" w14:paraId="33040740" w14:textId="77777777" w:rsidTr="00281B49">
        <w:trPr>
          <w:tblCellSpacing w:w="15" w:type="dxa"/>
          <w:jc w:val="center"/>
        </w:trPr>
        <w:tc>
          <w:tcPr>
            <w:tcW w:w="1223" w:type="pct"/>
            <w:vMerge/>
            <w:tcBorders>
              <w:top w:val="outset" w:sz="6" w:space="0" w:color="auto"/>
              <w:left w:val="outset" w:sz="6" w:space="0" w:color="auto"/>
              <w:bottom w:val="outset" w:sz="6" w:space="0" w:color="auto"/>
              <w:right w:val="outset" w:sz="6" w:space="0" w:color="auto"/>
            </w:tcBorders>
            <w:vAlign w:val="center"/>
            <w:hideMark/>
          </w:tcPr>
          <w:p w14:paraId="52C95848" w14:textId="77777777" w:rsidR="00A574F7" w:rsidRPr="008A78CD" w:rsidRDefault="00A574F7" w:rsidP="00A574F7"/>
        </w:tc>
        <w:tc>
          <w:tcPr>
            <w:tcW w:w="751" w:type="pct"/>
            <w:vMerge/>
            <w:tcBorders>
              <w:top w:val="outset" w:sz="6" w:space="0" w:color="auto"/>
              <w:left w:val="outset" w:sz="6" w:space="0" w:color="auto"/>
              <w:bottom w:val="outset" w:sz="6" w:space="0" w:color="auto"/>
              <w:right w:val="outset" w:sz="6" w:space="0" w:color="auto"/>
            </w:tcBorders>
            <w:vAlign w:val="center"/>
            <w:hideMark/>
          </w:tcPr>
          <w:p w14:paraId="114C94A8" w14:textId="77777777" w:rsidR="00A574F7" w:rsidRPr="008A78CD" w:rsidRDefault="00A574F7" w:rsidP="00A574F7">
            <w:pPr>
              <w:jc w:val="center"/>
            </w:pPr>
          </w:p>
        </w:tc>
        <w:tc>
          <w:tcPr>
            <w:tcW w:w="610" w:type="pct"/>
            <w:tcBorders>
              <w:top w:val="outset" w:sz="6" w:space="0" w:color="auto"/>
              <w:left w:val="outset" w:sz="6" w:space="0" w:color="auto"/>
              <w:bottom w:val="outset" w:sz="6" w:space="0" w:color="auto"/>
              <w:right w:val="outset" w:sz="6" w:space="0" w:color="auto"/>
            </w:tcBorders>
            <w:hideMark/>
          </w:tcPr>
          <w:p w14:paraId="41EFA3FC" w14:textId="77777777"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14:paraId="2172C1CE" w14:textId="77777777"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14:paraId="4A81CBB6" w14:textId="77777777" w:rsidR="00A574F7" w:rsidRPr="008A78CD" w:rsidRDefault="00A574F7" w:rsidP="00A574F7">
            <w:r w:rsidRPr="008A78CD">
              <w:t> -</w:t>
            </w:r>
          </w:p>
        </w:tc>
        <w:tc>
          <w:tcPr>
            <w:tcW w:w="787" w:type="pct"/>
            <w:tcBorders>
              <w:top w:val="outset" w:sz="6" w:space="0" w:color="auto"/>
              <w:left w:val="outset" w:sz="6" w:space="0" w:color="auto"/>
              <w:bottom w:val="outset" w:sz="6" w:space="0" w:color="auto"/>
              <w:right w:val="outset" w:sz="6" w:space="0" w:color="auto"/>
            </w:tcBorders>
            <w:hideMark/>
          </w:tcPr>
          <w:p w14:paraId="7070D0B8" w14:textId="77777777" w:rsidR="00A574F7" w:rsidRPr="008A78CD" w:rsidRDefault="00A574F7" w:rsidP="00A574F7">
            <w:r w:rsidRPr="008A78CD">
              <w:t> -</w:t>
            </w:r>
          </w:p>
        </w:tc>
      </w:tr>
      <w:tr w:rsidR="00A574F7" w:rsidRPr="008A78CD" w14:paraId="7A6026EA" w14:textId="77777777" w:rsidTr="00281B49">
        <w:trPr>
          <w:tblCellSpacing w:w="15" w:type="dxa"/>
          <w:jc w:val="center"/>
        </w:trPr>
        <w:tc>
          <w:tcPr>
            <w:tcW w:w="1223" w:type="pct"/>
            <w:vMerge/>
            <w:tcBorders>
              <w:top w:val="outset" w:sz="6" w:space="0" w:color="auto"/>
              <w:left w:val="outset" w:sz="6" w:space="0" w:color="auto"/>
              <w:bottom w:val="outset" w:sz="6" w:space="0" w:color="auto"/>
              <w:right w:val="outset" w:sz="6" w:space="0" w:color="auto"/>
            </w:tcBorders>
            <w:vAlign w:val="center"/>
            <w:hideMark/>
          </w:tcPr>
          <w:p w14:paraId="3C96E503" w14:textId="77777777" w:rsidR="00A574F7" w:rsidRPr="008A78CD" w:rsidRDefault="00A574F7" w:rsidP="00A574F7"/>
        </w:tc>
        <w:tc>
          <w:tcPr>
            <w:tcW w:w="751" w:type="pct"/>
            <w:vMerge/>
            <w:tcBorders>
              <w:top w:val="outset" w:sz="6" w:space="0" w:color="auto"/>
              <w:left w:val="outset" w:sz="6" w:space="0" w:color="auto"/>
              <w:bottom w:val="outset" w:sz="6" w:space="0" w:color="auto"/>
              <w:right w:val="outset" w:sz="6" w:space="0" w:color="auto"/>
            </w:tcBorders>
            <w:vAlign w:val="center"/>
            <w:hideMark/>
          </w:tcPr>
          <w:p w14:paraId="03DC77DD" w14:textId="77777777" w:rsidR="00A574F7" w:rsidRPr="008A78CD" w:rsidRDefault="00A574F7" w:rsidP="00A574F7">
            <w:pPr>
              <w:jc w:val="center"/>
            </w:pPr>
          </w:p>
        </w:tc>
        <w:tc>
          <w:tcPr>
            <w:tcW w:w="610" w:type="pct"/>
            <w:tcBorders>
              <w:top w:val="outset" w:sz="6" w:space="0" w:color="auto"/>
              <w:left w:val="outset" w:sz="6" w:space="0" w:color="auto"/>
              <w:bottom w:val="outset" w:sz="6" w:space="0" w:color="auto"/>
              <w:right w:val="outset" w:sz="6" w:space="0" w:color="auto"/>
            </w:tcBorders>
            <w:hideMark/>
          </w:tcPr>
          <w:p w14:paraId="3BEF0F9C" w14:textId="77777777"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14:paraId="5D36A199" w14:textId="77777777"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14:paraId="13E240D4" w14:textId="77777777" w:rsidR="00A574F7" w:rsidRPr="008A78CD" w:rsidRDefault="00A574F7" w:rsidP="00A574F7">
            <w:r w:rsidRPr="008A78CD">
              <w:t> -</w:t>
            </w:r>
          </w:p>
        </w:tc>
        <w:tc>
          <w:tcPr>
            <w:tcW w:w="787" w:type="pct"/>
            <w:tcBorders>
              <w:top w:val="outset" w:sz="6" w:space="0" w:color="auto"/>
              <w:left w:val="outset" w:sz="6" w:space="0" w:color="auto"/>
              <w:bottom w:val="outset" w:sz="6" w:space="0" w:color="auto"/>
              <w:right w:val="outset" w:sz="6" w:space="0" w:color="auto"/>
            </w:tcBorders>
            <w:hideMark/>
          </w:tcPr>
          <w:p w14:paraId="69DDBB1D" w14:textId="77777777" w:rsidR="00A574F7" w:rsidRPr="008A78CD" w:rsidRDefault="00A574F7" w:rsidP="00A574F7">
            <w:r w:rsidRPr="008A78CD">
              <w:t> -</w:t>
            </w:r>
          </w:p>
        </w:tc>
      </w:tr>
      <w:tr w:rsidR="00A574F7" w:rsidRPr="008A78CD" w14:paraId="50A78697" w14:textId="77777777"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14:paraId="55C1E7FA" w14:textId="77777777" w:rsidR="00A574F7" w:rsidRPr="008A78CD" w:rsidRDefault="00A574F7" w:rsidP="00FF5D32">
            <w:pPr>
              <w:spacing w:after="120"/>
            </w:pPr>
            <w:r w:rsidRPr="008A78CD">
              <w:t>5. Precizēta finansiālā ietekme:</w:t>
            </w:r>
          </w:p>
        </w:tc>
        <w:tc>
          <w:tcPr>
            <w:tcW w:w="751" w:type="pct"/>
            <w:vMerge w:val="restart"/>
            <w:tcBorders>
              <w:top w:val="outset" w:sz="6" w:space="0" w:color="auto"/>
              <w:left w:val="outset" w:sz="6" w:space="0" w:color="auto"/>
              <w:bottom w:val="outset" w:sz="6" w:space="0" w:color="auto"/>
              <w:right w:val="outset" w:sz="6" w:space="0" w:color="auto"/>
            </w:tcBorders>
            <w:hideMark/>
          </w:tcPr>
          <w:p w14:paraId="0AED3D29" w14:textId="77777777" w:rsidR="00A574F7" w:rsidRPr="008A78CD" w:rsidRDefault="00A574F7" w:rsidP="00A574F7">
            <w:pPr>
              <w:ind w:firstLine="300"/>
              <w:jc w:val="center"/>
            </w:pPr>
            <w:r w:rsidRPr="008A78CD">
              <w:t>X</w:t>
            </w:r>
          </w:p>
        </w:tc>
        <w:tc>
          <w:tcPr>
            <w:tcW w:w="610" w:type="pct"/>
            <w:tcBorders>
              <w:top w:val="outset" w:sz="6" w:space="0" w:color="auto"/>
              <w:left w:val="outset" w:sz="6" w:space="0" w:color="auto"/>
              <w:bottom w:val="outset" w:sz="6" w:space="0" w:color="auto"/>
              <w:right w:val="outset" w:sz="6" w:space="0" w:color="auto"/>
            </w:tcBorders>
            <w:hideMark/>
          </w:tcPr>
          <w:p w14:paraId="4A50117B" w14:textId="77777777" w:rsidR="00A574F7" w:rsidRPr="008A78CD" w:rsidRDefault="00A574F7" w:rsidP="00A574F7">
            <w:r w:rsidRPr="008A78CD">
              <w:t> 0</w:t>
            </w:r>
          </w:p>
        </w:tc>
        <w:tc>
          <w:tcPr>
            <w:tcW w:w="756" w:type="pct"/>
            <w:tcBorders>
              <w:top w:val="outset" w:sz="6" w:space="0" w:color="auto"/>
              <w:left w:val="outset" w:sz="6" w:space="0" w:color="auto"/>
              <w:bottom w:val="outset" w:sz="6" w:space="0" w:color="auto"/>
              <w:right w:val="outset" w:sz="6" w:space="0" w:color="auto"/>
            </w:tcBorders>
            <w:hideMark/>
          </w:tcPr>
          <w:p w14:paraId="7CBB6F60" w14:textId="77777777" w:rsidR="00A574F7" w:rsidRPr="008A78CD" w:rsidRDefault="00A574F7" w:rsidP="00A574F7">
            <w:r w:rsidRPr="008A78CD">
              <w:t> 0</w:t>
            </w:r>
          </w:p>
        </w:tc>
        <w:tc>
          <w:tcPr>
            <w:tcW w:w="756" w:type="pct"/>
            <w:tcBorders>
              <w:top w:val="outset" w:sz="6" w:space="0" w:color="auto"/>
              <w:left w:val="outset" w:sz="6" w:space="0" w:color="auto"/>
              <w:bottom w:val="outset" w:sz="6" w:space="0" w:color="auto"/>
              <w:right w:val="outset" w:sz="6" w:space="0" w:color="auto"/>
            </w:tcBorders>
            <w:hideMark/>
          </w:tcPr>
          <w:p w14:paraId="3DACB1F5" w14:textId="77777777" w:rsidR="00A574F7" w:rsidRPr="008A78CD" w:rsidRDefault="00A574F7" w:rsidP="00A574F7">
            <w:r w:rsidRPr="008A78CD">
              <w:t> 0</w:t>
            </w:r>
          </w:p>
        </w:tc>
        <w:tc>
          <w:tcPr>
            <w:tcW w:w="787" w:type="pct"/>
            <w:tcBorders>
              <w:top w:val="outset" w:sz="6" w:space="0" w:color="auto"/>
              <w:left w:val="outset" w:sz="6" w:space="0" w:color="auto"/>
              <w:bottom w:val="outset" w:sz="6" w:space="0" w:color="auto"/>
              <w:right w:val="outset" w:sz="6" w:space="0" w:color="auto"/>
            </w:tcBorders>
            <w:hideMark/>
          </w:tcPr>
          <w:p w14:paraId="2533D60D" w14:textId="77777777" w:rsidR="00A574F7" w:rsidRPr="008A78CD" w:rsidRDefault="00A574F7" w:rsidP="00A574F7">
            <w:r w:rsidRPr="008A78CD">
              <w:t> 0</w:t>
            </w:r>
          </w:p>
        </w:tc>
      </w:tr>
      <w:tr w:rsidR="00A574F7" w:rsidRPr="008A78CD" w14:paraId="79322E4A" w14:textId="77777777"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14:paraId="45E32ED7" w14:textId="77777777" w:rsidR="00A574F7" w:rsidRPr="008A78CD" w:rsidRDefault="00A574F7" w:rsidP="00FF5D32">
            <w:pPr>
              <w:spacing w:after="120"/>
            </w:pPr>
            <w:r w:rsidRPr="008A78CD">
              <w:t>5.1. valsts pamatbudžets</w:t>
            </w:r>
          </w:p>
        </w:tc>
        <w:tc>
          <w:tcPr>
            <w:tcW w:w="751" w:type="pct"/>
            <w:vMerge/>
            <w:tcBorders>
              <w:top w:val="outset" w:sz="6" w:space="0" w:color="auto"/>
              <w:left w:val="outset" w:sz="6" w:space="0" w:color="auto"/>
              <w:bottom w:val="outset" w:sz="6" w:space="0" w:color="auto"/>
              <w:right w:val="outset" w:sz="6" w:space="0" w:color="auto"/>
            </w:tcBorders>
            <w:vAlign w:val="center"/>
            <w:hideMark/>
          </w:tcPr>
          <w:p w14:paraId="3788BBBB" w14:textId="77777777" w:rsidR="00A574F7" w:rsidRPr="008A78CD" w:rsidRDefault="00A574F7" w:rsidP="00A574F7"/>
        </w:tc>
        <w:tc>
          <w:tcPr>
            <w:tcW w:w="610" w:type="pct"/>
            <w:tcBorders>
              <w:top w:val="outset" w:sz="6" w:space="0" w:color="auto"/>
              <w:left w:val="outset" w:sz="6" w:space="0" w:color="auto"/>
              <w:bottom w:val="outset" w:sz="6" w:space="0" w:color="auto"/>
              <w:right w:val="outset" w:sz="6" w:space="0" w:color="auto"/>
            </w:tcBorders>
            <w:hideMark/>
          </w:tcPr>
          <w:p w14:paraId="1396D5AB" w14:textId="77777777" w:rsidR="00A574F7" w:rsidRPr="008A78CD" w:rsidRDefault="00A574F7" w:rsidP="00A574F7">
            <w:r w:rsidRPr="008A78CD">
              <w:t> 0</w:t>
            </w:r>
          </w:p>
        </w:tc>
        <w:tc>
          <w:tcPr>
            <w:tcW w:w="756" w:type="pct"/>
            <w:tcBorders>
              <w:top w:val="outset" w:sz="6" w:space="0" w:color="auto"/>
              <w:left w:val="outset" w:sz="6" w:space="0" w:color="auto"/>
              <w:bottom w:val="outset" w:sz="6" w:space="0" w:color="auto"/>
              <w:right w:val="outset" w:sz="6" w:space="0" w:color="auto"/>
            </w:tcBorders>
            <w:hideMark/>
          </w:tcPr>
          <w:p w14:paraId="1C8FC7B5" w14:textId="77777777" w:rsidR="00A574F7" w:rsidRPr="008A78CD" w:rsidRDefault="00A574F7" w:rsidP="00A574F7">
            <w:r w:rsidRPr="008A78CD">
              <w:t> 0</w:t>
            </w:r>
          </w:p>
        </w:tc>
        <w:tc>
          <w:tcPr>
            <w:tcW w:w="756" w:type="pct"/>
            <w:tcBorders>
              <w:top w:val="outset" w:sz="6" w:space="0" w:color="auto"/>
              <w:left w:val="outset" w:sz="6" w:space="0" w:color="auto"/>
              <w:bottom w:val="outset" w:sz="6" w:space="0" w:color="auto"/>
              <w:right w:val="outset" w:sz="6" w:space="0" w:color="auto"/>
            </w:tcBorders>
            <w:hideMark/>
          </w:tcPr>
          <w:p w14:paraId="52ED2246" w14:textId="77777777" w:rsidR="00A574F7" w:rsidRPr="008A78CD" w:rsidRDefault="00A574F7" w:rsidP="00A574F7">
            <w:r w:rsidRPr="008A78CD">
              <w:t> 0</w:t>
            </w:r>
          </w:p>
        </w:tc>
        <w:tc>
          <w:tcPr>
            <w:tcW w:w="787" w:type="pct"/>
            <w:tcBorders>
              <w:top w:val="outset" w:sz="6" w:space="0" w:color="auto"/>
              <w:left w:val="outset" w:sz="6" w:space="0" w:color="auto"/>
              <w:bottom w:val="outset" w:sz="6" w:space="0" w:color="auto"/>
              <w:right w:val="outset" w:sz="6" w:space="0" w:color="auto"/>
            </w:tcBorders>
            <w:hideMark/>
          </w:tcPr>
          <w:p w14:paraId="6E48C81F" w14:textId="77777777" w:rsidR="00A574F7" w:rsidRPr="008A78CD" w:rsidRDefault="00A574F7" w:rsidP="00A574F7">
            <w:r w:rsidRPr="008A78CD">
              <w:t> 0</w:t>
            </w:r>
          </w:p>
        </w:tc>
      </w:tr>
      <w:tr w:rsidR="00A574F7" w:rsidRPr="008A78CD" w14:paraId="678624A1" w14:textId="77777777"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14:paraId="1526D5C8" w14:textId="77777777" w:rsidR="00A574F7" w:rsidRPr="008A78CD" w:rsidRDefault="00A574F7" w:rsidP="00FF5D32">
            <w:pPr>
              <w:spacing w:after="120"/>
            </w:pPr>
            <w:r w:rsidRPr="008A78CD">
              <w:t>5.2. speciālais budžets</w:t>
            </w:r>
          </w:p>
        </w:tc>
        <w:tc>
          <w:tcPr>
            <w:tcW w:w="751" w:type="pct"/>
            <w:vMerge/>
            <w:tcBorders>
              <w:top w:val="outset" w:sz="6" w:space="0" w:color="auto"/>
              <w:left w:val="outset" w:sz="6" w:space="0" w:color="auto"/>
              <w:bottom w:val="outset" w:sz="6" w:space="0" w:color="auto"/>
              <w:right w:val="outset" w:sz="6" w:space="0" w:color="auto"/>
            </w:tcBorders>
            <w:vAlign w:val="center"/>
            <w:hideMark/>
          </w:tcPr>
          <w:p w14:paraId="0DE407BE" w14:textId="77777777" w:rsidR="00A574F7" w:rsidRPr="008A78CD" w:rsidRDefault="00A574F7" w:rsidP="00A574F7"/>
        </w:tc>
        <w:tc>
          <w:tcPr>
            <w:tcW w:w="610" w:type="pct"/>
            <w:tcBorders>
              <w:top w:val="outset" w:sz="6" w:space="0" w:color="auto"/>
              <w:left w:val="outset" w:sz="6" w:space="0" w:color="auto"/>
              <w:bottom w:val="outset" w:sz="6" w:space="0" w:color="auto"/>
              <w:right w:val="outset" w:sz="6" w:space="0" w:color="auto"/>
            </w:tcBorders>
            <w:hideMark/>
          </w:tcPr>
          <w:p w14:paraId="0009AC57" w14:textId="77777777"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14:paraId="0E252E72" w14:textId="77777777"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14:paraId="43737EAB" w14:textId="77777777" w:rsidR="00A574F7" w:rsidRPr="008A78CD" w:rsidRDefault="00A574F7" w:rsidP="00A574F7">
            <w:r w:rsidRPr="008A78CD">
              <w:t> -</w:t>
            </w:r>
          </w:p>
        </w:tc>
        <w:tc>
          <w:tcPr>
            <w:tcW w:w="787" w:type="pct"/>
            <w:tcBorders>
              <w:top w:val="outset" w:sz="6" w:space="0" w:color="auto"/>
              <w:left w:val="outset" w:sz="6" w:space="0" w:color="auto"/>
              <w:bottom w:val="outset" w:sz="6" w:space="0" w:color="auto"/>
              <w:right w:val="outset" w:sz="6" w:space="0" w:color="auto"/>
            </w:tcBorders>
            <w:hideMark/>
          </w:tcPr>
          <w:p w14:paraId="40CF308B" w14:textId="77777777" w:rsidR="00A574F7" w:rsidRPr="008A78CD" w:rsidRDefault="00A574F7" w:rsidP="00A574F7">
            <w:r w:rsidRPr="008A78CD">
              <w:t> -</w:t>
            </w:r>
          </w:p>
        </w:tc>
      </w:tr>
      <w:tr w:rsidR="00A574F7" w:rsidRPr="008A78CD" w14:paraId="4D71F200" w14:textId="77777777"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14:paraId="2038100E" w14:textId="77777777" w:rsidR="00A574F7" w:rsidRPr="008A78CD" w:rsidRDefault="00A574F7" w:rsidP="00FF5D32">
            <w:pPr>
              <w:spacing w:after="120"/>
            </w:pPr>
            <w:r w:rsidRPr="008A78CD">
              <w:t>5.3. pašvaldību budžets</w:t>
            </w:r>
          </w:p>
        </w:tc>
        <w:tc>
          <w:tcPr>
            <w:tcW w:w="751" w:type="pct"/>
            <w:vMerge/>
            <w:tcBorders>
              <w:top w:val="outset" w:sz="6" w:space="0" w:color="auto"/>
              <w:left w:val="outset" w:sz="6" w:space="0" w:color="auto"/>
              <w:bottom w:val="outset" w:sz="6" w:space="0" w:color="auto"/>
              <w:right w:val="outset" w:sz="6" w:space="0" w:color="auto"/>
            </w:tcBorders>
            <w:vAlign w:val="center"/>
            <w:hideMark/>
          </w:tcPr>
          <w:p w14:paraId="21CC9B37" w14:textId="77777777" w:rsidR="00A574F7" w:rsidRPr="008A78CD" w:rsidRDefault="00A574F7" w:rsidP="00A574F7"/>
        </w:tc>
        <w:tc>
          <w:tcPr>
            <w:tcW w:w="610" w:type="pct"/>
            <w:tcBorders>
              <w:top w:val="outset" w:sz="6" w:space="0" w:color="auto"/>
              <w:left w:val="outset" w:sz="6" w:space="0" w:color="auto"/>
              <w:bottom w:val="outset" w:sz="6" w:space="0" w:color="auto"/>
              <w:right w:val="outset" w:sz="6" w:space="0" w:color="auto"/>
            </w:tcBorders>
            <w:hideMark/>
          </w:tcPr>
          <w:p w14:paraId="416B5450" w14:textId="77777777"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14:paraId="4D8E57E7" w14:textId="77777777" w:rsidR="00A574F7" w:rsidRPr="008A78CD" w:rsidRDefault="00A574F7" w:rsidP="00A574F7">
            <w:r w:rsidRPr="008A78CD">
              <w:t> -</w:t>
            </w:r>
          </w:p>
        </w:tc>
        <w:tc>
          <w:tcPr>
            <w:tcW w:w="756" w:type="pct"/>
            <w:tcBorders>
              <w:top w:val="outset" w:sz="6" w:space="0" w:color="auto"/>
              <w:left w:val="outset" w:sz="6" w:space="0" w:color="auto"/>
              <w:bottom w:val="outset" w:sz="6" w:space="0" w:color="auto"/>
              <w:right w:val="outset" w:sz="6" w:space="0" w:color="auto"/>
            </w:tcBorders>
            <w:hideMark/>
          </w:tcPr>
          <w:p w14:paraId="68CF26C3" w14:textId="77777777" w:rsidR="00A574F7" w:rsidRPr="008A78CD" w:rsidRDefault="00A574F7" w:rsidP="00A574F7">
            <w:r w:rsidRPr="008A78CD">
              <w:t> -</w:t>
            </w:r>
          </w:p>
        </w:tc>
        <w:tc>
          <w:tcPr>
            <w:tcW w:w="787" w:type="pct"/>
            <w:tcBorders>
              <w:top w:val="outset" w:sz="6" w:space="0" w:color="auto"/>
              <w:left w:val="outset" w:sz="6" w:space="0" w:color="auto"/>
              <w:bottom w:val="outset" w:sz="6" w:space="0" w:color="auto"/>
              <w:right w:val="outset" w:sz="6" w:space="0" w:color="auto"/>
            </w:tcBorders>
            <w:hideMark/>
          </w:tcPr>
          <w:p w14:paraId="6E0EEB9E" w14:textId="77777777" w:rsidR="00A574F7" w:rsidRPr="008A78CD" w:rsidRDefault="00A574F7" w:rsidP="00A574F7">
            <w:r w:rsidRPr="008A78CD">
              <w:t> -</w:t>
            </w:r>
          </w:p>
        </w:tc>
      </w:tr>
      <w:tr w:rsidR="00A574F7" w:rsidRPr="008A78CD" w14:paraId="6414540F" w14:textId="77777777"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14:paraId="275DCF88" w14:textId="77777777" w:rsidR="00A574F7" w:rsidRPr="008A78CD" w:rsidRDefault="00A574F7" w:rsidP="00A63501">
            <w:pPr>
              <w:spacing w:after="120" w:line="252" w:lineRule="auto"/>
            </w:pPr>
            <w:r w:rsidRPr="008A78CD">
              <w:t>6. Detalizēts ieņēmumu un izdevumu aprēķins (ja nepieciešams, detalizētu ieņēmumu un izdevumu aprēķinu var pievienot anotācijas pielikumā):</w:t>
            </w:r>
          </w:p>
        </w:tc>
        <w:tc>
          <w:tcPr>
            <w:tcW w:w="3727"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54EF4C9A" w14:textId="143C30EE" w:rsidR="00A574F7" w:rsidRDefault="00A574F7" w:rsidP="00F87F96">
            <w:pPr>
              <w:spacing w:after="80"/>
              <w:jc w:val="both"/>
            </w:pPr>
            <w:r w:rsidRPr="008A78CD">
              <w:t>Saskaņotajos valsts pamatbudžeta bāzes izdevumos 201</w:t>
            </w:r>
            <w:r w:rsidR="00363DFE">
              <w:t>7</w:t>
            </w:r>
            <w:r w:rsidRPr="008A78CD">
              <w:t>.gadā</w:t>
            </w:r>
            <w:r w:rsidR="00B449A0">
              <w:t xml:space="preserve"> un</w:t>
            </w:r>
            <w:r w:rsidRPr="008A78CD">
              <w:t xml:space="preserve"> 201</w:t>
            </w:r>
            <w:r w:rsidR="00363DFE">
              <w:t>8</w:t>
            </w:r>
            <w:r w:rsidRPr="008A78CD">
              <w:t>.gadā sabiedrisko pakalpojumu sniedzēju aprēķinātā budžetā iemaksājamā valsts nodeva no iepriekšējā kalendārā gada neto apgrozījuma regulējamā</w:t>
            </w:r>
            <w:r w:rsidR="008D7D4D">
              <w:t>s</w:t>
            </w:r>
            <w:r w:rsidRPr="008A78CD">
              <w:t xml:space="preserve"> nozarē</w:t>
            </w:r>
            <w:r w:rsidR="008D7D4D">
              <w:t>s</w:t>
            </w:r>
            <w:r w:rsidRPr="008A78CD">
              <w:t xml:space="preserve"> </w:t>
            </w:r>
            <w:r w:rsidR="002B068A" w:rsidRPr="008A78CD">
              <w:t xml:space="preserve">bija </w:t>
            </w:r>
            <w:r w:rsidRPr="008A78CD">
              <w:t xml:space="preserve">plānota </w:t>
            </w:r>
            <w:r w:rsidR="00002813" w:rsidRPr="00002813">
              <w:t>4</w:t>
            </w:r>
            <w:r w:rsidR="00002813">
              <w:t> </w:t>
            </w:r>
            <w:r w:rsidR="00002813" w:rsidRPr="00002813">
              <w:t>798</w:t>
            </w:r>
            <w:r w:rsidR="00002813">
              <w:t> </w:t>
            </w:r>
            <w:r w:rsidR="00002813" w:rsidRPr="00002813">
              <w:t>792</w:t>
            </w:r>
            <w:r w:rsidRPr="008A78CD">
              <w:t xml:space="preserve"> EUR apmērā pie nodevas likmes 0,17%.</w:t>
            </w:r>
          </w:p>
          <w:p w14:paraId="7B5A929F" w14:textId="77777777" w:rsidR="003D6034" w:rsidRDefault="003D6034" w:rsidP="00F87F96">
            <w:pPr>
              <w:spacing w:after="80"/>
              <w:jc w:val="both"/>
            </w:pPr>
            <w:r w:rsidRPr="008F7259">
              <w:t xml:space="preserve">Izmaiņas ieņēmumos un izdevumos 2017.gadā un 2018.gadā norādītas saskaņā ar likumu </w:t>
            </w:r>
            <w:r w:rsidRPr="008F7259">
              <w:rPr>
                <w:color w:val="000000" w:themeColor="text1"/>
              </w:rPr>
              <w:t>“Par vidēja termiņa budžeta ietvaru 2016., 2017. un 2018.gadam”.</w:t>
            </w:r>
            <w:r w:rsidR="002340A6" w:rsidRPr="008F7259">
              <w:rPr>
                <w:color w:val="000000" w:themeColor="text1"/>
              </w:rPr>
              <w:t xml:space="preserve"> </w:t>
            </w:r>
            <w:r w:rsidRPr="008F7259">
              <w:t xml:space="preserve">Savukārt, saskaņā ar likumu “Par valsts budžetu 2016.gadam” plānotā ieņēmumu summa bija par 500 000 EUR </w:t>
            </w:r>
            <w:r w:rsidRPr="008F7259">
              <w:lastRenderedPageBreak/>
              <w:t>mazāka nekā izdevumu summa, jo 500 000 EUR bija plānoti kā 2015.gada pašu ieņēmumu atlikums,</w:t>
            </w:r>
            <w:r w:rsidR="002340A6" w:rsidRPr="008F7259">
              <w:t xml:space="preserve"> kuru saskaņā </w:t>
            </w:r>
            <w:r w:rsidR="002340A6" w:rsidRPr="00322540">
              <w:t xml:space="preserve">ar </w:t>
            </w:r>
            <w:r w:rsidR="005B04A2" w:rsidRPr="00322540">
              <w:t>Likuma</w:t>
            </w:r>
            <w:r w:rsidR="002340A6" w:rsidRPr="00322540">
              <w:t xml:space="preserve"> </w:t>
            </w:r>
            <w:r w:rsidR="002340A6" w:rsidRPr="008F7259">
              <w:t>31.panta (2</w:t>
            </w:r>
            <w:r w:rsidR="002340A6" w:rsidRPr="008F7259">
              <w:rPr>
                <w:vertAlign w:val="superscript"/>
              </w:rPr>
              <w:t>4</w:t>
            </w:r>
            <w:r w:rsidR="002340A6" w:rsidRPr="008F7259">
              <w:t>) daļu izmanto Regulatora darbības nodrošināšanai nākamajā gadā, savukārt sabiedrisko pakalpojumu sniedzējam, kas 2015. gadā ir samaksājis valsts nodevu par sabiedrisko pakalpojumu regulēšanu, 2016</w:t>
            </w:r>
            <w:r w:rsidR="008F7259" w:rsidRPr="008F7259">
              <w:t>.</w:t>
            </w:r>
            <w:r w:rsidR="002340A6" w:rsidRPr="008F7259">
              <w:t xml:space="preserve"> gadā nodevas apmēru samazina par pārmaksāto summu proporcionāli iemaksātās nodevas lielumam 2015.gadā</w:t>
            </w:r>
            <w:r w:rsidRPr="008F7259">
              <w:t xml:space="preserve">, līdz ar to </w:t>
            </w:r>
            <w:r w:rsidR="002340A6" w:rsidRPr="008F7259">
              <w:t xml:space="preserve">sabiedrisko pakalpojumu sniedzēji </w:t>
            </w:r>
            <w:r w:rsidRPr="008F7259">
              <w:t>iemaksātu par 500 000 EUR mazāk, t.i., 4 298 792 EUR</w:t>
            </w:r>
            <w:r w:rsidR="00837365" w:rsidRPr="008F7259">
              <w:t xml:space="preserve"> un</w:t>
            </w:r>
            <w:r w:rsidRPr="008F7259">
              <w:t xml:space="preserve"> ieņēmumi izdevumu segšanai būtu 4 298 792 + 500 000 = 4 798 792. Ņemot vērā, ka faktiskais pašu ieņēmumu atlikums bija 100 EUR</w:t>
            </w:r>
            <w:r w:rsidR="007C59ED">
              <w:t xml:space="preserve"> </w:t>
            </w:r>
            <w:r w:rsidR="007C59ED" w:rsidRPr="00AC77F5">
              <w:t>un līdz ar to komersantiem 2016.gadā netiek veikts valsts nodevas samazinājums</w:t>
            </w:r>
            <w:r w:rsidRPr="00AC77F5">
              <w:t>, ietekme uz valsts budžetu kārtējam gadam aprēķināta, ņemot vērā</w:t>
            </w:r>
            <w:r w:rsidR="00837365" w:rsidRPr="00AC77F5">
              <w:t xml:space="preserve"> faktisko maksas pakalpojumu un citu pašu ieņēmumu apjomu</w:t>
            </w:r>
            <w:r w:rsidR="007C59ED" w:rsidRPr="00AC77F5">
              <w:t xml:space="preserve"> 4 798 792 EUR</w:t>
            </w:r>
            <w:r w:rsidR="00837365" w:rsidRPr="00AC77F5">
              <w:t>.</w:t>
            </w:r>
          </w:p>
          <w:p w14:paraId="5CB7E66E" w14:textId="77777777" w:rsidR="00536E06" w:rsidRDefault="00536E06" w:rsidP="00536E06">
            <w:pPr>
              <w:spacing w:after="80"/>
              <w:jc w:val="both"/>
            </w:pPr>
            <w:r w:rsidRPr="008A78CD">
              <w:t xml:space="preserve">Ņemot vērā faktorus, kas sašaurina regulējamo komersantu (nodevas maksātāju) loku un samazina regulējamo komersantu apgrozījumu, </w:t>
            </w:r>
            <w:r>
              <w:rPr>
                <w:rFonts w:eastAsiaTheme="minorHAnsi" w:cstheme="minorBidi"/>
                <w:lang w:eastAsia="en-US"/>
              </w:rPr>
              <w:t xml:space="preserve"> </w:t>
            </w:r>
            <w:r w:rsidRPr="008A78CD">
              <w:t>prognozētie valsts nodevas ieņēmumi</w:t>
            </w:r>
            <w:r>
              <w:t xml:space="preserve"> 2016.gadā ar nodevas likmi 0.17% veidos 4 120 869 EUR.</w:t>
            </w:r>
          </w:p>
          <w:p w14:paraId="01A795FA" w14:textId="77777777" w:rsidR="00637890" w:rsidRPr="00E43A03" w:rsidRDefault="00637890" w:rsidP="00637890">
            <w:pPr>
              <w:spacing w:after="80"/>
              <w:jc w:val="both"/>
              <w:rPr>
                <w:bCs/>
                <w:sz w:val="22"/>
                <w:szCs w:val="22"/>
              </w:rPr>
            </w:pPr>
            <w:r w:rsidRPr="00E43A03">
              <w:rPr>
                <w:bCs/>
              </w:rPr>
              <w:t>Ņemot vērā, ka prognozētie valsts nodevas ieņēmumi 2016.gadā ar nodevas likmi 0.17% veidos 4 120 869 EUR, Regulatora budžeta līdzekļu deficīts pret iepriekš plānoto nepieciešamo finanšu līdzekļu apjomu Regulatora darbības finansēšanai sasniegs 677 923 EUR. 2016.gada 19.maijā Saeima 3.lasījumā pieņēma likumu “Grozījumi Elektroenerģijas tirgus likumā”, atbalstot deputātu priekšlikumu, kas nosaka, ka valsts nodevu par sabiedrisko pakalpojumu regulēšanu likumā “Par sabiedrisko pakalpojumu regulatoriem” noteiktajā kārtībā maksā arī elektroenerģijas sistēmas īpašnieks un publiskais tirgotājs atbilstoši Elektroenerģijas tirgus likumā noteiktajai ar nodevu apliekamai bāzei. Pēc provizoriskiem aprēķiniem, stājoties spēkā likumam “Grozījumi Elektroenerģijas tirgus likumā” elektroenerģijas sistēmas īpašnieka un publiskā tirgotāja veicamo valsts nodevas maksājumu apmērs 2016.gadā veidos apmēram EUR 190 tūkst. Vienlaicīgi Regulators turpinās realizēt Noteikumu projekta anotācijā norādītos taupības pasākumus EUR 412 tūkst. apmērā un nepieciešamības gadījumā izskatīs papildus izdevumu finansēšanas optimizācijas iespējas, piemēram, atsevišķu 2016.gada decembra mēneša izdevumu pārcelšanu uz 2017.gada janvāri.</w:t>
            </w:r>
          </w:p>
          <w:p w14:paraId="7C6EEC73" w14:textId="613338B1" w:rsidR="007C59ED" w:rsidRPr="00AC77F5" w:rsidRDefault="00637890" w:rsidP="007C59ED">
            <w:pPr>
              <w:pStyle w:val="naisc"/>
              <w:spacing w:before="0" w:after="0"/>
              <w:jc w:val="both"/>
            </w:pPr>
            <w:r>
              <w:t xml:space="preserve">Norādāms, ka </w:t>
            </w:r>
            <w:r w:rsidR="007C59ED" w:rsidRPr="00AC77F5">
              <w:t>Regulators 2016.gadā ir veicis būtiskus izmaksu samazināšanas pasākumus, samazinot darbinieku skaitu par 20 štata vietām jeb 15%, pārskatot pakalpojumu sniedzēju uzraudzības procesus un atsakoties no visām trim reģionālajām nodaļām un samazinot izmantotā autotransporta vienību skaitu. Uz 2016.gada aprīli ir veikti uzteikumi darbiniekiem un paziņots par atteikšanos no pakalpojumu izmantošanas atbilstoši noslēgtajiem līgumiem.</w:t>
            </w:r>
          </w:p>
          <w:p w14:paraId="4671F056" w14:textId="77777777" w:rsidR="007C59ED" w:rsidRPr="00AC77F5" w:rsidRDefault="007C59ED" w:rsidP="007C59ED">
            <w:pPr>
              <w:pStyle w:val="naisc"/>
              <w:spacing w:before="0" w:after="0"/>
              <w:jc w:val="both"/>
            </w:pPr>
          </w:p>
          <w:p w14:paraId="1C1DF720" w14:textId="77777777" w:rsidR="007C59ED" w:rsidRPr="00AC77F5" w:rsidRDefault="007C59ED" w:rsidP="007C59ED">
            <w:pPr>
              <w:jc w:val="both"/>
            </w:pPr>
            <w:r w:rsidRPr="00AC77F5">
              <w:t xml:space="preserve">Kopsummā līdz 2016.gada beigām plānots samazināt </w:t>
            </w:r>
            <w:r w:rsidR="006A4A05" w:rsidRPr="00AC77F5">
              <w:t>Regulatora izdevumus par EUR 412 tūkst.</w:t>
            </w:r>
            <w:r w:rsidRPr="00AC77F5">
              <w:t>, t.sk.:</w:t>
            </w:r>
          </w:p>
          <w:p w14:paraId="449E3EF9" w14:textId="77777777" w:rsidR="007C59ED" w:rsidRPr="00AC77F5" w:rsidRDefault="007C59ED" w:rsidP="007C59ED">
            <w:pPr>
              <w:pStyle w:val="ListParagraph"/>
              <w:numPr>
                <w:ilvl w:val="0"/>
                <w:numId w:val="2"/>
              </w:numPr>
              <w:spacing w:line="276" w:lineRule="auto"/>
              <w:ind w:left="205" w:hanging="216"/>
              <w:jc w:val="both"/>
            </w:pPr>
            <w:r w:rsidRPr="00AC77F5">
              <w:lastRenderedPageBreak/>
              <w:t>Štata vietu skaita samazināšana par 20 vienībām no 2016.ga</w:t>
            </w:r>
            <w:r w:rsidR="006A4A05" w:rsidRPr="00AC77F5">
              <w:t>da maija – ekonomija EUR 217 tūkst.</w:t>
            </w:r>
            <w:r w:rsidRPr="00AC77F5">
              <w:t xml:space="preserve"> apmērā;</w:t>
            </w:r>
          </w:p>
          <w:p w14:paraId="05E2A0B7" w14:textId="77777777" w:rsidR="007C59ED" w:rsidRPr="00AC77F5" w:rsidRDefault="007C59ED" w:rsidP="007C59ED">
            <w:pPr>
              <w:pStyle w:val="ListParagraph"/>
              <w:numPr>
                <w:ilvl w:val="0"/>
                <w:numId w:val="2"/>
              </w:numPr>
              <w:spacing w:line="276" w:lineRule="auto"/>
              <w:ind w:left="205" w:hanging="216"/>
              <w:jc w:val="both"/>
            </w:pPr>
            <w:r w:rsidRPr="00AC77F5">
              <w:t xml:space="preserve">reģionālo nodaļu likvidēšana </w:t>
            </w:r>
            <w:r w:rsidR="006A4A05" w:rsidRPr="00AC77F5">
              <w:t xml:space="preserve">no 2016.gada </w:t>
            </w:r>
            <w:r w:rsidRPr="00AC77F5">
              <w:t xml:space="preserve">maija EUR </w:t>
            </w:r>
            <w:r w:rsidR="006A4A05" w:rsidRPr="00AC77F5">
              <w:t xml:space="preserve">20 tūkst. </w:t>
            </w:r>
            <w:r w:rsidRPr="00AC77F5">
              <w:t>apmērā;</w:t>
            </w:r>
          </w:p>
          <w:p w14:paraId="623C402E" w14:textId="77777777" w:rsidR="007C59ED" w:rsidRPr="00AC77F5" w:rsidRDefault="007C59ED" w:rsidP="007C59ED">
            <w:pPr>
              <w:pStyle w:val="ListParagraph"/>
              <w:numPr>
                <w:ilvl w:val="0"/>
                <w:numId w:val="2"/>
              </w:numPr>
              <w:spacing w:line="276" w:lineRule="auto"/>
              <w:ind w:left="205" w:hanging="216"/>
              <w:jc w:val="both"/>
            </w:pPr>
            <w:r w:rsidRPr="00AC77F5">
              <w:t>Plānotā ekonomija uz apmācību izdev</w:t>
            </w:r>
            <w:r w:rsidR="006A4A05" w:rsidRPr="00AC77F5">
              <w:t>umiem 2016.gadā EUR 15 tūkst.</w:t>
            </w:r>
            <w:r w:rsidRPr="00AC77F5">
              <w:t xml:space="preserve"> apmērā;</w:t>
            </w:r>
          </w:p>
          <w:p w14:paraId="3C770B4A" w14:textId="77777777" w:rsidR="006A4A05" w:rsidRPr="00AC77F5" w:rsidRDefault="007C59ED" w:rsidP="006A4A05">
            <w:pPr>
              <w:pStyle w:val="ListParagraph"/>
              <w:numPr>
                <w:ilvl w:val="0"/>
                <w:numId w:val="2"/>
              </w:numPr>
              <w:spacing w:line="276" w:lineRule="auto"/>
              <w:ind w:left="205" w:hanging="216"/>
              <w:jc w:val="both"/>
            </w:pPr>
            <w:r w:rsidRPr="00AC77F5">
              <w:t>Plānotā ekonomija uz komandējumu</w:t>
            </w:r>
            <w:r w:rsidR="006A4A05" w:rsidRPr="00AC77F5">
              <w:t xml:space="preserve"> izdevumiem 2016.gadā EUR 75 tūkst.</w:t>
            </w:r>
            <w:r w:rsidRPr="00AC77F5">
              <w:t xml:space="preserve"> apmērā (faktiskā ekonomija 2016.gada 1.ceturksnī 26 529 EUR);</w:t>
            </w:r>
          </w:p>
          <w:p w14:paraId="3DF8E2E9" w14:textId="77777777" w:rsidR="007C59ED" w:rsidRPr="00AC77F5" w:rsidRDefault="007C59ED" w:rsidP="006A4A05">
            <w:pPr>
              <w:pStyle w:val="ListParagraph"/>
              <w:numPr>
                <w:ilvl w:val="0"/>
                <w:numId w:val="2"/>
              </w:numPr>
              <w:spacing w:line="276" w:lineRule="auto"/>
              <w:ind w:left="205" w:hanging="216"/>
              <w:jc w:val="both"/>
            </w:pPr>
            <w:r w:rsidRPr="00AC77F5">
              <w:t xml:space="preserve">Plānotā ekonomija </w:t>
            </w:r>
            <w:r w:rsidR="006A4A05" w:rsidRPr="00AC77F5">
              <w:t>no Regulatora darbībai nepieciešamo iepirkumu samazinājuma (IT, inventārs, biroja preces u.c.)</w:t>
            </w:r>
            <w:r w:rsidR="00363DFE">
              <w:t xml:space="preserve"> </w:t>
            </w:r>
            <w:r w:rsidR="006A4A05" w:rsidRPr="00AC77F5">
              <w:t>2016.gadā – EUR 85 tūkst.</w:t>
            </w:r>
            <w:r w:rsidRPr="00AC77F5">
              <w:t xml:space="preserve"> apmērā.</w:t>
            </w:r>
          </w:p>
          <w:p w14:paraId="46975017" w14:textId="77777777" w:rsidR="00637890" w:rsidRDefault="00637890" w:rsidP="00A63501">
            <w:pPr>
              <w:spacing w:line="252" w:lineRule="auto"/>
              <w:jc w:val="both"/>
              <w:rPr>
                <w:rFonts w:eastAsiaTheme="minorHAnsi" w:cstheme="minorBidi"/>
                <w:lang w:eastAsia="en-US"/>
              </w:rPr>
            </w:pPr>
          </w:p>
          <w:p w14:paraId="16429ED4" w14:textId="77777777" w:rsidR="00A574F7" w:rsidRPr="008A78CD" w:rsidRDefault="008D7D4D" w:rsidP="00A63501">
            <w:pPr>
              <w:spacing w:line="252" w:lineRule="auto"/>
              <w:jc w:val="both"/>
              <w:rPr>
                <w:rFonts w:eastAsiaTheme="minorHAnsi" w:cstheme="minorBidi"/>
                <w:lang w:eastAsia="en-US"/>
              </w:rPr>
            </w:pPr>
            <w:r>
              <w:rPr>
                <w:rFonts w:eastAsiaTheme="minorHAnsi" w:cstheme="minorBidi"/>
                <w:lang w:eastAsia="en-US"/>
              </w:rPr>
              <w:t>Enerģētika</w:t>
            </w:r>
            <w:r w:rsidR="00A574F7" w:rsidRPr="008A78CD">
              <w:rPr>
                <w:rFonts w:eastAsiaTheme="minorHAnsi" w:cstheme="minorBidi"/>
                <w:lang w:eastAsia="en-US"/>
              </w:rPr>
              <w:t>:</w:t>
            </w:r>
          </w:p>
          <w:p w14:paraId="14D3DF8B" w14:textId="77777777" w:rsidR="00A574F7" w:rsidRPr="008A78CD" w:rsidRDefault="00A574F7" w:rsidP="00A63501">
            <w:pPr>
              <w:spacing w:line="252" w:lineRule="auto"/>
              <w:jc w:val="both"/>
              <w:rPr>
                <w:rFonts w:eastAsiaTheme="minorHAnsi" w:cstheme="minorBidi"/>
                <w:lang w:eastAsia="en-US"/>
              </w:rPr>
            </w:pPr>
            <w:r w:rsidRPr="008A78CD">
              <w:rPr>
                <w:rFonts w:eastAsiaTheme="minorHAnsi" w:cstheme="minorBidi"/>
                <w:lang w:eastAsia="en-US"/>
              </w:rPr>
              <w:t>No 2015.gada 1.janvāra ir atvērts elektroenerģijas tirgus mājsaimniecībām, kā rezultātā elektroenerģijas tirgotāju apgrozījums par elektroenerģijas piegādēm mājsaimniecībām tiek noteikts, izmantojot piegādātās elektroenerģijas cenas, nevis kā iepriekšējos gados aprēķinos izmantojot saistīto lietotāju gala tarifus. Līdz ar to regulējamo pakalpojumu apgrozījums saistībā ar elektroenerģijas piegādēm mājsaimniecībām samazinājies par 73 milj. EUR.</w:t>
            </w:r>
          </w:p>
          <w:p w14:paraId="1F3397A3" w14:textId="77777777" w:rsidR="00A574F7" w:rsidRPr="008A78CD" w:rsidRDefault="00A574F7" w:rsidP="00A63501">
            <w:pPr>
              <w:spacing w:line="252" w:lineRule="auto"/>
              <w:jc w:val="both"/>
              <w:rPr>
                <w:rFonts w:eastAsiaTheme="minorHAnsi" w:cstheme="minorBidi"/>
                <w:lang w:eastAsia="en-US"/>
              </w:rPr>
            </w:pPr>
          </w:p>
          <w:p w14:paraId="194D0E47" w14:textId="77777777" w:rsidR="00A574F7" w:rsidRPr="008A78CD" w:rsidRDefault="00A574F7" w:rsidP="00A63501">
            <w:pPr>
              <w:spacing w:line="252" w:lineRule="auto"/>
              <w:jc w:val="both"/>
              <w:rPr>
                <w:rFonts w:eastAsiaTheme="minorHAnsi" w:cstheme="minorBidi"/>
                <w:lang w:eastAsia="en-US"/>
              </w:rPr>
            </w:pPr>
            <w:r w:rsidRPr="008A78CD">
              <w:rPr>
                <w:rFonts w:eastAsiaTheme="minorHAnsi" w:cstheme="minorBidi"/>
                <w:lang w:eastAsia="en-US"/>
              </w:rPr>
              <w:t xml:space="preserve">Ieņēmumu samazinājumu dabasgāzes sektorā veido lietotājiem piegādātā dabasgāzes apjoma samazinājums un, turpinoties naftas produktu kotāciju un valūtas kursu izmaiņām, dabasgāzes tirdzniecības cenas kritums. </w:t>
            </w:r>
            <w:r w:rsidR="00B20F50">
              <w:rPr>
                <w:rFonts w:eastAsiaTheme="minorHAnsi" w:cstheme="minorBidi"/>
                <w:lang w:eastAsia="en-US"/>
              </w:rPr>
              <w:t xml:space="preserve">Dabasgāzes tirdzniecības cena vidēji 2015.gadā salīdzinājumā ar 2014.gada vidējo samazinājās </w:t>
            </w:r>
            <w:r w:rsidR="00BE143D">
              <w:rPr>
                <w:rFonts w:eastAsiaTheme="minorHAnsi" w:cstheme="minorBidi"/>
                <w:lang w:eastAsia="en-US"/>
              </w:rPr>
              <w:t>p</w:t>
            </w:r>
            <w:r w:rsidR="00B20F50">
              <w:rPr>
                <w:rFonts w:eastAsiaTheme="minorHAnsi" w:cstheme="minorBidi"/>
                <w:lang w:eastAsia="en-US"/>
              </w:rPr>
              <w:t xml:space="preserve">ar 17,1%. </w:t>
            </w:r>
            <w:r w:rsidRPr="008A78CD">
              <w:rPr>
                <w:rFonts w:eastAsiaTheme="minorHAnsi" w:cstheme="minorBidi"/>
                <w:lang w:eastAsia="en-US"/>
              </w:rPr>
              <w:t xml:space="preserve">2015.gada regulējamo pakalpojumu apgrozījuma kritums pret 2014.gadu veido </w:t>
            </w:r>
            <w:r w:rsidR="00B20F50">
              <w:rPr>
                <w:rFonts w:eastAsiaTheme="minorHAnsi" w:cstheme="minorBidi"/>
                <w:lang w:eastAsia="en-US"/>
              </w:rPr>
              <w:t>59</w:t>
            </w:r>
            <w:r w:rsidR="00B20F50" w:rsidRPr="008A78CD">
              <w:rPr>
                <w:rFonts w:eastAsiaTheme="minorHAnsi" w:cstheme="minorBidi"/>
                <w:lang w:eastAsia="en-US"/>
              </w:rPr>
              <w:t xml:space="preserve"> </w:t>
            </w:r>
            <w:r w:rsidRPr="008A78CD">
              <w:rPr>
                <w:rFonts w:eastAsiaTheme="minorHAnsi" w:cstheme="minorBidi"/>
                <w:lang w:eastAsia="en-US"/>
              </w:rPr>
              <w:t>milj. EUR</w:t>
            </w:r>
            <w:r w:rsidR="00B20F50">
              <w:rPr>
                <w:rFonts w:eastAsiaTheme="minorHAnsi" w:cstheme="minorBidi"/>
                <w:lang w:eastAsia="en-US"/>
              </w:rPr>
              <w:t xml:space="preserve">. Turklāt </w:t>
            </w:r>
            <w:r w:rsidR="00B20F50" w:rsidRPr="008A78CD">
              <w:rPr>
                <w:rFonts w:eastAsiaTheme="minorHAnsi" w:cstheme="minorBidi"/>
                <w:lang w:eastAsia="en-US"/>
              </w:rPr>
              <w:t>201</w:t>
            </w:r>
            <w:r w:rsidR="00B20F50">
              <w:rPr>
                <w:rFonts w:eastAsiaTheme="minorHAnsi" w:cstheme="minorBidi"/>
                <w:lang w:eastAsia="en-US"/>
              </w:rPr>
              <w:t>6</w:t>
            </w:r>
            <w:r w:rsidR="00B20F50" w:rsidRPr="008A78CD">
              <w:rPr>
                <w:rFonts w:eastAsiaTheme="minorHAnsi" w:cstheme="minorBidi"/>
                <w:lang w:eastAsia="en-US"/>
              </w:rPr>
              <w:t xml:space="preserve">.gada </w:t>
            </w:r>
            <w:r w:rsidR="00B20F50">
              <w:rPr>
                <w:rFonts w:eastAsiaTheme="minorHAnsi" w:cstheme="minorBidi"/>
                <w:lang w:eastAsia="en-US"/>
              </w:rPr>
              <w:t>februārī</w:t>
            </w:r>
            <w:r w:rsidR="00B20F50" w:rsidRPr="008A78CD">
              <w:rPr>
                <w:rFonts w:eastAsiaTheme="minorHAnsi" w:cstheme="minorBidi"/>
                <w:lang w:eastAsia="en-US"/>
              </w:rPr>
              <w:t xml:space="preserve"> piemērojamā dabasgāzes tirdzniecības cena salīdzinājumā ar 201</w:t>
            </w:r>
            <w:r w:rsidR="00B20F50">
              <w:rPr>
                <w:rFonts w:eastAsiaTheme="minorHAnsi" w:cstheme="minorBidi"/>
                <w:lang w:eastAsia="en-US"/>
              </w:rPr>
              <w:t>5</w:t>
            </w:r>
            <w:r w:rsidR="00B20F50" w:rsidRPr="008A78CD">
              <w:rPr>
                <w:rFonts w:eastAsiaTheme="minorHAnsi" w:cstheme="minorBidi"/>
                <w:lang w:eastAsia="en-US"/>
              </w:rPr>
              <w:t xml:space="preserve">.gada </w:t>
            </w:r>
            <w:r w:rsidR="00B20F50">
              <w:rPr>
                <w:rFonts w:eastAsiaTheme="minorHAnsi" w:cstheme="minorBidi"/>
                <w:lang w:eastAsia="en-US"/>
              </w:rPr>
              <w:t xml:space="preserve">februārī piemērojamo cenu ir </w:t>
            </w:r>
            <w:r w:rsidR="00B20F50" w:rsidRPr="008A78CD">
              <w:rPr>
                <w:rFonts w:eastAsiaTheme="minorHAnsi" w:cstheme="minorBidi"/>
                <w:lang w:eastAsia="en-US"/>
              </w:rPr>
              <w:t>samazināj</w:t>
            </w:r>
            <w:r w:rsidR="00B20F50">
              <w:rPr>
                <w:rFonts w:eastAsiaTheme="minorHAnsi" w:cstheme="minorBidi"/>
                <w:lang w:eastAsia="en-US"/>
              </w:rPr>
              <w:t>usies</w:t>
            </w:r>
            <w:r w:rsidR="00B20F50" w:rsidRPr="008A78CD">
              <w:rPr>
                <w:rFonts w:eastAsiaTheme="minorHAnsi" w:cstheme="minorBidi"/>
                <w:lang w:eastAsia="en-US"/>
              </w:rPr>
              <w:t xml:space="preserve"> par </w:t>
            </w:r>
            <w:r w:rsidR="00B20F50">
              <w:rPr>
                <w:rFonts w:eastAsiaTheme="minorHAnsi" w:cstheme="minorBidi"/>
                <w:lang w:eastAsia="en-US"/>
              </w:rPr>
              <w:t>28,9</w:t>
            </w:r>
            <w:r w:rsidR="00B20F50" w:rsidRPr="008A78CD">
              <w:rPr>
                <w:rFonts w:eastAsiaTheme="minorHAnsi" w:cstheme="minorBidi"/>
                <w:lang w:eastAsia="en-US"/>
              </w:rPr>
              <w:t xml:space="preserve"> %</w:t>
            </w:r>
            <w:r w:rsidR="00B20F50">
              <w:rPr>
                <w:rFonts w:eastAsiaTheme="minorHAnsi" w:cstheme="minorBidi"/>
                <w:lang w:eastAsia="en-US"/>
              </w:rPr>
              <w:t>, kas noteiks tālāku apgrozījuma kritumu 2016.gadā</w:t>
            </w:r>
            <w:r w:rsidR="00B20F50" w:rsidRPr="008A78CD">
              <w:rPr>
                <w:rFonts w:eastAsiaTheme="minorHAnsi" w:cstheme="minorBidi"/>
                <w:lang w:eastAsia="en-US"/>
              </w:rPr>
              <w:t>.</w:t>
            </w:r>
          </w:p>
          <w:p w14:paraId="3C2966E6" w14:textId="77777777" w:rsidR="00A574F7" w:rsidRPr="008A78CD" w:rsidRDefault="00A574F7" w:rsidP="00A63501">
            <w:pPr>
              <w:spacing w:line="252" w:lineRule="auto"/>
              <w:jc w:val="both"/>
              <w:rPr>
                <w:rFonts w:eastAsiaTheme="minorHAnsi" w:cstheme="minorBidi"/>
                <w:lang w:eastAsia="en-US"/>
              </w:rPr>
            </w:pPr>
          </w:p>
          <w:p w14:paraId="1B5D6CBC" w14:textId="77777777" w:rsidR="00A574F7" w:rsidRPr="008A78CD" w:rsidRDefault="00A574F7" w:rsidP="00A63501">
            <w:pPr>
              <w:spacing w:line="252" w:lineRule="auto"/>
              <w:jc w:val="both"/>
              <w:rPr>
                <w:rFonts w:eastAsiaTheme="minorHAnsi" w:cstheme="minorBidi"/>
                <w:lang w:eastAsia="en-US"/>
              </w:rPr>
            </w:pPr>
            <w:r w:rsidRPr="008A78CD">
              <w:rPr>
                <w:rFonts w:eastAsiaTheme="minorHAnsi" w:cstheme="minorBidi"/>
                <w:lang w:eastAsia="en-US"/>
              </w:rPr>
              <w:t xml:space="preserve">Regulēšanas funkciju veikšana, tajā skaitā regulējamo pakalpojumu sniedzēju tarifu izvērtēšana, nodrošina tarifu atbilstību ekonomiski pamatotām izmaksām, tajā skaitā samazinot pakalpojumu tarifus un pakalpojumu sniedzēju apgrozījumu. </w:t>
            </w:r>
          </w:p>
          <w:p w14:paraId="6A212057" w14:textId="77777777" w:rsidR="00A574F7" w:rsidRPr="008A78CD" w:rsidRDefault="00A574F7" w:rsidP="00A63501">
            <w:pPr>
              <w:spacing w:line="252" w:lineRule="auto"/>
              <w:jc w:val="both"/>
              <w:rPr>
                <w:rFonts w:eastAsiaTheme="minorHAnsi" w:cstheme="minorBidi"/>
                <w:lang w:eastAsia="en-US"/>
              </w:rPr>
            </w:pPr>
            <w:r w:rsidRPr="008A78CD">
              <w:rPr>
                <w:rFonts w:eastAsiaTheme="minorHAnsi" w:cstheme="minorBidi"/>
                <w:lang w:eastAsia="en-US"/>
              </w:rPr>
              <w:t>Apstiprināti</w:t>
            </w:r>
            <w:r w:rsidR="00A63501" w:rsidRPr="008A78CD">
              <w:rPr>
                <w:rFonts w:eastAsiaTheme="minorHAnsi" w:cstheme="minorBidi"/>
                <w:lang w:eastAsia="en-US"/>
              </w:rPr>
              <w:t>e</w:t>
            </w:r>
            <w:r w:rsidRPr="008A78CD">
              <w:rPr>
                <w:rFonts w:eastAsiaTheme="minorHAnsi" w:cstheme="minorBidi"/>
                <w:lang w:eastAsia="en-US"/>
              </w:rPr>
              <w:t xml:space="preserve"> samazināti</w:t>
            </w:r>
            <w:r w:rsidR="00A63501" w:rsidRPr="008A78CD">
              <w:rPr>
                <w:rFonts w:eastAsiaTheme="minorHAnsi" w:cstheme="minorBidi"/>
                <w:lang w:eastAsia="en-US"/>
              </w:rPr>
              <w:t>e</w:t>
            </w:r>
            <w:r w:rsidRPr="008A78CD">
              <w:rPr>
                <w:rFonts w:eastAsiaTheme="minorHAnsi" w:cstheme="minorBidi"/>
                <w:lang w:eastAsia="en-US"/>
              </w:rPr>
              <w:t xml:space="preserve"> siltumapgādes gala tarifi un zemākas izmantoto energoresursu cenas (80% no siltumenerģijas apjoma, kas piegādāta par regulētiem tarifiem, tarifs ir piesaistīts dabasgāzes cenas izmaiņām) būtiski ietekmē regulējamā apgrozījuma apjomu. Regulējamo komersantu sagaidāmais apgrozījuma apjoms 2015.gadā salīdzinot ar 2014.gadu sarucis par </w:t>
            </w:r>
            <w:r w:rsidR="00B20F50">
              <w:rPr>
                <w:rFonts w:eastAsiaTheme="minorHAnsi" w:cstheme="minorBidi"/>
                <w:lang w:eastAsia="en-US"/>
              </w:rPr>
              <w:t>30,6</w:t>
            </w:r>
            <w:r w:rsidRPr="008A78CD">
              <w:rPr>
                <w:rFonts w:eastAsiaTheme="minorHAnsi" w:cstheme="minorBidi"/>
                <w:lang w:eastAsia="en-US"/>
              </w:rPr>
              <w:t xml:space="preserve"> milj. EUR.</w:t>
            </w:r>
          </w:p>
          <w:p w14:paraId="13E2A4B7" w14:textId="77777777" w:rsidR="00A574F7" w:rsidRPr="008A78CD" w:rsidRDefault="00A574F7" w:rsidP="00A63501">
            <w:pPr>
              <w:spacing w:line="252" w:lineRule="auto"/>
              <w:jc w:val="both"/>
              <w:rPr>
                <w:rFonts w:eastAsiaTheme="minorHAnsi" w:cstheme="minorBidi"/>
                <w:lang w:eastAsia="en-US"/>
              </w:rPr>
            </w:pPr>
          </w:p>
          <w:p w14:paraId="78D5C4A9" w14:textId="77777777" w:rsidR="00A574F7" w:rsidRPr="008A78CD" w:rsidRDefault="00A574F7" w:rsidP="00A63501">
            <w:pPr>
              <w:spacing w:line="252" w:lineRule="auto"/>
              <w:jc w:val="both"/>
              <w:rPr>
                <w:rFonts w:eastAsiaTheme="minorHAnsi" w:cstheme="minorBidi"/>
                <w:lang w:eastAsia="en-US"/>
              </w:rPr>
            </w:pPr>
            <w:r w:rsidRPr="008A78CD">
              <w:rPr>
                <w:rFonts w:eastAsiaTheme="minorHAnsi" w:cstheme="minorBidi"/>
                <w:lang w:eastAsia="en-US"/>
              </w:rPr>
              <w:t>Dzelzceļ</w:t>
            </w:r>
            <w:r w:rsidR="00A63501" w:rsidRPr="008A78CD">
              <w:rPr>
                <w:rFonts w:eastAsiaTheme="minorHAnsi" w:cstheme="minorBidi"/>
                <w:lang w:eastAsia="en-US"/>
              </w:rPr>
              <w:t>a transports</w:t>
            </w:r>
            <w:r w:rsidRPr="008A78CD">
              <w:rPr>
                <w:rFonts w:eastAsiaTheme="minorHAnsi" w:cstheme="minorBidi"/>
                <w:lang w:eastAsia="en-US"/>
              </w:rPr>
              <w:t>:</w:t>
            </w:r>
          </w:p>
          <w:p w14:paraId="3BE692D6" w14:textId="77777777" w:rsidR="00A574F7" w:rsidRPr="008A78CD" w:rsidRDefault="00A574F7" w:rsidP="00A63501">
            <w:pPr>
              <w:spacing w:line="252" w:lineRule="auto"/>
              <w:jc w:val="both"/>
              <w:rPr>
                <w:rFonts w:eastAsiaTheme="minorHAnsi" w:cstheme="minorBidi"/>
                <w:lang w:eastAsia="en-US"/>
              </w:rPr>
            </w:pPr>
            <w:r w:rsidRPr="008A78CD">
              <w:rPr>
                <w:rFonts w:eastAsiaTheme="minorHAnsi" w:cstheme="minorBidi"/>
                <w:lang w:eastAsia="en-US"/>
              </w:rPr>
              <w:lastRenderedPageBreak/>
              <w:t>Savukārt, saistībā ar grozījumiem Likumā un Dzelzceļa likumā, lai ieviestu Eiropas Parlamenta un Padomes 2012.gada 21.novembra direktīvas 2012/34/ES, ar ko izveido vienotu Eiropas dzelzceļa telpu, prasības, tiek plānots, ka 2016.gadā dzelzceļa transports vairs nebūs regulējamā nozare Likuma izpratnē. Līdz ar to dzelzceļa nozares komersanti vairs neveiks nodevas maksājumus, novērtētais regulējam</w:t>
            </w:r>
            <w:r w:rsidR="00A63501" w:rsidRPr="008A78CD">
              <w:rPr>
                <w:rFonts w:eastAsiaTheme="minorHAnsi" w:cstheme="minorBidi"/>
                <w:lang w:eastAsia="en-US"/>
              </w:rPr>
              <w:t>ā</w:t>
            </w:r>
            <w:r w:rsidRPr="008A78CD">
              <w:rPr>
                <w:rFonts w:eastAsiaTheme="minorHAnsi" w:cstheme="minorBidi"/>
                <w:lang w:eastAsia="en-US"/>
              </w:rPr>
              <w:t xml:space="preserve"> apgrozījuma samazinājums 232 milj. EUR.</w:t>
            </w:r>
          </w:p>
          <w:p w14:paraId="179BF6EF" w14:textId="77777777" w:rsidR="00A574F7" w:rsidRPr="008A78CD" w:rsidRDefault="00A574F7" w:rsidP="00A63501">
            <w:pPr>
              <w:spacing w:line="252" w:lineRule="auto"/>
              <w:jc w:val="both"/>
              <w:rPr>
                <w:rFonts w:eastAsiaTheme="minorHAnsi" w:cstheme="minorBidi"/>
                <w:lang w:eastAsia="en-US"/>
              </w:rPr>
            </w:pPr>
          </w:p>
          <w:p w14:paraId="555CE479" w14:textId="77777777" w:rsidR="00A574F7" w:rsidRPr="008A78CD" w:rsidRDefault="00A574F7" w:rsidP="00A63501">
            <w:pPr>
              <w:spacing w:line="252" w:lineRule="auto"/>
              <w:jc w:val="both"/>
              <w:rPr>
                <w:rFonts w:eastAsiaTheme="minorHAnsi" w:cstheme="minorBidi"/>
                <w:lang w:eastAsia="en-US"/>
              </w:rPr>
            </w:pPr>
            <w:r w:rsidRPr="008A78CD">
              <w:rPr>
                <w:rFonts w:eastAsiaTheme="minorHAnsi" w:cstheme="minorBidi"/>
                <w:lang w:eastAsia="en-US"/>
              </w:rPr>
              <w:t>Ūdenssaimniecība:</w:t>
            </w:r>
          </w:p>
          <w:p w14:paraId="67B5D1E4" w14:textId="77777777" w:rsidR="00A574F7" w:rsidRPr="008A78CD" w:rsidRDefault="00A574F7" w:rsidP="00A63501">
            <w:pPr>
              <w:spacing w:line="252" w:lineRule="auto"/>
              <w:jc w:val="both"/>
              <w:rPr>
                <w:rFonts w:eastAsiaTheme="minorHAnsi" w:cstheme="minorBidi"/>
                <w:lang w:eastAsia="en-US"/>
              </w:rPr>
            </w:pPr>
            <w:r w:rsidRPr="008A78CD">
              <w:rPr>
                <w:rFonts w:eastAsiaTheme="minorHAnsi" w:cstheme="minorBidi"/>
                <w:lang w:eastAsia="en-US"/>
              </w:rPr>
              <w:t xml:space="preserve">Līdz ar 2015.gada 24.februāra Ministru kabineta noteikumiem Nr. 94 </w:t>
            </w:r>
            <w:r w:rsidRPr="008A78CD">
              <w:rPr>
                <w:rFonts w:eastAsiaTheme="minorHAnsi"/>
                <w:lang w:eastAsia="en-US"/>
              </w:rPr>
              <w:t>„</w:t>
            </w:r>
            <w:r w:rsidRPr="008A78CD">
              <w:rPr>
                <w:rFonts w:eastAsiaTheme="minorHAnsi" w:cstheme="minorBidi"/>
                <w:lang w:eastAsia="en-US"/>
              </w:rPr>
              <w:t xml:space="preserve">Grozījumi Ministru kabineta 2009.gada 27.oktobra noteikumos Nr.1227 </w:t>
            </w:r>
            <w:r w:rsidRPr="008A78CD">
              <w:rPr>
                <w:rFonts w:eastAsiaTheme="minorHAnsi"/>
                <w:lang w:eastAsia="en-US"/>
              </w:rPr>
              <w:t>„</w:t>
            </w:r>
            <w:r w:rsidRPr="008A78CD">
              <w:rPr>
                <w:rFonts w:eastAsiaTheme="minorHAnsi" w:cstheme="minorBidi"/>
                <w:lang w:eastAsia="en-US"/>
              </w:rPr>
              <w:t>Noteikumi par regulējamiem sabiedrisko pakalpojumu veidiem”” (stājās spēkā 2015.gada 27.februārī) ir noteikts ūdenssaimniecības nozares komersantu sniegto pakalpojumu minimālais apjoms, kā rezultātā samazinās regulējamo komersantu skaits. Novērtētais apgrozījuma samazinājums veido 2,8 milj. EUR.</w:t>
            </w:r>
          </w:p>
          <w:p w14:paraId="45421329" w14:textId="77777777" w:rsidR="00A574F7" w:rsidRPr="008A78CD" w:rsidRDefault="00A574F7" w:rsidP="00A63501">
            <w:pPr>
              <w:spacing w:line="252" w:lineRule="auto"/>
              <w:jc w:val="both"/>
              <w:rPr>
                <w:rFonts w:eastAsiaTheme="minorHAnsi" w:cstheme="minorBidi"/>
                <w:lang w:eastAsia="en-US"/>
              </w:rPr>
            </w:pPr>
          </w:p>
          <w:p w14:paraId="12E5E4FD" w14:textId="77777777" w:rsidR="00A574F7" w:rsidRPr="008A78CD" w:rsidRDefault="00A574F7" w:rsidP="00A63501">
            <w:pPr>
              <w:spacing w:line="252" w:lineRule="auto"/>
              <w:jc w:val="both"/>
              <w:rPr>
                <w:rFonts w:eastAsiaTheme="minorHAnsi" w:cstheme="minorBidi"/>
                <w:lang w:eastAsia="en-US"/>
              </w:rPr>
            </w:pPr>
            <w:r w:rsidRPr="008A78CD">
              <w:rPr>
                <w:rFonts w:eastAsiaTheme="minorHAnsi" w:cstheme="minorBidi"/>
                <w:lang w:eastAsia="en-US"/>
              </w:rPr>
              <w:t>Elektroniskie sakari:</w:t>
            </w:r>
          </w:p>
          <w:p w14:paraId="188E7044" w14:textId="77777777" w:rsidR="00A574F7" w:rsidRPr="008A78CD" w:rsidRDefault="00A574F7" w:rsidP="00A63501">
            <w:pPr>
              <w:spacing w:line="252" w:lineRule="auto"/>
              <w:jc w:val="both"/>
              <w:rPr>
                <w:rFonts w:eastAsiaTheme="minorHAnsi" w:cstheme="minorBidi"/>
                <w:lang w:eastAsia="en-US"/>
              </w:rPr>
            </w:pPr>
            <w:r w:rsidRPr="008A78CD">
              <w:rPr>
                <w:rFonts w:eastAsiaTheme="minorHAnsi" w:cstheme="minorBidi"/>
                <w:lang w:eastAsia="en-US"/>
              </w:rPr>
              <w:t xml:space="preserve">Elektronisko sakaru jomā, ieviešot Eiropas vienoto regulējumu </w:t>
            </w:r>
            <w:proofErr w:type="spellStart"/>
            <w:r w:rsidRPr="008A78CD">
              <w:rPr>
                <w:rFonts w:eastAsiaTheme="minorHAnsi" w:cstheme="minorBidi"/>
                <w:lang w:eastAsia="en-US"/>
              </w:rPr>
              <w:t>vairumtirgus</w:t>
            </w:r>
            <w:proofErr w:type="spellEnd"/>
            <w:r w:rsidRPr="008A78CD">
              <w:rPr>
                <w:rFonts w:eastAsiaTheme="minorHAnsi" w:cstheme="minorBidi"/>
                <w:lang w:eastAsia="en-US"/>
              </w:rPr>
              <w:t xml:space="preserve"> līmenī un stiprinot konkurenci palielinās ietekme uz pakalpojumu cenām un samazinās regulēto pakalpojumu apgrozījums. </w:t>
            </w:r>
            <w:r w:rsidR="00BE143D" w:rsidRPr="008A78CD">
              <w:rPr>
                <w:rFonts w:eastAsiaTheme="minorHAnsi" w:cstheme="minorBidi"/>
                <w:lang w:eastAsia="en-US"/>
              </w:rPr>
              <w:t>201</w:t>
            </w:r>
            <w:r w:rsidR="00BE143D">
              <w:rPr>
                <w:rFonts w:eastAsiaTheme="minorHAnsi" w:cstheme="minorBidi"/>
                <w:lang w:eastAsia="en-US"/>
              </w:rPr>
              <w:t>5</w:t>
            </w:r>
            <w:r w:rsidRPr="008A78CD">
              <w:rPr>
                <w:rFonts w:eastAsiaTheme="minorHAnsi" w:cstheme="minorBidi"/>
                <w:lang w:eastAsia="en-US"/>
              </w:rPr>
              <w:t xml:space="preserve">.gadā salīdzinot ar </w:t>
            </w:r>
            <w:r w:rsidR="00BE143D" w:rsidRPr="008A78CD">
              <w:rPr>
                <w:rFonts w:eastAsiaTheme="minorHAnsi" w:cstheme="minorBidi"/>
                <w:lang w:eastAsia="en-US"/>
              </w:rPr>
              <w:t>201</w:t>
            </w:r>
            <w:r w:rsidR="00BE143D">
              <w:rPr>
                <w:rFonts w:eastAsiaTheme="minorHAnsi" w:cstheme="minorBidi"/>
                <w:lang w:eastAsia="en-US"/>
              </w:rPr>
              <w:t>4</w:t>
            </w:r>
            <w:r w:rsidRPr="008A78CD">
              <w:rPr>
                <w:rFonts w:eastAsiaTheme="minorHAnsi" w:cstheme="minorBidi"/>
                <w:lang w:eastAsia="en-US"/>
              </w:rPr>
              <w:t xml:space="preserve">.gadu apgrozījums samazinājies par </w:t>
            </w:r>
            <w:r w:rsidR="00BE143D">
              <w:rPr>
                <w:rFonts w:eastAsiaTheme="minorHAnsi" w:cstheme="minorBidi"/>
                <w:lang w:eastAsia="en-US"/>
              </w:rPr>
              <w:t>2,6</w:t>
            </w:r>
            <w:r w:rsidRPr="008A78CD">
              <w:rPr>
                <w:rFonts w:eastAsiaTheme="minorHAnsi" w:cstheme="minorBidi"/>
                <w:lang w:eastAsia="en-US"/>
              </w:rPr>
              <w:t>%, bet pēdējo piecu gadu laikā apgrozījums samazinājies par 18%.</w:t>
            </w:r>
          </w:p>
          <w:p w14:paraId="2B759694" w14:textId="77777777" w:rsidR="00A574F7" w:rsidRDefault="00A574F7" w:rsidP="00A63501">
            <w:pPr>
              <w:spacing w:line="252" w:lineRule="auto"/>
              <w:jc w:val="both"/>
              <w:rPr>
                <w:rFonts w:eastAsiaTheme="minorHAnsi" w:cstheme="minorBidi"/>
                <w:lang w:eastAsia="en-US"/>
              </w:rPr>
            </w:pPr>
          </w:p>
          <w:p w14:paraId="42F8DCF6" w14:textId="77777777" w:rsidR="008A4E27" w:rsidRDefault="008A4E27" w:rsidP="00A63501">
            <w:pPr>
              <w:spacing w:line="252" w:lineRule="auto"/>
              <w:jc w:val="both"/>
              <w:rPr>
                <w:rFonts w:eastAsiaTheme="minorHAnsi" w:cstheme="minorBidi"/>
                <w:lang w:eastAsia="en-US"/>
              </w:rPr>
            </w:pPr>
          </w:p>
          <w:p w14:paraId="00AB177F" w14:textId="13A00012" w:rsidR="003E6B47" w:rsidRDefault="003E6B47" w:rsidP="00F87F96">
            <w:pPr>
              <w:spacing w:after="80"/>
              <w:jc w:val="both"/>
            </w:pPr>
            <w:r>
              <w:t>Ja</w:t>
            </w:r>
            <w:r w:rsidR="00A574F7" w:rsidRPr="008A78CD">
              <w:t xml:space="preserve"> </w:t>
            </w:r>
            <w:r>
              <w:t xml:space="preserve">saskaņā ar noteikumu projektu </w:t>
            </w:r>
            <w:r w:rsidR="008A78CD" w:rsidRPr="008A78CD">
              <w:t>no 201</w:t>
            </w:r>
            <w:r w:rsidR="00363DFE">
              <w:t>7</w:t>
            </w:r>
            <w:r w:rsidR="008A78CD" w:rsidRPr="008A78CD">
              <w:t>.gada 1.</w:t>
            </w:r>
            <w:r w:rsidR="00363DFE">
              <w:t>janvāra</w:t>
            </w:r>
            <w:r w:rsidR="00363DFE" w:rsidRPr="008A78CD">
              <w:t xml:space="preserve"> </w:t>
            </w:r>
            <w:r w:rsidR="00E243C7" w:rsidRPr="008A78CD">
              <w:t>valsts nodevas likm</w:t>
            </w:r>
            <w:r>
              <w:t>e</w:t>
            </w:r>
            <w:r w:rsidR="00A574F7" w:rsidRPr="008A78CD">
              <w:t xml:space="preserve"> </w:t>
            </w:r>
            <w:r>
              <w:t xml:space="preserve">tiek palielināta </w:t>
            </w:r>
            <w:r w:rsidR="00E243C7" w:rsidRPr="008A78CD">
              <w:t xml:space="preserve">no 0,17% uz </w:t>
            </w:r>
            <w:r w:rsidR="00A574F7" w:rsidRPr="008A78CD">
              <w:t>0,</w:t>
            </w:r>
            <w:r w:rsidR="00941C39" w:rsidRPr="008A78CD">
              <w:t>2%</w:t>
            </w:r>
            <w:r>
              <w:t>,</w:t>
            </w:r>
            <w:r w:rsidR="00941C39" w:rsidRPr="008A78CD">
              <w:t xml:space="preserve"> </w:t>
            </w:r>
            <w:r w:rsidRPr="008A78CD">
              <w:t>valsts nodevas ieņēmumi</w:t>
            </w:r>
            <w:r>
              <w:t xml:space="preserve"> </w:t>
            </w:r>
            <w:r w:rsidR="00A574F7" w:rsidRPr="008A78CD">
              <w:t xml:space="preserve">2017.gadā un 2018.gadā </w:t>
            </w:r>
            <w:r w:rsidR="00941C39" w:rsidRPr="008A78CD">
              <w:t>plānoti</w:t>
            </w:r>
            <w:r w:rsidR="00A574F7" w:rsidRPr="008A78CD">
              <w:t xml:space="preserve"> </w:t>
            </w:r>
            <w:r w:rsidR="00E243C7" w:rsidRPr="008A78CD">
              <w:t>4 48</w:t>
            </w:r>
            <w:r w:rsidR="000C0451" w:rsidRPr="008A78CD">
              <w:t>4</w:t>
            </w:r>
            <w:r w:rsidR="00E243C7" w:rsidRPr="008A78CD">
              <w:t> </w:t>
            </w:r>
            <w:r w:rsidR="000C0451" w:rsidRPr="008A78CD">
              <w:t>113</w:t>
            </w:r>
            <w:r w:rsidR="00A574F7" w:rsidRPr="008A78CD">
              <w:t xml:space="preserve"> EUR.</w:t>
            </w:r>
          </w:p>
          <w:p w14:paraId="2ACBB610" w14:textId="1C750356" w:rsidR="00145246" w:rsidRPr="008A78CD" w:rsidRDefault="00145246" w:rsidP="00F87F96">
            <w:pPr>
              <w:spacing w:after="80"/>
              <w:jc w:val="both"/>
            </w:pPr>
            <w:r>
              <w:t xml:space="preserve">Ņemot vērā prognozēto regulējamo komersantu apgrozījumu un no 2017.gada 1.janvāra nosakot visiem komersantiem vienotu valsts nodevas likmi 0,2% apmērā, valsts pamatbudžeta ieņēmumi salīdzinājumā ar apstiprinātajā budžetā plānoto </w:t>
            </w:r>
            <w:r w:rsidR="008A4E27">
              <w:t xml:space="preserve">2017. un 2018.gadā </w:t>
            </w:r>
            <w:r>
              <w:t>samazinātos par 314 679 EUR</w:t>
            </w:r>
            <w:r w:rsidR="008A4E27">
              <w:t xml:space="preserve"> ik gadu</w:t>
            </w:r>
            <w:r>
              <w:t xml:space="preserve">. </w:t>
            </w:r>
          </w:p>
        </w:tc>
      </w:tr>
      <w:tr w:rsidR="00A574F7" w:rsidRPr="008A78CD" w14:paraId="123A6DFC" w14:textId="77777777"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14:paraId="7AE9B1E4" w14:textId="77777777" w:rsidR="00A574F7" w:rsidRPr="008A78CD" w:rsidRDefault="00A574F7" w:rsidP="00FF5D32">
            <w:pPr>
              <w:spacing w:after="120"/>
            </w:pPr>
            <w:r w:rsidRPr="008A78CD">
              <w:lastRenderedPageBreak/>
              <w:t>6.1. detalizēts ieņēmumu aprēķins</w:t>
            </w:r>
          </w:p>
        </w:tc>
        <w:tc>
          <w:tcPr>
            <w:tcW w:w="3727" w:type="pct"/>
            <w:gridSpan w:val="5"/>
            <w:vMerge/>
            <w:tcBorders>
              <w:top w:val="outset" w:sz="6" w:space="0" w:color="auto"/>
              <w:left w:val="outset" w:sz="6" w:space="0" w:color="auto"/>
              <w:bottom w:val="outset" w:sz="6" w:space="0" w:color="auto"/>
              <w:right w:val="outset" w:sz="6" w:space="0" w:color="auto"/>
            </w:tcBorders>
            <w:vAlign w:val="center"/>
            <w:hideMark/>
          </w:tcPr>
          <w:p w14:paraId="725A6DFD" w14:textId="77777777" w:rsidR="00A574F7" w:rsidRPr="008A78CD" w:rsidRDefault="00A574F7" w:rsidP="00A574F7"/>
        </w:tc>
      </w:tr>
      <w:tr w:rsidR="00A574F7" w:rsidRPr="008A78CD" w14:paraId="20DD83E1" w14:textId="77777777" w:rsidTr="00281B49">
        <w:trPr>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14:paraId="669A25C0" w14:textId="77777777" w:rsidR="00A574F7" w:rsidRPr="008A78CD" w:rsidRDefault="00A574F7" w:rsidP="00A574F7">
            <w:r w:rsidRPr="008A78CD">
              <w:t>6.2. detalizēts izdevumu aprēķins</w:t>
            </w:r>
          </w:p>
        </w:tc>
        <w:tc>
          <w:tcPr>
            <w:tcW w:w="3727" w:type="pct"/>
            <w:gridSpan w:val="5"/>
            <w:vMerge/>
            <w:tcBorders>
              <w:top w:val="outset" w:sz="6" w:space="0" w:color="auto"/>
              <w:left w:val="outset" w:sz="6" w:space="0" w:color="auto"/>
              <w:bottom w:val="outset" w:sz="6" w:space="0" w:color="auto"/>
              <w:right w:val="outset" w:sz="6" w:space="0" w:color="auto"/>
            </w:tcBorders>
            <w:vAlign w:val="center"/>
            <w:hideMark/>
          </w:tcPr>
          <w:p w14:paraId="42A72259" w14:textId="77777777" w:rsidR="00A574F7" w:rsidRPr="008A78CD" w:rsidRDefault="00A574F7" w:rsidP="00A574F7"/>
        </w:tc>
      </w:tr>
      <w:tr w:rsidR="00A574F7" w:rsidRPr="008A78CD" w14:paraId="66860591" w14:textId="77777777" w:rsidTr="00281B49">
        <w:trPr>
          <w:trHeight w:val="555"/>
          <w:tblCellSpacing w:w="15" w:type="dxa"/>
          <w:jc w:val="center"/>
        </w:trPr>
        <w:tc>
          <w:tcPr>
            <w:tcW w:w="1223" w:type="pct"/>
            <w:tcBorders>
              <w:top w:val="outset" w:sz="6" w:space="0" w:color="auto"/>
              <w:left w:val="outset" w:sz="6" w:space="0" w:color="auto"/>
              <w:bottom w:val="outset" w:sz="6" w:space="0" w:color="auto"/>
              <w:right w:val="outset" w:sz="6" w:space="0" w:color="auto"/>
            </w:tcBorders>
            <w:hideMark/>
          </w:tcPr>
          <w:p w14:paraId="6D191684" w14:textId="77777777" w:rsidR="00A574F7" w:rsidRPr="008A78CD" w:rsidRDefault="00A574F7" w:rsidP="00A574F7">
            <w:r w:rsidRPr="008A78CD">
              <w:lastRenderedPageBreak/>
              <w:t>7. Cita informācija</w:t>
            </w:r>
          </w:p>
        </w:tc>
        <w:tc>
          <w:tcPr>
            <w:tcW w:w="3727" w:type="pct"/>
            <w:gridSpan w:val="5"/>
            <w:tcBorders>
              <w:top w:val="outset" w:sz="6" w:space="0" w:color="auto"/>
              <w:left w:val="outset" w:sz="6" w:space="0" w:color="auto"/>
              <w:bottom w:val="outset" w:sz="6" w:space="0" w:color="auto"/>
              <w:right w:val="outset" w:sz="6" w:space="0" w:color="auto"/>
            </w:tcBorders>
            <w:hideMark/>
          </w:tcPr>
          <w:p w14:paraId="7681C69A" w14:textId="77777777" w:rsidR="00A574F7" w:rsidRDefault="00A574F7" w:rsidP="00F87F96">
            <w:pPr>
              <w:spacing w:after="80"/>
              <w:jc w:val="both"/>
            </w:pPr>
            <w:r w:rsidRPr="008A78CD">
              <w:t xml:space="preserve">Ietekme uz valsts budžetu ir </w:t>
            </w:r>
            <w:r w:rsidRPr="00AC77F5">
              <w:t xml:space="preserve">0, jo saskaņā ar </w:t>
            </w:r>
            <w:r w:rsidR="00DD2579" w:rsidRPr="00AC77F5">
              <w:t xml:space="preserve">2009.gada 22.decembra Ministru kabineta </w:t>
            </w:r>
            <w:r w:rsidRPr="00AC77F5">
              <w:t xml:space="preserve">noteikumu </w:t>
            </w:r>
            <w:r w:rsidR="00DD2579" w:rsidRPr="00AC77F5">
              <w:t xml:space="preserve">Nr.1623 “Noteikumi par valsts nodevas likmi par sabiedrisko pakalpojumu regulēšanu un nodevas maksāšanas kārtību” </w:t>
            </w:r>
            <w:r w:rsidRPr="00AC77F5">
              <w:t xml:space="preserve">6.punktu, ja kalendārā </w:t>
            </w:r>
            <w:r w:rsidRPr="008A78CD">
              <w:t>gadā samaksātā valsts nodeva pārsniedz regulatora darbības nodrošināšanai attiecīgajā gadā nepieciešamās izmaksas, nākamajā gadā komersantam valsts nodevu par pārmaksāto summu samazina proporcionāli katra sabiedrisko pakalpojumu sniedzēja iemaksātās valsts nodevas lielumam attiecīgajā gadā. Līdz ar to kopējās izmaksas ir vienādas ar ieņēmumiem.</w:t>
            </w:r>
          </w:p>
          <w:p w14:paraId="6BACFD80" w14:textId="69BFA187" w:rsidR="007A178A" w:rsidRPr="008A78CD" w:rsidRDefault="007A178A" w:rsidP="008A4E27">
            <w:pPr>
              <w:spacing w:after="80"/>
              <w:jc w:val="both"/>
            </w:pPr>
            <w:r w:rsidRPr="008F7259">
              <w:t>No 201</w:t>
            </w:r>
            <w:r w:rsidR="00536E06">
              <w:t>7</w:t>
            </w:r>
            <w:r w:rsidRPr="008F7259">
              <w:t xml:space="preserve">.gada </w:t>
            </w:r>
            <w:r w:rsidR="00536E06">
              <w:t>1.janvāra,</w:t>
            </w:r>
            <w:r w:rsidRPr="008F7259">
              <w:t xml:space="preserve"> nosakot visiem komersantiem vienotu nodevas likmi 0,2% apmērā</w:t>
            </w:r>
            <w:r w:rsidR="00A233DC" w:rsidRPr="008F7259">
              <w:t xml:space="preserve">, kā </w:t>
            </w:r>
            <w:r w:rsidR="00A233DC" w:rsidRPr="008A4E27">
              <w:t>arī 201</w:t>
            </w:r>
            <w:r w:rsidR="00B449A0" w:rsidRPr="008A4E27">
              <w:t>8.gadā</w:t>
            </w:r>
            <w:r w:rsidR="00B449A0">
              <w:t>,</w:t>
            </w:r>
            <w:r w:rsidR="00A233DC" w:rsidRPr="008F7259">
              <w:t xml:space="preserve"> </w:t>
            </w:r>
            <w:r w:rsidRPr="008F7259">
              <w:t xml:space="preserve">saglabājoties </w:t>
            </w:r>
            <w:r w:rsidR="00A233DC" w:rsidRPr="008F7259">
              <w:t xml:space="preserve">prognozētajam </w:t>
            </w:r>
            <w:r w:rsidRPr="008F7259">
              <w:t>komersantu apgrozījumam</w:t>
            </w:r>
            <w:r w:rsidR="00A233DC" w:rsidRPr="008F7259">
              <w:t xml:space="preserve"> aprēķinos minētajā apjomā</w:t>
            </w:r>
            <w:r w:rsidR="00842123" w:rsidRPr="008F7259">
              <w:t xml:space="preserve">, </w:t>
            </w:r>
            <w:r w:rsidR="00A233DC" w:rsidRPr="008F7259">
              <w:t>pieejamais finans</w:t>
            </w:r>
            <w:r w:rsidR="00842123" w:rsidRPr="008F7259">
              <w:t>ējums tiktu</w:t>
            </w:r>
            <w:r w:rsidR="00A233DC" w:rsidRPr="008F7259">
              <w:t xml:space="preserve"> </w:t>
            </w:r>
            <w:r w:rsidR="00842123" w:rsidRPr="008F7259">
              <w:t>ņemts par pamatu</w:t>
            </w:r>
            <w:r w:rsidR="008F7259" w:rsidRPr="008F7259">
              <w:t>,</w:t>
            </w:r>
            <w:r w:rsidR="00A233DC" w:rsidRPr="008F7259">
              <w:t xml:space="preserve"> </w:t>
            </w:r>
            <w:r w:rsidR="00842123" w:rsidRPr="008F7259">
              <w:t xml:space="preserve">plānojot un </w:t>
            </w:r>
            <w:r w:rsidR="00A233DC" w:rsidRPr="008F7259">
              <w:lastRenderedPageBreak/>
              <w:t xml:space="preserve">sagatavojot Regulatora budžeta pieprasījumus attiecīgajam kalendārajam gadam, </w:t>
            </w:r>
            <w:r w:rsidR="00842123" w:rsidRPr="008F7259">
              <w:t>nepieciešamības</w:t>
            </w:r>
            <w:r w:rsidR="00A233DC" w:rsidRPr="008F7259">
              <w:t xml:space="preserve"> gadījumā </w:t>
            </w:r>
            <w:r w:rsidR="00842123" w:rsidRPr="008F7259">
              <w:t>veicot papildus Regulatora izmaksu optimizācijas</w:t>
            </w:r>
            <w:r w:rsidR="00A233DC" w:rsidRPr="008F7259">
              <w:t xml:space="preserve"> pasākumus</w:t>
            </w:r>
            <w:r w:rsidR="00842123" w:rsidRPr="008F7259">
              <w:t>.</w:t>
            </w:r>
          </w:p>
        </w:tc>
      </w:tr>
    </w:tbl>
    <w:p w14:paraId="3E90856F" w14:textId="77777777" w:rsidR="00A574F7" w:rsidRPr="008A78CD" w:rsidRDefault="00A574F7" w:rsidP="00C54770">
      <w:pPr>
        <w:ind w:firstLine="301"/>
        <w:rPr>
          <w:rFonts w:ascii="Arial" w:hAnsi="Arial" w:cs="Arial"/>
          <w:sz w:val="20"/>
          <w:szCs w:val="20"/>
        </w:rPr>
      </w:pPr>
    </w:p>
    <w:p w14:paraId="495BD388" w14:textId="77777777" w:rsidR="00C54770" w:rsidRDefault="00A574F7" w:rsidP="00C54770">
      <w:pPr>
        <w:rPr>
          <w:rFonts w:ascii="Arial" w:hAnsi="Arial" w:cs="Arial"/>
          <w:sz w:val="20"/>
          <w:szCs w:val="20"/>
        </w:rPr>
      </w:pPr>
      <w:r w:rsidRPr="008A78CD">
        <w:rPr>
          <w:rFonts w:ascii="Arial" w:hAnsi="Arial" w:cs="Arial"/>
          <w:sz w:val="20"/>
          <w:szCs w:val="20"/>
        </w:rPr>
        <w:t> </w:t>
      </w:r>
    </w:p>
    <w:p w14:paraId="62CEEAEF" w14:textId="77777777" w:rsidR="00F87F96" w:rsidRDefault="00F87F96" w:rsidP="00C54770">
      <w:pPr>
        <w:rPr>
          <w:rFonts w:eastAsiaTheme="minorHAnsi" w:cstheme="minorBidi"/>
          <w:i/>
          <w:szCs w:val="22"/>
          <w:lang w:eastAsia="en-US"/>
        </w:rPr>
      </w:pPr>
    </w:p>
    <w:p w14:paraId="3717CD8F" w14:textId="77777777" w:rsidR="00F87F96" w:rsidRPr="00A574F7" w:rsidRDefault="00F87F96" w:rsidP="00C54770">
      <w:pPr>
        <w:rPr>
          <w:rFonts w:eastAsiaTheme="minorHAnsi" w:cstheme="minorBidi"/>
          <w:i/>
          <w:szCs w:val="22"/>
          <w:lang w:eastAsia="en-US"/>
        </w:rPr>
      </w:pPr>
    </w:p>
    <w:tbl>
      <w:tblPr>
        <w:tblW w:w="5026"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85"/>
        <w:gridCol w:w="2616"/>
        <w:gridCol w:w="5835"/>
        <w:gridCol w:w="167"/>
      </w:tblGrid>
      <w:tr w:rsidR="00C54770" w:rsidRPr="00C54770" w14:paraId="517A365A" w14:textId="77777777" w:rsidTr="00637890">
        <w:trPr>
          <w:gridAfter w:val="1"/>
          <w:wAfter w:w="50" w:type="pct"/>
          <w:trHeight w:val="336"/>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35AEA8" w14:textId="77777777" w:rsidR="00C54770" w:rsidRPr="00C54770" w:rsidRDefault="00C54770" w:rsidP="0059242E">
            <w:pPr>
              <w:spacing w:before="100" w:beforeAutospacing="1" w:after="100" w:afterAutospacing="1"/>
              <w:jc w:val="center"/>
              <w:rPr>
                <w:b/>
                <w:bCs/>
              </w:rPr>
            </w:pPr>
            <w:r w:rsidRPr="00C54770">
              <w:rPr>
                <w:b/>
                <w:bCs/>
              </w:rPr>
              <w:t>VI. Sabiedrības līdzdalība un komunikācijas aktivitātes</w:t>
            </w:r>
          </w:p>
        </w:tc>
      </w:tr>
      <w:tr w:rsidR="00C54770" w:rsidRPr="00C54770" w14:paraId="065488A8" w14:textId="77777777" w:rsidTr="00637890">
        <w:trPr>
          <w:trHeight w:val="432"/>
          <w:tblCellSpacing w:w="15" w:type="dxa"/>
          <w:jc w:val="center"/>
        </w:trPr>
        <w:tc>
          <w:tcPr>
            <w:tcW w:w="243" w:type="pct"/>
            <w:tcBorders>
              <w:top w:val="outset" w:sz="6" w:space="0" w:color="auto"/>
              <w:left w:val="outset" w:sz="6" w:space="0" w:color="auto"/>
              <w:bottom w:val="outset" w:sz="6" w:space="0" w:color="auto"/>
              <w:right w:val="outset" w:sz="6" w:space="0" w:color="auto"/>
            </w:tcBorders>
            <w:hideMark/>
          </w:tcPr>
          <w:p w14:paraId="5883F3EF" w14:textId="77777777" w:rsidR="00C54770" w:rsidRPr="00C54770" w:rsidRDefault="00C54770" w:rsidP="0059242E">
            <w:r w:rsidRPr="00C54770">
              <w:t>1.</w:t>
            </w:r>
          </w:p>
        </w:tc>
        <w:tc>
          <w:tcPr>
            <w:tcW w:w="1425" w:type="pct"/>
            <w:tcBorders>
              <w:top w:val="outset" w:sz="6" w:space="0" w:color="auto"/>
              <w:left w:val="outset" w:sz="6" w:space="0" w:color="auto"/>
              <w:bottom w:val="outset" w:sz="6" w:space="0" w:color="auto"/>
              <w:right w:val="outset" w:sz="6" w:space="0" w:color="auto"/>
            </w:tcBorders>
            <w:hideMark/>
          </w:tcPr>
          <w:p w14:paraId="5931FE7A" w14:textId="77777777" w:rsidR="00C54770" w:rsidRPr="00C54770" w:rsidRDefault="00C54770" w:rsidP="0059242E">
            <w:r w:rsidRPr="00C54770">
              <w:t>Plānotās sabiedrības līdzdalības un komunikācijas aktivitātes saistībā ar projektu</w:t>
            </w:r>
          </w:p>
        </w:tc>
        <w:tc>
          <w:tcPr>
            <w:tcW w:w="3267" w:type="pct"/>
            <w:gridSpan w:val="2"/>
            <w:tcBorders>
              <w:top w:val="outset" w:sz="6" w:space="0" w:color="auto"/>
              <w:left w:val="outset" w:sz="6" w:space="0" w:color="auto"/>
              <w:bottom w:val="outset" w:sz="6" w:space="0" w:color="auto"/>
              <w:right w:val="outset" w:sz="6" w:space="0" w:color="auto"/>
            </w:tcBorders>
            <w:hideMark/>
          </w:tcPr>
          <w:p w14:paraId="6DFC6250" w14:textId="77777777" w:rsidR="00C54770" w:rsidRPr="00C54770" w:rsidRDefault="00C54770" w:rsidP="00C54770">
            <w:pPr>
              <w:jc w:val="both"/>
            </w:pPr>
            <w:r w:rsidRPr="00C54770">
              <w:rPr>
                <w:iCs/>
              </w:rPr>
              <w:t xml:space="preserve">Noteikumu projekts tiks nosūtīts viedokļa sniegšanai </w:t>
            </w:r>
            <w:r w:rsidRPr="00C54770">
              <w:rPr>
                <w:bCs/>
              </w:rPr>
              <w:t>Latvijas Darba devēju konfederācijai, Latvijas Tirdzniecības un rūpniecības kamerai, Latvijas Informācijas un komunikācijas tehnoloģijas asociācijai, Latvijas Telekomunikāciju asociācijai.</w:t>
            </w:r>
          </w:p>
        </w:tc>
      </w:tr>
      <w:tr w:rsidR="00C54770" w:rsidRPr="00C54770" w14:paraId="23A4ABDB" w14:textId="77777777" w:rsidTr="00637890">
        <w:trPr>
          <w:gridAfter w:val="1"/>
          <w:wAfter w:w="50" w:type="pct"/>
          <w:trHeight w:val="264"/>
          <w:tblCellSpacing w:w="15" w:type="dxa"/>
          <w:jc w:val="center"/>
        </w:trPr>
        <w:tc>
          <w:tcPr>
            <w:tcW w:w="243" w:type="pct"/>
            <w:tcBorders>
              <w:top w:val="outset" w:sz="6" w:space="0" w:color="auto"/>
              <w:left w:val="outset" w:sz="6" w:space="0" w:color="auto"/>
              <w:bottom w:val="outset" w:sz="6" w:space="0" w:color="auto"/>
              <w:right w:val="outset" w:sz="6" w:space="0" w:color="auto"/>
            </w:tcBorders>
            <w:hideMark/>
          </w:tcPr>
          <w:p w14:paraId="740B5697" w14:textId="77777777" w:rsidR="00C54770" w:rsidRPr="00C54770" w:rsidRDefault="00C54770" w:rsidP="0059242E">
            <w:r w:rsidRPr="00C54770">
              <w:t>2.</w:t>
            </w:r>
          </w:p>
        </w:tc>
        <w:tc>
          <w:tcPr>
            <w:tcW w:w="1425" w:type="pct"/>
            <w:tcBorders>
              <w:top w:val="outset" w:sz="6" w:space="0" w:color="auto"/>
              <w:left w:val="outset" w:sz="6" w:space="0" w:color="auto"/>
              <w:bottom w:val="outset" w:sz="6" w:space="0" w:color="auto"/>
              <w:right w:val="outset" w:sz="6" w:space="0" w:color="auto"/>
            </w:tcBorders>
            <w:hideMark/>
          </w:tcPr>
          <w:p w14:paraId="7205DC95" w14:textId="77777777" w:rsidR="00C54770" w:rsidRPr="00943A89" w:rsidRDefault="00C54770" w:rsidP="0059242E">
            <w:r w:rsidRPr="00943A89">
              <w:t>Sabiedrības līdzdalība projekta izstrādē</w:t>
            </w:r>
          </w:p>
        </w:tc>
        <w:tc>
          <w:tcPr>
            <w:tcW w:w="3200" w:type="pct"/>
            <w:tcBorders>
              <w:top w:val="outset" w:sz="6" w:space="0" w:color="auto"/>
              <w:left w:val="outset" w:sz="6" w:space="0" w:color="auto"/>
              <w:bottom w:val="outset" w:sz="6" w:space="0" w:color="auto"/>
              <w:right w:val="outset" w:sz="6" w:space="0" w:color="auto"/>
            </w:tcBorders>
            <w:hideMark/>
          </w:tcPr>
          <w:p w14:paraId="65EC3889" w14:textId="77777777" w:rsidR="00266087" w:rsidRPr="00AC77F5" w:rsidRDefault="002E0176" w:rsidP="00F87F96">
            <w:pPr>
              <w:spacing w:after="80"/>
              <w:jc w:val="both"/>
            </w:pPr>
            <w:r w:rsidRPr="00AC77F5">
              <w:t xml:space="preserve">Par valsts sekretāru sanāksmē izsludināto Noteikumu projektu atzinumu ir sniegusi Latvijas Interneta asociācija, Latvijas Darba devēju konfederācija, Latvijas Telekomunikāciju asociācija un Latvijas Elektronisko komunikāciju asociācija. </w:t>
            </w:r>
          </w:p>
          <w:p w14:paraId="3241DC14" w14:textId="77777777" w:rsidR="00C54770" w:rsidRPr="00C156CF" w:rsidRDefault="006B3548" w:rsidP="00F87F96">
            <w:pPr>
              <w:spacing w:after="80"/>
              <w:jc w:val="both"/>
            </w:pPr>
            <w:r w:rsidRPr="00AC77F5">
              <w:t xml:space="preserve">Latvijas Interneta asociācija, Latvijas Darba devēju konfederācija, Latvijas Telekomunikāciju asociācija un Latvijas Informācijas un komunikācijas tehnoloģijas asociācija </w:t>
            </w:r>
            <w:r w:rsidR="00ED17B4" w:rsidRPr="00AC77F5">
              <w:t xml:space="preserve">20.04.2016. piedalījās arī </w:t>
            </w:r>
            <w:proofErr w:type="spellStart"/>
            <w:r w:rsidR="00ED17B4" w:rsidRPr="00AC77F5">
              <w:t>starpministriju</w:t>
            </w:r>
            <w:proofErr w:type="spellEnd"/>
            <w:r w:rsidR="00ED17B4" w:rsidRPr="00AC77F5">
              <w:t xml:space="preserve"> saskaņošanas sanāksmē. </w:t>
            </w:r>
          </w:p>
        </w:tc>
      </w:tr>
      <w:tr w:rsidR="00C54770" w:rsidRPr="00C54770" w14:paraId="62622F87" w14:textId="77777777" w:rsidTr="00637890">
        <w:trPr>
          <w:gridAfter w:val="1"/>
          <w:wAfter w:w="50" w:type="pct"/>
          <w:trHeight w:val="372"/>
          <w:tblCellSpacing w:w="15" w:type="dxa"/>
          <w:jc w:val="center"/>
        </w:trPr>
        <w:tc>
          <w:tcPr>
            <w:tcW w:w="243" w:type="pct"/>
            <w:tcBorders>
              <w:top w:val="outset" w:sz="6" w:space="0" w:color="auto"/>
              <w:left w:val="outset" w:sz="6" w:space="0" w:color="auto"/>
              <w:bottom w:val="outset" w:sz="6" w:space="0" w:color="auto"/>
              <w:right w:val="outset" w:sz="6" w:space="0" w:color="auto"/>
            </w:tcBorders>
            <w:hideMark/>
          </w:tcPr>
          <w:p w14:paraId="7F61BA0F" w14:textId="77777777" w:rsidR="00C54770" w:rsidRPr="00C54770" w:rsidRDefault="00C54770" w:rsidP="0059242E">
            <w:r w:rsidRPr="00C54770">
              <w:t>3.</w:t>
            </w:r>
          </w:p>
        </w:tc>
        <w:tc>
          <w:tcPr>
            <w:tcW w:w="1425" w:type="pct"/>
            <w:tcBorders>
              <w:top w:val="outset" w:sz="6" w:space="0" w:color="auto"/>
              <w:left w:val="outset" w:sz="6" w:space="0" w:color="auto"/>
              <w:bottom w:val="outset" w:sz="6" w:space="0" w:color="auto"/>
              <w:right w:val="outset" w:sz="6" w:space="0" w:color="auto"/>
            </w:tcBorders>
            <w:hideMark/>
          </w:tcPr>
          <w:p w14:paraId="632BD8EB" w14:textId="77777777" w:rsidR="00C54770" w:rsidRPr="00943A89" w:rsidRDefault="00C54770" w:rsidP="0059242E">
            <w:r w:rsidRPr="00943A89">
              <w:t>Sabiedrības līdzdalības rezultāti</w:t>
            </w:r>
          </w:p>
        </w:tc>
        <w:tc>
          <w:tcPr>
            <w:tcW w:w="3200" w:type="pct"/>
            <w:tcBorders>
              <w:top w:val="outset" w:sz="6" w:space="0" w:color="auto"/>
              <w:left w:val="outset" w:sz="6" w:space="0" w:color="auto"/>
              <w:bottom w:val="outset" w:sz="6" w:space="0" w:color="auto"/>
              <w:right w:val="outset" w:sz="6" w:space="0" w:color="auto"/>
            </w:tcBorders>
            <w:hideMark/>
          </w:tcPr>
          <w:p w14:paraId="242D98CC" w14:textId="77777777" w:rsidR="00BE508E" w:rsidRPr="00AC77F5" w:rsidRDefault="006B3548" w:rsidP="00860526">
            <w:pPr>
              <w:spacing w:after="80"/>
              <w:jc w:val="both"/>
            </w:pPr>
            <w:r w:rsidRPr="00AC77F5">
              <w:t xml:space="preserve">Latvijas Elektronisko komunikāciju asociācija atbalsta Noteikumu projektu, savukārt Latvijas Darba devēju konfederācija, Latvijas Interneta asociācija, Latvijas Telekomunikāciju asociācija un Latvijas Informācijas un komunikācijas tehnoloģijas asociācija iebilst pret </w:t>
            </w:r>
            <w:r w:rsidR="00352052" w:rsidRPr="00AC77F5">
              <w:t xml:space="preserve">valsts nodevas likmes par sabiedrisko pakalpojumu sniegšanu celšanu kalendārā gada vidū, vienlaikus aicinot pārskatīt arī </w:t>
            </w:r>
            <w:proofErr w:type="spellStart"/>
            <w:r w:rsidR="00352052" w:rsidRPr="00AC77F5">
              <w:t>deregulācijas</w:t>
            </w:r>
            <w:proofErr w:type="spellEnd"/>
            <w:r w:rsidR="00352052" w:rsidRPr="00AC77F5">
              <w:t xml:space="preserve"> un specifisku saistību atcelšanas iespējas</w:t>
            </w:r>
            <w:r w:rsidR="00BE508E" w:rsidRPr="00AC77F5">
              <w:t xml:space="preserve"> </w:t>
            </w:r>
            <w:r w:rsidR="00352052" w:rsidRPr="00AC77F5">
              <w:t>elektronisko sakaru nozarē</w:t>
            </w:r>
            <w:r w:rsidR="00BE508E" w:rsidRPr="00AC77F5">
              <w:t xml:space="preserve">, kā arī atsevišķu VAS „Elektroniskie sakari” funkciju </w:t>
            </w:r>
            <w:r w:rsidR="00860526" w:rsidRPr="00AC77F5">
              <w:t>nodošanu</w:t>
            </w:r>
            <w:r w:rsidR="00BE508E" w:rsidRPr="00AC77F5">
              <w:t xml:space="preserve"> Regulatoram.</w:t>
            </w:r>
          </w:p>
          <w:p w14:paraId="044B9365" w14:textId="77777777" w:rsidR="002E0176" w:rsidRPr="00C156CF" w:rsidRDefault="00860526" w:rsidP="00860526">
            <w:pPr>
              <w:spacing w:after="80"/>
              <w:jc w:val="both"/>
            </w:pPr>
            <w:r w:rsidRPr="00AC77F5">
              <w:t>Saskaņošanas sanāksmes laikā tika panākta vienota izpratne, ka, i</w:t>
            </w:r>
            <w:r w:rsidR="002E0176" w:rsidRPr="00AC77F5">
              <w:t>zvērtējot OECD rekomendācijas un piedaloties nozares ministriju un regulējamo nozaru pārstāvjiem, iniciējama diskusija par alternatīviem Regulatora darbības finansēšanas modeļiem nākotnē, ņemot vērā patreizējā Regulatora finansēšanas modeļa ilgtspēju un tā piesaisti regulēšanas ietvaros nodrošinātajām funkcijām.</w:t>
            </w:r>
          </w:p>
        </w:tc>
      </w:tr>
      <w:tr w:rsidR="00C54770" w:rsidRPr="007B0E0E" w14:paraId="05AE4E85" w14:textId="77777777" w:rsidTr="00637890">
        <w:trPr>
          <w:gridAfter w:val="1"/>
          <w:wAfter w:w="50" w:type="pct"/>
          <w:trHeight w:val="372"/>
          <w:tblCellSpacing w:w="15" w:type="dxa"/>
          <w:jc w:val="center"/>
        </w:trPr>
        <w:tc>
          <w:tcPr>
            <w:tcW w:w="243" w:type="pct"/>
            <w:tcBorders>
              <w:top w:val="outset" w:sz="6" w:space="0" w:color="auto"/>
              <w:left w:val="outset" w:sz="6" w:space="0" w:color="auto"/>
              <w:bottom w:val="outset" w:sz="6" w:space="0" w:color="auto"/>
              <w:right w:val="outset" w:sz="6" w:space="0" w:color="auto"/>
            </w:tcBorders>
            <w:hideMark/>
          </w:tcPr>
          <w:p w14:paraId="6BC643D4" w14:textId="77777777" w:rsidR="00C54770" w:rsidRPr="00C54770" w:rsidRDefault="00C54770" w:rsidP="0059242E">
            <w:r w:rsidRPr="00C54770">
              <w:t>4.</w:t>
            </w:r>
          </w:p>
        </w:tc>
        <w:tc>
          <w:tcPr>
            <w:tcW w:w="1425" w:type="pct"/>
            <w:tcBorders>
              <w:top w:val="outset" w:sz="6" w:space="0" w:color="auto"/>
              <w:left w:val="outset" w:sz="6" w:space="0" w:color="auto"/>
              <w:bottom w:val="outset" w:sz="6" w:space="0" w:color="auto"/>
              <w:right w:val="outset" w:sz="6" w:space="0" w:color="auto"/>
            </w:tcBorders>
            <w:hideMark/>
          </w:tcPr>
          <w:p w14:paraId="30250A89" w14:textId="77777777" w:rsidR="00C54770" w:rsidRPr="00943A89" w:rsidRDefault="00C54770" w:rsidP="0059242E">
            <w:r w:rsidRPr="00943A89">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1812009D" w14:textId="77777777" w:rsidR="00C54770" w:rsidRPr="00C54770" w:rsidRDefault="00C54770" w:rsidP="0059242E">
            <w:pPr>
              <w:spacing w:before="100" w:beforeAutospacing="1" w:after="100" w:afterAutospacing="1"/>
            </w:pPr>
            <w:r w:rsidRPr="00943A89">
              <w:t>Nav</w:t>
            </w:r>
          </w:p>
        </w:tc>
      </w:tr>
    </w:tbl>
    <w:p w14:paraId="0B0702BC" w14:textId="77777777" w:rsidR="00743931" w:rsidRDefault="00C54770" w:rsidP="00C54770">
      <w:r w:rsidRPr="007B0E0E">
        <w:t> </w:t>
      </w:r>
    </w:p>
    <w:p w14:paraId="2700A58A" w14:textId="77777777" w:rsidR="00C54770" w:rsidRDefault="00C54770" w:rsidP="00C54770">
      <w:pPr>
        <w:rPr>
          <w:rFonts w:ascii="Arial" w:hAnsi="Arial" w:cs="Arial"/>
          <w:sz w:val="20"/>
          <w:szCs w:val="20"/>
        </w:rPr>
      </w:pPr>
    </w:p>
    <w:p w14:paraId="5EDB5E4C" w14:textId="77777777" w:rsidR="00F87F96" w:rsidRPr="008A78CD" w:rsidRDefault="00F87F96" w:rsidP="00C54770">
      <w:pPr>
        <w:rPr>
          <w:rFonts w:ascii="Arial" w:hAnsi="Arial" w:cs="Arial"/>
          <w:sz w:val="20"/>
          <w:szCs w:val="2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1"/>
        <w:gridCol w:w="4604"/>
        <w:gridCol w:w="3961"/>
      </w:tblGrid>
      <w:tr w:rsidR="00A574F7" w:rsidRPr="008A78CD" w14:paraId="1D521C4E" w14:textId="77777777" w:rsidTr="00730921">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BD682C" w14:textId="77777777" w:rsidR="00A574F7" w:rsidRPr="008A78CD" w:rsidRDefault="00A574F7" w:rsidP="00A574F7">
            <w:pPr>
              <w:spacing w:before="100" w:beforeAutospacing="1" w:after="100" w:afterAutospacing="1" w:line="360" w:lineRule="auto"/>
              <w:ind w:firstLine="300"/>
              <w:jc w:val="center"/>
              <w:rPr>
                <w:b/>
                <w:bCs/>
              </w:rPr>
            </w:pPr>
            <w:r w:rsidRPr="008A78CD">
              <w:rPr>
                <w:rFonts w:ascii="Arial" w:hAnsi="Arial" w:cs="Arial"/>
                <w:sz w:val="20"/>
                <w:szCs w:val="20"/>
              </w:rPr>
              <w:lastRenderedPageBreak/>
              <w:t> </w:t>
            </w:r>
            <w:r w:rsidRPr="008A78CD">
              <w:rPr>
                <w:b/>
                <w:bCs/>
              </w:rPr>
              <w:t>VII. Tiesību akta projekta izpildes nodrošināšana un tās ietekme uz institūcijām</w:t>
            </w:r>
          </w:p>
        </w:tc>
      </w:tr>
      <w:tr w:rsidR="00A574F7" w:rsidRPr="008A78CD" w14:paraId="5E10D172" w14:textId="77777777" w:rsidTr="00637890">
        <w:trPr>
          <w:trHeight w:val="42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72149847" w14:textId="77777777" w:rsidR="00A574F7" w:rsidRPr="008A78CD" w:rsidRDefault="00A574F7" w:rsidP="00A574F7">
            <w:r w:rsidRPr="008A78CD">
              <w:t>1.</w:t>
            </w:r>
          </w:p>
        </w:tc>
        <w:tc>
          <w:tcPr>
            <w:tcW w:w="2525" w:type="pct"/>
            <w:tcBorders>
              <w:top w:val="outset" w:sz="6" w:space="0" w:color="auto"/>
              <w:left w:val="outset" w:sz="6" w:space="0" w:color="auto"/>
              <w:bottom w:val="outset" w:sz="6" w:space="0" w:color="auto"/>
              <w:right w:val="outset" w:sz="6" w:space="0" w:color="auto"/>
            </w:tcBorders>
            <w:hideMark/>
          </w:tcPr>
          <w:p w14:paraId="1B22C1A0" w14:textId="77777777" w:rsidR="00A574F7" w:rsidRPr="008A78CD" w:rsidRDefault="00A574F7" w:rsidP="00A574F7">
            <w:r w:rsidRPr="008A78CD">
              <w:t>Projekta izpildē iesaistītās institūcijas</w:t>
            </w:r>
          </w:p>
        </w:tc>
        <w:tc>
          <w:tcPr>
            <w:tcW w:w="2162" w:type="pct"/>
            <w:tcBorders>
              <w:top w:val="outset" w:sz="6" w:space="0" w:color="auto"/>
              <w:left w:val="outset" w:sz="6" w:space="0" w:color="auto"/>
              <w:bottom w:val="outset" w:sz="6" w:space="0" w:color="auto"/>
              <w:right w:val="outset" w:sz="6" w:space="0" w:color="auto"/>
            </w:tcBorders>
            <w:hideMark/>
          </w:tcPr>
          <w:p w14:paraId="1F6AC4E9" w14:textId="77777777" w:rsidR="00A574F7" w:rsidRPr="008A78CD" w:rsidRDefault="005B04A2" w:rsidP="00A574F7">
            <w:r w:rsidRPr="00322540">
              <w:t>Regulators</w:t>
            </w:r>
          </w:p>
        </w:tc>
      </w:tr>
      <w:tr w:rsidR="00A574F7" w:rsidRPr="008A78CD" w14:paraId="71B6E58B" w14:textId="77777777" w:rsidTr="00637890">
        <w:trPr>
          <w:trHeight w:val="45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463FE219" w14:textId="77777777" w:rsidR="00A574F7" w:rsidRPr="008A78CD" w:rsidRDefault="00A574F7" w:rsidP="00A574F7">
            <w:r w:rsidRPr="008A78CD">
              <w:t>2.</w:t>
            </w:r>
          </w:p>
        </w:tc>
        <w:tc>
          <w:tcPr>
            <w:tcW w:w="2525" w:type="pct"/>
            <w:tcBorders>
              <w:top w:val="outset" w:sz="6" w:space="0" w:color="auto"/>
              <w:left w:val="outset" w:sz="6" w:space="0" w:color="auto"/>
              <w:bottom w:val="outset" w:sz="6" w:space="0" w:color="auto"/>
              <w:right w:val="outset" w:sz="6" w:space="0" w:color="auto"/>
            </w:tcBorders>
            <w:hideMark/>
          </w:tcPr>
          <w:p w14:paraId="1BD1B133" w14:textId="77777777" w:rsidR="00A574F7" w:rsidRPr="008A78CD" w:rsidRDefault="00A574F7" w:rsidP="00A63501">
            <w:pPr>
              <w:spacing w:after="120"/>
              <w:jc w:val="both"/>
            </w:pPr>
            <w:r w:rsidRPr="008A78CD">
              <w:t xml:space="preserve">Projekta izpildes ietekme uz pārvaldes funkcijām un institucionālo struktūru. </w:t>
            </w:r>
          </w:p>
          <w:p w14:paraId="5687BC61" w14:textId="77777777" w:rsidR="00A574F7" w:rsidRPr="008A78CD" w:rsidRDefault="00A574F7" w:rsidP="00743931">
            <w:pPr>
              <w:jc w:val="both"/>
            </w:pPr>
            <w:r w:rsidRPr="008A78CD">
              <w:t>Jaunu institūciju izveide, esošu institūciju likvidācija vai reorganizācija, to ietekme uz institūcijas cilvēkresursiem</w:t>
            </w:r>
          </w:p>
        </w:tc>
        <w:tc>
          <w:tcPr>
            <w:tcW w:w="2162" w:type="pct"/>
            <w:tcBorders>
              <w:top w:val="outset" w:sz="6" w:space="0" w:color="auto"/>
              <w:left w:val="outset" w:sz="6" w:space="0" w:color="auto"/>
              <w:bottom w:val="outset" w:sz="6" w:space="0" w:color="auto"/>
              <w:right w:val="outset" w:sz="6" w:space="0" w:color="auto"/>
            </w:tcBorders>
            <w:hideMark/>
          </w:tcPr>
          <w:p w14:paraId="3052C0B0" w14:textId="77777777" w:rsidR="00A574F7" w:rsidRPr="008A78CD" w:rsidRDefault="00C54770" w:rsidP="00A574F7">
            <w:r>
              <w:t>Projekts šo jomu neskar</w:t>
            </w:r>
          </w:p>
        </w:tc>
      </w:tr>
      <w:tr w:rsidR="00A574F7" w:rsidRPr="008A78CD" w14:paraId="5BF22588" w14:textId="77777777" w:rsidTr="00637890">
        <w:trPr>
          <w:trHeight w:val="39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1090FBE3" w14:textId="77777777" w:rsidR="00A574F7" w:rsidRPr="008A78CD" w:rsidRDefault="00A574F7" w:rsidP="00A574F7">
            <w:r w:rsidRPr="008A78CD">
              <w:t>3.</w:t>
            </w:r>
          </w:p>
        </w:tc>
        <w:tc>
          <w:tcPr>
            <w:tcW w:w="2525" w:type="pct"/>
            <w:tcBorders>
              <w:top w:val="outset" w:sz="6" w:space="0" w:color="auto"/>
              <w:left w:val="outset" w:sz="6" w:space="0" w:color="auto"/>
              <w:bottom w:val="outset" w:sz="6" w:space="0" w:color="auto"/>
              <w:right w:val="outset" w:sz="6" w:space="0" w:color="auto"/>
            </w:tcBorders>
            <w:hideMark/>
          </w:tcPr>
          <w:p w14:paraId="251BE6A5" w14:textId="77777777" w:rsidR="00A574F7" w:rsidRPr="008A78CD" w:rsidRDefault="00A574F7" w:rsidP="00A574F7">
            <w:r w:rsidRPr="008A78CD">
              <w:t>Cita informācija</w:t>
            </w:r>
          </w:p>
        </w:tc>
        <w:tc>
          <w:tcPr>
            <w:tcW w:w="2162" w:type="pct"/>
            <w:tcBorders>
              <w:top w:val="outset" w:sz="6" w:space="0" w:color="auto"/>
              <w:left w:val="outset" w:sz="6" w:space="0" w:color="auto"/>
              <w:bottom w:val="outset" w:sz="6" w:space="0" w:color="auto"/>
              <w:right w:val="outset" w:sz="6" w:space="0" w:color="auto"/>
            </w:tcBorders>
            <w:hideMark/>
          </w:tcPr>
          <w:p w14:paraId="3A6BFDBE" w14:textId="77777777" w:rsidR="00A574F7" w:rsidRPr="008A78CD" w:rsidRDefault="00A574F7" w:rsidP="00A574F7">
            <w:pPr>
              <w:spacing w:before="100" w:beforeAutospacing="1" w:after="100" w:afterAutospacing="1" w:line="360" w:lineRule="auto"/>
            </w:pPr>
            <w:r w:rsidRPr="008A78CD">
              <w:t>Nav</w:t>
            </w:r>
          </w:p>
        </w:tc>
      </w:tr>
    </w:tbl>
    <w:p w14:paraId="7396C57E" w14:textId="77777777" w:rsidR="00A574F7" w:rsidRPr="008A78CD" w:rsidRDefault="00A574F7" w:rsidP="00A574F7">
      <w:pPr>
        <w:spacing w:after="160" w:line="259" w:lineRule="auto"/>
        <w:rPr>
          <w:rFonts w:eastAsiaTheme="minorHAnsi" w:cstheme="minorBidi"/>
          <w:i/>
          <w:szCs w:val="22"/>
          <w:lang w:eastAsia="en-US"/>
        </w:rPr>
      </w:pPr>
    </w:p>
    <w:p w14:paraId="7A2372F9" w14:textId="77777777" w:rsidR="00743931" w:rsidRPr="007977BB" w:rsidRDefault="00C54770" w:rsidP="00A574F7">
      <w:pPr>
        <w:spacing w:after="160" w:line="259" w:lineRule="auto"/>
        <w:rPr>
          <w:rFonts w:eastAsiaTheme="minorHAnsi" w:cstheme="minorBidi"/>
          <w:i/>
          <w:sz w:val="26"/>
          <w:szCs w:val="26"/>
          <w:lang w:eastAsia="en-US"/>
        </w:rPr>
      </w:pPr>
      <w:r w:rsidRPr="007977BB">
        <w:rPr>
          <w:rFonts w:eastAsiaTheme="minorHAnsi" w:cstheme="minorBidi"/>
          <w:i/>
          <w:sz w:val="26"/>
          <w:szCs w:val="26"/>
          <w:lang w:eastAsia="en-US"/>
        </w:rPr>
        <w:t>Anotācijas IV un V sadaļa – projekts šīs jomas neskar.</w:t>
      </w:r>
    </w:p>
    <w:p w14:paraId="3CFEB291" w14:textId="77777777" w:rsidR="00C54770" w:rsidRPr="007977BB" w:rsidRDefault="00C54770" w:rsidP="00A574F7">
      <w:pPr>
        <w:spacing w:after="160" w:line="259" w:lineRule="auto"/>
        <w:rPr>
          <w:rFonts w:eastAsiaTheme="minorHAnsi" w:cstheme="minorBidi"/>
          <w:i/>
          <w:sz w:val="26"/>
          <w:szCs w:val="26"/>
          <w:lang w:eastAsia="en-US"/>
        </w:rPr>
      </w:pPr>
    </w:p>
    <w:p w14:paraId="1215451D" w14:textId="77777777" w:rsidR="003659FE" w:rsidRPr="00671935" w:rsidRDefault="003659FE" w:rsidP="003659FE">
      <w:pPr>
        <w:suppressAutoHyphens/>
        <w:rPr>
          <w:sz w:val="26"/>
          <w:szCs w:val="26"/>
        </w:rPr>
      </w:pPr>
      <w:r w:rsidRPr="00671935">
        <w:rPr>
          <w:sz w:val="26"/>
          <w:szCs w:val="26"/>
        </w:rPr>
        <w:t>Ministru prezidenta biedrs,</w:t>
      </w:r>
    </w:p>
    <w:p w14:paraId="5509143E" w14:textId="54BE05D5" w:rsidR="003659FE" w:rsidRPr="00671935" w:rsidRDefault="003659FE" w:rsidP="003659FE">
      <w:pPr>
        <w:rPr>
          <w:rFonts w:eastAsia="Calibri"/>
          <w:sz w:val="26"/>
          <w:szCs w:val="26"/>
          <w:lang w:eastAsia="en-US"/>
        </w:rPr>
      </w:pPr>
      <w:r w:rsidRPr="00671935">
        <w:rPr>
          <w:sz w:val="26"/>
          <w:szCs w:val="26"/>
        </w:rPr>
        <w:t>ekonomikas ministrs</w:t>
      </w:r>
      <w:r w:rsidRPr="00671935">
        <w:rPr>
          <w:sz w:val="26"/>
          <w:szCs w:val="26"/>
        </w:rPr>
        <w:tab/>
      </w:r>
      <w:r w:rsidRPr="00671935">
        <w:rPr>
          <w:sz w:val="26"/>
          <w:szCs w:val="26"/>
        </w:rPr>
        <w:tab/>
      </w:r>
      <w:r w:rsidRPr="00671935">
        <w:rPr>
          <w:sz w:val="26"/>
          <w:szCs w:val="26"/>
        </w:rPr>
        <w:tab/>
      </w:r>
      <w:r w:rsidRPr="00671935">
        <w:rPr>
          <w:sz w:val="26"/>
          <w:szCs w:val="26"/>
        </w:rPr>
        <w:tab/>
      </w:r>
      <w:r w:rsidR="00101082">
        <w:rPr>
          <w:sz w:val="26"/>
          <w:szCs w:val="26"/>
        </w:rPr>
        <w:tab/>
      </w:r>
      <w:r w:rsidRPr="00671935">
        <w:rPr>
          <w:sz w:val="26"/>
          <w:szCs w:val="26"/>
        </w:rPr>
        <w:tab/>
      </w:r>
      <w:r w:rsidRPr="00671935">
        <w:rPr>
          <w:sz w:val="26"/>
          <w:szCs w:val="26"/>
        </w:rPr>
        <w:tab/>
      </w:r>
      <w:r w:rsidR="00671935">
        <w:rPr>
          <w:sz w:val="26"/>
          <w:szCs w:val="26"/>
        </w:rPr>
        <w:tab/>
      </w:r>
      <w:proofErr w:type="spellStart"/>
      <w:r w:rsidRPr="00671935">
        <w:rPr>
          <w:sz w:val="26"/>
          <w:szCs w:val="26"/>
        </w:rPr>
        <w:t>A.Ašeradens</w:t>
      </w:r>
      <w:proofErr w:type="spellEnd"/>
    </w:p>
    <w:p w14:paraId="585A7CE4" w14:textId="77777777" w:rsidR="00A574F7" w:rsidRDefault="00A574F7" w:rsidP="00A574F7">
      <w:pPr>
        <w:rPr>
          <w:rFonts w:eastAsia="Calibri"/>
          <w:sz w:val="26"/>
          <w:szCs w:val="26"/>
          <w:lang w:eastAsia="en-US"/>
        </w:rPr>
      </w:pPr>
    </w:p>
    <w:p w14:paraId="22762606" w14:textId="77777777" w:rsidR="003659FE" w:rsidRPr="007977BB" w:rsidRDefault="003659FE" w:rsidP="00A574F7">
      <w:pPr>
        <w:rPr>
          <w:rFonts w:eastAsia="Calibri"/>
          <w:sz w:val="26"/>
          <w:szCs w:val="26"/>
          <w:lang w:eastAsia="en-US"/>
        </w:rPr>
      </w:pPr>
    </w:p>
    <w:p w14:paraId="299D7CF0" w14:textId="77777777" w:rsidR="00A574F7" w:rsidRPr="007977BB" w:rsidRDefault="00A574F7" w:rsidP="00A574F7">
      <w:pPr>
        <w:rPr>
          <w:rFonts w:eastAsia="Calibri"/>
          <w:sz w:val="26"/>
          <w:szCs w:val="26"/>
          <w:lang w:eastAsia="en-US"/>
        </w:rPr>
      </w:pPr>
      <w:r w:rsidRPr="007977BB">
        <w:rPr>
          <w:rFonts w:eastAsia="Calibri"/>
          <w:sz w:val="26"/>
          <w:szCs w:val="26"/>
          <w:lang w:eastAsia="en-US"/>
        </w:rPr>
        <w:t>Vīza:</w:t>
      </w:r>
    </w:p>
    <w:p w14:paraId="19CEC4FA" w14:textId="77777777" w:rsidR="00A574F7" w:rsidRPr="007977BB" w:rsidRDefault="00A574F7" w:rsidP="00A574F7">
      <w:pPr>
        <w:rPr>
          <w:rFonts w:eastAsia="Calibri"/>
          <w:sz w:val="26"/>
          <w:szCs w:val="26"/>
          <w:lang w:eastAsia="en-US"/>
        </w:rPr>
      </w:pPr>
    </w:p>
    <w:p w14:paraId="175C7B78" w14:textId="11646D33" w:rsidR="00A574F7" w:rsidRPr="007977BB" w:rsidRDefault="007977BB" w:rsidP="00A574F7">
      <w:pPr>
        <w:rPr>
          <w:rFonts w:eastAsia="Calibri"/>
          <w:sz w:val="26"/>
          <w:szCs w:val="26"/>
          <w:lang w:eastAsia="en-US"/>
        </w:rPr>
      </w:pPr>
      <w:r w:rsidRPr="007977BB">
        <w:rPr>
          <w:rFonts w:eastAsia="Calibri"/>
          <w:sz w:val="26"/>
          <w:szCs w:val="26"/>
          <w:lang w:eastAsia="en-US"/>
        </w:rPr>
        <w:t>v</w:t>
      </w:r>
      <w:r w:rsidR="00281B49" w:rsidRPr="007977BB">
        <w:rPr>
          <w:rFonts w:eastAsia="Calibri"/>
          <w:sz w:val="26"/>
          <w:szCs w:val="26"/>
          <w:lang w:eastAsia="en-US"/>
        </w:rPr>
        <w:t>alsts sekretār</w:t>
      </w:r>
      <w:r w:rsidR="00B449A0">
        <w:rPr>
          <w:rFonts w:eastAsia="Calibri"/>
          <w:sz w:val="26"/>
          <w:szCs w:val="26"/>
          <w:lang w:eastAsia="en-US"/>
        </w:rPr>
        <w:t>s</w:t>
      </w:r>
      <w:r w:rsidR="00A574F7" w:rsidRPr="007977BB">
        <w:rPr>
          <w:rFonts w:eastAsia="Calibri"/>
          <w:sz w:val="26"/>
          <w:szCs w:val="26"/>
          <w:lang w:eastAsia="en-US"/>
        </w:rPr>
        <w:t xml:space="preserve"> </w:t>
      </w:r>
      <w:r w:rsidR="00A574F7" w:rsidRPr="007977BB">
        <w:rPr>
          <w:rFonts w:eastAsia="Calibri"/>
          <w:sz w:val="26"/>
          <w:szCs w:val="26"/>
          <w:lang w:eastAsia="en-US"/>
        </w:rPr>
        <w:tab/>
        <w:t xml:space="preserve">   </w:t>
      </w:r>
      <w:r w:rsidR="00A574F7" w:rsidRPr="007977BB">
        <w:rPr>
          <w:rFonts w:eastAsia="Calibri"/>
          <w:sz w:val="26"/>
          <w:szCs w:val="26"/>
          <w:lang w:eastAsia="en-US"/>
        </w:rPr>
        <w:tab/>
      </w:r>
      <w:r w:rsidR="00A574F7" w:rsidRPr="007977BB">
        <w:rPr>
          <w:rFonts w:eastAsia="Calibri"/>
          <w:sz w:val="26"/>
          <w:szCs w:val="26"/>
          <w:lang w:eastAsia="en-US"/>
        </w:rPr>
        <w:tab/>
      </w:r>
      <w:r w:rsidR="00A574F7" w:rsidRPr="007977BB">
        <w:rPr>
          <w:rFonts w:eastAsia="Calibri"/>
          <w:sz w:val="26"/>
          <w:szCs w:val="26"/>
          <w:lang w:eastAsia="en-US"/>
        </w:rPr>
        <w:tab/>
      </w:r>
      <w:r w:rsidR="00101082">
        <w:rPr>
          <w:rFonts w:eastAsia="Calibri"/>
          <w:sz w:val="26"/>
          <w:szCs w:val="26"/>
          <w:lang w:eastAsia="en-US"/>
        </w:rPr>
        <w:tab/>
      </w:r>
      <w:r w:rsidR="00101082">
        <w:rPr>
          <w:rFonts w:eastAsia="Calibri"/>
          <w:sz w:val="26"/>
          <w:szCs w:val="26"/>
          <w:lang w:eastAsia="en-US"/>
        </w:rPr>
        <w:tab/>
      </w:r>
      <w:r w:rsidR="00A574F7" w:rsidRPr="007977BB">
        <w:rPr>
          <w:rFonts w:eastAsia="Calibri"/>
          <w:sz w:val="26"/>
          <w:szCs w:val="26"/>
          <w:lang w:eastAsia="en-US"/>
        </w:rPr>
        <w:tab/>
      </w:r>
      <w:r w:rsidR="00A574F7" w:rsidRPr="007977BB">
        <w:rPr>
          <w:rFonts w:eastAsia="Calibri"/>
          <w:sz w:val="26"/>
          <w:szCs w:val="26"/>
          <w:lang w:eastAsia="en-US"/>
        </w:rPr>
        <w:tab/>
      </w:r>
      <w:proofErr w:type="spellStart"/>
      <w:r w:rsidR="00B449A0">
        <w:rPr>
          <w:rFonts w:eastAsia="Calibri"/>
          <w:sz w:val="26"/>
          <w:szCs w:val="26"/>
          <w:lang w:eastAsia="en-US"/>
        </w:rPr>
        <w:t>J.Stinka</w:t>
      </w:r>
      <w:proofErr w:type="spellEnd"/>
    </w:p>
    <w:p w14:paraId="51F973A6" w14:textId="77777777" w:rsidR="00A574F7" w:rsidRDefault="00A574F7" w:rsidP="00A574F7">
      <w:pPr>
        <w:rPr>
          <w:rFonts w:eastAsia="Calibri"/>
          <w:szCs w:val="22"/>
          <w:lang w:eastAsia="en-US"/>
        </w:rPr>
      </w:pPr>
    </w:p>
    <w:p w14:paraId="579488B9" w14:textId="77777777" w:rsidR="007977BB" w:rsidRPr="008A78CD" w:rsidRDefault="007977BB" w:rsidP="00A574F7">
      <w:pPr>
        <w:rPr>
          <w:rFonts w:eastAsia="Calibri"/>
          <w:szCs w:val="22"/>
          <w:lang w:eastAsia="en-US"/>
        </w:rPr>
      </w:pPr>
    </w:p>
    <w:p w14:paraId="784E047C" w14:textId="77777777" w:rsidR="00A574F7" w:rsidRPr="008A78CD" w:rsidRDefault="00A574F7" w:rsidP="00A574F7">
      <w:pPr>
        <w:rPr>
          <w:rFonts w:eastAsia="Calibri"/>
          <w:szCs w:val="22"/>
          <w:lang w:eastAsia="en-US"/>
        </w:rPr>
      </w:pPr>
    </w:p>
    <w:p w14:paraId="640EFCBC" w14:textId="67715721" w:rsidR="007977BB" w:rsidRPr="00071019" w:rsidRDefault="00501613" w:rsidP="007977BB">
      <w:pPr>
        <w:rPr>
          <w:sz w:val="20"/>
        </w:rPr>
      </w:pPr>
      <w:r>
        <w:rPr>
          <w:sz w:val="20"/>
        </w:rPr>
        <w:t>2</w:t>
      </w:r>
      <w:r w:rsidR="00637890">
        <w:rPr>
          <w:sz w:val="20"/>
        </w:rPr>
        <w:t>6</w:t>
      </w:r>
      <w:r w:rsidR="007977BB" w:rsidRPr="00071019">
        <w:rPr>
          <w:sz w:val="20"/>
        </w:rPr>
        <w:t>.0</w:t>
      </w:r>
      <w:r>
        <w:rPr>
          <w:sz w:val="20"/>
        </w:rPr>
        <w:t>5</w:t>
      </w:r>
      <w:r w:rsidR="007977BB" w:rsidRPr="00071019">
        <w:rPr>
          <w:sz w:val="20"/>
        </w:rPr>
        <w:t>.201</w:t>
      </w:r>
      <w:r w:rsidR="007977BB">
        <w:rPr>
          <w:sz w:val="20"/>
        </w:rPr>
        <w:t xml:space="preserve">6 </w:t>
      </w:r>
      <w:r>
        <w:rPr>
          <w:sz w:val="20"/>
        </w:rPr>
        <w:t>16</w:t>
      </w:r>
      <w:r w:rsidR="007977BB" w:rsidRPr="00071019">
        <w:rPr>
          <w:sz w:val="20"/>
        </w:rPr>
        <w:t>:</w:t>
      </w:r>
      <w:r>
        <w:rPr>
          <w:sz w:val="20"/>
        </w:rPr>
        <w:t>20</w:t>
      </w:r>
    </w:p>
    <w:p w14:paraId="2E02A385" w14:textId="711524B7" w:rsidR="007977BB" w:rsidRPr="00071019" w:rsidRDefault="007977BB" w:rsidP="007977BB">
      <w:pPr>
        <w:rPr>
          <w:sz w:val="20"/>
        </w:rPr>
      </w:pPr>
      <w:r w:rsidRPr="00071019">
        <w:rPr>
          <w:sz w:val="20"/>
        </w:rPr>
        <w:fldChar w:fldCharType="begin"/>
      </w:r>
      <w:r w:rsidRPr="00071019">
        <w:rPr>
          <w:sz w:val="20"/>
        </w:rPr>
        <w:instrText xml:space="preserve"> NUMWORDS   \* MERGEFORMAT </w:instrText>
      </w:r>
      <w:r w:rsidRPr="00071019">
        <w:rPr>
          <w:sz w:val="20"/>
        </w:rPr>
        <w:fldChar w:fldCharType="separate"/>
      </w:r>
      <w:r w:rsidR="00E43A03">
        <w:rPr>
          <w:noProof/>
          <w:sz w:val="20"/>
        </w:rPr>
        <w:t>3083</w:t>
      </w:r>
      <w:r w:rsidRPr="00071019">
        <w:rPr>
          <w:sz w:val="20"/>
        </w:rPr>
        <w:fldChar w:fldCharType="end"/>
      </w:r>
    </w:p>
    <w:p w14:paraId="3647FC62" w14:textId="77777777" w:rsidR="007977BB" w:rsidRPr="00071019" w:rsidRDefault="007977BB" w:rsidP="007977BB">
      <w:pPr>
        <w:rPr>
          <w:sz w:val="20"/>
        </w:rPr>
      </w:pPr>
      <w:proofErr w:type="spellStart"/>
      <w:r w:rsidRPr="00071019">
        <w:rPr>
          <w:sz w:val="20"/>
        </w:rPr>
        <w:t>I.Eglītis</w:t>
      </w:r>
      <w:proofErr w:type="spellEnd"/>
    </w:p>
    <w:p w14:paraId="02AA17FE" w14:textId="77777777" w:rsidR="007977BB" w:rsidRDefault="007977BB" w:rsidP="007977BB">
      <w:pPr>
        <w:rPr>
          <w:rStyle w:val="Hyperlink"/>
          <w:sz w:val="20"/>
        </w:rPr>
      </w:pPr>
      <w:r w:rsidRPr="00F2687F">
        <w:rPr>
          <w:sz w:val="20"/>
        </w:rPr>
        <w:t xml:space="preserve">67013236, </w:t>
      </w:r>
      <w:hyperlink r:id="rId12" w:history="1">
        <w:r w:rsidRPr="00F2687F">
          <w:rPr>
            <w:rStyle w:val="Hyperlink"/>
            <w:sz w:val="20"/>
          </w:rPr>
          <w:t>Intars.Eglitis@em.gov.lv</w:t>
        </w:r>
      </w:hyperlink>
    </w:p>
    <w:p w14:paraId="52671D53" w14:textId="77777777" w:rsidR="001730D9" w:rsidRDefault="007977BB" w:rsidP="007977BB">
      <w:pPr>
        <w:rPr>
          <w:rFonts w:eastAsia="Calibri"/>
          <w:sz w:val="20"/>
          <w:szCs w:val="20"/>
          <w:lang w:eastAsia="en-US"/>
        </w:rPr>
      </w:pPr>
      <w:proofErr w:type="spellStart"/>
      <w:r w:rsidRPr="00A574F7">
        <w:rPr>
          <w:rFonts w:eastAsia="Calibri"/>
          <w:sz w:val="20"/>
          <w:szCs w:val="20"/>
          <w:lang w:eastAsia="en-US"/>
        </w:rPr>
        <w:t>J.Stepiņš</w:t>
      </w:r>
      <w:proofErr w:type="spellEnd"/>
    </w:p>
    <w:p w14:paraId="58DCDFE1" w14:textId="77777777" w:rsidR="00A574F7" w:rsidRDefault="007977BB" w:rsidP="007977BB">
      <w:r w:rsidRPr="00A574F7">
        <w:rPr>
          <w:rFonts w:eastAsia="Calibri"/>
          <w:sz w:val="20"/>
          <w:szCs w:val="20"/>
          <w:lang w:eastAsia="en-US"/>
        </w:rPr>
        <w:t>67097229</w:t>
      </w:r>
      <w:r w:rsidR="001730D9">
        <w:rPr>
          <w:rFonts w:eastAsia="Calibri"/>
          <w:sz w:val="20"/>
          <w:szCs w:val="20"/>
          <w:lang w:eastAsia="en-US"/>
        </w:rPr>
        <w:t xml:space="preserve">, </w:t>
      </w:r>
      <w:hyperlink r:id="rId13" w:history="1">
        <w:r w:rsidRPr="00397D1F">
          <w:rPr>
            <w:rStyle w:val="Hyperlink"/>
            <w:rFonts w:eastAsia="Calibri"/>
            <w:sz w:val="20"/>
            <w:szCs w:val="20"/>
            <w:lang w:eastAsia="en-US"/>
          </w:rPr>
          <w:t>janis.stepins@sprk.gov.lv</w:t>
        </w:r>
      </w:hyperlink>
    </w:p>
    <w:sectPr w:rsidR="00A574F7" w:rsidSect="00481E95">
      <w:footerReference w:type="default" r:id="rId14"/>
      <w:pgSz w:w="11906" w:h="16838"/>
      <w:pgMar w:top="1440" w:right="1133"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36F6F" w14:textId="77777777" w:rsidR="003950E2" w:rsidRDefault="003950E2" w:rsidP="00285971">
      <w:r>
        <w:separator/>
      </w:r>
    </w:p>
  </w:endnote>
  <w:endnote w:type="continuationSeparator" w:id="0">
    <w:p w14:paraId="0EF44DDD" w14:textId="77777777" w:rsidR="003950E2" w:rsidRDefault="003950E2" w:rsidP="0028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17582"/>
      <w:docPartObj>
        <w:docPartGallery w:val="Page Numbers (Bottom of Page)"/>
        <w:docPartUnique/>
      </w:docPartObj>
    </w:sdtPr>
    <w:sdtEndPr/>
    <w:sdtContent>
      <w:p w14:paraId="74338ACC" w14:textId="77777777" w:rsidR="00F6581A" w:rsidRDefault="00F6581A">
        <w:pPr>
          <w:pStyle w:val="Footer"/>
          <w:jc w:val="right"/>
        </w:pPr>
        <w:r>
          <w:fldChar w:fldCharType="begin"/>
        </w:r>
        <w:r>
          <w:instrText>PAGE   \* MERGEFORMAT</w:instrText>
        </w:r>
        <w:r>
          <w:fldChar w:fldCharType="separate"/>
        </w:r>
        <w:r w:rsidR="00E43A03">
          <w:rPr>
            <w:noProof/>
          </w:rPr>
          <w:t>12</w:t>
        </w:r>
        <w:r>
          <w:fldChar w:fldCharType="end"/>
        </w:r>
      </w:p>
    </w:sdtContent>
  </w:sdt>
  <w:p w14:paraId="7860B91B" w14:textId="528247FC" w:rsidR="00285971" w:rsidRDefault="00C54770" w:rsidP="00C54770">
    <w:pPr>
      <w:pStyle w:val="Footer"/>
      <w:jc w:val="both"/>
    </w:pPr>
    <w:r>
      <w:rPr>
        <w:sz w:val="20"/>
        <w:szCs w:val="20"/>
      </w:rPr>
      <w:t>EMAnot_</w:t>
    </w:r>
    <w:r w:rsidR="00501613">
      <w:rPr>
        <w:sz w:val="20"/>
        <w:szCs w:val="20"/>
      </w:rPr>
      <w:t>2</w:t>
    </w:r>
    <w:r w:rsidR="00637890">
      <w:rPr>
        <w:sz w:val="20"/>
        <w:szCs w:val="20"/>
      </w:rPr>
      <w:t>6</w:t>
    </w:r>
    <w:r w:rsidR="00501613">
      <w:rPr>
        <w:sz w:val="20"/>
        <w:szCs w:val="20"/>
      </w:rPr>
      <w:t>05</w:t>
    </w:r>
    <w:r>
      <w:rPr>
        <w:sz w:val="20"/>
        <w:szCs w:val="20"/>
      </w:rPr>
      <w:t>16_regulatora nodeva;</w:t>
    </w:r>
    <w:r w:rsidRPr="003B15A0">
      <w:rPr>
        <w:bCs/>
        <w:sz w:val="20"/>
        <w:szCs w:val="20"/>
      </w:rPr>
      <w:t xml:space="preserve"> Ministru kabineta noteikumu projekta </w:t>
    </w:r>
    <w:r w:rsidRPr="00F07F75">
      <w:rPr>
        <w:bCs/>
        <w:sz w:val="20"/>
        <w:szCs w:val="20"/>
      </w:rPr>
      <w:t>“Grozījum</w:t>
    </w:r>
    <w:r w:rsidR="00A263B5">
      <w:rPr>
        <w:bCs/>
        <w:sz w:val="20"/>
        <w:szCs w:val="20"/>
      </w:rPr>
      <w:t>i</w:t>
    </w:r>
    <w:r w:rsidRPr="00F07F75">
      <w:rPr>
        <w:bCs/>
        <w:sz w:val="20"/>
        <w:szCs w:val="20"/>
      </w:rPr>
      <w:t xml:space="preserve"> Ministru kabineta 2009.gada 22.decembra noteikumos Nr.1623 “Noteikumi par valsts nodevas likmi par sabiedrisko pakalpojumu regulēšanu un nodevas maksāšanas kārtību””</w:t>
    </w:r>
    <w:r w:rsidRPr="003B15A0">
      <w:rPr>
        <w:bCs/>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A0BB3" w14:textId="77777777" w:rsidR="003950E2" w:rsidRDefault="003950E2" w:rsidP="00285971">
      <w:r>
        <w:separator/>
      </w:r>
    </w:p>
  </w:footnote>
  <w:footnote w:type="continuationSeparator" w:id="0">
    <w:p w14:paraId="4096DA1B" w14:textId="77777777" w:rsidR="003950E2" w:rsidRDefault="003950E2" w:rsidP="00285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1763A0"/>
    <w:multiLevelType w:val="hybridMultilevel"/>
    <w:tmpl w:val="A492EF3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A777CED"/>
    <w:multiLevelType w:val="hybridMultilevel"/>
    <w:tmpl w:val="2842D0D8"/>
    <w:lvl w:ilvl="0" w:tplc="A3044CF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A2"/>
    <w:rsid w:val="00002813"/>
    <w:rsid w:val="00051635"/>
    <w:rsid w:val="00054357"/>
    <w:rsid w:val="00077E61"/>
    <w:rsid w:val="000903AB"/>
    <w:rsid w:val="00090E58"/>
    <w:rsid w:val="000C0451"/>
    <w:rsid w:val="000C6AB6"/>
    <w:rsid w:val="000E18B9"/>
    <w:rsid w:val="000F3484"/>
    <w:rsid w:val="00101082"/>
    <w:rsid w:val="00107CF1"/>
    <w:rsid w:val="001338C9"/>
    <w:rsid w:val="00145246"/>
    <w:rsid w:val="0015271B"/>
    <w:rsid w:val="001610A2"/>
    <w:rsid w:val="001645E7"/>
    <w:rsid w:val="001730D9"/>
    <w:rsid w:val="001B1654"/>
    <w:rsid w:val="001C4DA1"/>
    <w:rsid w:val="001C62E4"/>
    <w:rsid w:val="001D33AD"/>
    <w:rsid w:val="001E30AD"/>
    <w:rsid w:val="001F4B0E"/>
    <w:rsid w:val="002148DB"/>
    <w:rsid w:val="002340A6"/>
    <w:rsid w:val="00266087"/>
    <w:rsid w:val="00275779"/>
    <w:rsid w:val="00280044"/>
    <w:rsid w:val="00281B49"/>
    <w:rsid w:val="00285971"/>
    <w:rsid w:val="00292935"/>
    <w:rsid w:val="002A3869"/>
    <w:rsid w:val="002B068A"/>
    <w:rsid w:val="002C40A2"/>
    <w:rsid w:val="002D04E5"/>
    <w:rsid w:val="002D19A0"/>
    <w:rsid w:val="002E0176"/>
    <w:rsid w:val="002E38FD"/>
    <w:rsid w:val="00316D8E"/>
    <w:rsid w:val="00322540"/>
    <w:rsid w:val="00341838"/>
    <w:rsid w:val="00347069"/>
    <w:rsid w:val="00352052"/>
    <w:rsid w:val="003551BC"/>
    <w:rsid w:val="00356E70"/>
    <w:rsid w:val="00363DFE"/>
    <w:rsid w:val="00365073"/>
    <w:rsid w:val="003659FE"/>
    <w:rsid w:val="00373C20"/>
    <w:rsid w:val="00392349"/>
    <w:rsid w:val="003950E2"/>
    <w:rsid w:val="003B62EF"/>
    <w:rsid w:val="003B71AE"/>
    <w:rsid w:val="003D6034"/>
    <w:rsid w:val="003E064C"/>
    <w:rsid w:val="003E6B47"/>
    <w:rsid w:val="00436373"/>
    <w:rsid w:val="00443468"/>
    <w:rsid w:val="00471F77"/>
    <w:rsid w:val="00473651"/>
    <w:rsid w:val="00473FEC"/>
    <w:rsid w:val="00481E95"/>
    <w:rsid w:val="004C558F"/>
    <w:rsid w:val="004F3094"/>
    <w:rsid w:val="004F655D"/>
    <w:rsid w:val="00501613"/>
    <w:rsid w:val="00536E06"/>
    <w:rsid w:val="00567D89"/>
    <w:rsid w:val="00572BB9"/>
    <w:rsid w:val="005A7602"/>
    <w:rsid w:val="005B04A2"/>
    <w:rsid w:val="005B4956"/>
    <w:rsid w:val="005D4EBA"/>
    <w:rsid w:val="00611D3B"/>
    <w:rsid w:val="00614384"/>
    <w:rsid w:val="00637890"/>
    <w:rsid w:val="00643560"/>
    <w:rsid w:val="00671935"/>
    <w:rsid w:val="00683214"/>
    <w:rsid w:val="00685F5B"/>
    <w:rsid w:val="006A4A05"/>
    <w:rsid w:val="006B3548"/>
    <w:rsid w:val="006C6C85"/>
    <w:rsid w:val="00736CE3"/>
    <w:rsid w:val="00743931"/>
    <w:rsid w:val="00780FD5"/>
    <w:rsid w:val="007825DE"/>
    <w:rsid w:val="007977BB"/>
    <w:rsid w:val="007A178A"/>
    <w:rsid w:val="007C3A8E"/>
    <w:rsid w:val="007C59ED"/>
    <w:rsid w:val="00806A33"/>
    <w:rsid w:val="008336BC"/>
    <w:rsid w:val="00837365"/>
    <w:rsid w:val="00842123"/>
    <w:rsid w:val="0085597A"/>
    <w:rsid w:val="00860526"/>
    <w:rsid w:val="00872F9F"/>
    <w:rsid w:val="008758B9"/>
    <w:rsid w:val="00880DAC"/>
    <w:rsid w:val="00894D69"/>
    <w:rsid w:val="008A0D1B"/>
    <w:rsid w:val="008A4E27"/>
    <w:rsid w:val="008A78CD"/>
    <w:rsid w:val="008B1A08"/>
    <w:rsid w:val="008D7D4D"/>
    <w:rsid w:val="008E5F87"/>
    <w:rsid w:val="008E794A"/>
    <w:rsid w:val="008F7259"/>
    <w:rsid w:val="00912957"/>
    <w:rsid w:val="00922E41"/>
    <w:rsid w:val="009231DB"/>
    <w:rsid w:val="00941C39"/>
    <w:rsid w:val="00943A89"/>
    <w:rsid w:val="00995A71"/>
    <w:rsid w:val="009B1DB3"/>
    <w:rsid w:val="009B7ED6"/>
    <w:rsid w:val="009C21B3"/>
    <w:rsid w:val="009C6AAA"/>
    <w:rsid w:val="009F4EB7"/>
    <w:rsid w:val="00A071CC"/>
    <w:rsid w:val="00A233DC"/>
    <w:rsid w:val="00A263B5"/>
    <w:rsid w:val="00A306C2"/>
    <w:rsid w:val="00A308F1"/>
    <w:rsid w:val="00A574F7"/>
    <w:rsid w:val="00A63501"/>
    <w:rsid w:val="00A65385"/>
    <w:rsid w:val="00A80A9F"/>
    <w:rsid w:val="00A902CD"/>
    <w:rsid w:val="00AB22E9"/>
    <w:rsid w:val="00AC4C0A"/>
    <w:rsid w:val="00AC77F5"/>
    <w:rsid w:val="00AF417F"/>
    <w:rsid w:val="00B01C0A"/>
    <w:rsid w:val="00B20F50"/>
    <w:rsid w:val="00B449A0"/>
    <w:rsid w:val="00B501E3"/>
    <w:rsid w:val="00B90739"/>
    <w:rsid w:val="00B94810"/>
    <w:rsid w:val="00BB0C39"/>
    <w:rsid w:val="00BC2F77"/>
    <w:rsid w:val="00BD5FBB"/>
    <w:rsid w:val="00BE143D"/>
    <w:rsid w:val="00BE508E"/>
    <w:rsid w:val="00C01577"/>
    <w:rsid w:val="00C12CBD"/>
    <w:rsid w:val="00C156CF"/>
    <w:rsid w:val="00C54770"/>
    <w:rsid w:val="00C55064"/>
    <w:rsid w:val="00C64857"/>
    <w:rsid w:val="00C74D37"/>
    <w:rsid w:val="00C778B0"/>
    <w:rsid w:val="00C85E08"/>
    <w:rsid w:val="00C96AEC"/>
    <w:rsid w:val="00CA3F30"/>
    <w:rsid w:val="00D023D5"/>
    <w:rsid w:val="00D332E1"/>
    <w:rsid w:val="00D46539"/>
    <w:rsid w:val="00D82025"/>
    <w:rsid w:val="00DD2579"/>
    <w:rsid w:val="00E12AA2"/>
    <w:rsid w:val="00E243C7"/>
    <w:rsid w:val="00E43A03"/>
    <w:rsid w:val="00E504A2"/>
    <w:rsid w:val="00E624E7"/>
    <w:rsid w:val="00E67B74"/>
    <w:rsid w:val="00ED17B4"/>
    <w:rsid w:val="00ED1986"/>
    <w:rsid w:val="00EE38B6"/>
    <w:rsid w:val="00F20934"/>
    <w:rsid w:val="00F459A0"/>
    <w:rsid w:val="00F52308"/>
    <w:rsid w:val="00F625F9"/>
    <w:rsid w:val="00F6581A"/>
    <w:rsid w:val="00F861B3"/>
    <w:rsid w:val="00F87F96"/>
    <w:rsid w:val="00F915EE"/>
    <w:rsid w:val="00FD2677"/>
    <w:rsid w:val="00FE2041"/>
    <w:rsid w:val="00FF5D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45B9"/>
  <w15:docId w15:val="{E238E4F5-0297-49A6-BD4B-8B0D8B21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0A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40A2"/>
    <w:pPr>
      <w:tabs>
        <w:tab w:val="center" w:pos="4153"/>
        <w:tab w:val="right" w:pos="8306"/>
      </w:tabs>
    </w:pPr>
    <w:rPr>
      <w:lang w:val="x-none"/>
    </w:rPr>
  </w:style>
  <w:style w:type="character" w:customStyle="1" w:styleId="HeaderChar">
    <w:name w:val="Header Char"/>
    <w:link w:val="Header"/>
    <w:rsid w:val="002C40A2"/>
    <w:rPr>
      <w:rFonts w:ascii="Times New Roman" w:eastAsia="Times New Roman" w:hAnsi="Times New Roman" w:cs="Times New Roman"/>
      <w:color w:val="auto"/>
      <w:sz w:val="24"/>
      <w:szCs w:val="24"/>
      <w:lang w:eastAsia="lv-LV"/>
    </w:rPr>
  </w:style>
  <w:style w:type="paragraph" w:styleId="EnvelopeReturn">
    <w:name w:val="envelope return"/>
    <w:basedOn w:val="Normal"/>
    <w:rsid w:val="002C40A2"/>
    <w:pPr>
      <w:keepLines/>
      <w:spacing w:before="600"/>
    </w:pPr>
    <w:rPr>
      <w:sz w:val="26"/>
      <w:szCs w:val="20"/>
      <w:lang w:eastAsia="en-US"/>
    </w:rPr>
  </w:style>
  <w:style w:type="paragraph" w:styleId="EnvelopeAddress">
    <w:name w:val="envelope address"/>
    <w:basedOn w:val="Normal"/>
    <w:rsid w:val="002C40A2"/>
    <w:pPr>
      <w:framePr w:w="7920" w:h="1980" w:hRule="exact" w:hSpace="180" w:wrap="auto" w:hAnchor="page" w:xAlign="center" w:yAlign="bottom"/>
      <w:ind w:left="2880"/>
    </w:pPr>
    <w:rPr>
      <w:rFonts w:ascii="Arial" w:hAnsi="Arial" w:cs="Arial"/>
    </w:rPr>
  </w:style>
  <w:style w:type="paragraph" w:styleId="Subtitle">
    <w:name w:val="Subtitle"/>
    <w:basedOn w:val="Normal"/>
    <w:next w:val="Normal"/>
    <w:link w:val="SubtitleChar"/>
    <w:qFormat/>
    <w:rsid w:val="002C40A2"/>
    <w:pPr>
      <w:keepNext/>
      <w:keepLines/>
      <w:suppressAutoHyphens/>
      <w:spacing w:before="600" w:after="600"/>
      <w:ind w:right="4820"/>
    </w:pPr>
    <w:rPr>
      <w:b/>
      <w:sz w:val="26"/>
      <w:szCs w:val="20"/>
      <w:lang w:val="x-none" w:eastAsia="x-none"/>
    </w:rPr>
  </w:style>
  <w:style w:type="character" w:customStyle="1" w:styleId="SubtitleChar">
    <w:name w:val="Subtitle Char"/>
    <w:link w:val="Subtitle"/>
    <w:rsid w:val="002C40A2"/>
    <w:rPr>
      <w:rFonts w:ascii="Times New Roman" w:eastAsia="Times New Roman" w:hAnsi="Times New Roman" w:cs="Times New Roman"/>
      <w:b/>
      <w:color w:val="auto"/>
      <w:sz w:val="26"/>
      <w:szCs w:val="20"/>
    </w:rPr>
  </w:style>
  <w:style w:type="paragraph" w:styleId="Signature">
    <w:name w:val="Signature"/>
    <w:basedOn w:val="Normal"/>
    <w:next w:val="EnvelopeReturn"/>
    <w:link w:val="SignatureChar"/>
    <w:rsid w:val="002C40A2"/>
    <w:pPr>
      <w:keepNext/>
      <w:keepLines/>
      <w:tabs>
        <w:tab w:val="right" w:pos="9072"/>
      </w:tabs>
      <w:suppressAutoHyphens/>
      <w:spacing w:before="600"/>
    </w:pPr>
    <w:rPr>
      <w:sz w:val="26"/>
      <w:szCs w:val="20"/>
      <w:lang w:val="x-none" w:eastAsia="x-none"/>
    </w:rPr>
  </w:style>
  <w:style w:type="character" w:customStyle="1" w:styleId="SignatureChar">
    <w:name w:val="Signature Char"/>
    <w:link w:val="Signature"/>
    <w:rsid w:val="002C40A2"/>
    <w:rPr>
      <w:rFonts w:ascii="Times New Roman" w:eastAsia="Times New Roman" w:hAnsi="Times New Roman" w:cs="Times New Roman"/>
      <w:color w:val="auto"/>
      <w:sz w:val="26"/>
      <w:szCs w:val="20"/>
    </w:rPr>
  </w:style>
  <w:style w:type="paragraph" w:customStyle="1" w:styleId="Vstulesdatumsunnumurs">
    <w:name w:val="Vçstules datums un numurs"/>
    <w:basedOn w:val="Normal"/>
    <w:next w:val="EnvelopeAddress"/>
    <w:rsid w:val="002C40A2"/>
    <w:pPr>
      <w:keepNext/>
      <w:keepLines/>
      <w:suppressAutoHyphens/>
      <w:ind w:right="4820"/>
    </w:pPr>
    <w:rPr>
      <w:sz w:val="26"/>
      <w:szCs w:val="20"/>
      <w:lang w:eastAsia="en-US"/>
    </w:rPr>
  </w:style>
  <w:style w:type="paragraph" w:styleId="BalloonText">
    <w:name w:val="Balloon Text"/>
    <w:basedOn w:val="Normal"/>
    <w:link w:val="BalloonTextChar"/>
    <w:uiPriority w:val="99"/>
    <w:semiHidden/>
    <w:unhideWhenUsed/>
    <w:rsid w:val="002C40A2"/>
    <w:rPr>
      <w:rFonts w:ascii="Tahoma" w:hAnsi="Tahoma"/>
      <w:sz w:val="16"/>
      <w:szCs w:val="16"/>
      <w:lang w:val="x-none"/>
    </w:rPr>
  </w:style>
  <w:style w:type="character" w:customStyle="1" w:styleId="BalloonTextChar">
    <w:name w:val="Balloon Text Char"/>
    <w:link w:val="BalloonText"/>
    <w:uiPriority w:val="99"/>
    <w:semiHidden/>
    <w:rsid w:val="002C40A2"/>
    <w:rPr>
      <w:rFonts w:ascii="Tahoma" w:eastAsia="Times New Roman" w:hAnsi="Tahoma" w:cs="Tahoma"/>
      <w:color w:val="auto"/>
      <w:sz w:val="16"/>
      <w:szCs w:val="16"/>
      <w:lang w:eastAsia="lv-LV"/>
    </w:rPr>
  </w:style>
  <w:style w:type="paragraph" w:styleId="Footer">
    <w:name w:val="footer"/>
    <w:basedOn w:val="Normal"/>
    <w:link w:val="FooterChar"/>
    <w:uiPriority w:val="99"/>
    <w:unhideWhenUsed/>
    <w:rsid w:val="00285971"/>
    <w:pPr>
      <w:tabs>
        <w:tab w:val="center" w:pos="4153"/>
        <w:tab w:val="right" w:pos="8306"/>
      </w:tabs>
    </w:pPr>
  </w:style>
  <w:style w:type="character" w:customStyle="1" w:styleId="FooterChar">
    <w:name w:val="Footer Char"/>
    <w:basedOn w:val="DefaultParagraphFont"/>
    <w:link w:val="Footer"/>
    <w:uiPriority w:val="99"/>
    <w:rsid w:val="00285971"/>
    <w:rPr>
      <w:rFonts w:ascii="Times New Roman" w:eastAsia="Times New Roman" w:hAnsi="Times New Roman" w:cs="Times New Roman"/>
      <w:sz w:val="24"/>
      <w:szCs w:val="24"/>
    </w:rPr>
  </w:style>
  <w:style w:type="paragraph" w:styleId="ListParagraph">
    <w:name w:val="List Paragraph"/>
    <w:basedOn w:val="Normal"/>
    <w:uiPriority w:val="34"/>
    <w:qFormat/>
    <w:rsid w:val="00E243C7"/>
    <w:pPr>
      <w:ind w:left="720"/>
      <w:contextualSpacing/>
    </w:pPr>
  </w:style>
  <w:style w:type="character" w:styleId="CommentReference">
    <w:name w:val="annotation reference"/>
    <w:basedOn w:val="DefaultParagraphFont"/>
    <w:uiPriority w:val="99"/>
    <w:semiHidden/>
    <w:unhideWhenUsed/>
    <w:rsid w:val="00941C39"/>
    <w:rPr>
      <w:sz w:val="16"/>
      <w:szCs w:val="16"/>
    </w:rPr>
  </w:style>
  <w:style w:type="paragraph" w:styleId="CommentText">
    <w:name w:val="annotation text"/>
    <w:basedOn w:val="Normal"/>
    <w:link w:val="CommentTextChar"/>
    <w:uiPriority w:val="99"/>
    <w:semiHidden/>
    <w:unhideWhenUsed/>
    <w:rsid w:val="00941C39"/>
    <w:rPr>
      <w:sz w:val="20"/>
      <w:szCs w:val="20"/>
    </w:rPr>
  </w:style>
  <w:style w:type="character" w:customStyle="1" w:styleId="CommentTextChar">
    <w:name w:val="Comment Text Char"/>
    <w:basedOn w:val="DefaultParagraphFont"/>
    <w:link w:val="CommentText"/>
    <w:uiPriority w:val="99"/>
    <w:semiHidden/>
    <w:rsid w:val="00941C3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41C39"/>
    <w:rPr>
      <w:b/>
      <w:bCs/>
    </w:rPr>
  </w:style>
  <w:style w:type="character" w:customStyle="1" w:styleId="CommentSubjectChar">
    <w:name w:val="Comment Subject Char"/>
    <w:basedOn w:val="CommentTextChar"/>
    <w:link w:val="CommentSubject"/>
    <w:uiPriority w:val="99"/>
    <w:semiHidden/>
    <w:rsid w:val="00941C39"/>
    <w:rPr>
      <w:rFonts w:ascii="Times New Roman" w:eastAsia="Times New Roman" w:hAnsi="Times New Roman" w:cs="Times New Roman"/>
      <w:b/>
      <w:bCs/>
    </w:rPr>
  </w:style>
  <w:style w:type="character" w:styleId="Hyperlink">
    <w:name w:val="Hyperlink"/>
    <w:basedOn w:val="DefaultParagraphFont"/>
    <w:uiPriority w:val="99"/>
    <w:unhideWhenUsed/>
    <w:rsid w:val="007977BB"/>
    <w:rPr>
      <w:color w:val="0000FF"/>
      <w:u w:val="single"/>
    </w:rPr>
  </w:style>
  <w:style w:type="paragraph" w:customStyle="1" w:styleId="doc-ti">
    <w:name w:val="doc-ti"/>
    <w:basedOn w:val="Normal"/>
    <w:rsid w:val="00DD2579"/>
    <w:pPr>
      <w:spacing w:before="100" w:beforeAutospacing="1" w:after="100" w:afterAutospacing="1"/>
    </w:pPr>
  </w:style>
  <w:style w:type="paragraph" w:customStyle="1" w:styleId="naisc">
    <w:name w:val="naisc"/>
    <w:basedOn w:val="Normal"/>
    <w:rsid w:val="007C59ED"/>
    <w:pPr>
      <w:spacing w:before="75" w:after="75"/>
      <w:jc w:val="center"/>
    </w:pPr>
  </w:style>
  <w:style w:type="character" w:customStyle="1" w:styleId="t3">
    <w:name w:val="t3"/>
    <w:basedOn w:val="DefaultParagraphFont"/>
    <w:rsid w:val="009C6AAA"/>
  </w:style>
  <w:style w:type="character" w:customStyle="1" w:styleId="st">
    <w:name w:val="st"/>
    <w:basedOn w:val="DefaultParagraphFont"/>
    <w:rsid w:val="00392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85164">
      <w:bodyDiv w:val="1"/>
      <w:marLeft w:val="0"/>
      <w:marRight w:val="0"/>
      <w:marTop w:val="0"/>
      <w:marBottom w:val="0"/>
      <w:divBdr>
        <w:top w:val="none" w:sz="0" w:space="0" w:color="auto"/>
        <w:left w:val="none" w:sz="0" w:space="0" w:color="auto"/>
        <w:bottom w:val="none" w:sz="0" w:space="0" w:color="auto"/>
        <w:right w:val="none" w:sz="0" w:space="0" w:color="auto"/>
      </w:divBdr>
    </w:div>
    <w:div w:id="583421726">
      <w:bodyDiv w:val="1"/>
      <w:marLeft w:val="0"/>
      <w:marRight w:val="0"/>
      <w:marTop w:val="0"/>
      <w:marBottom w:val="0"/>
      <w:divBdr>
        <w:top w:val="none" w:sz="0" w:space="0" w:color="auto"/>
        <w:left w:val="none" w:sz="0" w:space="0" w:color="auto"/>
        <w:bottom w:val="none" w:sz="0" w:space="0" w:color="auto"/>
        <w:right w:val="none" w:sz="0" w:space="0" w:color="auto"/>
      </w:divBdr>
    </w:div>
    <w:div w:id="701441021">
      <w:bodyDiv w:val="1"/>
      <w:marLeft w:val="0"/>
      <w:marRight w:val="0"/>
      <w:marTop w:val="0"/>
      <w:marBottom w:val="0"/>
      <w:divBdr>
        <w:top w:val="none" w:sz="0" w:space="0" w:color="auto"/>
        <w:left w:val="none" w:sz="0" w:space="0" w:color="auto"/>
        <w:bottom w:val="none" w:sz="0" w:space="0" w:color="auto"/>
        <w:right w:val="none" w:sz="0" w:space="0" w:color="auto"/>
      </w:divBdr>
    </w:div>
    <w:div w:id="923415169">
      <w:bodyDiv w:val="1"/>
      <w:marLeft w:val="0"/>
      <w:marRight w:val="0"/>
      <w:marTop w:val="0"/>
      <w:marBottom w:val="0"/>
      <w:divBdr>
        <w:top w:val="none" w:sz="0" w:space="0" w:color="auto"/>
        <w:left w:val="none" w:sz="0" w:space="0" w:color="auto"/>
        <w:bottom w:val="none" w:sz="0" w:space="0" w:color="auto"/>
        <w:right w:val="none" w:sz="0" w:space="0" w:color="auto"/>
      </w:divBdr>
      <w:divsChild>
        <w:div w:id="364019384">
          <w:marLeft w:val="0"/>
          <w:marRight w:val="0"/>
          <w:marTop w:val="0"/>
          <w:marBottom w:val="0"/>
          <w:divBdr>
            <w:top w:val="none" w:sz="0" w:space="0" w:color="auto"/>
            <w:left w:val="none" w:sz="0" w:space="0" w:color="auto"/>
            <w:bottom w:val="none" w:sz="0" w:space="0" w:color="auto"/>
            <w:right w:val="none" w:sz="0" w:space="0" w:color="auto"/>
          </w:divBdr>
        </w:div>
        <w:div w:id="2127003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nis.stepins@sprk.gov.l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tars.Eglitis@em.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0F87C0818AB44387118A25C54D753E" ma:contentTypeVersion="10" ma:contentTypeDescription="Create a new document." ma:contentTypeScope="" ma:versionID="f68443dff1bfe0496a32a1e9fd0aa250">
  <xsd:schema xmlns:xsd="http://www.w3.org/2001/XMLSchema" xmlns:xs="http://www.w3.org/2001/XMLSchema" xmlns:p="http://schemas.microsoft.com/office/2006/metadata/properties" xmlns:ns2="05a7bc8e-bdc3-4b21-92af-9085676c9df6" xmlns:ns3="21f7a9fe-7315-4d12-abaf-ae2e09d19234" targetNamespace="http://schemas.microsoft.com/office/2006/metadata/properties" ma:root="true" ma:fieldsID="f163cc0d743d6c68bb4c4af600d229d7" ns2:_="" ns3:_="">
    <xsd:import namespace="05a7bc8e-bdc3-4b21-92af-9085676c9df6"/>
    <xsd:import namespace="21f7a9fe-7315-4d12-abaf-ae2e09d19234"/>
    <xsd:element name="properties">
      <xsd:complexType>
        <xsd:sequence>
          <xsd:element name="documentManagement">
            <xsd:complexType>
              <xsd:all>
                <xsd:element ref="ns2:S_x0101_kot_x0020_ar" minOccurs="0"/>
                <xsd:element ref="ns2:Pielikuma_x0020_Nr_x002e_" minOccurs="0"/>
                <xsd:element ref="ns3:SharedWithUsers" minOccurs="0"/>
                <xsd:element ref="ns3:SharedWithDetails" minOccurs="0"/>
                <xsd:element ref="ns2:Piez_x012b_mes" minOccurs="0"/>
                <xsd:element ref="ns2:Nr_x002e__x0020_un_x0020_noteikumu_x0020_nosauk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7bc8e-bdc3-4b21-92af-9085676c9df6" elementFormDefault="qualified">
    <xsd:import namespace="http://schemas.microsoft.com/office/2006/documentManagement/types"/>
    <xsd:import namespace="http://schemas.microsoft.com/office/infopath/2007/PartnerControls"/>
    <xsd:element name="S_x0101_kot_x0020_ar" ma:index="8" nillable="true" ma:displayName="Sākot ar" ma:format="DateOnly" ma:internalName="S_x0101_kot_x0020_ar">
      <xsd:simpleType>
        <xsd:restriction base="dms:DateTime"/>
      </xsd:simpleType>
    </xsd:element>
    <xsd:element name="Pielikuma_x0020_Nr_x002e_" ma:index="9" nillable="true" ma:displayName="Pielikuma Nr." ma:internalName="Pielikuma_x0020_Nr_x002e_">
      <xsd:simpleType>
        <xsd:restriction base="dms:Text">
          <xsd:maxLength value="255"/>
        </xsd:restriction>
      </xsd:simpleType>
    </xsd:element>
    <xsd:element name="Piez_x012b_mes" ma:index="12" nillable="true" ma:displayName="Piezīmes" ma:internalName="Piez_x012b_mes">
      <xsd:simpleType>
        <xsd:restriction base="dms:Note">
          <xsd:maxLength value="255"/>
        </xsd:restriction>
      </xsd:simpleType>
    </xsd:element>
    <xsd:element name="Nr_x002e__x0020_un_x0020_noteikumu_x0020_nosaukums" ma:index="13" nillable="true" ma:displayName="Nr. un noteikumu nosaukums" ma:format="Hyperlink" ma:internalName="Nr_x002e__x0020_un_x0020_noteikumu_x0020_nosaukum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f7a9fe-7315-4d12-abaf-ae2e09d1923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r_x002e__x0020_un_x0020_noteikumu_x0020_nosaukums xmlns="05a7bc8e-bdc3-4b21-92af-9085676c9df6">
      <Url>http://edus.sprk.gov.lv/index.php?s=60025&amp;dok_reg=15403&amp;details=79747</Url>
      <Description>18.12.2014. Nr.2/26 "Dokumentu pārvaldības noteikumi"</Description>
    </Nr_x002e__x0020_un_x0020_noteikumu_x0020_nosaukums>
    <S_x0101_kot_x0020_ar xmlns="05a7bc8e-bdc3-4b21-92af-9085676c9df6">2014-12-31T22:00:00+00:00</S_x0101_kot_x0020_ar>
    <Pielikuma_x0020_Nr_x002e_ xmlns="05a7bc8e-bdc3-4b21-92af-9085676c9df6">Pielikums Nr.1</Pielikuma_x0020_Nr_x002e_>
    <Piez_x012b_mes xmlns="05a7bc8e-bdc3-4b21-92af-9085676c9df6">Sagatavo pēc Regulatora iniciatīvas</Piez_x012b_me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A369E-5EF6-4B8F-8305-0E805940E076}">
  <ds:schemaRefs>
    <ds:schemaRef ds:uri="http://schemas.microsoft.com/office/2006/metadata/longProperties"/>
  </ds:schemaRefs>
</ds:datastoreItem>
</file>

<file path=customXml/itemProps2.xml><?xml version="1.0" encoding="utf-8"?>
<ds:datastoreItem xmlns:ds="http://schemas.openxmlformats.org/officeDocument/2006/customXml" ds:itemID="{0094CF4A-2FD6-402B-857F-0564A21FF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7bc8e-bdc3-4b21-92af-9085676c9df6"/>
    <ds:schemaRef ds:uri="21f7a9fe-7315-4d12-abaf-ae2e09d19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EFD7C-CF2D-4B0B-AB32-5EE2C9F2C5FF}">
  <ds:schemaRefs>
    <ds:schemaRef ds:uri="http://schemas.microsoft.com/office/2006/metadata/properties"/>
    <ds:schemaRef ds:uri="http://schemas.microsoft.com/office/infopath/2007/PartnerControls"/>
    <ds:schemaRef ds:uri="05a7bc8e-bdc3-4b21-92af-9085676c9df6"/>
  </ds:schemaRefs>
</ds:datastoreItem>
</file>

<file path=customXml/itemProps4.xml><?xml version="1.0" encoding="utf-8"?>
<ds:datastoreItem xmlns:ds="http://schemas.openxmlformats.org/officeDocument/2006/customXml" ds:itemID="{D76259DF-D49E-49AA-9931-A4F586DD71A5}">
  <ds:schemaRefs>
    <ds:schemaRef ds:uri="http://schemas.microsoft.com/sharepoint/v3/contenttype/forms"/>
  </ds:schemaRefs>
</ds:datastoreItem>
</file>

<file path=customXml/itemProps5.xml><?xml version="1.0" encoding="utf-8"?>
<ds:datastoreItem xmlns:ds="http://schemas.openxmlformats.org/officeDocument/2006/customXml" ds:itemID="{0C01D8D3-B0F6-45BA-9990-450C93AA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3125</Words>
  <Characters>22505</Characters>
  <Application>Microsoft Office Word</Application>
  <DocSecurity>0</DocSecurity>
  <Lines>725</Lines>
  <Paragraphs>278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Grozījumis Ministru kabineta 2009.gada 22.decembra noteikumos Nr.1623 “Noteikumi par valsts nodevas likmi par sabiedrisko pakalpojumu regulēšanu un nodevas maksāšanas kārtību”</vt:lpstr>
      <vt:lpstr>Grozījumis Ministru kabineta 2009.gada 22.decembra noteikumos Nr.1623 “Noteikumi par valsts nodevas likmi par sabiedrisko pakalpojumu regulēšanu un nodevas maksāšanas kārtību”</vt:lpstr>
    </vt:vector>
  </TitlesOfParts>
  <Company>Hewlett-Packard Company</Company>
  <LinksUpToDate>false</LinksUpToDate>
  <CharactersWithSpaces>25352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Grozījumis Ministru kabineta 2009.gada 22.decembra noteikumos Nr.1623 “Noteikumi par valsts nodevas likmi par sabiedrisko pakalpojumu regulēšanu un nodevas maksāšanas kārtību”</dc:title>
  <dc:subject/>
  <dc:creator>sprk</dc:creator>
  <cp:keywords>Ministru kabineta noteikumu projekts</cp:keywords>
  <dc:description>67013236; Intars.Eglitis@em.gov.lv</dc:description>
  <cp:lastModifiedBy>Intars Eglītis</cp:lastModifiedBy>
  <cp:revision>7</cp:revision>
  <cp:lastPrinted>2014-09-24T12:00:00Z</cp:lastPrinted>
  <dcterms:created xsi:type="dcterms:W3CDTF">2016-05-25T08:18:00Z</dcterms:created>
  <dcterms:modified xsi:type="dcterms:W3CDTF">2016-05-26T10:35:00Z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