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0599" w14:textId="77777777" w:rsidR="002A247F" w:rsidRPr="00BD6296" w:rsidRDefault="002A247F" w:rsidP="002A247F">
      <w:pPr>
        <w:jc w:val="right"/>
        <w:rPr>
          <w:i/>
          <w:szCs w:val="28"/>
        </w:rPr>
      </w:pPr>
      <w:r w:rsidRPr="00BD6296">
        <w:rPr>
          <w:i/>
          <w:szCs w:val="28"/>
        </w:rPr>
        <w:t>Projekts</w:t>
      </w:r>
    </w:p>
    <w:p w14:paraId="331CA184" w14:textId="77777777" w:rsidR="002A247F" w:rsidRPr="00BD6296" w:rsidRDefault="002A247F" w:rsidP="002A247F">
      <w:pPr>
        <w:jc w:val="center"/>
        <w:rPr>
          <w:b/>
          <w:szCs w:val="28"/>
        </w:rPr>
      </w:pPr>
    </w:p>
    <w:p w14:paraId="6C6D1400" w14:textId="77777777" w:rsidR="002A247F" w:rsidRPr="00BD6296" w:rsidRDefault="002A247F" w:rsidP="002A247F">
      <w:pPr>
        <w:jc w:val="center"/>
        <w:rPr>
          <w:b/>
          <w:i/>
          <w:szCs w:val="28"/>
        </w:rPr>
      </w:pPr>
      <w:r w:rsidRPr="00BD6296">
        <w:rPr>
          <w:b/>
          <w:szCs w:val="28"/>
        </w:rPr>
        <w:t>LATVIJAS REPUBLIKAS MINISTRU KABINETS</w:t>
      </w:r>
    </w:p>
    <w:p w14:paraId="2FA5360B" w14:textId="77777777" w:rsidR="002A247F" w:rsidRPr="00BD6296" w:rsidRDefault="002A247F" w:rsidP="002A247F">
      <w:pPr>
        <w:ind w:right="-1"/>
        <w:jc w:val="center"/>
        <w:rPr>
          <w:szCs w:val="28"/>
        </w:rPr>
      </w:pPr>
    </w:p>
    <w:p w14:paraId="70170927" w14:textId="77777777" w:rsidR="002A247F" w:rsidRPr="00BD6296" w:rsidRDefault="002A247F" w:rsidP="002A247F">
      <w:pPr>
        <w:ind w:right="-1"/>
        <w:rPr>
          <w:szCs w:val="28"/>
        </w:rPr>
      </w:pPr>
      <w:r w:rsidRPr="00BD6296">
        <w:rPr>
          <w:szCs w:val="28"/>
        </w:rPr>
        <w:t>2016.gada ____.__________</w:t>
      </w:r>
      <w:r w:rsidRPr="00BD6296">
        <w:rPr>
          <w:szCs w:val="28"/>
        </w:rPr>
        <w:tab/>
      </w:r>
      <w:r w:rsidRPr="00BD6296">
        <w:rPr>
          <w:szCs w:val="28"/>
        </w:rPr>
        <w:tab/>
      </w:r>
      <w:r w:rsidRPr="00BD6296">
        <w:rPr>
          <w:szCs w:val="28"/>
        </w:rPr>
        <w:tab/>
      </w:r>
      <w:r w:rsidRPr="00BD6296">
        <w:rPr>
          <w:szCs w:val="28"/>
        </w:rPr>
        <w:tab/>
        <w:t>Noteikumi Nr.______</w:t>
      </w:r>
    </w:p>
    <w:p w14:paraId="3EC7101C" w14:textId="77777777" w:rsidR="002A247F" w:rsidRPr="00BD6296" w:rsidRDefault="002A247F" w:rsidP="002A247F">
      <w:pPr>
        <w:ind w:right="-1"/>
        <w:jc w:val="center"/>
        <w:rPr>
          <w:szCs w:val="28"/>
        </w:rPr>
      </w:pPr>
      <w:r w:rsidRPr="00BD6296">
        <w:rPr>
          <w:szCs w:val="28"/>
        </w:rPr>
        <w:t>Rīgā                                                                                  (prot. Nr.         .§)</w:t>
      </w:r>
    </w:p>
    <w:p w14:paraId="75C1CE39" w14:textId="77777777" w:rsidR="002A247F" w:rsidRPr="00BD6296" w:rsidRDefault="002A247F" w:rsidP="002A247F">
      <w:pPr>
        <w:jc w:val="center"/>
        <w:rPr>
          <w:b/>
          <w:szCs w:val="28"/>
        </w:rPr>
      </w:pPr>
    </w:p>
    <w:p w14:paraId="2711488F" w14:textId="77777777" w:rsidR="002A247F" w:rsidRPr="00BD6296" w:rsidRDefault="002A247F" w:rsidP="002A247F">
      <w:pPr>
        <w:pStyle w:val="naislab"/>
        <w:spacing w:before="0" w:after="0"/>
        <w:ind w:firstLine="709"/>
        <w:jc w:val="center"/>
        <w:rPr>
          <w:b/>
          <w:sz w:val="28"/>
          <w:szCs w:val="28"/>
        </w:rPr>
      </w:pPr>
      <w:bookmarkStart w:id="0" w:name="OLE_LINK1"/>
      <w:bookmarkStart w:id="1" w:name="OLE_LINK2"/>
    </w:p>
    <w:p w14:paraId="5D19667F" w14:textId="51AD24BB" w:rsidR="002A247F" w:rsidRPr="00BD6296" w:rsidRDefault="002A247F" w:rsidP="002A247F">
      <w:pPr>
        <w:pStyle w:val="naislab"/>
        <w:spacing w:before="0" w:after="0"/>
        <w:jc w:val="center"/>
        <w:rPr>
          <w:b/>
          <w:sz w:val="28"/>
          <w:szCs w:val="28"/>
        </w:rPr>
      </w:pPr>
      <w:r w:rsidRPr="00BD6296">
        <w:rPr>
          <w:b/>
          <w:sz w:val="28"/>
          <w:szCs w:val="28"/>
        </w:rPr>
        <w:t xml:space="preserve">Grozījumi Ministru kabineta 2009.gada </w:t>
      </w:r>
      <w:r w:rsidR="00F35426" w:rsidRPr="00BD6296">
        <w:rPr>
          <w:b/>
          <w:sz w:val="28"/>
          <w:szCs w:val="28"/>
        </w:rPr>
        <w:t xml:space="preserve">10.marta </w:t>
      </w:r>
      <w:r w:rsidRPr="00BD6296">
        <w:rPr>
          <w:b/>
          <w:sz w:val="28"/>
          <w:szCs w:val="28"/>
        </w:rPr>
        <w:t>noteikumos Nr.</w:t>
      </w:r>
      <w:r w:rsidR="00F35426" w:rsidRPr="00BD6296">
        <w:rPr>
          <w:b/>
          <w:sz w:val="28"/>
          <w:szCs w:val="28"/>
        </w:rPr>
        <w:t>221 “Noteikumi par elektroenerģijas ražošanu un cenu noteikšanu, ražojot elektroenerģiju koģenerācijā</w:t>
      </w:r>
      <w:r w:rsidRPr="00BD6296">
        <w:rPr>
          <w:b/>
          <w:sz w:val="28"/>
          <w:szCs w:val="28"/>
        </w:rPr>
        <w:t>”</w:t>
      </w:r>
    </w:p>
    <w:p w14:paraId="327DFA18" w14:textId="77777777" w:rsidR="002A247F" w:rsidRPr="00BD6296" w:rsidRDefault="002A247F" w:rsidP="002A247F">
      <w:pPr>
        <w:pStyle w:val="naislab"/>
        <w:spacing w:before="0" w:after="0"/>
        <w:ind w:firstLine="709"/>
        <w:rPr>
          <w:sz w:val="28"/>
          <w:szCs w:val="28"/>
        </w:rPr>
      </w:pPr>
    </w:p>
    <w:p w14:paraId="7A66FE8F" w14:textId="7CBD7B8F" w:rsidR="00F35426" w:rsidRPr="00BD6296" w:rsidRDefault="002A247F" w:rsidP="002A247F">
      <w:pPr>
        <w:pStyle w:val="naislab"/>
        <w:spacing w:before="0" w:after="0"/>
        <w:ind w:firstLine="709"/>
        <w:rPr>
          <w:i/>
        </w:rPr>
      </w:pPr>
      <w:r w:rsidRPr="00BD6296">
        <w:rPr>
          <w:i/>
        </w:rPr>
        <w:t xml:space="preserve">Izdoti saskaņā ar </w:t>
      </w:r>
      <w:r w:rsidR="00F35426" w:rsidRPr="00BD6296">
        <w:rPr>
          <w:i/>
        </w:rPr>
        <w:t>Elektroenerģijas tirgus likuma 28.panta</w:t>
      </w:r>
    </w:p>
    <w:p w14:paraId="00634E3F" w14:textId="4093FCE4" w:rsidR="00F35426" w:rsidRPr="00BD6296" w:rsidRDefault="00F35426" w:rsidP="002A247F">
      <w:pPr>
        <w:pStyle w:val="naislab"/>
        <w:spacing w:before="0" w:after="0"/>
        <w:ind w:firstLine="709"/>
        <w:rPr>
          <w:i/>
        </w:rPr>
      </w:pPr>
      <w:r w:rsidRPr="00BD6296">
        <w:rPr>
          <w:i/>
        </w:rPr>
        <w:t>otro un septīto daļu un 28.</w:t>
      </w:r>
      <w:r w:rsidRPr="00BD6296">
        <w:rPr>
          <w:i/>
          <w:vertAlign w:val="superscript"/>
        </w:rPr>
        <w:t>1</w:t>
      </w:r>
      <w:r w:rsidRPr="00BD6296">
        <w:rPr>
          <w:i/>
        </w:rPr>
        <w:t>panta otro un piekto daļu</w:t>
      </w:r>
    </w:p>
    <w:p w14:paraId="766A86DA" w14:textId="77777777" w:rsidR="002A247F" w:rsidRPr="00BD6296" w:rsidRDefault="002A247F" w:rsidP="002A247F">
      <w:pPr>
        <w:jc w:val="both"/>
        <w:rPr>
          <w:szCs w:val="28"/>
          <w:lang w:eastAsia="lv-LV"/>
        </w:rPr>
      </w:pPr>
      <w:bookmarkStart w:id="2" w:name="p-317659"/>
      <w:bookmarkStart w:id="3" w:name="p1"/>
      <w:bookmarkEnd w:id="2"/>
      <w:bookmarkEnd w:id="3"/>
    </w:p>
    <w:p w14:paraId="6FC4629C" w14:textId="77777777" w:rsidR="002A247F" w:rsidRPr="00BD6296" w:rsidRDefault="002A247F" w:rsidP="002A247F">
      <w:pPr>
        <w:jc w:val="both"/>
        <w:rPr>
          <w:szCs w:val="28"/>
          <w:lang w:eastAsia="lv-LV"/>
        </w:rPr>
      </w:pPr>
    </w:p>
    <w:p w14:paraId="15FE8B85" w14:textId="3EFC0DD5" w:rsidR="00F35426" w:rsidRPr="00BD6296" w:rsidRDefault="002A247F" w:rsidP="00BD6296">
      <w:pPr>
        <w:spacing w:before="60" w:after="60"/>
        <w:jc w:val="both"/>
        <w:rPr>
          <w:szCs w:val="28"/>
        </w:rPr>
      </w:pPr>
      <w:bookmarkStart w:id="4" w:name="p-317661"/>
      <w:bookmarkStart w:id="5" w:name="p3"/>
      <w:bookmarkEnd w:id="0"/>
      <w:bookmarkEnd w:id="1"/>
      <w:bookmarkEnd w:id="4"/>
      <w:bookmarkEnd w:id="5"/>
      <w:r w:rsidRPr="00BD6296">
        <w:rPr>
          <w:szCs w:val="28"/>
        </w:rPr>
        <w:t xml:space="preserve">Izdarīt Ministru kabineta 2009.gada </w:t>
      </w:r>
      <w:r w:rsidR="00F35426" w:rsidRPr="00BD6296">
        <w:rPr>
          <w:szCs w:val="28"/>
        </w:rPr>
        <w:t>10.marta</w:t>
      </w:r>
      <w:r w:rsidRPr="00BD6296">
        <w:rPr>
          <w:szCs w:val="28"/>
        </w:rPr>
        <w:t xml:space="preserve"> noteikumos Nr.</w:t>
      </w:r>
      <w:r w:rsidR="00F35426" w:rsidRPr="00BD6296">
        <w:rPr>
          <w:szCs w:val="28"/>
        </w:rPr>
        <w:t>221</w:t>
      </w:r>
      <w:r w:rsidRPr="00BD6296">
        <w:rPr>
          <w:szCs w:val="28"/>
        </w:rPr>
        <w:t xml:space="preserve"> “</w:t>
      </w:r>
      <w:r w:rsidR="00F35426" w:rsidRPr="00BD6296">
        <w:rPr>
          <w:szCs w:val="28"/>
        </w:rPr>
        <w:t xml:space="preserve">Noteikumi par elektroenerģijas ražošanu un cenu noteikšanu, ražojot elektroenerģiju koģenerācijā” (Latvijas Vēstnesis, 2009, </w:t>
      </w:r>
      <w:r w:rsidR="00C07B41" w:rsidRPr="00BD6296">
        <w:rPr>
          <w:szCs w:val="28"/>
        </w:rPr>
        <w:t>42</w:t>
      </w:r>
      <w:r w:rsidR="00F35426" w:rsidRPr="00BD6296">
        <w:rPr>
          <w:szCs w:val="28"/>
        </w:rPr>
        <w:t>. nr.; 20</w:t>
      </w:r>
      <w:r w:rsidR="00C07B41" w:rsidRPr="00BD6296">
        <w:rPr>
          <w:szCs w:val="28"/>
        </w:rPr>
        <w:t>09</w:t>
      </w:r>
      <w:r w:rsidR="00F35426" w:rsidRPr="00BD6296">
        <w:rPr>
          <w:szCs w:val="28"/>
        </w:rPr>
        <w:t>., 1</w:t>
      </w:r>
      <w:r w:rsidR="00C07B41" w:rsidRPr="00BD6296">
        <w:rPr>
          <w:szCs w:val="28"/>
        </w:rPr>
        <w:t>89</w:t>
      </w:r>
      <w:r w:rsidR="00F35426" w:rsidRPr="00BD6296">
        <w:rPr>
          <w:szCs w:val="28"/>
        </w:rPr>
        <w:t>. nr.</w:t>
      </w:r>
      <w:r w:rsidR="00C07B41" w:rsidRPr="00BD6296">
        <w:rPr>
          <w:szCs w:val="28"/>
        </w:rPr>
        <w:t xml:space="preserve">, 2009, 205. nr., 2010, 150. nr., 2012, </w:t>
      </w:r>
      <w:r w:rsidR="00A13BC5" w:rsidRPr="00BD6296">
        <w:rPr>
          <w:szCs w:val="28"/>
        </w:rPr>
        <w:t>142. nr., 2013, 158. nr., 2013, 234. nr., 2014, 82 .nr., 2015, 250. nr.</w:t>
      </w:r>
      <w:r w:rsidR="00F35426" w:rsidRPr="00BD6296">
        <w:rPr>
          <w:szCs w:val="28"/>
        </w:rPr>
        <w:t>) šādus grozījumus:</w:t>
      </w:r>
    </w:p>
    <w:p w14:paraId="3092F6C7" w14:textId="77777777" w:rsidR="008E0212" w:rsidRPr="00BD6296" w:rsidRDefault="008E0212" w:rsidP="00BD6296">
      <w:pPr>
        <w:pStyle w:val="NormalWeb"/>
        <w:shd w:val="clear" w:color="auto" w:fill="FFFFFF"/>
        <w:spacing w:before="0" w:beforeAutospacing="0" w:after="0" w:afterAutospacing="0"/>
        <w:ind w:firstLine="300"/>
        <w:jc w:val="both"/>
        <w:rPr>
          <w:sz w:val="28"/>
          <w:szCs w:val="28"/>
          <w:u w:val="single"/>
        </w:rPr>
      </w:pPr>
    </w:p>
    <w:p w14:paraId="0E479922" w14:textId="04B2BAE7" w:rsidR="00563DC4"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 </w:t>
      </w:r>
      <w:r w:rsidR="00563DC4" w:rsidRPr="00BD6296">
        <w:rPr>
          <w:sz w:val="28"/>
          <w:szCs w:val="28"/>
        </w:rPr>
        <w:t>Svītrot 14.punktā teikumu: “Visas iesnieguma lapas numurē, un katru lapu paraksta komersanta pilnvarotā amatpersona.”</w:t>
      </w:r>
    </w:p>
    <w:p w14:paraId="6BCA65C5" w14:textId="77777777" w:rsidR="00563DC4" w:rsidRPr="00BD6296" w:rsidRDefault="00563DC4" w:rsidP="00BD6296">
      <w:pPr>
        <w:pStyle w:val="NormalWeb"/>
        <w:shd w:val="clear" w:color="auto" w:fill="FFFFFF"/>
        <w:tabs>
          <w:tab w:val="left" w:pos="426"/>
        </w:tabs>
        <w:spacing w:before="0" w:beforeAutospacing="0" w:after="0" w:afterAutospacing="0"/>
        <w:jc w:val="both"/>
        <w:rPr>
          <w:sz w:val="28"/>
          <w:szCs w:val="28"/>
        </w:rPr>
      </w:pPr>
    </w:p>
    <w:p w14:paraId="4EAF2E27" w14:textId="366CBD9B" w:rsidR="00563DC4"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2. </w:t>
      </w:r>
      <w:r w:rsidR="00563DC4" w:rsidRPr="00BD6296">
        <w:rPr>
          <w:sz w:val="28"/>
          <w:szCs w:val="28"/>
        </w:rPr>
        <w:t>Aizstāt 20.punktā vārdus “komersantam izsniedz trijos eksemplāros.” ar vārdiem “nosūta komersantam, pārvades sistēmas operatoram un publiskajam tirgotājam (turpmāk – tirgotājs).”.</w:t>
      </w:r>
    </w:p>
    <w:p w14:paraId="318A641D" w14:textId="77777777" w:rsidR="00563DC4" w:rsidRPr="00BD6296" w:rsidRDefault="00563DC4" w:rsidP="00BD6296">
      <w:pPr>
        <w:pStyle w:val="NormalWeb"/>
        <w:shd w:val="clear" w:color="auto" w:fill="FFFFFF"/>
        <w:tabs>
          <w:tab w:val="left" w:pos="426"/>
        </w:tabs>
        <w:spacing w:before="0" w:beforeAutospacing="0" w:after="0" w:afterAutospacing="0"/>
        <w:jc w:val="both"/>
        <w:rPr>
          <w:sz w:val="28"/>
          <w:szCs w:val="28"/>
        </w:rPr>
      </w:pPr>
    </w:p>
    <w:p w14:paraId="252F6D20" w14:textId="6C709764" w:rsidR="00563DC4"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3. </w:t>
      </w:r>
      <w:r w:rsidR="00563DC4" w:rsidRPr="00BD6296">
        <w:rPr>
          <w:sz w:val="28"/>
          <w:szCs w:val="28"/>
        </w:rPr>
        <w:t>Svītrot 24.punktā vārdus “publiskā” un “(turpmāk - tirgotājs)”.</w:t>
      </w:r>
    </w:p>
    <w:p w14:paraId="51AB3032" w14:textId="77777777" w:rsidR="00563DC4" w:rsidRPr="00BD6296" w:rsidRDefault="00563DC4" w:rsidP="00BD6296">
      <w:pPr>
        <w:pStyle w:val="ListParagraph"/>
        <w:jc w:val="both"/>
        <w:rPr>
          <w:szCs w:val="28"/>
        </w:rPr>
      </w:pPr>
    </w:p>
    <w:p w14:paraId="0C18664A" w14:textId="4BAF09A6" w:rsidR="001148DB" w:rsidRPr="003C419B" w:rsidRDefault="003C419B" w:rsidP="003C419B">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 xml:space="preserve">4. </w:t>
      </w:r>
      <w:r w:rsidR="001148DB" w:rsidRPr="003C419B">
        <w:rPr>
          <w:szCs w:val="28"/>
        </w:rPr>
        <w:t>Izteikt 52.2.1., 52.2.2. un 52.2.3.apakšpunktu šādā redakcijā:</w:t>
      </w:r>
    </w:p>
    <w:p w14:paraId="6F3C79FD"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szCs w:val="28"/>
          <w:lang w:eastAsia="lv-LV"/>
        </w:rPr>
        <w:t>“52.2.1. koģenerācijas elektrostacijām, kuru uzstādītā elektriskā jauda ir lielāka par četriem megavatiem, bet mazāka par 20 MW, jaudas komponenti par vienu uzstādīto elektrisko megavatu gadā aprēķina pēc formulas:</w:t>
      </w:r>
    </w:p>
    <w:p w14:paraId="7E20CBC7" w14:textId="1AE6FDE1" w:rsidR="001148DB" w:rsidRPr="001148DB" w:rsidRDefault="001148DB" w:rsidP="001148DB">
      <w:pPr>
        <w:shd w:val="clear" w:color="auto" w:fill="FFFFFF"/>
        <w:spacing w:before="100" w:beforeAutospacing="1" w:after="100" w:afterAutospacing="1" w:line="254" w:lineRule="atLeast"/>
        <w:ind w:left="300"/>
        <w:jc w:val="center"/>
        <w:rPr>
          <w:rFonts w:eastAsia="Times New Roman" w:cs="Times New Roman"/>
          <w:szCs w:val="28"/>
          <w:lang w:eastAsia="lv-LV"/>
        </w:rPr>
      </w:pPr>
      <w:r w:rsidRPr="001148DB">
        <w:rPr>
          <w:rFonts w:eastAsia="Times New Roman" w:cs="Times New Roman"/>
          <w:i/>
          <w:iCs/>
          <w:szCs w:val="28"/>
          <w:lang w:eastAsia="lv-LV"/>
        </w:rPr>
        <w:t>J = 153 527 </w:t>
      </w:r>
      <w:r w:rsidRPr="001148DB">
        <w:rPr>
          <w:rFonts w:eastAsia="Times New Roman" w:cs="Times New Roman"/>
          <w:szCs w:val="28"/>
          <w:lang w:eastAsia="lv-LV"/>
        </w:rPr>
        <w:t>× </w:t>
      </w:r>
      <w:r w:rsidRPr="001148DB">
        <w:rPr>
          <w:rFonts w:eastAsia="Times New Roman" w:cs="Times New Roman"/>
          <w:i/>
          <w:szCs w:val="28"/>
          <w:lang w:eastAsia="lv-LV"/>
        </w:rPr>
        <w:t>s;</w:t>
      </w:r>
    </w:p>
    <w:p w14:paraId="4B368EA6"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szCs w:val="28"/>
          <w:lang w:eastAsia="lv-LV"/>
        </w:rPr>
        <w:t>52.2.2. koģenerācijas elektrostacijām, kuru uzstādītā elektriskā jauda ir lielāka par 20 MW, bet mazāka par 100 MW, jaudas komponenti par vienu uzstādīto elektrisko megavatu  aprēķina pēc formulas:</w:t>
      </w:r>
    </w:p>
    <w:p w14:paraId="070B4BCD" w14:textId="77777777" w:rsidR="001148DB" w:rsidRPr="001148DB" w:rsidRDefault="001148DB" w:rsidP="001148DB">
      <w:pPr>
        <w:shd w:val="clear" w:color="auto" w:fill="FFFFFF"/>
        <w:spacing w:before="100" w:beforeAutospacing="1" w:after="100" w:afterAutospacing="1" w:line="254" w:lineRule="atLeast"/>
        <w:ind w:left="300"/>
        <w:jc w:val="center"/>
        <w:rPr>
          <w:rFonts w:eastAsia="Times New Roman" w:cs="Times New Roman"/>
          <w:szCs w:val="28"/>
          <w:lang w:eastAsia="lv-LV"/>
        </w:rPr>
      </w:pPr>
      <w:r w:rsidRPr="001148DB">
        <w:rPr>
          <w:rFonts w:eastAsia="Times New Roman" w:cs="Times New Roman"/>
          <w:i/>
          <w:iCs/>
          <w:szCs w:val="28"/>
          <w:lang w:eastAsia="lv-LV"/>
        </w:rPr>
        <w:lastRenderedPageBreak/>
        <w:t>J = 119 237 </w:t>
      </w:r>
      <w:r w:rsidRPr="001148DB">
        <w:rPr>
          <w:rFonts w:eastAsia="Times New Roman" w:cs="Times New Roman"/>
          <w:szCs w:val="28"/>
          <w:lang w:eastAsia="lv-LV"/>
        </w:rPr>
        <w:t>× </w:t>
      </w:r>
      <w:r w:rsidRPr="001148DB">
        <w:rPr>
          <w:rFonts w:eastAsia="Times New Roman" w:cs="Times New Roman"/>
          <w:i/>
          <w:szCs w:val="28"/>
          <w:lang w:eastAsia="lv-LV"/>
        </w:rPr>
        <w:t>s</w:t>
      </w:r>
      <w:r w:rsidRPr="001148DB">
        <w:rPr>
          <w:rFonts w:eastAsia="Times New Roman" w:cs="Times New Roman"/>
          <w:szCs w:val="28"/>
          <w:lang w:eastAsia="lv-LV"/>
        </w:rPr>
        <w:t>;</w:t>
      </w:r>
    </w:p>
    <w:p w14:paraId="5767B49D"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szCs w:val="28"/>
          <w:lang w:eastAsia="lv-LV"/>
        </w:rPr>
        <w:t>52.2.3. koģenerācijas elektrostacijām, kuru uzstādītā elektriskā jauda ir lielāka par 100 MW, jaudas komponenti par vienu uzstādīto elektrisko megavatu aprēķina pēc formulas:</w:t>
      </w:r>
    </w:p>
    <w:p w14:paraId="4088CD44" w14:textId="77777777" w:rsidR="001148DB" w:rsidRPr="001148DB" w:rsidRDefault="001148DB" w:rsidP="001148DB">
      <w:pPr>
        <w:shd w:val="clear" w:color="auto" w:fill="FFFFFF"/>
        <w:spacing w:before="100" w:beforeAutospacing="1" w:after="100" w:afterAutospacing="1" w:line="254" w:lineRule="atLeast"/>
        <w:ind w:left="300"/>
        <w:jc w:val="center"/>
        <w:rPr>
          <w:rFonts w:eastAsia="Times New Roman" w:cs="Times New Roman"/>
          <w:szCs w:val="28"/>
          <w:lang w:eastAsia="lv-LV"/>
        </w:rPr>
      </w:pPr>
      <w:r w:rsidRPr="001148DB">
        <w:rPr>
          <w:rFonts w:eastAsia="Times New Roman" w:cs="Times New Roman"/>
          <w:i/>
          <w:iCs/>
          <w:szCs w:val="28"/>
          <w:lang w:eastAsia="lv-LV"/>
        </w:rPr>
        <w:t>J = 102 304 </w:t>
      </w:r>
      <w:r w:rsidRPr="001148DB">
        <w:rPr>
          <w:rFonts w:eastAsia="Times New Roman" w:cs="Times New Roman"/>
          <w:szCs w:val="28"/>
          <w:lang w:eastAsia="lv-LV"/>
        </w:rPr>
        <w:t>× </w:t>
      </w:r>
      <w:r w:rsidRPr="001148DB">
        <w:rPr>
          <w:rFonts w:eastAsia="Times New Roman" w:cs="Times New Roman"/>
          <w:i/>
          <w:szCs w:val="28"/>
          <w:lang w:eastAsia="lv-LV"/>
        </w:rPr>
        <w:t>s</w:t>
      </w:r>
      <w:r w:rsidRPr="001148DB">
        <w:rPr>
          <w:rFonts w:eastAsia="Times New Roman" w:cs="Times New Roman"/>
          <w:szCs w:val="28"/>
          <w:lang w:eastAsia="lv-LV"/>
        </w:rPr>
        <w:t> , kur</w:t>
      </w:r>
    </w:p>
    <w:p w14:paraId="5B378890" w14:textId="77777777"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i/>
          <w:iCs/>
          <w:szCs w:val="28"/>
          <w:lang w:eastAsia="lv-LV"/>
        </w:rPr>
        <w:t>J</w:t>
      </w:r>
      <w:r w:rsidRPr="001148DB">
        <w:rPr>
          <w:rFonts w:eastAsia="Times New Roman" w:cs="Times New Roman"/>
          <w:szCs w:val="28"/>
          <w:lang w:eastAsia="lv-LV"/>
        </w:rPr>
        <w:t> – jaudas komponente par vienu uzstādīto elektrisko megavatu gadā (EUR/MW gadā);</w:t>
      </w:r>
    </w:p>
    <w:p w14:paraId="3016A2E4" w14:textId="33F6B769" w:rsidR="001148DB" w:rsidRPr="001148DB" w:rsidRDefault="001148DB" w:rsidP="001148DB">
      <w:pPr>
        <w:shd w:val="clear" w:color="auto" w:fill="FFFFFF"/>
        <w:spacing w:before="100" w:beforeAutospacing="1" w:after="100" w:afterAutospacing="1" w:line="254" w:lineRule="atLeast"/>
        <w:ind w:left="300"/>
        <w:jc w:val="both"/>
        <w:rPr>
          <w:rFonts w:eastAsia="Times New Roman" w:cs="Times New Roman"/>
          <w:szCs w:val="28"/>
          <w:lang w:eastAsia="lv-LV"/>
        </w:rPr>
      </w:pPr>
      <w:r w:rsidRPr="001148DB">
        <w:rPr>
          <w:rFonts w:eastAsia="Times New Roman" w:cs="Times New Roman"/>
          <w:i/>
          <w:iCs/>
          <w:szCs w:val="28"/>
          <w:lang w:eastAsia="lv-LV"/>
        </w:rPr>
        <w:t>s</w:t>
      </w:r>
      <w:r w:rsidRPr="001148DB">
        <w:rPr>
          <w:rFonts w:eastAsia="Times New Roman" w:cs="Times New Roman"/>
          <w:szCs w:val="28"/>
          <w:lang w:eastAsia="lv-LV"/>
        </w:rPr>
        <w:t xml:space="preserve"> – cenas diferencēšanas koeficients </w:t>
      </w:r>
      <w:proofErr w:type="spellStart"/>
      <w:r w:rsidRPr="001148DB">
        <w:rPr>
          <w:rFonts w:eastAsia="Times New Roman" w:cs="Times New Roman"/>
          <w:szCs w:val="28"/>
          <w:lang w:eastAsia="lv-LV"/>
        </w:rPr>
        <w:t>pārkompensācijas</w:t>
      </w:r>
      <w:proofErr w:type="spellEnd"/>
      <w:r w:rsidRPr="001148DB">
        <w:rPr>
          <w:rFonts w:eastAsia="Times New Roman" w:cs="Times New Roman"/>
          <w:szCs w:val="28"/>
          <w:lang w:eastAsia="lv-LV"/>
        </w:rPr>
        <w:t xml:space="preserve"> novēršanai;”</w:t>
      </w:r>
    </w:p>
    <w:p w14:paraId="5F61B415" w14:textId="0EDDA602" w:rsidR="00714CCC" w:rsidRPr="003C419B" w:rsidRDefault="003C419B" w:rsidP="003C419B">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 xml:space="preserve">5. </w:t>
      </w:r>
      <w:r w:rsidR="00714CCC" w:rsidRPr="003C419B">
        <w:rPr>
          <w:szCs w:val="28"/>
        </w:rPr>
        <w:t>Izteikt</w:t>
      </w:r>
      <w:r w:rsidR="002E5405" w:rsidRPr="003C419B">
        <w:rPr>
          <w:szCs w:val="28"/>
        </w:rPr>
        <w:t xml:space="preserve"> 53.1.apakšpunkt</w:t>
      </w:r>
      <w:r w:rsidR="00714CCC" w:rsidRPr="003C419B">
        <w:rPr>
          <w:szCs w:val="28"/>
        </w:rPr>
        <w:t>u šādā redakcijā:</w:t>
      </w:r>
    </w:p>
    <w:p w14:paraId="4E08328F" w14:textId="0B34AA97" w:rsidR="00714CCC"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Pr>
          <w:rFonts w:eastAsia="Times New Roman" w:cs="Times New Roman"/>
          <w:szCs w:val="28"/>
          <w:lang w:eastAsia="lv-LV"/>
        </w:rPr>
        <w:t>“</w:t>
      </w:r>
      <w:r w:rsidR="00C859D3">
        <w:rPr>
          <w:rFonts w:eastAsia="Times New Roman" w:cs="Times New Roman"/>
          <w:szCs w:val="28"/>
          <w:lang w:eastAsia="lv-LV"/>
        </w:rPr>
        <w:t xml:space="preserve">53.1. </w:t>
      </w:r>
      <w:r w:rsidRPr="00714CCC">
        <w:rPr>
          <w:rFonts w:eastAsia="Times New Roman" w:cs="Times New Roman"/>
          <w:szCs w:val="28"/>
          <w:lang w:eastAsia="lv-LV"/>
        </w:rPr>
        <w:t>koģenerācijas elektrostacijām, kas par kurināmo izmanto atjaunojamos energoresursus vai kūdru:</w:t>
      </w:r>
    </w:p>
    <w:p w14:paraId="58825B66" w14:textId="1BF94561" w:rsidR="00714CCC" w:rsidRDefault="00714CCC" w:rsidP="00C859D3">
      <w:pPr>
        <w:shd w:val="clear" w:color="auto" w:fill="FFFFFF"/>
        <w:spacing w:before="100" w:beforeAutospacing="1" w:after="100" w:afterAutospacing="1" w:line="254" w:lineRule="atLeast"/>
        <w:ind w:left="426"/>
        <w:jc w:val="center"/>
        <w:rPr>
          <w:rFonts w:eastAsia="Times New Roman" w:cs="Times New Roman"/>
          <w:szCs w:val="28"/>
          <w:lang w:eastAsia="lv-LV"/>
        </w:rPr>
      </w:pPr>
      <w:r w:rsidRPr="00725D79">
        <w:rPr>
          <w:i/>
          <w:szCs w:val="28"/>
        </w:rPr>
        <w:t>C</w:t>
      </w:r>
      <w:r w:rsidRPr="00BD6296">
        <w:rPr>
          <w:szCs w:val="28"/>
        </w:rPr>
        <w:t xml:space="preserve"> = </w:t>
      </w:r>
      <w:proofErr w:type="spellStart"/>
      <w:r w:rsidRPr="00725D79">
        <w:rPr>
          <w:i/>
          <w:szCs w:val="28"/>
        </w:rPr>
        <w:t>k</w:t>
      </w:r>
      <w:r w:rsidRPr="00BD6296">
        <w:rPr>
          <w:szCs w:val="28"/>
          <w:vertAlign w:val="subscript"/>
        </w:rPr>
        <w:t>AER</w:t>
      </w:r>
      <w:proofErr w:type="spellEnd"/>
      <w:r w:rsidRPr="00BD6296">
        <w:rPr>
          <w:szCs w:val="28"/>
          <w:vertAlign w:val="subscript"/>
        </w:rPr>
        <w:t xml:space="preserve"> </w:t>
      </w:r>
      <w:r w:rsidRPr="00BD6296">
        <w:rPr>
          <w:szCs w:val="28"/>
        </w:rPr>
        <w:t>× </w:t>
      </w:r>
      <w:r w:rsidRPr="00BD6296">
        <w:rPr>
          <w:i/>
          <w:szCs w:val="28"/>
        </w:rPr>
        <w:t>s</w:t>
      </w:r>
      <w:r w:rsidRPr="00725D79">
        <w:rPr>
          <w:szCs w:val="28"/>
        </w:rPr>
        <w:t>, kur</w:t>
      </w:r>
    </w:p>
    <w:p w14:paraId="464691CB" w14:textId="77777777" w:rsidR="00714CCC" w:rsidRPr="00BD6296"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sidRPr="00BD6296">
        <w:rPr>
          <w:rFonts w:eastAsia="Times New Roman" w:cs="Times New Roman"/>
          <w:i/>
          <w:iCs/>
          <w:szCs w:val="28"/>
          <w:lang w:eastAsia="lv-LV"/>
        </w:rPr>
        <w:t>C</w:t>
      </w:r>
      <w:r w:rsidRPr="00BD6296">
        <w:rPr>
          <w:rFonts w:eastAsia="Times New Roman" w:cs="Times New Roman"/>
          <w:szCs w:val="28"/>
          <w:lang w:eastAsia="lv-LV"/>
        </w:rPr>
        <w:t> – cena bez pievienotās vērtības nodokļa, par kādu tirgotājs iepērk koģenerācijā saražoto elektroenerģiju (EUR/</w:t>
      </w:r>
      <w:proofErr w:type="spellStart"/>
      <w:r w:rsidRPr="00BD6296">
        <w:rPr>
          <w:rFonts w:eastAsia="Times New Roman" w:cs="Times New Roman"/>
          <w:szCs w:val="28"/>
          <w:lang w:eastAsia="lv-LV"/>
        </w:rPr>
        <w:t>MWh</w:t>
      </w:r>
      <w:proofErr w:type="spellEnd"/>
      <w:r w:rsidRPr="00BD6296">
        <w:rPr>
          <w:rFonts w:eastAsia="Times New Roman" w:cs="Times New Roman"/>
          <w:szCs w:val="28"/>
          <w:lang w:eastAsia="lv-LV"/>
        </w:rPr>
        <w:t>);</w:t>
      </w:r>
    </w:p>
    <w:p w14:paraId="67329032" w14:textId="426F1F18" w:rsidR="00714CCC" w:rsidRPr="00BD6296"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proofErr w:type="spellStart"/>
      <w:r>
        <w:rPr>
          <w:rFonts w:eastAsia="Times New Roman" w:cs="Times New Roman"/>
          <w:i/>
          <w:iCs/>
          <w:szCs w:val="28"/>
          <w:lang w:eastAsia="lv-LV"/>
        </w:rPr>
        <w:t>k</w:t>
      </w:r>
      <w:r w:rsidRPr="00714CCC">
        <w:rPr>
          <w:rFonts w:eastAsia="Times New Roman" w:cs="Times New Roman"/>
          <w:iCs/>
          <w:szCs w:val="28"/>
          <w:vertAlign w:val="subscript"/>
          <w:lang w:eastAsia="lv-LV"/>
        </w:rPr>
        <w:t>AER</w:t>
      </w:r>
      <w:proofErr w:type="spellEnd"/>
      <w:r>
        <w:rPr>
          <w:rFonts w:eastAsia="Times New Roman" w:cs="Times New Roman"/>
          <w:szCs w:val="28"/>
          <w:lang w:eastAsia="lv-LV"/>
        </w:rPr>
        <w:t xml:space="preserve"> – </w:t>
      </w:r>
      <w:r w:rsidRPr="00BD6296">
        <w:rPr>
          <w:rFonts w:eastAsia="Times New Roman" w:cs="Times New Roman"/>
          <w:szCs w:val="28"/>
          <w:lang w:eastAsia="lv-LV"/>
        </w:rPr>
        <w:t>cenas diferencēšanas koeficients</w:t>
      </w:r>
      <w:r>
        <w:rPr>
          <w:rFonts w:eastAsia="Times New Roman" w:cs="Times New Roman"/>
          <w:szCs w:val="28"/>
          <w:lang w:eastAsia="lv-LV"/>
        </w:rPr>
        <w:t xml:space="preserve"> </w:t>
      </w:r>
      <w:r w:rsidRPr="00714CCC">
        <w:rPr>
          <w:rFonts w:eastAsia="Times New Roman" w:cs="Times New Roman"/>
          <w:szCs w:val="28"/>
          <w:lang w:eastAsia="lv-LV"/>
        </w:rPr>
        <w:t>atjaunojamos energoresursus vai kūdru</w:t>
      </w:r>
      <w:r>
        <w:rPr>
          <w:rFonts w:eastAsia="Times New Roman" w:cs="Times New Roman"/>
          <w:szCs w:val="28"/>
          <w:lang w:eastAsia="lv-LV"/>
        </w:rPr>
        <w:t xml:space="preserve"> izmantojošām elektrostacijām</w:t>
      </w:r>
      <w:r w:rsidRPr="00BD6296">
        <w:rPr>
          <w:rFonts w:eastAsia="Times New Roman" w:cs="Times New Roman"/>
          <w:szCs w:val="28"/>
          <w:lang w:eastAsia="lv-LV"/>
        </w:rPr>
        <w:t>, kas atkarīgs no koģenerācijas elektrostacijā uzstādītās elektriskās jaudas;</w:t>
      </w:r>
    </w:p>
    <w:p w14:paraId="23990ACA" w14:textId="19D2C0E2" w:rsidR="00714CCC" w:rsidRPr="00714CCC"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sidRPr="00BD6296">
        <w:rPr>
          <w:i/>
          <w:iCs/>
          <w:szCs w:val="28"/>
        </w:rPr>
        <w:t>s</w:t>
      </w:r>
      <w:r w:rsidRPr="00BD6296">
        <w:rPr>
          <w:szCs w:val="28"/>
        </w:rPr>
        <w:t xml:space="preserve"> – cenas diferencēšanas koeficients </w:t>
      </w:r>
      <w:proofErr w:type="spellStart"/>
      <w:r w:rsidRPr="00BD6296">
        <w:rPr>
          <w:szCs w:val="28"/>
        </w:rPr>
        <w:t>pārkompensācijas</w:t>
      </w:r>
      <w:proofErr w:type="spellEnd"/>
      <w:r w:rsidRPr="00BD6296">
        <w:rPr>
          <w:szCs w:val="28"/>
        </w:rPr>
        <w:t xml:space="preserve"> novēršanai;</w:t>
      </w:r>
      <w:r>
        <w:rPr>
          <w:rFonts w:eastAsia="Times New Roman" w:cs="Times New Roman"/>
          <w:szCs w:val="28"/>
          <w:lang w:eastAsia="lv-LV"/>
        </w:rPr>
        <w:t>”</w:t>
      </w:r>
    </w:p>
    <w:p w14:paraId="62FF7A90" w14:textId="4AC3F847" w:rsidR="00714CCC" w:rsidRPr="003C419B" w:rsidRDefault="003C419B" w:rsidP="003C419B">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 xml:space="preserve">6. </w:t>
      </w:r>
      <w:r w:rsidR="00714CCC" w:rsidRPr="003C419B">
        <w:rPr>
          <w:szCs w:val="28"/>
        </w:rPr>
        <w:t>Izteikt 53.</w:t>
      </w:r>
      <w:r w:rsidR="00C859D3" w:rsidRPr="003C419B">
        <w:rPr>
          <w:szCs w:val="28"/>
        </w:rPr>
        <w:t>2</w:t>
      </w:r>
      <w:r w:rsidR="00714CCC" w:rsidRPr="003C419B">
        <w:rPr>
          <w:szCs w:val="28"/>
        </w:rPr>
        <w:t>.apakšpunktu šādā redakcijā:</w:t>
      </w:r>
    </w:p>
    <w:p w14:paraId="727A13DA" w14:textId="25657055" w:rsidR="00714CCC" w:rsidRDefault="00714CCC"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Pr>
          <w:rFonts w:eastAsia="Times New Roman" w:cs="Times New Roman"/>
          <w:szCs w:val="28"/>
          <w:lang w:eastAsia="lv-LV"/>
        </w:rPr>
        <w:t>“</w:t>
      </w:r>
      <w:r w:rsidR="00C859D3">
        <w:rPr>
          <w:rFonts w:eastAsia="Times New Roman" w:cs="Times New Roman"/>
          <w:szCs w:val="28"/>
          <w:lang w:eastAsia="lv-LV"/>
        </w:rPr>
        <w:t xml:space="preserve">53.2. </w:t>
      </w:r>
      <w:r>
        <w:rPr>
          <w:rFonts w:eastAsia="Times New Roman" w:cs="Times New Roman"/>
          <w:szCs w:val="28"/>
          <w:lang w:eastAsia="lv-LV"/>
        </w:rPr>
        <w:t xml:space="preserve">pārējām </w:t>
      </w:r>
      <w:r w:rsidRPr="00714CCC">
        <w:rPr>
          <w:rFonts w:eastAsia="Times New Roman" w:cs="Times New Roman"/>
          <w:szCs w:val="28"/>
          <w:lang w:eastAsia="lv-LV"/>
        </w:rPr>
        <w:t>koģenerācijas elektrostacijām:</w:t>
      </w:r>
    </w:p>
    <w:p w14:paraId="5D761FB8" w14:textId="7025A772" w:rsidR="00563DC4" w:rsidRPr="00BD6296" w:rsidRDefault="005D6D73" w:rsidP="00C859D3">
      <w:pPr>
        <w:pStyle w:val="NormalWeb"/>
        <w:shd w:val="clear" w:color="auto" w:fill="FFFFFF"/>
        <w:spacing w:before="0" w:beforeAutospacing="0" w:after="0" w:afterAutospacing="0"/>
        <w:ind w:left="426"/>
        <w:jc w:val="center"/>
        <w:rPr>
          <w:sz w:val="28"/>
          <w:szCs w:val="28"/>
        </w:rPr>
      </w:pP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sz w:val="28"/>
                <w:szCs w:val="28"/>
              </w:rPr>
              <m:t>T</m:t>
            </m:r>
            <m:r>
              <w:rPr>
                <w:rFonts w:ascii="Cambria Math" w:hAnsi="Cambria Math"/>
                <w:sz w:val="28"/>
                <w:szCs w:val="28"/>
                <w:bdr w:val="none" w:sz="0" w:space="0" w:color="auto" w:frame="1"/>
                <w:vertAlign w:val="subscript"/>
              </w:rPr>
              <m:t xml:space="preserve">g </m:t>
            </m:r>
            <m:r>
              <m:rPr>
                <m:sty m:val="p"/>
              </m:rPr>
              <w:rPr>
                <w:rFonts w:ascii="Cambria Math" w:hAnsi="Cambria Math"/>
                <w:sz w:val="28"/>
                <w:szCs w:val="28"/>
              </w:rPr>
              <m:t xml:space="preserve">× k  </m:t>
            </m:r>
          </m:num>
          <m:den>
            <m:r>
              <m:rPr>
                <m:sty m:val="p"/>
              </m:rPr>
              <w:rPr>
                <w:rFonts w:ascii="Cambria Math" w:hAnsi="Cambria Math" w:cs="Cambria Math"/>
                <w:sz w:val="28"/>
                <w:szCs w:val="28"/>
              </w:rPr>
              <m:t xml:space="preserve">9,3 </m:t>
            </m:r>
          </m:den>
        </m:f>
        <m:r>
          <m:rPr>
            <m:sty m:val="p"/>
          </m:rPr>
          <w:rPr>
            <w:rFonts w:ascii="Cambria Math" w:hAnsi="Cambria Math"/>
            <w:sz w:val="28"/>
            <w:szCs w:val="28"/>
          </w:rPr>
          <m:t xml:space="preserve">× </m:t>
        </m:r>
        <m:r>
          <m:rPr>
            <m:sty m:val="p"/>
          </m:rPr>
          <w:rPr>
            <w:rFonts w:ascii="Cambria Math" w:hAnsi="Cambria Math" w:cs="Cambria Math"/>
            <w:sz w:val="28"/>
            <w:szCs w:val="28"/>
          </w:rPr>
          <m:t xml:space="preserve">3,4 </m:t>
        </m:r>
        <m:r>
          <m:rPr>
            <m:sty m:val="p"/>
          </m:rPr>
          <w:rPr>
            <w:rFonts w:ascii="Cambria Math" w:hAnsi="Cambria Math"/>
            <w:sz w:val="28"/>
            <w:szCs w:val="28"/>
          </w:rPr>
          <m:t>× s</m:t>
        </m:r>
      </m:oMath>
      <w:r w:rsidR="009602DA" w:rsidRPr="00BD6296">
        <w:rPr>
          <w:sz w:val="28"/>
          <w:szCs w:val="28"/>
        </w:rPr>
        <w:t>, kur</w:t>
      </w:r>
    </w:p>
    <w:p w14:paraId="280D82CF" w14:textId="77777777" w:rsidR="007C2502" w:rsidRPr="00BD6296" w:rsidRDefault="007C2502" w:rsidP="00C859D3">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proofErr w:type="spellStart"/>
      <w:r w:rsidRPr="00BD6296">
        <w:rPr>
          <w:rFonts w:eastAsia="Times New Roman" w:cs="Times New Roman"/>
          <w:i/>
          <w:iCs/>
          <w:szCs w:val="28"/>
          <w:lang w:eastAsia="lv-LV"/>
        </w:rPr>
        <w:t>T</w:t>
      </w:r>
      <w:r w:rsidRPr="00BD6296">
        <w:rPr>
          <w:rFonts w:eastAsia="Times New Roman" w:cs="Times New Roman"/>
          <w:i/>
          <w:iCs/>
          <w:szCs w:val="28"/>
          <w:bdr w:val="none" w:sz="0" w:space="0" w:color="auto" w:frame="1"/>
          <w:vertAlign w:val="subscript"/>
          <w:lang w:eastAsia="lv-LV"/>
        </w:rPr>
        <w:t>g</w:t>
      </w:r>
      <w:proofErr w:type="spellEnd"/>
      <w:r w:rsidRPr="00BD6296">
        <w:rPr>
          <w:rFonts w:eastAsia="Times New Roman" w:cs="Times New Roman"/>
          <w:szCs w:val="28"/>
          <w:lang w:eastAsia="lv-LV"/>
        </w:rPr>
        <w:t> – regulatora apstiprinātais dabasgāzes tirdzniecības gala tarifs bez pievienotās vērtības nodokļa atbilstoši dabasgāzes faktiskajai siltumspējai (EUR/tūkst. n.m</w:t>
      </w:r>
      <w:r w:rsidRPr="00BD6296">
        <w:rPr>
          <w:rFonts w:eastAsia="Times New Roman" w:cs="Times New Roman"/>
          <w:szCs w:val="28"/>
          <w:vertAlign w:val="superscript"/>
          <w:lang w:eastAsia="lv-LV"/>
        </w:rPr>
        <w:t>3</w:t>
      </w:r>
      <w:r w:rsidRPr="00BD6296">
        <w:rPr>
          <w:rFonts w:eastAsia="Times New Roman" w:cs="Times New Roman"/>
          <w:szCs w:val="28"/>
          <w:lang w:eastAsia="lv-LV"/>
        </w:rPr>
        <w:t>);</w:t>
      </w:r>
    </w:p>
    <w:p w14:paraId="69AFA3AF" w14:textId="77777777" w:rsidR="0039253F" w:rsidRDefault="00714CCC" w:rsidP="00C859D3">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r w:rsidRPr="00BD6296">
        <w:rPr>
          <w:rFonts w:eastAsia="Times New Roman" w:cs="Times New Roman"/>
          <w:i/>
          <w:iCs/>
          <w:szCs w:val="28"/>
          <w:lang w:eastAsia="lv-LV"/>
        </w:rPr>
        <w:t>k</w:t>
      </w:r>
      <w:r w:rsidRPr="00BD6296">
        <w:rPr>
          <w:rFonts w:eastAsia="Times New Roman" w:cs="Times New Roman"/>
          <w:szCs w:val="28"/>
          <w:lang w:eastAsia="lv-LV"/>
        </w:rPr>
        <w:t> – cenas diferencēšanas koeficients, kas atkarīgs no koģenerācijas elektrostacijā</w:t>
      </w:r>
      <w:r w:rsidR="00C859D3">
        <w:rPr>
          <w:rFonts w:eastAsia="Times New Roman" w:cs="Times New Roman"/>
          <w:szCs w:val="28"/>
          <w:lang w:eastAsia="lv-LV"/>
        </w:rPr>
        <w:t xml:space="preserve"> uzstādītās elektriskās jaudas;</w:t>
      </w:r>
    </w:p>
    <w:p w14:paraId="17ABC869" w14:textId="0B77F27D" w:rsidR="00563DC4" w:rsidRPr="00714CCC" w:rsidRDefault="0039253F" w:rsidP="00C859D3">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r w:rsidRPr="00BD6296">
        <w:rPr>
          <w:i/>
          <w:iCs/>
          <w:szCs w:val="28"/>
        </w:rPr>
        <w:t>s</w:t>
      </w:r>
      <w:r w:rsidRPr="00BD6296">
        <w:rPr>
          <w:szCs w:val="28"/>
        </w:rPr>
        <w:t xml:space="preserve"> – cenas diferencēšanas koeficients </w:t>
      </w:r>
      <w:proofErr w:type="spellStart"/>
      <w:r w:rsidRPr="00BD6296">
        <w:rPr>
          <w:szCs w:val="28"/>
        </w:rPr>
        <w:t>pārkompensācijas</w:t>
      </w:r>
      <w:proofErr w:type="spellEnd"/>
      <w:r w:rsidRPr="00BD6296">
        <w:rPr>
          <w:szCs w:val="28"/>
        </w:rPr>
        <w:t xml:space="preserve"> novēršanai;</w:t>
      </w:r>
      <w:r w:rsidR="007C2502" w:rsidRPr="00BD6296">
        <w:rPr>
          <w:szCs w:val="28"/>
        </w:rPr>
        <w:t>”</w:t>
      </w:r>
    </w:p>
    <w:p w14:paraId="123837E1" w14:textId="77777777" w:rsidR="007C2502" w:rsidRPr="00BD6296" w:rsidRDefault="007C2502" w:rsidP="00BD6296">
      <w:pPr>
        <w:pStyle w:val="NormalWeb"/>
        <w:shd w:val="clear" w:color="auto" w:fill="FFFFFF"/>
        <w:tabs>
          <w:tab w:val="left" w:pos="426"/>
        </w:tabs>
        <w:spacing w:before="0" w:beforeAutospacing="0" w:after="0" w:afterAutospacing="0"/>
        <w:jc w:val="both"/>
        <w:rPr>
          <w:sz w:val="28"/>
          <w:szCs w:val="28"/>
        </w:rPr>
      </w:pPr>
    </w:p>
    <w:p w14:paraId="2EDEF0B0" w14:textId="43870616" w:rsidR="00390BC0" w:rsidRPr="00BD6296" w:rsidRDefault="003C419B" w:rsidP="003C419B">
      <w:pPr>
        <w:pStyle w:val="NormalWeb"/>
        <w:shd w:val="clear" w:color="auto" w:fill="FFFFFF"/>
        <w:spacing w:before="0" w:beforeAutospacing="0" w:after="0" w:afterAutospacing="0"/>
        <w:jc w:val="both"/>
        <w:rPr>
          <w:sz w:val="28"/>
          <w:szCs w:val="28"/>
        </w:rPr>
      </w:pPr>
      <w:r>
        <w:rPr>
          <w:sz w:val="28"/>
          <w:szCs w:val="28"/>
        </w:rPr>
        <w:lastRenderedPageBreak/>
        <w:t xml:space="preserve">7. </w:t>
      </w:r>
      <w:r w:rsidR="007C2502" w:rsidRPr="00BD6296">
        <w:rPr>
          <w:sz w:val="28"/>
          <w:szCs w:val="28"/>
        </w:rPr>
        <w:t xml:space="preserve">Papildināt noteikumus ar 54.3.apakšpunktu šādā redakcijā: </w:t>
      </w:r>
    </w:p>
    <w:p w14:paraId="6BA00390" w14:textId="56AE87A4" w:rsidR="007C2502" w:rsidRPr="00BD6296" w:rsidRDefault="00390BC0" w:rsidP="00BD6296">
      <w:pPr>
        <w:pStyle w:val="NormalWeb"/>
        <w:shd w:val="clear" w:color="auto" w:fill="FFFFFF"/>
        <w:spacing w:before="0" w:beforeAutospacing="0" w:after="0" w:afterAutospacing="0"/>
        <w:ind w:left="426"/>
        <w:jc w:val="both"/>
        <w:rPr>
          <w:sz w:val="28"/>
          <w:szCs w:val="28"/>
        </w:rPr>
      </w:pPr>
      <w:r w:rsidRPr="00BD6296">
        <w:rPr>
          <w:sz w:val="28"/>
          <w:szCs w:val="28"/>
        </w:rPr>
        <w:t xml:space="preserve">“54.3. </w:t>
      </w:r>
      <w:r w:rsidR="007C2502" w:rsidRPr="00BD6296">
        <w:rPr>
          <w:sz w:val="28"/>
          <w:szCs w:val="28"/>
        </w:rPr>
        <w:t xml:space="preserve">lieto cenas diferencēšanas koeficientu </w:t>
      </w:r>
      <w:proofErr w:type="spellStart"/>
      <w:r w:rsidR="007C2502" w:rsidRPr="00BD6296">
        <w:rPr>
          <w:sz w:val="28"/>
          <w:szCs w:val="28"/>
        </w:rPr>
        <w:t>pārkompensācijas</w:t>
      </w:r>
      <w:proofErr w:type="spellEnd"/>
      <w:r w:rsidR="007C2502" w:rsidRPr="00BD6296">
        <w:rPr>
          <w:sz w:val="28"/>
          <w:szCs w:val="28"/>
        </w:rPr>
        <w:t xml:space="preserve"> novēršanai atbilstoši šo noteikumu </w:t>
      </w:r>
      <w:r w:rsidR="007C2502" w:rsidRPr="00BD6296">
        <w:rPr>
          <w:iCs/>
          <w:sz w:val="28"/>
          <w:szCs w:val="28"/>
        </w:rPr>
        <w:t>5</w:t>
      </w:r>
      <w:r w:rsidR="00A43537">
        <w:rPr>
          <w:iCs/>
          <w:sz w:val="28"/>
          <w:szCs w:val="28"/>
        </w:rPr>
        <w:t>4</w:t>
      </w:r>
      <w:r w:rsidR="007C2502" w:rsidRPr="00BD6296">
        <w:rPr>
          <w:iCs/>
          <w:sz w:val="28"/>
          <w:szCs w:val="28"/>
        </w:rPr>
        <w:t>.</w:t>
      </w:r>
      <w:r w:rsidR="00A43537">
        <w:rPr>
          <w:iCs/>
          <w:sz w:val="28"/>
          <w:szCs w:val="28"/>
          <w:vertAlign w:val="superscript"/>
        </w:rPr>
        <w:t>3</w:t>
      </w:r>
      <w:r w:rsidR="007C2502" w:rsidRPr="00BD6296">
        <w:rPr>
          <w:iCs/>
          <w:sz w:val="28"/>
          <w:szCs w:val="28"/>
        </w:rPr>
        <w:t xml:space="preserve"> punktam</w:t>
      </w:r>
      <w:r w:rsidR="007C2502" w:rsidRPr="00BD6296">
        <w:rPr>
          <w:sz w:val="28"/>
          <w:szCs w:val="28"/>
        </w:rPr>
        <w:t>.”</w:t>
      </w:r>
    </w:p>
    <w:p w14:paraId="4077614F" w14:textId="77777777" w:rsidR="007C2502" w:rsidRPr="00BD6296" w:rsidRDefault="007C2502" w:rsidP="00BD6296">
      <w:pPr>
        <w:pStyle w:val="NormalWeb"/>
        <w:shd w:val="clear" w:color="auto" w:fill="FFFFFF"/>
        <w:spacing w:before="0" w:beforeAutospacing="0" w:after="0" w:afterAutospacing="0"/>
        <w:ind w:left="426"/>
        <w:jc w:val="both"/>
        <w:rPr>
          <w:sz w:val="28"/>
          <w:szCs w:val="28"/>
        </w:rPr>
      </w:pPr>
    </w:p>
    <w:p w14:paraId="2DA57B49" w14:textId="6823119F" w:rsidR="007C2502" w:rsidRPr="00BD6296" w:rsidRDefault="003C419B" w:rsidP="003C419B">
      <w:pPr>
        <w:pStyle w:val="NormalWeb"/>
        <w:shd w:val="clear" w:color="auto" w:fill="FFFFFF"/>
        <w:spacing w:before="0" w:beforeAutospacing="0" w:after="0" w:afterAutospacing="0"/>
        <w:jc w:val="both"/>
        <w:rPr>
          <w:sz w:val="28"/>
          <w:szCs w:val="28"/>
        </w:rPr>
      </w:pPr>
      <w:r>
        <w:rPr>
          <w:sz w:val="28"/>
          <w:szCs w:val="28"/>
        </w:rPr>
        <w:t xml:space="preserve">8. </w:t>
      </w:r>
      <w:r w:rsidR="007C2502" w:rsidRPr="00BD6296">
        <w:rPr>
          <w:sz w:val="28"/>
          <w:szCs w:val="28"/>
        </w:rPr>
        <w:t>Svītrot noteikumu 54.</w:t>
      </w:r>
      <w:r w:rsidR="007C2502" w:rsidRPr="00BD6296">
        <w:rPr>
          <w:sz w:val="28"/>
          <w:szCs w:val="28"/>
          <w:vertAlign w:val="superscript"/>
        </w:rPr>
        <w:t xml:space="preserve">1 </w:t>
      </w:r>
      <w:r w:rsidR="007C2502" w:rsidRPr="00BD6296">
        <w:rPr>
          <w:sz w:val="28"/>
          <w:szCs w:val="28"/>
        </w:rPr>
        <w:t>un</w:t>
      </w:r>
      <w:r w:rsidR="007C2502" w:rsidRPr="00BD6296">
        <w:rPr>
          <w:sz w:val="28"/>
          <w:szCs w:val="28"/>
          <w:vertAlign w:val="superscript"/>
        </w:rPr>
        <w:t xml:space="preserve"> </w:t>
      </w:r>
      <w:r w:rsidR="007C2502" w:rsidRPr="00BD6296">
        <w:rPr>
          <w:sz w:val="28"/>
          <w:szCs w:val="28"/>
        </w:rPr>
        <w:t>54.</w:t>
      </w:r>
      <w:r w:rsidR="007C2502" w:rsidRPr="00D80F73">
        <w:rPr>
          <w:sz w:val="28"/>
          <w:szCs w:val="28"/>
          <w:vertAlign w:val="superscript"/>
        </w:rPr>
        <w:t>2</w:t>
      </w:r>
      <w:r w:rsidR="00D80F73">
        <w:rPr>
          <w:sz w:val="28"/>
          <w:szCs w:val="28"/>
        </w:rPr>
        <w:t xml:space="preserve"> </w:t>
      </w:r>
      <w:r w:rsidR="007C2502" w:rsidRPr="00D80F73">
        <w:rPr>
          <w:sz w:val="28"/>
          <w:szCs w:val="28"/>
        </w:rPr>
        <w:t>punktā</w:t>
      </w:r>
      <w:r w:rsidR="007C2502" w:rsidRPr="00BD6296">
        <w:rPr>
          <w:sz w:val="28"/>
          <w:szCs w:val="28"/>
          <w:vertAlign w:val="superscript"/>
        </w:rPr>
        <w:t xml:space="preserve"> </w:t>
      </w:r>
      <w:r w:rsidR="007C2502" w:rsidRPr="00BD6296">
        <w:rPr>
          <w:sz w:val="28"/>
          <w:szCs w:val="28"/>
        </w:rPr>
        <w:t>skaitļus</w:t>
      </w:r>
      <w:r w:rsidR="007C2502" w:rsidRPr="00BD6296">
        <w:rPr>
          <w:sz w:val="28"/>
          <w:szCs w:val="28"/>
          <w:vertAlign w:val="superscript"/>
        </w:rPr>
        <w:t xml:space="preserve"> “</w:t>
      </w:r>
      <w:r w:rsidR="007C2502" w:rsidRPr="00BD6296">
        <w:rPr>
          <w:sz w:val="28"/>
          <w:szCs w:val="28"/>
        </w:rPr>
        <w:t>53.1.”</w:t>
      </w:r>
      <w:r w:rsidR="00264C1A" w:rsidRPr="00BD6296">
        <w:rPr>
          <w:sz w:val="28"/>
          <w:szCs w:val="28"/>
        </w:rPr>
        <w:t>.</w:t>
      </w:r>
    </w:p>
    <w:p w14:paraId="57CD5552" w14:textId="77777777" w:rsidR="00264C1A" w:rsidRPr="00BD6296" w:rsidRDefault="00264C1A" w:rsidP="00BD6296">
      <w:pPr>
        <w:pStyle w:val="ListParagraph"/>
        <w:jc w:val="both"/>
        <w:rPr>
          <w:szCs w:val="28"/>
        </w:rPr>
      </w:pPr>
    </w:p>
    <w:p w14:paraId="571D0CBB" w14:textId="67CE15B1" w:rsidR="00264C1A" w:rsidRPr="00BD6296" w:rsidRDefault="003C419B" w:rsidP="003C419B">
      <w:pPr>
        <w:pStyle w:val="NormalWeb"/>
        <w:shd w:val="clear" w:color="auto" w:fill="FFFFFF"/>
        <w:spacing w:before="0" w:beforeAutospacing="0" w:after="0" w:afterAutospacing="0"/>
        <w:jc w:val="both"/>
        <w:rPr>
          <w:sz w:val="28"/>
          <w:szCs w:val="28"/>
        </w:rPr>
      </w:pPr>
      <w:r>
        <w:rPr>
          <w:sz w:val="28"/>
          <w:szCs w:val="28"/>
        </w:rPr>
        <w:t xml:space="preserve">9. </w:t>
      </w:r>
      <w:r w:rsidR="00264C1A" w:rsidRPr="00BD6296">
        <w:rPr>
          <w:sz w:val="28"/>
          <w:szCs w:val="28"/>
        </w:rPr>
        <w:t xml:space="preserve">Papildināt noteikumus ar </w:t>
      </w:r>
      <w:r w:rsidR="00264C1A" w:rsidRPr="00BD6296">
        <w:rPr>
          <w:iCs/>
          <w:sz w:val="28"/>
          <w:szCs w:val="28"/>
        </w:rPr>
        <w:t>54.</w:t>
      </w:r>
      <w:r w:rsidR="00264C1A" w:rsidRPr="00BD6296">
        <w:rPr>
          <w:iCs/>
          <w:sz w:val="28"/>
          <w:szCs w:val="28"/>
          <w:vertAlign w:val="superscript"/>
        </w:rPr>
        <w:t>3</w:t>
      </w:r>
      <w:r w:rsidR="00D80F73" w:rsidRPr="00D80F73">
        <w:rPr>
          <w:iCs/>
          <w:sz w:val="28"/>
          <w:szCs w:val="28"/>
        </w:rPr>
        <w:t xml:space="preserve"> </w:t>
      </w:r>
      <w:r w:rsidR="00264C1A" w:rsidRPr="00BD6296">
        <w:rPr>
          <w:iCs/>
          <w:sz w:val="28"/>
          <w:szCs w:val="28"/>
        </w:rPr>
        <w:t>punktu šādā redakcijā:</w:t>
      </w:r>
    </w:p>
    <w:p w14:paraId="2672E538" w14:textId="6D733A09" w:rsidR="00264C1A" w:rsidRPr="00BD6296" w:rsidRDefault="00264C1A" w:rsidP="00C859D3">
      <w:pPr>
        <w:shd w:val="clear" w:color="auto" w:fill="FFFFFF"/>
        <w:spacing w:before="100" w:beforeAutospacing="1" w:after="100" w:afterAutospacing="1" w:line="254" w:lineRule="atLeast"/>
        <w:ind w:left="426"/>
        <w:jc w:val="both"/>
        <w:rPr>
          <w:rFonts w:eastAsia="Times New Roman" w:cs="Times New Roman"/>
          <w:iCs/>
          <w:szCs w:val="28"/>
          <w:lang w:eastAsia="lv-LV"/>
        </w:rPr>
      </w:pPr>
      <w:r w:rsidRPr="00BD6296">
        <w:rPr>
          <w:rFonts w:cs="Times New Roman"/>
          <w:szCs w:val="28"/>
        </w:rPr>
        <w:t>“</w:t>
      </w:r>
      <w:r w:rsidR="0032378D" w:rsidRPr="00BD6296">
        <w:rPr>
          <w:rFonts w:cs="Times New Roman"/>
          <w:szCs w:val="28"/>
        </w:rPr>
        <w:t>54.</w:t>
      </w:r>
      <w:r w:rsidR="0032378D" w:rsidRPr="00BD6296">
        <w:rPr>
          <w:rFonts w:cs="Times New Roman"/>
          <w:szCs w:val="28"/>
          <w:vertAlign w:val="superscript"/>
        </w:rPr>
        <w:t>3</w:t>
      </w:r>
      <w:r w:rsidR="0032378D" w:rsidRPr="00BD6296">
        <w:rPr>
          <w:rFonts w:cs="Times New Roman"/>
          <w:szCs w:val="28"/>
        </w:rPr>
        <w:t xml:space="preserve"> </w:t>
      </w:r>
      <w:r w:rsidRPr="00BD6296">
        <w:rPr>
          <w:rFonts w:cs="Times New Roman"/>
          <w:szCs w:val="28"/>
        </w:rPr>
        <w:t>Šo noteikumu 52., 53. un 55. punkt</w:t>
      </w:r>
      <w:r w:rsidRPr="00BD6296">
        <w:rPr>
          <w:szCs w:val="28"/>
        </w:rPr>
        <w:t>ā noteiktajās formulās</w:t>
      </w:r>
      <w:r w:rsidRPr="00BD6296">
        <w:rPr>
          <w:rFonts w:cs="Times New Roman"/>
          <w:szCs w:val="28"/>
        </w:rPr>
        <w:t xml:space="preserve"> izmantotais cenas diferencēšanas koeficients </w:t>
      </w:r>
      <w:proofErr w:type="spellStart"/>
      <w:r w:rsidRPr="00BD6296">
        <w:rPr>
          <w:rFonts w:cs="Times New Roman"/>
          <w:szCs w:val="28"/>
        </w:rPr>
        <w:t>pārkompensācijas</w:t>
      </w:r>
      <w:proofErr w:type="spellEnd"/>
      <w:r w:rsidRPr="00BD6296">
        <w:rPr>
          <w:rFonts w:cs="Times New Roman"/>
          <w:szCs w:val="28"/>
        </w:rPr>
        <w:t xml:space="preserve"> novēršanai </w:t>
      </w:r>
      <w:r w:rsidRPr="00BD6296">
        <w:rPr>
          <w:rFonts w:eastAsia="Times New Roman" w:cs="Times New Roman"/>
          <w:i/>
          <w:iCs/>
          <w:szCs w:val="28"/>
          <w:lang w:eastAsia="lv-LV"/>
        </w:rPr>
        <w:t>s</w:t>
      </w:r>
      <w:r w:rsidRPr="00BD6296">
        <w:rPr>
          <w:rFonts w:eastAsia="Times New Roman" w:cs="Times New Roman"/>
          <w:iCs/>
          <w:szCs w:val="28"/>
          <w:lang w:eastAsia="lv-LV"/>
        </w:rPr>
        <w:t>:</w:t>
      </w:r>
    </w:p>
    <w:p w14:paraId="20D05FC0" w14:textId="77777777" w:rsidR="00264C1A" w:rsidRPr="00BD6296" w:rsidRDefault="00264C1A" w:rsidP="00C859D3">
      <w:pPr>
        <w:shd w:val="clear" w:color="auto" w:fill="FFFFFF"/>
        <w:spacing w:before="100" w:beforeAutospacing="1" w:after="100" w:afterAutospacing="1" w:line="254" w:lineRule="atLeast"/>
        <w:ind w:left="426"/>
        <w:jc w:val="both"/>
        <w:rPr>
          <w:rFonts w:eastAsia="Times New Roman" w:cs="Times New Roman"/>
          <w:szCs w:val="28"/>
          <w:lang w:eastAsia="lv-LV"/>
        </w:rPr>
      </w:pPr>
      <w:r w:rsidRPr="00BD6296">
        <w:rPr>
          <w:rFonts w:eastAsia="Times New Roman" w:cs="Times New Roman"/>
          <w:szCs w:val="28"/>
          <w:lang w:eastAsia="lv-LV"/>
        </w:rPr>
        <w:t>54.</w:t>
      </w:r>
      <w:r w:rsidRPr="00BD6296">
        <w:rPr>
          <w:rFonts w:eastAsia="Times New Roman" w:cs="Times New Roman"/>
          <w:szCs w:val="28"/>
          <w:vertAlign w:val="superscript"/>
          <w:lang w:eastAsia="lv-LV"/>
        </w:rPr>
        <w:t>3</w:t>
      </w:r>
      <w:r w:rsidRPr="00BD6296">
        <w:rPr>
          <w:rFonts w:eastAsia="Times New Roman" w:cs="Times New Roman"/>
          <w:szCs w:val="28"/>
          <w:lang w:eastAsia="lv-LV"/>
        </w:rPr>
        <w:t>1.</w:t>
      </w:r>
      <w:r w:rsidRPr="00BD6296">
        <w:rPr>
          <w:rFonts w:cs="Times New Roman"/>
          <w:szCs w:val="28"/>
        </w:rPr>
        <w:t xml:space="preserve"> </w:t>
      </w:r>
      <w:r w:rsidRPr="00BD6296">
        <w:rPr>
          <w:rFonts w:eastAsia="Times New Roman" w:cs="Times New Roman"/>
          <w:iCs/>
          <w:szCs w:val="28"/>
          <w:lang w:eastAsia="lv-LV"/>
        </w:rPr>
        <w:t>nepārsniedz 1 un ir noteikts ministrijas lēmumā saskaņā ar šo noteikumu</w:t>
      </w:r>
      <w:r w:rsidRPr="00BD6296">
        <w:rPr>
          <w:rFonts w:eastAsia="Times New Roman" w:cs="Times New Roman"/>
          <w:i/>
          <w:iCs/>
          <w:szCs w:val="28"/>
          <w:lang w:eastAsia="lv-LV"/>
        </w:rPr>
        <w:t xml:space="preserve"> </w:t>
      </w:r>
      <w:r w:rsidRPr="00BD6296">
        <w:rPr>
          <w:szCs w:val="28"/>
        </w:rPr>
        <w:t>56.</w:t>
      </w:r>
      <w:r w:rsidRPr="00BD6296">
        <w:rPr>
          <w:szCs w:val="28"/>
          <w:vertAlign w:val="superscript"/>
        </w:rPr>
        <w:t>2</w:t>
      </w:r>
      <w:r w:rsidRPr="00BD6296">
        <w:rPr>
          <w:rFonts w:cs="Times New Roman"/>
          <w:szCs w:val="28"/>
        </w:rPr>
        <w:t xml:space="preserve"> vai 56.</w:t>
      </w:r>
      <w:r w:rsidRPr="00BD6296">
        <w:rPr>
          <w:rFonts w:cs="Times New Roman"/>
          <w:szCs w:val="28"/>
          <w:vertAlign w:val="superscript"/>
        </w:rPr>
        <w:t>7</w:t>
      </w:r>
      <w:r w:rsidRPr="00BD6296">
        <w:rPr>
          <w:rFonts w:cs="Times New Roman"/>
          <w:szCs w:val="28"/>
        </w:rPr>
        <w:t xml:space="preserve"> punktu;</w:t>
      </w:r>
    </w:p>
    <w:p w14:paraId="74F60A62" w14:textId="1D944AC3" w:rsidR="00264C1A" w:rsidRPr="00D80F73" w:rsidRDefault="00264C1A" w:rsidP="00C859D3">
      <w:pPr>
        <w:shd w:val="clear" w:color="auto" w:fill="FFFFFF"/>
        <w:spacing w:before="100" w:beforeAutospacing="1" w:after="100" w:afterAutospacing="1" w:line="254" w:lineRule="atLeast"/>
        <w:ind w:left="426"/>
        <w:jc w:val="both"/>
        <w:rPr>
          <w:rFonts w:eastAsia="Times New Roman" w:cs="Times New Roman"/>
          <w:iCs/>
          <w:szCs w:val="28"/>
          <w:lang w:eastAsia="lv-LV"/>
        </w:rPr>
      </w:pPr>
      <w:r w:rsidRPr="00BD6296">
        <w:rPr>
          <w:rFonts w:eastAsia="Times New Roman" w:cs="Times New Roman"/>
          <w:szCs w:val="28"/>
          <w:lang w:eastAsia="lv-LV"/>
        </w:rPr>
        <w:t>54.</w:t>
      </w:r>
      <w:r w:rsidRPr="00BD6296">
        <w:rPr>
          <w:rFonts w:eastAsia="Times New Roman" w:cs="Times New Roman"/>
          <w:szCs w:val="28"/>
          <w:vertAlign w:val="superscript"/>
          <w:lang w:eastAsia="lv-LV"/>
        </w:rPr>
        <w:t>3</w:t>
      </w:r>
      <w:r w:rsidRPr="00BD6296">
        <w:rPr>
          <w:rFonts w:eastAsia="Times New Roman" w:cs="Times New Roman"/>
          <w:szCs w:val="28"/>
          <w:lang w:eastAsia="lv-LV"/>
        </w:rPr>
        <w:t>2.</w:t>
      </w:r>
      <w:r w:rsidRPr="00BD6296">
        <w:rPr>
          <w:rFonts w:cs="Times New Roman"/>
          <w:szCs w:val="28"/>
        </w:rPr>
        <w:t xml:space="preserve"> vienāds ar </w:t>
      </w:r>
      <w:r w:rsidRPr="00BD6296">
        <w:rPr>
          <w:rFonts w:eastAsia="Times New Roman" w:cs="Times New Roman"/>
          <w:iCs/>
          <w:szCs w:val="28"/>
          <w:lang w:eastAsia="lv-LV"/>
        </w:rPr>
        <w:t xml:space="preserve">1, </w:t>
      </w:r>
      <w:r w:rsidRPr="00BD6296">
        <w:rPr>
          <w:rFonts w:cs="Times New Roman"/>
          <w:szCs w:val="28"/>
        </w:rPr>
        <w:t xml:space="preserve">ja ministrija nav izdevusi </w:t>
      </w:r>
      <w:r w:rsidRPr="00BD6296">
        <w:rPr>
          <w:rFonts w:eastAsia="Times New Roman" w:cs="Times New Roman"/>
          <w:iCs/>
          <w:szCs w:val="28"/>
          <w:lang w:eastAsia="lv-LV"/>
        </w:rPr>
        <w:t>lēmumu saskaņā ar šo noteikumu</w:t>
      </w:r>
      <w:r w:rsidRPr="00BD6296">
        <w:rPr>
          <w:rFonts w:eastAsia="Times New Roman" w:cs="Times New Roman"/>
          <w:i/>
          <w:iCs/>
          <w:szCs w:val="28"/>
          <w:lang w:eastAsia="lv-LV"/>
        </w:rPr>
        <w:t xml:space="preserve"> </w:t>
      </w:r>
      <w:r w:rsidRPr="00D80F73">
        <w:rPr>
          <w:szCs w:val="28"/>
        </w:rPr>
        <w:t>56.</w:t>
      </w:r>
      <w:r w:rsidRPr="00D80F73">
        <w:rPr>
          <w:szCs w:val="28"/>
          <w:vertAlign w:val="superscript"/>
        </w:rPr>
        <w:t>2</w:t>
      </w:r>
      <w:r w:rsidRPr="00D80F73">
        <w:rPr>
          <w:rFonts w:cs="Times New Roman"/>
          <w:szCs w:val="28"/>
        </w:rPr>
        <w:t xml:space="preserve"> vai 56.</w:t>
      </w:r>
      <w:r w:rsidRPr="00D80F73">
        <w:rPr>
          <w:rFonts w:cs="Times New Roman"/>
          <w:szCs w:val="28"/>
          <w:vertAlign w:val="superscript"/>
        </w:rPr>
        <w:t>7</w:t>
      </w:r>
      <w:r w:rsidRPr="00D80F73">
        <w:rPr>
          <w:rFonts w:cs="Times New Roman"/>
          <w:szCs w:val="28"/>
        </w:rPr>
        <w:t xml:space="preserve"> punktu.”</w:t>
      </w:r>
    </w:p>
    <w:p w14:paraId="351F4E56" w14:textId="3F1A1CC2" w:rsidR="007C2502" w:rsidRPr="00D80F73" w:rsidRDefault="003C419B" w:rsidP="003C419B">
      <w:pPr>
        <w:pStyle w:val="NormalWeb"/>
        <w:shd w:val="clear" w:color="auto" w:fill="FFFFFF"/>
        <w:spacing w:before="0" w:beforeAutospacing="0" w:after="0" w:afterAutospacing="0"/>
        <w:jc w:val="both"/>
        <w:rPr>
          <w:sz w:val="28"/>
          <w:szCs w:val="28"/>
        </w:rPr>
      </w:pPr>
      <w:r>
        <w:rPr>
          <w:sz w:val="28"/>
          <w:szCs w:val="28"/>
        </w:rPr>
        <w:t xml:space="preserve">10. </w:t>
      </w:r>
      <w:r w:rsidR="00264C1A" w:rsidRPr="00D80F73">
        <w:rPr>
          <w:sz w:val="28"/>
          <w:szCs w:val="28"/>
        </w:rPr>
        <w:t>Aizstāt 55.1.apakšpunktā formulu “</w:t>
      </w:r>
      <m:oMath>
        <m:r>
          <w:rPr>
            <w:rFonts w:ascii="Cambria Math" w:hAnsi="Cambria Math"/>
            <w:sz w:val="28"/>
            <w:szCs w:val="28"/>
          </w:rPr>
          <m:t>M</m:t>
        </m:r>
        <m:r>
          <m:rPr>
            <m:sty m:val="p"/>
          </m:rPr>
          <w:rPr>
            <w:rFonts w:ascii="Cambria Math" w:hAnsi="Cambria Math" w:cs="Cambria Math"/>
            <w:sz w:val="28"/>
            <w:szCs w:val="28"/>
          </w:rPr>
          <m:t xml:space="preserve">= </m:t>
        </m:r>
        <m:f>
          <m:fPr>
            <m:ctrlPr>
              <w:rPr>
                <w:rFonts w:ascii="Cambria Math" w:hAnsi="Cambria Math"/>
                <w:sz w:val="28"/>
                <w:szCs w:val="28"/>
              </w:rPr>
            </m:ctrlPr>
          </m:fPr>
          <m:num>
            <m:r>
              <w:rPr>
                <w:rFonts w:ascii="Cambria Math" w:hAnsi="Cambria Math"/>
                <w:sz w:val="28"/>
                <w:szCs w:val="28"/>
              </w:rPr>
              <m:t>224459</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m:t>
            </m:r>
          </m:num>
          <m:den>
            <m:r>
              <m:rPr>
                <m:sty m:val="p"/>
              </m:rPr>
              <w:rPr>
                <w:rFonts w:ascii="Cambria Math" w:hAnsi="Cambria Math" w:cs="Cambria Math"/>
                <w:sz w:val="28"/>
                <w:szCs w:val="28"/>
              </w:rPr>
              <m:t xml:space="preserve">12 </m:t>
            </m:r>
          </m:den>
        </m:f>
      </m:oMath>
      <w:r w:rsidR="00C23730" w:rsidRPr="00D80F73">
        <w:rPr>
          <w:sz w:val="28"/>
          <w:szCs w:val="28"/>
        </w:rPr>
        <w:t>”</w:t>
      </w:r>
      <w:r w:rsidR="0032378D" w:rsidRPr="00D80F73">
        <w:rPr>
          <w:sz w:val="28"/>
          <w:szCs w:val="28"/>
        </w:rPr>
        <w:t xml:space="preserve"> </w:t>
      </w:r>
      <w:r w:rsidR="00C23730" w:rsidRPr="00D80F73">
        <w:rPr>
          <w:sz w:val="28"/>
          <w:szCs w:val="28"/>
        </w:rPr>
        <w:t>ar formulu “</w:t>
      </w:r>
      <m:oMath>
        <m:r>
          <w:rPr>
            <w:rFonts w:ascii="Cambria Math" w:hAnsi="Cambria Math"/>
            <w:sz w:val="28"/>
            <w:szCs w:val="28"/>
          </w:rPr>
          <m:t>M</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sz w:val="28"/>
                <w:szCs w:val="28"/>
              </w:rPr>
              <m:t>224459</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 s </m:t>
            </m:r>
          </m:num>
          <m:den>
            <m:r>
              <m:rPr>
                <m:sty m:val="p"/>
              </m:rPr>
              <w:rPr>
                <w:rFonts w:ascii="Cambria Math" w:hAnsi="Cambria Math" w:cs="Cambria Math"/>
                <w:sz w:val="28"/>
                <w:szCs w:val="28"/>
              </w:rPr>
              <m:t xml:space="preserve">12 </m:t>
            </m:r>
          </m:den>
        </m:f>
      </m:oMath>
      <w:r w:rsidR="00C23730" w:rsidRPr="00D80F73">
        <w:rPr>
          <w:sz w:val="28"/>
          <w:szCs w:val="28"/>
        </w:rPr>
        <w:t>”.</w:t>
      </w:r>
    </w:p>
    <w:p w14:paraId="10A31E13" w14:textId="77777777" w:rsidR="00C23730" w:rsidRPr="00D80F73" w:rsidRDefault="00C23730" w:rsidP="00BD6296">
      <w:pPr>
        <w:pStyle w:val="NormalWeb"/>
        <w:shd w:val="clear" w:color="auto" w:fill="FFFFFF"/>
        <w:spacing w:before="0" w:beforeAutospacing="0" w:after="0" w:afterAutospacing="0"/>
        <w:ind w:left="426"/>
        <w:jc w:val="both"/>
        <w:rPr>
          <w:sz w:val="28"/>
          <w:szCs w:val="28"/>
        </w:rPr>
      </w:pPr>
    </w:p>
    <w:p w14:paraId="77DA66B5" w14:textId="1F208EFC" w:rsidR="00C23730" w:rsidRPr="00D80F73" w:rsidRDefault="003C419B" w:rsidP="003C419B">
      <w:pPr>
        <w:pStyle w:val="NormalWeb"/>
        <w:shd w:val="clear" w:color="auto" w:fill="FFFFFF"/>
        <w:spacing w:before="0" w:beforeAutospacing="0" w:after="0" w:afterAutospacing="0"/>
        <w:jc w:val="both"/>
        <w:rPr>
          <w:sz w:val="28"/>
          <w:szCs w:val="28"/>
        </w:rPr>
      </w:pPr>
      <w:r>
        <w:rPr>
          <w:sz w:val="28"/>
          <w:szCs w:val="28"/>
        </w:rPr>
        <w:t xml:space="preserve">11. </w:t>
      </w:r>
      <w:r w:rsidR="00C23730" w:rsidRPr="00D80F73">
        <w:rPr>
          <w:sz w:val="28"/>
          <w:szCs w:val="28"/>
        </w:rPr>
        <w:t>Aizstāt 55.2.apakšpunktā formulu “</w:t>
      </w:r>
      <m:oMath>
        <m:r>
          <w:rPr>
            <w:rFonts w:ascii="Cambria Math" w:hAnsi="Cambria Math"/>
            <w:sz w:val="28"/>
            <w:szCs w:val="28"/>
          </w:rPr>
          <m:t>M</m:t>
        </m:r>
        <m:r>
          <m:rPr>
            <m:sty m:val="p"/>
          </m:rPr>
          <w:rPr>
            <w:rFonts w:ascii="Cambria Math" w:hAnsi="Cambria Math" w:cs="Cambria Math"/>
            <w:sz w:val="28"/>
            <w:szCs w:val="28"/>
          </w:rPr>
          <m:t xml:space="preserve">= </m:t>
        </m:r>
        <m:f>
          <m:fPr>
            <m:ctrlPr>
              <w:rPr>
                <w:rFonts w:ascii="Cambria Math" w:hAnsi="Cambria Math"/>
                <w:sz w:val="28"/>
                <w:szCs w:val="28"/>
              </w:rPr>
            </m:ctrlPr>
          </m:fPr>
          <m:num>
            <m:r>
              <w:rPr>
                <w:rFonts w:ascii="Cambria Math" w:hAnsi="Cambria Math"/>
                <w:sz w:val="28"/>
                <w:szCs w:val="28"/>
              </w:rPr>
              <m:t>136186</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m:t>
            </m:r>
          </m:num>
          <m:den>
            <m:r>
              <m:rPr>
                <m:sty m:val="p"/>
              </m:rPr>
              <w:rPr>
                <w:rFonts w:ascii="Cambria Math" w:hAnsi="Cambria Math" w:cs="Cambria Math"/>
                <w:sz w:val="28"/>
                <w:szCs w:val="28"/>
              </w:rPr>
              <m:t xml:space="preserve">12 </m:t>
            </m:r>
          </m:den>
        </m:f>
      </m:oMath>
      <w:r w:rsidR="00C23730" w:rsidRPr="00D80F73">
        <w:rPr>
          <w:sz w:val="28"/>
          <w:szCs w:val="28"/>
        </w:rPr>
        <w:t>”</w:t>
      </w:r>
      <w:r w:rsidR="0032378D" w:rsidRPr="00D80F73">
        <w:rPr>
          <w:sz w:val="28"/>
          <w:szCs w:val="28"/>
        </w:rPr>
        <w:t xml:space="preserve"> </w:t>
      </w:r>
      <w:r w:rsidR="00C23730" w:rsidRPr="00D80F73">
        <w:rPr>
          <w:sz w:val="28"/>
          <w:szCs w:val="28"/>
        </w:rPr>
        <w:t>ar formulu “</w:t>
      </w:r>
      <m:oMath>
        <m:r>
          <w:rPr>
            <w:rFonts w:ascii="Cambria Math" w:hAnsi="Cambria Math"/>
            <w:sz w:val="28"/>
            <w:szCs w:val="28"/>
          </w:rPr>
          <m:t>M</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sz w:val="28"/>
                <w:szCs w:val="28"/>
              </w:rPr>
              <m:t>136186</m:t>
            </m:r>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P × s </m:t>
            </m:r>
          </m:num>
          <m:den>
            <m:r>
              <m:rPr>
                <m:sty m:val="p"/>
              </m:rPr>
              <w:rPr>
                <w:rFonts w:ascii="Cambria Math" w:hAnsi="Cambria Math" w:cs="Cambria Math"/>
                <w:sz w:val="28"/>
                <w:szCs w:val="28"/>
              </w:rPr>
              <m:t xml:space="preserve">12 </m:t>
            </m:r>
          </m:den>
        </m:f>
      </m:oMath>
      <w:r w:rsidR="00C23730" w:rsidRPr="00D80F73">
        <w:rPr>
          <w:sz w:val="28"/>
          <w:szCs w:val="28"/>
        </w:rPr>
        <w:t>”.</w:t>
      </w:r>
    </w:p>
    <w:p w14:paraId="54069BFA" w14:textId="77777777" w:rsidR="0068327D" w:rsidRPr="00BD6296" w:rsidRDefault="0068327D" w:rsidP="00BD6296">
      <w:pPr>
        <w:pStyle w:val="ListParagraph"/>
        <w:jc w:val="both"/>
        <w:rPr>
          <w:szCs w:val="28"/>
        </w:rPr>
      </w:pPr>
    </w:p>
    <w:p w14:paraId="1A7D4D2E" w14:textId="1C23A93F" w:rsidR="0068327D" w:rsidRPr="00BD6296" w:rsidRDefault="003C419B" w:rsidP="003C419B">
      <w:pPr>
        <w:pStyle w:val="NormalWeb"/>
        <w:shd w:val="clear" w:color="auto" w:fill="FFFFFF"/>
        <w:spacing w:before="0" w:beforeAutospacing="0" w:after="0" w:afterAutospacing="0"/>
        <w:jc w:val="both"/>
        <w:rPr>
          <w:sz w:val="28"/>
          <w:szCs w:val="28"/>
        </w:rPr>
      </w:pPr>
      <w:r>
        <w:rPr>
          <w:sz w:val="28"/>
          <w:szCs w:val="28"/>
        </w:rPr>
        <w:t xml:space="preserve">12. </w:t>
      </w:r>
      <w:r w:rsidR="0068327D" w:rsidRPr="00BD6296">
        <w:rPr>
          <w:sz w:val="28"/>
          <w:szCs w:val="28"/>
        </w:rPr>
        <w:t xml:space="preserve">Papildināt 55.2.apakšpunktu </w:t>
      </w:r>
      <w:r w:rsidR="00180FFB">
        <w:rPr>
          <w:sz w:val="28"/>
          <w:szCs w:val="28"/>
        </w:rPr>
        <w:t xml:space="preserve">aiz burtiem “(MW)” </w:t>
      </w:r>
      <w:r w:rsidR="0068327D" w:rsidRPr="00BD6296">
        <w:rPr>
          <w:sz w:val="28"/>
          <w:szCs w:val="28"/>
        </w:rPr>
        <w:t>ar vārdiem “</w:t>
      </w:r>
      <w:r w:rsidR="0068327D" w:rsidRPr="00D80F73">
        <w:rPr>
          <w:i/>
          <w:iCs/>
          <w:sz w:val="28"/>
          <w:szCs w:val="26"/>
        </w:rPr>
        <w:t>s</w:t>
      </w:r>
      <w:r w:rsidR="0068327D" w:rsidRPr="00D80F73">
        <w:rPr>
          <w:sz w:val="28"/>
          <w:szCs w:val="26"/>
        </w:rPr>
        <w:t xml:space="preserve"> – </w:t>
      </w:r>
      <w:r w:rsidR="0068327D" w:rsidRPr="009626DE">
        <w:rPr>
          <w:sz w:val="28"/>
          <w:szCs w:val="26"/>
        </w:rPr>
        <w:t xml:space="preserve">cenas diferencēšanas koeficients </w:t>
      </w:r>
      <w:proofErr w:type="spellStart"/>
      <w:r w:rsidR="0068327D" w:rsidRPr="009626DE">
        <w:rPr>
          <w:sz w:val="28"/>
          <w:szCs w:val="26"/>
        </w:rPr>
        <w:t>pārkompensācijas</w:t>
      </w:r>
      <w:proofErr w:type="spellEnd"/>
      <w:r w:rsidR="0068327D" w:rsidRPr="009626DE">
        <w:rPr>
          <w:sz w:val="28"/>
          <w:szCs w:val="26"/>
        </w:rPr>
        <w:t xml:space="preserve"> novēršanai</w:t>
      </w:r>
      <w:r w:rsidR="0068327D" w:rsidRPr="00D80F73">
        <w:rPr>
          <w:sz w:val="28"/>
          <w:szCs w:val="26"/>
        </w:rPr>
        <w:t>.</w:t>
      </w:r>
      <w:r w:rsidR="0068327D" w:rsidRPr="00BD6296">
        <w:rPr>
          <w:sz w:val="28"/>
          <w:szCs w:val="28"/>
        </w:rPr>
        <w:t>”</w:t>
      </w:r>
      <w:r w:rsidR="00180FFB">
        <w:rPr>
          <w:sz w:val="28"/>
          <w:szCs w:val="28"/>
        </w:rPr>
        <w:t>.</w:t>
      </w:r>
    </w:p>
    <w:p w14:paraId="748671B4" w14:textId="77777777" w:rsidR="007C2502" w:rsidRPr="00BD6296" w:rsidRDefault="007C2502" w:rsidP="00BD6296">
      <w:pPr>
        <w:pStyle w:val="NormalWeb"/>
        <w:shd w:val="clear" w:color="auto" w:fill="FFFFFF"/>
        <w:tabs>
          <w:tab w:val="left" w:pos="426"/>
        </w:tabs>
        <w:spacing w:before="0" w:beforeAutospacing="0" w:after="0" w:afterAutospacing="0"/>
        <w:jc w:val="both"/>
        <w:rPr>
          <w:sz w:val="28"/>
          <w:szCs w:val="28"/>
        </w:rPr>
      </w:pPr>
    </w:p>
    <w:p w14:paraId="1F5FB24A" w14:textId="308C9457" w:rsidR="00C23730" w:rsidRPr="00BD6296"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13. </w:t>
      </w:r>
      <w:r w:rsidR="008E067B" w:rsidRPr="00BD6296">
        <w:rPr>
          <w:sz w:val="28"/>
          <w:szCs w:val="28"/>
        </w:rPr>
        <w:t>Papildināt noteikumus ar IV</w:t>
      </w:r>
      <w:r w:rsidR="008E067B" w:rsidRPr="00BD6296">
        <w:rPr>
          <w:sz w:val="28"/>
          <w:szCs w:val="28"/>
          <w:vertAlign w:val="superscript"/>
        </w:rPr>
        <w:t>1</w:t>
      </w:r>
      <w:r w:rsidR="008E067B" w:rsidRPr="00BD6296">
        <w:rPr>
          <w:sz w:val="28"/>
          <w:szCs w:val="28"/>
        </w:rPr>
        <w:t>. nodaļu šādā redakcijā:”</w:t>
      </w:r>
    </w:p>
    <w:p w14:paraId="5D8AF613" w14:textId="77777777" w:rsidR="008E067B" w:rsidRPr="00BD6296" w:rsidRDefault="008E067B" w:rsidP="00BD6296">
      <w:pPr>
        <w:pStyle w:val="ListParagraph"/>
        <w:jc w:val="both"/>
        <w:rPr>
          <w:szCs w:val="28"/>
        </w:rPr>
      </w:pPr>
    </w:p>
    <w:p w14:paraId="25A73E12" w14:textId="77777777" w:rsidR="008E067B" w:rsidRPr="00BD6296" w:rsidRDefault="008E067B" w:rsidP="00C859D3">
      <w:pPr>
        <w:pStyle w:val="ListParagraph"/>
        <w:ind w:left="426"/>
        <w:jc w:val="center"/>
        <w:rPr>
          <w:b/>
          <w:bCs/>
          <w:szCs w:val="28"/>
        </w:rPr>
      </w:pPr>
      <w:r w:rsidRPr="00BD6296">
        <w:rPr>
          <w:szCs w:val="28"/>
        </w:rPr>
        <w:t>“</w:t>
      </w:r>
      <w:r w:rsidRPr="00BD6296">
        <w:rPr>
          <w:b/>
          <w:bCs/>
          <w:szCs w:val="28"/>
        </w:rPr>
        <w:t>IV</w:t>
      </w:r>
      <w:r w:rsidRPr="00BD6296">
        <w:rPr>
          <w:b/>
          <w:bCs/>
          <w:szCs w:val="28"/>
          <w:vertAlign w:val="superscript"/>
        </w:rPr>
        <w:t>1</w:t>
      </w:r>
      <w:r w:rsidRPr="00BD6296">
        <w:rPr>
          <w:b/>
          <w:bCs/>
          <w:szCs w:val="28"/>
        </w:rPr>
        <w:t xml:space="preserve">. Nosacījumi </w:t>
      </w:r>
      <w:proofErr w:type="spellStart"/>
      <w:r w:rsidRPr="00BD6296">
        <w:rPr>
          <w:b/>
          <w:bCs/>
          <w:szCs w:val="28"/>
        </w:rPr>
        <w:t>pārkompensācijas</w:t>
      </w:r>
      <w:proofErr w:type="spellEnd"/>
      <w:r w:rsidRPr="00BD6296">
        <w:rPr>
          <w:b/>
          <w:bCs/>
          <w:szCs w:val="28"/>
        </w:rPr>
        <w:t xml:space="preserve"> izvērtēšanai un novēršanai</w:t>
      </w:r>
    </w:p>
    <w:p w14:paraId="1C04F9CE" w14:textId="64550D0F"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1</w:t>
      </w:r>
      <w:r w:rsidRPr="00BD6296">
        <w:rPr>
          <w:szCs w:val="28"/>
        </w:rPr>
        <w:t xml:space="preserve"> Ja elektroenerģijas ražotājs par koģenerācijas staciju ar jaudu, kas nepārsniedz četrus megavatus, izmanto tiesības, kas piešķirtas saskaņā ar Elektroenerģijas tirgus likuma 28. pantu, piecus pilnus kalendāra gadus, ieskaitot gadu, par kuru tiek iesniegts šo noteikumu 40. punktā minētais pārskats, ministrija divu mēnešu laikā pēc minētā pārskata saņemšanas veic aprēķinu par elektrostacijas kopējo kapitālieguldījumu iekšējo peļņas normu visam atbalsta periodam saskaņā ar šo noteikumu </w:t>
      </w:r>
      <w:hyperlink r:id="rId8" w:anchor="piel9" w:tgtFrame="_blank" w:history="1">
        <w:r w:rsidRPr="00BD6296">
          <w:rPr>
            <w:rStyle w:val="Hyperlink"/>
            <w:color w:val="auto"/>
            <w:szCs w:val="28"/>
          </w:rPr>
          <w:t>8.pielikumu</w:t>
        </w:r>
      </w:hyperlink>
      <w:r w:rsidRPr="00BD6296">
        <w:rPr>
          <w:szCs w:val="28"/>
        </w:rPr>
        <w:t>.</w:t>
      </w:r>
    </w:p>
    <w:p w14:paraId="093A47D3" w14:textId="77777777" w:rsidR="00C859D3" w:rsidRDefault="00C859D3" w:rsidP="00C859D3">
      <w:pPr>
        <w:pStyle w:val="ListParagraph"/>
        <w:ind w:left="426"/>
        <w:jc w:val="both"/>
        <w:rPr>
          <w:szCs w:val="28"/>
        </w:rPr>
      </w:pPr>
    </w:p>
    <w:p w14:paraId="05F00F55" w14:textId="29A8C031"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2</w:t>
      </w:r>
      <w:r w:rsidRPr="00BD6296">
        <w:rPr>
          <w:szCs w:val="28"/>
        </w:rPr>
        <w:t xml:space="preserve"> Ja atbilstoši šo noteikumu 56.</w:t>
      </w:r>
      <w:r w:rsidRPr="00BD6296">
        <w:rPr>
          <w:szCs w:val="28"/>
          <w:vertAlign w:val="superscript"/>
        </w:rPr>
        <w:t>1</w:t>
      </w:r>
      <w:r w:rsidRPr="00BD6296">
        <w:rPr>
          <w:szCs w:val="28"/>
        </w:rPr>
        <w:t xml:space="preserve"> vai 56.</w:t>
      </w:r>
      <w:r w:rsidR="0093720F">
        <w:rPr>
          <w:szCs w:val="28"/>
          <w:vertAlign w:val="superscript"/>
        </w:rPr>
        <w:t>3</w:t>
      </w:r>
      <w:r w:rsidRPr="00BD6296">
        <w:rPr>
          <w:szCs w:val="28"/>
        </w:rPr>
        <w:t xml:space="preserve"> punktā minētajam aprēķinam elektrostacijas kopējo kapitālieguldījumu iekšējā peļņas norma visam atbalsta periodam pārsniedz 9%, tad ministrija veic aprēķinu par cenas diferencēšanas koeficientu </w:t>
      </w:r>
      <w:proofErr w:type="spellStart"/>
      <w:r w:rsidRPr="00BD6296">
        <w:rPr>
          <w:szCs w:val="28"/>
        </w:rPr>
        <w:t>pārkompensācijas</w:t>
      </w:r>
      <w:proofErr w:type="spellEnd"/>
      <w:r w:rsidRPr="00BD6296">
        <w:rPr>
          <w:szCs w:val="28"/>
        </w:rPr>
        <w:t xml:space="preserve"> novēršanai saskaņā ar šo noteikumu </w:t>
      </w:r>
      <w:r w:rsidR="00C244CE" w:rsidRPr="0058766D">
        <w:rPr>
          <w:szCs w:val="28"/>
        </w:rPr>
        <w:t>56.</w:t>
      </w:r>
      <w:r w:rsidR="00C244CE" w:rsidRPr="0058766D">
        <w:rPr>
          <w:szCs w:val="28"/>
          <w:vertAlign w:val="superscript"/>
        </w:rPr>
        <w:t>13</w:t>
      </w:r>
      <w:r w:rsidR="00C244CE" w:rsidRPr="0058766D">
        <w:rPr>
          <w:szCs w:val="28"/>
        </w:rPr>
        <w:t>,</w:t>
      </w:r>
      <w:r w:rsidR="00C244CE" w:rsidRPr="00C244CE">
        <w:rPr>
          <w:rStyle w:val="Hyperlink"/>
          <w:color w:val="auto"/>
          <w:szCs w:val="28"/>
          <w:u w:val="none"/>
        </w:rPr>
        <w:t xml:space="preserve"> 56.</w:t>
      </w:r>
      <w:r w:rsidR="00C244CE" w:rsidRPr="00C244CE">
        <w:rPr>
          <w:rStyle w:val="Hyperlink"/>
          <w:color w:val="auto"/>
          <w:szCs w:val="28"/>
          <w:u w:val="none"/>
          <w:vertAlign w:val="superscript"/>
        </w:rPr>
        <w:t>14</w:t>
      </w:r>
      <w:r w:rsidR="00C244CE" w:rsidRPr="00C244CE">
        <w:rPr>
          <w:rStyle w:val="Hyperlink"/>
          <w:color w:val="auto"/>
          <w:szCs w:val="28"/>
          <w:u w:val="none"/>
        </w:rPr>
        <w:t xml:space="preserve"> un 56.</w:t>
      </w:r>
      <w:r w:rsidR="00C244CE" w:rsidRPr="00C244CE">
        <w:rPr>
          <w:rStyle w:val="Hyperlink"/>
          <w:color w:val="auto"/>
          <w:szCs w:val="28"/>
          <w:u w:val="none"/>
          <w:vertAlign w:val="superscript"/>
        </w:rPr>
        <w:t>15</w:t>
      </w:r>
      <w:r w:rsidRPr="00C244CE">
        <w:rPr>
          <w:szCs w:val="28"/>
        </w:rPr>
        <w:t xml:space="preserve"> </w:t>
      </w:r>
      <w:r w:rsidR="00C244CE">
        <w:rPr>
          <w:szCs w:val="28"/>
        </w:rPr>
        <w:t xml:space="preserve">punktu </w:t>
      </w:r>
      <w:r w:rsidRPr="00C244CE">
        <w:rPr>
          <w:szCs w:val="28"/>
        </w:rPr>
        <w:t>un pieņem lēmumu, ar kuru nosaka šo noteikumu 53. pun</w:t>
      </w:r>
      <w:r w:rsidRPr="00BD6296">
        <w:rPr>
          <w:szCs w:val="28"/>
        </w:rPr>
        <w:t xml:space="preserve">ktā </w:t>
      </w:r>
      <w:r w:rsidRPr="00BD6296">
        <w:rPr>
          <w:szCs w:val="28"/>
        </w:rPr>
        <w:lastRenderedPageBreak/>
        <w:t xml:space="preserve">noteiktajās formulās izmantojamo cenas diferencēšanas koeficientu </w:t>
      </w:r>
      <w:proofErr w:type="spellStart"/>
      <w:r w:rsidRPr="00BD6296">
        <w:rPr>
          <w:szCs w:val="28"/>
        </w:rPr>
        <w:t>pārkompensācijas</w:t>
      </w:r>
      <w:proofErr w:type="spellEnd"/>
      <w:r w:rsidRPr="00BD6296">
        <w:rPr>
          <w:szCs w:val="28"/>
        </w:rPr>
        <w:t xml:space="preserve"> novēršanai </w:t>
      </w:r>
      <w:r w:rsidRPr="00BD6296">
        <w:rPr>
          <w:i/>
          <w:iCs/>
          <w:szCs w:val="28"/>
        </w:rPr>
        <w:t>s</w:t>
      </w:r>
      <w:r w:rsidRPr="00BD6296">
        <w:rPr>
          <w:iCs/>
          <w:szCs w:val="28"/>
        </w:rPr>
        <w:t>.</w:t>
      </w:r>
      <w:r w:rsidRPr="00BD6296">
        <w:rPr>
          <w:szCs w:val="28"/>
        </w:rPr>
        <w:t xml:space="preserve"> Lēmumu paziņo komersantam, tirgotājam un sistēmas operatoram.</w:t>
      </w:r>
    </w:p>
    <w:p w14:paraId="6588EBE5" w14:textId="77777777" w:rsidR="008E067B" w:rsidRPr="00BD6296" w:rsidRDefault="008E067B" w:rsidP="00C859D3">
      <w:pPr>
        <w:pStyle w:val="ListParagraph"/>
        <w:ind w:left="426"/>
        <w:jc w:val="both"/>
        <w:rPr>
          <w:szCs w:val="28"/>
        </w:rPr>
      </w:pPr>
    </w:p>
    <w:p w14:paraId="50CE9CFD" w14:textId="2968B8D1" w:rsidR="008E067B" w:rsidRPr="00ED03C9" w:rsidRDefault="008E067B" w:rsidP="00ED03C9">
      <w:pPr>
        <w:pStyle w:val="ListParagraph"/>
        <w:ind w:left="426"/>
        <w:jc w:val="both"/>
        <w:rPr>
          <w:szCs w:val="28"/>
        </w:rPr>
      </w:pPr>
      <w:r w:rsidRPr="00BD6296">
        <w:rPr>
          <w:szCs w:val="28"/>
        </w:rPr>
        <w:t>56.</w:t>
      </w:r>
      <w:r w:rsidRPr="00BD6296">
        <w:rPr>
          <w:szCs w:val="28"/>
          <w:vertAlign w:val="superscript"/>
        </w:rPr>
        <w:t>3</w:t>
      </w:r>
      <w:r w:rsidRPr="00BD6296">
        <w:rPr>
          <w:szCs w:val="28"/>
        </w:rPr>
        <w:t xml:space="preserve"> Ministrija</w:t>
      </w:r>
      <w:r w:rsidR="00ED03C9">
        <w:rPr>
          <w:szCs w:val="28"/>
        </w:rPr>
        <w:t xml:space="preserve">, konstatējot koģenerācijas stacijas uzstādītās elektriskās vai siltuma jaudas izmaiņas, izmaiņas komersantam piemērotajā subsidētās elektroenerģijas nodokļa likmē, vai, ja saskaņā ar šo noteikumu </w:t>
      </w:r>
      <w:r w:rsidR="009A71C5">
        <w:rPr>
          <w:szCs w:val="28"/>
        </w:rPr>
        <w:t>56.</w:t>
      </w:r>
      <w:r w:rsidR="009A71C5" w:rsidRPr="009A71C5">
        <w:rPr>
          <w:szCs w:val="28"/>
          <w:vertAlign w:val="superscript"/>
        </w:rPr>
        <w:t>12</w:t>
      </w:r>
      <w:r w:rsidR="009A71C5">
        <w:rPr>
          <w:szCs w:val="28"/>
        </w:rPr>
        <w:t xml:space="preserve"> punktu </w:t>
      </w:r>
      <w:r w:rsidR="00ED03C9">
        <w:rPr>
          <w:szCs w:val="28"/>
        </w:rPr>
        <w:t xml:space="preserve">tiek </w:t>
      </w:r>
      <w:r w:rsidR="00ED03C9" w:rsidRPr="009877DD">
        <w:rPr>
          <w:szCs w:val="28"/>
        </w:rPr>
        <w:t>pārskatīt</w:t>
      </w:r>
      <w:r w:rsidR="00ED03C9">
        <w:rPr>
          <w:szCs w:val="28"/>
        </w:rPr>
        <w:t>as</w:t>
      </w:r>
      <w:r w:rsidR="00ED03C9" w:rsidRPr="009877DD">
        <w:rPr>
          <w:szCs w:val="28"/>
        </w:rPr>
        <w:t xml:space="preserve"> š</w:t>
      </w:r>
      <w:r w:rsidR="00ED03C9">
        <w:rPr>
          <w:szCs w:val="28"/>
        </w:rPr>
        <w:t>o noteikumu 8. pielikuma 1., 2., 4., 5., 7., vai 9. tabulā iekļaut</w:t>
      </w:r>
      <w:r w:rsidR="009A71C5">
        <w:rPr>
          <w:szCs w:val="28"/>
        </w:rPr>
        <w:t>ās</w:t>
      </w:r>
      <w:r w:rsidR="00ED03C9">
        <w:rPr>
          <w:szCs w:val="28"/>
        </w:rPr>
        <w:t xml:space="preserve"> vērtīb</w:t>
      </w:r>
      <w:r w:rsidR="009A71C5">
        <w:rPr>
          <w:szCs w:val="28"/>
        </w:rPr>
        <w:t>as</w:t>
      </w:r>
      <w:r w:rsidRPr="00ED03C9">
        <w:rPr>
          <w:szCs w:val="28"/>
        </w:rPr>
        <w:t>, vai pēc komersanta pieprasījuma</w:t>
      </w:r>
      <w:r w:rsidR="00D652F0">
        <w:rPr>
          <w:szCs w:val="28"/>
        </w:rPr>
        <w:t xml:space="preserve"> </w:t>
      </w:r>
      <w:r w:rsidRPr="00ED03C9">
        <w:rPr>
          <w:szCs w:val="28"/>
        </w:rPr>
        <w:t xml:space="preserve">var veikt elektrostacijas kopējo kapitālieguldījumu iekšējās peļņas normas visam atbalsta periodam aprēķinu un cenas diferencēšanas koeficienta </w:t>
      </w:r>
      <w:proofErr w:type="spellStart"/>
      <w:r w:rsidRPr="00ED03C9">
        <w:rPr>
          <w:szCs w:val="28"/>
        </w:rPr>
        <w:t>pārkompensācijas</w:t>
      </w:r>
      <w:proofErr w:type="spellEnd"/>
      <w:r w:rsidRPr="00ED03C9">
        <w:rPr>
          <w:szCs w:val="28"/>
        </w:rPr>
        <w:t xml:space="preserve"> novēršanai aprēķinu.</w:t>
      </w:r>
    </w:p>
    <w:p w14:paraId="216965DC" w14:textId="77777777" w:rsidR="008E067B" w:rsidRPr="00BD6296" w:rsidRDefault="008E067B" w:rsidP="00C859D3">
      <w:pPr>
        <w:pStyle w:val="ListParagraph"/>
        <w:ind w:left="426"/>
        <w:jc w:val="both"/>
        <w:rPr>
          <w:szCs w:val="28"/>
        </w:rPr>
      </w:pPr>
    </w:p>
    <w:p w14:paraId="63757B7E" w14:textId="0365571E"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4</w:t>
      </w:r>
      <w:r w:rsidRPr="00BD6296">
        <w:rPr>
          <w:szCs w:val="28"/>
        </w:rPr>
        <w:t xml:space="preserve"> Šo noteikumu 56.</w:t>
      </w:r>
      <w:r w:rsidRPr="00BD6296">
        <w:rPr>
          <w:szCs w:val="28"/>
          <w:vertAlign w:val="superscript"/>
        </w:rPr>
        <w:t>3</w:t>
      </w:r>
      <w:r w:rsidRPr="00BD6296">
        <w:rPr>
          <w:szCs w:val="28"/>
        </w:rPr>
        <w:t xml:space="preserve"> punktā minēto pieprasījumu komersants var iesniegt, ja tas izmanto šo noteikumu 56.</w:t>
      </w:r>
      <w:r w:rsidRPr="00BD6296">
        <w:rPr>
          <w:szCs w:val="28"/>
          <w:vertAlign w:val="superscript"/>
        </w:rPr>
        <w:t>1</w:t>
      </w:r>
      <w:r w:rsidRPr="00BD6296">
        <w:rPr>
          <w:szCs w:val="28"/>
        </w:rPr>
        <w:t xml:space="preserve"> punktā minētās tiesības mazāk kā piecus pilnus kalendāra gadus, </w:t>
      </w:r>
      <w:r w:rsidR="00865DFA">
        <w:rPr>
          <w:szCs w:val="28"/>
        </w:rPr>
        <w:t xml:space="preserve">ja ir mainīta koģenerācijas stacijas elektriskā vai siltuma jauda, </w:t>
      </w:r>
      <w:r w:rsidRPr="00BD6296">
        <w:rPr>
          <w:szCs w:val="28"/>
        </w:rPr>
        <w:t>vai ja no 56.</w:t>
      </w:r>
      <w:r w:rsidRPr="00BD6296">
        <w:rPr>
          <w:szCs w:val="28"/>
          <w:vertAlign w:val="superscript"/>
        </w:rPr>
        <w:t>2</w:t>
      </w:r>
      <w:r w:rsidRPr="00BD6296">
        <w:rPr>
          <w:szCs w:val="28"/>
        </w:rPr>
        <w:t xml:space="preserve"> punktā minētā lēmuma spēkā stāšanās dienas ir pagājis vismaz viens gads.</w:t>
      </w:r>
    </w:p>
    <w:p w14:paraId="1C12685C" w14:textId="77777777" w:rsidR="00C859D3" w:rsidRDefault="00C859D3" w:rsidP="00C859D3">
      <w:pPr>
        <w:pStyle w:val="ListParagraph"/>
        <w:ind w:left="426"/>
        <w:jc w:val="both"/>
        <w:rPr>
          <w:szCs w:val="28"/>
        </w:rPr>
      </w:pPr>
    </w:p>
    <w:p w14:paraId="2D0F710F" w14:textId="77777777"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5</w:t>
      </w:r>
      <w:r w:rsidRPr="00BD6296">
        <w:rPr>
          <w:szCs w:val="28"/>
        </w:rPr>
        <w:t xml:space="preserve"> Ja elektroenerģijas ražotājs par koģenerācijas staciju ar jaudu, kas pārsniedz četrus megavatus, izmanto tiesības, kas piešķirtas saskaņā ar Elektroenerģijas tirgus likuma 28. vai 28.</w:t>
      </w:r>
      <w:r w:rsidRPr="00BD6296">
        <w:rPr>
          <w:szCs w:val="28"/>
          <w:vertAlign w:val="superscript"/>
        </w:rPr>
        <w:t>1</w:t>
      </w:r>
      <w:r w:rsidRPr="00BD6296">
        <w:rPr>
          <w:szCs w:val="28"/>
        </w:rPr>
        <w:t xml:space="preserve"> pantu, astoņus vai trīspadsmit  pilnus kalendāra gadus, ieskaitot gadu, par kuru tiek iesniegts šo noteikumu 40. punktā minētais pārskats, pārskatam pievieno zvērināta revidenta apstiprinātu aprēķinu par elektrostacijas kopējo kapitālieguldījumu iekšējo peļņas normu visam atbalsta periodam, kas veikts atbilstoši šo noteikumu 8.pielikuma prasībām.</w:t>
      </w:r>
    </w:p>
    <w:p w14:paraId="289CA27D" w14:textId="77777777" w:rsidR="00C859D3" w:rsidRDefault="00C859D3" w:rsidP="00C859D3">
      <w:pPr>
        <w:pStyle w:val="ListParagraph"/>
        <w:ind w:left="426"/>
        <w:jc w:val="both"/>
        <w:rPr>
          <w:szCs w:val="28"/>
        </w:rPr>
      </w:pPr>
    </w:p>
    <w:p w14:paraId="44710F96" w14:textId="03D8CC59" w:rsidR="008E067B" w:rsidRPr="00C244CE" w:rsidRDefault="008E067B" w:rsidP="00C859D3">
      <w:pPr>
        <w:pStyle w:val="ListParagraph"/>
        <w:ind w:left="426"/>
        <w:jc w:val="both"/>
        <w:rPr>
          <w:szCs w:val="28"/>
        </w:rPr>
      </w:pPr>
      <w:r w:rsidRPr="00BD6296">
        <w:rPr>
          <w:szCs w:val="28"/>
        </w:rPr>
        <w:t>56.</w:t>
      </w:r>
      <w:r w:rsidRPr="00BD6296">
        <w:rPr>
          <w:szCs w:val="28"/>
          <w:vertAlign w:val="superscript"/>
        </w:rPr>
        <w:t>6</w:t>
      </w:r>
      <w:r w:rsidRPr="00BD6296">
        <w:rPr>
          <w:szCs w:val="28"/>
        </w:rPr>
        <w:t xml:space="preserve"> Ja atbilstoši šo noteikumu 56.</w:t>
      </w:r>
      <w:r w:rsidRPr="00BD6296">
        <w:rPr>
          <w:szCs w:val="28"/>
          <w:vertAlign w:val="superscript"/>
        </w:rPr>
        <w:t>5</w:t>
      </w:r>
      <w:r w:rsidRPr="00BD6296">
        <w:rPr>
          <w:szCs w:val="28"/>
        </w:rPr>
        <w:t xml:space="preserve"> punktā minētajam aprēķinam elektrostacijas kopējo kapitālieguldījumu iekšējā peļņas norma visam atbalsta periodam pārsniedz 9%, komersants šim aprēķinam pievieno zvērināta revidenta apstiprinātu aprēķinu par cenas diferencēšanas koeficientu </w:t>
      </w:r>
      <w:proofErr w:type="spellStart"/>
      <w:r w:rsidRPr="00BD6296">
        <w:rPr>
          <w:szCs w:val="28"/>
        </w:rPr>
        <w:t>pārkompensācijas</w:t>
      </w:r>
      <w:proofErr w:type="spellEnd"/>
      <w:r w:rsidRPr="00BD6296">
        <w:rPr>
          <w:szCs w:val="28"/>
        </w:rPr>
        <w:t xml:space="preserve"> novēršanai un tā piemērošanas sākuma datumu saskaņā ar šo noteikumu </w:t>
      </w:r>
      <w:r w:rsidR="00C244CE" w:rsidRPr="00BD6296">
        <w:rPr>
          <w:szCs w:val="28"/>
        </w:rPr>
        <w:t>56.</w:t>
      </w:r>
      <w:r w:rsidR="00C244CE">
        <w:rPr>
          <w:szCs w:val="28"/>
          <w:vertAlign w:val="superscript"/>
        </w:rPr>
        <w:t>16</w:t>
      </w:r>
      <w:r w:rsidR="00C244CE">
        <w:rPr>
          <w:szCs w:val="28"/>
        </w:rPr>
        <w:t xml:space="preserve"> punktu.</w:t>
      </w:r>
    </w:p>
    <w:p w14:paraId="406FBDBE" w14:textId="77777777" w:rsidR="008E067B" w:rsidRPr="00BD6296" w:rsidRDefault="008E067B" w:rsidP="00C859D3">
      <w:pPr>
        <w:pStyle w:val="ListParagraph"/>
        <w:ind w:left="426"/>
        <w:jc w:val="both"/>
        <w:rPr>
          <w:szCs w:val="28"/>
        </w:rPr>
      </w:pPr>
    </w:p>
    <w:p w14:paraId="19CEEA1B" w14:textId="77777777"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7</w:t>
      </w:r>
      <w:r w:rsidRPr="00BD6296">
        <w:rPr>
          <w:szCs w:val="28"/>
        </w:rPr>
        <w:t xml:space="preserve"> Pamatojoties uz šo noteikumu 56.</w:t>
      </w:r>
      <w:r w:rsidRPr="00BD6296">
        <w:rPr>
          <w:szCs w:val="28"/>
          <w:vertAlign w:val="superscript"/>
        </w:rPr>
        <w:t>6</w:t>
      </w:r>
      <w:r w:rsidRPr="00BD6296">
        <w:rPr>
          <w:szCs w:val="28"/>
        </w:rPr>
        <w:t xml:space="preserve"> punktā minēto aprēķinu ministrija mēneša laikā no tā saņemšanas pieņem lēmumu, ar kuru nosaka šo noteikumu 52. un 55. punktā noteiktajās formulās izmantojamo cenas diferencēšanas koeficientu </w:t>
      </w:r>
      <w:proofErr w:type="spellStart"/>
      <w:r w:rsidRPr="00BD6296">
        <w:rPr>
          <w:szCs w:val="28"/>
        </w:rPr>
        <w:t>pārkompensācijas</w:t>
      </w:r>
      <w:proofErr w:type="spellEnd"/>
      <w:r w:rsidRPr="00BD6296">
        <w:rPr>
          <w:szCs w:val="28"/>
        </w:rPr>
        <w:t xml:space="preserve"> novēršanai </w:t>
      </w:r>
      <w:r w:rsidRPr="00BD6296">
        <w:rPr>
          <w:i/>
          <w:iCs/>
          <w:szCs w:val="28"/>
        </w:rPr>
        <w:t xml:space="preserve">s </w:t>
      </w:r>
      <w:r w:rsidRPr="00BD6296">
        <w:rPr>
          <w:iCs/>
          <w:szCs w:val="28"/>
        </w:rPr>
        <w:t>un l</w:t>
      </w:r>
      <w:r w:rsidRPr="00BD6296">
        <w:rPr>
          <w:szCs w:val="28"/>
        </w:rPr>
        <w:t>ēmuma spēkā stāšanās dienu. Lēmumu paziņo komersantam, tirgotājam un sistēmas operatoram.</w:t>
      </w:r>
    </w:p>
    <w:p w14:paraId="31F7DD9C" w14:textId="77777777" w:rsidR="008E067B" w:rsidRPr="00BD6296" w:rsidRDefault="008E067B" w:rsidP="00C859D3">
      <w:pPr>
        <w:pStyle w:val="ListParagraph"/>
        <w:ind w:left="426"/>
        <w:jc w:val="both"/>
        <w:rPr>
          <w:szCs w:val="28"/>
        </w:rPr>
      </w:pPr>
    </w:p>
    <w:p w14:paraId="0CFD6E4F" w14:textId="77777777"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8</w:t>
      </w:r>
      <w:r w:rsidRPr="00BD6296">
        <w:rPr>
          <w:szCs w:val="28"/>
        </w:rPr>
        <w:t xml:space="preserve"> Cenas diferencēšanas koeficientu </w:t>
      </w:r>
      <w:proofErr w:type="spellStart"/>
      <w:r w:rsidRPr="00BD6296">
        <w:rPr>
          <w:szCs w:val="28"/>
        </w:rPr>
        <w:t>pārkompensācijas</w:t>
      </w:r>
      <w:proofErr w:type="spellEnd"/>
      <w:r w:rsidRPr="00BD6296">
        <w:rPr>
          <w:szCs w:val="28"/>
        </w:rPr>
        <w:t xml:space="preserve"> novēršanai, kas noteikts saskaņā ar šo noteikumu 56.</w:t>
      </w:r>
      <w:r w:rsidRPr="00BD6296">
        <w:rPr>
          <w:szCs w:val="28"/>
          <w:vertAlign w:val="superscript"/>
        </w:rPr>
        <w:t>2</w:t>
      </w:r>
      <w:r w:rsidRPr="00BD6296">
        <w:rPr>
          <w:szCs w:val="28"/>
        </w:rPr>
        <w:t xml:space="preserve"> vai 56.</w:t>
      </w:r>
      <w:r w:rsidRPr="00BD6296">
        <w:rPr>
          <w:szCs w:val="28"/>
          <w:vertAlign w:val="superscript"/>
        </w:rPr>
        <w:t>7</w:t>
      </w:r>
      <w:r w:rsidRPr="00BD6296">
        <w:rPr>
          <w:szCs w:val="28"/>
        </w:rPr>
        <w:t xml:space="preserve"> punktā minēto lēmumu, </w:t>
      </w:r>
      <w:r w:rsidRPr="00BD6296">
        <w:rPr>
          <w:szCs w:val="28"/>
        </w:rPr>
        <w:lastRenderedPageBreak/>
        <w:t>tirgotājs piemēro sākot ar nākamā pilnā kalendārā mēneša pirmo datumu no šo noteikumu 56.</w:t>
      </w:r>
      <w:r w:rsidRPr="00BD6296">
        <w:rPr>
          <w:szCs w:val="28"/>
          <w:vertAlign w:val="superscript"/>
        </w:rPr>
        <w:t>2</w:t>
      </w:r>
      <w:r w:rsidRPr="00BD6296">
        <w:rPr>
          <w:szCs w:val="28"/>
        </w:rPr>
        <w:t xml:space="preserve"> vai 56.</w:t>
      </w:r>
      <w:r w:rsidRPr="00BD6296">
        <w:rPr>
          <w:szCs w:val="28"/>
          <w:vertAlign w:val="superscript"/>
        </w:rPr>
        <w:t>7</w:t>
      </w:r>
      <w:r w:rsidRPr="00BD6296">
        <w:rPr>
          <w:szCs w:val="28"/>
        </w:rPr>
        <w:t xml:space="preserve"> punktā minētā lēmuma spēkā stāšanās dienas.</w:t>
      </w:r>
    </w:p>
    <w:p w14:paraId="717D8EDC" w14:textId="77777777" w:rsidR="008E067B" w:rsidRPr="00BD6296" w:rsidRDefault="008E067B" w:rsidP="00C859D3">
      <w:pPr>
        <w:pStyle w:val="ListParagraph"/>
        <w:ind w:left="426"/>
        <w:jc w:val="both"/>
        <w:rPr>
          <w:szCs w:val="28"/>
        </w:rPr>
      </w:pPr>
    </w:p>
    <w:p w14:paraId="78DE76AB" w14:textId="77777777"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9</w:t>
      </w:r>
      <w:r w:rsidRPr="00BD6296">
        <w:rPr>
          <w:szCs w:val="28"/>
        </w:rPr>
        <w:t xml:space="preserve"> Ja komersants mēneša laikā neizpilda šo noteikumu 56.</w:t>
      </w:r>
      <w:r w:rsidRPr="00BD6296">
        <w:rPr>
          <w:szCs w:val="28"/>
          <w:vertAlign w:val="superscript"/>
        </w:rPr>
        <w:t>5</w:t>
      </w:r>
      <w:r w:rsidRPr="00BD6296">
        <w:rPr>
          <w:szCs w:val="28"/>
        </w:rPr>
        <w:t xml:space="preserve"> vai 56.</w:t>
      </w:r>
      <w:r w:rsidRPr="00BD6296">
        <w:rPr>
          <w:szCs w:val="28"/>
          <w:vertAlign w:val="superscript"/>
        </w:rPr>
        <w:t>6</w:t>
      </w:r>
      <w:r w:rsidRPr="00BD6296">
        <w:rPr>
          <w:szCs w:val="28"/>
        </w:rPr>
        <w:t xml:space="preserve"> punkta prasības, ministrija mēneša laikā nosūta komersantam brīdinājumu.</w:t>
      </w:r>
    </w:p>
    <w:p w14:paraId="097B7BEE" w14:textId="77777777" w:rsidR="008E067B" w:rsidRPr="00BD6296" w:rsidRDefault="008E067B" w:rsidP="00C859D3">
      <w:pPr>
        <w:pStyle w:val="ListParagraph"/>
        <w:ind w:left="426"/>
        <w:jc w:val="both"/>
        <w:rPr>
          <w:szCs w:val="28"/>
        </w:rPr>
      </w:pPr>
    </w:p>
    <w:p w14:paraId="614E0C09" w14:textId="77777777" w:rsidR="008E067B" w:rsidRPr="00BD6296" w:rsidRDefault="008E067B" w:rsidP="00C859D3">
      <w:pPr>
        <w:pStyle w:val="ListParagraph"/>
        <w:ind w:left="426"/>
        <w:jc w:val="both"/>
        <w:rPr>
          <w:szCs w:val="28"/>
        </w:rPr>
      </w:pPr>
      <w:r w:rsidRPr="00BD6296">
        <w:rPr>
          <w:szCs w:val="28"/>
        </w:rPr>
        <w:t>56.</w:t>
      </w:r>
      <w:r w:rsidRPr="00BD6296">
        <w:rPr>
          <w:szCs w:val="28"/>
          <w:vertAlign w:val="superscript"/>
        </w:rPr>
        <w:t>10</w:t>
      </w:r>
      <w:r w:rsidRPr="00BD6296">
        <w:rPr>
          <w:szCs w:val="28"/>
        </w:rPr>
        <w:t xml:space="preserve"> Ja komersants mēneša laikā pēc šo noteikumu 56.</w:t>
      </w:r>
      <w:r w:rsidRPr="00BD6296">
        <w:rPr>
          <w:szCs w:val="28"/>
          <w:vertAlign w:val="superscript"/>
        </w:rPr>
        <w:t>9</w:t>
      </w:r>
      <w:r w:rsidRPr="00BD6296">
        <w:rPr>
          <w:szCs w:val="28"/>
        </w:rPr>
        <w:t xml:space="preserve"> punktā minētā brīdinājuma saņemšanas neizpilda šo noteikumu 56.</w:t>
      </w:r>
      <w:r w:rsidRPr="00BD6296">
        <w:rPr>
          <w:szCs w:val="28"/>
          <w:vertAlign w:val="superscript"/>
        </w:rPr>
        <w:t>5</w:t>
      </w:r>
      <w:r w:rsidRPr="00BD6296">
        <w:rPr>
          <w:szCs w:val="28"/>
        </w:rPr>
        <w:t xml:space="preserve"> vai 56.</w:t>
      </w:r>
      <w:r w:rsidRPr="00BD6296">
        <w:rPr>
          <w:szCs w:val="28"/>
          <w:vertAlign w:val="superscript"/>
        </w:rPr>
        <w:t>6</w:t>
      </w:r>
      <w:r w:rsidRPr="00BD6296">
        <w:rPr>
          <w:szCs w:val="28"/>
        </w:rPr>
        <w:t xml:space="preserve"> punkta prasības, ministrija pieņem lēmumu, ar kuru tiek atceltas komersantam piešķirtās tiesības pārdot koģenerācijā saražoto elektroenerģiju obligātā iepirkuma ietvaros vai saņemt maksu par koģenerācijas stacijā uzstādīto elektrisko jaudu. Lēmumu paziņo komersantam, tirgotājam un sistēmas operatoram.</w:t>
      </w:r>
    </w:p>
    <w:p w14:paraId="582D92A4" w14:textId="77777777" w:rsidR="009877DD" w:rsidRDefault="009877DD" w:rsidP="00C859D3">
      <w:pPr>
        <w:pStyle w:val="ListParagraph"/>
        <w:ind w:left="426"/>
        <w:jc w:val="both"/>
        <w:rPr>
          <w:szCs w:val="28"/>
        </w:rPr>
      </w:pPr>
    </w:p>
    <w:p w14:paraId="4A9B59D1" w14:textId="77777777" w:rsidR="001C161E" w:rsidRDefault="008E067B" w:rsidP="00C859D3">
      <w:pPr>
        <w:pStyle w:val="ListParagraph"/>
        <w:ind w:left="426"/>
        <w:jc w:val="both"/>
        <w:rPr>
          <w:szCs w:val="28"/>
        </w:rPr>
      </w:pPr>
      <w:r w:rsidRPr="00BD6296">
        <w:rPr>
          <w:szCs w:val="28"/>
        </w:rPr>
        <w:t>56.</w:t>
      </w:r>
      <w:r w:rsidRPr="00BD6296">
        <w:rPr>
          <w:szCs w:val="28"/>
          <w:vertAlign w:val="superscript"/>
        </w:rPr>
        <w:t>11</w:t>
      </w:r>
      <w:r w:rsidRPr="00BD6296">
        <w:rPr>
          <w:szCs w:val="28"/>
        </w:rPr>
        <w:t xml:space="preserve"> Šo noteikumu 56.</w:t>
      </w:r>
      <w:r w:rsidRPr="00BD6296">
        <w:rPr>
          <w:szCs w:val="28"/>
          <w:vertAlign w:val="superscript"/>
        </w:rPr>
        <w:t>1</w:t>
      </w:r>
      <w:r w:rsidRPr="00BD6296">
        <w:rPr>
          <w:szCs w:val="28"/>
        </w:rPr>
        <w:t xml:space="preserve"> un 56.</w:t>
      </w:r>
      <w:r w:rsidRPr="00BD6296">
        <w:rPr>
          <w:szCs w:val="28"/>
          <w:vertAlign w:val="superscript"/>
        </w:rPr>
        <w:t>5</w:t>
      </w:r>
      <w:r w:rsidRPr="00BD6296">
        <w:rPr>
          <w:szCs w:val="28"/>
        </w:rPr>
        <w:t xml:space="preserve"> punkta prasības nav attiecināmas uz tām elektrostacijām, </w:t>
      </w:r>
      <w:r w:rsidR="001C161E" w:rsidRPr="001C161E">
        <w:rPr>
          <w:szCs w:val="28"/>
        </w:rPr>
        <w:t>prasības nav attiecināmas uz tām elektrostacijām, kurās koģenerācijas procesā saražotās siltumenerģijas cenu ir noteicis vai apstiprinājis regulators pirms 2016. gada 1. jūnija un kuru siltumenerģijas pārdošanas cena nepārsniedz regulatora noteikto.</w:t>
      </w:r>
    </w:p>
    <w:p w14:paraId="675F83C7" w14:textId="77777777" w:rsidR="009877DD" w:rsidRDefault="009877DD" w:rsidP="00C859D3">
      <w:pPr>
        <w:pStyle w:val="ListParagraph"/>
        <w:ind w:left="426"/>
        <w:jc w:val="both"/>
        <w:rPr>
          <w:szCs w:val="28"/>
        </w:rPr>
      </w:pPr>
    </w:p>
    <w:p w14:paraId="133348B8" w14:textId="77777777" w:rsidR="00C244CE" w:rsidRDefault="009877DD" w:rsidP="00C244CE">
      <w:pPr>
        <w:pStyle w:val="ListParagraph"/>
        <w:ind w:left="426"/>
        <w:jc w:val="both"/>
        <w:rPr>
          <w:szCs w:val="28"/>
        </w:rPr>
      </w:pPr>
      <w:r w:rsidRPr="00BD6296">
        <w:rPr>
          <w:szCs w:val="28"/>
        </w:rPr>
        <w:t>56.</w:t>
      </w:r>
      <w:r w:rsidRPr="00BD6296">
        <w:rPr>
          <w:szCs w:val="28"/>
          <w:vertAlign w:val="superscript"/>
        </w:rPr>
        <w:t>1</w:t>
      </w:r>
      <w:r>
        <w:rPr>
          <w:szCs w:val="28"/>
          <w:vertAlign w:val="superscript"/>
        </w:rPr>
        <w:t>2</w:t>
      </w:r>
      <w:r w:rsidRPr="00BD6296">
        <w:rPr>
          <w:szCs w:val="28"/>
        </w:rPr>
        <w:t xml:space="preserve"> </w:t>
      </w:r>
      <w:r>
        <w:rPr>
          <w:szCs w:val="28"/>
        </w:rPr>
        <w:t>M</w:t>
      </w:r>
      <w:r w:rsidRPr="009877DD">
        <w:rPr>
          <w:szCs w:val="28"/>
        </w:rPr>
        <w:t>inistrija var ierosināt pārskatīt š</w:t>
      </w:r>
      <w:r>
        <w:rPr>
          <w:szCs w:val="28"/>
        </w:rPr>
        <w:t>o noteikumu 8. pielikuma 1., 2., 4., 5., 7., vai 9. tabulā iekļauto vērtību</w:t>
      </w:r>
      <w:r w:rsidRPr="009877DD">
        <w:rPr>
          <w:szCs w:val="28"/>
        </w:rPr>
        <w:t xml:space="preserve"> pamatotību un atbilstību </w:t>
      </w:r>
      <w:r>
        <w:rPr>
          <w:szCs w:val="28"/>
        </w:rPr>
        <w:t xml:space="preserve">faktiskajai </w:t>
      </w:r>
      <w:r w:rsidRPr="009877DD">
        <w:rPr>
          <w:szCs w:val="28"/>
        </w:rPr>
        <w:t>tirgus situācijai.</w:t>
      </w:r>
    </w:p>
    <w:p w14:paraId="1B78A6BB" w14:textId="77777777" w:rsidR="00C244CE" w:rsidRDefault="00C244CE" w:rsidP="00C244CE">
      <w:pPr>
        <w:pStyle w:val="ListParagraph"/>
        <w:ind w:left="426"/>
        <w:jc w:val="both"/>
        <w:rPr>
          <w:szCs w:val="28"/>
        </w:rPr>
      </w:pPr>
    </w:p>
    <w:p w14:paraId="2CE1A19C" w14:textId="3892D7B8" w:rsidR="00C244CE" w:rsidRPr="00C244CE" w:rsidRDefault="00C244CE" w:rsidP="00C244CE">
      <w:pPr>
        <w:pStyle w:val="ListParagraph"/>
        <w:ind w:left="426"/>
        <w:jc w:val="both"/>
        <w:rPr>
          <w:szCs w:val="28"/>
        </w:rPr>
      </w:pPr>
      <w:r>
        <w:rPr>
          <w:szCs w:val="28"/>
        </w:rPr>
        <w:t>56</w:t>
      </w:r>
      <w:r w:rsidRPr="00C244CE">
        <w:rPr>
          <w:szCs w:val="28"/>
        </w:rPr>
        <w:t>.</w:t>
      </w:r>
      <w:r w:rsidRPr="00C244CE">
        <w:rPr>
          <w:szCs w:val="28"/>
          <w:vertAlign w:val="superscript"/>
        </w:rPr>
        <w:t>13</w:t>
      </w:r>
      <w:r w:rsidRPr="00C244CE">
        <w:rPr>
          <w:szCs w:val="28"/>
        </w:rPr>
        <w:t xml:space="preserve"> Cenas diferencēšanas koeficientu </w:t>
      </w:r>
      <w:proofErr w:type="spellStart"/>
      <w:r w:rsidRPr="00C244CE">
        <w:rPr>
          <w:szCs w:val="28"/>
        </w:rPr>
        <w:t>pārkompensācijas</w:t>
      </w:r>
      <w:proofErr w:type="spellEnd"/>
      <w:r w:rsidRPr="00C244CE">
        <w:rPr>
          <w:szCs w:val="28"/>
        </w:rPr>
        <w:t xml:space="preserve"> novēršanai </w:t>
      </w:r>
      <w:r w:rsidRPr="00C244CE">
        <w:rPr>
          <w:i/>
          <w:szCs w:val="28"/>
        </w:rPr>
        <w:t>s</w:t>
      </w:r>
      <w:r w:rsidRPr="00C244CE">
        <w:rPr>
          <w:szCs w:val="28"/>
        </w:rPr>
        <w:t xml:space="preserve"> aprēķina ar pakāpeniskām iterācijām, izmantojot iekšējās peļņas normas aprēķinu.</w:t>
      </w:r>
    </w:p>
    <w:p w14:paraId="67019C3C" w14:textId="77777777" w:rsidR="00C244CE" w:rsidRPr="00C244CE" w:rsidRDefault="00C244CE" w:rsidP="00C244CE">
      <w:pPr>
        <w:pStyle w:val="ListParagraph"/>
        <w:ind w:left="426"/>
        <w:jc w:val="both"/>
        <w:rPr>
          <w:szCs w:val="28"/>
        </w:rPr>
      </w:pPr>
    </w:p>
    <w:p w14:paraId="43D39D56" w14:textId="64B5B732" w:rsidR="00C244CE" w:rsidRPr="00C244CE" w:rsidRDefault="00C244CE" w:rsidP="00C244CE">
      <w:pPr>
        <w:pStyle w:val="ListParagraph"/>
        <w:ind w:left="426"/>
        <w:jc w:val="both"/>
        <w:rPr>
          <w:szCs w:val="28"/>
        </w:rPr>
      </w:pPr>
      <w:r>
        <w:rPr>
          <w:szCs w:val="28"/>
        </w:rPr>
        <w:t>56</w:t>
      </w:r>
      <w:r w:rsidRPr="00C244CE">
        <w:rPr>
          <w:szCs w:val="28"/>
        </w:rPr>
        <w:t>.</w:t>
      </w:r>
      <w:r w:rsidRPr="00C244CE">
        <w:rPr>
          <w:szCs w:val="28"/>
          <w:vertAlign w:val="superscript"/>
        </w:rPr>
        <w:t>1</w:t>
      </w:r>
      <w:r>
        <w:rPr>
          <w:szCs w:val="28"/>
          <w:vertAlign w:val="superscript"/>
        </w:rPr>
        <w:t>4</w:t>
      </w:r>
      <w:r w:rsidRPr="00C244CE">
        <w:rPr>
          <w:szCs w:val="28"/>
        </w:rPr>
        <w:t xml:space="preserve"> Cenas diferencēšanas koeficientu </w:t>
      </w:r>
      <w:proofErr w:type="spellStart"/>
      <w:r w:rsidRPr="00C244CE">
        <w:rPr>
          <w:szCs w:val="28"/>
        </w:rPr>
        <w:t>pārkompensācijas</w:t>
      </w:r>
      <w:proofErr w:type="spellEnd"/>
      <w:r w:rsidRPr="00C244CE">
        <w:rPr>
          <w:szCs w:val="28"/>
        </w:rPr>
        <w:t xml:space="preserve"> novēršanai s nosaka tādā līmenī, lai elektrostacijas kopējo kapitālieguldījumu iekšējā peļņas norma visam atbalsta periodam nepārsniedz 9%, aprēķinot to katrai komersanta elektrostacijai individuāli ar precizitāti līdz tūkstošdaļai.</w:t>
      </w:r>
    </w:p>
    <w:p w14:paraId="2847C988" w14:textId="77777777" w:rsidR="00C244CE" w:rsidRPr="00C244CE" w:rsidRDefault="00C244CE" w:rsidP="00C244CE">
      <w:pPr>
        <w:pStyle w:val="ListParagraph"/>
        <w:ind w:left="426"/>
        <w:jc w:val="both"/>
        <w:rPr>
          <w:szCs w:val="28"/>
        </w:rPr>
      </w:pPr>
    </w:p>
    <w:p w14:paraId="650B1F5A" w14:textId="5348D616" w:rsidR="00C244CE" w:rsidRPr="00C244CE" w:rsidRDefault="00C244CE" w:rsidP="00C244CE">
      <w:pPr>
        <w:pStyle w:val="ListParagraph"/>
        <w:ind w:left="426"/>
        <w:jc w:val="both"/>
        <w:rPr>
          <w:szCs w:val="28"/>
        </w:rPr>
      </w:pPr>
      <w:r>
        <w:rPr>
          <w:szCs w:val="28"/>
        </w:rPr>
        <w:t>56</w:t>
      </w:r>
      <w:r w:rsidRPr="00C244CE">
        <w:rPr>
          <w:szCs w:val="28"/>
        </w:rPr>
        <w:t>.</w:t>
      </w:r>
      <w:r w:rsidRPr="00C244CE">
        <w:rPr>
          <w:szCs w:val="28"/>
          <w:vertAlign w:val="superscript"/>
        </w:rPr>
        <w:t>1</w:t>
      </w:r>
      <w:r>
        <w:rPr>
          <w:szCs w:val="28"/>
          <w:vertAlign w:val="superscript"/>
        </w:rPr>
        <w:t>5</w:t>
      </w:r>
      <w:r w:rsidRPr="00C244CE">
        <w:rPr>
          <w:szCs w:val="28"/>
        </w:rPr>
        <w:t xml:space="preserve">  Ministrija, veicot cenas diferencēšanas koeficienta </w:t>
      </w:r>
      <w:proofErr w:type="spellStart"/>
      <w:r w:rsidRPr="00C244CE">
        <w:rPr>
          <w:szCs w:val="28"/>
        </w:rPr>
        <w:t>pārkompensācijas</w:t>
      </w:r>
      <w:proofErr w:type="spellEnd"/>
      <w:r w:rsidRPr="00C244CE">
        <w:rPr>
          <w:szCs w:val="28"/>
        </w:rPr>
        <w:t xml:space="preserve"> novēršanai </w:t>
      </w:r>
      <w:r w:rsidRPr="00C244CE">
        <w:rPr>
          <w:i/>
          <w:szCs w:val="28"/>
        </w:rPr>
        <w:t>s</w:t>
      </w:r>
      <w:r w:rsidRPr="00C244CE">
        <w:rPr>
          <w:szCs w:val="28"/>
        </w:rPr>
        <w:t xml:space="preserve"> aprēķinu, ņem vērā tā piemērošanas sākuma datumu saskaņā ar šo noteikumu 56.</w:t>
      </w:r>
      <w:r w:rsidRPr="00C244CE">
        <w:rPr>
          <w:szCs w:val="28"/>
          <w:vertAlign w:val="superscript"/>
        </w:rPr>
        <w:t>8</w:t>
      </w:r>
      <w:r w:rsidRPr="00C244CE">
        <w:rPr>
          <w:szCs w:val="28"/>
        </w:rPr>
        <w:t xml:space="preserve"> punktu.</w:t>
      </w:r>
    </w:p>
    <w:p w14:paraId="76BE9B54" w14:textId="77777777" w:rsidR="00C244CE" w:rsidRPr="00C244CE" w:rsidRDefault="00C244CE" w:rsidP="00C244CE">
      <w:pPr>
        <w:pStyle w:val="ListParagraph"/>
        <w:ind w:left="426"/>
        <w:jc w:val="both"/>
        <w:rPr>
          <w:szCs w:val="28"/>
        </w:rPr>
      </w:pPr>
    </w:p>
    <w:p w14:paraId="42FB909E" w14:textId="4E537C62" w:rsidR="008E067B" w:rsidRPr="00BD6296" w:rsidRDefault="00C244CE" w:rsidP="00C244CE">
      <w:pPr>
        <w:pStyle w:val="ListParagraph"/>
        <w:ind w:left="426"/>
        <w:jc w:val="both"/>
        <w:rPr>
          <w:szCs w:val="28"/>
        </w:rPr>
      </w:pPr>
      <w:r>
        <w:rPr>
          <w:szCs w:val="28"/>
        </w:rPr>
        <w:t>56</w:t>
      </w:r>
      <w:r w:rsidRPr="00C244CE">
        <w:rPr>
          <w:szCs w:val="28"/>
        </w:rPr>
        <w:t>.</w:t>
      </w:r>
      <w:r w:rsidRPr="00C244CE">
        <w:rPr>
          <w:szCs w:val="28"/>
          <w:vertAlign w:val="superscript"/>
        </w:rPr>
        <w:t>1</w:t>
      </w:r>
      <w:r>
        <w:rPr>
          <w:szCs w:val="28"/>
          <w:vertAlign w:val="superscript"/>
        </w:rPr>
        <w:t>6</w:t>
      </w:r>
      <w:r w:rsidRPr="00C244CE">
        <w:rPr>
          <w:szCs w:val="28"/>
        </w:rPr>
        <w:t xml:space="preserve">  Zvērināts revidents, veicot šo noteikumu 56.</w:t>
      </w:r>
      <w:r w:rsidRPr="00C244CE">
        <w:rPr>
          <w:szCs w:val="28"/>
          <w:vertAlign w:val="superscript"/>
        </w:rPr>
        <w:t>6</w:t>
      </w:r>
      <w:r w:rsidRPr="00C244CE">
        <w:rPr>
          <w:szCs w:val="28"/>
        </w:rPr>
        <w:t xml:space="preserve"> punktā minēto cenas diferencēšanas koeficienta </w:t>
      </w:r>
      <w:proofErr w:type="spellStart"/>
      <w:r w:rsidRPr="00C244CE">
        <w:rPr>
          <w:szCs w:val="28"/>
        </w:rPr>
        <w:t>pārkompensācijas</w:t>
      </w:r>
      <w:proofErr w:type="spellEnd"/>
      <w:r w:rsidRPr="00C244CE">
        <w:rPr>
          <w:szCs w:val="28"/>
        </w:rPr>
        <w:t xml:space="preserve"> novēršanai </w:t>
      </w:r>
      <w:r w:rsidRPr="00C244CE">
        <w:rPr>
          <w:i/>
          <w:szCs w:val="28"/>
        </w:rPr>
        <w:t>s</w:t>
      </w:r>
      <w:r w:rsidRPr="00C244CE">
        <w:rPr>
          <w:szCs w:val="28"/>
        </w:rPr>
        <w:t xml:space="preserve"> aprēķinu, nosaka tā piemērošanas sākuma datumu, ņemot vērā, ka tas ir trešā pilnā kalendārā mēneša pirmais datums no dienas, kad attiecīgais</w:t>
      </w:r>
      <w:r>
        <w:rPr>
          <w:szCs w:val="28"/>
        </w:rPr>
        <w:t xml:space="preserve"> aprēķins iesniegts ministrijā.”</w:t>
      </w:r>
    </w:p>
    <w:p w14:paraId="47E7C794" w14:textId="77777777" w:rsidR="008E067B" w:rsidRPr="00BD6296" w:rsidRDefault="008E067B" w:rsidP="00BD6296">
      <w:pPr>
        <w:pStyle w:val="ListParagraph"/>
        <w:jc w:val="both"/>
        <w:rPr>
          <w:szCs w:val="28"/>
        </w:rPr>
      </w:pPr>
    </w:p>
    <w:p w14:paraId="5E34BE95" w14:textId="068828A9" w:rsidR="009F59B8"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14. </w:t>
      </w:r>
      <w:r w:rsidR="008E067B" w:rsidRPr="00BD6296">
        <w:rPr>
          <w:sz w:val="28"/>
          <w:szCs w:val="28"/>
        </w:rPr>
        <w:t>Papildināt noteikumus ar 84.punktu šādā redakcijā:</w:t>
      </w:r>
      <w:r w:rsidR="00553B7F" w:rsidRPr="00BD6296">
        <w:rPr>
          <w:sz w:val="28"/>
          <w:szCs w:val="28"/>
        </w:rPr>
        <w:t xml:space="preserve"> </w:t>
      </w:r>
    </w:p>
    <w:p w14:paraId="79D829BA" w14:textId="77777777" w:rsidR="008C31A6" w:rsidRPr="00BD6296" w:rsidRDefault="008C31A6" w:rsidP="008C31A6">
      <w:pPr>
        <w:pStyle w:val="NormalWeb"/>
        <w:shd w:val="clear" w:color="auto" w:fill="FFFFFF"/>
        <w:tabs>
          <w:tab w:val="left" w:pos="426"/>
        </w:tabs>
        <w:spacing w:before="0" w:beforeAutospacing="0" w:after="0" w:afterAutospacing="0"/>
        <w:ind w:left="426"/>
        <w:jc w:val="both"/>
        <w:rPr>
          <w:sz w:val="28"/>
          <w:szCs w:val="28"/>
        </w:rPr>
      </w:pPr>
    </w:p>
    <w:p w14:paraId="799829DD" w14:textId="7F16BE71" w:rsidR="008E067B" w:rsidRPr="00BD6296" w:rsidRDefault="00553B7F" w:rsidP="00BD6296">
      <w:pPr>
        <w:pStyle w:val="NormalWeb"/>
        <w:shd w:val="clear" w:color="auto" w:fill="FFFFFF"/>
        <w:tabs>
          <w:tab w:val="left" w:pos="426"/>
        </w:tabs>
        <w:spacing w:before="0" w:beforeAutospacing="0" w:after="0" w:afterAutospacing="0"/>
        <w:ind w:left="426"/>
        <w:jc w:val="both"/>
        <w:rPr>
          <w:sz w:val="28"/>
          <w:szCs w:val="28"/>
        </w:rPr>
      </w:pPr>
      <w:r w:rsidRPr="00BD6296">
        <w:rPr>
          <w:sz w:val="28"/>
          <w:szCs w:val="28"/>
        </w:rPr>
        <w:t>“</w:t>
      </w:r>
      <w:r w:rsidR="009F59B8" w:rsidRPr="00BD6296">
        <w:rPr>
          <w:sz w:val="28"/>
          <w:szCs w:val="28"/>
        </w:rPr>
        <w:t xml:space="preserve">84. </w:t>
      </w:r>
      <w:r w:rsidRPr="00BD6296">
        <w:rPr>
          <w:sz w:val="28"/>
          <w:szCs w:val="28"/>
        </w:rPr>
        <w:t>Šo noteikumu IV</w:t>
      </w:r>
      <w:r w:rsidR="004963BC">
        <w:rPr>
          <w:sz w:val="28"/>
          <w:szCs w:val="28"/>
          <w:vertAlign w:val="superscript"/>
        </w:rPr>
        <w:t>1</w:t>
      </w:r>
      <w:r w:rsidRPr="00BD6296">
        <w:rPr>
          <w:sz w:val="28"/>
          <w:szCs w:val="28"/>
        </w:rPr>
        <w:t>. nodaļā minētās prasības ir attiecināmas arī uz k</w:t>
      </w:r>
      <w:r w:rsidRPr="00BD6296">
        <w:rPr>
          <w:sz w:val="28"/>
          <w:szCs w:val="28"/>
          <w:shd w:val="clear" w:color="auto" w:fill="FFFFFF"/>
        </w:rPr>
        <w:t>omersantiem, kuriem tiesības pārdot koģenerācijas elektrostacijā saražoto elektroenerģiju obligātā iepirkuma ietvaros piešķirtas ar lēmumiem, ko ministrija izdevusi saskaņā ar Ministru kabineta 2006.gada 6.novembra noteikumiem Nr.921 “</w:t>
      </w:r>
      <w:hyperlink r:id="rId9" w:tgtFrame="_blank" w:history="1">
        <w:r w:rsidRPr="00180FFB">
          <w:rPr>
            <w:rStyle w:val="Hyperlink"/>
            <w:color w:val="auto"/>
            <w:sz w:val="28"/>
            <w:szCs w:val="28"/>
            <w:u w:val="none"/>
            <w:shd w:val="clear" w:color="auto" w:fill="FFFFFF"/>
          </w:rPr>
          <w:t>Noteikumi par elektroenerģijas ražošanu koģenerācijā</w:t>
        </w:r>
      </w:hyperlink>
      <w:r w:rsidRPr="00BD6296">
        <w:rPr>
          <w:sz w:val="28"/>
          <w:szCs w:val="28"/>
        </w:rPr>
        <w:t>.”</w:t>
      </w:r>
    </w:p>
    <w:p w14:paraId="46CEDA44" w14:textId="77777777" w:rsidR="00553B7F" w:rsidRPr="00BD6296" w:rsidRDefault="00553B7F" w:rsidP="00BD6296">
      <w:pPr>
        <w:pStyle w:val="NormalWeb"/>
        <w:shd w:val="clear" w:color="auto" w:fill="FFFFFF"/>
        <w:tabs>
          <w:tab w:val="left" w:pos="426"/>
        </w:tabs>
        <w:spacing w:before="0" w:beforeAutospacing="0" w:after="0" w:afterAutospacing="0"/>
        <w:ind w:left="426"/>
        <w:jc w:val="both"/>
        <w:rPr>
          <w:sz w:val="28"/>
          <w:szCs w:val="28"/>
        </w:rPr>
      </w:pPr>
    </w:p>
    <w:p w14:paraId="027CD459" w14:textId="588F24EB" w:rsidR="009F59B8"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15. </w:t>
      </w:r>
      <w:r w:rsidR="00553B7F" w:rsidRPr="00BD6296">
        <w:rPr>
          <w:sz w:val="28"/>
          <w:szCs w:val="28"/>
        </w:rPr>
        <w:t xml:space="preserve">Papildināt noteikumus ar 85.punktu šādā redakcijā: </w:t>
      </w:r>
    </w:p>
    <w:p w14:paraId="74A206FF" w14:textId="77777777" w:rsidR="00180FFB" w:rsidRPr="00BD6296" w:rsidRDefault="00180FFB" w:rsidP="00180FFB">
      <w:pPr>
        <w:pStyle w:val="NormalWeb"/>
        <w:shd w:val="clear" w:color="auto" w:fill="FFFFFF"/>
        <w:tabs>
          <w:tab w:val="left" w:pos="426"/>
        </w:tabs>
        <w:spacing w:before="0" w:beforeAutospacing="0" w:after="0" w:afterAutospacing="0"/>
        <w:ind w:left="426"/>
        <w:jc w:val="both"/>
        <w:rPr>
          <w:sz w:val="28"/>
          <w:szCs w:val="28"/>
        </w:rPr>
      </w:pPr>
    </w:p>
    <w:p w14:paraId="4B98FA80" w14:textId="771C53D4" w:rsidR="00553B7F" w:rsidRPr="00BD6296" w:rsidRDefault="00553B7F" w:rsidP="00BD6296">
      <w:pPr>
        <w:pStyle w:val="NormalWeb"/>
        <w:shd w:val="clear" w:color="auto" w:fill="FFFFFF"/>
        <w:tabs>
          <w:tab w:val="left" w:pos="426"/>
        </w:tabs>
        <w:spacing w:before="0" w:beforeAutospacing="0" w:after="0" w:afterAutospacing="0"/>
        <w:ind w:left="426"/>
        <w:jc w:val="both"/>
        <w:rPr>
          <w:sz w:val="28"/>
          <w:szCs w:val="28"/>
        </w:rPr>
      </w:pPr>
      <w:r w:rsidRPr="00BD6296">
        <w:rPr>
          <w:sz w:val="28"/>
          <w:szCs w:val="28"/>
        </w:rPr>
        <w:t>“</w:t>
      </w:r>
      <w:r w:rsidR="009F59B8" w:rsidRPr="00BD6296">
        <w:rPr>
          <w:sz w:val="28"/>
          <w:szCs w:val="28"/>
        </w:rPr>
        <w:t xml:space="preserve">85. </w:t>
      </w:r>
      <w:r w:rsidRPr="00BD6296">
        <w:rPr>
          <w:sz w:val="28"/>
        </w:rPr>
        <w:t>Ja elektroenerģijas ražotājs par koģenerācijas staciju ar jaudu, kas nepārsniedz četrus megavatus, izmanto tiesības, kas piešķirtas saskaņā ar Elektroenerģijas tirgus likuma 28. pantu, vismaz piecus pilnus kalendāra gadus līdz šo noteikumu I</w:t>
      </w:r>
      <w:r w:rsidRPr="00BD6296">
        <w:rPr>
          <w:sz w:val="28"/>
          <w:szCs w:val="28"/>
        </w:rPr>
        <w:t>V</w:t>
      </w:r>
      <w:r w:rsidR="004963BC">
        <w:rPr>
          <w:sz w:val="28"/>
          <w:szCs w:val="28"/>
          <w:vertAlign w:val="superscript"/>
        </w:rPr>
        <w:t>1</w:t>
      </w:r>
      <w:r w:rsidRPr="00BD6296">
        <w:rPr>
          <w:sz w:val="28"/>
          <w:szCs w:val="28"/>
        </w:rPr>
        <w:t>. nodaļas spēkā stāšanās dienai, ministrija veic šo noteikumu IV</w:t>
      </w:r>
      <w:r w:rsidR="004963BC">
        <w:rPr>
          <w:sz w:val="28"/>
          <w:szCs w:val="28"/>
          <w:vertAlign w:val="superscript"/>
        </w:rPr>
        <w:t>1</w:t>
      </w:r>
      <w:r w:rsidRPr="00BD6296">
        <w:rPr>
          <w:sz w:val="28"/>
          <w:szCs w:val="28"/>
        </w:rPr>
        <w:t>. nodaļā minētās darbības divu mēnešu laikā pēc šo noteikumu IV</w:t>
      </w:r>
      <w:r w:rsidR="004963BC">
        <w:rPr>
          <w:sz w:val="28"/>
          <w:szCs w:val="28"/>
          <w:vertAlign w:val="superscript"/>
        </w:rPr>
        <w:t>1</w:t>
      </w:r>
      <w:r w:rsidRPr="00BD6296">
        <w:rPr>
          <w:sz w:val="28"/>
          <w:szCs w:val="28"/>
        </w:rPr>
        <w:t>. nodaļas spēkā stāšanās dienas.”</w:t>
      </w:r>
    </w:p>
    <w:p w14:paraId="517C922A" w14:textId="77777777" w:rsidR="008E067B" w:rsidRPr="00BD6296" w:rsidRDefault="008E067B" w:rsidP="00BD6296">
      <w:pPr>
        <w:pStyle w:val="NormalWeb"/>
        <w:shd w:val="clear" w:color="auto" w:fill="FFFFFF"/>
        <w:tabs>
          <w:tab w:val="left" w:pos="426"/>
        </w:tabs>
        <w:spacing w:before="0" w:beforeAutospacing="0" w:after="0" w:afterAutospacing="0"/>
        <w:ind w:left="426"/>
        <w:jc w:val="both"/>
        <w:rPr>
          <w:sz w:val="28"/>
          <w:szCs w:val="28"/>
        </w:rPr>
      </w:pPr>
    </w:p>
    <w:p w14:paraId="46621A17" w14:textId="78510DE6" w:rsidR="009F59B8" w:rsidRDefault="003C419B" w:rsidP="003C419B">
      <w:pPr>
        <w:pStyle w:val="NormalWeb"/>
        <w:shd w:val="clear" w:color="auto" w:fill="FFFFFF"/>
        <w:tabs>
          <w:tab w:val="left" w:pos="426"/>
        </w:tabs>
        <w:spacing w:before="0" w:beforeAutospacing="0" w:after="0" w:afterAutospacing="0"/>
        <w:jc w:val="both"/>
        <w:rPr>
          <w:sz w:val="28"/>
          <w:szCs w:val="28"/>
        </w:rPr>
      </w:pPr>
      <w:r>
        <w:rPr>
          <w:sz w:val="28"/>
          <w:szCs w:val="28"/>
        </w:rPr>
        <w:t xml:space="preserve">16. </w:t>
      </w:r>
      <w:r w:rsidR="00553B7F" w:rsidRPr="00BD6296">
        <w:rPr>
          <w:sz w:val="28"/>
          <w:szCs w:val="28"/>
        </w:rPr>
        <w:t xml:space="preserve">Papildināt noteikumus ar 86.punktu šādā redakcijā: </w:t>
      </w:r>
    </w:p>
    <w:p w14:paraId="06F36811" w14:textId="77777777" w:rsidR="00180FFB" w:rsidRPr="00BD6296" w:rsidRDefault="00180FFB" w:rsidP="00180FFB">
      <w:pPr>
        <w:pStyle w:val="NormalWeb"/>
        <w:shd w:val="clear" w:color="auto" w:fill="FFFFFF"/>
        <w:tabs>
          <w:tab w:val="left" w:pos="426"/>
        </w:tabs>
        <w:spacing w:before="0" w:beforeAutospacing="0" w:after="0" w:afterAutospacing="0"/>
        <w:ind w:left="426"/>
        <w:jc w:val="both"/>
        <w:rPr>
          <w:sz w:val="28"/>
          <w:szCs w:val="28"/>
        </w:rPr>
      </w:pPr>
    </w:p>
    <w:p w14:paraId="756B8228" w14:textId="2A2A07AD" w:rsidR="008E067B" w:rsidRPr="007132F2" w:rsidRDefault="00553B7F" w:rsidP="00BD6296">
      <w:pPr>
        <w:pStyle w:val="NormalWeb"/>
        <w:shd w:val="clear" w:color="auto" w:fill="FFFFFF"/>
        <w:tabs>
          <w:tab w:val="left" w:pos="426"/>
        </w:tabs>
        <w:spacing w:before="0" w:beforeAutospacing="0" w:after="0" w:afterAutospacing="0"/>
        <w:ind w:left="426"/>
        <w:jc w:val="both"/>
        <w:rPr>
          <w:sz w:val="28"/>
          <w:szCs w:val="28"/>
        </w:rPr>
      </w:pPr>
      <w:r w:rsidRPr="00BD6296">
        <w:rPr>
          <w:sz w:val="28"/>
          <w:szCs w:val="28"/>
        </w:rPr>
        <w:t>“</w:t>
      </w:r>
      <w:r w:rsidR="009F59B8" w:rsidRPr="00BD6296">
        <w:rPr>
          <w:sz w:val="28"/>
          <w:szCs w:val="28"/>
        </w:rPr>
        <w:t xml:space="preserve">86. </w:t>
      </w:r>
      <w:r w:rsidRPr="00BD6296">
        <w:rPr>
          <w:sz w:val="28"/>
          <w:szCs w:val="28"/>
        </w:rPr>
        <w:t xml:space="preserve">Šo noteikumu 85. punkta prasības nepiemēro, ja </w:t>
      </w:r>
      <w:r w:rsidRPr="00BD6296">
        <w:rPr>
          <w:sz w:val="28"/>
        </w:rPr>
        <w:t xml:space="preserve">elektroenerģijas ražotāja tiesību, kas piešķirtas </w:t>
      </w:r>
      <w:r w:rsidRPr="007132F2">
        <w:rPr>
          <w:sz w:val="28"/>
          <w:szCs w:val="28"/>
        </w:rPr>
        <w:t>saskaņā ar Elektroenerģijas tirgus likuma 28. pantu, par koģenerācijas staciju ar jaudu, kas nepārsniedz četrus megavatus, izmantošanas termiņš beidzas līdz 2017.gada 31.decembrim.”</w:t>
      </w:r>
    </w:p>
    <w:p w14:paraId="1CEE0FDC" w14:textId="77777777" w:rsidR="00553B7F" w:rsidRPr="00BD6296" w:rsidRDefault="00553B7F" w:rsidP="00553B7F">
      <w:pPr>
        <w:pStyle w:val="NormalWeb"/>
        <w:shd w:val="clear" w:color="auto" w:fill="FFFFFF"/>
        <w:tabs>
          <w:tab w:val="left" w:pos="426"/>
        </w:tabs>
        <w:spacing w:before="0" w:beforeAutospacing="0" w:after="0" w:afterAutospacing="0"/>
        <w:jc w:val="both"/>
        <w:rPr>
          <w:sz w:val="28"/>
          <w:szCs w:val="28"/>
        </w:rPr>
      </w:pPr>
    </w:p>
    <w:p w14:paraId="3FC1EBFD" w14:textId="5A408592" w:rsidR="00A37BAA"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17. </w:t>
      </w:r>
      <w:r w:rsidR="00380645" w:rsidRPr="003C419B">
        <w:rPr>
          <w:rFonts w:eastAsia="Times New Roman" w:cs="Times New Roman"/>
          <w:iCs/>
          <w:szCs w:val="28"/>
          <w:lang w:eastAsia="lv-LV"/>
        </w:rPr>
        <w:t xml:space="preserve">Izteikt </w:t>
      </w:r>
      <w:r w:rsidR="00553B7F" w:rsidRPr="003C419B">
        <w:rPr>
          <w:rFonts w:eastAsia="Times New Roman" w:cs="Times New Roman"/>
          <w:iCs/>
          <w:szCs w:val="28"/>
          <w:lang w:eastAsia="lv-LV"/>
        </w:rPr>
        <w:t>5</w:t>
      </w:r>
      <w:r w:rsidR="00A80494" w:rsidRPr="003C419B">
        <w:rPr>
          <w:rFonts w:eastAsia="Times New Roman" w:cs="Times New Roman"/>
          <w:iCs/>
          <w:szCs w:val="28"/>
          <w:lang w:eastAsia="lv-LV"/>
        </w:rPr>
        <w:t>.pielikuma I nodaļas tabulas</w:t>
      </w:r>
      <w:r w:rsidR="00380645" w:rsidRPr="003C419B">
        <w:rPr>
          <w:rFonts w:eastAsia="Times New Roman" w:cs="Times New Roman"/>
          <w:iCs/>
          <w:szCs w:val="28"/>
          <w:lang w:eastAsia="lv-LV"/>
        </w:rPr>
        <w:t xml:space="preserve"> </w:t>
      </w:r>
      <w:r w:rsidR="00553B7F" w:rsidRPr="003C419B">
        <w:rPr>
          <w:rFonts w:eastAsia="Times New Roman" w:cs="Times New Roman"/>
          <w:iCs/>
          <w:szCs w:val="28"/>
          <w:lang w:eastAsia="lv-LV"/>
        </w:rPr>
        <w:t>8.</w:t>
      </w:r>
      <w:r w:rsidR="00380645" w:rsidRPr="003C419B">
        <w:rPr>
          <w:rFonts w:eastAsia="Times New Roman" w:cs="Times New Roman"/>
          <w:iCs/>
          <w:szCs w:val="28"/>
          <w:lang w:eastAsia="lv-LV"/>
        </w:rPr>
        <w:t>rindu šādā redakcijā:</w:t>
      </w:r>
    </w:p>
    <w:p w14:paraId="56BA6D71" w14:textId="77777777" w:rsidR="00C859D3" w:rsidRPr="00BD6296" w:rsidRDefault="00C859D3" w:rsidP="00380645">
      <w:pPr>
        <w:pStyle w:val="ListParagraph"/>
        <w:rPr>
          <w:rFonts w:eastAsia="Times New Roman" w:cs="Times New Roman"/>
          <w:iCs/>
          <w:szCs w:val="28"/>
          <w:lang w:eastAsia="lv-LV"/>
        </w:rPr>
      </w:pPr>
    </w:p>
    <w:tbl>
      <w:tblPr>
        <w:tblW w:w="9324" w:type="dxa"/>
        <w:tblInd w:w="-15" w:type="dxa"/>
        <w:tblLook w:val="04A0" w:firstRow="1" w:lastRow="0" w:firstColumn="1" w:lastColumn="0" w:noHBand="0" w:noVBand="1"/>
      </w:tblPr>
      <w:tblGrid>
        <w:gridCol w:w="639"/>
        <w:gridCol w:w="3706"/>
        <w:gridCol w:w="1302"/>
        <w:gridCol w:w="2717"/>
        <w:gridCol w:w="960"/>
      </w:tblGrid>
      <w:tr w:rsidR="001C155B" w:rsidRPr="00BD6296" w14:paraId="0AE30077" w14:textId="77777777" w:rsidTr="00C859D3">
        <w:trPr>
          <w:trHeight w:val="58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DC222" w14:textId="77777777" w:rsidR="001C155B" w:rsidRPr="00BD6296" w:rsidRDefault="001C155B" w:rsidP="002043DE">
            <w:pPr>
              <w:jc w:val="center"/>
              <w:rPr>
                <w:rFonts w:eastAsia="Times New Roman" w:cs="Times New Roman"/>
                <w:sz w:val="24"/>
                <w:szCs w:val="24"/>
                <w:lang w:eastAsia="lv-LV"/>
              </w:rPr>
            </w:pPr>
            <w:r w:rsidRPr="00BD6296">
              <w:rPr>
                <w:rFonts w:eastAsia="Times New Roman" w:cs="Times New Roman"/>
                <w:sz w:val="24"/>
                <w:szCs w:val="24"/>
                <w:lang w:eastAsia="lv-LV"/>
              </w:rPr>
              <w:t>6.2.</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6F30" w14:textId="77777777" w:rsidR="001C155B" w:rsidRPr="00BD6296" w:rsidRDefault="001C155B" w:rsidP="002043DE">
            <w:pPr>
              <w:rPr>
                <w:rFonts w:eastAsia="Times New Roman" w:cs="Times New Roman"/>
                <w:bCs/>
                <w:sz w:val="24"/>
                <w:szCs w:val="24"/>
                <w:lang w:eastAsia="lv-LV"/>
              </w:rPr>
            </w:pPr>
            <w:r w:rsidRPr="00BD6296">
              <w:rPr>
                <w:rFonts w:eastAsia="Times New Roman" w:cs="Times New Roman"/>
                <w:bCs/>
                <w:sz w:val="24"/>
                <w:szCs w:val="24"/>
                <w:lang w:eastAsia="lv-LV"/>
              </w:rPr>
              <w:t>siltuma (MW)</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F604D" w14:textId="4A751C3A" w:rsidR="001C155B" w:rsidRPr="00C859D3" w:rsidRDefault="007C642B" w:rsidP="007C642B">
            <w:pPr>
              <w:rPr>
                <w:rFonts w:eastAsia="Times New Roman" w:cs="Times New Roman"/>
                <w:bCs/>
                <w:iCs/>
                <w:sz w:val="24"/>
                <w:szCs w:val="28"/>
                <w:lang w:eastAsia="lv-LV"/>
              </w:rPr>
            </w:pPr>
            <w:r>
              <w:rPr>
                <w:rFonts w:eastAsia="Times New Roman" w:cs="Times New Roman"/>
                <w:bCs/>
                <w:iCs/>
                <w:sz w:val="24"/>
                <w:szCs w:val="28"/>
                <w:lang w:eastAsia="lv-LV"/>
              </w:rPr>
              <w:t>b</w:t>
            </w:r>
            <w:r w:rsidR="001C155B" w:rsidRPr="00C859D3">
              <w:rPr>
                <w:rFonts w:eastAsia="Times New Roman" w:cs="Times New Roman"/>
                <w:bCs/>
                <w:iCs/>
                <w:sz w:val="24"/>
                <w:szCs w:val="28"/>
                <w:lang w:eastAsia="lv-LV"/>
              </w:rPr>
              <w:t>ruto</w:t>
            </w:r>
            <w:r>
              <w:rPr>
                <w:rFonts w:eastAsia="Times New Roman" w:cs="Times New Roman"/>
                <w:bCs/>
                <w:iCs/>
                <w:sz w:val="24"/>
                <w:szCs w:val="28"/>
                <w:vertAlign w:val="superscript"/>
                <w:lang w:eastAsia="lv-LV"/>
              </w:rPr>
              <w:t>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089E37FA" w14:textId="77777777" w:rsidR="001C155B" w:rsidRPr="00BD6296" w:rsidRDefault="001C155B" w:rsidP="002043DE">
            <w:pPr>
              <w:ind w:firstLineChars="100" w:firstLine="280"/>
              <w:rPr>
                <w:rFonts w:eastAsia="Times New Roman" w:cs="Times New Roman"/>
                <w:bCs/>
                <w:i/>
                <w:iCs/>
                <w:szCs w:val="28"/>
                <w:lang w:eastAsia="lv-LV"/>
              </w:rPr>
            </w:pPr>
          </w:p>
        </w:tc>
        <w:tc>
          <w:tcPr>
            <w:tcW w:w="960" w:type="dxa"/>
            <w:tcBorders>
              <w:top w:val="nil"/>
              <w:left w:val="single" w:sz="4" w:space="0" w:color="auto"/>
              <w:bottom w:val="nil"/>
              <w:right w:val="nil"/>
            </w:tcBorders>
            <w:shd w:val="clear" w:color="auto" w:fill="auto"/>
            <w:noWrap/>
            <w:vAlign w:val="bottom"/>
            <w:hideMark/>
          </w:tcPr>
          <w:p w14:paraId="38D628AB" w14:textId="77777777" w:rsidR="001C155B" w:rsidRPr="00BD6296" w:rsidRDefault="001C155B" w:rsidP="002043DE">
            <w:pPr>
              <w:ind w:firstLineChars="100" w:firstLine="280"/>
              <w:rPr>
                <w:rFonts w:eastAsia="Times New Roman" w:cs="Times New Roman"/>
                <w:bCs/>
                <w:i/>
                <w:iCs/>
                <w:szCs w:val="28"/>
                <w:lang w:eastAsia="lv-LV"/>
              </w:rPr>
            </w:pPr>
          </w:p>
        </w:tc>
      </w:tr>
    </w:tbl>
    <w:p w14:paraId="3F4341A4" w14:textId="77777777" w:rsidR="005304FC" w:rsidRPr="00BD6296" w:rsidRDefault="005304FC" w:rsidP="005304FC">
      <w:pPr>
        <w:shd w:val="clear" w:color="auto" w:fill="FFFFFF"/>
        <w:spacing w:line="254" w:lineRule="atLeast"/>
        <w:jc w:val="both"/>
        <w:rPr>
          <w:rFonts w:eastAsia="Times New Roman" w:cs="Times New Roman"/>
          <w:iCs/>
          <w:szCs w:val="28"/>
          <w:lang w:eastAsia="lv-LV"/>
        </w:rPr>
      </w:pPr>
    </w:p>
    <w:p w14:paraId="52B2ADA3" w14:textId="6A3608F5" w:rsidR="00F56087"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18. </w:t>
      </w:r>
      <w:r w:rsidR="00407630" w:rsidRPr="003C419B">
        <w:rPr>
          <w:rFonts w:eastAsia="Times New Roman" w:cs="Times New Roman"/>
          <w:iCs/>
          <w:szCs w:val="28"/>
          <w:lang w:eastAsia="lv-LV"/>
        </w:rPr>
        <w:t>Papildināt 5.pielikuma I nodaļas Piezīmes ar vārdiem šādā redakcijā:</w:t>
      </w:r>
    </w:p>
    <w:p w14:paraId="341656EF" w14:textId="59DA39B7" w:rsidR="00F56087" w:rsidRPr="00BD6296" w:rsidRDefault="00F56087" w:rsidP="008831D9">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szCs w:val="28"/>
          <w:lang w:eastAsia="lv-LV"/>
        </w:rPr>
        <w:t>“</w:t>
      </w:r>
      <w:r w:rsidR="007C642B">
        <w:rPr>
          <w:rFonts w:eastAsia="Times New Roman" w:cs="Times New Roman"/>
          <w:szCs w:val="28"/>
          <w:lang w:eastAsia="lv-LV"/>
        </w:rPr>
        <w:t>3</w:t>
      </w:r>
      <w:r w:rsidRPr="00BD6296">
        <w:rPr>
          <w:rFonts w:eastAsia="Times New Roman" w:cs="Times New Roman"/>
          <w:szCs w:val="28"/>
          <w:lang w:eastAsia="lv-LV"/>
        </w:rPr>
        <w:t>. Koģenerācijas elektrostacijas uzstādītā siltuma jauda, kas atbilst elektrostacijā uzstādīto koģenerācijas iekārtu izgatavotāja not</w:t>
      </w:r>
      <w:r w:rsidR="008831D9">
        <w:rPr>
          <w:rFonts w:eastAsia="Times New Roman" w:cs="Times New Roman"/>
          <w:szCs w:val="28"/>
          <w:lang w:eastAsia="lv-LV"/>
        </w:rPr>
        <w:t xml:space="preserve">eikto bruto </w:t>
      </w:r>
      <w:proofErr w:type="spellStart"/>
      <w:r w:rsidR="008831D9">
        <w:rPr>
          <w:rFonts w:eastAsia="Times New Roman" w:cs="Times New Roman"/>
          <w:szCs w:val="28"/>
          <w:lang w:eastAsia="lv-LV"/>
        </w:rPr>
        <w:t>siltumjaudu</w:t>
      </w:r>
      <w:proofErr w:type="spellEnd"/>
      <w:r w:rsidR="008831D9">
        <w:rPr>
          <w:rFonts w:eastAsia="Times New Roman" w:cs="Times New Roman"/>
          <w:szCs w:val="28"/>
          <w:lang w:eastAsia="lv-LV"/>
        </w:rPr>
        <w:t xml:space="preserve"> summai.</w:t>
      </w:r>
      <w:r w:rsidRPr="00BD6296">
        <w:rPr>
          <w:rFonts w:eastAsia="Times New Roman" w:cs="Times New Roman"/>
          <w:szCs w:val="28"/>
          <w:lang w:eastAsia="lv-LV"/>
        </w:rPr>
        <w:t>”</w:t>
      </w:r>
    </w:p>
    <w:p w14:paraId="53546C1C" w14:textId="7B523B03" w:rsidR="005304FC"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19. </w:t>
      </w:r>
      <w:r w:rsidR="00AC1057" w:rsidRPr="003C419B">
        <w:rPr>
          <w:rFonts w:eastAsia="Times New Roman" w:cs="Times New Roman"/>
          <w:iCs/>
          <w:szCs w:val="28"/>
          <w:lang w:eastAsia="lv-LV"/>
        </w:rPr>
        <w:t>Izteikt</w:t>
      </w:r>
      <w:r w:rsidR="00E350DE" w:rsidRPr="003C419B">
        <w:rPr>
          <w:rFonts w:eastAsia="Times New Roman" w:cs="Times New Roman"/>
          <w:iCs/>
          <w:szCs w:val="28"/>
          <w:lang w:eastAsia="lv-LV"/>
        </w:rPr>
        <w:t xml:space="preserve"> 6.pielikum</w:t>
      </w:r>
      <w:r w:rsidR="00EE5027" w:rsidRPr="003C419B">
        <w:rPr>
          <w:rFonts w:eastAsia="Times New Roman" w:cs="Times New Roman"/>
          <w:iCs/>
          <w:szCs w:val="28"/>
          <w:lang w:eastAsia="lv-LV"/>
        </w:rPr>
        <w:t>u</w:t>
      </w:r>
      <w:r w:rsidR="00E350DE" w:rsidRPr="003C419B">
        <w:rPr>
          <w:rFonts w:eastAsia="Times New Roman" w:cs="Times New Roman"/>
          <w:iCs/>
          <w:szCs w:val="28"/>
          <w:lang w:eastAsia="lv-LV"/>
        </w:rPr>
        <w:t xml:space="preserve"> </w:t>
      </w:r>
      <w:r w:rsidR="00AC1057" w:rsidRPr="003C419B">
        <w:rPr>
          <w:rFonts w:eastAsia="Times New Roman" w:cs="Times New Roman"/>
          <w:iCs/>
          <w:szCs w:val="28"/>
          <w:lang w:eastAsia="lv-LV"/>
        </w:rPr>
        <w:t>šādā redakcijā:</w:t>
      </w:r>
    </w:p>
    <w:p w14:paraId="573775A3" w14:textId="393CAE76" w:rsidR="0039253F" w:rsidRPr="00EE5027" w:rsidRDefault="00EE5027" w:rsidP="00EE5027">
      <w:pPr>
        <w:shd w:val="clear" w:color="auto" w:fill="FFFFFF"/>
        <w:jc w:val="right"/>
        <w:rPr>
          <w:rFonts w:eastAsia="Times New Roman" w:cs="Times New Roman"/>
          <w:sz w:val="24"/>
          <w:szCs w:val="24"/>
          <w:lang w:eastAsia="lv-LV"/>
        </w:rPr>
      </w:pPr>
      <w:r>
        <w:rPr>
          <w:rFonts w:eastAsia="Times New Roman" w:cs="Times New Roman"/>
          <w:sz w:val="24"/>
          <w:szCs w:val="24"/>
          <w:lang w:eastAsia="lv-LV"/>
        </w:rPr>
        <w:t>“</w:t>
      </w:r>
      <w:r w:rsidR="0039253F" w:rsidRPr="00EE5027">
        <w:rPr>
          <w:rFonts w:eastAsia="Times New Roman" w:cs="Times New Roman"/>
          <w:sz w:val="24"/>
          <w:szCs w:val="24"/>
          <w:lang w:eastAsia="lv-LV"/>
        </w:rPr>
        <w:t xml:space="preserve">6.pielikums </w:t>
      </w:r>
    </w:p>
    <w:p w14:paraId="05A8DA31" w14:textId="77777777" w:rsidR="0039253F" w:rsidRPr="00EE5027" w:rsidRDefault="0039253F" w:rsidP="00EE5027">
      <w:pPr>
        <w:shd w:val="clear" w:color="auto" w:fill="FFFFFF"/>
        <w:jc w:val="right"/>
        <w:rPr>
          <w:rFonts w:eastAsia="Times New Roman" w:cs="Times New Roman"/>
          <w:sz w:val="24"/>
          <w:szCs w:val="24"/>
          <w:lang w:eastAsia="lv-LV"/>
        </w:rPr>
      </w:pPr>
      <w:r w:rsidRPr="00EE5027">
        <w:rPr>
          <w:rFonts w:eastAsia="Times New Roman" w:cs="Times New Roman"/>
          <w:sz w:val="24"/>
          <w:szCs w:val="24"/>
          <w:lang w:eastAsia="lv-LV"/>
        </w:rPr>
        <w:t xml:space="preserve">Ministru kabineta </w:t>
      </w:r>
    </w:p>
    <w:p w14:paraId="39C73376" w14:textId="77777777" w:rsidR="0039253F" w:rsidRPr="0039253F" w:rsidRDefault="0039253F" w:rsidP="00EE5027">
      <w:pPr>
        <w:shd w:val="clear" w:color="auto" w:fill="FFFFFF"/>
        <w:jc w:val="right"/>
        <w:rPr>
          <w:rFonts w:eastAsia="Times New Roman" w:cs="Times New Roman"/>
          <w:iCs/>
          <w:szCs w:val="28"/>
          <w:lang w:eastAsia="lv-LV"/>
        </w:rPr>
      </w:pPr>
      <w:r w:rsidRPr="00EE5027">
        <w:rPr>
          <w:rFonts w:eastAsia="Times New Roman" w:cs="Times New Roman"/>
          <w:sz w:val="24"/>
          <w:szCs w:val="24"/>
          <w:lang w:eastAsia="lv-LV"/>
        </w:rPr>
        <w:t>2009.gada 10.marta noteikumiem Nr.221</w:t>
      </w:r>
    </w:p>
    <w:p w14:paraId="67FDA71A" w14:textId="77777777" w:rsidR="00EE5027" w:rsidRDefault="00EE5027" w:rsidP="0039253F">
      <w:pPr>
        <w:shd w:val="clear" w:color="auto" w:fill="FFFFFF"/>
        <w:jc w:val="center"/>
        <w:rPr>
          <w:rFonts w:eastAsia="Times New Roman" w:cs="Times New Roman"/>
          <w:b/>
          <w:bCs/>
          <w:szCs w:val="28"/>
          <w:lang w:eastAsia="lv-LV"/>
        </w:rPr>
      </w:pPr>
    </w:p>
    <w:p w14:paraId="16200376" w14:textId="0D91455D" w:rsidR="0039253F" w:rsidRPr="0039253F" w:rsidRDefault="0039253F" w:rsidP="0039253F">
      <w:pPr>
        <w:shd w:val="clear" w:color="auto" w:fill="FFFFFF"/>
        <w:jc w:val="center"/>
        <w:rPr>
          <w:rFonts w:eastAsia="Times New Roman" w:cs="Times New Roman"/>
          <w:b/>
          <w:bCs/>
          <w:szCs w:val="28"/>
          <w:lang w:eastAsia="lv-LV"/>
        </w:rPr>
      </w:pPr>
      <w:r w:rsidRPr="0039253F">
        <w:rPr>
          <w:rFonts w:eastAsia="Times New Roman" w:cs="Times New Roman"/>
          <w:b/>
          <w:bCs/>
          <w:szCs w:val="28"/>
          <w:lang w:eastAsia="lv-LV"/>
        </w:rPr>
        <w:t>Koeficient</w:t>
      </w:r>
      <w:r w:rsidR="00EE5027">
        <w:rPr>
          <w:rFonts w:eastAsia="Times New Roman" w:cs="Times New Roman"/>
          <w:b/>
          <w:bCs/>
          <w:szCs w:val="28"/>
          <w:lang w:eastAsia="lv-LV"/>
        </w:rPr>
        <w:t>u</w:t>
      </w:r>
      <w:r w:rsidRPr="0039253F">
        <w:rPr>
          <w:rFonts w:eastAsia="Times New Roman" w:cs="Times New Roman"/>
          <w:b/>
          <w:bCs/>
          <w:szCs w:val="28"/>
          <w:lang w:eastAsia="lv-LV"/>
        </w:rPr>
        <w:t xml:space="preserve"> </w:t>
      </w:r>
      <w:r w:rsidR="00EE5027">
        <w:rPr>
          <w:rFonts w:eastAsia="Times New Roman" w:cs="Times New Roman"/>
          <w:b/>
          <w:bCs/>
          <w:szCs w:val="28"/>
          <w:lang w:eastAsia="lv-LV"/>
        </w:rPr>
        <w:t>K</w:t>
      </w:r>
      <w:r w:rsidR="00EE5027" w:rsidRPr="00EE5027">
        <w:rPr>
          <w:rFonts w:eastAsia="Times New Roman" w:cs="Times New Roman"/>
          <w:b/>
          <w:bCs/>
          <w:szCs w:val="28"/>
          <w:vertAlign w:val="subscript"/>
          <w:lang w:eastAsia="lv-LV"/>
        </w:rPr>
        <w:t>AER</w:t>
      </w:r>
      <w:r w:rsidR="00EE5027">
        <w:rPr>
          <w:rFonts w:eastAsia="Times New Roman" w:cs="Times New Roman"/>
          <w:b/>
          <w:bCs/>
          <w:szCs w:val="28"/>
          <w:lang w:eastAsia="lv-LV"/>
        </w:rPr>
        <w:t xml:space="preserve"> un </w:t>
      </w:r>
      <w:r w:rsidRPr="0039253F">
        <w:rPr>
          <w:rFonts w:eastAsia="Times New Roman" w:cs="Times New Roman"/>
          <w:b/>
          <w:bCs/>
          <w:szCs w:val="28"/>
          <w:lang w:eastAsia="lv-LV"/>
        </w:rPr>
        <w:t>k vērtības un dabasgāzes patēriņa apjoms atkarībā no koģenerācijas elektrostacijā uzstādītās elektriskās jaudas</w:t>
      </w:r>
    </w:p>
    <w:p w14:paraId="0DC28059" w14:textId="77777777" w:rsidR="00E350DE" w:rsidRPr="00E350DE" w:rsidRDefault="00E350DE" w:rsidP="00E350DE">
      <w:pPr>
        <w:shd w:val="clear" w:color="auto" w:fill="FFFFFF"/>
        <w:spacing w:line="254" w:lineRule="atLeast"/>
        <w:jc w:val="both"/>
        <w:rPr>
          <w:rFonts w:eastAsia="Times New Roman" w:cs="Times New Roman"/>
          <w:iCs/>
          <w:szCs w:val="28"/>
          <w:lang w:eastAsia="lv-LV"/>
        </w:rPr>
      </w:pPr>
    </w:p>
    <w:tbl>
      <w:tblPr>
        <w:tblW w:w="462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50"/>
        <w:gridCol w:w="3253"/>
        <w:gridCol w:w="1378"/>
        <w:gridCol w:w="1378"/>
        <w:gridCol w:w="1524"/>
      </w:tblGrid>
      <w:tr w:rsidR="00E350DE" w:rsidRPr="00E350DE" w14:paraId="58C5B9C9"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651EF3D9"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proofErr w:type="spellStart"/>
            <w:r w:rsidRPr="00E350DE">
              <w:rPr>
                <w:rFonts w:eastAsia="Times New Roman" w:cs="Times New Roman"/>
                <w:iCs/>
                <w:szCs w:val="28"/>
                <w:lang w:eastAsia="lv-LV"/>
              </w:rPr>
              <w:lastRenderedPageBreak/>
              <w:t>Nr.p.k</w:t>
            </w:r>
            <w:proofErr w:type="spellEnd"/>
            <w:r w:rsidRPr="00E350DE">
              <w:rPr>
                <w:rFonts w:eastAsia="Times New Roman" w:cs="Times New Roman"/>
                <w:iCs/>
                <w:szCs w:val="28"/>
                <w:lang w:eastAsia="lv-LV"/>
              </w:rPr>
              <w:t>.</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F7DC00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Koģenerācijas elektrostacijā uzstādītā elektriskā jauda</w:t>
            </w:r>
          </w:p>
        </w:tc>
        <w:tc>
          <w:tcPr>
            <w:tcW w:w="822" w:type="pct"/>
            <w:tcBorders>
              <w:top w:val="outset" w:sz="6" w:space="0" w:color="414142"/>
              <w:left w:val="outset" w:sz="6" w:space="0" w:color="414142"/>
              <w:bottom w:val="outset" w:sz="6" w:space="0" w:color="414142"/>
              <w:right w:val="outset" w:sz="6" w:space="0" w:color="414142"/>
            </w:tcBorders>
            <w:vAlign w:val="center"/>
          </w:tcPr>
          <w:p w14:paraId="463D5BA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 xml:space="preserve">Koeficienta </w:t>
            </w:r>
            <w:proofErr w:type="spellStart"/>
            <w:r w:rsidRPr="00E350DE">
              <w:rPr>
                <w:rFonts w:eastAsia="Times New Roman" w:cs="Times New Roman"/>
                <w:i/>
                <w:iCs/>
                <w:szCs w:val="28"/>
                <w:lang w:eastAsia="lv-LV"/>
              </w:rPr>
              <w:t>k</w:t>
            </w:r>
            <w:r w:rsidRPr="00E350DE">
              <w:rPr>
                <w:rFonts w:eastAsia="Times New Roman" w:cs="Times New Roman"/>
                <w:i/>
                <w:iCs/>
                <w:szCs w:val="28"/>
                <w:vertAlign w:val="subscript"/>
                <w:lang w:eastAsia="lv-LV"/>
              </w:rPr>
              <w:t>AER</w:t>
            </w:r>
            <w:proofErr w:type="spellEnd"/>
            <w:r w:rsidRPr="00E350DE">
              <w:rPr>
                <w:rFonts w:eastAsia="Times New Roman" w:cs="Times New Roman"/>
                <w:iCs/>
                <w:szCs w:val="28"/>
                <w:lang w:eastAsia="lv-LV"/>
              </w:rPr>
              <w:t xml:space="preserve"> vērtība</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AF13696"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 xml:space="preserve">Koeficienta </w:t>
            </w:r>
            <w:r w:rsidRPr="00E350DE">
              <w:rPr>
                <w:rFonts w:eastAsia="Times New Roman" w:cs="Times New Roman"/>
                <w:i/>
                <w:iCs/>
                <w:szCs w:val="28"/>
                <w:lang w:eastAsia="lv-LV"/>
              </w:rPr>
              <w:t>k</w:t>
            </w:r>
            <w:r w:rsidRPr="00E350DE">
              <w:rPr>
                <w:rFonts w:eastAsia="Times New Roman" w:cs="Times New Roman"/>
                <w:iCs/>
                <w:szCs w:val="28"/>
                <w:lang w:eastAsia="lv-LV"/>
              </w:rPr>
              <w:t xml:space="preserve"> vērtība</w:t>
            </w:r>
          </w:p>
        </w:tc>
        <w:tc>
          <w:tcPr>
            <w:tcW w:w="909" w:type="pct"/>
            <w:tcBorders>
              <w:top w:val="outset" w:sz="6" w:space="0" w:color="414142"/>
              <w:left w:val="outset" w:sz="6" w:space="0" w:color="414142"/>
              <w:bottom w:val="outset" w:sz="6" w:space="0" w:color="414142"/>
              <w:right w:val="outset" w:sz="6" w:space="0" w:color="414142"/>
            </w:tcBorders>
            <w:vAlign w:val="center"/>
          </w:tcPr>
          <w:p w14:paraId="52C7DF13"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Dabasgāzes patēriņa apjoms gadā, n.m</w:t>
            </w:r>
            <w:r w:rsidRPr="00E350DE">
              <w:rPr>
                <w:rFonts w:eastAsia="Times New Roman" w:cs="Times New Roman"/>
                <w:iCs/>
                <w:szCs w:val="28"/>
                <w:vertAlign w:val="superscript"/>
                <w:lang w:eastAsia="lv-LV"/>
              </w:rPr>
              <w:t>3</w:t>
            </w:r>
          </w:p>
        </w:tc>
      </w:tr>
      <w:tr w:rsidR="00E350DE" w:rsidRPr="00E350DE" w14:paraId="44E59016" w14:textId="77777777" w:rsidTr="00E350DE">
        <w:trPr>
          <w:trHeight w:val="180"/>
        </w:trPr>
        <w:tc>
          <w:tcPr>
            <w:tcW w:w="507" w:type="pct"/>
            <w:tcBorders>
              <w:top w:val="outset" w:sz="6" w:space="0" w:color="414142"/>
              <w:left w:val="outset" w:sz="6" w:space="0" w:color="414142"/>
              <w:bottom w:val="outset" w:sz="6" w:space="0" w:color="414142"/>
              <w:right w:val="outset" w:sz="6" w:space="0" w:color="414142"/>
            </w:tcBorders>
            <w:hideMark/>
          </w:tcPr>
          <w:p w14:paraId="347544B6"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w:t>
            </w:r>
          </w:p>
        </w:tc>
        <w:tc>
          <w:tcPr>
            <w:tcW w:w="1940" w:type="pct"/>
            <w:tcBorders>
              <w:top w:val="outset" w:sz="6" w:space="0" w:color="414142"/>
              <w:left w:val="outset" w:sz="6" w:space="0" w:color="414142"/>
              <w:bottom w:val="outset" w:sz="6" w:space="0" w:color="414142"/>
              <w:right w:val="outset" w:sz="6" w:space="0" w:color="414142"/>
            </w:tcBorders>
            <w:hideMark/>
          </w:tcPr>
          <w:p w14:paraId="11D9DB27"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Nepārsniedz 0,08 MW</w:t>
            </w:r>
          </w:p>
        </w:tc>
        <w:tc>
          <w:tcPr>
            <w:tcW w:w="822" w:type="pct"/>
            <w:tcBorders>
              <w:top w:val="outset" w:sz="6" w:space="0" w:color="414142"/>
              <w:left w:val="outset" w:sz="6" w:space="0" w:color="414142"/>
              <w:bottom w:val="outset" w:sz="6" w:space="0" w:color="414142"/>
              <w:right w:val="outset" w:sz="6" w:space="0" w:color="414142"/>
            </w:tcBorders>
            <w:vAlign w:val="center"/>
          </w:tcPr>
          <w:p w14:paraId="6DB9234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217,002</w:t>
            </w:r>
          </w:p>
        </w:tc>
        <w:tc>
          <w:tcPr>
            <w:tcW w:w="822" w:type="pct"/>
            <w:tcBorders>
              <w:top w:val="outset" w:sz="6" w:space="0" w:color="414142"/>
              <w:left w:val="outset" w:sz="6" w:space="0" w:color="414142"/>
              <w:bottom w:val="outset" w:sz="6" w:space="0" w:color="414142"/>
              <w:right w:val="outset" w:sz="6" w:space="0" w:color="414142"/>
            </w:tcBorders>
            <w:hideMark/>
          </w:tcPr>
          <w:p w14:paraId="728A8EBD"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1,240</w:t>
            </w:r>
          </w:p>
        </w:tc>
        <w:tc>
          <w:tcPr>
            <w:tcW w:w="909" w:type="pct"/>
            <w:tcBorders>
              <w:top w:val="outset" w:sz="6" w:space="0" w:color="414142"/>
              <w:left w:val="outset" w:sz="6" w:space="0" w:color="414142"/>
              <w:bottom w:val="outset" w:sz="6" w:space="0" w:color="414142"/>
              <w:right w:val="outset" w:sz="6" w:space="0" w:color="414142"/>
            </w:tcBorders>
          </w:tcPr>
          <w:p w14:paraId="4892DAED"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25000–126000</w:t>
            </w:r>
          </w:p>
        </w:tc>
      </w:tr>
      <w:tr w:rsidR="00E350DE" w:rsidRPr="00E350DE" w14:paraId="690D76DC" w14:textId="77777777" w:rsidTr="00E350DE">
        <w:trPr>
          <w:trHeight w:val="216"/>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35D57B9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2.</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59F39417" w14:textId="526B44CF"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0,08 MW, bet nepārsniedz 0,15</w:t>
            </w:r>
            <w:r>
              <w:rPr>
                <w:rFonts w:eastAsia="Times New Roman" w:cs="Times New Roman"/>
                <w:iCs/>
                <w:szCs w:val="28"/>
                <w:lang w:eastAsia="lv-LV"/>
              </w:rPr>
              <w:t xml:space="preserve"> MW</w:t>
            </w:r>
          </w:p>
        </w:tc>
        <w:tc>
          <w:tcPr>
            <w:tcW w:w="822" w:type="pct"/>
            <w:tcBorders>
              <w:top w:val="outset" w:sz="6" w:space="0" w:color="414142"/>
              <w:left w:val="outset" w:sz="6" w:space="0" w:color="414142"/>
              <w:bottom w:val="outset" w:sz="6" w:space="0" w:color="414142"/>
              <w:right w:val="outset" w:sz="6" w:space="0" w:color="414142"/>
            </w:tcBorders>
            <w:vAlign w:val="center"/>
          </w:tcPr>
          <w:p w14:paraId="70852BB1"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194,925</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FEA106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1,231</w:t>
            </w:r>
          </w:p>
        </w:tc>
        <w:tc>
          <w:tcPr>
            <w:tcW w:w="909" w:type="pct"/>
            <w:vMerge w:val="restart"/>
            <w:tcBorders>
              <w:top w:val="outset" w:sz="6" w:space="0" w:color="414142"/>
              <w:left w:val="outset" w:sz="6" w:space="0" w:color="414142"/>
              <w:bottom w:val="outset" w:sz="6" w:space="0" w:color="414142"/>
              <w:right w:val="outset" w:sz="6" w:space="0" w:color="414142"/>
            </w:tcBorders>
            <w:vAlign w:val="center"/>
          </w:tcPr>
          <w:p w14:paraId="1182FC15"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126000–1260000</w:t>
            </w:r>
          </w:p>
        </w:tc>
      </w:tr>
      <w:tr w:rsidR="00E350DE" w:rsidRPr="00E350DE" w14:paraId="4D84C7FD"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4495CFD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3.</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4252E629"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0,15 MW, bet nepārsniedz 0,20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01548D3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190,333</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3B9193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1,202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0F0853D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2B0BBB33"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79F9208B"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4.</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5625EBE"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0,20 MW, bet nepārsniedz 0,40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09D98EBF"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179,090</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7A45E231"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1,131</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6603637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7CAD45A6"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7C196DBD"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5.</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7693E02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0,40 MW, bet nepārsniedz 0,60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220BE335"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171,965</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D183F65"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1,086</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6644E90B"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475844CC"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1E55FEC6"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6.</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41BA301"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0,60 MW, bet nepārsniedz 0,80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13495C98"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169,748</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0071F708"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1,072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2F1EB02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37516CC0"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205424C9"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7.</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5713E692"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0,80 MW, bet nepārsniedz 1,00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318147AE"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167,056</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7A7B37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1,055</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079D444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4332BAEF"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49C5DF7C"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8.</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471B7ACD"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1,00 MW, bet nepārsniedz 1,50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0442F3C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153,988</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178DC819"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1,035</w:t>
            </w:r>
          </w:p>
        </w:tc>
        <w:tc>
          <w:tcPr>
            <w:tcW w:w="909" w:type="pct"/>
            <w:vMerge w:val="restart"/>
            <w:tcBorders>
              <w:top w:val="outset" w:sz="6" w:space="0" w:color="414142"/>
              <w:left w:val="outset" w:sz="6" w:space="0" w:color="414142"/>
              <w:bottom w:val="outset" w:sz="6" w:space="0" w:color="414142"/>
              <w:right w:val="outset" w:sz="6" w:space="0" w:color="414142"/>
            </w:tcBorders>
            <w:vAlign w:val="center"/>
          </w:tcPr>
          <w:p w14:paraId="3542152A"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1260000–12600000</w:t>
            </w:r>
          </w:p>
        </w:tc>
      </w:tr>
      <w:tr w:rsidR="00E350DE" w:rsidRPr="00E350DE" w14:paraId="30A5D9AD"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0C3A320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9.</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2F9DE9C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1,50 MW, bet nepārsniedz 2,00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581EF3E0"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149,971</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367EBE21"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1,008</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3750C51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59E8FADE"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659C7EE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10.</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3FBDB245"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2,00 MW, bet nepārsniedz 2,50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6B6CE40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147,590</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B75782D"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0,992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74902BB0"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180959AA"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59ED0145"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11.</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7456A01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2,50 MW, bet nepārsniedz 3,00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3A494F87"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146,103</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97CC38A"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0,982</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3266424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24B11949"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39C18741"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12.</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506EA0CE"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3,00 MW, bet nepārsniedz 3,50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3F1BD0A8"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144,912</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920A45C"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0,974</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644E2367"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60B14226"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3923CA74"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13.</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2D1AA22D"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3,50 MW, bet nepārsniedz 4,00 MW</w:t>
            </w:r>
          </w:p>
        </w:tc>
        <w:tc>
          <w:tcPr>
            <w:tcW w:w="822" w:type="pct"/>
            <w:tcBorders>
              <w:top w:val="outset" w:sz="6" w:space="0" w:color="414142"/>
              <w:left w:val="outset" w:sz="6" w:space="0" w:color="414142"/>
              <w:bottom w:val="outset" w:sz="6" w:space="0" w:color="414142"/>
              <w:right w:val="outset" w:sz="6" w:space="0" w:color="414142"/>
            </w:tcBorders>
            <w:vAlign w:val="center"/>
          </w:tcPr>
          <w:p w14:paraId="71CC709C"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143,573</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B090FD3"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0,965</w:t>
            </w:r>
          </w:p>
        </w:tc>
        <w:tc>
          <w:tcPr>
            <w:tcW w:w="909" w:type="pct"/>
            <w:vMerge/>
            <w:tcBorders>
              <w:top w:val="outset" w:sz="6" w:space="0" w:color="414142"/>
              <w:left w:val="outset" w:sz="6" w:space="0" w:color="414142"/>
              <w:bottom w:val="outset" w:sz="6" w:space="0" w:color="414142"/>
              <w:right w:val="outset" w:sz="6" w:space="0" w:color="414142"/>
            </w:tcBorders>
            <w:vAlign w:val="center"/>
          </w:tcPr>
          <w:p w14:paraId="35B0F4EF"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r>
      <w:tr w:rsidR="00E350DE" w:rsidRPr="00E350DE" w14:paraId="38D67D0E"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0B439708"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14.</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3B05BE9C"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4,00 MW, bet nepārsniedz 20,00 MW</w:t>
            </w:r>
          </w:p>
        </w:tc>
        <w:tc>
          <w:tcPr>
            <w:tcW w:w="822" w:type="pct"/>
            <w:tcBorders>
              <w:top w:val="outset" w:sz="6" w:space="0" w:color="414142"/>
              <w:left w:val="outset" w:sz="6" w:space="0" w:color="414142"/>
              <w:bottom w:val="outset" w:sz="6" w:space="0" w:color="414142"/>
              <w:right w:val="outset" w:sz="6" w:space="0" w:color="414142"/>
            </w:tcBorders>
            <w:vAlign w:val="bottom"/>
          </w:tcPr>
          <w:p w14:paraId="666E430E"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2F0F6EDE"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909" w:type="pct"/>
            <w:tcBorders>
              <w:top w:val="outset" w:sz="6" w:space="0" w:color="414142"/>
              <w:left w:val="outset" w:sz="6" w:space="0" w:color="414142"/>
              <w:bottom w:val="outset" w:sz="6" w:space="0" w:color="414142"/>
              <w:right w:val="outset" w:sz="6" w:space="0" w:color="414142"/>
            </w:tcBorders>
            <w:vAlign w:val="center"/>
          </w:tcPr>
          <w:p w14:paraId="7E1CFB02"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12600000–20000000</w:t>
            </w:r>
          </w:p>
        </w:tc>
      </w:tr>
      <w:tr w:rsidR="00E350DE" w:rsidRPr="00E350DE" w14:paraId="4F204A9F"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17884958"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15.</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627284D7"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20,00 MW, bet nepārsniedz 40,00 MW</w:t>
            </w:r>
          </w:p>
        </w:tc>
        <w:tc>
          <w:tcPr>
            <w:tcW w:w="822" w:type="pct"/>
            <w:tcBorders>
              <w:top w:val="outset" w:sz="6" w:space="0" w:color="414142"/>
              <w:left w:val="outset" w:sz="6" w:space="0" w:color="414142"/>
              <w:bottom w:val="outset" w:sz="6" w:space="0" w:color="414142"/>
              <w:right w:val="outset" w:sz="6" w:space="0" w:color="414142"/>
            </w:tcBorders>
            <w:vAlign w:val="bottom"/>
          </w:tcPr>
          <w:p w14:paraId="5E5F1E12"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02117CF2"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909" w:type="pct"/>
            <w:tcBorders>
              <w:top w:val="outset" w:sz="6" w:space="0" w:color="414142"/>
              <w:left w:val="outset" w:sz="6" w:space="0" w:color="414142"/>
              <w:bottom w:val="outset" w:sz="6" w:space="0" w:color="414142"/>
              <w:right w:val="outset" w:sz="6" w:space="0" w:color="414142"/>
            </w:tcBorders>
            <w:vAlign w:val="center"/>
          </w:tcPr>
          <w:p w14:paraId="73F312AC"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20000000–100000000</w:t>
            </w:r>
          </w:p>
        </w:tc>
      </w:tr>
      <w:tr w:rsidR="00E350DE" w:rsidRPr="00E350DE" w14:paraId="7C719C1A" w14:textId="77777777" w:rsidTr="00E350DE">
        <w:trPr>
          <w:trHeight w:val="84"/>
        </w:trPr>
        <w:tc>
          <w:tcPr>
            <w:tcW w:w="507" w:type="pct"/>
            <w:tcBorders>
              <w:top w:val="outset" w:sz="6" w:space="0" w:color="414142"/>
              <w:left w:val="outset" w:sz="6" w:space="0" w:color="414142"/>
              <w:bottom w:val="outset" w:sz="6" w:space="0" w:color="414142"/>
              <w:right w:val="outset" w:sz="6" w:space="0" w:color="414142"/>
            </w:tcBorders>
            <w:vAlign w:val="center"/>
            <w:hideMark/>
          </w:tcPr>
          <w:p w14:paraId="24DB832A"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r w:rsidRPr="00E350DE">
              <w:rPr>
                <w:rFonts w:eastAsia="Times New Roman" w:cs="Times New Roman"/>
                <w:iCs/>
                <w:szCs w:val="28"/>
                <w:lang w:eastAsia="lv-LV"/>
              </w:rPr>
              <w:t>16.</w:t>
            </w:r>
          </w:p>
        </w:tc>
        <w:tc>
          <w:tcPr>
            <w:tcW w:w="1940" w:type="pct"/>
            <w:tcBorders>
              <w:top w:val="outset" w:sz="6" w:space="0" w:color="414142"/>
              <w:left w:val="outset" w:sz="6" w:space="0" w:color="414142"/>
              <w:bottom w:val="outset" w:sz="6" w:space="0" w:color="414142"/>
              <w:right w:val="outset" w:sz="6" w:space="0" w:color="414142"/>
            </w:tcBorders>
            <w:vAlign w:val="center"/>
            <w:hideMark/>
          </w:tcPr>
          <w:p w14:paraId="1443AE17" w14:textId="77777777" w:rsidR="00E350DE" w:rsidRPr="00E350DE" w:rsidRDefault="00E350DE" w:rsidP="00E350DE">
            <w:pPr>
              <w:pStyle w:val="ListParagraph"/>
              <w:shd w:val="clear" w:color="auto" w:fill="FFFFFF"/>
              <w:spacing w:line="254" w:lineRule="atLeast"/>
              <w:ind w:left="0"/>
              <w:rPr>
                <w:rFonts w:eastAsia="Times New Roman" w:cs="Times New Roman"/>
                <w:iCs/>
                <w:szCs w:val="28"/>
                <w:lang w:eastAsia="lv-LV"/>
              </w:rPr>
            </w:pPr>
            <w:r w:rsidRPr="00E350DE">
              <w:rPr>
                <w:rFonts w:eastAsia="Times New Roman" w:cs="Times New Roman"/>
                <w:iCs/>
                <w:szCs w:val="28"/>
                <w:lang w:eastAsia="lv-LV"/>
              </w:rPr>
              <w:t>Lielāka par 40 MW</w:t>
            </w:r>
          </w:p>
        </w:tc>
        <w:tc>
          <w:tcPr>
            <w:tcW w:w="822" w:type="pct"/>
            <w:tcBorders>
              <w:top w:val="outset" w:sz="6" w:space="0" w:color="414142"/>
              <w:left w:val="outset" w:sz="6" w:space="0" w:color="414142"/>
              <w:bottom w:val="outset" w:sz="6" w:space="0" w:color="414142"/>
              <w:right w:val="outset" w:sz="6" w:space="0" w:color="414142"/>
            </w:tcBorders>
            <w:vAlign w:val="bottom"/>
          </w:tcPr>
          <w:p w14:paraId="037A54F1"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071957F4" w14:textId="77777777" w:rsidR="00E350DE" w:rsidRPr="00E350DE" w:rsidRDefault="00E350DE" w:rsidP="00E350DE">
            <w:pPr>
              <w:pStyle w:val="ListParagraph"/>
              <w:shd w:val="clear" w:color="auto" w:fill="FFFFFF"/>
              <w:spacing w:line="254" w:lineRule="atLeast"/>
              <w:ind w:left="0"/>
              <w:jc w:val="center"/>
              <w:rPr>
                <w:rFonts w:eastAsia="Times New Roman" w:cs="Times New Roman"/>
                <w:iCs/>
                <w:szCs w:val="28"/>
                <w:lang w:eastAsia="lv-LV"/>
              </w:rPr>
            </w:pPr>
          </w:p>
        </w:tc>
        <w:tc>
          <w:tcPr>
            <w:tcW w:w="909" w:type="pct"/>
            <w:tcBorders>
              <w:top w:val="outset" w:sz="6" w:space="0" w:color="414142"/>
              <w:left w:val="outset" w:sz="6" w:space="0" w:color="414142"/>
              <w:bottom w:val="outset" w:sz="6" w:space="0" w:color="414142"/>
              <w:right w:val="outset" w:sz="6" w:space="0" w:color="414142"/>
            </w:tcBorders>
            <w:vAlign w:val="center"/>
          </w:tcPr>
          <w:p w14:paraId="724FDA2B" w14:textId="77777777" w:rsidR="00E350DE" w:rsidRPr="00E350DE" w:rsidRDefault="00E350DE" w:rsidP="00E350DE">
            <w:pPr>
              <w:pStyle w:val="ListParagraph"/>
              <w:shd w:val="clear" w:color="auto" w:fill="FFFFFF"/>
              <w:ind w:left="0"/>
              <w:jc w:val="center"/>
              <w:rPr>
                <w:rFonts w:eastAsia="Times New Roman" w:cs="Times New Roman"/>
                <w:iCs/>
                <w:szCs w:val="28"/>
                <w:lang w:eastAsia="lv-LV"/>
              </w:rPr>
            </w:pPr>
            <w:r w:rsidRPr="00E350DE">
              <w:rPr>
                <w:rFonts w:eastAsia="Times New Roman" w:cs="Times New Roman"/>
                <w:iCs/>
                <w:szCs w:val="28"/>
                <w:lang w:eastAsia="lv-LV"/>
              </w:rPr>
              <w:t>virs 100000000</w:t>
            </w:r>
          </w:p>
        </w:tc>
      </w:tr>
    </w:tbl>
    <w:p w14:paraId="145B5EEB" w14:textId="454C37DD" w:rsidR="00AC1057" w:rsidRPr="00EE5027" w:rsidRDefault="00EE5027" w:rsidP="00EE5027">
      <w:pPr>
        <w:shd w:val="clear" w:color="auto" w:fill="FFFFFF"/>
        <w:spacing w:line="254" w:lineRule="atLeast"/>
        <w:jc w:val="both"/>
        <w:rPr>
          <w:rFonts w:eastAsia="Times New Roman" w:cs="Times New Roman"/>
          <w:iCs/>
          <w:szCs w:val="28"/>
          <w:lang w:eastAsia="lv-LV"/>
        </w:rPr>
      </w:pPr>
      <w:r w:rsidRPr="00EE5027">
        <w:rPr>
          <w:rFonts w:eastAsia="Times New Roman" w:cs="Times New Roman"/>
          <w:iCs/>
          <w:szCs w:val="28"/>
          <w:lang w:eastAsia="lv-LV"/>
        </w:rPr>
        <w:t>“</w:t>
      </w:r>
      <w:r>
        <w:rPr>
          <w:rFonts w:eastAsia="Times New Roman" w:cs="Times New Roman"/>
          <w:iCs/>
          <w:szCs w:val="28"/>
          <w:lang w:eastAsia="lv-LV"/>
        </w:rPr>
        <w:t>.</w:t>
      </w:r>
    </w:p>
    <w:p w14:paraId="0B456622" w14:textId="566EAB42" w:rsidR="00E350DE"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20. </w:t>
      </w:r>
      <w:r w:rsidR="00AC1057" w:rsidRPr="003C419B">
        <w:rPr>
          <w:rFonts w:eastAsia="Times New Roman" w:cs="Times New Roman"/>
          <w:iCs/>
          <w:szCs w:val="28"/>
          <w:lang w:eastAsia="lv-LV"/>
        </w:rPr>
        <w:t>Papil</w:t>
      </w:r>
      <w:r w:rsidR="00AC080B" w:rsidRPr="003C419B">
        <w:rPr>
          <w:rFonts w:eastAsia="Times New Roman" w:cs="Times New Roman"/>
          <w:iCs/>
          <w:szCs w:val="28"/>
          <w:lang w:eastAsia="lv-LV"/>
        </w:rPr>
        <w:t>dināt noteikumus ar 8.pielikumu</w:t>
      </w:r>
      <w:r w:rsidR="00E350DE" w:rsidRPr="003C419B">
        <w:rPr>
          <w:rFonts w:eastAsia="Times New Roman" w:cs="Times New Roman"/>
          <w:iCs/>
          <w:szCs w:val="28"/>
          <w:lang w:eastAsia="lv-LV"/>
        </w:rPr>
        <w:t>, izsakot to šādā redakcijā:</w:t>
      </w:r>
    </w:p>
    <w:p w14:paraId="6AA6A32C" w14:textId="77777777" w:rsidR="00E350DE" w:rsidRDefault="00E350DE" w:rsidP="00E350DE">
      <w:pPr>
        <w:shd w:val="clear" w:color="auto" w:fill="FFFFFF"/>
        <w:spacing w:line="254" w:lineRule="atLeast"/>
        <w:jc w:val="both"/>
        <w:rPr>
          <w:rFonts w:eastAsia="Times New Roman" w:cs="Times New Roman"/>
          <w:iCs/>
          <w:szCs w:val="28"/>
          <w:lang w:eastAsia="lv-LV"/>
        </w:rPr>
      </w:pPr>
    </w:p>
    <w:p w14:paraId="24840BFE" w14:textId="77777777" w:rsidR="00EB3ABA" w:rsidRPr="00554381" w:rsidRDefault="00EB3ABA" w:rsidP="00EB3ABA">
      <w:pPr>
        <w:shd w:val="clear" w:color="auto" w:fill="FFFFFF"/>
        <w:jc w:val="right"/>
        <w:rPr>
          <w:rFonts w:eastAsia="Times New Roman" w:cs="Times New Roman"/>
          <w:sz w:val="24"/>
          <w:szCs w:val="24"/>
          <w:lang w:eastAsia="lv-LV"/>
        </w:rPr>
      </w:pPr>
      <w:r>
        <w:rPr>
          <w:rFonts w:eastAsia="Times New Roman" w:cs="Times New Roman"/>
          <w:iCs/>
          <w:szCs w:val="28"/>
          <w:lang w:eastAsia="lv-LV"/>
        </w:rPr>
        <w:t>“</w:t>
      </w:r>
      <w:r>
        <w:rPr>
          <w:rFonts w:eastAsia="Times New Roman" w:cs="Times New Roman"/>
          <w:sz w:val="24"/>
          <w:szCs w:val="24"/>
          <w:lang w:eastAsia="lv-LV"/>
        </w:rPr>
        <w:t>8</w:t>
      </w:r>
      <w:r w:rsidRPr="00554381">
        <w:rPr>
          <w:rFonts w:eastAsia="Times New Roman" w:cs="Times New Roman"/>
          <w:sz w:val="24"/>
          <w:szCs w:val="24"/>
          <w:lang w:eastAsia="lv-LV"/>
        </w:rPr>
        <w:t>.pielikums</w:t>
      </w:r>
    </w:p>
    <w:p w14:paraId="09478B12" w14:textId="77777777" w:rsidR="00EB3ABA" w:rsidRPr="00E350DE" w:rsidRDefault="00EB3ABA" w:rsidP="00EB3ABA">
      <w:pPr>
        <w:ind w:left="300"/>
        <w:jc w:val="right"/>
        <w:rPr>
          <w:rFonts w:cs="Times New Roman"/>
          <w:sz w:val="24"/>
          <w:szCs w:val="24"/>
        </w:rPr>
      </w:pPr>
      <w:r w:rsidRPr="00E350DE">
        <w:rPr>
          <w:rFonts w:cs="Times New Roman"/>
          <w:sz w:val="24"/>
          <w:szCs w:val="24"/>
        </w:rPr>
        <w:lastRenderedPageBreak/>
        <w:t>Ministru kabineta</w:t>
      </w:r>
    </w:p>
    <w:p w14:paraId="18AEF55A" w14:textId="77777777" w:rsidR="00EB3ABA" w:rsidRPr="00E350DE" w:rsidRDefault="00EB3ABA" w:rsidP="00EB3ABA">
      <w:pPr>
        <w:ind w:left="300"/>
        <w:jc w:val="right"/>
        <w:rPr>
          <w:rFonts w:cs="Times New Roman"/>
          <w:sz w:val="24"/>
          <w:szCs w:val="24"/>
        </w:rPr>
      </w:pPr>
      <w:r>
        <w:rPr>
          <w:rFonts w:cs="Times New Roman"/>
          <w:sz w:val="24"/>
          <w:szCs w:val="24"/>
        </w:rPr>
        <w:t>2009</w:t>
      </w:r>
      <w:r w:rsidRPr="00E350DE">
        <w:rPr>
          <w:rFonts w:cs="Times New Roman"/>
          <w:sz w:val="24"/>
          <w:szCs w:val="24"/>
        </w:rPr>
        <w:t xml:space="preserve">.gada </w:t>
      </w:r>
      <w:r>
        <w:rPr>
          <w:rFonts w:cs="Times New Roman"/>
          <w:sz w:val="24"/>
          <w:szCs w:val="24"/>
        </w:rPr>
        <w:t>10</w:t>
      </w:r>
      <w:r w:rsidRPr="00E350DE">
        <w:rPr>
          <w:rFonts w:cs="Times New Roman"/>
          <w:sz w:val="24"/>
          <w:szCs w:val="24"/>
        </w:rPr>
        <w:t>.</w:t>
      </w:r>
      <w:r>
        <w:rPr>
          <w:rFonts w:cs="Times New Roman"/>
          <w:sz w:val="24"/>
          <w:szCs w:val="24"/>
        </w:rPr>
        <w:t>marta</w:t>
      </w:r>
    </w:p>
    <w:p w14:paraId="0B073FEF" w14:textId="77777777" w:rsidR="00EB3ABA" w:rsidRPr="00E350DE" w:rsidRDefault="00EB3ABA" w:rsidP="00EB3ABA">
      <w:pPr>
        <w:ind w:left="300"/>
        <w:jc w:val="right"/>
        <w:rPr>
          <w:rFonts w:cs="Times New Roman"/>
          <w:sz w:val="24"/>
          <w:szCs w:val="24"/>
        </w:rPr>
      </w:pPr>
      <w:r w:rsidRPr="00E350DE">
        <w:rPr>
          <w:rFonts w:cs="Times New Roman"/>
          <w:sz w:val="24"/>
          <w:szCs w:val="24"/>
        </w:rPr>
        <w:t>noteikumiem Nr.</w:t>
      </w:r>
      <w:r>
        <w:rPr>
          <w:rFonts w:cs="Times New Roman"/>
          <w:sz w:val="24"/>
          <w:szCs w:val="24"/>
        </w:rPr>
        <w:t>221</w:t>
      </w:r>
    </w:p>
    <w:p w14:paraId="05995E2F" w14:textId="77777777" w:rsidR="00EB3ABA" w:rsidRPr="00BD6296" w:rsidRDefault="00EB3ABA" w:rsidP="00EB3ABA">
      <w:pPr>
        <w:shd w:val="clear" w:color="auto" w:fill="FFFFFF"/>
        <w:jc w:val="center"/>
        <w:rPr>
          <w:rFonts w:eastAsia="Times New Roman" w:cs="Times New Roman"/>
          <w:b/>
          <w:bCs/>
          <w:szCs w:val="28"/>
          <w:lang w:eastAsia="lv-LV"/>
        </w:rPr>
      </w:pPr>
    </w:p>
    <w:p w14:paraId="67BEDF9A" w14:textId="283C4A57" w:rsidR="00EB3ABA" w:rsidRPr="00BD6296" w:rsidRDefault="008831D9" w:rsidP="00EB3ABA">
      <w:pPr>
        <w:shd w:val="clear" w:color="auto" w:fill="FFFFFF"/>
        <w:jc w:val="center"/>
        <w:rPr>
          <w:rFonts w:eastAsia="Times New Roman" w:cs="Times New Roman"/>
          <w:b/>
          <w:bCs/>
          <w:szCs w:val="28"/>
          <w:lang w:eastAsia="lv-LV"/>
        </w:rPr>
      </w:pPr>
      <w:r>
        <w:rPr>
          <w:rFonts w:eastAsia="Times New Roman" w:cs="Times New Roman"/>
          <w:b/>
          <w:bCs/>
          <w:szCs w:val="28"/>
          <w:lang w:eastAsia="lv-LV"/>
        </w:rPr>
        <w:t>K</w:t>
      </w:r>
      <w:r w:rsidRPr="008831D9">
        <w:rPr>
          <w:rFonts w:eastAsia="Times New Roman" w:cs="Times New Roman"/>
          <w:b/>
          <w:bCs/>
          <w:szCs w:val="28"/>
          <w:lang w:eastAsia="lv-LV"/>
        </w:rPr>
        <w:t>oģenerācijas e</w:t>
      </w:r>
      <w:r w:rsidR="00EB3ABA" w:rsidRPr="00BD6296">
        <w:rPr>
          <w:rFonts w:eastAsia="Times New Roman" w:cs="Times New Roman"/>
          <w:b/>
          <w:bCs/>
          <w:szCs w:val="28"/>
          <w:lang w:eastAsia="lv-LV"/>
        </w:rPr>
        <w:t>lektrostacijas kopējo kapitālieguldījumu iekšējās peļņas normas aprēķins</w:t>
      </w:r>
    </w:p>
    <w:p w14:paraId="20950F6F" w14:textId="77777777" w:rsidR="00EB3ABA" w:rsidRPr="00BD6296" w:rsidRDefault="00EB3ABA" w:rsidP="00EB3ABA">
      <w:pPr>
        <w:rPr>
          <w:rFonts w:cs="Times New Roman"/>
          <w:szCs w:val="28"/>
        </w:rPr>
      </w:pPr>
    </w:p>
    <w:p w14:paraId="117DCBCD" w14:textId="10C9E3F8" w:rsidR="00EB3ABA" w:rsidRPr="00BD6296" w:rsidRDefault="00EB3ABA" w:rsidP="00EB3ABA">
      <w:pPr>
        <w:shd w:val="clear" w:color="auto" w:fill="FFFFFF"/>
        <w:jc w:val="center"/>
        <w:rPr>
          <w:rFonts w:eastAsia="Times New Roman" w:cs="Times New Roman"/>
          <w:b/>
          <w:bCs/>
          <w:szCs w:val="28"/>
          <w:lang w:eastAsia="lv-LV"/>
        </w:rPr>
      </w:pPr>
      <w:r w:rsidRPr="00BD6296">
        <w:rPr>
          <w:rFonts w:eastAsia="Times New Roman" w:cs="Times New Roman"/>
          <w:b/>
          <w:bCs/>
          <w:szCs w:val="28"/>
          <w:lang w:eastAsia="lv-LV"/>
        </w:rPr>
        <w:t xml:space="preserve">I. Elektrostacijas kopējo kapitālieguldījumu iekšējās peļņas normas aprēķina gaita koģenerācijas </w:t>
      </w:r>
      <w:r w:rsidR="008831D9">
        <w:rPr>
          <w:rFonts w:eastAsia="Times New Roman" w:cs="Times New Roman"/>
          <w:b/>
          <w:bCs/>
          <w:szCs w:val="28"/>
          <w:lang w:eastAsia="lv-LV"/>
        </w:rPr>
        <w:t>elektro</w:t>
      </w:r>
      <w:r w:rsidRPr="00BD6296">
        <w:rPr>
          <w:rFonts w:eastAsia="Times New Roman" w:cs="Times New Roman"/>
          <w:b/>
          <w:bCs/>
          <w:szCs w:val="28"/>
          <w:lang w:eastAsia="lv-LV"/>
        </w:rPr>
        <w:t>stacijām, kuru uzstādītā elektriskā jauda nepārsniedz 4 MW</w:t>
      </w:r>
    </w:p>
    <w:p w14:paraId="22002CF9" w14:textId="77777777" w:rsidR="00EB3ABA" w:rsidRPr="00BD6296" w:rsidRDefault="00EB3ABA" w:rsidP="00EB3ABA">
      <w:pPr>
        <w:rPr>
          <w:rFonts w:cs="Times New Roman"/>
          <w:szCs w:val="28"/>
        </w:rPr>
      </w:pPr>
    </w:p>
    <w:p w14:paraId="7BCA1A74" w14:textId="77777777" w:rsidR="00EB3ABA" w:rsidRPr="00BD6296" w:rsidRDefault="00EB3ABA" w:rsidP="00EB3ABA">
      <w:pPr>
        <w:ind w:firstLine="426"/>
        <w:jc w:val="both"/>
        <w:rPr>
          <w:rFonts w:eastAsia="Times New Roman" w:cs="Times New Roman"/>
          <w:szCs w:val="28"/>
          <w:lang w:eastAsia="lv-LV"/>
        </w:rPr>
      </w:pPr>
      <w:r w:rsidRPr="00BD6296">
        <w:rPr>
          <w:rFonts w:eastAsia="Times New Roman" w:cs="Times New Roman"/>
          <w:szCs w:val="28"/>
          <w:lang w:eastAsia="lv-LV"/>
        </w:rPr>
        <w:t xml:space="preserve">1. Iekšējā peļņas norma ir diskonta likmes vērtība, pie kuras pašreizējā diskontētās naudas plūsmas vērtība ir vienāda ar sākotnēji ieguldītā kapitāla vērtību. Iekšējā peļņas norma tiek aprēķināta uz pēdējo gadu, kad </w:t>
      </w:r>
      <w:r w:rsidRPr="00BD6296">
        <w:rPr>
          <w:szCs w:val="24"/>
          <w:lang w:eastAsia="lv-LV"/>
        </w:rPr>
        <w:t>ražotājs var izmantot tiesības, kas piešķirtas saskaņā ar Elektroenerģijas tirgus likuma 28. vai 28.</w:t>
      </w:r>
      <w:r w:rsidRPr="00BD6296">
        <w:rPr>
          <w:szCs w:val="24"/>
          <w:vertAlign w:val="superscript"/>
          <w:lang w:eastAsia="lv-LV"/>
        </w:rPr>
        <w:t>1</w:t>
      </w:r>
      <w:r w:rsidRPr="00BD6296">
        <w:rPr>
          <w:szCs w:val="24"/>
          <w:lang w:eastAsia="lv-LV"/>
        </w:rPr>
        <w:t xml:space="preserve"> pantu.</w:t>
      </w:r>
    </w:p>
    <w:p w14:paraId="1365D7B8" w14:textId="77777777" w:rsidR="00EB3ABA" w:rsidRPr="00BD6296" w:rsidRDefault="00EB3ABA" w:rsidP="00EB3ABA">
      <w:pPr>
        <w:ind w:firstLine="426"/>
        <w:jc w:val="both"/>
        <w:rPr>
          <w:rFonts w:eastAsia="Times New Roman" w:cs="Times New Roman"/>
          <w:szCs w:val="28"/>
          <w:lang w:eastAsia="lv-LV"/>
        </w:rPr>
      </w:pPr>
      <w:r w:rsidRPr="00BD6296">
        <w:rPr>
          <w:rFonts w:eastAsia="Times New Roman" w:cs="Times New Roman"/>
          <w:szCs w:val="28"/>
          <w:lang w:eastAsia="lv-LV"/>
        </w:rPr>
        <w:t>2. Iekšējo peļņas normu aprēķina ar pakāpeniskām iterācijām, izmantojot formulu:</w:t>
      </w:r>
    </w:p>
    <w:p w14:paraId="45115FD2" w14:textId="7AAFBEA9" w:rsidR="00EB3ABA" w:rsidRPr="00BD6296" w:rsidRDefault="00FE1565" w:rsidP="00EB3ABA">
      <w:pPr>
        <w:jc w:val="center"/>
        <w:rPr>
          <w:rFonts w:eastAsia="Times New Roman" w:cs="Times New Roman"/>
          <w:szCs w:val="28"/>
          <w:lang w:eastAsia="lv-LV"/>
        </w:rPr>
      </w:pPr>
      <m:oMath>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t</m:t>
            </m:r>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szCs w:val="28"/>
                    <w:lang w:eastAsia="lv-LV"/>
                  </w:rPr>
                </m:ctrlPr>
              </m:sSubPr>
              <m:e>
                <m:r>
                  <m:rPr>
                    <m:sty m:val="p"/>
                  </m:rP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up>
            <m:r>
              <w:rPr>
                <w:rFonts w:ascii="Cambria Math" w:eastAsia="Times New Roman" w:hAnsi="Cambria Math" w:cs="Times New Roman"/>
                <w:szCs w:val="28"/>
                <w:lang w:eastAsia="lv-LV"/>
              </w:rPr>
              <m:t>n</m:t>
            </m:r>
          </m:sup>
          <m:e>
            <m:f>
              <m:fPr>
                <m:ctrlPr>
                  <w:rPr>
                    <w:rFonts w:ascii="Cambria Math" w:eastAsia="Times New Roman" w:hAnsi="Cambria Math" w:cs="Times New Roman"/>
                    <w:szCs w:val="28"/>
                    <w:lang w:eastAsia="lv-LV"/>
                  </w:rPr>
                </m:ctrlPr>
              </m:fPr>
              <m:num>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num>
              <m:den>
                <m:sSup>
                  <m:sSupPr>
                    <m:ctrlPr>
                      <w:rPr>
                        <w:rFonts w:ascii="Cambria Math" w:eastAsia="Times New Roman" w:hAnsi="Cambria Math" w:cs="Times New Roman"/>
                        <w:szCs w:val="28"/>
                        <w:lang w:eastAsia="lv-LV"/>
                      </w:rPr>
                    </m:ctrlPr>
                  </m:sSupPr>
                  <m:e>
                    <m:d>
                      <m:dPr>
                        <m:ctrlPr>
                          <w:rPr>
                            <w:rFonts w:ascii="Cambria Math" w:eastAsia="Times New Roman" w:hAnsi="Cambria Math" w:cs="Times New Roman"/>
                            <w:szCs w:val="28"/>
                            <w:lang w:eastAsia="lv-LV"/>
                          </w:rPr>
                        </m:ctrlPr>
                      </m:dPr>
                      <m:e>
                        <m:r>
                          <m:rPr>
                            <m:sty m:val="p"/>
                          </m:rPr>
                          <w:rPr>
                            <w:rFonts w:ascii="Cambria Math" w:eastAsia="Times New Roman" w:hAnsi="Cambria Math" w:cs="Times New Roman"/>
                            <w:szCs w:val="28"/>
                            <w:lang w:eastAsia="lv-LV"/>
                          </w:rPr>
                          <m:t>1+</m:t>
                        </m:r>
                        <m:f>
                          <m:fPr>
                            <m:ctrlPr>
                              <w:rPr>
                                <w:rFonts w:ascii="Cambria Math" w:eastAsia="Times New Roman" w:hAnsi="Cambria Math" w:cs="Times New Roman"/>
                                <w:i/>
                                <w:iCs/>
                                <w:szCs w:val="28"/>
                                <w:lang w:eastAsia="lv-LV"/>
                              </w:rPr>
                            </m:ctrlPr>
                          </m:fPr>
                          <m:num>
                            <m:r>
                              <w:rPr>
                                <w:rFonts w:ascii="Cambria Math" w:eastAsia="Times New Roman" w:hAnsi="Cambria Math" w:cs="Times New Roman"/>
                                <w:szCs w:val="28"/>
                                <w:lang w:eastAsia="lv-LV"/>
                              </w:rPr>
                              <m:t>r</m:t>
                            </m:r>
                          </m:num>
                          <m:den>
                            <m:r>
                              <w:rPr>
                                <w:rFonts w:ascii="Cambria Math" w:eastAsia="Times New Roman" w:hAnsi="Cambria Math" w:cs="Times New Roman"/>
                                <w:szCs w:val="28"/>
                                <w:lang w:eastAsia="lv-LV"/>
                              </w:rPr>
                              <m:t>100</m:t>
                            </m:r>
                          </m:den>
                        </m:f>
                      </m:e>
                    </m:d>
                  </m:e>
                  <m:sup>
                    <m:r>
                      <w:rPr>
                        <w:rFonts w:ascii="Cambria Math" w:eastAsia="Times New Roman" w:hAnsi="Cambria Math" w:cs="Times New Roman"/>
                        <w:szCs w:val="28"/>
                        <w:lang w:eastAsia="lv-LV"/>
                      </w:rPr>
                      <m:t>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+1</m:t>
                    </m:r>
                  </m:sup>
                </m:sSup>
              </m:den>
            </m:f>
            <m:r>
              <m:rPr>
                <m:sty m:val="p"/>
              </m:rPr>
              <w:rPr>
                <w:rFonts w:ascii="Cambria Math" w:eastAsia="Times New Roman" w:hAnsi="Cambria Math" w:cs="Times New Roman"/>
                <w:szCs w:val="28"/>
                <w:lang w:eastAsia="lv-LV"/>
              </w:rPr>
              <m:t xml:space="preserve">- </m:t>
            </m:r>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=0</m:t>
            </m:r>
          </m:e>
        </m:nary>
      </m:oMath>
      <w:r w:rsidR="00EB3ABA" w:rsidRPr="00BD6296">
        <w:rPr>
          <w:rFonts w:eastAsia="Times New Roman" w:cs="Times New Roman"/>
          <w:szCs w:val="28"/>
          <w:lang w:eastAsia="lv-LV"/>
        </w:rPr>
        <w:t>, kur</w:t>
      </w:r>
    </w:p>
    <w:p w14:paraId="4695DB0C" w14:textId="77777777" w:rsidR="00EB3ABA" w:rsidRPr="00BD6296" w:rsidRDefault="00EB3ABA" w:rsidP="00EB3ABA">
      <w:pPr>
        <w:shd w:val="clear" w:color="auto" w:fill="FFFFFF"/>
        <w:spacing w:before="100" w:beforeAutospacing="1" w:after="100" w:afterAutospacing="1" w:line="254" w:lineRule="atLeast"/>
        <w:ind w:firstLine="300"/>
        <w:rPr>
          <w:rFonts w:eastAsia="Times New Roman" w:cs="Times New Roman"/>
          <w:i/>
          <w:iCs/>
          <w:szCs w:val="28"/>
          <w:lang w:eastAsia="lv-LV"/>
        </w:rPr>
      </w:pPr>
    </w:p>
    <w:p w14:paraId="7E013A71" w14:textId="0960944F"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I</w:t>
      </w:r>
      <w:r w:rsidRPr="00BD6296">
        <w:rPr>
          <w:rFonts w:eastAsia="Times New Roman" w:cs="Times New Roman"/>
          <w:iCs/>
          <w:szCs w:val="28"/>
          <w:vertAlign w:val="subscript"/>
          <w:lang w:eastAsia="lv-LV"/>
        </w:rPr>
        <w:t>0</w:t>
      </w:r>
      <w:r w:rsidRPr="00BD6296">
        <w:rPr>
          <w:rFonts w:eastAsia="Times New Roman" w:cs="Times New Roman"/>
          <w:szCs w:val="28"/>
          <w:lang w:eastAsia="lv-LV"/>
        </w:rPr>
        <w:t xml:space="preserve"> – komersanta sākotnējās investīcijas </w:t>
      </w:r>
      <w:r w:rsidR="008831D9">
        <w:rPr>
          <w:rFonts w:eastAsia="Times New Roman" w:cs="Times New Roman"/>
          <w:szCs w:val="28"/>
          <w:lang w:eastAsia="lv-LV"/>
        </w:rPr>
        <w:t xml:space="preserve">koģenerācijas </w:t>
      </w:r>
      <w:r w:rsidRPr="00BD6296">
        <w:rPr>
          <w:rFonts w:eastAsia="Times New Roman" w:cs="Times New Roman"/>
          <w:szCs w:val="28"/>
          <w:lang w:eastAsia="lv-LV"/>
        </w:rPr>
        <w:t xml:space="preserve">elektrostacijā </w:t>
      </w:r>
      <w:r w:rsidRPr="00BD6296">
        <w:rPr>
          <w:szCs w:val="24"/>
          <w:lang w:eastAsia="lv-LV"/>
        </w:rPr>
        <w:t>(EUR)</w:t>
      </w:r>
      <w:r w:rsidRPr="00BD6296">
        <w:rPr>
          <w:rFonts w:eastAsia="Times New Roman" w:cs="Times New Roman"/>
          <w:szCs w:val="28"/>
          <w:lang w:eastAsia="lv-LV"/>
        </w:rPr>
        <w:t>;</w:t>
      </w:r>
    </w:p>
    <w:p w14:paraId="102BEE26" w14:textId="2AD7F0CD"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TNP</w:t>
      </w:r>
      <w:r w:rsidRPr="00BD6296">
        <w:rPr>
          <w:rFonts w:eastAsia="Times New Roman" w:cs="Times New Roman"/>
          <w:i/>
          <w:iCs/>
          <w:szCs w:val="28"/>
          <w:vertAlign w:val="subscript"/>
          <w:lang w:eastAsia="lv-LV"/>
        </w:rPr>
        <w:t>t</w:t>
      </w:r>
      <w:proofErr w:type="spellEnd"/>
      <w:r w:rsidRPr="00BD6296">
        <w:rPr>
          <w:rFonts w:eastAsia="Times New Roman" w:cs="Times New Roman"/>
          <w:szCs w:val="28"/>
          <w:lang w:eastAsia="lv-LV"/>
        </w:rPr>
        <w:t xml:space="preserve"> – tīrā naudas plūsma jeb naudas plūsma, kas paliek komersanta rīcībā pēc visu ražošanas izdevumu segšanas, </w:t>
      </w:r>
      <w:r w:rsidR="00DC7A44">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(EUR);</w:t>
      </w:r>
    </w:p>
    <w:p w14:paraId="005BED44" w14:textId="77777777"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r</w:t>
      </w:r>
      <w:r w:rsidRPr="00BD6296">
        <w:rPr>
          <w:rFonts w:eastAsia="Times New Roman" w:cs="Times New Roman"/>
          <w:szCs w:val="28"/>
          <w:lang w:eastAsia="lv-LV"/>
        </w:rPr>
        <w:t> – iekšējā peļņas norma (%);</w:t>
      </w:r>
    </w:p>
    <w:p w14:paraId="7EEAB613" w14:textId="547F7B91" w:rsidR="00E44ED5" w:rsidRDefault="00E44ED5" w:rsidP="00E44ED5">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Pr="00BD6296">
        <w:rPr>
          <w:rFonts w:eastAsia="Times New Roman" w:cs="Times New Roman"/>
          <w:szCs w:val="28"/>
          <w:lang w:eastAsia="lv-LV"/>
        </w:rPr>
        <w:t xml:space="preserve"> – </w:t>
      </w:r>
      <w:r>
        <w:rPr>
          <w:rFonts w:eastAsia="Times New Roman" w:cs="Times New Roman"/>
          <w:szCs w:val="28"/>
          <w:lang w:eastAsia="lv-LV"/>
        </w:rPr>
        <w:t>kalendāra gads</w:t>
      </w:r>
      <w:r w:rsidRPr="00BD6296">
        <w:rPr>
          <w:szCs w:val="24"/>
          <w:lang w:eastAsia="lv-LV"/>
        </w:rPr>
        <w:t xml:space="preserve">, </w:t>
      </w:r>
      <w:r>
        <w:rPr>
          <w:szCs w:val="24"/>
          <w:lang w:eastAsia="lv-LV"/>
        </w:rPr>
        <w:t>par kuru tiek veikts aprēķins</w:t>
      </w:r>
      <w:r>
        <w:rPr>
          <w:rFonts w:eastAsia="Times New Roman" w:cs="Times New Roman"/>
          <w:szCs w:val="28"/>
          <w:lang w:eastAsia="lv-LV"/>
        </w:rPr>
        <w:t>;</w:t>
      </w:r>
    </w:p>
    <w:p w14:paraId="4C23B1A6" w14:textId="6F099155" w:rsidR="00E44ED5" w:rsidRDefault="00E44ED5" w:rsidP="00E44ED5">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00EF34C6" w:rsidRPr="00EF34C6">
        <w:rPr>
          <w:rFonts w:eastAsia="Times New Roman" w:cs="Times New Roman"/>
          <w:iCs/>
          <w:szCs w:val="28"/>
          <w:vertAlign w:val="subscript"/>
          <w:lang w:eastAsia="lv-LV"/>
        </w:rPr>
        <w:t>0</w:t>
      </w:r>
      <w:r w:rsidRPr="00EF34C6">
        <w:rPr>
          <w:rFonts w:eastAsia="Times New Roman" w:cs="Times New Roman"/>
          <w:szCs w:val="28"/>
          <w:vertAlign w:val="subscript"/>
          <w:lang w:eastAsia="lv-LV"/>
        </w:rPr>
        <w:t> </w:t>
      </w:r>
      <w:r w:rsidRPr="00BD6296">
        <w:rPr>
          <w:rFonts w:eastAsia="Times New Roman" w:cs="Times New Roman"/>
          <w:szCs w:val="28"/>
          <w:lang w:eastAsia="lv-LV"/>
        </w:rPr>
        <w:t xml:space="preserve">– </w:t>
      </w:r>
      <w:r>
        <w:rPr>
          <w:rFonts w:eastAsia="Times New Roman" w:cs="Times New Roman"/>
          <w:szCs w:val="28"/>
          <w:lang w:eastAsia="lv-LV"/>
        </w:rPr>
        <w:t>kalendāra gads, kad komersants ir sācis</w:t>
      </w:r>
      <w:r w:rsidRPr="00BD6296">
        <w:rPr>
          <w:rFonts w:eastAsia="Times New Roman" w:cs="Times New Roman"/>
          <w:szCs w:val="28"/>
          <w:lang w:eastAsia="lv-LV"/>
        </w:rPr>
        <w:t xml:space="preserve"> </w:t>
      </w:r>
      <w:r>
        <w:rPr>
          <w:rFonts w:eastAsia="Times New Roman" w:cs="Times New Roman"/>
          <w:szCs w:val="28"/>
          <w:lang w:eastAsia="lv-LV"/>
        </w:rPr>
        <w:t xml:space="preserve">izmantot </w:t>
      </w:r>
      <w:r w:rsidRPr="00BD6296">
        <w:rPr>
          <w:szCs w:val="24"/>
          <w:lang w:eastAsia="lv-LV"/>
        </w:rPr>
        <w:t>tiesīb</w:t>
      </w:r>
      <w:r>
        <w:rPr>
          <w:szCs w:val="24"/>
          <w:lang w:eastAsia="lv-LV"/>
        </w:rPr>
        <w:t>as</w:t>
      </w:r>
      <w:r w:rsidRPr="00BD6296">
        <w:rPr>
          <w:szCs w:val="24"/>
          <w:lang w:eastAsia="lv-LV"/>
        </w:rPr>
        <w:t>, kas piešķirtas saskaņā ar Elektroenerģijas tirgus likuma 28. vai 28.</w:t>
      </w:r>
      <w:r w:rsidRPr="00BD6296">
        <w:rPr>
          <w:szCs w:val="24"/>
          <w:vertAlign w:val="superscript"/>
          <w:lang w:eastAsia="lv-LV"/>
        </w:rPr>
        <w:t>1</w:t>
      </w:r>
      <w:r w:rsidRPr="00BD6296">
        <w:rPr>
          <w:szCs w:val="24"/>
          <w:lang w:eastAsia="lv-LV"/>
        </w:rPr>
        <w:t xml:space="preserve"> pantu</w:t>
      </w:r>
      <w:r>
        <w:rPr>
          <w:rFonts w:eastAsia="Times New Roman" w:cs="Times New Roman"/>
          <w:szCs w:val="28"/>
          <w:lang w:eastAsia="lv-LV"/>
        </w:rPr>
        <w:t>;</w:t>
      </w:r>
    </w:p>
    <w:p w14:paraId="5393262A" w14:textId="2B8308F3" w:rsidR="00EB3ABA" w:rsidRPr="00BD6296" w:rsidRDefault="00EB3ABA" w:rsidP="00EB3ABA">
      <w:pPr>
        <w:shd w:val="clear" w:color="auto" w:fill="FFFFFF"/>
        <w:spacing w:before="100" w:beforeAutospacing="1" w:after="100" w:afterAutospacing="1" w:line="254" w:lineRule="atLeast"/>
        <w:ind w:firstLine="300"/>
        <w:jc w:val="both"/>
        <w:rPr>
          <w:szCs w:val="24"/>
          <w:lang w:eastAsia="lv-LV"/>
        </w:rPr>
      </w:pPr>
      <w:r w:rsidRPr="00BD6296">
        <w:rPr>
          <w:rFonts w:eastAsia="Times New Roman" w:cs="Times New Roman"/>
          <w:i/>
          <w:iCs/>
          <w:szCs w:val="28"/>
          <w:lang w:eastAsia="lv-LV"/>
        </w:rPr>
        <w:t>n</w:t>
      </w:r>
      <w:r w:rsidRPr="00BD6296">
        <w:rPr>
          <w:rFonts w:eastAsia="Times New Roman" w:cs="Times New Roman"/>
          <w:szCs w:val="28"/>
          <w:lang w:eastAsia="lv-LV"/>
        </w:rPr>
        <w:t xml:space="preserve"> – </w:t>
      </w:r>
      <w:r w:rsidR="00E44ED5">
        <w:rPr>
          <w:rFonts w:eastAsia="Times New Roman" w:cs="Times New Roman"/>
          <w:szCs w:val="28"/>
          <w:lang w:eastAsia="lv-LV"/>
        </w:rPr>
        <w:t>kalendāra gads</w:t>
      </w:r>
      <w:r w:rsidRPr="00BD6296">
        <w:rPr>
          <w:szCs w:val="24"/>
          <w:lang w:eastAsia="lv-LV"/>
        </w:rPr>
        <w:t>, ka</w:t>
      </w:r>
      <w:r w:rsidR="00E44ED5">
        <w:rPr>
          <w:szCs w:val="24"/>
          <w:lang w:eastAsia="lv-LV"/>
        </w:rPr>
        <w:t xml:space="preserve">d komersantam beidzas tiesību, kas </w:t>
      </w:r>
      <w:r w:rsidRPr="00BD6296">
        <w:rPr>
          <w:szCs w:val="24"/>
          <w:lang w:eastAsia="lv-LV"/>
        </w:rPr>
        <w:t>piešķirtas saskaņā ar Elektroenerģijas tirgus likuma 28. vai 28.</w:t>
      </w:r>
      <w:r w:rsidRPr="00BD6296">
        <w:rPr>
          <w:szCs w:val="24"/>
          <w:vertAlign w:val="superscript"/>
          <w:lang w:eastAsia="lv-LV"/>
        </w:rPr>
        <w:t>1</w:t>
      </w:r>
      <w:r w:rsidRPr="00BD6296">
        <w:rPr>
          <w:szCs w:val="24"/>
          <w:lang w:eastAsia="lv-LV"/>
        </w:rPr>
        <w:t xml:space="preserve"> pantu, izmantošanas laiks.</w:t>
      </w:r>
    </w:p>
    <w:p w14:paraId="4F71F394" w14:textId="1E2A8328" w:rsidR="00EF34C6" w:rsidRPr="00BD6296" w:rsidRDefault="00EB3ABA" w:rsidP="00EF34C6">
      <w:pPr>
        <w:shd w:val="clear" w:color="auto" w:fill="FFFFFF"/>
        <w:spacing w:before="100" w:beforeAutospacing="1" w:after="100" w:afterAutospacing="1" w:line="254" w:lineRule="atLeast"/>
        <w:ind w:firstLine="300"/>
        <w:jc w:val="both"/>
        <w:rPr>
          <w:szCs w:val="24"/>
          <w:lang w:eastAsia="lv-LV"/>
        </w:rPr>
      </w:pPr>
      <w:r w:rsidRPr="00BD6296">
        <w:rPr>
          <w:szCs w:val="24"/>
          <w:lang w:eastAsia="lv-LV"/>
        </w:rPr>
        <w:t xml:space="preserve">3. </w:t>
      </w:r>
      <w:r w:rsidR="00EF34C6" w:rsidRPr="00BD6296">
        <w:rPr>
          <w:rFonts w:eastAsia="Times New Roman" w:cs="Times New Roman"/>
          <w:szCs w:val="28"/>
          <w:lang w:eastAsia="lv-LV"/>
        </w:rPr>
        <w:t xml:space="preserve">Komersanta sākotnējās investīcijas </w:t>
      </w:r>
      <w:r w:rsidR="008831D9">
        <w:rPr>
          <w:rFonts w:eastAsia="Times New Roman" w:cs="Times New Roman"/>
          <w:szCs w:val="28"/>
          <w:lang w:eastAsia="lv-LV"/>
        </w:rPr>
        <w:t xml:space="preserve">koģenerācijas </w:t>
      </w:r>
      <w:r w:rsidR="00EF34C6" w:rsidRPr="00BD6296">
        <w:rPr>
          <w:rFonts w:eastAsia="Times New Roman" w:cs="Times New Roman"/>
          <w:szCs w:val="28"/>
          <w:lang w:eastAsia="lv-LV"/>
        </w:rPr>
        <w:t>elektrostacijā</w:t>
      </w:r>
      <w:r w:rsidR="00EF34C6" w:rsidRPr="00BD6296">
        <w:rPr>
          <w:rFonts w:eastAsia="Times New Roman" w:cs="Times New Roman"/>
          <w:i/>
          <w:iCs/>
          <w:szCs w:val="28"/>
          <w:lang w:eastAsia="lv-LV"/>
        </w:rPr>
        <w:t xml:space="preserve"> I</w:t>
      </w:r>
      <w:r w:rsidR="00EF34C6" w:rsidRPr="00BD6296">
        <w:rPr>
          <w:rFonts w:eastAsia="Times New Roman" w:cs="Times New Roman"/>
          <w:iCs/>
          <w:szCs w:val="28"/>
          <w:vertAlign w:val="subscript"/>
          <w:lang w:eastAsia="lv-LV"/>
        </w:rPr>
        <w:t>0</w:t>
      </w:r>
      <w:r w:rsidR="00EF34C6" w:rsidRPr="00BD6296">
        <w:rPr>
          <w:szCs w:val="24"/>
          <w:lang w:eastAsia="lv-LV"/>
        </w:rPr>
        <w:t xml:space="preserve"> </w:t>
      </w:r>
      <w:r w:rsidR="00EF34C6" w:rsidRPr="00BD6296">
        <w:rPr>
          <w:rFonts w:eastAsia="Times New Roman" w:cs="Times New Roman"/>
          <w:szCs w:val="28"/>
          <w:lang w:eastAsia="lv-LV"/>
        </w:rPr>
        <w:t>aprēķina, izmantojot formulu</w:t>
      </w:r>
      <w:r w:rsidR="00EF34C6" w:rsidRPr="00BD6296">
        <w:rPr>
          <w:szCs w:val="24"/>
          <w:lang w:eastAsia="lv-LV"/>
        </w:rPr>
        <w:t>:</w:t>
      </w:r>
    </w:p>
    <w:p w14:paraId="619A5559" w14:textId="77777777" w:rsidR="00EF34C6" w:rsidRPr="00BD6296" w:rsidRDefault="00FE1565" w:rsidP="00EF34C6">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pārv</m:t>
            </m:r>
          </m:sub>
        </m:sSub>
      </m:oMath>
      <w:r w:rsidR="00EF34C6" w:rsidRPr="00BD6296">
        <w:rPr>
          <w:rFonts w:eastAsia="Times New Roman" w:cs="Times New Roman"/>
          <w:szCs w:val="28"/>
          <w:lang w:eastAsia="lv-LV"/>
        </w:rPr>
        <w:t>, kur</w:t>
      </w:r>
    </w:p>
    <w:p w14:paraId="78C91657" w14:textId="7758DB5E" w:rsidR="00EF34C6" w:rsidRPr="00BD6296" w:rsidRDefault="00FE1565" w:rsidP="00EF34C6">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oMath>
      <w:r w:rsidR="00EF34C6" w:rsidRPr="00BD6296">
        <w:rPr>
          <w:rFonts w:eastAsia="Times New Roman" w:cs="Times New Roman"/>
          <w:szCs w:val="28"/>
          <w:lang w:eastAsia="lv-LV"/>
        </w:rPr>
        <w:t> –</w:t>
      </w:r>
      <w:r w:rsidR="008831D9">
        <w:rPr>
          <w:rFonts w:eastAsia="Times New Roman" w:cs="Times New Roman"/>
          <w:szCs w:val="28"/>
          <w:lang w:eastAsia="lv-LV"/>
        </w:rPr>
        <w:t xml:space="preserve"> koģenerācijas</w:t>
      </w:r>
      <w:r w:rsidR="00EF34C6" w:rsidRPr="00BD6296">
        <w:rPr>
          <w:rFonts w:eastAsia="Times New Roman" w:cs="Times New Roman"/>
          <w:szCs w:val="28"/>
          <w:lang w:eastAsia="lv-LV"/>
        </w:rPr>
        <w:t xml:space="preserve"> 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kas norādīta līgumā ar publisko tirgotāju kalendāra gadā</w:t>
      </w:r>
      <w:r w:rsidR="008831D9">
        <w:rPr>
          <w:rFonts w:eastAsia="Times New Roman" w:cs="Times New Roman"/>
          <w:szCs w:val="28"/>
          <w:lang w:eastAsia="lv-LV"/>
        </w:rPr>
        <w:t xml:space="preserve"> </w:t>
      </w:r>
      <w:r w:rsidR="008831D9" w:rsidRPr="00BD6296">
        <w:rPr>
          <w:rFonts w:eastAsia="Times New Roman" w:cs="Times New Roman"/>
          <w:i/>
          <w:iCs/>
          <w:szCs w:val="28"/>
          <w:lang w:eastAsia="lv-LV"/>
        </w:rPr>
        <w:t>t</w:t>
      </w:r>
      <w:r w:rsidR="008831D9" w:rsidRPr="00EF34C6">
        <w:rPr>
          <w:rFonts w:eastAsia="Times New Roman" w:cs="Times New Roman"/>
          <w:iCs/>
          <w:szCs w:val="28"/>
          <w:vertAlign w:val="subscript"/>
          <w:lang w:eastAsia="lv-LV"/>
        </w:rPr>
        <w:t>0</w:t>
      </w:r>
      <w:r w:rsidR="00EF34C6" w:rsidRPr="00BD6296">
        <w:rPr>
          <w:rFonts w:eastAsia="Times New Roman" w:cs="Times New Roman"/>
          <w:szCs w:val="28"/>
          <w:lang w:eastAsia="lv-LV"/>
        </w:rPr>
        <w:t>;</w:t>
      </w:r>
    </w:p>
    <w:p w14:paraId="556AEDBB" w14:textId="124A8C22"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īp </m:t>
            </m:r>
          </m:sub>
        </m:sSub>
        <m:r>
          <w:rPr>
            <w:rFonts w:ascii="Cambria Math" w:eastAsia="Times New Roman" w:hAnsi="Cambria Math" w:cs="Times New Roman"/>
            <w:szCs w:val="28"/>
            <w:lang w:eastAsia="lv-LV"/>
          </w:rPr>
          <m:t> </m:t>
        </m:r>
      </m:oMath>
      <w:r w:rsidR="00EF34C6" w:rsidRPr="00BD6296">
        <w:rPr>
          <w:rFonts w:eastAsia="Times New Roman" w:cs="Times New Roman"/>
          <w:szCs w:val="28"/>
          <w:lang w:eastAsia="lv-LV"/>
        </w:rPr>
        <w:t xml:space="preserve">– komersanta </w:t>
      </w:r>
      <w:r w:rsidR="008831D9">
        <w:rPr>
          <w:rFonts w:eastAsia="Times New Roman" w:cs="Times New Roman"/>
          <w:szCs w:val="28"/>
          <w:lang w:eastAsia="lv-LV"/>
        </w:rPr>
        <w:t>koģenerācijas</w:t>
      </w:r>
      <w:r w:rsidR="008831D9"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īpatnējo investīciju līmeņatzīme (EUR/kW), kas atkarībā no </w:t>
      </w:r>
      <w:r w:rsidR="008831D9">
        <w:rPr>
          <w:rFonts w:eastAsia="Times New Roman" w:cs="Times New Roman"/>
          <w:szCs w:val="28"/>
          <w:lang w:eastAsia="lv-LV"/>
        </w:rPr>
        <w:t>koģenerācijas</w:t>
      </w:r>
      <w:r w:rsidR="008831D9"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w:t>
      </w:r>
      <w:r w:rsidR="00E82E3D" w:rsidRPr="00BD6296">
        <w:rPr>
          <w:rFonts w:eastAsia="Times New Roman" w:cs="Times New Roman"/>
          <w:szCs w:val="28"/>
          <w:lang w:eastAsia="lv-LV"/>
        </w:rPr>
        <w:t xml:space="preserve">izmantotā </w:t>
      </w:r>
      <w:r w:rsidR="00F33965">
        <w:rPr>
          <w:rFonts w:eastAsia="Times New Roman" w:cs="Times New Roman"/>
          <w:szCs w:val="28"/>
          <w:lang w:eastAsia="lv-LV"/>
        </w:rPr>
        <w:t>kurināmā</w:t>
      </w:r>
      <w:r w:rsidR="00E82E3D" w:rsidRPr="00BD6296">
        <w:rPr>
          <w:rFonts w:eastAsia="Times New Roman" w:cs="Times New Roman"/>
          <w:szCs w:val="28"/>
          <w:lang w:eastAsia="lv-LV"/>
        </w:rPr>
        <w:t xml:space="preserve"> veida</w:t>
      </w:r>
      <w:r w:rsidR="00EF34C6" w:rsidRPr="00BD6296">
        <w:rPr>
          <w:rFonts w:eastAsia="Times New Roman" w:cs="Times New Roman"/>
          <w:szCs w:val="28"/>
          <w:lang w:eastAsia="lv-LV"/>
        </w:rPr>
        <w:t xml:space="preserve"> un </w:t>
      </w:r>
      <w:r w:rsidR="00EF34C6">
        <w:rPr>
          <w:rFonts w:eastAsia="Times New Roman" w:cs="Times New Roman"/>
          <w:szCs w:val="28"/>
          <w:lang w:eastAsia="lv-LV"/>
        </w:rPr>
        <w:t>attiecīg</w:t>
      </w:r>
      <w:r w:rsidR="00E82E3D">
        <w:rPr>
          <w:rFonts w:eastAsia="Times New Roman" w:cs="Times New Roman"/>
          <w:szCs w:val="28"/>
          <w:lang w:eastAsia="lv-LV"/>
        </w:rPr>
        <w:t>aj</w:t>
      </w:r>
      <w:r w:rsidR="00EF34C6">
        <w:rPr>
          <w:rFonts w:eastAsia="Times New Roman" w:cs="Times New Roman"/>
          <w:szCs w:val="28"/>
          <w:lang w:eastAsia="lv-LV"/>
        </w:rPr>
        <w:t>ā laika periodā</w:t>
      </w:r>
      <w:r w:rsidR="00EF34C6" w:rsidRPr="00BD6296">
        <w:rPr>
          <w:rFonts w:eastAsia="Times New Roman" w:cs="Times New Roman"/>
          <w:szCs w:val="28"/>
          <w:lang w:eastAsia="lv-LV"/>
        </w:rPr>
        <w:t xml:space="preserve"> uzstādītās elektriskās jaudas</w:t>
      </w:r>
      <w:r w:rsidR="006E6E1B">
        <w:rPr>
          <w:rFonts w:eastAsia="Times New Roman" w:cs="Times New Roman"/>
          <w:szCs w:val="28"/>
          <w:lang w:eastAsia="lv-LV"/>
        </w:rPr>
        <w:t xml:space="preserve">, kas norādīta līgumā ar publisko tirgotāju,  </w:t>
      </w:r>
      <w:r w:rsidR="00EF34C6" w:rsidRPr="00BD6296">
        <w:rPr>
          <w:rFonts w:eastAsia="Times New Roman" w:cs="Times New Roman"/>
          <w:szCs w:val="28"/>
          <w:lang w:eastAsia="lv-LV"/>
        </w:rPr>
        <w:t xml:space="preserve">ir noteikta šī pielikuma </w:t>
      </w:r>
      <w:r w:rsidR="00EF34C6">
        <w:rPr>
          <w:rFonts w:eastAsia="Times New Roman" w:cs="Times New Roman"/>
          <w:szCs w:val="28"/>
          <w:lang w:eastAsia="lv-LV"/>
        </w:rPr>
        <w:t xml:space="preserve">3.,6. un 8. </w:t>
      </w:r>
      <w:r w:rsidR="00EF34C6" w:rsidRPr="003C48F8">
        <w:rPr>
          <w:rFonts w:eastAsia="Times New Roman" w:cs="Times New Roman"/>
          <w:szCs w:val="28"/>
          <w:lang w:eastAsia="lv-LV"/>
        </w:rPr>
        <w:t>tabulā</w:t>
      </w:r>
      <w:r w:rsidR="00EF34C6" w:rsidRPr="00BD6296">
        <w:rPr>
          <w:rFonts w:eastAsia="Times New Roman" w:cs="Times New Roman"/>
          <w:szCs w:val="28"/>
          <w:lang w:eastAsia="lv-LV"/>
        </w:rPr>
        <w:t>;</w:t>
      </w:r>
    </w:p>
    <w:p w14:paraId="022F0EF5" w14:textId="434BD9D1" w:rsidR="00EF34C6" w:rsidRDefault="00EF34C6"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 komersanta </w:t>
      </w:r>
      <w:r w:rsidR="008831D9">
        <w:rPr>
          <w:rFonts w:eastAsia="Times New Roman" w:cs="Times New Roman"/>
          <w:szCs w:val="28"/>
          <w:lang w:eastAsia="lv-LV"/>
        </w:rPr>
        <w:t>koģenerācijas</w:t>
      </w:r>
      <w:r w:rsidR="008831D9" w:rsidRPr="00BD6296">
        <w:rPr>
          <w:rFonts w:eastAsia="Times New Roman" w:cs="Times New Roman"/>
          <w:szCs w:val="28"/>
          <w:lang w:eastAsia="lv-LV"/>
        </w:rPr>
        <w:t xml:space="preserve"> </w:t>
      </w:r>
      <w:r w:rsidRPr="00BD6296">
        <w:rPr>
          <w:rFonts w:eastAsia="Times New Roman" w:cs="Times New Roman"/>
          <w:szCs w:val="28"/>
          <w:lang w:eastAsia="lv-LV"/>
        </w:rPr>
        <w:t xml:space="preserve">elektrostacijas faktiskās elektroenerģijas pieslēguma izmaksas elektroenerģijas pārvades tīklam (EUR). Ja 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Pr="00BD6296">
        <w:rPr>
          <w:rFonts w:eastAsia="Times New Roman" w:cs="Times New Roman"/>
          <w:szCs w:val="28"/>
          <w:lang w:eastAsia="lv-LV"/>
        </w:rPr>
        <w:t xml:space="preserve">elektrostacija ir pieslēgta elektroenerģijas sadales tīklam, </w:t>
      </w: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ir 0;</w:t>
      </w:r>
    </w:p>
    <w:p w14:paraId="6EC68F41" w14:textId="77777777" w:rsidR="00EF34C6" w:rsidRPr="00BD6296" w:rsidRDefault="00DC7A44" w:rsidP="00EF34C6">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 xml:space="preserve">4. </w:t>
      </w:r>
      <w:r w:rsidR="00EF34C6" w:rsidRPr="00BD6296">
        <w:rPr>
          <w:rFonts w:eastAsia="Times New Roman" w:cs="Times New Roman"/>
          <w:szCs w:val="28"/>
          <w:lang w:eastAsia="lv-LV"/>
        </w:rPr>
        <w:t xml:space="preserve">Tīro naudas plūsmu </w:t>
      </w:r>
      <w:r w:rsidR="00EF34C6">
        <w:rPr>
          <w:rFonts w:eastAsia="Times New Roman" w:cs="Times New Roman"/>
          <w:szCs w:val="28"/>
          <w:lang w:eastAsia="lv-LV"/>
        </w:rPr>
        <w:t>kalendāra gadā</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D6296">
        <w:rPr>
          <w:rFonts w:eastAsia="Times New Roman" w:cs="Times New Roman"/>
          <w:szCs w:val="28"/>
          <w:lang w:eastAsia="lv-LV"/>
        </w:rPr>
        <w:t>aprēķina, izmantojot formulu</w:t>
      </w:r>
      <w:r w:rsidR="00EF34C6" w:rsidRPr="00BD6296">
        <w:rPr>
          <w:szCs w:val="24"/>
          <w:lang w:eastAsia="lv-LV"/>
        </w:rPr>
        <w:t>:</w:t>
      </w:r>
    </w:p>
    <w:p w14:paraId="5272B3D0" w14:textId="77777777" w:rsidR="00EF34C6" w:rsidRPr="00BD6296" w:rsidRDefault="00FE1565" w:rsidP="00EF34C6">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r>
          <w:rPr>
            <w:rFonts w:ascii="Cambria Math" w:eastAsia="Times New Roman" w:hAnsi="Cambria Math" w:cs="Times New Roman"/>
            <w:szCs w:val="28"/>
            <w:lang w:eastAsia="lv-LV"/>
          </w:rPr>
          <m:t>=</m:t>
        </m:r>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i</m:t>
            </m:r>
            <m:r>
              <m:rPr>
                <m:sty m:val="p"/>
              </m:rPr>
              <w:rPr>
                <w:rFonts w:ascii="Cambria Math" w:eastAsia="Times New Roman" w:hAnsi="Cambria Math" w:cs="Times New Roman"/>
                <w:szCs w:val="28"/>
                <w:lang w:eastAsia="lv-LV"/>
              </w:rPr>
              <m:t>=1</m:t>
            </m:r>
          </m:sub>
          <m:sup>
            <m:r>
              <w:rPr>
                <w:rFonts w:ascii="Cambria Math" w:eastAsia="Times New Roman" w:hAnsi="Cambria Math" w:cs="Times New Roman"/>
                <w:szCs w:val="28"/>
                <w:lang w:eastAsia="lv-LV"/>
              </w:rPr>
              <m:t>12</m:t>
            </m:r>
          </m:sup>
          <m:e>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t</m:t>
                </m:r>
              </m:sub>
            </m:sSub>
          </m:e>
        </m:nary>
      </m:oMath>
      <w:r w:rsidR="00EF34C6" w:rsidRPr="00BD6296">
        <w:rPr>
          <w:rFonts w:eastAsia="Times New Roman" w:cs="Times New Roman"/>
          <w:szCs w:val="28"/>
          <w:lang w:eastAsia="lv-LV"/>
        </w:rPr>
        <w:t>, kur</w:t>
      </w:r>
    </w:p>
    <w:p w14:paraId="15690E81" w14:textId="77777777" w:rsidR="00EF34C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xml:space="preserve"> – tīrā naudas plūsma jeb naudas plūsma, kas paliek komersanta rīcībā pēc visu ražošanas izdevumu segšanas,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Pr>
          <w:rFonts w:eastAsia="Times New Roman" w:cs="Times New Roman"/>
          <w:szCs w:val="28"/>
          <w:lang w:eastAsia="lv-LV"/>
        </w:rPr>
        <w:t>(EUR);</w:t>
      </w:r>
    </w:p>
    <w:p w14:paraId="7A5E1977" w14:textId="44C79778" w:rsidR="00EF34C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EF34C6" w:rsidRPr="00BD6296">
        <w:rPr>
          <w:rFonts w:eastAsia="Times New Roman" w:cs="Times New Roman"/>
          <w:szCs w:val="28"/>
          <w:lang w:eastAsia="lv-LV"/>
        </w:rPr>
        <w:t> – sākotnējo investīciju</w:t>
      </w:r>
      <w:r w:rsidR="00EF34C6">
        <w:rPr>
          <w:rFonts w:eastAsia="Times New Roman" w:cs="Times New Roman"/>
          <w:szCs w:val="28"/>
          <w:lang w:eastAsia="lv-LV"/>
        </w:rPr>
        <w:t xml:space="preserve"> </w:t>
      </w:r>
      <w:r w:rsidR="00E82E3D">
        <w:rPr>
          <w:rFonts w:eastAsia="Times New Roman" w:cs="Times New Roman"/>
          <w:szCs w:val="28"/>
          <w:lang w:eastAsia="lv-LV"/>
        </w:rPr>
        <w:t xml:space="preserve">koģenerācijas </w:t>
      </w:r>
      <w:r w:rsidR="00EF34C6">
        <w:rPr>
          <w:rFonts w:eastAsia="Times New Roman" w:cs="Times New Roman"/>
          <w:szCs w:val="28"/>
          <w:lang w:eastAsia="lv-LV"/>
        </w:rPr>
        <w:t>elektrostacijā korekcija (EUR);</w:t>
      </w:r>
    </w:p>
    <w:p w14:paraId="0703E9B0" w14:textId="0FCE6517" w:rsidR="00EF34C6" w:rsidRPr="00BD6296" w:rsidRDefault="00EF34C6"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D</w:t>
      </w:r>
      <w:r>
        <w:rPr>
          <w:rFonts w:eastAsia="Times New Roman" w:cs="Times New Roman"/>
          <w:i/>
          <w:iCs/>
          <w:szCs w:val="28"/>
          <w:vertAlign w:val="subscript"/>
          <w:lang w:eastAsia="lv-LV"/>
        </w:rPr>
        <w:t>t</w:t>
      </w:r>
      <w:proofErr w:type="spellEnd"/>
      <w:r>
        <w:rPr>
          <w:rFonts w:eastAsia="Times New Roman" w:cs="Times New Roman"/>
          <w:szCs w:val="28"/>
          <w:lang w:eastAsia="lv-LV"/>
        </w:rPr>
        <w:t xml:space="preserve"> </w:t>
      </w:r>
      <w:r w:rsidRPr="00BD6296">
        <w:rPr>
          <w:rFonts w:eastAsia="Times New Roman" w:cs="Times New Roman"/>
          <w:szCs w:val="28"/>
          <w:lang w:eastAsia="lv-LV"/>
        </w:rPr>
        <w:t xml:space="preserve">–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par komersanta</w:t>
      </w:r>
      <w:r w:rsidR="00E82E3D">
        <w:rPr>
          <w:rFonts w:eastAsia="Times New Roman" w:cs="Times New Roman"/>
          <w:szCs w:val="28"/>
          <w:lang w:eastAsia="lv-LV"/>
        </w:rPr>
        <w:t xml:space="preserve"> koģenerācijas</w:t>
      </w:r>
      <w:r w:rsidRPr="00BD6296">
        <w:rPr>
          <w:rFonts w:eastAsia="Times New Roman" w:cs="Times New Roman"/>
          <w:szCs w:val="28"/>
          <w:lang w:eastAsia="lv-LV"/>
        </w:rPr>
        <w:t xml:space="preserve">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668C5D3A" w14:textId="77777777" w:rsidR="00EF34C6" w:rsidRPr="00BD6296" w:rsidRDefault="00B93A45" w:rsidP="00EF34C6">
      <w:pPr>
        <w:shd w:val="clear" w:color="auto" w:fill="FFFFFF"/>
        <w:spacing w:before="100" w:beforeAutospacing="1" w:after="100" w:afterAutospacing="1" w:line="254" w:lineRule="atLeast"/>
        <w:ind w:firstLine="300"/>
        <w:jc w:val="both"/>
        <w:rPr>
          <w:szCs w:val="24"/>
          <w:lang w:eastAsia="lv-LV"/>
        </w:rPr>
      </w:pPr>
      <w:r>
        <w:rPr>
          <w:szCs w:val="24"/>
          <w:lang w:eastAsia="lv-LV"/>
        </w:rPr>
        <w:t>5</w:t>
      </w:r>
      <w:r w:rsidR="00EB3ABA" w:rsidRPr="00BD6296">
        <w:rPr>
          <w:szCs w:val="24"/>
          <w:lang w:eastAsia="lv-LV"/>
        </w:rPr>
        <w:t xml:space="preserve">. </w:t>
      </w:r>
      <w:r w:rsidR="00EF34C6" w:rsidRPr="00BD6296">
        <w:rPr>
          <w:rFonts w:eastAsia="Times New Roman" w:cs="Times New Roman"/>
          <w:szCs w:val="28"/>
          <w:lang w:eastAsia="lv-LV"/>
        </w:rPr>
        <w:t xml:space="preserve">Tīro naudas plūsmu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aprēķina, izmantojot formulu</w:t>
      </w:r>
      <w:r w:rsidR="00EF34C6" w:rsidRPr="00BD6296">
        <w:rPr>
          <w:szCs w:val="24"/>
          <w:lang w:eastAsia="lv-LV"/>
        </w:rPr>
        <w:t>:</w:t>
      </w:r>
    </w:p>
    <w:p w14:paraId="31E1625F" w14:textId="77777777" w:rsidR="00EF34C6" w:rsidRPr="00BD6296" w:rsidRDefault="00FE1565" w:rsidP="00EF34C6">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kur</w:t>
      </w:r>
    </w:p>
    <w:p w14:paraId="2E87AA5C" w14:textId="7BF5463A"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xml:space="preserve">–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ieņēmumi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(EUR);</w:t>
      </w:r>
    </w:p>
    <w:p w14:paraId="259F48B7" w14:textId="4AC0265A"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rFonts w:eastAsia="Times New Roman" w:cs="Times New Roman"/>
          <w:szCs w:val="28"/>
          <w:lang w:eastAsia="lv-LV"/>
        </w:rPr>
        <w:t xml:space="preserve">–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izdevumi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(EUR);</w:t>
      </w:r>
    </w:p>
    <w:p w14:paraId="56A254AD" w14:textId="68F4555C" w:rsidR="00EF34C6" w:rsidRPr="00BD6296" w:rsidRDefault="006D4189" w:rsidP="00EF34C6">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6</w:t>
      </w:r>
      <w:r w:rsidR="00EB3ABA"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Ja </w:t>
      </w:r>
      <w:r w:rsidR="00EF34C6">
        <w:rPr>
          <w:rFonts w:eastAsia="Times New Roman" w:cs="Times New Roman"/>
          <w:szCs w:val="28"/>
          <w:lang w:eastAsia="lv-LV"/>
        </w:rPr>
        <w:t>kalendāra gadā</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D6296">
        <w:rPr>
          <w:rFonts w:eastAsia="Times New Roman" w:cs="Times New Roman"/>
          <w:szCs w:val="28"/>
          <w:lang w:eastAsia="lv-LV"/>
        </w:rPr>
        <w:t xml:space="preserve">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elektrostacijas uzstādītā elektriskā jauda</w:t>
      </w:r>
      <w:r w:rsidR="00EF34C6">
        <w:rPr>
          <w:rFonts w:eastAsia="Times New Roman" w:cs="Times New Roman"/>
          <w:szCs w:val="28"/>
          <w:lang w:eastAsia="lv-LV"/>
        </w:rPr>
        <w:t>, kas norādīta līgumā ar publisko tirgotāju,</w:t>
      </w:r>
      <w:r w:rsidR="00EF34C6" w:rsidRPr="00BD6296">
        <w:rPr>
          <w:rFonts w:eastAsia="Times New Roman" w:cs="Times New Roman"/>
          <w:szCs w:val="28"/>
          <w:lang w:eastAsia="lv-LV"/>
        </w:rPr>
        <w:t xml:space="preserve"> nav palielinājusies, sākotnējo investīciju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elektrostacijā korekcija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EF34C6" w:rsidRPr="00BD6296">
        <w:rPr>
          <w:rFonts w:eastAsia="Times New Roman" w:cs="Times New Roman"/>
          <w:szCs w:val="28"/>
          <w:lang w:eastAsia="lv-LV"/>
        </w:rPr>
        <w:t xml:space="preserve"> ir 0 EUR. Ja </w:t>
      </w:r>
      <w:r w:rsidR="00EF34C6">
        <w:rPr>
          <w:rFonts w:eastAsia="Times New Roman" w:cs="Times New Roman"/>
          <w:szCs w:val="28"/>
          <w:lang w:eastAsia="lv-LV"/>
        </w:rPr>
        <w:t>kalendāra gadā</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D6296">
        <w:rPr>
          <w:rFonts w:eastAsia="Times New Roman" w:cs="Times New Roman"/>
          <w:szCs w:val="28"/>
          <w:lang w:eastAsia="lv-LV"/>
        </w:rPr>
        <w:t xml:space="preserve">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elektrostacijas uzstādītā elektriskā jauda</w:t>
      </w:r>
      <w:r w:rsidR="00EF34C6">
        <w:rPr>
          <w:rFonts w:eastAsia="Times New Roman" w:cs="Times New Roman"/>
          <w:szCs w:val="28"/>
          <w:lang w:eastAsia="lv-LV"/>
        </w:rPr>
        <w:t>, kas norādīta līgumā ar publisko tirgotāju,</w:t>
      </w:r>
      <w:r w:rsidR="00EF34C6" w:rsidRPr="00BD6296">
        <w:rPr>
          <w:rFonts w:eastAsia="Times New Roman" w:cs="Times New Roman"/>
          <w:szCs w:val="28"/>
          <w:lang w:eastAsia="lv-LV"/>
        </w:rPr>
        <w:t xml:space="preserve"> ir palielinājusies, sākotnējo </w:t>
      </w:r>
      <w:r w:rsidR="00EF34C6" w:rsidRPr="00BD6296">
        <w:rPr>
          <w:rFonts w:eastAsia="Times New Roman" w:cs="Times New Roman"/>
          <w:szCs w:val="28"/>
          <w:lang w:eastAsia="lv-LV"/>
        </w:rPr>
        <w:lastRenderedPageBreak/>
        <w:t xml:space="preserve">investīciju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elektrostacijā korekciju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EF34C6" w:rsidRPr="00BD6296">
        <w:rPr>
          <w:rFonts w:eastAsia="Times New Roman" w:cs="Times New Roman"/>
          <w:szCs w:val="28"/>
          <w:lang w:eastAsia="lv-LV"/>
        </w:rPr>
        <w:t xml:space="preserve"> aprēķina, izmantojot formulu</w:t>
      </w:r>
      <w:r w:rsidR="00EF34C6" w:rsidRPr="00BD6296">
        <w:rPr>
          <w:szCs w:val="24"/>
          <w:lang w:eastAsia="lv-LV"/>
        </w:rPr>
        <w:t>:</w:t>
      </w:r>
    </w:p>
    <w:p w14:paraId="2C9760F1" w14:textId="77777777" w:rsidR="00EF34C6" w:rsidRDefault="00FE1565" w:rsidP="00EF34C6">
      <w:pPr>
        <w:shd w:val="clear" w:color="auto" w:fill="FFFFFF"/>
        <w:spacing w:before="100" w:beforeAutospacing="1" w:after="100" w:afterAutospacing="1" w:line="254" w:lineRule="atLeast"/>
        <w:ind w:firstLine="300"/>
        <w:jc w:val="center"/>
        <w:rPr>
          <w:rFonts w:eastAsiaTheme="minorEastAsia"/>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 xml:space="preserve">×1000)-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t-1</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oMath>
      <w:r w:rsidR="00EF34C6">
        <w:rPr>
          <w:rFonts w:eastAsiaTheme="minorEastAsia"/>
          <w:szCs w:val="28"/>
          <w:lang w:eastAsia="lv-LV"/>
        </w:rPr>
        <w:t>, kur</w:t>
      </w:r>
    </w:p>
    <w:p w14:paraId="466ECD33" w14:textId="1E68462F" w:rsidR="00EF34C6" w:rsidRDefault="00FE1565" w:rsidP="00EF34C6">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 </m:t>
            </m:r>
          </m:sub>
        </m:sSub>
      </m:oMath>
      <w:r w:rsidR="00EF34C6" w:rsidRPr="00BD6296">
        <w:rPr>
          <w:rFonts w:eastAsia="Times New Roman" w:cs="Times New Roman"/>
          <w:szCs w:val="28"/>
          <w:lang w:eastAsia="lv-LV"/>
        </w:rPr>
        <w:t xml:space="preserve"> –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kas norādīta līgumā ar publisko tirgotāju kalendāra gadā </w:t>
      </w:r>
      <w:r w:rsidR="00EF34C6" w:rsidRPr="00BD6296">
        <w:rPr>
          <w:rFonts w:eastAsia="Times New Roman" w:cs="Times New Roman"/>
          <w:i/>
          <w:iCs/>
          <w:szCs w:val="28"/>
          <w:lang w:eastAsia="lv-LV"/>
        </w:rPr>
        <w:t>t</w:t>
      </w:r>
      <w:r w:rsidR="00EF34C6" w:rsidRPr="00BD6296">
        <w:rPr>
          <w:rFonts w:eastAsia="Times New Roman" w:cs="Times New Roman"/>
          <w:szCs w:val="28"/>
          <w:lang w:eastAsia="lv-LV"/>
        </w:rPr>
        <w:t>;</w:t>
      </w:r>
    </w:p>
    <w:p w14:paraId="23C2FA97" w14:textId="79CC03D1" w:rsidR="00EF34C6" w:rsidRDefault="00FE1565" w:rsidP="00EF34C6">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t-1 </m:t>
            </m:r>
          </m:sub>
        </m:sSub>
      </m:oMath>
      <w:r w:rsidR="00EF34C6" w:rsidRPr="00BD6296">
        <w:rPr>
          <w:rFonts w:eastAsia="Times New Roman" w:cs="Times New Roman"/>
          <w:szCs w:val="28"/>
          <w:lang w:eastAsia="lv-LV"/>
        </w:rPr>
        <w:t> –</w:t>
      </w:r>
      <w:r w:rsidR="00E82E3D" w:rsidRPr="00E82E3D">
        <w:rPr>
          <w:rFonts w:eastAsia="Times New Roman" w:cs="Times New Roman"/>
          <w:szCs w:val="28"/>
          <w:lang w:eastAsia="lv-LV"/>
        </w:rPr>
        <w:t xml:space="preserve"> </w:t>
      </w:r>
      <w:r w:rsidR="00E82E3D">
        <w:rPr>
          <w:rFonts w:eastAsia="Times New Roman" w:cs="Times New Roman"/>
          <w:szCs w:val="28"/>
          <w:lang w:eastAsia="lv-LV"/>
        </w:rPr>
        <w:t>koģenerācijas</w:t>
      </w:r>
      <w:r w:rsidR="00EF34C6" w:rsidRPr="00BD6296">
        <w:rPr>
          <w:rFonts w:eastAsia="Times New Roman" w:cs="Times New Roman"/>
          <w:szCs w:val="28"/>
          <w:lang w:eastAsia="lv-LV"/>
        </w:rPr>
        <w:t xml:space="preserve"> 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kas norādīta līgumā ar publisko tirgotāju kalendāra gadā </w:t>
      </w:r>
      <w:r w:rsidR="00EF34C6" w:rsidRPr="00BD6296">
        <w:rPr>
          <w:rFonts w:eastAsia="Times New Roman" w:cs="Times New Roman"/>
          <w:i/>
          <w:iCs/>
          <w:szCs w:val="28"/>
          <w:lang w:eastAsia="lv-LV"/>
        </w:rPr>
        <w:t>t</w:t>
      </w:r>
      <w:r w:rsidR="00EF34C6" w:rsidRPr="001B5DB2">
        <w:rPr>
          <w:rFonts w:eastAsia="Times New Roman" w:cs="Times New Roman"/>
          <w:iCs/>
          <w:szCs w:val="28"/>
          <w:lang w:eastAsia="lv-LV"/>
        </w:rPr>
        <w:t>-1</w:t>
      </w:r>
      <w:r w:rsidR="00EF34C6">
        <w:rPr>
          <w:rFonts w:eastAsia="Times New Roman" w:cs="Times New Roman"/>
          <w:szCs w:val="28"/>
          <w:lang w:eastAsia="lv-LV"/>
        </w:rPr>
        <w:t>.</w:t>
      </w:r>
    </w:p>
    <w:p w14:paraId="676B362B" w14:textId="093CC029" w:rsidR="00EF34C6" w:rsidRPr="00BD6296" w:rsidRDefault="006D4189" w:rsidP="00EF34C6">
      <w:pPr>
        <w:shd w:val="clear" w:color="auto" w:fill="FFFFFF"/>
        <w:spacing w:before="100" w:beforeAutospacing="1" w:after="100" w:afterAutospacing="1" w:line="254" w:lineRule="atLeast"/>
        <w:ind w:firstLine="300"/>
        <w:jc w:val="both"/>
        <w:rPr>
          <w:rFonts w:eastAsiaTheme="minorEastAsia"/>
          <w:szCs w:val="24"/>
          <w:lang w:eastAsia="lv-LV"/>
        </w:rPr>
      </w:pPr>
      <w:r>
        <w:rPr>
          <w:szCs w:val="24"/>
          <w:lang w:eastAsia="lv-LV"/>
        </w:rPr>
        <w:t>7</w:t>
      </w:r>
      <w:r w:rsidR="00EB3ABA" w:rsidRPr="00BD6296">
        <w:rPr>
          <w:szCs w:val="24"/>
          <w:lang w:eastAsia="lv-LV"/>
        </w:rPr>
        <w:t xml:space="preserve">.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82E3D">
        <w:rPr>
          <w:rFonts w:eastAsia="Times New Roman" w:cs="Times New Roman"/>
          <w:szCs w:val="28"/>
          <w:lang w:eastAsia="lv-LV"/>
        </w:rPr>
        <w:t>e</w:t>
      </w:r>
      <w:r w:rsidR="00EF34C6" w:rsidRPr="00BD6296">
        <w:rPr>
          <w:rFonts w:eastAsia="Times New Roman" w:cs="Times New Roman"/>
          <w:szCs w:val="28"/>
          <w:lang w:eastAsia="lv-LV"/>
        </w:rPr>
        <w:t xml:space="preserve">lektrostacijas ieņēmumus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i/>
          <w:szCs w:val="28"/>
          <w:lang w:eastAsia="lv-LV"/>
        </w:rPr>
        <w:t xml:space="preserve">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EF34C6" w:rsidRPr="00BD6296">
        <w:rPr>
          <w:szCs w:val="24"/>
          <w:lang w:eastAsia="lv-LV"/>
        </w:rPr>
        <w:t xml:space="preserve"> </w:t>
      </w:r>
      <w:r w:rsidR="00EF34C6" w:rsidRPr="00BD6296">
        <w:rPr>
          <w:rFonts w:eastAsia="Times New Roman" w:cs="Times New Roman"/>
          <w:szCs w:val="28"/>
          <w:lang w:eastAsia="lv-LV"/>
        </w:rPr>
        <w:t>aprēķina, izmantojot formulu</w:t>
      </w:r>
      <w:r w:rsidR="00EF34C6" w:rsidRPr="00BD6296">
        <w:rPr>
          <w:szCs w:val="24"/>
          <w:lang w:eastAsia="lv-LV"/>
        </w:rPr>
        <w:t>:</w:t>
      </w:r>
    </w:p>
    <w:p w14:paraId="1709F334" w14:textId="77777777" w:rsidR="00EF34C6" w:rsidRPr="00BD6296" w:rsidRDefault="00FE1565" w:rsidP="00EF34C6">
      <w:pPr>
        <w:shd w:val="clear" w:color="auto" w:fill="FFFFFF"/>
        <w:spacing w:before="100" w:beforeAutospacing="1" w:after="100" w:afterAutospacing="1" w:line="254" w:lineRule="atLeast"/>
        <w:ind w:left="-709" w:right="-105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i</m:t>
                    </m:r>
                  </m:sup>
                </m:sSubSup>
              </m:num>
              <m:den>
                <m:r>
                  <w:rPr>
                    <w:rFonts w:ascii="Cambria Math" w:eastAsia="Times New Roman" w:hAnsi="Cambria Math" w:cs="Times New Roman"/>
                    <w:sz w:val="24"/>
                    <w:szCs w:val="28"/>
                    <w:lang w:eastAsia="lv-LV"/>
                  </w:rPr>
                  <m:t>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E</m:t>
                    </m:r>
                  </m:e>
                  <m:sub>
                    <m:r>
                      <w:rPr>
                        <w:rFonts w:ascii="Cambria Math" w:eastAsia="Times New Roman" w:hAnsi="Cambria Math" w:cs="Times New Roman"/>
                        <w:sz w:val="24"/>
                        <w:szCs w:val="28"/>
                        <w:lang w:eastAsia="lv-LV"/>
                      </w:rPr>
                      <m:t>th</m:t>
                    </m:r>
                  </m:sub>
                </m:sSub>
                <m:r>
                  <w:rPr>
                    <w:rFonts w:ascii="Cambria Math" w:eastAsia="Times New Roman" w:hAnsi="Cambria Math" w:cs="Times New Roman"/>
                    <w:sz w:val="24"/>
                    <w:szCs w:val="28"/>
                    <w:lang w:eastAsia="lv-LV"/>
                  </w:rPr>
                  <m:t>×8000</m:t>
                </m:r>
              </m:num>
              <m:den>
                <m:r>
                  <w:rPr>
                    <w:rFonts w:ascii="Cambria Math" w:eastAsia="Times New Roman" w:hAnsi="Cambria Math" w:cs="Times New Roman"/>
                    <w:sz w:val="24"/>
                    <w:szCs w:val="28"/>
                    <w:lang w:eastAsia="lv-LV"/>
                  </w:rPr>
                  <m:t>100×d</m:t>
                </m:r>
              </m:den>
            </m:f>
          </m:e>
        </m:d>
      </m:oMath>
      <w:r w:rsidR="00EF34C6" w:rsidRPr="005F5238">
        <w:rPr>
          <w:rFonts w:eastAsia="Times New Roman" w:cs="Times New Roman"/>
          <w:szCs w:val="28"/>
          <w:lang w:eastAsia="lv-LV"/>
        </w:rPr>
        <w:t>,</w:t>
      </w:r>
      <w:r w:rsidR="00EF34C6" w:rsidRPr="00BD6296">
        <w:rPr>
          <w:rFonts w:eastAsia="Times New Roman" w:cs="Times New Roman"/>
          <w:szCs w:val="28"/>
          <w:lang w:eastAsia="lv-LV"/>
        </w:rPr>
        <w:t xml:space="preserve"> kur</w:t>
      </w:r>
    </w:p>
    <w:p w14:paraId="73C3D4B9" w14:textId="0F0550D0"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w:t>
      </w:r>
      <w:r w:rsidR="00EF34C6">
        <w:rPr>
          <w:rFonts w:eastAsia="Times New Roman" w:cs="Times New Roman"/>
          <w:szCs w:val="28"/>
          <w:lang w:eastAsia="lv-LV"/>
        </w:rPr>
        <w:t xml:space="preserve"> </w:t>
      </w:r>
      <w:r w:rsidR="00EF34C6" w:rsidRPr="00BD6296">
        <w:rPr>
          <w:rFonts w:eastAsia="Times New Roman" w:cs="Times New Roman"/>
          <w:szCs w:val="28"/>
          <w:lang w:eastAsia="lv-LV"/>
        </w:rPr>
        <w:t>komersanta</w:t>
      </w:r>
      <w:r w:rsidR="00E82E3D">
        <w:rPr>
          <w:rFonts w:eastAsia="Times New Roman" w:cs="Times New Roman"/>
          <w:szCs w:val="28"/>
          <w:lang w:eastAsia="lv-LV"/>
        </w:rPr>
        <w:t xml:space="preserve"> koģenerācijas </w:t>
      </w:r>
      <w:r w:rsidR="00EF34C6" w:rsidRPr="00BD6296">
        <w:rPr>
          <w:rFonts w:eastAsia="Times New Roman" w:cs="Times New Roman"/>
          <w:szCs w:val="28"/>
          <w:lang w:eastAsia="lv-LV"/>
        </w:rPr>
        <w:t>elektrostacijai noteiktā elektroenerģijas iepirkuma cena (EUR/</w:t>
      </w:r>
      <w:proofErr w:type="spellStart"/>
      <w:r w:rsidR="00EF34C6" w:rsidRPr="00BD6296">
        <w:rPr>
          <w:rFonts w:eastAsia="Times New Roman" w:cs="Times New Roman"/>
          <w:szCs w:val="28"/>
          <w:lang w:eastAsia="lv-LV"/>
        </w:rPr>
        <w:t>MWh</w:t>
      </w:r>
      <w:proofErr w:type="spellEnd"/>
      <w:r w:rsidR="00EF34C6" w:rsidRPr="00BD6296">
        <w:rPr>
          <w:rFonts w:eastAsia="Times New Roman" w:cs="Times New Roman"/>
          <w:szCs w:val="28"/>
          <w:lang w:eastAsia="lv-LV"/>
        </w:rPr>
        <w:t>)</w:t>
      </w:r>
      <w:r w:rsidR="00EF34C6">
        <w:rPr>
          <w:rFonts w:eastAsia="Times New Roman" w:cs="Times New Roman"/>
          <w:szCs w:val="28"/>
          <w:lang w:eastAsia="lv-LV"/>
        </w:rPr>
        <w:t xml:space="preserve"> 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szCs w:val="28"/>
          <w:lang w:eastAsia="lv-LV"/>
        </w:rPr>
        <w:t>;</w:t>
      </w:r>
    </w:p>
    <w:p w14:paraId="3AC4BE4F" w14:textId="65E0D275" w:rsidR="00EF34C6" w:rsidRDefault="00FE1565" w:rsidP="00EF34C6">
      <w:pPr>
        <w:shd w:val="clear" w:color="auto" w:fill="FFFFFF"/>
        <w:spacing w:before="100" w:beforeAutospacing="1" w:after="100" w:afterAutospacing="1" w:line="254" w:lineRule="atLeast"/>
        <w:ind w:firstLine="300"/>
        <w:jc w:val="both"/>
        <w:rPr>
          <w:rFonts w:eastAsia="Times New Roman" w:cs="Times New Roman"/>
          <w:i/>
          <w:iCs/>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xml:space="preserve"> –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F34C6" w:rsidRPr="00BD6296">
        <w:rPr>
          <w:rFonts w:eastAsia="Times New Roman" w:cs="Times New Roman"/>
          <w:szCs w:val="28"/>
          <w:lang w:eastAsia="lv-LV"/>
        </w:rPr>
        <w:t xml:space="preserve">elektrostacijas </w:t>
      </w:r>
      <w:r w:rsidR="00EF34C6">
        <w:rPr>
          <w:rFonts w:eastAsia="Times New Roman" w:cs="Times New Roman"/>
          <w:szCs w:val="28"/>
          <w:lang w:eastAsia="lv-LV"/>
        </w:rPr>
        <w:t>uzstādītā</w:t>
      </w:r>
      <w:r w:rsidR="00EF34C6" w:rsidRPr="00BD6296">
        <w:rPr>
          <w:rFonts w:eastAsia="Times New Roman" w:cs="Times New Roman"/>
          <w:szCs w:val="28"/>
          <w:lang w:eastAsia="lv-LV"/>
        </w:rPr>
        <w:t xml:space="preserve"> elektriskā jauda</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kas norādīta līgumā ar publisko tirgotāju kalendāra gada </w:t>
      </w:r>
      <w:r w:rsidR="00EF34C6" w:rsidRPr="00BD6296">
        <w:rPr>
          <w:rFonts w:eastAsia="Times New Roman" w:cs="Times New Roman"/>
          <w:i/>
          <w:iCs/>
          <w:szCs w:val="28"/>
          <w:lang w:eastAsia="lv-LV"/>
        </w:rPr>
        <w:t>t</w:t>
      </w:r>
      <w:r w:rsidR="00EF34C6">
        <w:rPr>
          <w:rFonts w:eastAsia="Times New Roman" w:cs="Times New Roman"/>
          <w:i/>
          <w:iCs/>
          <w:szCs w:val="28"/>
          <w:lang w:eastAsia="lv-LV"/>
        </w:rPr>
        <w:t xml:space="preserve">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Pr>
          <w:rFonts w:eastAsia="Times New Roman" w:cs="Times New Roman"/>
          <w:i/>
          <w:iCs/>
          <w:szCs w:val="28"/>
          <w:lang w:eastAsia="lv-LV"/>
        </w:rPr>
        <w:t>;</w:t>
      </w:r>
    </w:p>
    <w:p w14:paraId="28C5B557" w14:textId="52C12A66" w:rsidR="00EF34C6" w:rsidRPr="00BD6296" w:rsidRDefault="00EF34C6"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d</w:t>
      </w:r>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komersanta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Pr="00BD6296">
        <w:rPr>
          <w:rFonts w:eastAsia="Times New Roman" w:cs="Times New Roman"/>
          <w:szCs w:val="28"/>
          <w:lang w:eastAsia="lv-LV"/>
        </w:rPr>
        <w:t xml:space="preserve">elektrostacijas darba stundu skaita kalendāra gadā līmeņatzīme, kas atkarībā no </w:t>
      </w:r>
      <w:r w:rsidR="00E82E3D">
        <w:rPr>
          <w:rFonts w:eastAsia="Times New Roman" w:cs="Times New Roman"/>
          <w:szCs w:val="28"/>
          <w:lang w:eastAsia="lv-LV"/>
        </w:rPr>
        <w:t>koģenerācijas</w:t>
      </w:r>
      <w:r w:rsidR="00E82E3D" w:rsidRPr="00BD6296">
        <w:rPr>
          <w:rFonts w:eastAsia="Times New Roman" w:cs="Times New Roman"/>
          <w:szCs w:val="28"/>
          <w:lang w:eastAsia="lv-LV"/>
        </w:rPr>
        <w:t xml:space="preserve"> </w:t>
      </w:r>
      <w:r w:rsidR="00E82E3D">
        <w:rPr>
          <w:rFonts w:eastAsia="Times New Roman" w:cs="Times New Roman"/>
          <w:szCs w:val="28"/>
          <w:lang w:eastAsia="lv-LV"/>
        </w:rPr>
        <w:t xml:space="preserve">elektrostacijas </w:t>
      </w:r>
      <w:r w:rsidR="00E82E3D" w:rsidRPr="00BD6296">
        <w:rPr>
          <w:rFonts w:eastAsia="Times New Roman" w:cs="Times New Roman"/>
          <w:szCs w:val="28"/>
          <w:lang w:eastAsia="lv-LV"/>
        </w:rPr>
        <w:t xml:space="preserve">izmantotā </w:t>
      </w:r>
      <w:r w:rsidR="00F33965">
        <w:rPr>
          <w:rFonts w:eastAsia="Times New Roman" w:cs="Times New Roman"/>
          <w:szCs w:val="28"/>
          <w:lang w:eastAsia="lv-LV"/>
        </w:rPr>
        <w:t>kurināmā</w:t>
      </w:r>
      <w:r w:rsidR="00E82E3D" w:rsidRPr="00BD6296">
        <w:rPr>
          <w:rFonts w:eastAsia="Times New Roman" w:cs="Times New Roman"/>
          <w:szCs w:val="28"/>
          <w:lang w:eastAsia="lv-LV"/>
        </w:rPr>
        <w:t xml:space="preserve"> veida</w:t>
      </w:r>
      <w:r w:rsidRPr="00BD6296">
        <w:rPr>
          <w:rFonts w:eastAsia="Times New Roman" w:cs="Times New Roman"/>
          <w:szCs w:val="28"/>
          <w:lang w:eastAsia="lv-LV"/>
        </w:rPr>
        <w:t xml:space="preserve"> un </w:t>
      </w:r>
      <w:r>
        <w:rPr>
          <w:rFonts w:eastAsia="Times New Roman" w:cs="Times New Roman"/>
          <w:szCs w:val="28"/>
          <w:lang w:eastAsia="lv-LV"/>
        </w:rPr>
        <w:t>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i</w:t>
      </w:r>
      <w:r w:rsidRPr="00BD6296">
        <w:rPr>
          <w:rFonts w:eastAsia="Times New Roman" w:cs="Times New Roman"/>
          <w:szCs w:val="28"/>
          <w:lang w:eastAsia="lv-LV"/>
        </w:rPr>
        <w:t xml:space="preserve"> uzstādītās elektriskās jaudas</w:t>
      </w:r>
      <w:r>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Pr>
          <w:rFonts w:eastAsia="Times New Roman" w:cs="Times New Roman"/>
          <w:szCs w:val="28"/>
          <w:lang w:eastAsia="lv-LV"/>
        </w:rPr>
        <w:t xml:space="preserve"> </w:t>
      </w:r>
      <w:r w:rsidRPr="00BD6296">
        <w:rPr>
          <w:rFonts w:eastAsia="Times New Roman" w:cs="Times New Roman"/>
          <w:szCs w:val="28"/>
          <w:lang w:eastAsia="lv-LV"/>
        </w:rPr>
        <w:t xml:space="preserve">ir noteikta šī pielikuma </w:t>
      </w:r>
      <w:r>
        <w:rPr>
          <w:rFonts w:eastAsia="Times New Roman" w:cs="Times New Roman"/>
          <w:szCs w:val="28"/>
          <w:lang w:eastAsia="lv-LV"/>
        </w:rPr>
        <w:t>3.,6.</w:t>
      </w:r>
      <w:r w:rsidR="00DA67D7">
        <w:rPr>
          <w:rFonts w:eastAsia="Times New Roman" w:cs="Times New Roman"/>
          <w:szCs w:val="28"/>
          <w:lang w:eastAsia="lv-LV"/>
        </w:rPr>
        <w:t xml:space="preserve"> un </w:t>
      </w:r>
      <w:r>
        <w:rPr>
          <w:rFonts w:eastAsia="Times New Roman" w:cs="Times New Roman"/>
          <w:szCs w:val="28"/>
          <w:lang w:eastAsia="lv-LV"/>
        </w:rPr>
        <w:t xml:space="preserve">8. </w:t>
      </w:r>
      <w:r w:rsidRPr="003C48F8">
        <w:rPr>
          <w:rFonts w:eastAsia="Times New Roman" w:cs="Times New Roman"/>
          <w:szCs w:val="28"/>
          <w:lang w:eastAsia="lv-LV"/>
        </w:rPr>
        <w:t>tabulā</w:t>
      </w:r>
      <w:r w:rsidRPr="00BD6296">
        <w:rPr>
          <w:rFonts w:eastAsia="Times New Roman" w:cs="Times New Roman"/>
          <w:szCs w:val="28"/>
          <w:lang w:eastAsia="lv-LV"/>
        </w:rPr>
        <w:t>;</w:t>
      </w:r>
    </w:p>
    <w:p w14:paraId="43CA9FE0" w14:textId="77777777"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 komersantam faktiski piemērojamā subsidētās elektroenerģijas nodokļa likme (%)</w:t>
      </w:r>
      <w:r w:rsidR="00EF34C6">
        <w:rPr>
          <w:rFonts w:eastAsia="Times New Roman" w:cs="Times New Roman"/>
          <w:szCs w:val="28"/>
          <w:lang w:eastAsia="lv-LV"/>
        </w:rPr>
        <w:t xml:space="preserve"> 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szCs w:val="28"/>
          <w:lang w:eastAsia="lv-LV"/>
        </w:rPr>
        <w:t>. Nākotnes periodam piemērojamā likme tiek noteikta pēc aprēķina dienā komersantam faktiski piemērojamās subsidētās elektroenerģijas nodokļa likmes;</w:t>
      </w:r>
    </w:p>
    <w:p w14:paraId="4F6422F9" w14:textId="77777777"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xml:space="preserve">–siltumenerģijas cenas līmeņatzīme </w:t>
      </w:r>
      <w:r w:rsidR="00EF34C6">
        <w:rPr>
          <w:rFonts w:eastAsia="Times New Roman" w:cs="Times New Roman"/>
          <w:szCs w:val="28"/>
          <w:lang w:eastAsia="lv-LV"/>
        </w:rPr>
        <w:t>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 xml:space="preserve">i </w:t>
      </w:r>
      <w:r w:rsidR="00EF34C6" w:rsidRPr="00BD6296">
        <w:rPr>
          <w:rFonts w:eastAsia="Times New Roman" w:cs="Times New Roman"/>
          <w:szCs w:val="28"/>
          <w:lang w:eastAsia="lv-LV"/>
        </w:rPr>
        <w:t>(EUR/</w:t>
      </w:r>
      <w:proofErr w:type="spellStart"/>
      <w:r w:rsidR="00EF34C6" w:rsidRPr="00BD6296">
        <w:rPr>
          <w:rFonts w:eastAsia="Times New Roman" w:cs="Times New Roman"/>
          <w:szCs w:val="28"/>
          <w:lang w:eastAsia="lv-LV"/>
        </w:rPr>
        <w:t>MWh</w:t>
      </w:r>
      <w:proofErr w:type="spellEnd"/>
      <w:r w:rsidR="00EF34C6" w:rsidRPr="00BD6296">
        <w:rPr>
          <w:rFonts w:eastAsia="Times New Roman" w:cs="Times New Roman"/>
          <w:szCs w:val="28"/>
          <w:lang w:eastAsia="lv-LV"/>
        </w:rPr>
        <w:t>);</w:t>
      </w:r>
    </w:p>
    <w:p w14:paraId="4F9E990D" w14:textId="1AF9E8C3" w:rsidR="00EF34C6" w:rsidRPr="00BD6296" w:rsidRDefault="00FE1565" w:rsidP="00EF34C6">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EF34C6" w:rsidRPr="00BD6296">
        <w:rPr>
          <w:rFonts w:eastAsia="Times New Roman" w:cs="Times New Roman"/>
          <w:szCs w:val="28"/>
          <w:lang w:eastAsia="lv-LV"/>
        </w:rPr>
        <w:t xml:space="preserve">– </w:t>
      </w:r>
      <w:r w:rsidR="008831D9">
        <w:rPr>
          <w:rFonts w:eastAsia="Times New Roman" w:cs="Times New Roman"/>
          <w:szCs w:val="28"/>
          <w:lang w:eastAsia="lv-LV"/>
        </w:rPr>
        <w:t xml:space="preserve">koģenerācijas </w:t>
      </w:r>
      <w:r w:rsidR="00EF34C6" w:rsidRPr="00BD6296">
        <w:rPr>
          <w:rFonts w:eastAsia="Times New Roman" w:cs="Times New Roman"/>
          <w:szCs w:val="28"/>
          <w:lang w:eastAsia="lv-LV"/>
        </w:rPr>
        <w:t>elektrostacijas uzstādītā</w:t>
      </w:r>
      <w:r w:rsidR="00E82E3D">
        <w:rPr>
          <w:rFonts w:eastAsia="Times New Roman" w:cs="Times New Roman"/>
          <w:szCs w:val="28"/>
          <w:lang w:eastAsia="lv-LV"/>
        </w:rPr>
        <w:t>s</w:t>
      </w:r>
      <w:r w:rsidR="00EF34C6" w:rsidRPr="00BD6296">
        <w:rPr>
          <w:rFonts w:eastAsia="Times New Roman" w:cs="Times New Roman"/>
          <w:szCs w:val="28"/>
          <w:lang w:eastAsia="lv-LV"/>
        </w:rPr>
        <w:t xml:space="preserve"> neto siltuma jauda</w:t>
      </w:r>
      <w:r w:rsidR="00E82E3D">
        <w:rPr>
          <w:rFonts w:eastAsia="Times New Roman" w:cs="Times New Roman"/>
          <w:szCs w:val="28"/>
          <w:lang w:eastAsia="lv-LV"/>
        </w:rPr>
        <w:t>s līmeņatzīme</w:t>
      </w:r>
      <w:r w:rsidR="00EF34C6">
        <w:rPr>
          <w:rFonts w:eastAsia="Times New Roman" w:cs="Times New Roman"/>
          <w:szCs w:val="28"/>
          <w:lang w:eastAsia="lv-LV"/>
        </w:rPr>
        <w:t xml:space="preserve"> </w:t>
      </w:r>
      <w:r w:rsidR="00EF34C6" w:rsidRPr="00BD6296">
        <w:rPr>
          <w:rFonts w:eastAsia="Times New Roman" w:cs="Times New Roman"/>
          <w:szCs w:val="28"/>
          <w:lang w:eastAsia="lv-LV"/>
        </w:rPr>
        <w:t>(MW)</w:t>
      </w:r>
      <w:r w:rsidR="00EF34C6">
        <w:rPr>
          <w:rFonts w:eastAsia="Times New Roman" w:cs="Times New Roman"/>
          <w:szCs w:val="28"/>
          <w:lang w:eastAsia="lv-LV"/>
        </w:rPr>
        <w:t xml:space="preserve"> kalendāra gada</w:t>
      </w:r>
      <w:r w:rsidR="00EF34C6" w:rsidRPr="00BD6296">
        <w:rPr>
          <w:rFonts w:eastAsia="Times New Roman" w:cs="Times New Roman"/>
          <w:szCs w:val="28"/>
          <w:lang w:eastAsia="lv-LV"/>
        </w:rPr>
        <w:t xml:space="preserve"> </w:t>
      </w:r>
      <w:r w:rsidR="00EF34C6" w:rsidRPr="00BD6296">
        <w:rPr>
          <w:rFonts w:eastAsia="Times New Roman" w:cs="Times New Roman"/>
          <w:i/>
          <w:szCs w:val="28"/>
          <w:lang w:eastAsia="lv-LV"/>
        </w:rPr>
        <w:t xml:space="preserve">t </w:t>
      </w:r>
      <w:r w:rsidR="00EF34C6" w:rsidRPr="00B93A45">
        <w:rPr>
          <w:rFonts w:eastAsia="Times New Roman" w:cs="Times New Roman"/>
          <w:szCs w:val="28"/>
          <w:lang w:eastAsia="lv-LV"/>
        </w:rPr>
        <w:t xml:space="preserve">kalendāra mēnesī </w:t>
      </w:r>
      <w:r w:rsidR="00EF34C6">
        <w:rPr>
          <w:rFonts w:eastAsia="Times New Roman" w:cs="Times New Roman"/>
          <w:i/>
          <w:szCs w:val="28"/>
          <w:lang w:eastAsia="lv-LV"/>
        </w:rPr>
        <w:t>i</w:t>
      </w:r>
      <w:r w:rsidR="00EF34C6" w:rsidRPr="00BD6296">
        <w:rPr>
          <w:rFonts w:eastAsia="Times New Roman" w:cs="Times New Roman"/>
          <w:szCs w:val="28"/>
          <w:lang w:eastAsia="lv-LV"/>
        </w:rPr>
        <w:t>;</w:t>
      </w:r>
    </w:p>
    <w:p w14:paraId="6CB9A6D8" w14:textId="65BA188D" w:rsidR="00EB3ABA"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siltumenerģijas </w:t>
      </w:r>
      <w:r w:rsidR="00B30294">
        <w:rPr>
          <w:rFonts w:eastAsia="Times New Roman" w:cs="Times New Roman"/>
          <w:szCs w:val="28"/>
          <w:lang w:eastAsia="lv-LV"/>
        </w:rPr>
        <w:t xml:space="preserve">patēriņa </w:t>
      </w:r>
      <w:r w:rsidRPr="00BD6296">
        <w:rPr>
          <w:rFonts w:eastAsia="Times New Roman" w:cs="Times New Roman"/>
          <w:szCs w:val="28"/>
          <w:lang w:eastAsia="lv-LV"/>
        </w:rPr>
        <w:t>līmeņatzīme</w:t>
      </w:r>
      <w:r w:rsidR="00B30294">
        <w:rPr>
          <w:rFonts w:eastAsia="Times New Roman" w:cs="Times New Roman"/>
          <w:szCs w:val="28"/>
          <w:lang w:eastAsia="lv-LV"/>
        </w:rPr>
        <w:t xml:space="preserve"> biogāzes ražošanai</w:t>
      </w:r>
      <w:r w:rsidRPr="00BD6296">
        <w:rPr>
          <w:rFonts w:eastAsia="Times New Roman" w:cs="Times New Roman"/>
          <w:szCs w:val="28"/>
          <w:lang w:eastAsia="lv-LV"/>
        </w:rPr>
        <w:t xml:space="preserve"> (%). Koģenerācijas elektrostacijām, kurās izmanto</w:t>
      </w:r>
      <w:r w:rsidR="00E9604B">
        <w:rPr>
          <w:rFonts w:eastAsia="Times New Roman" w:cs="Times New Roman"/>
          <w:szCs w:val="28"/>
          <w:lang w:eastAsia="lv-LV"/>
        </w:rPr>
        <w:t xml:space="preserve"> dabasgāzi, </w:t>
      </w:r>
      <w:r w:rsidRPr="00BD6296">
        <w:rPr>
          <w:rFonts w:eastAsia="Times New Roman" w:cs="Times New Roman"/>
          <w:szCs w:val="28"/>
          <w:lang w:eastAsia="lv-LV"/>
        </w:rPr>
        <w:t xml:space="preserve"> biomasu, </w:t>
      </w:r>
      <w:proofErr w:type="spellStart"/>
      <w:r w:rsidRPr="00BD6296">
        <w:rPr>
          <w:rFonts w:eastAsia="Times New Roman" w:cs="Times New Roman"/>
          <w:szCs w:val="28"/>
          <w:lang w:eastAsia="lv-LV"/>
        </w:rPr>
        <w:t>poligongāzi</w:t>
      </w:r>
      <w:proofErr w:type="spellEnd"/>
      <w:r w:rsidRPr="00BD6296">
        <w:rPr>
          <w:rFonts w:eastAsia="Times New Roman" w:cs="Times New Roman"/>
          <w:szCs w:val="28"/>
          <w:lang w:eastAsia="lv-LV"/>
        </w:rPr>
        <w:t xml:space="preserve"> vai biogāzi, kas iegūta biomasas gazifikācijas procesā, </w:t>
      </w: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xml:space="preserve"> ir 0, pārējām biogāzes koģenerācijas </w:t>
      </w:r>
      <w:r w:rsidR="00E82E3D">
        <w:rPr>
          <w:rFonts w:eastAsia="Times New Roman" w:cs="Times New Roman"/>
          <w:szCs w:val="28"/>
          <w:lang w:eastAsia="lv-LV"/>
        </w:rPr>
        <w:t>elektro</w:t>
      </w:r>
      <w:r w:rsidRPr="00BD6296">
        <w:rPr>
          <w:rFonts w:eastAsia="Times New Roman" w:cs="Times New Roman"/>
          <w:szCs w:val="28"/>
          <w:lang w:eastAsia="lv-LV"/>
        </w:rPr>
        <w:t xml:space="preserve">stacijām </w:t>
      </w: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xml:space="preserve"> ir 35%.</w:t>
      </w:r>
    </w:p>
    <w:p w14:paraId="0540F26F" w14:textId="20FE9B2A" w:rsidR="00E82E3D" w:rsidRPr="008831D9" w:rsidRDefault="00E82E3D" w:rsidP="00E82E3D">
      <w:pPr>
        <w:shd w:val="clear" w:color="auto" w:fill="FFFFFF"/>
        <w:spacing w:before="100" w:beforeAutospacing="1" w:after="100" w:afterAutospacing="1" w:line="254" w:lineRule="atLeast"/>
        <w:ind w:firstLine="300"/>
        <w:jc w:val="both"/>
        <w:rPr>
          <w:szCs w:val="24"/>
          <w:lang w:eastAsia="lv-LV"/>
        </w:rPr>
      </w:pPr>
      <w:r>
        <w:rPr>
          <w:szCs w:val="24"/>
          <w:lang w:eastAsia="lv-LV"/>
        </w:rPr>
        <w:lastRenderedPageBreak/>
        <w:t>8</w:t>
      </w:r>
      <w:r w:rsidRPr="008831D9">
        <w:rPr>
          <w:szCs w:val="24"/>
          <w:lang w:eastAsia="lv-LV"/>
        </w:rPr>
        <w:t xml:space="preserve">. Kalendāra gada </w:t>
      </w:r>
      <w:r w:rsidRPr="008831D9">
        <w:rPr>
          <w:i/>
          <w:szCs w:val="24"/>
          <w:lang w:eastAsia="lv-LV"/>
        </w:rPr>
        <w:t xml:space="preserve">t </w:t>
      </w:r>
      <w:r w:rsidRPr="008831D9">
        <w:rPr>
          <w:szCs w:val="24"/>
          <w:lang w:eastAsia="lv-LV"/>
        </w:rPr>
        <w:t xml:space="preserve">kalendāra mēnesī </w:t>
      </w:r>
      <w:r w:rsidRPr="008831D9">
        <w:rPr>
          <w:i/>
          <w:szCs w:val="24"/>
          <w:lang w:eastAsia="lv-LV"/>
        </w:rPr>
        <w:t>i</w:t>
      </w:r>
      <w:r w:rsidRPr="008831D9">
        <w:rPr>
          <w:szCs w:val="24"/>
          <w:lang w:eastAsia="lv-LV"/>
        </w:rPr>
        <w:t xml:space="preserve"> </w:t>
      </w:r>
      <w:r>
        <w:rPr>
          <w:szCs w:val="24"/>
          <w:lang w:eastAsia="lv-LV"/>
        </w:rPr>
        <w:t>koģenerācijas elektrostac</w:t>
      </w:r>
      <w:r w:rsidRPr="008831D9">
        <w:rPr>
          <w:szCs w:val="24"/>
          <w:lang w:eastAsia="lv-LV"/>
        </w:rPr>
        <w:t>ijas uzstādīt</w:t>
      </w:r>
      <w:r>
        <w:rPr>
          <w:szCs w:val="24"/>
          <w:lang w:eastAsia="lv-LV"/>
        </w:rPr>
        <w:t>ās</w:t>
      </w:r>
      <w:r w:rsidRPr="008831D9">
        <w:rPr>
          <w:szCs w:val="24"/>
          <w:lang w:eastAsia="lv-LV"/>
        </w:rPr>
        <w:t xml:space="preserve"> neto siltuma jauda</w:t>
      </w:r>
      <w:r>
        <w:rPr>
          <w:szCs w:val="24"/>
          <w:lang w:eastAsia="lv-LV"/>
        </w:rPr>
        <w:t xml:space="preserve">s </w:t>
      </w:r>
      <w:proofErr w:type="spellStart"/>
      <w:r>
        <w:rPr>
          <w:szCs w:val="24"/>
          <w:lang w:eastAsia="lv-LV"/>
        </w:rPr>
        <w:t>līmeņatzīmi</w:t>
      </w:r>
      <w:proofErr w:type="spellEnd"/>
      <w:r w:rsidRPr="008831D9">
        <w:rPr>
          <w:szCs w:val="24"/>
          <w:lang w:eastAsia="lv-LV"/>
        </w:rPr>
        <w:t xml:space="preserve"> </w:t>
      </w:r>
      <m:oMath>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  t</m:t>
            </m:r>
          </m:sub>
          <m:sup>
            <m:r>
              <w:rPr>
                <w:rFonts w:ascii="Cambria Math" w:hAnsi="Cambria Math"/>
                <w:szCs w:val="24"/>
                <w:lang w:eastAsia="lv-LV"/>
              </w:rPr>
              <m:t xml:space="preserve"> i</m:t>
            </m:r>
          </m:sup>
        </m:sSubSup>
      </m:oMath>
      <w:r w:rsidRPr="008831D9">
        <w:rPr>
          <w:szCs w:val="24"/>
          <w:lang w:eastAsia="lv-LV"/>
        </w:rPr>
        <w:t xml:space="preserve"> aprēķina pēc formulas:</w:t>
      </w:r>
    </w:p>
    <w:p w14:paraId="27A1469F" w14:textId="30C1E980" w:rsidR="00E82E3D" w:rsidRPr="008831D9" w:rsidRDefault="00FE1565" w:rsidP="00E82E3D">
      <w:pPr>
        <w:shd w:val="clear" w:color="auto" w:fill="FFFFFF"/>
        <w:spacing w:before="100" w:beforeAutospacing="1" w:after="100" w:afterAutospacing="1" w:line="254" w:lineRule="atLeast"/>
        <w:ind w:firstLine="300"/>
        <w:jc w:val="center"/>
        <w:rPr>
          <w:i/>
          <w:szCs w:val="24"/>
          <w:lang w:eastAsia="lv-LV"/>
        </w:rPr>
      </w:pPr>
      <m:oMath>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  t</m:t>
            </m:r>
          </m:sub>
          <m:sup>
            <m:r>
              <w:rPr>
                <w:rFonts w:ascii="Cambria Math" w:hAnsi="Cambria Math"/>
                <w:szCs w:val="24"/>
                <w:lang w:eastAsia="lv-LV"/>
              </w:rPr>
              <m:t xml:space="preserve"> i</m:t>
            </m:r>
          </m:sup>
        </m:sSubSup>
        <m:r>
          <w:rPr>
            <w:rFonts w:ascii="Cambria Math" w:hAnsi="Cambria Math"/>
            <w:szCs w:val="24"/>
            <w:lang w:eastAsia="lv-LV"/>
          </w:rPr>
          <m:t>=</m:t>
        </m:r>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thb  t</m:t>
            </m:r>
          </m:sub>
          <m:sup>
            <m:r>
              <w:rPr>
                <w:rFonts w:ascii="Cambria Math" w:hAnsi="Cambria Math"/>
                <w:szCs w:val="24"/>
                <w:lang w:eastAsia="lv-LV"/>
              </w:rPr>
              <m:t xml:space="preserve"> i</m:t>
            </m:r>
          </m:sup>
        </m:sSubSup>
        <m:r>
          <w:rPr>
            <w:rFonts w:ascii="Cambria Math" w:hAnsi="Cambria Math"/>
            <w:szCs w:val="24"/>
            <w:lang w:eastAsia="lv-LV"/>
          </w:rPr>
          <m:t>×0,97</m:t>
        </m:r>
      </m:oMath>
      <w:r w:rsidR="00E82E3D" w:rsidRPr="008831D9">
        <w:rPr>
          <w:szCs w:val="24"/>
          <w:lang w:eastAsia="lv-LV"/>
        </w:rPr>
        <w:t>, kur</w:t>
      </w:r>
    </w:p>
    <w:p w14:paraId="711F0160" w14:textId="77777777" w:rsidR="00E82E3D" w:rsidRPr="008831D9" w:rsidRDefault="00FE1565" w:rsidP="00E82E3D">
      <w:pPr>
        <w:shd w:val="clear" w:color="auto" w:fill="FFFFFF"/>
        <w:spacing w:before="100" w:beforeAutospacing="1" w:after="100" w:afterAutospacing="1" w:line="254" w:lineRule="atLeast"/>
        <w:ind w:firstLine="300"/>
        <w:jc w:val="both"/>
        <w:rPr>
          <w:szCs w:val="24"/>
          <w:lang w:eastAsia="lv-LV"/>
        </w:rPr>
      </w:pPr>
      <m:oMath>
        <m:sSubSup>
          <m:sSubSupPr>
            <m:ctrlPr>
              <w:rPr>
                <w:rFonts w:ascii="Cambria Math" w:hAnsi="Cambria Math"/>
                <w:i/>
                <w:szCs w:val="24"/>
                <w:lang w:eastAsia="lv-LV"/>
              </w:rPr>
            </m:ctrlPr>
          </m:sSubSupPr>
          <m:e>
            <m:r>
              <w:rPr>
                <w:rFonts w:ascii="Cambria Math" w:hAnsi="Cambria Math"/>
                <w:szCs w:val="24"/>
                <w:lang w:eastAsia="lv-LV"/>
              </w:rPr>
              <m:t>P</m:t>
            </m:r>
          </m:e>
          <m:sub>
            <m:r>
              <w:rPr>
                <w:rFonts w:ascii="Cambria Math" w:hAnsi="Cambria Math"/>
                <w:szCs w:val="24"/>
                <w:lang w:eastAsia="lv-LV"/>
              </w:rPr>
              <m:t>thb  t</m:t>
            </m:r>
          </m:sub>
          <m:sup>
            <m:r>
              <w:rPr>
                <w:rFonts w:ascii="Cambria Math" w:hAnsi="Cambria Math"/>
                <w:szCs w:val="24"/>
                <w:lang w:eastAsia="lv-LV"/>
              </w:rPr>
              <m:t xml:space="preserve"> i</m:t>
            </m:r>
          </m:sup>
        </m:sSubSup>
      </m:oMath>
      <w:r w:rsidR="00E82E3D" w:rsidRPr="008831D9">
        <w:rPr>
          <w:szCs w:val="24"/>
          <w:lang w:eastAsia="lv-LV"/>
        </w:rPr>
        <w:t>– koģenerācijas elektrostacijas uzstādītā siltuma jauda, kas atbilst elektrostacijā uzstādīto koģenerācijas iekārtu izgatavotāja noteikto bruto siltumjaudu summai</w:t>
      </w:r>
      <w:r w:rsidR="00E82E3D" w:rsidRPr="008831D9">
        <w:rPr>
          <w:i/>
          <w:szCs w:val="24"/>
          <w:lang w:eastAsia="lv-LV"/>
        </w:rPr>
        <w:t xml:space="preserve"> </w:t>
      </w:r>
      <w:r w:rsidR="00E82E3D" w:rsidRPr="008831D9">
        <w:rPr>
          <w:szCs w:val="24"/>
          <w:lang w:eastAsia="lv-LV"/>
        </w:rPr>
        <w:t>(</w:t>
      </w:r>
      <w:proofErr w:type="spellStart"/>
      <w:r w:rsidR="00E82E3D" w:rsidRPr="008831D9">
        <w:rPr>
          <w:szCs w:val="24"/>
          <w:lang w:eastAsia="lv-LV"/>
        </w:rPr>
        <w:t>MWh</w:t>
      </w:r>
      <w:proofErr w:type="spellEnd"/>
      <w:r w:rsidR="00E82E3D" w:rsidRPr="008831D9">
        <w:rPr>
          <w:szCs w:val="24"/>
          <w:lang w:eastAsia="lv-LV"/>
        </w:rPr>
        <w:t>).</w:t>
      </w:r>
    </w:p>
    <w:p w14:paraId="29428E40" w14:textId="1F2E5A6E" w:rsidR="00EB3ABA" w:rsidRDefault="00E82E3D" w:rsidP="00EB3ABA">
      <w:pPr>
        <w:shd w:val="clear" w:color="auto" w:fill="FFFFFF"/>
        <w:spacing w:before="100" w:beforeAutospacing="1" w:after="100" w:afterAutospacing="1" w:line="254" w:lineRule="atLeast"/>
        <w:ind w:firstLine="300"/>
        <w:jc w:val="both"/>
        <w:rPr>
          <w:szCs w:val="24"/>
          <w:lang w:eastAsia="lv-LV"/>
        </w:rPr>
      </w:pPr>
      <w:r>
        <w:rPr>
          <w:szCs w:val="24"/>
          <w:lang w:eastAsia="lv-LV"/>
        </w:rPr>
        <w:t>9</w:t>
      </w:r>
      <w:r w:rsidR="00EB3ABA" w:rsidRPr="00BD6296">
        <w:rPr>
          <w:szCs w:val="24"/>
          <w:lang w:eastAsia="lv-LV"/>
        </w:rPr>
        <w:t>. S</w:t>
      </w:r>
      <w:r w:rsidR="00EB3ABA" w:rsidRPr="00BD6296">
        <w:rPr>
          <w:rFonts w:eastAsia="Times New Roman" w:cs="Times New Roman"/>
          <w:szCs w:val="28"/>
          <w:lang w:eastAsia="lv-LV"/>
        </w:rPr>
        <w:t>il</w:t>
      </w:r>
      <w:r w:rsidR="00317FE5">
        <w:rPr>
          <w:rFonts w:eastAsia="Times New Roman" w:cs="Times New Roman"/>
          <w:szCs w:val="28"/>
          <w:lang w:eastAsia="lv-LV"/>
        </w:rPr>
        <w:t xml:space="preserve">tumenerģijas cenas </w:t>
      </w:r>
      <w:proofErr w:type="spellStart"/>
      <w:r w:rsidR="00317FE5">
        <w:rPr>
          <w:rFonts w:eastAsia="Times New Roman" w:cs="Times New Roman"/>
          <w:szCs w:val="28"/>
          <w:lang w:eastAsia="lv-LV"/>
        </w:rPr>
        <w:t>līmeņatzīmi</w:t>
      </w:r>
      <w:proofErr w:type="spellEnd"/>
      <w:r w:rsidR="00317FE5">
        <w:rPr>
          <w:rFonts w:eastAsia="Times New Roman" w:cs="Times New Roman"/>
          <w:szCs w:val="28"/>
          <w:lang w:eastAsia="lv-LV"/>
        </w:rPr>
        <w:t xml:space="preserve"> </w:t>
      </w:r>
      <w:r w:rsidR="0040161C">
        <w:rPr>
          <w:rFonts w:eastAsia="Times New Roman" w:cs="Times New Roman"/>
          <w:szCs w:val="28"/>
          <w:lang w:eastAsia="lv-LV"/>
        </w:rPr>
        <w:t>kalendāra gada</w:t>
      </w:r>
      <w:r w:rsidR="0040161C" w:rsidRPr="00BD6296">
        <w:rPr>
          <w:rFonts w:eastAsia="Times New Roman" w:cs="Times New Roman"/>
          <w:szCs w:val="28"/>
          <w:lang w:eastAsia="lv-LV"/>
        </w:rPr>
        <w:t xml:space="preserve"> </w:t>
      </w:r>
      <w:r w:rsidR="0040161C" w:rsidRPr="00BD6296">
        <w:rPr>
          <w:rFonts w:eastAsia="Times New Roman" w:cs="Times New Roman"/>
          <w:i/>
          <w:szCs w:val="28"/>
          <w:lang w:eastAsia="lv-LV"/>
        </w:rPr>
        <w:t xml:space="preserve">t </w:t>
      </w:r>
      <w:r w:rsidR="0040161C" w:rsidRPr="00B93A45">
        <w:rPr>
          <w:rFonts w:eastAsia="Times New Roman" w:cs="Times New Roman"/>
          <w:szCs w:val="28"/>
          <w:lang w:eastAsia="lv-LV"/>
        </w:rPr>
        <w:t xml:space="preserve">kalendāra mēnesī </w:t>
      </w:r>
      <w:r w:rsidR="0040161C">
        <w:rPr>
          <w:rFonts w:eastAsia="Times New Roman" w:cs="Times New Roman"/>
          <w:i/>
          <w:szCs w:val="28"/>
          <w:lang w:eastAsia="lv-LV"/>
        </w:rPr>
        <w:t xml:space="preserve">i </w:t>
      </w:r>
      <w:r w:rsidR="00EB3ABA" w:rsidRPr="00BD6296">
        <w:rPr>
          <w:rFonts w:eastAsia="Times New Roman" w:cs="Times New Roman"/>
          <w:szCs w:val="28"/>
          <w:lang w:eastAsia="lv-LV"/>
        </w:rPr>
        <w:t>aprēķina, izmantojot formulu</w:t>
      </w:r>
      <w:r w:rsidR="00EB3ABA" w:rsidRPr="00BD6296">
        <w:rPr>
          <w:szCs w:val="24"/>
          <w:lang w:eastAsia="lv-LV"/>
        </w:rPr>
        <w:t>:</w:t>
      </w:r>
    </w:p>
    <w:p w14:paraId="23D1F3FD" w14:textId="6179C658" w:rsidR="00DA67D7" w:rsidRPr="00BD6296" w:rsidRDefault="00FE1565" w:rsidP="00DA67D7">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ref</m:t>
                </m:r>
              </m:sub>
            </m:sSub>
          </m:den>
        </m:f>
      </m:oMath>
      <w:r w:rsidR="00DA67D7" w:rsidRPr="00BD6296">
        <w:rPr>
          <w:rFonts w:eastAsia="Times New Roman" w:cs="Times New Roman"/>
          <w:szCs w:val="28"/>
          <w:lang w:eastAsia="lv-LV"/>
        </w:rPr>
        <w:t>, kur</w:t>
      </w:r>
    </w:p>
    <w:p w14:paraId="488A08BA" w14:textId="08C19A28" w:rsidR="00DA67D7" w:rsidRPr="00BD6296" w:rsidRDefault="00FE1565" w:rsidP="00DA67D7">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DA67D7" w:rsidRPr="00BD6296">
        <w:rPr>
          <w:rFonts w:eastAsia="Times New Roman" w:cs="Times New Roman"/>
          <w:szCs w:val="28"/>
          <w:lang w:eastAsia="lv-LV"/>
        </w:rPr>
        <w:t xml:space="preserve">– kurināmā cenas līmeņatzīme </w:t>
      </w:r>
      <w:r w:rsidR="00DA67D7">
        <w:rPr>
          <w:rFonts w:eastAsia="Times New Roman" w:cs="Times New Roman"/>
          <w:szCs w:val="28"/>
          <w:lang w:eastAsia="lv-LV"/>
        </w:rPr>
        <w:t>kalendāra gada</w:t>
      </w:r>
      <w:r w:rsidR="00DA67D7" w:rsidRPr="00BD6296">
        <w:rPr>
          <w:rFonts w:eastAsia="Times New Roman" w:cs="Times New Roman"/>
          <w:szCs w:val="28"/>
          <w:lang w:eastAsia="lv-LV"/>
        </w:rPr>
        <w:t xml:space="preserve"> </w:t>
      </w:r>
      <w:r w:rsidR="00DA67D7" w:rsidRPr="00BD6296">
        <w:rPr>
          <w:rFonts w:eastAsia="Times New Roman" w:cs="Times New Roman"/>
          <w:i/>
          <w:szCs w:val="28"/>
          <w:lang w:eastAsia="lv-LV"/>
        </w:rPr>
        <w:t xml:space="preserve">t </w:t>
      </w:r>
      <w:r w:rsidR="00DA67D7" w:rsidRPr="00B93A45">
        <w:rPr>
          <w:rFonts w:eastAsia="Times New Roman" w:cs="Times New Roman"/>
          <w:szCs w:val="28"/>
          <w:lang w:eastAsia="lv-LV"/>
        </w:rPr>
        <w:t xml:space="preserve">kalendāra mēnesī </w:t>
      </w:r>
      <w:r w:rsidR="00DA67D7">
        <w:rPr>
          <w:rFonts w:eastAsia="Times New Roman" w:cs="Times New Roman"/>
          <w:i/>
          <w:szCs w:val="28"/>
          <w:lang w:eastAsia="lv-LV"/>
        </w:rPr>
        <w:t xml:space="preserve">i </w:t>
      </w:r>
      <w:r w:rsidR="00DA67D7" w:rsidRPr="00BD6296">
        <w:rPr>
          <w:rFonts w:eastAsia="Times New Roman" w:cs="Times New Roman"/>
          <w:szCs w:val="28"/>
          <w:lang w:eastAsia="lv-LV"/>
        </w:rPr>
        <w:t>(EUR/</w:t>
      </w:r>
      <w:proofErr w:type="spellStart"/>
      <w:r w:rsidR="00DA67D7" w:rsidRPr="00BD6296">
        <w:rPr>
          <w:rFonts w:eastAsia="Times New Roman" w:cs="Times New Roman"/>
          <w:szCs w:val="28"/>
          <w:lang w:eastAsia="lv-LV"/>
        </w:rPr>
        <w:t>MWh</w:t>
      </w:r>
      <w:proofErr w:type="spellEnd"/>
      <w:r w:rsidR="00DA67D7" w:rsidRPr="00BD6296">
        <w:rPr>
          <w:rFonts w:eastAsia="Times New Roman" w:cs="Times New Roman"/>
          <w:szCs w:val="28"/>
          <w:lang w:eastAsia="lv-LV"/>
        </w:rPr>
        <w:t>)</w:t>
      </w:r>
      <w:r w:rsidR="00DA67D7">
        <w:rPr>
          <w:rFonts w:eastAsia="Times New Roman" w:cs="Times New Roman"/>
          <w:szCs w:val="28"/>
          <w:lang w:eastAsia="lv-LV"/>
        </w:rPr>
        <w:t>;</w:t>
      </w:r>
    </w:p>
    <w:p w14:paraId="727D9CE9" w14:textId="0BDC94EA" w:rsidR="00DA67D7" w:rsidRDefault="00FE1565" w:rsidP="00DA67D7">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 xml:space="preserve">ref </m:t>
            </m:r>
          </m:sub>
        </m:sSub>
      </m:oMath>
      <w:r w:rsidR="00DA67D7" w:rsidRPr="00BD6296">
        <w:rPr>
          <w:rFonts w:eastAsia="Times New Roman" w:cs="Times New Roman"/>
          <w:szCs w:val="28"/>
          <w:lang w:eastAsia="lv-LV"/>
        </w:rPr>
        <w:t xml:space="preserve"> – lietderības koeficients siltumenerģijas pārdošanas cenas aprēķinam, kas ir atkarīgs no izmantotā kurināmā veida un ir noteikts šī pielikuma </w:t>
      </w:r>
      <w:r w:rsidR="00DA67D7">
        <w:rPr>
          <w:rFonts w:eastAsia="Times New Roman" w:cs="Times New Roman"/>
          <w:szCs w:val="28"/>
          <w:lang w:eastAsia="lv-LV"/>
        </w:rPr>
        <w:t>3</w:t>
      </w:r>
      <w:r w:rsidR="00DA67D7" w:rsidRPr="00BD6296">
        <w:rPr>
          <w:rFonts w:eastAsia="Times New Roman" w:cs="Times New Roman"/>
          <w:szCs w:val="28"/>
          <w:lang w:eastAsia="lv-LV"/>
        </w:rPr>
        <w:t xml:space="preserve">., </w:t>
      </w:r>
      <w:r w:rsidR="00DA67D7">
        <w:rPr>
          <w:rFonts w:eastAsia="Times New Roman" w:cs="Times New Roman"/>
          <w:szCs w:val="28"/>
          <w:lang w:eastAsia="lv-LV"/>
        </w:rPr>
        <w:t>6.</w:t>
      </w:r>
      <w:r w:rsidR="00DA67D7" w:rsidRPr="00BD6296">
        <w:rPr>
          <w:rFonts w:eastAsia="Times New Roman" w:cs="Times New Roman"/>
          <w:szCs w:val="28"/>
          <w:lang w:eastAsia="lv-LV"/>
        </w:rPr>
        <w:t xml:space="preserve"> un </w:t>
      </w:r>
      <w:r w:rsidR="00DA67D7">
        <w:rPr>
          <w:rFonts w:eastAsia="Times New Roman" w:cs="Times New Roman"/>
          <w:szCs w:val="28"/>
          <w:lang w:eastAsia="lv-LV"/>
        </w:rPr>
        <w:t>8</w:t>
      </w:r>
      <w:r w:rsidR="00DA67D7" w:rsidRPr="00BD6296">
        <w:rPr>
          <w:rFonts w:eastAsia="Times New Roman" w:cs="Times New Roman"/>
          <w:szCs w:val="28"/>
          <w:lang w:eastAsia="lv-LV"/>
        </w:rPr>
        <w:t>. tabulā.</w:t>
      </w:r>
    </w:p>
    <w:p w14:paraId="2EF33B83" w14:textId="3F52C5D7" w:rsidR="00EB3ABA" w:rsidRPr="00BD6296" w:rsidRDefault="00E82E3D"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Pr>
          <w:szCs w:val="24"/>
          <w:lang w:eastAsia="lv-LV"/>
        </w:rPr>
        <w:t>10</w:t>
      </w:r>
      <w:r w:rsidR="00EB3ABA" w:rsidRPr="00BD6296">
        <w:rPr>
          <w:szCs w:val="24"/>
          <w:lang w:eastAsia="lv-LV"/>
        </w:rPr>
        <w:t xml:space="preserve">. </w:t>
      </w:r>
      <w:r w:rsidR="00EB3ABA" w:rsidRPr="00BD6296">
        <w:rPr>
          <w:rFonts w:eastAsia="Times New Roman" w:cs="Times New Roman"/>
          <w:szCs w:val="28"/>
          <w:lang w:eastAsia="lv-LV"/>
        </w:rPr>
        <w:t xml:space="preserve">Kurināmā cenas līmeņatzīme </w:t>
      </w:r>
      <w:r w:rsidR="0040161C">
        <w:rPr>
          <w:rFonts w:eastAsia="Times New Roman" w:cs="Times New Roman"/>
          <w:szCs w:val="28"/>
          <w:lang w:eastAsia="lv-LV"/>
        </w:rPr>
        <w:t>kalendāra gada</w:t>
      </w:r>
      <w:r w:rsidR="0040161C" w:rsidRPr="00BD6296">
        <w:rPr>
          <w:rFonts w:eastAsia="Times New Roman" w:cs="Times New Roman"/>
          <w:szCs w:val="28"/>
          <w:lang w:eastAsia="lv-LV"/>
        </w:rPr>
        <w:t xml:space="preserve"> </w:t>
      </w:r>
      <w:r w:rsidR="0040161C" w:rsidRPr="00BD6296">
        <w:rPr>
          <w:rFonts w:eastAsia="Times New Roman" w:cs="Times New Roman"/>
          <w:i/>
          <w:szCs w:val="28"/>
          <w:lang w:eastAsia="lv-LV"/>
        </w:rPr>
        <w:t xml:space="preserve">t </w:t>
      </w:r>
      <w:r w:rsidR="0040161C" w:rsidRPr="00B93A45">
        <w:rPr>
          <w:rFonts w:eastAsia="Times New Roman" w:cs="Times New Roman"/>
          <w:szCs w:val="28"/>
          <w:lang w:eastAsia="lv-LV"/>
        </w:rPr>
        <w:t xml:space="preserve">kalendāra mēnesī </w:t>
      </w:r>
      <w:r w:rsidR="0040161C">
        <w:rPr>
          <w:rFonts w:eastAsia="Times New Roman" w:cs="Times New Roman"/>
          <w:i/>
          <w:szCs w:val="28"/>
          <w:lang w:eastAsia="lv-LV"/>
        </w:rPr>
        <w:t xml:space="preserve">i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40161C">
        <w:rPr>
          <w:rFonts w:eastAsia="Times New Roman" w:cs="Times New Roman"/>
          <w:i/>
          <w:iCs/>
          <w:szCs w:val="28"/>
          <w:vertAlign w:val="subscript"/>
          <w:lang w:eastAsia="lv-LV"/>
        </w:rPr>
        <w:t>i</w:t>
      </w:r>
      <w:r w:rsidR="00EB3ABA" w:rsidRPr="00BD6296">
        <w:rPr>
          <w:rFonts w:eastAsia="Times New Roman" w:cs="Times New Roman"/>
          <w:szCs w:val="28"/>
          <w:lang w:eastAsia="lv-LV"/>
        </w:rPr>
        <w:t xml:space="preserve"> koģenerācijas </w:t>
      </w:r>
      <w:r>
        <w:rPr>
          <w:rFonts w:eastAsia="Times New Roman" w:cs="Times New Roman"/>
          <w:szCs w:val="28"/>
          <w:lang w:eastAsia="lv-LV"/>
        </w:rPr>
        <w:t>elektro</w:t>
      </w:r>
      <w:r w:rsidR="00EB3ABA" w:rsidRPr="00BD6296">
        <w:rPr>
          <w:rFonts w:eastAsia="Times New Roman" w:cs="Times New Roman"/>
          <w:szCs w:val="28"/>
          <w:lang w:eastAsia="lv-LV"/>
        </w:rPr>
        <w:t xml:space="preserve">stacijām, kas par kurināmo izmanto atjaunojamos energoresursus, atkarībā no izmantotā </w:t>
      </w:r>
      <w:r w:rsidR="00F33965">
        <w:rPr>
          <w:rFonts w:eastAsia="Times New Roman" w:cs="Times New Roman"/>
          <w:szCs w:val="28"/>
          <w:lang w:eastAsia="lv-LV"/>
        </w:rPr>
        <w:t>kurināmā</w:t>
      </w:r>
      <w:r w:rsidR="00EB3ABA" w:rsidRPr="00BD6296">
        <w:rPr>
          <w:rFonts w:eastAsia="Times New Roman" w:cs="Times New Roman"/>
          <w:szCs w:val="28"/>
          <w:lang w:eastAsia="lv-LV"/>
        </w:rPr>
        <w:t xml:space="preserve"> veida un uzstādītās elektriskās jaudas ir noteikta šī pielikuma 4.,5. un 7. tabulā. Koģenerācijas </w:t>
      </w:r>
      <w:proofErr w:type="spellStart"/>
      <w:r w:rsidR="00F33965">
        <w:rPr>
          <w:rFonts w:eastAsia="Times New Roman" w:cs="Times New Roman"/>
          <w:szCs w:val="28"/>
          <w:lang w:eastAsia="lv-LV"/>
        </w:rPr>
        <w:t>elekto</w:t>
      </w:r>
      <w:r w:rsidR="00EB3ABA" w:rsidRPr="00BD6296">
        <w:rPr>
          <w:rFonts w:eastAsia="Times New Roman" w:cs="Times New Roman"/>
          <w:szCs w:val="28"/>
          <w:lang w:eastAsia="lv-LV"/>
        </w:rPr>
        <w:t>stacijām</w:t>
      </w:r>
      <w:proofErr w:type="spellEnd"/>
      <w:r w:rsidR="00EB3ABA" w:rsidRPr="00BD6296">
        <w:rPr>
          <w:rFonts w:eastAsia="Times New Roman" w:cs="Times New Roman"/>
          <w:szCs w:val="28"/>
          <w:lang w:eastAsia="lv-LV"/>
        </w:rPr>
        <w:t>, ka</w:t>
      </w:r>
      <w:r w:rsidR="00E87E61">
        <w:rPr>
          <w:rFonts w:eastAsia="Times New Roman" w:cs="Times New Roman"/>
          <w:szCs w:val="28"/>
          <w:lang w:eastAsia="lv-LV"/>
        </w:rPr>
        <w:t>s</w:t>
      </w:r>
      <w:r w:rsidR="00EB3ABA" w:rsidRPr="00BD6296">
        <w:rPr>
          <w:rFonts w:eastAsia="Times New Roman" w:cs="Times New Roman"/>
          <w:szCs w:val="28"/>
          <w:lang w:eastAsia="lv-LV"/>
        </w:rPr>
        <w:t xml:space="preserve"> kā kurināmo izmanto dabasgāzi, kurināmā cenas </w:t>
      </w:r>
      <w:proofErr w:type="spellStart"/>
      <w:r w:rsidR="00EB3ABA" w:rsidRPr="00BD6296">
        <w:rPr>
          <w:rFonts w:eastAsia="Times New Roman" w:cs="Times New Roman"/>
          <w:szCs w:val="28"/>
          <w:lang w:eastAsia="lv-LV"/>
        </w:rPr>
        <w:t>līmeņatzīmi</w:t>
      </w:r>
      <w:proofErr w:type="spellEnd"/>
      <w:r w:rsidR="00EB3ABA" w:rsidRPr="00BD6296">
        <w:rPr>
          <w:rFonts w:eastAsia="Times New Roman" w:cs="Times New Roman"/>
          <w:szCs w:val="28"/>
          <w:lang w:eastAsia="lv-LV"/>
        </w:rPr>
        <w:t xml:space="preserve"> </w:t>
      </w:r>
      <w:r w:rsidR="0040161C">
        <w:rPr>
          <w:rFonts w:eastAsia="Times New Roman" w:cs="Times New Roman"/>
          <w:szCs w:val="28"/>
          <w:lang w:eastAsia="lv-LV"/>
        </w:rPr>
        <w:t>kalendāra gada</w:t>
      </w:r>
      <w:r w:rsidR="0040161C" w:rsidRPr="00BD6296">
        <w:rPr>
          <w:rFonts w:eastAsia="Times New Roman" w:cs="Times New Roman"/>
          <w:szCs w:val="28"/>
          <w:lang w:eastAsia="lv-LV"/>
        </w:rPr>
        <w:t xml:space="preserve"> </w:t>
      </w:r>
      <w:r w:rsidR="0040161C" w:rsidRPr="00BD6296">
        <w:rPr>
          <w:rFonts w:eastAsia="Times New Roman" w:cs="Times New Roman"/>
          <w:i/>
          <w:szCs w:val="28"/>
          <w:lang w:eastAsia="lv-LV"/>
        </w:rPr>
        <w:t xml:space="preserve">t </w:t>
      </w:r>
      <w:r w:rsidR="0040161C" w:rsidRPr="00B93A45">
        <w:rPr>
          <w:rFonts w:eastAsia="Times New Roman" w:cs="Times New Roman"/>
          <w:szCs w:val="28"/>
          <w:lang w:eastAsia="lv-LV"/>
        </w:rPr>
        <w:t xml:space="preserve">kalendāra mēnesī </w:t>
      </w:r>
      <w:r w:rsidR="0040161C">
        <w:rPr>
          <w:rFonts w:eastAsia="Times New Roman" w:cs="Times New Roman"/>
          <w:i/>
          <w:szCs w:val="28"/>
          <w:lang w:eastAsia="lv-LV"/>
        </w:rPr>
        <w:t xml:space="preserve">i </w:t>
      </w:r>
      <w:r w:rsidR="00EB3ABA" w:rsidRPr="00BD6296">
        <w:rPr>
          <w:rFonts w:eastAsia="Times New Roman" w:cs="Times New Roman"/>
          <w:szCs w:val="28"/>
          <w:lang w:eastAsia="lv-LV"/>
        </w:rPr>
        <w:t>aprēķina, izmantojot formulu:</w:t>
      </w:r>
    </w:p>
    <w:p w14:paraId="443EDB98" w14:textId="496C3859" w:rsidR="00EB3ABA" w:rsidRPr="00BD6296" w:rsidRDefault="00FE1565" w:rsidP="00EB3ABA">
      <w:pPr>
        <w:shd w:val="clear" w:color="auto" w:fill="FFFFFF"/>
        <w:spacing w:before="100" w:beforeAutospacing="1" w:after="100" w:afterAutospacing="1" w:line="254" w:lineRule="atLeast"/>
        <w:ind w:firstLine="300"/>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num>
          <m:den>
            <m:r>
              <w:rPr>
                <w:rFonts w:ascii="Cambria Math" w:eastAsia="Times New Roman" w:hAnsi="Cambria Math" w:cs="Times New Roman"/>
                <w:szCs w:val="28"/>
                <w:lang w:eastAsia="lv-LV"/>
              </w:rPr>
              <m:t>9,3</m:t>
            </m:r>
          </m:den>
        </m:f>
      </m:oMath>
      <w:r w:rsidR="00EB3ABA" w:rsidRPr="00FB0AE8">
        <w:rPr>
          <w:rFonts w:eastAsia="Times New Roman" w:cs="Times New Roman"/>
          <w:szCs w:val="28"/>
          <w:lang w:eastAsia="lv-LV"/>
        </w:rPr>
        <w:t>,</w:t>
      </w:r>
      <w:r w:rsidR="00EB3ABA" w:rsidRPr="00BD6296">
        <w:rPr>
          <w:rFonts w:eastAsia="Times New Roman" w:cs="Times New Roman"/>
          <w:szCs w:val="28"/>
          <w:lang w:eastAsia="lv-LV"/>
        </w:rPr>
        <w:t xml:space="preserve"> kur</w:t>
      </w:r>
    </w:p>
    <w:p w14:paraId="3A7B293D" w14:textId="68B21AB9" w:rsidR="00EB3ABA" w:rsidRPr="0040161C" w:rsidRDefault="00FE1565"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T</m:t>
            </m:r>
          </m:e>
          <m:sub>
            <m:r>
              <w:rPr>
                <w:rFonts w:ascii="Cambria Math" w:eastAsia="Times New Roman" w:hAnsi="Cambria Math" w:cs="Times New Roman"/>
                <w:sz w:val="24"/>
                <w:szCs w:val="28"/>
                <w:lang w:eastAsia="lv-LV"/>
              </w:rPr>
              <m:t>g  t</m:t>
            </m:r>
          </m:sub>
          <m:sup>
            <m:r>
              <w:rPr>
                <w:rFonts w:ascii="Cambria Math" w:eastAsia="Times New Roman" w:hAnsi="Cambria Math" w:cs="Times New Roman"/>
                <w:sz w:val="24"/>
                <w:szCs w:val="28"/>
                <w:lang w:eastAsia="lv-LV"/>
              </w:rPr>
              <m:t xml:space="preserve"> i</m:t>
            </m:r>
          </m:sup>
        </m:sSubSup>
      </m:oMath>
      <w:r w:rsidR="00EB3ABA" w:rsidRPr="0040161C">
        <w:rPr>
          <w:rFonts w:eastAsia="Times New Roman" w:cs="Times New Roman"/>
          <w:szCs w:val="28"/>
          <w:lang w:eastAsia="lv-LV"/>
        </w:rPr>
        <w:t xml:space="preserve">– </w:t>
      </w:r>
      <w:r w:rsidR="008D3FFE">
        <w:rPr>
          <w:rFonts w:eastAsia="Times New Roman" w:cs="Times New Roman"/>
          <w:szCs w:val="28"/>
          <w:lang w:eastAsia="lv-LV"/>
        </w:rPr>
        <w:t>kalendāra gada</w:t>
      </w:r>
      <w:r w:rsidR="008D3FFE" w:rsidRPr="00BD6296">
        <w:rPr>
          <w:rFonts w:eastAsia="Times New Roman" w:cs="Times New Roman"/>
          <w:szCs w:val="28"/>
          <w:lang w:eastAsia="lv-LV"/>
        </w:rPr>
        <w:t xml:space="preserve"> </w:t>
      </w:r>
      <w:r w:rsidR="008D3FFE" w:rsidRPr="00BD6296">
        <w:rPr>
          <w:rFonts w:eastAsia="Times New Roman" w:cs="Times New Roman"/>
          <w:i/>
          <w:szCs w:val="28"/>
          <w:lang w:eastAsia="lv-LV"/>
        </w:rPr>
        <w:t xml:space="preserve">t </w:t>
      </w:r>
      <w:r w:rsidR="008D3FFE" w:rsidRPr="00B93A45">
        <w:rPr>
          <w:rFonts w:eastAsia="Times New Roman" w:cs="Times New Roman"/>
          <w:szCs w:val="28"/>
          <w:lang w:eastAsia="lv-LV"/>
        </w:rPr>
        <w:t>kalendāra mēnes</w:t>
      </w:r>
      <w:r w:rsidR="008D3FFE">
        <w:rPr>
          <w:rFonts w:eastAsia="Times New Roman" w:cs="Times New Roman"/>
          <w:szCs w:val="28"/>
          <w:lang w:eastAsia="lv-LV"/>
        </w:rPr>
        <w:t>im</w:t>
      </w:r>
      <w:r w:rsidR="008D3FFE" w:rsidRPr="00B93A45">
        <w:rPr>
          <w:rFonts w:eastAsia="Times New Roman" w:cs="Times New Roman"/>
          <w:szCs w:val="28"/>
          <w:lang w:eastAsia="lv-LV"/>
        </w:rPr>
        <w:t xml:space="preserve"> </w:t>
      </w:r>
      <w:r w:rsidR="008D3FFE">
        <w:rPr>
          <w:rFonts w:eastAsia="Times New Roman" w:cs="Times New Roman"/>
          <w:i/>
          <w:szCs w:val="28"/>
          <w:lang w:eastAsia="lv-LV"/>
        </w:rPr>
        <w:t xml:space="preserve">i </w:t>
      </w:r>
      <w:r w:rsidR="00EB3ABA" w:rsidRPr="0040161C">
        <w:rPr>
          <w:rFonts w:eastAsia="Times New Roman" w:cs="Times New Roman"/>
          <w:szCs w:val="28"/>
          <w:lang w:eastAsia="lv-LV"/>
        </w:rPr>
        <w:t>regulatora apstiprinātais dabasgāzes tirdzniecības gala tarifs bez pievienotās vērtības nodokļa atbilstoši dabasgāzes faktiskajai siltumspējai (EUR/tūkst. n.m</w:t>
      </w:r>
      <w:r w:rsidR="00EB3ABA" w:rsidRPr="0040161C">
        <w:rPr>
          <w:rFonts w:eastAsia="Times New Roman" w:cs="Times New Roman"/>
          <w:szCs w:val="28"/>
          <w:vertAlign w:val="superscript"/>
          <w:lang w:eastAsia="lv-LV"/>
        </w:rPr>
        <w:t>3</w:t>
      </w:r>
      <w:r w:rsidR="00EB3ABA" w:rsidRPr="0040161C">
        <w:rPr>
          <w:rFonts w:eastAsia="Times New Roman" w:cs="Times New Roman"/>
          <w:szCs w:val="28"/>
          <w:lang w:eastAsia="lv-LV"/>
        </w:rPr>
        <w:t>), kas noteikts saskaņā ar dabasgāzes patēriņa apjomiem (6.pielikums) atkarībā no koģenerācijas elektrostacijā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EB3ABA" w:rsidRPr="0040161C">
        <w:rPr>
          <w:rFonts w:eastAsia="Times New Roman" w:cs="Times New Roman"/>
          <w:szCs w:val="28"/>
          <w:lang w:eastAsia="lv-LV"/>
        </w:rPr>
        <w:t>. Nākotnes periodam tas tiek noteikts atbilstoši šī pielikuma 9. tabulā iekļautajām dabasgāzes tirdzniecības cenas līmeņatzīmēm;</w:t>
      </w:r>
    </w:p>
    <w:p w14:paraId="21E9ECE4" w14:textId="10FC4A61" w:rsidR="00EB3ABA" w:rsidRPr="00BD6296" w:rsidRDefault="00FE1565"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AN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 xml:space="preserve"> i</m:t>
            </m:r>
          </m:sup>
        </m:sSubSup>
      </m:oMath>
      <w:r w:rsidR="00EB3ABA" w:rsidRPr="00BD6296">
        <w:rPr>
          <w:rFonts w:eastAsia="Times New Roman" w:cs="Times New Roman"/>
          <w:szCs w:val="28"/>
          <w:lang w:eastAsia="lv-LV"/>
        </w:rPr>
        <w:t>– akcīzes nodoklis dabasgāzes izmantošanai par kurināmo</w:t>
      </w:r>
      <w:r w:rsidR="008D3FFE">
        <w:rPr>
          <w:rFonts w:eastAsia="Times New Roman" w:cs="Times New Roman"/>
          <w:szCs w:val="28"/>
          <w:lang w:eastAsia="lv-LV"/>
        </w:rPr>
        <w:t xml:space="preserve"> kalendāra gada</w:t>
      </w:r>
      <w:r w:rsidR="008D3FFE" w:rsidRPr="00BD6296">
        <w:rPr>
          <w:rFonts w:eastAsia="Times New Roman" w:cs="Times New Roman"/>
          <w:szCs w:val="28"/>
          <w:lang w:eastAsia="lv-LV"/>
        </w:rPr>
        <w:t xml:space="preserve"> </w:t>
      </w:r>
      <w:r w:rsidR="008D3FFE" w:rsidRPr="00BD6296">
        <w:rPr>
          <w:rFonts w:eastAsia="Times New Roman" w:cs="Times New Roman"/>
          <w:i/>
          <w:szCs w:val="28"/>
          <w:lang w:eastAsia="lv-LV"/>
        </w:rPr>
        <w:t xml:space="preserve">t </w:t>
      </w:r>
      <w:r w:rsidR="008D3FFE" w:rsidRPr="00B93A45">
        <w:rPr>
          <w:rFonts w:eastAsia="Times New Roman" w:cs="Times New Roman"/>
          <w:szCs w:val="28"/>
          <w:lang w:eastAsia="lv-LV"/>
        </w:rPr>
        <w:t>kalendāra mēnes</w:t>
      </w:r>
      <w:r w:rsidR="00F33965">
        <w:rPr>
          <w:rFonts w:eastAsia="Times New Roman" w:cs="Times New Roman"/>
          <w:szCs w:val="28"/>
          <w:lang w:eastAsia="lv-LV"/>
        </w:rPr>
        <w:t>ī</w:t>
      </w:r>
      <w:r w:rsidR="008D3FFE" w:rsidRPr="00B93A45">
        <w:rPr>
          <w:rFonts w:eastAsia="Times New Roman" w:cs="Times New Roman"/>
          <w:szCs w:val="28"/>
          <w:lang w:eastAsia="lv-LV"/>
        </w:rPr>
        <w:t xml:space="preserve"> </w:t>
      </w:r>
      <w:r w:rsidR="008D3FFE">
        <w:rPr>
          <w:rFonts w:eastAsia="Times New Roman" w:cs="Times New Roman"/>
          <w:i/>
          <w:szCs w:val="28"/>
          <w:lang w:eastAsia="lv-LV"/>
        </w:rPr>
        <w:t>i</w:t>
      </w:r>
      <w:r w:rsidR="00EB3ABA" w:rsidRPr="00BD6296">
        <w:rPr>
          <w:rFonts w:eastAsia="Times New Roman" w:cs="Times New Roman"/>
          <w:sz w:val="26"/>
          <w:szCs w:val="26"/>
          <w:lang w:eastAsia="lv-LV"/>
        </w:rPr>
        <w:t xml:space="preserve"> </w:t>
      </w:r>
      <w:r w:rsidR="00EB3ABA" w:rsidRPr="00BD6296">
        <w:rPr>
          <w:rFonts w:eastAsia="Times New Roman" w:cs="Times New Roman"/>
          <w:szCs w:val="28"/>
          <w:lang w:eastAsia="lv-LV"/>
        </w:rPr>
        <w:t>(EUR/tūkst.n.m</w:t>
      </w:r>
      <w:r w:rsidR="00EB3ABA" w:rsidRPr="00BD6296">
        <w:rPr>
          <w:rFonts w:eastAsia="Times New Roman" w:cs="Times New Roman"/>
          <w:szCs w:val="28"/>
          <w:vertAlign w:val="superscript"/>
          <w:lang w:eastAsia="lv-LV"/>
        </w:rPr>
        <w:t>3</w:t>
      </w:r>
      <w:r w:rsidR="00EB3ABA" w:rsidRPr="00BD6296">
        <w:rPr>
          <w:rFonts w:eastAsia="Times New Roman" w:cs="Times New Roman"/>
          <w:szCs w:val="28"/>
          <w:lang w:eastAsia="lv-LV"/>
        </w:rPr>
        <w:t xml:space="preserve">). Nākotnes periodam izmanto akcīzes nodokļa likmi, kas ir spēkā aprēķina veikšanas dienā. </w:t>
      </w:r>
    </w:p>
    <w:p w14:paraId="2631B79A" w14:textId="51EE44B0" w:rsidR="00EB3ABA" w:rsidRDefault="006D4189" w:rsidP="00EB3ABA">
      <w:pPr>
        <w:shd w:val="clear" w:color="auto" w:fill="FFFFFF"/>
        <w:spacing w:before="100" w:beforeAutospacing="1" w:after="100" w:afterAutospacing="1" w:line="254" w:lineRule="atLeast"/>
        <w:ind w:firstLine="300"/>
        <w:jc w:val="both"/>
        <w:rPr>
          <w:szCs w:val="24"/>
          <w:lang w:eastAsia="lv-LV"/>
        </w:rPr>
      </w:pPr>
      <w:r>
        <w:rPr>
          <w:szCs w:val="24"/>
          <w:lang w:eastAsia="lv-LV"/>
        </w:rPr>
        <w:lastRenderedPageBreak/>
        <w:t>1</w:t>
      </w:r>
      <w:r w:rsidR="00F33965">
        <w:rPr>
          <w:szCs w:val="24"/>
          <w:lang w:eastAsia="lv-LV"/>
        </w:rPr>
        <w:t>1</w:t>
      </w:r>
      <w:r w:rsidR="00EB3ABA" w:rsidRPr="00BD6296">
        <w:rPr>
          <w:szCs w:val="24"/>
          <w:lang w:eastAsia="lv-LV"/>
        </w:rPr>
        <w:t>. Atjaunojamos energoresursus izmantojošas koģenerācijas st</w:t>
      </w:r>
      <w:r w:rsidR="00EB3ABA" w:rsidRPr="00BD6296">
        <w:rPr>
          <w:rFonts w:eastAsia="Times New Roman" w:cs="Times New Roman"/>
          <w:szCs w:val="28"/>
          <w:lang w:eastAsia="lv-LV"/>
        </w:rPr>
        <w:t xml:space="preserve">acijas izdevumus </w:t>
      </w:r>
      <w:r w:rsidR="008D3FFE">
        <w:rPr>
          <w:rFonts w:eastAsia="Times New Roman" w:cs="Times New Roman"/>
          <w:szCs w:val="28"/>
          <w:lang w:eastAsia="lv-LV"/>
        </w:rPr>
        <w:t>kalendāra gada</w:t>
      </w:r>
      <w:r w:rsidR="008D3FFE" w:rsidRPr="00BD6296">
        <w:rPr>
          <w:rFonts w:eastAsia="Times New Roman" w:cs="Times New Roman"/>
          <w:szCs w:val="28"/>
          <w:lang w:eastAsia="lv-LV"/>
        </w:rPr>
        <w:t xml:space="preserve"> </w:t>
      </w:r>
      <w:r w:rsidR="008D3FFE" w:rsidRPr="00BD6296">
        <w:rPr>
          <w:rFonts w:eastAsia="Times New Roman" w:cs="Times New Roman"/>
          <w:i/>
          <w:szCs w:val="28"/>
          <w:lang w:eastAsia="lv-LV"/>
        </w:rPr>
        <w:t xml:space="preserve">t </w:t>
      </w:r>
      <w:r w:rsidR="008D3FFE" w:rsidRPr="00B93A45">
        <w:rPr>
          <w:rFonts w:eastAsia="Times New Roman" w:cs="Times New Roman"/>
          <w:szCs w:val="28"/>
          <w:lang w:eastAsia="lv-LV"/>
        </w:rPr>
        <w:t xml:space="preserve">kalendāra mēnesī </w:t>
      </w:r>
      <w:r w:rsidR="008D3FFE">
        <w:rPr>
          <w:rFonts w:eastAsia="Times New Roman" w:cs="Times New Roman"/>
          <w:i/>
          <w:szCs w:val="28"/>
          <w:lang w:eastAsia="lv-LV"/>
        </w:rPr>
        <w:t xml:space="preserve">i </w:t>
      </w:r>
      <w:proofErr w:type="spellStart"/>
      <w:r w:rsidR="00EB3ABA" w:rsidRPr="00BD6296">
        <w:rPr>
          <w:rFonts w:eastAsia="Times New Roman" w:cs="Times New Roman"/>
          <w:i/>
          <w:szCs w:val="28"/>
          <w:lang w:eastAsia="lv-LV"/>
        </w:rPr>
        <w:t>IZD</w:t>
      </w:r>
      <w:r w:rsidR="00EB3ABA" w:rsidRPr="00BD6296">
        <w:rPr>
          <w:rFonts w:eastAsia="Times New Roman" w:cs="Times New Roman"/>
          <w:i/>
          <w:szCs w:val="28"/>
          <w:vertAlign w:val="subscript"/>
          <w:lang w:eastAsia="lv-LV"/>
        </w:rPr>
        <w:t>t</w:t>
      </w:r>
      <w:r w:rsidR="008D3FFE">
        <w:rPr>
          <w:rFonts w:eastAsia="Times New Roman" w:cs="Times New Roman"/>
          <w:i/>
          <w:szCs w:val="28"/>
          <w:vertAlign w:val="subscript"/>
          <w:lang w:eastAsia="lv-LV"/>
        </w:rPr>
        <w:t>_i</w:t>
      </w:r>
      <w:proofErr w:type="spellEnd"/>
      <w:r w:rsidR="00EB3ABA" w:rsidRPr="00BD6296">
        <w:rPr>
          <w:szCs w:val="24"/>
          <w:lang w:eastAsia="lv-LV"/>
        </w:rPr>
        <w:t xml:space="preserve"> </w:t>
      </w:r>
      <w:r w:rsidR="00EB3ABA" w:rsidRPr="00BD6296">
        <w:rPr>
          <w:rFonts w:eastAsia="Times New Roman" w:cs="Times New Roman"/>
          <w:szCs w:val="28"/>
          <w:lang w:eastAsia="lv-LV"/>
        </w:rPr>
        <w:t>aprēķina, izmantojot šādu formulu</w:t>
      </w:r>
      <w:r w:rsidR="00EB3ABA" w:rsidRPr="00BD6296">
        <w:rPr>
          <w:szCs w:val="24"/>
          <w:lang w:eastAsia="lv-LV"/>
        </w:rPr>
        <w:t>:</w:t>
      </w:r>
    </w:p>
    <w:p w14:paraId="1D36C733" w14:textId="77777777" w:rsidR="00F33965" w:rsidRPr="00BD6296" w:rsidRDefault="00FE1565" w:rsidP="00F33965">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īp</m:t>
            </m:r>
          </m:sub>
        </m:sSub>
        <m:r>
          <w:rPr>
            <w:rFonts w:ascii="Cambria Math" w:eastAsia="Times New Roman" w:hAnsi="Cambria Math" w:cs="Times New Roman"/>
            <w:sz w:val="24"/>
            <w:szCs w:val="28"/>
            <w:lang w:eastAsia="lv-LV"/>
          </w:rPr>
          <m:t>×1000×</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M</m:t>
                    </m:r>
                  </m:sub>
                </m:sSub>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O </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F33965" w:rsidRPr="00BD6296">
        <w:rPr>
          <w:rFonts w:eastAsia="Times New Roman" w:cs="Times New Roman"/>
          <w:szCs w:val="28"/>
          <w:lang w:eastAsia="lv-LV"/>
        </w:rPr>
        <w:t>, kur</w:t>
      </w:r>
    </w:p>
    <w:p w14:paraId="0570055F" w14:textId="1A2CDAEA"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A</w:t>
      </w:r>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komersanta nodarbinātā pilnas darba slodzes </w:t>
      </w:r>
      <w:r w:rsidR="00F33965" w:rsidRPr="00BD6296">
        <w:rPr>
          <w:rFonts w:eastAsia="Times New Roman" w:cs="Times New Roman"/>
          <w:szCs w:val="28"/>
          <w:lang w:eastAsia="lv-LV"/>
        </w:rPr>
        <w:t xml:space="preserve">koģenerācijas </w:t>
      </w:r>
      <w:r w:rsidRPr="00BD6296">
        <w:rPr>
          <w:rFonts w:eastAsia="Times New Roman" w:cs="Times New Roman"/>
          <w:szCs w:val="28"/>
          <w:lang w:eastAsia="lv-LV"/>
        </w:rPr>
        <w:t>elektrostacijas darbinieku skaita līmeņatzīme, kas atkarībā no</w:t>
      </w:r>
      <w:r w:rsidR="00F33965">
        <w:rPr>
          <w:rFonts w:eastAsia="Times New Roman" w:cs="Times New Roman"/>
          <w:szCs w:val="28"/>
          <w:lang w:eastAsia="lv-LV"/>
        </w:rPr>
        <w:t xml:space="preserve"> </w:t>
      </w:r>
      <w:r w:rsidR="00F33965" w:rsidRPr="00BD6296">
        <w:rPr>
          <w:rFonts w:eastAsia="Times New Roman" w:cs="Times New Roman"/>
          <w:szCs w:val="28"/>
          <w:lang w:eastAsia="lv-LV"/>
        </w:rPr>
        <w:t>koģenerācijas</w:t>
      </w:r>
      <w:r w:rsidRPr="00BD6296">
        <w:rPr>
          <w:rFonts w:eastAsia="Times New Roman" w:cs="Times New Roman"/>
          <w:szCs w:val="28"/>
          <w:lang w:eastAsia="lv-LV"/>
        </w:rPr>
        <w:t xml:space="preserve"> elektrostacijas </w:t>
      </w:r>
      <w:r w:rsidR="00F33965">
        <w:rPr>
          <w:rFonts w:eastAsia="Times New Roman" w:cs="Times New Roman"/>
          <w:szCs w:val="28"/>
          <w:lang w:eastAsia="lv-LV"/>
        </w:rPr>
        <w:t xml:space="preserve">izmantotā kurināmā </w:t>
      </w:r>
      <w:r w:rsidRPr="00BD6296">
        <w:rPr>
          <w:rFonts w:eastAsia="Times New Roman" w:cs="Times New Roman"/>
          <w:szCs w:val="28"/>
          <w:lang w:eastAsia="lv-LV"/>
        </w:rPr>
        <w:t>veida un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Pr="00BD6296">
        <w:rPr>
          <w:rFonts w:eastAsia="Times New Roman" w:cs="Times New Roman"/>
          <w:szCs w:val="28"/>
          <w:lang w:eastAsia="lv-LV"/>
        </w:rPr>
        <w:t>ir noteikta šī pielikuma 3., 6. un 8. tabulā;</w:t>
      </w:r>
    </w:p>
    <w:p w14:paraId="358AAE68" w14:textId="1F1570D4" w:rsidR="00EB3ABA" w:rsidRPr="00BD6296" w:rsidRDefault="00EB3ABA" w:rsidP="00EB3ABA">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A t</w:t>
      </w:r>
      <w:r w:rsidRPr="00BD6296">
        <w:rPr>
          <w:rFonts w:eastAsia="Times New Roman" w:cs="Times New Roman"/>
          <w:szCs w:val="28"/>
          <w:lang w:eastAsia="lv-LV"/>
        </w:rPr>
        <w:t> –</w:t>
      </w:r>
      <w:r w:rsidR="00F33965" w:rsidRPr="00F33965">
        <w:rPr>
          <w:rFonts w:eastAsia="Times New Roman" w:cs="Times New Roman"/>
          <w:szCs w:val="28"/>
          <w:lang w:eastAsia="lv-LV"/>
        </w:rPr>
        <w:t xml:space="preserve"> </w:t>
      </w:r>
      <w:r w:rsidR="00F33965" w:rsidRPr="00BD6296">
        <w:rPr>
          <w:rFonts w:eastAsia="Times New Roman" w:cs="Times New Roman"/>
          <w:szCs w:val="28"/>
          <w:lang w:eastAsia="lv-LV"/>
        </w:rPr>
        <w:t xml:space="preserve">koģenerācijas </w:t>
      </w:r>
      <w:r w:rsidRPr="00BD6296">
        <w:rPr>
          <w:rFonts w:eastAsia="Times New Roman" w:cs="Times New Roman"/>
          <w:szCs w:val="28"/>
          <w:lang w:eastAsia="lv-LV"/>
        </w:rPr>
        <w:t>elektrostacijas personāla izmaksu par pilnu darba slodzi līmeņatzīme (EUR/gadā), kas noteikta, izmantojot šī pielikuma 2. tabulu;</w:t>
      </w:r>
    </w:p>
    <w:p w14:paraId="24519BA8" w14:textId="45D7113C" w:rsidR="00EB3ABA" w:rsidRPr="00BD6296" w:rsidRDefault="00FE1565"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M</m:t>
            </m:r>
          </m:sub>
        </m:sSub>
      </m:oMath>
      <w:r w:rsidR="005652A4">
        <w:rPr>
          <w:rFonts w:eastAsia="Times New Roman" w:cs="Times New Roman"/>
          <w:i/>
          <w:iCs/>
          <w:szCs w:val="28"/>
          <w:vertAlign w:val="subscript"/>
          <w:lang w:eastAsia="lv-LV"/>
        </w:rPr>
        <w:t xml:space="preserve"> </w:t>
      </w:r>
      <w:r w:rsidR="00EB3ABA" w:rsidRPr="00BD6296">
        <w:rPr>
          <w:rFonts w:eastAsia="Times New Roman" w:cs="Times New Roman"/>
          <w:szCs w:val="28"/>
          <w:lang w:eastAsia="lv-LV"/>
        </w:rPr>
        <w:t xml:space="preserve"> – ekspluatācijas izmaksu līmeņatzīme (%), kas raksturo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ikgadējo ar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apkopi saistīto izmaksu attiecību pret kapitālieguldījumu izmaksām, un kas atkarībā no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w:t>
      </w:r>
      <w:r w:rsidR="00F33965">
        <w:rPr>
          <w:rFonts w:eastAsia="Times New Roman" w:cs="Times New Roman"/>
          <w:szCs w:val="28"/>
          <w:lang w:eastAsia="lv-LV"/>
        </w:rPr>
        <w:t>izmantotā kurināmā veida</w:t>
      </w:r>
      <w:r w:rsidR="00EB3ABA" w:rsidRPr="00BD6296">
        <w:rPr>
          <w:rFonts w:eastAsia="Times New Roman" w:cs="Times New Roman"/>
          <w:szCs w:val="28"/>
          <w:lang w:eastAsia="lv-LV"/>
        </w:rPr>
        <w:t xml:space="preserve"> un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00EB3ABA" w:rsidRPr="00BD6296">
        <w:rPr>
          <w:rFonts w:eastAsia="Times New Roman" w:cs="Times New Roman"/>
          <w:szCs w:val="28"/>
          <w:lang w:eastAsia="lv-LV"/>
        </w:rPr>
        <w:t xml:space="preserve"> ir noteikta šī pielikuma 3. un 6. tabulā. Ekspluatācijas izmaksas ietver arī izmaksas, kas saistītas ar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elektrostaciju dzinēju kapitālajiem remontiem un tamlīdzīgiem izdevumiem. Ekspluatācijas izmaksas tiek indeksētas ar inflācijas procentu, kas noteikts 1. tabulā, sākot ar nākamo kalendāro gadu </w:t>
      </w:r>
      <w:r w:rsidR="00011522">
        <w:rPr>
          <w:rFonts w:eastAsia="Times New Roman" w:cs="Times New Roman"/>
          <w:szCs w:val="28"/>
          <w:lang w:eastAsia="lv-LV"/>
        </w:rPr>
        <w:t>pēc kalendāra gada</w:t>
      </w:r>
      <w:r w:rsidR="00EB3ABA" w:rsidRPr="00BD6296">
        <w:rPr>
          <w:rFonts w:eastAsia="Times New Roman" w:cs="Times New Roman"/>
          <w:szCs w:val="28"/>
          <w:lang w:eastAsia="lv-LV"/>
        </w:rPr>
        <w:t>,</w:t>
      </w:r>
      <w:r w:rsidR="005652A4">
        <w:rPr>
          <w:rFonts w:eastAsia="Times New Roman" w:cs="Times New Roman"/>
          <w:szCs w:val="28"/>
          <w:lang w:eastAsia="lv-LV"/>
        </w:rPr>
        <w:t xml:space="preserve"> </w:t>
      </w:r>
      <w:r w:rsidR="00EB3ABA" w:rsidRPr="00BD6296">
        <w:rPr>
          <w:rFonts w:eastAsia="Times New Roman" w:cs="Times New Roman"/>
          <w:szCs w:val="28"/>
          <w:lang w:eastAsia="lv-LV"/>
        </w:rPr>
        <w:t xml:space="preserve">kad </w:t>
      </w:r>
      <w:r w:rsidR="00EB3ABA" w:rsidRPr="00BD6296">
        <w:rPr>
          <w:szCs w:val="24"/>
          <w:lang w:eastAsia="lv-LV"/>
        </w:rPr>
        <w:t>ražotājs sācis izmanto tiesības, kas piešķirtas saskaņā ar Elektroenerģijas tirgus likuma 28. vai 28.</w:t>
      </w:r>
      <w:r w:rsidR="00EB3ABA" w:rsidRPr="00BD6296">
        <w:rPr>
          <w:szCs w:val="24"/>
          <w:vertAlign w:val="superscript"/>
          <w:lang w:eastAsia="lv-LV"/>
        </w:rPr>
        <w:t>1</w:t>
      </w:r>
      <w:r w:rsidR="00EB3ABA" w:rsidRPr="00BD6296">
        <w:rPr>
          <w:szCs w:val="24"/>
          <w:lang w:eastAsia="lv-LV"/>
        </w:rPr>
        <w:t xml:space="preserve"> pantu;</w:t>
      </w:r>
    </w:p>
    <w:p w14:paraId="69CD47A2" w14:textId="66BCF68C" w:rsidR="00EB3ABA" w:rsidRPr="00BD6296" w:rsidRDefault="00FE1565"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O</m:t>
            </m:r>
          </m:sub>
        </m:sSub>
        <m:r>
          <w:rPr>
            <w:rFonts w:ascii="Cambria Math" w:eastAsia="Times New Roman" w:hAnsi="Cambria Math" w:cs="Times New Roman"/>
            <w:szCs w:val="28"/>
            <w:lang w:eastAsia="lv-LV"/>
          </w:rPr>
          <m:t xml:space="preserve"> </m:t>
        </m:r>
      </m:oMath>
      <w:r w:rsidR="00EB3ABA" w:rsidRPr="00BD6296">
        <w:rPr>
          <w:rFonts w:eastAsia="Times New Roman" w:cs="Times New Roman"/>
          <w:szCs w:val="28"/>
          <w:lang w:eastAsia="lv-LV"/>
        </w:rPr>
        <w:t xml:space="preserve">– pārējo darbības izmaksu līmeņatzīme (%), kas raksturo pārējo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elektrostacijas attiecināmo operatīvās darbības ikgadējo izmaksu attiecību pret kapitālieguldījumu izmaksām, un kas atkarībā no </w:t>
      </w:r>
      <w:r w:rsidR="00F33965"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elektrostacijas</w:t>
      </w:r>
      <w:r w:rsidR="00F33965">
        <w:rPr>
          <w:rFonts w:eastAsia="Times New Roman" w:cs="Times New Roman"/>
          <w:szCs w:val="28"/>
          <w:lang w:eastAsia="lv-LV"/>
        </w:rPr>
        <w:t xml:space="preserve"> izmantotā kurināmā</w:t>
      </w:r>
      <w:r w:rsidR="00EB3ABA" w:rsidRPr="00BD6296">
        <w:rPr>
          <w:rFonts w:eastAsia="Times New Roman" w:cs="Times New Roman"/>
          <w:szCs w:val="28"/>
          <w:lang w:eastAsia="lv-LV"/>
        </w:rPr>
        <w:t xml:space="preserve"> veida un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00EB3ABA" w:rsidRPr="00BD6296">
        <w:rPr>
          <w:rFonts w:eastAsia="Times New Roman" w:cs="Times New Roman"/>
          <w:szCs w:val="28"/>
          <w:lang w:eastAsia="lv-LV"/>
        </w:rPr>
        <w:t xml:space="preserve"> ir noteikta šī pielikuma 3. un 6. un 8.tabulā. Pārējās darbības izmaksas ietver administratīvās, transporta, zemes īres, apdrošināšanas un citas izmaksas. Pārējās darbības izmaksas tiek indeksētas ar inflācijas procentu, kas noteikts 1. tabulā, </w:t>
      </w:r>
      <w:r w:rsidR="00011522" w:rsidRPr="00BD6296">
        <w:rPr>
          <w:rFonts w:eastAsia="Times New Roman" w:cs="Times New Roman"/>
          <w:szCs w:val="28"/>
          <w:lang w:eastAsia="lv-LV"/>
        </w:rPr>
        <w:t xml:space="preserve">sākot ar nākamo kalendāro gadu </w:t>
      </w:r>
      <w:r w:rsidR="00011522">
        <w:rPr>
          <w:rFonts w:eastAsia="Times New Roman" w:cs="Times New Roman"/>
          <w:szCs w:val="28"/>
          <w:lang w:eastAsia="lv-LV"/>
        </w:rPr>
        <w:t>pēc kalendāra gada,</w:t>
      </w:r>
      <w:r w:rsidR="00EB3ABA" w:rsidRPr="00BD6296">
        <w:rPr>
          <w:rFonts w:eastAsia="Times New Roman" w:cs="Times New Roman"/>
          <w:szCs w:val="28"/>
          <w:lang w:eastAsia="lv-LV"/>
        </w:rPr>
        <w:t xml:space="preserve"> kad </w:t>
      </w:r>
      <w:r w:rsidR="00EB3ABA" w:rsidRPr="00BD6296">
        <w:rPr>
          <w:szCs w:val="24"/>
          <w:lang w:eastAsia="lv-LV"/>
        </w:rPr>
        <w:t>ražotājs sācis izmanto tiesības, kas piešķirtas saskaņā ar Elektroenerģijas tirgus likuma 28. vai 28.</w:t>
      </w:r>
      <w:r w:rsidR="00EB3ABA" w:rsidRPr="00BD6296">
        <w:rPr>
          <w:szCs w:val="24"/>
          <w:vertAlign w:val="superscript"/>
          <w:lang w:eastAsia="lv-LV"/>
        </w:rPr>
        <w:t>1</w:t>
      </w:r>
      <w:r w:rsidR="00EB3ABA" w:rsidRPr="00BD6296">
        <w:rPr>
          <w:szCs w:val="24"/>
          <w:lang w:eastAsia="lv-LV"/>
        </w:rPr>
        <w:t xml:space="preserve"> pantu;</w:t>
      </w:r>
    </w:p>
    <w:p w14:paraId="07488CF9" w14:textId="6EAF21D9" w:rsidR="005F5C9B" w:rsidRPr="003C48F8" w:rsidRDefault="00FE1565" w:rsidP="005F5C9B">
      <w:pPr>
        <w:shd w:val="clear" w:color="auto" w:fill="FFFFFF"/>
        <w:spacing w:before="100" w:beforeAutospacing="1" w:after="100" w:afterAutospacing="1" w:line="254" w:lineRule="atLeast"/>
        <w:ind w:firstLine="300"/>
        <w:jc w:val="both"/>
        <w:rPr>
          <w:szCs w:val="24"/>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F33965">
        <w:rPr>
          <w:rFonts w:eastAsia="Times New Roman" w:cs="Times New Roman"/>
          <w:sz w:val="24"/>
          <w:szCs w:val="28"/>
          <w:lang w:eastAsia="lv-LV"/>
        </w:rPr>
        <w:t xml:space="preserve"> </w:t>
      </w:r>
      <w:r w:rsidR="00EB3ABA" w:rsidRPr="00BD6296">
        <w:rPr>
          <w:rFonts w:eastAsia="Times New Roman" w:cs="Times New Roman"/>
          <w:szCs w:val="28"/>
          <w:lang w:eastAsia="lv-LV"/>
        </w:rPr>
        <w:t>–</w:t>
      </w:r>
      <w:r w:rsidR="00F33965">
        <w:rPr>
          <w:rFonts w:eastAsia="Times New Roman" w:cs="Times New Roman"/>
          <w:szCs w:val="28"/>
          <w:lang w:eastAsia="lv-LV"/>
        </w:rPr>
        <w:t xml:space="preserve"> </w:t>
      </w:r>
      <w:r w:rsidR="00EB3ABA" w:rsidRPr="00BD6296">
        <w:rPr>
          <w:rFonts w:eastAsia="Times New Roman" w:cs="Times New Roman"/>
          <w:szCs w:val="28"/>
          <w:lang w:eastAsia="lv-LV"/>
        </w:rPr>
        <w:t>aprēķinātais patērētā kurināmā apjoms (</w:t>
      </w:r>
      <w:proofErr w:type="spellStart"/>
      <w:r w:rsidR="00EB3ABA" w:rsidRPr="00BD6296">
        <w:rPr>
          <w:rFonts w:eastAsia="Times New Roman" w:cs="Times New Roman"/>
          <w:szCs w:val="28"/>
          <w:lang w:eastAsia="lv-LV"/>
        </w:rPr>
        <w:t>MWh</w:t>
      </w:r>
      <w:proofErr w:type="spellEnd"/>
      <w:r w:rsidR="00EB3ABA" w:rsidRPr="00BD6296">
        <w:rPr>
          <w:rFonts w:eastAsia="Times New Roman" w:cs="Times New Roman"/>
          <w:szCs w:val="28"/>
          <w:lang w:eastAsia="lv-LV"/>
        </w:rPr>
        <w:t>), kas nepieciešams komersanta</w:t>
      </w:r>
      <w:r w:rsidR="005F5C9B">
        <w:rPr>
          <w:rFonts w:eastAsia="Times New Roman" w:cs="Times New Roman"/>
          <w:szCs w:val="28"/>
          <w:lang w:eastAsia="lv-LV"/>
        </w:rPr>
        <w:t xml:space="preserve"> </w:t>
      </w:r>
      <w:r w:rsidR="005F5C9B" w:rsidRPr="00BD6296">
        <w:rPr>
          <w:rFonts w:eastAsia="Times New Roman" w:cs="Times New Roman"/>
          <w:szCs w:val="28"/>
          <w:lang w:eastAsia="lv-LV"/>
        </w:rPr>
        <w:t>koģenerācijas</w:t>
      </w:r>
      <w:r w:rsidR="00EB3ABA" w:rsidRPr="00BD6296">
        <w:rPr>
          <w:rFonts w:eastAsia="Times New Roman" w:cs="Times New Roman"/>
          <w:szCs w:val="28"/>
          <w:lang w:eastAsia="lv-LV"/>
        </w:rPr>
        <w:t xml:space="preserve"> elektrostacijas darbības nodrošināšanai</w:t>
      </w:r>
      <w:r w:rsidR="005652A4">
        <w:rPr>
          <w:rFonts w:eastAsia="Times New Roman" w:cs="Times New Roman"/>
          <w:szCs w:val="28"/>
          <w:lang w:eastAsia="lv-LV"/>
        </w:rPr>
        <w:t xml:space="preserve"> </w:t>
      </w:r>
      <w:r w:rsidR="005F5C9B">
        <w:rPr>
          <w:rFonts w:eastAsia="Times New Roman" w:cs="Times New Roman"/>
          <w:szCs w:val="28"/>
          <w:lang w:eastAsia="lv-LV"/>
        </w:rPr>
        <w:t>kalendāra gada</w:t>
      </w:r>
      <w:r w:rsidR="005F5C9B" w:rsidRPr="00BD6296">
        <w:rPr>
          <w:rFonts w:eastAsia="Times New Roman" w:cs="Times New Roman"/>
          <w:szCs w:val="28"/>
          <w:lang w:eastAsia="lv-LV"/>
        </w:rPr>
        <w:t xml:space="preserve"> </w:t>
      </w:r>
      <w:r w:rsidR="005F5C9B" w:rsidRPr="00BD6296">
        <w:rPr>
          <w:rFonts w:eastAsia="Times New Roman" w:cs="Times New Roman"/>
          <w:i/>
          <w:szCs w:val="28"/>
          <w:lang w:eastAsia="lv-LV"/>
        </w:rPr>
        <w:t xml:space="preserve">t </w:t>
      </w:r>
      <w:r w:rsidR="005F5C9B" w:rsidRPr="00B93A45">
        <w:rPr>
          <w:rFonts w:eastAsia="Times New Roman" w:cs="Times New Roman"/>
          <w:szCs w:val="28"/>
          <w:lang w:eastAsia="lv-LV"/>
        </w:rPr>
        <w:t xml:space="preserve">kalendāra mēnesī </w:t>
      </w:r>
      <w:r w:rsidR="005F5C9B">
        <w:rPr>
          <w:rFonts w:eastAsia="Times New Roman" w:cs="Times New Roman"/>
          <w:i/>
          <w:szCs w:val="28"/>
          <w:lang w:eastAsia="lv-LV"/>
        </w:rPr>
        <w:t>i</w:t>
      </w:r>
      <w:r w:rsidR="005F5C9B" w:rsidRPr="003C48F8">
        <w:rPr>
          <w:rFonts w:eastAsia="Times New Roman" w:cs="Times New Roman"/>
          <w:szCs w:val="28"/>
          <w:lang w:eastAsia="lv-LV"/>
        </w:rPr>
        <w:t>.</w:t>
      </w:r>
    </w:p>
    <w:p w14:paraId="149104BE" w14:textId="0A08F4ED" w:rsidR="00EB3ABA" w:rsidRDefault="006D4189" w:rsidP="00EB3ABA">
      <w:pPr>
        <w:shd w:val="clear" w:color="auto" w:fill="FFFFFF"/>
        <w:spacing w:before="100" w:beforeAutospacing="1" w:after="100" w:afterAutospacing="1" w:line="254" w:lineRule="atLeast"/>
        <w:ind w:firstLine="300"/>
        <w:jc w:val="both"/>
        <w:rPr>
          <w:szCs w:val="24"/>
          <w:lang w:eastAsia="lv-LV"/>
        </w:rPr>
      </w:pPr>
      <w:r>
        <w:rPr>
          <w:szCs w:val="24"/>
          <w:lang w:eastAsia="lv-LV"/>
        </w:rPr>
        <w:lastRenderedPageBreak/>
        <w:t>1</w:t>
      </w:r>
      <w:r w:rsidR="00F33965">
        <w:rPr>
          <w:szCs w:val="24"/>
          <w:lang w:eastAsia="lv-LV"/>
        </w:rPr>
        <w:t>2</w:t>
      </w:r>
      <w:r w:rsidR="00EB3ABA" w:rsidRPr="00BD6296">
        <w:rPr>
          <w:szCs w:val="24"/>
          <w:lang w:eastAsia="lv-LV"/>
        </w:rPr>
        <w:t xml:space="preserve">. Dabasgāzi izmantojošas koģenerācijas </w:t>
      </w:r>
      <w:proofErr w:type="spellStart"/>
      <w:r w:rsidR="005F5C9B">
        <w:rPr>
          <w:szCs w:val="24"/>
          <w:lang w:eastAsia="lv-LV"/>
        </w:rPr>
        <w:t>elekto</w:t>
      </w:r>
      <w:r w:rsidR="00EB3ABA" w:rsidRPr="00BD6296">
        <w:rPr>
          <w:szCs w:val="24"/>
          <w:lang w:eastAsia="lv-LV"/>
        </w:rPr>
        <w:t>st</w:t>
      </w:r>
      <w:r w:rsidR="00EB3ABA" w:rsidRPr="00BD6296">
        <w:rPr>
          <w:rFonts w:eastAsia="Times New Roman" w:cs="Times New Roman"/>
          <w:szCs w:val="28"/>
          <w:lang w:eastAsia="lv-LV"/>
        </w:rPr>
        <w:t>acijas</w:t>
      </w:r>
      <w:proofErr w:type="spellEnd"/>
      <w:r w:rsidR="00EB3ABA" w:rsidRPr="00BD6296">
        <w:rPr>
          <w:rFonts w:eastAsia="Times New Roman" w:cs="Times New Roman"/>
          <w:szCs w:val="28"/>
          <w:lang w:eastAsia="lv-LV"/>
        </w:rPr>
        <w:t xml:space="preserve"> izdevumus </w:t>
      </w:r>
      <w:r w:rsidR="005652A4">
        <w:rPr>
          <w:rFonts w:eastAsia="Times New Roman" w:cs="Times New Roman"/>
          <w:szCs w:val="28"/>
          <w:lang w:eastAsia="lv-LV"/>
        </w:rPr>
        <w:t>kalendāra gada</w:t>
      </w:r>
      <w:r w:rsidR="005652A4" w:rsidRPr="00BD6296">
        <w:rPr>
          <w:rFonts w:eastAsia="Times New Roman" w:cs="Times New Roman"/>
          <w:szCs w:val="28"/>
          <w:lang w:eastAsia="lv-LV"/>
        </w:rPr>
        <w:t xml:space="preserve"> </w:t>
      </w:r>
      <w:r w:rsidR="005652A4" w:rsidRPr="00BD6296">
        <w:rPr>
          <w:rFonts w:eastAsia="Times New Roman" w:cs="Times New Roman"/>
          <w:i/>
          <w:szCs w:val="28"/>
          <w:lang w:eastAsia="lv-LV"/>
        </w:rPr>
        <w:t xml:space="preserve">t </w:t>
      </w:r>
      <w:r w:rsidR="005652A4" w:rsidRPr="00B93A45">
        <w:rPr>
          <w:rFonts w:eastAsia="Times New Roman" w:cs="Times New Roman"/>
          <w:szCs w:val="28"/>
          <w:lang w:eastAsia="lv-LV"/>
        </w:rPr>
        <w:t xml:space="preserve">kalendāra mēnesī </w:t>
      </w:r>
      <w:r w:rsidR="005652A4">
        <w:rPr>
          <w:rFonts w:eastAsia="Times New Roman" w:cs="Times New Roman"/>
          <w:i/>
          <w:szCs w:val="28"/>
          <w:lang w:eastAsia="lv-LV"/>
        </w:rPr>
        <w:t xml:space="preserve">i </w:t>
      </w:r>
      <w:proofErr w:type="spellStart"/>
      <w:r w:rsidR="005652A4" w:rsidRPr="00BD6296">
        <w:rPr>
          <w:rFonts w:eastAsia="Times New Roman" w:cs="Times New Roman"/>
          <w:i/>
          <w:szCs w:val="28"/>
          <w:lang w:eastAsia="lv-LV"/>
        </w:rPr>
        <w:t>IZD</w:t>
      </w:r>
      <w:r w:rsidR="005652A4" w:rsidRPr="00BD6296">
        <w:rPr>
          <w:rFonts w:eastAsia="Times New Roman" w:cs="Times New Roman"/>
          <w:i/>
          <w:szCs w:val="28"/>
          <w:vertAlign w:val="subscript"/>
          <w:lang w:eastAsia="lv-LV"/>
        </w:rPr>
        <w:t>t</w:t>
      </w:r>
      <w:r w:rsidR="005652A4">
        <w:rPr>
          <w:rFonts w:eastAsia="Times New Roman" w:cs="Times New Roman"/>
          <w:i/>
          <w:szCs w:val="28"/>
          <w:vertAlign w:val="subscript"/>
          <w:lang w:eastAsia="lv-LV"/>
        </w:rPr>
        <w:t>_i</w:t>
      </w:r>
      <w:proofErr w:type="spellEnd"/>
      <w:r w:rsidR="005652A4" w:rsidRPr="00BD6296">
        <w:rPr>
          <w:szCs w:val="24"/>
          <w:lang w:eastAsia="lv-LV"/>
        </w:rPr>
        <w:t xml:space="preserve"> </w:t>
      </w:r>
      <w:r w:rsidR="00EB3ABA" w:rsidRPr="00BD6296">
        <w:rPr>
          <w:rFonts w:eastAsia="Times New Roman" w:cs="Times New Roman"/>
          <w:szCs w:val="28"/>
          <w:lang w:eastAsia="lv-LV"/>
        </w:rPr>
        <w:t>aprēķina, izmantojot šādu formulu</w:t>
      </w:r>
      <w:r w:rsidR="00EB3ABA" w:rsidRPr="00BD6296">
        <w:rPr>
          <w:szCs w:val="24"/>
          <w:lang w:eastAsia="lv-LV"/>
        </w:rPr>
        <w:t>:</w:t>
      </w:r>
    </w:p>
    <w:p w14:paraId="18A3AA7A" w14:textId="512DD580" w:rsidR="005F5C9B" w:rsidRPr="00BD6296" w:rsidRDefault="00FE1565" w:rsidP="005F5C9B">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īp</m:t>
            </m:r>
          </m:sub>
        </m:sSub>
        <m:r>
          <w:rPr>
            <w:rFonts w:ascii="Cambria Math" w:eastAsia="Times New Roman" w:hAnsi="Cambria Math" w:cs="Times New Roman"/>
            <w:sz w:val="24"/>
            <w:szCs w:val="28"/>
            <w:lang w:eastAsia="lv-LV"/>
          </w:rPr>
          <m:t>×1000×</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O</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g</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5F5C9B" w:rsidRPr="00BD6296">
        <w:rPr>
          <w:rFonts w:eastAsia="Times New Roman" w:cs="Times New Roman"/>
          <w:szCs w:val="28"/>
          <w:lang w:eastAsia="lv-LV"/>
        </w:rPr>
        <w:t>, kur</w:t>
      </w:r>
    </w:p>
    <w:p w14:paraId="468461A6" w14:textId="3590C469" w:rsidR="00EB3ABA" w:rsidRPr="00BD6296" w:rsidRDefault="00FE1565" w:rsidP="00EB3ABA">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g </m:t>
            </m:r>
          </m:sub>
        </m:sSub>
      </m:oMath>
      <w:r w:rsidR="00EB3ABA" w:rsidRPr="00BD6296">
        <w:rPr>
          <w:rFonts w:eastAsia="Times New Roman" w:cs="Times New Roman"/>
          <w:szCs w:val="28"/>
          <w:lang w:eastAsia="lv-LV"/>
        </w:rPr>
        <w:t xml:space="preserve">– ekspluatācijas izmaksu līmeņatzīme (EUR/MWh), kas raksturo </w:t>
      </w:r>
      <w:r w:rsidR="005F5C9B">
        <w:rPr>
          <w:rFonts w:eastAsia="Times New Roman" w:cs="Times New Roman"/>
          <w:szCs w:val="28"/>
          <w:lang w:eastAsia="lv-LV"/>
        </w:rPr>
        <w:t xml:space="preserve">dabasgāzi izmantojošas </w:t>
      </w:r>
      <w:r w:rsidR="005F5C9B"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elektrostacijas ikgadēj</w:t>
      </w:r>
      <w:r w:rsidR="0068612A">
        <w:rPr>
          <w:rFonts w:eastAsia="Times New Roman" w:cs="Times New Roman"/>
          <w:szCs w:val="28"/>
          <w:lang w:eastAsia="lv-LV"/>
        </w:rPr>
        <w:t>ās</w:t>
      </w:r>
      <w:r w:rsidR="00EB3ABA" w:rsidRPr="00BD6296">
        <w:rPr>
          <w:rFonts w:eastAsia="Times New Roman" w:cs="Times New Roman"/>
          <w:szCs w:val="28"/>
          <w:lang w:eastAsia="lv-LV"/>
        </w:rPr>
        <w:t xml:space="preserve"> ar </w:t>
      </w:r>
      <w:r w:rsidR="005F5C9B"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elektrostacijas apkopi saistītās izmaksas uz saražoto elektroenerģijas vienību, un kas atkarībā no</w:t>
      </w:r>
      <w:r w:rsidR="005F5C9B">
        <w:rPr>
          <w:rFonts w:eastAsia="Times New Roman" w:cs="Times New Roman"/>
          <w:szCs w:val="28"/>
          <w:lang w:eastAsia="lv-LV"/>
        </w:rPr>
        <w:t xml:space="preserve"> </w:t>
      </w:r>
      <w:r w:rsidR="005F5C9B" w:rsidRPr="00BD6296">
        <w:rPr>
          <w:rFonts w:eastAsia="Times New Roman" w:cs="Times New Roman"/>
          <w:szCs w:val="28"/>
          <w:lang w:eastAsia="lv-LV"/>
        </w:rPr>
        <w:t>koģenerācijas elektrostacijas</w:t>
      </w:r>
      <w:r w:rsidR="00EB3ABA" w:rsidRPr="00BD6296">
        <w:rPr>
          <w:rFonts w:eastAsia="Times New Roman" w:cs="Times New Roman"/>
          <w:szCs w:val="28"/>
          <w:lang w:eastAsia="lv-LV"/>
        </w:rPr>
        <w:t xml:space="preserve"> uzstādītās elektriskās jaudas</w:t>
      </w:r>
      <w:r w:rsidR="006E6E1B">
        <w:rPr>
          <w:rFonts w:eastAsia="Times New Roman" w:cs="Times New Roman"/>
          <w:szCs w:val="28"/>
          <w:lang w:eastAsia="lv-LV"/>
        </w:rPr>
        <w:t>, kas norādīta līgumā ar publisko tirgotāju,  kalendāra gada</w:t>
      </w:r>
      <w:r w:rsidR="006E6E1B" w:rsidRPr="00BD6296">
        <w:rPr>
          <w:rFonts w:eastAsia="Times New Roman" w:cs="Times New Roman"/>
          <w:szCs w:val="28"/>
          <w:lang w:eastAsia="lv-LV"/>
        </w:rPr>
        <w:t xml:space="preserve"> </w:t>
      </w:r>
      <w:r w:rsidR="006E6E1B" w:rsidRPr="00BD6296">
        <w:rPr>
          <w:rFonts w:eastAsia="Times New Roman" w:cs="Times New Roman"/>
          <w:i/>
          <w:szCs w:val="28"/>
          <w:lang w:eastAsia="lv-LV"/>
        </w:rPr>
        <w:t xml:space="preserve">t </w:t>
      </w:r>
      <w:r w:rsidR="006E6E1B" w:rsidRPr="00B93A45">
        <w:rPr>
          <w:rFonts w:eastAsia="Times New Roman" w:cs="Times New Roman"/>
          <w:szCs w:val="28"/>
          <w:lang w:eastAsia="lv-LV"/>
        </w:rPr>
        <w:t xml:space="preserve">kalendāra mēnesī </w:t>
      </w:r>
      <w:r w:rsidR="006E6E1B">
        <w:rPr>
          <w:rFonts w:eastAsia="Times New Roman" w:cs="Times New Roman"/>
          <w:i/>
          <w:szCs w:val="28"/>
          <w:lang w:eastAsia="lv-LV"/>
        </w:rPr>
        <w:t>i</w:t>
      </w:r>
      <w:r w:rsidR="006E6E1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E6E1B" w:rsidRPr="003C48F8">
        <w:rPr>
          <w:rFonts w:eastAsia="Times New Roman" w:cs="Times New Roman"/>
          <w:szCs w:val="28"/>
          <w:lang w:eastAsia="lv-LV"/>
        </w:rPr>
        <w:t xml:space="preserve"> </w:t>
      </w:r>
      <w:r w:rsidR="00EB3ABA" w:rsidRPr="00BD6296">
        <w:rPr>
          <w:rFonts w:eastAsia="Times New Roman" w:cs="Times New Roman"/>
          <w:szCs w:val="28"/>
          <w:lang w:eastAsia="lv-LV"/>
        </w:rPr>
        <w:t xml:space="preserve">ir noteikta šī pielikuma 8.tabulā. Ekspluatācijas izmaksas ietver arī izmaksas, kas saistītas ar </w:t>
      </w:r>
      <w:r w:rsidR="007A0480" w:rsidRPr="00BD6296">
        <w:rPr>
          <w:rFonts w:eastAsia="Times New Roman" w:cs="Times New Roman"/>
          <w:szCs w:val="28"/>
          <w:lang w:eastAsia="lv-LV"/>
        </w:rPr>
        <w:t xml:space="preserve">koģenerācijas </w:t>
      </w:r>
      <w:r w:rsidR="00EB3ABA" w:rsidRPr="00BD6296">
        <w:rPr>
          <w:rFonts w:eastAsia="Times New Roman" w:cs="Times New Roman"/>
          <w:szCs w:val="28"/>
          <w:lang w:eastAsia="lv-LV"/>
        </w:rPr>
        <w:t xml:space="preserve">elektrostaciju dzinēju kapitālajiem remontiem un tamlīdzīgiem izdevumiem. Ekspluatācijas izmaksas tiek indeksētas ar inflācijas procentu, kas noteikts 1. tabulā, sākot </w:t>
      </w:r>
      <w:r w:rsidR="00011522" w:rsidRPr="00BD6296">
        <w:rPr>
          <w:rFonts w:eastAsia="Times New Roman" w:cs="Times New Roman"/>
          <w:szCs w:val="28"/>
          <w:lang w:eastAsia="lv-LV"/>
        </w:rPr>
        <w:t xml:space="preserve">ar nākamo kalendāro gadu </w:t>
      </w:r>
      <w:r w:rsidR="00011522">
        <w:rPr>
          <w:rFonts w:eastAsia="Times New Roman" w:cs="Times New Roman"/>
          <w:szCs w:val="28"/>
          <w:lang w:eastAsia="lv-LV"/>
        </w:rPr>
        <w:t>pēc kalendāra gada</w:t>
      </w:r>
      <w:r w:rsidR="00EB3ABA" w:rsidRPr="00BD6296">
        <w:rPr>
          <w:rFonts w:eastAsia="Times New Roman" w:cs="Times New Roman"/>
          <w:szCs w:val="28"/>
          <w:lang w:eastAsia="lv-LV"/>
        </w:rPr>
        <w:t xml:space="preserve">, kad </w:t>
      </w:r>
      <w:r w:rsidR="00EB3ABA" w:rsidRPr="00BD6296">
        <w:rPr>
          <w:szCs w:val="24"/>
          <w:lang w:eastAsia="lv-LV"/>
        </w:rPr>
        <w:t>ražotājs sācis izmanto tiesības, kas piešķirtas saskaņā ar Elektroenerģijas tirgus likuma 28. vai 28.</w:t>
      </w:r>
      <w:r w:rsidR="00EB3ABA" w:rsidRPr="00BD6296">
        <w:rPr>
          <w:szCs w:val="24"/>
          <w:vertAlign w:val="superscript"/>
          <w:lang w:eastAsia="lv-LV"/>
        </w:rPr>
        <w:t>1</w:t>
      </w:r>
      <w:r w:rsidR="00EB3ABA" w:rsidRPr="00BD6296">
        <w:rPr>
          <w:szCs w:val="24"/>
          <w:lang w:eastAsia="lv-LV"/>
        </w:rPr>
        <w:t xml:space="preserve"> pantu;</w:t>
      </w:r>
    </w:p>
    <w:p w14:paraId="1CAC534F" w14:textId="77777777" w:rsidR="007A0480" w:rsidRPr="00BD6296" w:rsidRDefault="006D4189" w:rsidP="007A0480">
      <w:pPr>
        <w:shd w:val="clear" w:color="auto" w:fill="FFFFFF"/>
        <w:spacing w:before="100" w:beforeAutospacing="1" w:after="100" w:afterAutospacing="1" w:line="254" w:lineRule="atLeast"/>
        <w:ind w:firstLine="300"/>
        <w:jc w:val="both"/>
        <w:rPr>
          <w:szCs w:val="24"/>
          <w:lang w:eastAsia="lv-LV"/>
        </w:rPr>
      </w:pPr>
      <w:r>
        <w:rPr>
          <w:szCs w:val="24"/>
          <w:lang w:eastAsia="lv-LV"/>
        </w:rPr>
        <w:t>1</w:t>
      </w:r>
      <w:r w:rsidR="00F33965">
        <w:rPr>
          <w:szCs w:val="24"/>
          <w:lang w:eastAsia="lv-LV"/>
        </w:rPr>
        <w:t>3</w:t>
      </w:r>
      <w:r w:rsidR="00EB3ABA" w:rsidRPr="00BD6296">
        <w:rPr>
          <w:szCs w:val="24"/>
          <w:lang w:eastAsia="lv-LV"/>
        </w:rPr>
        <w:t xml:space="preserve">. </w:t>
      </w:r>
      <w:r w:rsidR="007A0480" w:rsidRPr="00BD6296">
        <w:rPr>
          <w:rFonts w:eastAsia="Times New Roman" w:cs="Times New Roman"/>
          <w:szCs w:val="28"/>
          <w:lang w:eastAsia="lv-LV"/>
        </w:rPr>
        <w:t xml:space="preserve">Aprēķināto patērētā kurināmā apjomu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7A0480" w:rsidRPr="00BD6296">
        <w:rPr>
          <w:rFonts w:eastAsia="Times New Roman" w:cs="Times New Roman"/>
          <w:szCs w:val="28"/>
          <w:lang w:eastAsia="lv-LV"/>
        </w:rPr>
        <w:t xml:space="preserve"> nosaka, izmantojot formulu</w:t>
      </w:r>
      <w:r w:rsidR="007A0480" w:rsidRPr="00BD6296">
        <w:rPr>
          <w:szCs w:val="24"/>
          <w:lang w:eastAsia="lv-LV"/>
        </w:rPr>
        <w:t>:</w:t>
      </w:r>
    </w:p>
    <w:p w14:paraId="1A04AF01" w14:textId="77777777" w:rsidR="007A0480" w:rsidRPr="00BD6296" w:rsidRDefault="00FE1565" w:rsidP="007A0480">
      <w:pPr>
        <w:shd w:val="clear" w:color="auto" w:fill="FFFFFF"/>
        <w:spacing w:before="100" w:beforeAutospacing="1" w:after="100" w:afterAutospacing="1" w:line="254" w:lineRule="atLeast"/>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d>
              <m:dPr>
                <m:ctrlPr>
                  <w:rPr>
                    <w:rFonts w:ascii="Cambria Math" w:eastAsia="Times New Roman" w:hAnsi="Cambria Math" w:cs="Times New Roman"/>
                    <w:i/>
                    <w:szCs w:val="28"/>
                    <w:lang w:eastAsia="lv-LV"/>
                  </w:rPr>
                </m:ctrlPr>
              </m:d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e>
            </m:d>
            <m:r>
              <w:rPr>
                <w:rFonts w:ascii="Cambria Math" w:eastAsia="Times New Roman" w:hAnsi="Cambria Math" w:cs="Times New Roman"/>
                <w:szCs w:val="28"/>
                <w:lang w:eastAsia="lv-LV"/>
              </w:rPr>
              <m:t>×d</m:t>
            </m:r>
          </m:num>
          <m:den>
            <m:r>
              <w:rPr>
                <w:rFonts w:ascii="Cambria Math" w:eastAsia="Times New Roman" w:hAnsi="Cambria Math" w:cs="Times New Roman"/>
                <w:szCs w:val="28"/>
                <w:lang w:eastAsia="lv-LV"/>
              </w:rPr>
              <m:t>12×0,75</m:t>
            </m:r>
          </m:den>
        </m:f>
      </m:oMath>
      <w:r w:rsidR="007A0480" w:rsidRPr="00BD6296">
        <w:rPr>
          <w:rFonts w:eastAsia="Times New Roman" w:cs="Times New Roman"/>
          <w:szCs w:val="28"/>
          <w:lang w:eastAsia="lv-LV"/>
        </w:rPr>
        <w:t>, kur</w:t>
      </w:r>
    </w:p>
    <w:p w14:paraId="40BA80C5" w14:textId="2E045646" w:rsidR="007A0480" w:rsidRDefault="007A0480" w:rsidP="007A0480">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i/>
          <w:iCs/>
          <w:szCs w:val="28"/>
          <w:lang w:eastAsia="lv-LV"/>
        </w:rPr>
        <w:t>0,75</w:t>
      </w:r>
      <w:r w:rsidRPr="00BD6296">
        <w:rPr>
          <w:rFonts w:eastAsia="Times New Roman" w:cs="Times New Roman"/>
          <w:szCs w:val="28"/>
          <w:lang w:eastAsia="lv-LV"/>
        </w:rPr>
        <w:t xml:space="preserve"> –koeficients, kas raksturo </w:t>
      </w:r>
      <w:r w:rsidR="00532B29">
        <w:rPr>
          <w:rFonts w:eastAsia="Times New Roman" w:cs="Times New Roman"/>
          <w:szCs w:val="28"/>
          <w:lang w:eastAsia="lv-LV"/>
        </w:rPr>
        <w:t xml:space="preserve">koģenerācijas </w:t>
      </w:r>
      <w:r w:rsidRPr="00BD6296">
        <w:rPr>
          <w:rFonts w:eastAsia="Times New Roman" w:cs="Times New Roman"/>
          <w:szCs w:val="28"/>
          <w:lang w:eastAsia="lv-LV"/>
        </w:rPr>
        <w:t>elektrostacijas minimālo efektivitāti.</w:t>
      </w:r>
    </w:p>
    <w:p w14:paraId="0BA6103D" w14:textId="69D1F522" w:rsidR="000A123C" w:rsidRDefault="000A123C" w:rsidP="000A123C">
      <w:pPr>
        <w:shd w:val="clear" w:color="auto" w:fill="FFFFFF"/>
        <w:spacing w:before="100" w:beforeAutospacing="1" w:after="100" w:afterAutospacing="1" w:line="254" w:lineRule="atLeast"/>
        <w:ind w:firstLine="426"/>
        <w:jc w:val="both"/>
        <w:rPr>
          <w:rFonts w:eastAsia="Times New Roman" w:cs="Times New Roman"/>
          <w:szCs w:val="28"/>
          <w:lang w:eastAsia="lv-LV"/>
        </w:rPr>
      </w:pPr>
      <w:r>
        <w:rPr>
          <w:rFonts w:eastAsia="Times New Roman" w:cs="Times New Roman"/>
          <w:szCs w:val="28"/>
          <w:lang w:eastAsia="lv-LV"/>
        </w:rPr>
        <w:t xml:space="preserve">13. Aprēķinā, kas veikts saskaņā ar šo pielikumu, </w:t>
      </w:r>
      <w:r w:rsidRPr="0020448F">
        <w:rPr>
          <w:rFonts w:eastAsia="Times New Roman" w:cs="Times New Roman"/>
          <w:szCs w:val="28"/>
          <w:lang w:eastAsia="lv-LV"/>
        </w:rPr>
        <w:t>vērtības naudas izteiksmē noapaļo līdz tuvākajam centam, ņemot vērā trešo zīmi aiz komata. Ja trešā zīme aiz komata ir no 0 līdz 4, tad centa vērtība nemainās. Ja trešā zīme aiz komata ir no 5 līdz 9, tad cents tiek noapaļots par vienu vienību uz augšu.</w:t>
      </w:r>
    </w:p>
    <w:p w14:paraId="7218A65D" w14:textId="2C3B5518" w:rsidR="00EB3ABA" w:rsidRPr="00BD6296" w:rsidRDefault="00EB3ABA" w:rsidP="00EB3ABA">
      <w:pPr>
        <w:shd w:val="clear" w:color="auto" w:fill="FFFFFF"/>
        <w:jc w:val="center"/>
        <w:rPr>
          <w:rFonts w:eastAsia="Times New Roman" w:cs="Times New Roman"/>
          <w:b/>
          <w:bCs/>
          <w:szCs w:val="28"/>
          <w:lang w:eastAsia="lv-LV"/>
        </w:rPr>
      </w:pPr>
      <w:r w:rsidRPr="00BD6296">
        <w:rPr>
          <w:rFonts w:eastAsia="Times New Roman" w:cs="Times New Roman"/>
          <w:b/>
          <w:bCs/>
          <w:szCs w:val="28"/>
          <w:lang w:eastAsia="lv-LV"/>
        </w:rPr>
        <w:t xml:space="preserve">II. Elektrostacijas kopējo kapitālieguldījumu iekšējās peļņas normas aprēķina gaita koģenerācijas </w:t>
      </w:r>
      <w:r w:rsidR="008831D9">
        <w:rPr>
          <w:rFonts w:eastAsia="Times New Roman" w:cs="Times New Roman"/>
          <w:b/>
          <w:bCs/>
          <w:szCs w:val="28"/>
          <w:lang w:eastAsia="lv-LV"/>
        </w:rPr>
        <w:t>elektro</w:t>
      </w:r>
      <w:r w:rsidRPr="00BD6296">
        <w:rPr>
          <w:rFonts w:eastAsia="Times New Roman" w:cs="Times New Roman"/>
          <w:b/>
          <w:bCs/>
          <w:szCs w:val="28"/>
          <w:lang w:eastAsia="lv-LV"/>
        </w:rPr>
        <w:t>stacijām, kuru uzstādītā elektriskā jauda pārsniedz 4 MW</w:t>
      </w:r>
    </w:p>
    <w:p w14:paraId="36B32483" w14:textId="1721EB33"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1. Komersanti, kuru koģenerācijas </w:t>
      </w:r>
      <w:r w:rsidR="00BB00C4">
        <w:rPr>
          <w:rFonts w:eastAsia="Times New Roman" w:cs="Times New Roman"/>
          <w:szCs w:val="28"/>
          <w:lang w:eastAsia="lv-LV"/>
        </w:rPr>
        <w:t>elektro</w:t>
      </w:r>
      <w:r w:rsidRPr="00BD6296">
        <w:rPr>
          <w:rFonts w:eastAsia="Times New Roman" w:cs="Times New Roman"/>
          <w:szCs w:val="28"/>
          <w:lang w:eastAsia="lv-LV"/>
        </w:rPr>
        <w:t xml:space="preserve">staciju uzstādītā elektriskā jauda pārsniedz 4 MW, aprēķina elektrostacijas iekšējās peļņas normu izmantojot šī pielikuma I. sadaļas formulas, aizstājot </w:t>
      </w:r>
      <w:proofErr w:type="spellStart"/>
      <w:r w:rsidRPr="00BD6296">
        <w:rPr>
          <w:rFonts w:eastAsia="Times New Roman" w:cs="Times New Roman"/>
          <w:szCs w:val="28"/>
          <w:lang w:eastAsia="lv-LV"/>
        </w:rPr>
        <w:t>līmeņatzīmju</w:t>
      </w:r>
      <w:proofErr w:type="spellEnd"/>
      <w:r w:rsidRPr="00BD6296">
        <w:rPr>
          <w:rFonts w:eastAsia="Times New Roman" w:cs="Times New Roman"/>
          <w:szCs w:val="28"/>
          <w:lang w:eastAsia="lv-LV"/>
        </w:rPr>
        <w:t xml:space="preserve"> vērtības ar faktiskajām un paredzamajām ieņēmumu un izdevumu vērtībām. </w:t>
      </w:r>
    </w:p>
    <w:p w14:paraId="118C90A2" w14:textId="442D3DF3"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2. Veicot aprēķinu par pagātnes periodu, komersants norāda </w:t>
      </w:r>
      <w:r w:rsidR="00BB00C4">
        <w:rPr>
          <w:rFonts w:eastAsia="Times New Roman" w:cs="Times New Roman"/>
          <w:szCs w:val="28"/>
          <w:lang w:eastAsia="lv-LV"/>
        </w:rPr>
        <w:t xml:space="preserve">koģenerācijas </w:t>
      </w:r>
      <w:r w:rsidRPr="00BD6296">
        <w:rPr>
          <w:rFonts w:eastAsia="Times New Roman" w:cs="Times New Roman"/>
          <w:szCs w:val="28"/>
          <w:lang w:eastAsia="lv-LV"/>
        </w:rPr>
        <w:t>elektrostacijas faktiskās ieņēmumu un izdevumu pozīcijas. Veicot aprēķinu nākotnes periodiem, komersantam jāievēro šādi principi:</w:t>
      </w:r>
    </w:p>
    <w:p w14:paraId="58953E90"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lastRenderedPageBreak/>
        <w:t>2.1. Elektroenerģijas cena nākotnes periodiem ir jāpamato ar NASDAQ OMX biržas elektroenerģijas finanšu kontraktu cenu kotāciju Latvijas vai Somijas cenu apgabalam. Izmantojot Somijas cenu apgabala elektroenerģijas finanšu kontraktu cenu kotāciju, elektroenerģijas cenu nākotnes periodiem Latvijas cenu apgabalam nosaka pieskaitot Somijas un Latvijas cenu starpību (EUR/</w:t>
      </w:r>
      <w:proofErr w:type="spellStart"/>
      <w:r w:rsidRPr="00BD6296">
        <w:rPr>
          <w:rFonts w:eastAsia="Times New Roman" w:cs="Times New Roman"/>
          <w:szCs w:val="28"/>
          <w:lang w:eastAsia="lv-LV"/>
        </w:rPr>
        <w:t>MWh</w:t>
      </w:r>
      <w:proofErr w:type="spellEnd"/>
      <w:r w:rsidRPr="00BD6296">
        <w:rPr>
          <w:rFonts w:eastAsia="Times New Roman" w:cs="Times New Roman"/>
          <w:szCs w:val="28"/>
          <w:lang w:eastAsia="lv-LV"/>
        </w:rPr>
        <w:t xml:space="preserve">) attiecīgajam gadam. Aprēķinos jāizmanto vidējās cenu kotācijas pēdējā mēneša laikā, pirms aprēķinu iesniegšanas ministrijā; </w:t>
      </w:r>
    </w:p>
    <w:p w14:paraId="708DFE7D"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2.2. Dabasgāzes cenai jāizmanto dati saskaņā ar šī pielikuma 9.tabulā noteikto prognozi; </w:t>
      </w:r>
    </w:p>
    <w:p w14:paraId="1268FBFF"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2.3. Kurināmā cenai, personāla izmaksām, ekspluatācijas izmaksām, pārējām darbības izmaksām, nākotnes periodiem var tikt attiecināta inflācijas prognozes vērtības saskaņā ar šī pielikuma 1.tabulu;</w:t>
      </w:r>
    </w:p>
    <w:p w14:paraId="60981F68"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2.4. Komersanti, kuri kā kurināmo izmanto dabasgāzi, pārējās darbības izmaksās ietver izdevumus, kas saistīti ar nepieciešamo siltumnīcefekta gāzu emisiju kvotu iegādi virs komersantam piešķirtā emisiju kvotu apjoma;</w:t>
      </w:r>
    </w:p>
    <w:p w14:paraId="46F9B458" w14:textId="77777777" w:rsidR="00EB3ABA" w:rsidRPr="00BD6296"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2.5. Darba stundu skaits nākotnes periodiem ir jāpieņem atbilstoši iepriekšējo 3 gadu darba stundu skaita vidējai vērtībai;</w:t>
      </w:r>
    </w:p>
    <w:p w14:paraId="74886C75" w14:textId="3BE4F1D9" w:rsidR="00EB3ABA" w:rsidRDefault="00EB3ABA" w:rsidP="00EB3ABA">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szCs w:val="28"/>
          <w:lang w:eastAsia="lv-LV"/>
        </w:rPr>
        <w:t xml:space="preserve">2.6. Tīrās naudas plūsmas </w:t>
      </w:r>
      <w:proofErr w:type="spellStart"/>
      <w:r w:rsidRPr="00BD6296">
        <w:rPr>
          <w:rFonts w:eastAsia="Times New Roman" w:cs="Times New Roman"/>
          <w:i/>
          <w:iCs/>
          <w:szCs w:val="28"/>
          <w:lang w:eastAsia="lv-LV"/>
        </w:rPr>
        <w:t>TNP</w:t>
      </w:r>
      <w:r w:rsidRPr="00BD6296">
        <w:rPr>
          <w:rFonts w:eastAsia="Times New Roman" w:cs="Times New Roman"/>
          <w:i/>
          <w:iCs/>
          <w:szCs w:val="28"/>
          <w:vertAlign w:val="subscript"/>
          <w:lang w:eastAsia="lv-LV"/>
        </w:rPr>
        <w:t>t</w:t>
      </w:r>
      <w:proofErr w:type="spellEnd"/>
      <w:r w:rsidRPr="00BD6296">
        <w:rPr>
          <w:rFonts w:eastAsia="Times New Roman" w:cs="Times New Roman"/>
          <w:szCs w:val="28"/>
          <w:lang w:eastAsia="lv-LV"/>
        </w:rPr>
        <w:t xml:space="preserve"> aprēķinā komersanti iekļauj koģenerācijas </w:t>
      </w:r>
      <w:r w:rsidR="00BB00C4">
        <w:rPr>
          <w:rFonts w:eastAsia="Times New Roman" w:cs="Times New Roman"/>
          <w:szCs w:val="28"/>
          <w:lang w:eastAsia="lv-LV"/>
        </w:rPr>
        <w:t>elektro</w:t>
      </w:r>
      <w:r w:rsidRPr="00BD6296">
        <w:rPr>
          <w:rFonts w:eastAsia="Times New Roman" w:cs="Times New Roman"/>
          <w:szCs w:val="28"/>
          <w:lang w:eastAsia="lv-LV"/>
        </w:rPr>
        <w:t xml:space="preserve">stacijā veiktās un plānotās investīcijas, kuras nepieciešamas </w:t>
      </w:r>
      <w:r w:rsidR="00BB00C4">
        <w:rPr>
          <w:rFonts w:eastAsia="Times New Roman" w:cs="Times New Roman"/>
          <w:szCs w:val="28"/>
          <w:lang w:eastAsia="lv-LV"/>
        </w:rPr>
        <w:t>elektro</w:t>
      </w:r>
      <w:r w:rsidRPr="00BD6296">
        <w:rPr>
          <w:rFonts w:eastAsia="Times New Roman" w:cs="Times New Roman"/>
          <w:szCs w:val="28"/>
          <w:lang w:eastAsia="lv-LV"/>
        </w:rPr>
        <w:t xml:space="preserve">stacijas paredzētajā dzīves ciklā, tā pagarināšanai vai efektivitātes paaugstināšanai. Tīrās naudas plūsmas aprēķinā papildus investīciju apjomu (EUR) iekļauj gadā, kurā tās tikušas veiktas vai kurā tās plānots veikt. </w:t>
      </w:r>
    </w:p>
    <w:p w14:paraId="4582255F" w14:textId="2D2C9E93" w:rsidR="00EB3ABA" w:rsidRPr="00BD6296" w:rsidRDefault="00EB3ABA" w:rsidP="00EB3ABA">
      <w:pPr>
        <w:shd w:val="clear" w:color="auto" w:fill="FFFFFF"/>
        <w:jc w:val="center"/>
        <w:rPr>
          <w:rFonts w:eastAsia="Times New Roman" w:cs="Times New Roman"/>
          <w:b/>
          <w:bCs/>
          <w:szCs w:val="28"/>
          <w:lang w:eastAsia="lv-LV"/>
        </w:rPr>
      </w:pPr>
      <w:r w:rsidRPr="00BD6296">
        <w:rPr>
          <w:rFonts w:eastAsia="Times New Roman" w:cs="Times New Roman"/>
          <w:b/>
          <w:bCs/>
          <w:szCs w:val="28"/>
          <w:lang w:eastAsia="lv-LV"/>
        </w:rPr>
        <w:t xml:space="preserve">III. </w:t>
      </w:r>
      <w:proofErr w:type="spellStart"/>
      <w:r w:rsidRPr="00BD6296">
        <w:rPr>
          <w:rFonts w:eastAsia="Times New Roman" w:cs="Times New Roman"/>
          <w:b/>
          <w:bCs/>
          <w:szCs w:val="28"/>
          <w:lang w:eastAsia="lv-LV"/>
        </w:rPr>
        <w:t>Līmeņatzīmes</w:t>
      </w:r>
      <w:proofErr w:type="spellEnd"/>
      <w:r w:rsidRPr="00BD6296">
        <w:rPr>
          <w:rFonts w:eastAsia="Times New Roman" w:cs="Times New Roman"/>
          <w:b/>
          <w:bCs/>
          <w:szCs w:val="28"/>
          <w:lang w:eastAsia="lv-LV"/>
        </w:rPr>
        <w:t xml:space="preserve"> </w:t>
      </w:r>
      <w:r w:rsidR="00BB00C4">
        <w:rPr>
          <w:rFonts w:eastAsia="Times New Roman" w:cs="Times New Roman"/>
          <w:b/>
          <w:bCs/>
          <w:szCs w:val="28"/>
          <w:lang w:eastAsia="lv-LV"/>
        </w:rPr>
        <w:t xml:space="preserve">koģenerācijas </w:t>
      </w:r>
      <w:r w:rsidRPr="00BD6296">
        <w:rPr>
          <w:rFonts w:eastAsia="Times New Roman" w:cs="Times New Roman"/>
          <w:b/>
          <w:bCs/>
          <w:szCs w:val="28"/>
          <w:lang w:eastAsia="lv-LV"/>
        </w:rPr>
        <w:t>elektrostacijas kopējo kapitālieguldījumu iekšējās peļņas normas aprēķinam</w:t>
      </w:r>
    </w:p>
    <w:p w14:paraId="2CE074FF" w14:textId="77777777" w:rsidR="00EB3ABA" w:rsidRPr="00BD6296" w:rsidRDefault="00EB3ABA" w:rsidP="00EB3ABA">
      <w:pPr>
        <w:jc w:val="right"/>
        <w:rPr>
          <w:rFonts w:cs="Times New Roman"/>
          <w:b/>
          <w:szCs w:val="28"/>
        </w:rPr>
      </w:pPr>
      <w:r w:rsidRPr="00BD6296">
        <w:rPr>
          <w:rFonts w:cs="Times New Roman"/>
          <w:b/>
          <w:szCs w:val="28"/>
        </w:rPr>
        <w:t>1.tabula</w:t>
      </w:r>
    </w:p>
    <w:p w14:paraId="39F5190D" w14:textId="77777777" w:rsidR="00EB3ABA" w:rsidRDefault="00EB3ABA" w:rsidP="00EB3ABA">
      <w:pPr>
        <w:jc w:val="center"/>
        <w:rPr>
          <w:rFonts w:cs="Times New Roman"/>
          <w:b/>
          <w:szCs w:val="28"/>
        </w:rPr>
      </w:pPr>
      <w:r w:rsidRPr="00BD6296">
        <w:rPr>
          <w:rFonts w:cs="Times New Roman"/>
          <w:b/>
          <w:szCs w:val="28"/>
        </w:rPr>
        <w:t xml:space="preserve">Inflācijas </w:t>
      </w:r>
      <w:proofErr w:type="spellStart"/>
      <w:r w:rsidRPr="00BD6296">
        <w:rPr>
          <w:rFonts w:cs="Times New Roman"/>
          <w:b/>
          <w:szCs w:val="28"/>
        </w:rPr>
        <w:t>līmeņatzīmes</w:t>
      </w:r>
      <w:proofErr w:type="spellEnd"/>
    </w:p>
    <w:p w14:paraId="0ACEED54" w14:textId="77777777" w:rsidR="00EB3ABA" w:rsidRDefault="00EB3ABA" w:rsidP="00EB3ABA">
      <w:pPr>
        <w:jc w:val="center"/>
        <w:rPr>
          <w:rFonts w:cs="Times New Roman"/>
          <w:b/>
          <w:szCs w:val="28"/>
        </w:rPr>
      </w:pPr>
    </w:p>
    <w:tbl>
      <w:tblPr>
        <w:tblStyle w:val="TableGrid"/>
        <w:tblW w:w="0" w:type="auto"/>
        <w:jc w:val="center"/>
        <w:tblLook w:val="04A0" w:firstRow="1" w:lastRow="0" w:firstColumn="1" w:lastColumn="0" w:noHBand="0" w:noVBand="1"/>
      </w:tblPr>
      <w:tblGrid>
        <w:gridCol w:w="1686"/>
        <w:gridCol w:w="680"/>
        <w:gridCol w:w="680"/>
        <w:gridCol w:w="680"/>
        <w:gridCol w:w="680"/>
        <w:gridCol w:w="680"/>
        <w:gridCol w:w="683"/>
        <w:gridCol w:w="683"/>
        <w:gridCol w:w="680"/>
      </w:tblGrid>
      <w:tr w:rsidR="00CC1383" w14:paraId="139714DE" w14:textId="77777777" w:rsidTr="00CC1383">
        <w:trPr>
          <w:jc w:val="center"/>
        </w:trPr>
        <w:tc>
          <w:tcPr>
            <w:tcW w:w="1686" w:type="dxa"/>
          </w:tcPr>
          <w:p w14:paraId="3F736EAE" w14:textId="77777777" w:rsidR="00CC1383" w:rsidRDefault="00CC1383" w:rsidP="00CC1383">
            <w:pPr>
              <w:jc w:val="center"/>
              <w:rPr>
                <w:rFonts w:cs="Times New Roman"/>
                <w:b/>
                <w:szCs w:val="28"/>
              </w:rPr>
            </w:pPr>
            <w:r w:rsidRPr="00BD6296">
              <w:rPr>
                <w:rFonts w:eastAsia="Times New Roman" w:cs="Times New Roman"/>
                <w:b/>
                <w:sz w:val="20"/>
                <w:szCs w:val="20"/>
                <w:lang w:eastAsia="lv-LV"/>
              </w:rPr>
              <w:t>Gads</w:t>
            </w:r>
          </w:p>
        </w:tc>
        <w:tc>
          <w:tcPr>
            <w:tcW w:w="680" w:type="dxa"/>
          </w:tcPr>
          <w:p w14:paraId="4A69E7C5" w14:textId="77777777" w:rsidR="00CC1383" w:rsidRDefault="00CC1383" w:rsidP="00CC1383">
            <w:pPr>
              <w:jc w:val="center"/>
              <w:rPr>
                <w:rFonts w:cs="Times New Roman"/>
                <w:b/>
                <w:szCs w:val="28"/>
              </w:rPr>
            </w:pPr>
            <w:r w:rsidRPr="00BD6296">
              <w:rPr>
                <w:rFonts w:eastAsia="Times New Roman" w:cs="Times New Roman"/>
                <w:b/>
                <w:sz w:val="20"/>
                <w:szCs w:val="20"/>
                <w:lang w:eastAsia="lv-LV"/>
              </w:rPr>
              <w:t>2007</w:t>
            </w:r>
          </w:p>
        </w:tc>
        <w:tc>
          <w:tcPr>
            <w:tcW w:w="680" w:type="dxa"/>
            <w:vAlign w:val="center"/>
          </w:tcPr>
          <w:p w14:paraId="5BED533F"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3A9F7A31"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131F8FA2"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3CD5E78F"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3" w:type="dxa"/>
            <w:vAlign w:val="center"/>
          </w:tcPr>
          <w:p w14:paraId="75212B25" w14:textId="77777777"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3" w:type="dxa"/>
            <w:vAlign w:val="center"/>
          </w:tcPr>
          <w:p w14:paraId="43179095" w14:textId="49AEB124"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7BFB50BF" w14:textId="4DCE8F83" w:rsidR="00CC1383" w:rsidRPr="00BD6296" w:rsidRDefault="00CC1383" w:rsidP="00CC1383">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r>
      <w:tr w:rsidR="00CC1383" w14:paraId="297F175A" w14:textId="77777777" w:rsidTr="00CC1383">
        <w:trPr>
          <w:jc w:val="center"/>
        </w:trPr>
        <w:tc>
          <w:tcPr>
            <w:tcW w:w="1686" w:type="dxa"/>
          </w:tcPr>
          <w:p w14:paraId="26083BFA" w14:textId="77777777" w:rsidR="00CC1383" w:rsidRDefault="00CC1383" w:rsidP="00CC1383">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24F1A98F" w14:textId="77777777" w:rsidR="00CC1383" w:rsidRDefault="00CC1383" w:rsidP="00CC1383">
            <w:pPr>
              <w:jc w:val="center"/>
              <w:rPr>
                <w:rFonts w:cs="Times New Roman"/>
                <w:b/>
                <w:szCs w:val="28"/>
              </w:rPr>
            </w:pPr>
            <w:r w:rsidRPr="00BD6296">
              <w:rPr>
                <w:rFonts w:cs="Times New Roman"/>
                <w:sz w:val="20"/>
                <w:szCs w:val="20"/>
              </w:rPr>
              <w:t>10,1</w:t>
            </w:r>
          </w:p>
        </w:tc>
        <w:tc>
          <w:tcPr>
            <w:tcW w:w="680" w:type="dxa"/>
            <w:vAlign w:val="center"/>
          </w:tcPr>
          <w:p w14:paraId="66028E37"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15,3</w:t>
            </w:r>
          </w:p>
        </w:tc>
        <w:tc>
          <w:tcPr>
            <w:tcW w:w="680" w:type="dxa"/>
            <w:vAlign w:val="center"/>
          </w:tcPr>
          <w:p w14:paraId="0B16C7D3"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3,3</w:t>
            </w:r>
          </w:p>
        </w:tc>
        <w:tc>
          <w:tcPr>
            <w:tcW w:w="680" w:type="dxa"/>
            <w:vAlign w:val="center"/>
          </w:tcPr>
          <w:p w14:paraId="03FC9617"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-1,2</w:t>
            </w:r>
          </w:p>
        </w:tc>
        <w:tc>
          <w:tcPr>
            <w:tcW w:w="680" w:type="dxa"/>
            <w:vAlign w:val="center"/>
          </w:tcPr>
          <w:p w14:paraId="0C1698D2"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4,2</w:t>
            </w:r>
          </w:p>
        </w:tc>
        <w:tc>
          <w:tcPr>
            <w:tcW w:w="683" w:type="dxa"/>
            <w:vAlign w:val="center"/>
          </w:tcPr>
          <w:p w14:paraId="59F1670F" w14:textId="77777777" w:rsidR="00CC1383" w:rsidRPr="00BD6296" w:rsidRDefault="00CC1383" w:rsidP="00CC1383">
            <w:pPr>
              <w:jc w:val="center"/>
              <w:rPr>
                <w:rFonts w:eastAsia="Times New Roman" w:cs="Times New Roman"/>
                <w:sz w:val="20"/>
                <w:szCs w:val="20"/>
                <w:lang w:eastAsia="lv-LV"/>
              </w:rPr>
            </w:pPr>
            <w:r w:rsidRPr="00BD6296">
              <w:rPr>
                <w:rFonts w:cs="Times New Roman"/>
                <w:sz w:val="20"/>
                <w:szCs w:val="20"/>
              </w:rPr>
              <w:t>2,3</w:t>
            </w:r>
          </w:p>
        </w:tc>
        <w:tc>
          <w:tcPr>
            <w:tcW w:w="683" w:type="dxa"/>
            <w:vAlign w:val="center"/>
          </w:tcPr>
          <w:p w14:paraId="3129F3C5" w14:textId="086481D7" w:rsidR="00CC1383" w:rsidRPr="00BD6296" w:rsidRDefault="00CC1383" w:rsidP="00CC1383">
            <w:pPr>
              <w:jc w:val="center"/>
              <w:rPr>
                <w:rFonts w:cs="Times New Roman"/>
                <w:sz w:val="20"/>
                <w:szCs w:val="20"/>
              </w:rPr>
            </w:pPr>
            <w:r w:rsidRPr="00BD6296">
              <w:rPr>
                <w:rFonts w:cs="Times New Roman"/>
                <w:sz w:val="20"/>
                <w:szCs w:val="20"/>
              </w:rPr>
              <w:t>0,0</w:t>
            </w:r>
          </w:p>
        </w:tc>
        <w:tc>
          <w:tcPr>
            <w:tcW w:w="680" w:type="dxa"/>
            <w:vAlign w:val="center"/>
          </w:tcPr>
          <w:p w14:paraId="35C8AD70" w14:textId="12D5C224" w:rsidR="00CC1383" w:rsidRPr="00BD6296" w:rsidRDefault="00CC1383" w:rsidP="00CC1383">
            <w:pPr>
              <w:jc w:val="center"/>
              <w:rPr>
                <w:rFonts w:cs="Times New Roman"/>
                <w:sz w:val="20"/>
                <w:szCs w:val="20"/>
              </w:rPr>
            </w:pPr>
            <w:r w:rsidRPr="00BD6296">
              <w:rPr>
                <w:rFonts w:cs="Times New Roman"/>
                <w:sz w:val="20"/>
                <w:szCs w:val="20"/>
              </w:rPr>
              <w:t>0,7</w:t>
            </w:r>
          </w:p>
        </w:tc>
      </w:tr>
      <w:tr w:rsidR="00CC1383" w14:paraId="46875C02" w14:textId="6EB25F0D" w:rsidTr="00CC1383">
        <w:trPr>
          <w:jc w:val="center"/>
        </w:trPr>
        <w:tc>
          <w:tcPr>
            <w:tcW w:w="1686" w:type="dxa"/>
          </w:tcPr>
          <w:p w14:paraId="0BAFA1F4" w14:textId="77777777" w:rsidR="00CC1383" w:rsidRDefault="00CC1383" w:rsidP="00EB3ABA">
            <w:pPr>
              <w:jc w:val="center"/>
              <w:rPr>
                <w:rFonts w:cs="Times New Roman"/>
                <w:b/>
                <w:szCs w:val="28"/>
              </w:rPr>
            </w:pPr>
            <w:r w:rsidRPr="00BD6296">
              <w:rPr>
                <w:rFonts w:eastAsia="Times New Roman" w:cs="Times New Roman"/>
                <w:b/>
                <w:sz w:val="20"/>
                <w:szCs w:val="20"/>
                <w:lang w:eastAsia="lv-LV"/>
              </w:rPr>
              <w:t>Gads</w:t>
            </w:r>
          </w:p>
        </w:tc>
        <w:tc>
          <w:tcPr>
            <w:tcW w:w="680" w:type="dxa"/>
            <w:vAlign w:val="center"/>
          </w:tcPr>
          <w:p w14:paraId="6BE4C157"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c>
          <w:tcPr>
            <w:tcW w:w="680" w:type="dxa"/>
            <w:vAlign w:val="center"/>
          </w:tcPr>
          <w:p w14:paraId="41DA0D2F"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6538912C"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462641AA" w14:textId="77777777" w:rsidR="00CC1383" w:rsidRPr="00BD6296" w:rsidRDefault="00CC1383" w:rsidP="00EB3ABA">
            <w:pPr>
              <w:jc w:val="center"/>
              <w:rPr>
                <w:rFonts w:cs="Times New Roman"/>
                <w:b/>
                <w:sz w:val="20"/>
                <w:szCs w:val="20"/>
              </w:rPr>
            </w:pPr>
            <w:r w:rsidRPr="00BD6296">
              <w:rPr>
                <w:rFonts w:eastAsia="Times New Roman" w:cs="Times New Roman"/>
                <w:b/>
                <w:sz w:val="20"/>
                <w:szCs w:val="20"/>
                <w:lang w:eastAsia="lv-LV"/>
              </w:rPr>
              <w:t>2018</w:t>
            </w:r>
          </w:p>
        </w:tc>
        <w:tc>
          <w:tcPr>
            <w:tcW w:w="680" w:type="dxa"/>
            <w:vAlign w:val="center"/>
          </w:tcPr>
          <w:p w14:paraId="44B1FA30" w14:textId="77777777" w:rsidR="00CC1383" w:rsidRPr="00BD6296" w:rsidRDefault="00CC1383" w:rsidP="00EB3ABA">
            <w:pPr>
              <w:jc w:val="center"/>
              <w:rPr>
                <w:rFonts w:cs="Times New Roman"/>
                <w:b/>
                <w:sz w:val="20"/>
                <w:szCs w:val="20"/>
              </w:rPr>
            </w:pPr>
            <w:r w:rsidRPr="00BD6296">
              <w:rPr>
                <w:rFonts w:eastAsia="Times New Roman" w:cs="Times New Roman"/>
                <w:b/>
                <w:sz w:val="20"/>
                <w:szCs w:val="20"/>
                <w:lang w:eastAsia="lv-LV"/>
              </w:rPr>
              <w:t>2019</w:t>
            </w:r>
          </w:p>
        </w:tc>
        <w:tc>
          <w:tcPr>
            <w:tcW w:w="2046" w:type="dxa"/>
            <w:gridSpan w:val="3"/>
            <w:vAlign w:val="center"/>
          </w:tcPr>
          <w:p w14:paraId="4BF56CDC" w14:textId="165769BB" w:rsidR="00CC1383" w:rsidRPr="00BD6296" w:rsidRDefault="00CC1383" w:rsidP="00EB3ABA">
            <w:pPr>
              <w:jc w:val="center"/>
              <w:rPr>
                <w:rFonts w:cs="Times New Roman"/>
                <w:b/>
                <w:sz w:val="20"/>
                <w:szCs w:val="20"/>
              </w:rPr>
            </w:pPr>
            <w:r w:rsidRPr="00BD6296">
              <w:rPr>
                <w:rFonts w:cs="Times New Roman"/>
                <w:b/>
                <w:sz w:val="20"/>
                <w:szCs w:val="20"/>
              </w:rPr>
              <w:t>2020-2040</w:t>
            </w:r>
          </w:p>
        </w:tc>
      </w:tr>
      <w:tr w:rsidR="00CC1383" w14:paraId="7DDACC30" w14:textId="215E0692" w:rsidTr="00CC1383">
        <w:trPr>
          <w:jc w:val="center"/>
        </w:trPr>
        <w:tc>
          <w:tcPr>
            <w:tcW w:w="1686" w:type="dxa"/>
          </w:tcPr>
          <w:p w14:paraId="51E1909E" w14:textId="77777777" w:rsidR="00CC1383" w:rsidRDefault="00CC1383" w:rsidP="00EB3ABA">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5575D9B6" w14:textId="77777777" w:rsidR="00CC1383" w:rsidRPr="00BD6296" w:rsidRDefault="00CC1383" w:rsidP="00EB3ABA">
            <w:pPr>
              <w:jc w:val="center"/>
              <w:rPr>
                <w:rFonts w:eastAsia="Times New Roman" w:cs="Times New Roman"/>
                <w:sz w:val="20"/>
                <w:szCs w:val="20"/>
                <w:lang w:eastAsia="lv-LV"/>
              </w:rPr>
            </w:pPr>
            <w:r w:rsidRPr="00BD6296">
              <w:rPr>
                <w:rFonts w:cs="Times New Roman"/>
                <w:sz w:val="20"/>
                <w:szCs w:val="20"/>
              </w:rPr>
              <w:t>0,2</w:t>
            </w:r>
          </w:p>
        </w:tc>
        <w:tc>
          <w:tcPr>
            <w:tcW w:w="680" w:type="dxa"/>
            <w:vAlign w:val="center"/>
          </w:tcPr>
          <w:p w14:paraId="252DEC91" w14:textId="77777777" w:rsidR="00CC1383" w:rsidRPr="00BD6296" w:rsidRDefault="00CC1383" w:rsidP="00EB3ABA">
            <w:pPr>
              <w:jc w:val="center"/>
              <w:rPr>
                <w:rFonts w:eastAsia="Times New Roman" w:cs="Times New Roman"/>
                <w:sz w:val="20"/>
                <w:szCs w:val="20"/>
                <w:lang w:eastAsia="lv-LV"/>
              </w:rPr>
            </w:pPr>
            <w:r w:rsidRPr="00BD6296">
              <w:rPr>
                <w:rFonts w:cs="Times New Roman"/>
                <w:sz w:val="20"/>
                <w:szCs w:val="20"/>
              </w:rPr>
              <w:t>0,4</w:t>
            </w:r>
          </w:p>
        </w:tc>
        <w:tc>
          <w:tcPr>
            <w:tcW w:w="680" w:type="dxa"/>
            <w:vAlign w:val="center"/>
          </w:tcPr>
          <w:p w14:paraId="6DD93B28" w14:textId="77777777" w:rsidR="00CC1383" w:rsidRPr="00BD6296" w:rsidRDefault="00CC1383" w:rsidP="00EB3ABA">
            <w:pPr>
              <w:jc w:val="center"/>
              <w:rPr>
                <w:rFonts w:eastAsia="Times New Roman" w:cs="Times New Roman"/>
                <w:sz w:val="20"/>
                <w:szCs w:val="20"/>
                <w:lang w:eastAsia="lv-LV"/>
              </w:rPr>
            </w:pPr>
            <w:r w:rsidRPr="00BD6296">
              <w:rPr>
                <w:rFonts w:cs="Times New Roman"/>
                <w:sz w:val="20"/>
                <w:szCs w:val="20"/>
              </w:rPr>
              <w:t>2,0</w:t>
            </w:r>
          </w:p>
        </w:tc>
        <w:tc>
          <w:tcPr>
            <w:tcW w:w="680" w:type="dxa"/>
            <w:vAlign w:val="center"/>
          </w:tcPr>
          <w:p w14:paraId="41BF6E7C" w14:textId="77777777" w:rsidR="00CC1383" w:rsidRPr="00BD6296" w:rsidRDefault="00CC1383" w:rsidP="00EB3ABA">
            <w:pPr>
              <w:jc w:val="center"/>
              <w:rPr>
                <w:rFonts w:cs="Times New Roman"/>
                <w:sz w:val="20"/>
                <w:szCs w:val="20"/>
              </w:rPr>
            </w:pPr>
            <w:r w:rsidRPr="00BD6296">
              <w:rPr>
                <w:rFonts w:cs="Times New Roman"/>
                <w:sz w:val="20"/>
                <w:szCs w:val="20"/>
              </w:rPr>
              <w:t>2,5</w:t>
            </w:r>
          </w:p>
        </w:tc>
        <w:tc>
          <w:tcPr>
            <w:tcW w:w="680" w:type="dxa"/>
            <w:vAlign w:val="center"/>
          </w:tcPr>
          <w:p w14:paraId="67FE55C0" w14:textId="77777777" w:rsidR="00CC1383" w:rsidRPr="00BD6296" w:rsidRDefault="00CC1383" w:rsidP="00EB3ABA">
            <w:pPr>
              <w:jc w:val="center"/>
              <w:rPr>
                <w:rFonts w:cs="Times New Roman"/>
                <w:sz w:val="20"/>
                <w:szCs w:val="20"/>
              </w:rPr>
            </w:pPr>
            <w:r w:rsidRPr="00BD6296">
              <w:rPr>
                <w:rFonts w:cs="Times New Roman"/>
                <w:sz w:val="20"/>
                <w:szCs w:val="20"/>
              </w:rPr>
              <w:t>2,5</w:t>
            </w:r>
          </w:p>
        </w:tc>
        <w:tc>
          <w:tcPr>
            <w:tcW w:w="2046" w:type="dxa"/>
            <w:gridSpan w:val="3"/>
            <w:vAlign w:val="center"/>
          </w:tcPr>
          <w:p w14:paraId="2F2ECFEE" w14:textId="319600D8" w:rsidR="00CC1383" w:rsidRPr="00BD6296" w:rsidRDefault="00CC1383" w:rsidP="00EB3ABA">
            <w:pPr>
              <w:jc w:val="center"/>
              <w:rPr>
                <w:rFonts w:cs="Times New Roman"/>
                <w:sz w:val="20"/>
                <w:szCs w:val="20"/>
              </w:rPr>
            </w:pPr>
            <w:r w:rsidRPr="00BD6296">
              <w:rPr>
                <w:rFonts w:cs="Times New Roman"/>
                <w:sz w:val="20"/>
                <w:szCs w:val="20"/>
              </w:rPr>
              <w:t>1,8</w:t>
            </w:r>
          </w:p>
        </w:tc>
      </w:tr>
    </w:tbl>
    <w:p w14:paraId="4DD84313" w14:textId="77777777" w:rsidR="00EB3ABA" w:rsidRDefault="00EB3ABA" w:rsidP="00EB3ABA">
      <w:pPr>
        <w:jc w:val="center"/>
        <w:rPr>
          <w:rFonts w:cs="Times New Roman"/>
          <w:b/>
          <w:szCs w:val="28"/>
        </w:rPr>
      </w:pPr>
    </w:p>
    <w:p w14:paraId="7C9210A2" w14:textId="77777777" w:rsidR="00EB3ABA" w:rsidRPr="00BD6296" w:rsidRDefault="00EB3ABA" w:rsidP="00EB3ABA">
      <w:pPr>
        <w:jc w:val="right"/>
        <w:rPr>
          <w:rFonts w:cs="Times New Roman"/>
          <w:b/>
          <w:sz w:val="24"/>
          <w:szCs w:val="28"/>
        </w:rPr>
      </w:pPr>
    </w:p>
    <w:p w14:paraId="0A9503CD" w14:textId="77777777" w:rsidR="00EB3ABA" w:rsidRPr="00BD6296" w:rsidRDefault="00EB3ABA" w:rsidP="00EB3ABA">
      <w:pPr>
        <w:jc w:val="right"/>
        <w:rPr>
          <w:rFonts w:cs="Times New Roman"/>
          <w:b/>
          <w:szCs w:val="28"/>
        </w:rPr>
      </w:pPr>
      <w:r w:rsidRPr="00BD6296">
        <w:rPr>
          <w:rFonts w:cs="Times New Roman"/>
          <w:b/>
          <w:szCs w:val="28"/>
        </w:rPr>
        <w:t>2.tabula</w:t>
      </w:r>
    </w:p>
    <w:p w14:paraId="11BF8726" w14:textId="5803413B" w:rsidR="00EB3ABA" w:rsidRPr="00BD6296" w:rsidRDefault="00BB00C4" w:rsidP="00EB3ABA">
      <w:pPr>
        <w:jc w:val="center"/>
        <w:rPr>
          <w:rFonts w:cs="Times New Roman"/>
          <w:b/>
          <w:szCs w:val="28"/>
        </w:rPr>
      </w:pPr>
      <w:r>
        <w:rPr>
          <w:rFonts w:cs="Times New Roman"/>
          <w:b/>
          <w:szCs w:val="28"/>
        </w:rPr>
        <w:t>Koģenerācijas e</w:t>
      </w:r>
      <w:r w:rsidR="00EB3ABA" w:rsidRPr="00BD6296">
        <w:rPr>
          <w:rFonts w:cs="Times New Roman"/>
          <w:b/>
          <w:szCs w:val="28"/>
        </w:rPr>
        <w:t>lektrostacijas personāla izmaksu par pilnu darba slodzi līmeņatzīme</w:t>
      </w:r>
    </w:p>
    <w:tbl>
      <w:tblPr>
        <w:tblStyle w:val="TableGrid"/>
        <w:tblpPr w:leftFromText="180" w:rightFromText="180" w:vertAnchor="text" w:horzAnchor="margin" w:tblpXSpec="center" w:tblpY="163"/>
        <w:tblW w:w="8242" w:type="dxa"/>
        <w:tblLook w:val="04A0" w:firstRow="1" w:lastRow="0" w:firstColumn="1" w:lastColumn="0" w:noHBand="0" w:noVBand="1"/>
      </w:tblPr>
      <w:tblGrid>
        <w:gridCol w:w="2122"/>
        <w:gridCol w:w="680"/>
        <w:gridCol w:w="680"/>
        <w:gridCol w:w="680"/>
        <w:gridCol w:w="680"/>
        <w:gridCol w:w="680"/>
        <w:gridCol w:w="680"/>
        <w:gridCol w:w="680"/>
        <w:gridCol w:w="680"/>
        <w:gridCol w:w="680"/>
      </w:tblGrid>
      <w:tr w:rsidR="00EB3ABA" w14:paraId="167C490A" w14:textId="77777777" w:rsidTr="006203A9">
        <w:tc>
          <w:tcPr>
            <w:tcW w:w="2122" w:type="dxa"/>
            <w:vAlign w:val="center"/>
          </w:tcPr>
          <w:p w14:paraId="7BB06EB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Gads</w:t>
            </w:r>
          </w:p>
        </w:tc>
        <w:tc>
          <w:tcPr>
            <w:tcW w:w="680" w:type="dxa"/>
            <w:vAlign w:val="center"/>
          </w:tcPr>
          <w:p w14:paraId="3A93EE8B"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2007</w:t>
            </w:r>
          </w:p>
        </w:tc>
        <w:tc>
          <w:tcPr>
            <w:tcW w:w="680" w:type="dxa"/>
            <w:vAlign w:val="center"/>
          </w:tcPr>
          <w:p w14:paraId="58332DC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3E6FF89F"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68A1B09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1E019AD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0" w:type="dxa"/>
            <w:vAlign w:val="center"/>
          </w:tcPr>
          <w:p w14:paraId="3E9D9367"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0" w:type="dxa"/>
            <w:vAlign w:val="center"/>
          </w:tcPr>
          <w:p w14:paraId="3E2CAED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533C081B"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c>
          <w:tcPr>
            <w:tcW w:w="680" w:type="dxa"/>
            <w:vAlign w:val="center"/>
          </w:tcPr>
          <w:p w14:paraId="410FCEC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r>
      <w:tr w:rsidR="00EB3ABA" w14:paraId="6740D65A" w14:textId="77777777" w:rsidTr="006203A9">
        <w:tc>
          <w:tcPr>
            <w:tcW w:w="2122" w:type="dxa"/>
            <w:vAlign w:val="bottom"/>
          </w:tcPr>
          <w:p w14:paraId="390AC692" w14:textId="07A1D2A1"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D70A2E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1082</w:t>
            </w:r>
          </w:p>
        </w:tc>
        <w:tc>
          <w:tcPr>
            <w:tcW w:w="680" w:type="dxa"/>
            <w:vAlign w:val="center"/>
          </w:tcPr>
          <w:p w14:paraId="15259BC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1140</w:t>
            </w:r>
          </w:p>
        </w:tc>
        <w:tc>
          <w:tcPr>
            <w:tcW w:w="680" w:type="dxa"/>
            <w:vAlign w:val="center"/>
          </w:tcPr>
          <w:p w14:paraId="5ED52B6E"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1083</w:t>
            </w:r>
          </w:p>
        </w:tc>
        <w:tc>
          <w:tcPr>
            <w:tcW w:w="680" w:type="dxa"/>
            <w:vAlign w:val="center"/>
          </w:tcPr>
          <w:p w14:paraId="32EFFF8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1143</w:t>
            </w:r>
          </w:p>
        </w:tc>
        <w:tc>
          <w:tcPr>
            <w:tcW w:w="680" w:type="dxa"/>
            <w:vAlign w:val="center"/>
          </w:tcPr>
          <w:p w14:paraId="3C2A3BA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1180</w:t>
            </w:r>
          </w:p>
        </w:tc>
        <w:tc>
          <w:tcPr>
            <w:tcW w:w="680" w:type="dxa"/>
            <w:vAlign w:val="center"/>
          </w:tcPr>
          <w:p w14:paraId="3B3F413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1237</w:t>
            </w:r>
          </w:p>
        </w:tc>
        <w:tc>
          <w:tcPr>
            <w:tcW w:w="680" w:type="dxa"/>
            <w:vAlign w:val="center"/>
          </w:tcPr>
          <w:p w14:paraId="04B4F89B"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1248</w:t>
            </w:r>
          </w:p>
        </w:tc>
        <w:tc>
          <w:tcPr>
            <w:tcW w:w="680" w:type="dxa"/>
            <w:vAlign w:val="center"/>
          </w:tcPr>
          <w:p w14:paraId="2DB1F2D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1310</w:t>
            </w:r>
          </w:p>
        </w:tc>
        <w:tc>
          <w:tcPr>
            <w:tcW w:w="680" w:type="dxa"/>
            <w:vAlign w:val="center"/>
          </w:tcPr>
          <w:p w14:paraId="1EBD826A"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1379</w:t>
            </w:r>
          </w:p>
        </w:tc>
      </w:tr>
      <w:tr w:rsidR="00EB3ABA" w14:paraId="5AC57AE7" w14:textId="77777777" w:rsidTr="006203A9">
        <w:tc>
          <w:tcPr>
            <w:tcW w:w="2122" w:type="dxa"/>
            <w:vAlign w:val="bottom"/>
          </w:tcPr>
          <w:p w14:paraId="3D6C1D3A"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lastRenderedPageBreak/>
              <w:t>Gads</w:t>
            </w:r>
          </w:p>
        </w:tc>
        <w:tc>
          <w:tcPr>
            <w:tcW w:w="680" w:type="dxa"/>
            <w:vAlign w:val="center"/>
          </w:tcPr>
          <w:p w14:paraId="77AA0E70"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51F8CCC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50D401DF"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2018</w:t>
            </w:r>
          </w:p>
        </w:tc>
        <w:tc>
          <w:tcPr>
            <w:tcW w:w="680" w:type="dxa"/>
            <w:vAlign w:val="center"/>
          </w:tcPr>
          <w:p w14:paraId="7058A838"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2019</w:t>
            </w:r>
          </w:p>
        </w:tc>
        <w:tc>
          <w:tcPr>
            <w:tcW w:w="680" w:type="dxa"/>
            <w:vAlign w:val="center"/>
          </w:tcPr>
          <w:p w14:paraId="143A4EE1"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2020</w:t>
            </w:r>
          </w:p>
        </w:tc>
        <w:tc>
          <w:tcPr>
            <w:tcW w:w="680" w:type="dxa"/>
            <w:vAlign w:val="center"/>
          </w:tcPr>
          <w:p w14:paraId="1BF0BBD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2021</w:t>
            </w:r>
          </w:p>
        </w:tc>
        <w:tc>
          <w:tcPr>
            <w:tcW w:w="680" w:type="dxa"/>
            <w:vAlign w:val="center"/>
          </w:tcPr>
          <w:p w14:paraId="7D6235F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2022</w:t>
            </w:r>
          </w:p>
        </w:tc>
        <w:tc>
          <w:tcPr>
            <w:tcW w:w="680" w:type="dxa"/>
            <w:vAlign w:val="center"/>
          </w:tcPr>
          <w:p w14:paraId="3BBD13E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2023</w:t>
            </w:r>
          </w:p>
        </w:tc>
        <w:tc>
          <w:tcPr>
            <w:tcW w:w="680" w:type="dxa"/>
            <w:vAlign w:val="center"/>
          </w:tcPr>
          <w:p w14:paraId="5FB26B2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2024</w:t>
            </w:r>
          </w:p>
        </w:tc>
      </w:tr>
      <w:tr w:rsidR="00EB3ABA" w14:paraId="0ACD5A33" w14:textId="77777777" w:rsidTr="006203A9">
        <w:tc>
          <w:tcPr>
            <w:tcW w:w="2122" w:type="dxa"/>
            <w:vAlign w:val="bottom"/>
          </w:tcPr>
          <w:p w14:paraId="6508D18C" w14:textId="661A24DB"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1E5BDBB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1379</w:t>
            </w:r>
          </w:p>
        </w:tc>
        <w:tc>
          <w:tcPr>
            <w:tcW w:w="680" w:type="dxa"/>
            <w:vAlign w:val="center"/>
          </w:tcPr>
          <w:p w14:paraId="450834D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1396</w:t>
            </w:r>
          </w:p>
        </w:tc>
        <w:tc>
          <w:tcPr>
            <w:tcW w:w="680" w:type="dxa"/>
            <w:vAlign w:val="center"/>
          </w:tcPr>
          <w:p w14:paraId="66DF517A"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1417</w:t>
            </w:r>
          </w:p>
        </w:tc>
        <w:tc>
          <w:tcPr>
            <w:tcW w:w="680" w:type="dxa"/>
            <w:vAlign w:val="center"/>
          </w:tcPr>
          <w:p w14:paraId="20459275"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1438</w:t>
            </w:r>
          </w:p>
        </w:tc>
        <w:tc>
          <w:tcPr>
            <w:tcW w:w="680" w:type="dxa"/>
            <w:vAlign w:val="center"/>
          </w:tcPr>
          <w:p w14:paraId="281063E1"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1464</w:t>
            </w:r>
          </w:p>
        </w:tc>
        <w:tc>
          <w:tcPr>
            <w:tcW w:w="680" w:type="dxa"/>
            <w:vAlign w:val="center"/>
          </w:tcPr>
          <w:p w14:paraId="17D46C42"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1490</w:t>
            </w:r>
          </w:p>
        </w:tc>
        <w:tc>
          <w:tcPr>
            <w:tcW w:w="680" w:type="dxa"/>
            <w:vAlign w:val="center"/>
          </w:tcPr>
          <w:p w14:paraId="4B49D85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1517</w:t>
            </w:r>
          </w:p>
        </w:tc>
        <w:tc>
          <w:tcPr>
            <w:tcW w:w="680" w:type="dxa"/>
            <w:vAlign w:val="center"/>
          </w:tcPr>
          <w:p w14:paraId="6AFCB26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1544</w:t>
            </w:r>
          </w:p>
        </w:tc>
        <w:tc>
          <w:tcPr>
            <w:tcW w:w="680" w:type="dxa"/>
            <w:vAlign w:val="center"/>
          </w:tcPr>
          <w:p w14:paraId="7B5519D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1572</w:t>
            </w:r>
          </w:p>
        </w:tc>
      </w:tr>
      <w:tr w:rsidR="00EB3ABA" w14:paraId="147C8405" w14:textId="77777777" w:rsidTr="006203A9">
        <w:tc>
          <w:tcPr>
            <w:tcW w:w="2122" w:type="dxa"/>
            <w:vAlign w:val="bottom"/>
          </w:tcPr>
          <w:p w14:paraId="030A0B35"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335C97F8"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2025</w:t>
            </w:r>
          </w:p>
        </w:tc>
        <w:tc>
          <w:tcPr>
            <w:tcW w:w="680" w:type="dxa"/>
            <w:vAlign w:val="center"/>
          </w:tcPr>
          <w:p w14:paraId="023EC2EB"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2026</w:t>
            </w:r>
          </w:p>
        </w:tc>
        <w:tc>
          <w:tcPr>
            <w:tcW w:w="680" w:type="dxa"/>
            <w:vAlign w:val="center"/>
          </w:tcPr>
          <w:p w14:paraId="3CC84FD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2027</w:t>
            </w:r>
          </w:p>
        </w:tc>
        <w:tc>
          <w:tcPr>
            <w:tcW w:w="680" w:type="dxa"/>
            <w:vAlign w:val="center"/>
          </w:tcPr>
          <w:p w14:paraId="6BACCEB7"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2028</w:t>
            </w:r>
          </w:p>
        </w:tc>
        <w:tc>
          <w:tcPr>
            <w:tcW w:w="680" w:type="dxa"/>
            <w:vAlign w:val="center"/>
          </w:tcPr>
          <w:p w14:paraId="5F8335DE"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2031</w:t>
            </w:r>
          </w:p>
        </w:tc>
        <w:tc>
          <w:tcPr>
            <w:tcW w:w="680" w:type="dxa"/>
            <w:vAlign w:val="center"/>
          </w:tcPr>
          <w:p w14:paraId="47B67B5C"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2032</w:t>
            </w:r>
          </w:p>
        </w:tc>
        <w:tc>
          <w:tcPr>
            <w:tcW w:w="680" w:type="dxa"/>
            <w:vAlign w:val="center"/>
          </w:tcPr>
          <w:p w14:paraId="3EA75FF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2033</w:t>
            </w:r>
          </w:p>
        </w:tc>
        <w:tc>
          <w:tcPr>
            <w:tcW w:w="680" w:type="dxa"/>
            <w:vAlign w:val="center"/>
          </w:tcPr>
          <w:p w14:paraId="3619AE5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2034</w:t>
            </w:r>
          </w:p>
        </w:tc>
        <w:tc>
          <w:tcPr>
            <w:tcW w:w="680" w:type="dxa"/>
            <w:vAlign w:val="center"/>
          </w:tcPr>
          <w:p w14:paraId="12424C7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2035</w:t>
            </w:r>
          </w:p>
        </w:tc>
      </w:tr>
      <w:tr w:rsidR="00EB3ABA" w14:paraId="7A9E4C26" w14:textId="77777777" w:rsidTr="006203A9">
        <w:tc>
          <w:tcPr>
            <w:tcW w:w="2122" w:type="dxa"/>
            <w:vAlign w:val="bottom"/>
          </w:tcPr>
          <w:p w14:paraId="07E160ED" w14:textId="1404D282"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C5024E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1600</w:t>
            </w:r>
          </w:p>
        </w:tc>
        <w:tc>
          <w:tcPr>
            <w:tcW w:w="680" w:type="dxa"/>
            <w:vAlign w:val="center"/>
          </w:tcPr>
          <w:p w14:paraId="59A4DD0E"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1629</w:t>
            </w:r>
          </w:p>
        </w:tc>
        <w:tc>
          <w:tcPr>
            <w:tcW w:w="680" w:type="dxa"/>
            <w:vAlign w:val="center"/>
          </w:tcPr>
          <w:p w14:paraId="24C136D5"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1659</w:t>
            </w:r>
          </w:p>
        </w:tc>
        <w:tc>
          <w:tcPr>
            <w:tcW w:w="680" w:type="dxa"/>
            <w:vAlign w:val="center"/>
          </w:tcPr>
          <w:p w14:paraId="23614D91"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1688</w:t>
            </w:r>
          </w:p>
        </w:tc>
        <w:tc>
          <w:tcPr>
            <w:tcW w:w="680" w:type="dxa"/>
            <w:vAlign w:val="center"/>
          </w:tcPr>
          <w:p w14:paraId="66E9726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1781</w:t>
            </w:r>
          </w:p>
        </w:tc>
        <w:tc>
          <w:tcPr>
            <w:tcW w:w="680" w:type="dxa"/>
            <w:vAlign w:val="center"/>
          </w:tcPr>
          <w:p w14:paraId="24D64171"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1813</w:t>
            </w:r>
          </w:p>
        </w:tc>
        <w:tc>
          <w:tcPr>
            <w:tcW w:w="680" w:type="dxa"/>
            <w:vAlign w:val="center"/>
          </w:tcPr>
          <w:p w14:paraId="4A996118"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1846</w:t>
            </w:r>
          </w:p>
        </w:tc>
        <w:tc>
          <w:tcPr>
            <w:tcW w:w="680" w:type="dxa"/>
            <w:vAlign w:val="center"/>
          </w:tcPr>
          <w:p w14:paraId="792EB5C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1879</w:t>
            </w:r>
          </w:p>
        </w:tc>
        <w:tc>
          <w:tcPr>
            <w:tcW w:w="680" w:type="dxa"/>
            <w:vAlign w:val="center"/>
          </w:tcPr>
          <w:p w14:paraId="100067E4"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1913</w:t>
            </w:r>
          </w:p>
        </w:tc>
      </w:tr>
      <w:tr w:rsidR="00EB3ABA" w14:paraId="792557C5" w14:textId="77777777" w:rsidTr="006203A9">
        <w:trPr>
          <w:gridAfter w:val="4"/>
          <w:wAfter w:w="2720" w:type="dxa"/>
        </w:trPr>
        <w:tc>
          <w:tcPr>
            <w:tcW w:w="2122" w:type="dxa"/>
            <w:vAlign w:val="bottom"/>
          </w:tcPr>
          <w:p w14:paraId="25DC4218"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0DE068F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2036</w:t>
            </w:r>
          </w:p>
        </w:tc>
        <w:tc>
          <w:tcPr>
            <w:tcW w:w="680" w:type="dxa"/>
            <w:vAlign w:val="center"/>
          </w:tcPr>
          <w:p w14:paraId="752781D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2037</w:t>
            </w:r>
          </w:p>
        </w:tc>
        <w:tc>
          <w:tcPr>
            <w:tcW w:w="680" w:type="dxa"/>
            <w:vAlign w:val="center"/>
          </w:tcPr>
          <w:p w14:paraId="07AC816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2038</w:t>
            </w:r>
          </w:p>
        </w:tc>
        <w:tc>
          <w:tcPr>
            <w:tcW w:w="680" w:type="dxa"/>
            <w:vAlign w:val="center"/>
          </w:tcPr>
          <w:p w14:paraId="7FED08BB"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2039</w:t>
            </w:r>
          </w:p>
        </w:tc>
        <w:tc>
          <w:tcPr>
            <w:tcW w:w="680" w:type="dxa"/>
            <w:vAlign w:val="center"/>
          </w:tcPr>
          <w:p w14:paraId="4374F69A" w14:textId="77777777" w:rsidR="00EB3ABA" w:rsidRPr="00BD6296" w:rsidRDefault="00EB3ABA" w:rsidP="00EB3ABA">
            <w:pPr>
              <w:jc w:val="center"/>
              <w:rPr>
                <w:rFonts w:eastAsia="Times New Roman" w:cs="Times New Roman"/>
                <w:sz w:val="20"/>
                <w:szCs w:val="20"/>
                <w:lang w:eastAsia="lv-LV"/>
              </w:rPr>
            </w:pPr>
            <w:r w:rsidRPr="00BD6296">
              <w:rPr>
                <w:rFonts w:cs="Times New Roman"/>
                <w:b/>
                <w:sz w:val="20"/>
                <w:szCs w:val="20"/>
              </w:rPr>
              <w:t>2040</w:t>
            </w:r>
          </w:p>
        </w:tc>
      </w:tr>
      <w:tr w:rsidR="00EB3ABA" w14:paraId="5C7B0567" w14:textId="77777777" w:rsidTr="006203A9">
        <w:trPr>
          <w:gridAfter w:val="4"/>
          <w:wAfter w:w="2720" w:type="dxa"/>
        </w:trPr>
        <w:tc>
          <w:tcPr>
            <w:tcW w:w="2122" w:type="dxa"/>
            <w:vAlign w:val="bottom"/>
          </w:tcPr>
          <w:p w14:paraId="28A51B00" w14:textId="180C7CC0"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sidR="00CC1383">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109A158"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1947</w:t>
            </w:r>
          </w:p>
        </w:tc>
        <w:tc>
          <w:tcPr>
            <w:tcW w:w="680" w:type="dxa"/>
            <w:vAlign w:val="center"/>
          </w:tcPr>
          <w:p w14:paraId="497F9EB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1982</w:t>
            </w:r>
          </w:p>
        </w:tc>
        <w:tc>
          <w:tcPr>
            <w:tcW w:w="680" w:type="dxa"/>
            <w:vAlign w:val="center"/>
          </w:tcPr>
          <w:p w14:paraId="3FF87B9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2018</w:t>
            </w:r>
          </w:p>
        </w:tc>
        <w:tc>
          <w:tcPr>
            <w:tcW w:w="680" w:type="dxa"/>
            <w:vAlign w:val="center"/>
          </w:tcPr>
          <w:p w14:paraId="3AAB2B8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2054</w:t>
            </w:r>
          </w:p>
        </w:tc>
        <w:tc>
          <w:tcPr>
            <w:tcW w:w="680" w:type="dxa"/>
            <w:vAlign w:val="center"/>
          </w:tcPr>
          <w:p w14:paraId="53B18653" w14:textId="77777777" w:rsidR="00EB3ABA" w:rsidRPr="00D23D85" w:rsidRDefault="00EB3ABA" w:rsidP="00EB3ABA">
            <w:pPr>
              <w:jc w:val="center"/>
              <w:rPr>
                <w:rFonts w:cs="Times New Roman"/>
                <w:sz w:val="20"/>
                <w:szCs w:val="20"/>
              </w:rPr>
            </w:pPr>
            <w:r w:rsidRPr="00BD6296">
              <w:rPr>
                <w:rFonts w:cs="Times New Roman"/>
                <w:sz w:val="20"/>
                <w:szCs w:val="20"/>
              </w:rPr>
              <w:t>2091</w:t>
            </w:r>
          </w:p>
        </w:tc>
      </w:tr>
    </w:tbl>
    <w:p w14:paraId="5335D3BB" w14:textId="77777777" w:rsidR="00EB3ABA" w:rsidRDefault="00EB3ABA" w:rsidP="00EB3ABA">
      <w:pPr>
        <w:jc w:val="right"/>
        <w:rPr>
          <w:rFonts w:cs="Times New Roman"/>
          <w:b/>
          <w:sz w:val="24"/>
          <w:szCs w:val="28"/>
        </w:rPr>
      </w:pPr>
    </w:p>
    <w:p w14:paraId="530897DB" w14:textId="77777777" w:rsidR="00EB3ABA" w:rsidRPr="00BD6296" w:rsidRDefault="00EB3ABA" w:rsidP="00EB3ABA">
      <w:pPr>
        <w:jc w:val="right"/>
        <w:rPr>
          <w:rFonts w:cs="Times New Roman"/>
          <w:b/>
          <w:szCs w:val="28"/>
        </w:rPr>
      </w:pPr>
      <w:r w:rsidRPr="00BD6296">
        <w:rPr>
          <w:rFonts w:cs="Times New Roman"/>
          <w:b/>
          <w:szCs w:val="28"/>
        </w:rPr>
        <w:t>3.tabula</w:t>
      </w:r>
    </w:p>
    <w:p w14:paraId="0BB68E1E" w14:textId="77777777" w:rsidR="00EB3ABA" w:rsidRDefault="00EB3ABA" w:rsidP="00EB3ABA">
      <w:pPr>
        <w:jc w:val="center"/>
        <w:rPr>
          <w:rFonts w:cs="Times New Roman"/>
          <w:b/>
          <w:szCs w:val="28"/>
        </w:rPr>
      </w:pPr>
      <w:r w:rsidRPr="00BD6296">
        <w:rPr>
          <w:rFonts w:cs="Times New Roman"/>
          <w:b/>
          <w:szCs w:val="28"/>
        </w:rPr>
        <w:t xml:space="preserve">Biogāzes stacijām, izņemot biomasas gazifikācijas stacijām, piemērojamās </w:t>
      </w:r>
      <w:proofErr w:type="spellStart"/>
      <w:r w:rsidRPr="00BD6296">
        <w:rPr>
          <w:rFonts w:cs="Times New Roman"/>
          <w:b/>
          <w:szCs w:val="28"/>
        </w:rPr>
        <w:t>līmeņatzīmes</w:t>
      </w:r>
      <w:proofErr w:type="spellEnd"/>
    </w:p>
    <w:tbl>
      <w:tblPr>
        <w:tblW w:w="5629" w:type="pct"/>
        <w:jc w:val="center"/>
        <w:tblLayout w:type="fixed"/>
        <w:tblLook w:val="04A0" w:firstRow="1" w:lastRow="0" w:firstColumn="1" w:lastColumn="0" w:noHBand="0" w:noVBand="1"/>
      </w:tblPr>
      <w:tblGrid>
        <w:gridCol w:w="2127"/>
        <w:gridCol w:w="714"/>
        <w:gridCol w:w="712"/>
        <w:gridCol w:w="700"/>
        <w:gridCol w:w="712"/>
        <w:gridCol w:w="992"/>
        <w:gridCol w:w="700"/>
        <w:gridCol w:w="708"/>
        <w:gridCol w:w="712"/>
        <w:gridCol w:w="710"/>
        <w:gridCol w:w="618"/>
        <w:gridCol w:w="796"/>
      </w:tblGrid>
      <w:tr w:rsidR="00B834CA" w:rsidRPr="00BD6296" w14:paraId="6360CC75" w14:textId="77777777" w:rsidTr="00B834CA">
        <w:trPr>
          <w:cantSplit/>
          <w:trHeight w:val="2143"/>
          <w:jc w:val="center"/>
        </w:trPr>
        <w:tc>
          <w:tcPr>
            <w:tcW w:w="1043" w:type="pct"/>
            <w:vMerge w:val="restart"/>
            <w:tcBorders>
              <w:top w:val="single" w:sz="4" w:space="0" w:color="auto"/>
              <w:left w:val="single" w:sz="4" w:space="0" w:color="auto"/>
              <w:right w:val="single" w:sz="4" w:space="0" w:color="auto"/>
            </w:tcBorders>
            <w:shd w:val="clear" w:color="auto" w:fill="auto"/>
            <w:vAlign w:val="center"/>
            <w:hideMark/>
          </w:tcPr>
          <w:p w14:paraId="7576DB67" w14:textId="77777777" w:rsidR="00B834CA" w:rsidRPr="00BD6296" w:rsidRDefault="00B834C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1877" w:type="pct"/>
            <w:gridSpan w:val="5"/>
            <w:tcBorders>
              <w:top w:val="single" w:sz="4" w:space="0" w:color="auto"/>
              <w:left w:val="nil"/>
              <w:bottom w:val="single" w:sz="4" w:space="0" w:color="auto"/>
              <w:right w:val="single" w:sz="4" w:space="0" w:color="auto"/>
            </w:tcBorders>
            <w:shd w:val="clear" w:color="auto" w:fill="auto"/>
            <w:vAlign w:val="center"/>
            <w:hideMark/>
          </w:tcPr>
          <w:p w14:paraId="6505341C" w14:textId="77777777" w:rsidR="00B834CA" w:rsidRPr="00BD6296" w:rsidRDefault="00B834CA" w:rsidP="00B834C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Darba stundu skaits gadā </w:t>
            </w:r>
            <w:r w:rsidRPr="00BD6296">
              <w:rPr>
                <w:rFonts w:eastAsia="Times New Roman" w:cs="Times New Roman"/>
                <w:i/>
                <w:sz w:val="20"/>
                <w:szCs w:val="20"/>
                <w:lang w:eastAsia="lv-LV"/>
              </w:rPr>
              <w:t>d</w:t>
            </w:r>
            <w:r w:rsidRPr="00BD6296">
              <w:rPr>
                <w:rFonts w:eastAsia="Times New Roman" w:cs="Times New Roman"/>
                <w:sz w:val="20"/>
                <w:szCs w:val="20"/>
                <w:lang w:eastAsia="lv-LV"/>
              </w:rPr>
              <w:t xml:space="preserve"> </w:t>
            </w:r>
            <w:r w:rsidRPr="00BD6296">
              <w:rPr>
                <w:rFonts w:eastAsia="Times New Roman" w:cs="Times New Roman"/>
                <w:b/>
                <w:sz w:val="20"/>
                <w:szCs w:val="20"/>
                <w:lang w:eastAsia="lv-LV"/>
              </w:rPr>
              <w:t>(h)</w:t>
            </w:r>
          </w:p>
        </w:tc>
        <w:tc>
          <w:tcPr>
            <w:tcW w:w="343" w:type="pct"/>
            <w:vMerge w:val="restart"/>
            <w:tcBorders>
              <w:top w:val="single" w:sz="4" w:space="0" w:color="auto"/>
              <w:left w:val="nil"/>
              <w:right w:val="single" w:sz="4" w:space="0" w:color="auto"/>
            </w:tcBorders>
            <w:shd w:val="clear" w:color="auto" w:fill="auto"/>
            <w:textDirection w:val="btLr"/>
            <w:vAlign w:val="center"/>
            <w:hideMark/>
          </w:tcPr>
          <w:p w14:paraId="0B83D07B" w14:textId="77777777" w:rsidR="00B834CA" w:rsidRPr="00BD6296" w:rsidRDefault="00B834CA"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BD6296">
              <w:rPr>
                <w:rFonts w:eastAsia="Times New Roman" w:cs="Times New Roman"/>
                <w:b/>
                <w:sz w:val="20"/>
                <w:szCs w:val="20"/>
                <w:lang w:eastAsia="lv-LV"/>
              </w:rPr>
              <w:t xml:space="preserve"> (EUR/kW</w:t>
            </w:r>
            <w:r w:rsidRPr="00BD6296">
              <w:rPr>
                <w:rFonts w:eastAsia="Times New Roman" w:cs="Times New Roman"/>
                <w:b/>
                <w:sz w:val="20"/>
                <w:szCs w:val="20"/>
                <w:vertAlign w:val="subscript"/>
                <w:lang w:eastAsia="lv-LV"/>
              </w:rPr>
              <w:t>el</w:t>
            </w:r>
            <w:r w:rsidRPr="00BD6296">
              <w:rPr>
                <w:rFonts w:eastAsia="Times New Roman" w:cs="Times New Roman"/>
                <w:b/>
                <w:sz w:val="20"/>
                <w:szCs w:val="20"/>
                <w:lang w:eastAsia="lv-LV"/>
              </w:rPr>
              <w:t>)</w:t>
            </w:r>
          </w:p>
        </w:tc>
        <w:tc>
          <w:tcPr>
            <w:tcW w:w="347" w:type="pct"/>
            <w:vMerge w:val="restart"/>
            <w:tcBorders>
              <w:top w:val="single" w:sz="4" w:space="0" w:color="auto"/>
              <w:left w:val="nil"/>
              <w:right w:val="single" w:sz="4" w:space="0" w:color="auto"/>
            </w:tcBorders>
            <w:shd w:val="clear" w:color="auto" w:fill="auto"/>
            <w:textDirection w:val="btLr"/>
            <w:vAlign w:val="center"/>
            <w:hideMark/>
          </w:tcPr>
          <w:p w14:paraId="5AE1B90D" w14:textId="77777777" w:rsidR="00B834CA" w:rsidRPr="00BD6296" w:rsidRDefault="00B834CA"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BD6296">
              <w:rPr>
                <w:rFonts w:eastAsia="Times New Roman" w:cs="Times New Roman"/>
                <w:b/>
                <w:sz w:val="20"/>
                <w:szCs w:val="20"/>
                <w:lang w:eastAsia="lv-LV"/>
              </w:rPr>
              <w:t xml:space="preserve"> (attiecināmās darba slodzes)</w:t>
            </w:r>
          </w:p>
        </w:tc>
        <w:tc>
          <w:tcPr>
            <w:tcW w:w="349" w:type="pct"/>
            <w:vMerge w:val="restart"/>
            <w:tcBorders>
              <w:top w:val="single" w:sz="4" w:space="0" w:color="auto"/>
              <w:left w:val="nil"/>
              <w:right w:val="single" w:sz="4" w:space="0" w:color="000000"/>
            </w:tcBorders>
            <w:shd w:val="clear" w:color="auto" w:fill="auto"/>
            <w:textDirection w:val="btLr"/>
            <w:vAlign w:val="center"/>
          </w:tcPr>
          <w:p w14:paraId="208514AC" w14:textId="679844A9" w:rsidR="00B834CA" w:rsidRPr="00BD6296" w:rsidRDefault="00B834CA" w:rsidP="00B834C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Ekspluatācijas izmaksas</w:t>
            </w:r>
            <w:r>
              <w:rPr>
                <w:rFonts w:eastAsia="Times New Roman" w:cs="Times New Roman"/>
                <w:b/>
                <w:sz w:val="20"/>
                <w:szCs w:val="20"/>
                <w:lang w:eastAsia="lv-LV"/>
              </w:rPr>
              <w:t xml:space="preserve"> gadā</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M</w:t>
            </w:r>
            <w:r w:rsidRPr="00BD6296">
              <w:rPr>
                <w:rFonts w:eastAsia="Times New Roman" w:cs="Times New Roman"/>
                <w:b/>
                <w:sz w:val="20"/>
                <w:szCs w:val="20"/>
                <w:lang w:eastAsia="lv-LV"/>
              </w:rPr>
              <w:t xml:space="preserve"> </w:t>
            </w:r>
            <w:r w:rsidRPr="00BD6296">
              <w:rPr>
                <w:rFonts w:eastAsia="Times New Roman" w:cs="Times New Roman"/>
                <w:b/>
                <w:sz w:val="20"/>
                <w:szCs w:val="20"/>
                <w:lang w:eastAsia="lv-LV"/>
              </w:rPr>
              <w:br/>
              <w:t>(% no kopējām investīcijām</w:t>
            </w:r>
            <w:r>
              <w:rPr>
                <w:rFonts w:eastAsia="Times New Roman" w:cs="Times New Roman"/>
                <w:b/>
                <w:sz w:val="20"/>
                <w:szCs w:val="20"/>
                <w:lang w:eastAsia="lv-LV"/>
              </w:rPr>
              <w:t>)</w:t>
            </w:r>
          </w:p>
        </w:tc>
        <w:tc>
          <w:tcPr>
            <w:tcW w:w="348" w:type="pct"/>
            <w:vMerge w:val="restart"/>
            <w:tcBorders>
              <w:top w:val="single" w:sz="4" w:space="0" w:color="auto"/>
              <w:left w:val="nil"/>
              <w:right w:val="single" w:sz="4" w:space="0" w:color="auto"/>
            </w:tcBorders>
            <w:shd w:val="clear" w:color="auto" w:fill="auto"/>
            <w:textDirection w:val="btLr"/>
            <w:vAlign w:val="center"/>
            <w:hideMark/>
          </w:tcPr>
          <w:p w14:paraId="2C76C202" w14:textId="1EADEE67" w:rsidR="00B834CA" w:rsidRPr="00BD6296" w:rsidRDefault="00B834CA"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Pārējās darbības izmaksas </w:t>
            </w:r>
            <w:r>
              <w:rPr>
                <w:rFonts w:eastAsia="Times New Roman" w:cs="Times New Roman"/>
                <w:b/>
                <w:sz w:val="20"/>
                <w:szCs w:val="20"/>
                <w:lang w:eastAsia="lv-LV"/>
              </w:rPr>
              <w:t xml:space="preserve"> gadā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O</w:t>
            </w:r>
            <w:r w:rsidRPr="00BD6296">
              <w:rPr>
                <w:rFonts w:eastAsia="Times New Roman" w:cs="Times New Roman"/>
                <w:b/>
                <w:sz w:val="20"/>
                <w:szCs w:val="20"/>
                <w:lang w:eastAsia="lv-LV"/>
              </w:rPr>
              <w:br/>
              <w:t>(% no kopējām investīcijām)</w:t>
            </w:r>
          </w:p>
        </w:tc>
        <w:tc>
          <w:tcPr>
            <w:tcW w:w="303" w:type="pct"/>
            <w:vMerge w:val="restart"/>
            <w:tcBorders>
              <w:top w:val="single" w:sz="4" w:space="0" w:color="auto"/>
              <w:left w:val="nil"/>
              <w:right w:val="single" w:sz="4" w:space="0" w:color="auto"/>
            </w:tcBorders>
            <w:textDirection w:val="btLr"/>
          </w:tcPr>
          <w:p w14:paraId="62FD910E" w14:textId="4AB9D111" w:rsidR="00B834CA" w:rsidRPr="00BD6296" w:rsidRDefault="00B834CA" w:rsidP="00B30294">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Siltumenerģijas patēriņš</w:t>
            </w:r>
            <w:r>
              <w:rPr>
                <w:rFonts w:eastAsia="Times New Roman" w:cs="Times New Roman"/>
                <w:b/>
                <w:sz w:val="20"/>
                <w:szCs w:val="20"/>
                <w:lang w:eastAsia="lv-LV"/>
              </w:rPr>
              <w:t xml:space="preserve"> biogāzes ražošanai</w:t>
            </w:r>
            <w:r w:rsidRPr="00BD6296">
              <w:rPr>
                <w:rFonts w:eastAsia="Times New Roman" w:cs="Times New Roman"/>
                <w:b/>
                <w:sz w:val="20"/>
                <w:szCs w:val="20"/>
                <w:lang w:eastAsia="lv-LV"/>
              </w:rPr>
              <w:t xml:space="preserve"> </w:t>
            </w:r>
            <w:proofErr w:type="spellStart"/>
            <w:r w:rsidRPr="00BD6296">
              <w:rPr>
                <w:rFonts w:eastAsia="Times New Roman" w:cs="Times New Roman"/>
                <w:i/>
                <w:iCs/>
                <w:sz w:val="20"/>
                <w:szCs w:val="28"/>
                <w:lang w:eastAsia="lv-LV"/>
              </w:rPr>
              <w:t>E</w:t>
            </w:r>
            <w:r w:rsidRPr="00BD6296">
              <w:rPr>
                <w:rFonts w:eastAsia="Times New Roman" w:cs="Times New Roman"/>
                <w:i/>
                <w:iCs/>
                <w:sz w:val="20"/>
                <w:szCs w:val="28"/>
                <w:vertAlign w:val="subscript"/>
                <w:lang w:eastAsia="lv-LV"/>
              </w:rPr>
              <w:t>th</w:t>
            </w:r>
            <w:proofErr w:type="spellEnd"/>
            <w:r w:rsidRPr="00BD6296">
              <w:rPr>
                <w:rFonts w:eastAsia="Times New Roman" w:cs="Times New Roman"/>
                <w:b/>
                <w:sz w:val="14"/>
                <w:szCs w:val="20"/>
                <w:lang w:eastAsia="lv-LV"/>
              </w:rPr>
              <w:t xml:space="preserve"> </w:t>
            </w:r>
            <w:r w:rsidRPr="00BD6296">
              <w:rPr>
                <w:rFonts w:eastAsia="Times New Roman" w:cs="Times New Roman"/>
                <w:b/>
                <w:sz w:val="20"/>
                <w:szCs w:val="20"/>
                <w:lang w:eastAsia="lv-LV"/>
              </w:rPr>
              <w:t>(% no saražotā)</w:t>
            </w:r>
          </w:p>
        </w:tc>
        <w:tc>
          <w:tcPr>
            <w:tcW w:w="390" w:type="pct"/>
            <w:vMerge w:val="restart"/>
            <w:tcBorders>
              <w:top w:val="single" w:sz="4" w:space="0" w:color="auto"/>
              <w:left w:val="nil"/>
              <w:right w:val="single" w:sz="4" w:space="0" w:color="auto"/>
            </w:tcBorders>
            <w:textDirection w:val="btLr"/>
          </w:tcPr>
          <w:p w14:paraId="44C20C5B" w14:textId="6188D359" w:rsidR="00B834CA" w:rsidRPr="00BD6296" w:rsidRDefault="00B834CA" w:rsidP="00B834C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ref</m:t>
                  </m:r>
                </m:sub>
              </m:sSub>
            </m:oMath>
            <w:r w:rsidRPr="00BD6296">
              <w:rPr>
                <w:rFonts w:eastAsia="Times New Roman" w:cs="Times New Roman"/>
                <w:b/>
                <w:sz w:val="20"/>
                <w:szCs w:val="20"/>
                <w:lang w:eastAsia="lv-LV"/>
              </w:rPr>
              <w:t xml:space="preserve"> (%)</w:t>
            </w:r>
          </w:p>
        </w:tc>
      </w:tr>
      <w:tr w:rsidR="00B834CA" w:rsidRPr="00BD6296" w14:paraId="4A8AF174" w14:textId="77777777" w:rsidTr="00B834CA">
        <w:trPr>
          <w:cantSplit/>
          <w:trHeight w:val="2143"/>
          <w:jc w:val="center"/>
        </w:trPr>
        <w:tc>
          <w:tcPr>
            <w:tcW w:w="1043" w:type="pct"/>
            <w:vMerge/>
            <w:tcBorders>
              <w:left w:val="single" w:sz="4" w:space="0" w:color="auto"/>
              <w:bottom w:val="single" w:sz="4" w:space="0" w:color="auto"/>
              <w:right w:val="single" w:sz="4" w:space="0" w:color="auto"/>
            </w:tcBorders>
            <w:shd w:val="clear" w:color="auto" w:fill="auto"/>
            <w:vAlign w:val="center"/>
          </w:tcPr>
          <w:p w14:paraId="5DB9D9FC" w14:textId="77777777" w:rsidR="00B834CA" w:rsidRPr="00BD6296" w:rsidRDefault="00B834CA" w:rsidP="00B834CA">
            <w:pPr>
              <w:jc w:val="center"/>
              <w:rPr>
                <w:rFonts w:eastAsia="Times New Roman" w:cs="Times New Roman"/>
                <w:b/>
                <w:sz w:val="20"/>
                <w:szCs w:val="20"/>
                <w:lang w:eastAsia="lv-LV"/>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61E87998" w14:textId="7B31325D" w:rsidR="00B834CA" w:rsidRPr="00BD6296" w:rsidRDefault="00B834CA" w:rsidP="00B834CA">
            <w:pPr>
              <w:jc w:val="center"/>
              <w:rPr>
                <w:rFonts w:eastAsia="Times New Roman" w:cs="Times New Roman"/>
                <w:sz w:val="20"/>
                <w:szCs w:val="20"/>
                <w:lang w:eastAsia="lv-LV"/>
              </w:rPr>
            </w:pPr>
            <w:r>
              <w:rPr>
                <w:rFonts w:eastAsia="Times New Roman" w:cs="Times New Roman"/>
                <w:b/>
                <w:sz w:val="20"/>
                <w:szCs w:val="20"/>
                <w:lang w:eastAsia="lv-LV"/>
              </w:rPr>
              <w:t>2007.-2011. gads</w:t>
            </w:r>
          </w:p>
        </w:tc>
        <w:tc>
          <w:tcPr>
            <w:tcW w:w="349" w:type="pct"/>
            <w:tcBorders>
              <w:top w:val="single" w:sz="4" w:space="0" w:color="auto"/>
              <w:left w:val="nil"/>
              <w:bottom w:val="single" w:sz="4" w:space="0" w:color="auto"/>
              <w:right w:val="single" w:sz="4" w:space="0" w:color="auto"/>
            </w:tcBorders>
            <w:shd w:val="clear" w:color="auto" w:fill="auto"/>
            <w:vAlign w:val="center"/>
          </w:tcPr>
          <w:p w14:paraId="6DF07FDA" w14:textId="296618DE" w:rsidR="00B834CA" w:rsidRPr="00BD6296" w:rsidRDefault="00B834CA" w:rsidP="00B834CA">
            <w:pPr>
              <w:jc w:val="center"/>
              <w:rPr>
                <w:rFonts w:eastAsia="Times New Roman" w:cs="Times New Roman"/>
                <w:sz w:val="20"/>
                <w:szCs w:val="20"/>
                <w:lang w:eastAsia="lv-LV"/>
              </w:rPr>
            </w:pPr>
            <w:r>
              <w:rPr>
                <w:rFonts w:eastAsia="Times New Roman" w:cs="Times New Roman"/>
                <w:b/>
                <w:sz w:val="20"/>
                <w:szCs w:val="20"/>
                <w:lang w:eastAsia="lv-LV"/>
              </w:rPr>
              <w:t>2012.-2013. gads</w:t>
            </w:r>
          </w:p>
        </w:tc>
        <w:tc>
          <w:tcPr>
            <w:tcW w:w="343" w:type="pct"/>
            <w:tcBorders>
              <w:top w:val="single" w:sz="4" w:space="0" w:color="auto"/>
              <w:left w:val="nil"/>
              <w:bottom w:val="single" w:sz="4" w:space="0" w:color="auto"/>
              <w:right w:val="single" w:sz="4" w:space="0" w:color="auto"/>
            </w:tcBorders>
            <w:shd w:val="clear" w:color="auto" w:fill="auto"/>
            <w:vAlign w:val="center"/>
          </w:tcPr>
          <w:p w14:paraId="0CC134E6" w14:textId="4CD4B285" w:rsidR="00B834CA" w:rsidRPr="00BD6296" w:rsidRDefault="00B834CA" w:rsidP="00B834CA">
            <w:pPr>
              <w:jc w:val="center"/>
              <w:rPr>
                <w:rFonts w:eastAsia="Times New Roman" w:cs="Times New Roman"/>
                <w:sz w:val="20"/>
                <w:szCs w:val="20"/>
                <w:lang w:eastAsia="lv-LV"/>
              </w:rPr>
            </w:pPr>
            <w:r>
              <w:rPr>
                <w:rFonts w:eastAsia="Times New Roman" w:cs="Times New Roman"/>
                <w:b/>
                <w:sz w:val="20"/>
                <w:szCs w:val="20"/>
                <w:lang w:eastAsia="lv-LV"/>
              </w:rPr>
              <w:t>2014. gads</w:t>
            </w:r>
          </w:p>
        </w:tc>
        <w:tc>
          <w:tcPr>
            <w:tcW w:w="349" w:type="pct"/>
            <w:tcBorders>
              <w:top w:val="single" w:sz="4" w:space="0" w:color="auto"/>
              <w:left w:val="nil"/>
              <w:bottom w:val="single" w:sz="4" w:space="0" w:color="auto"/>
              <w:right w:val="single" w:sz="4" w:space="0" w:color="auto"/>
            </w:tcBorders>
            <w:shd w:val="clear" w:color="auto" w:fill="auto"/>
            <w:vAlign w:val="center"/>
          </w:tcPr>
          <w:p w14:paraId="3EBEFAB9" w14:textId="16D18929" w:rsidR="00B834CA" w:rsidRPr="00BD6296" w:rsidRDefault="00B834CA" w:rsidP="00B834CA">
            <w:pPr>
              <w:jc w:val="center"/>
              <w:rPr>
                <w:rFonts w:eastAsia="Times New Roman" w:cs="Times New Roman"/>
                <w:b/>
                <w:sz w:val="20"/>
                <w:szCs w:val="20"/>
                <w:lang w:eastAsia="lv-LV"/>
              </w:rPr>
            </w:pPr>
            <w:r>
              <w:rPr>
                <w:rFonts w:eastAsia="Times New Roman" w:cs="Times New Roman"/>
                <w:b/>
                <w:sz w:val="20"/>
                <w:szCs w:val="20"/>
                <w:lang w:eastAsia="lv-LV"/>
              </w:rPr>
              <w:t>2015.-2016. gads</w:t>
            </w:r>
          </w:p>
        </w:tc>
        <w:tc>
          <w:tcPr>
            <w:tcW w:w="486" w:type="pct"/>
            <w:tcBorders>
              <w:top w:val="single" w:sz="4" w:space="0" w:color="auto"/>
              <w:left w:val="nil"/>
              <w:bottom w:val="single" w:sz="4" w:space="0" w:color="auto"/>
              <w:right w:val="single" w:sz="4" w:space="0" w:color="auto"/>
            </w:tcBorders>
            <w:shd w:val="clear" w:color="auto" w:fill="auto"/>
            <w:vAlign w:val="center"/>
          </w:tcPr>
          <w:p w14:paraId="3FA54F64" w14:textId="7F87B27F" w:rsidR="00B834CA" w:rsidRPr="00BD6296" w:rsidRDefault="00B834CA" w:rsidP="00B834CA">
            <w:pPr>
              <w:jc w:val="center"/>
              <w:rPr>
                <w:rFonts w:eastAsia="Times New Roman" w:cs="Times New Roman"/>
                <w:b/>
                <w:sz w:val="20"/>
                <w:szCs w:val="20"/>
                <w:lang w:eastAsia="lv-LV"/>
              </w:rPr>
            </w:pPr>
            <w:r>
              <w:rPr>
                <w:rFonts w:eastAsia="Times New Roman" w:cs="Times New Roman"/>
                <w:b/>
                <w:sz w:val="20"/>
                <w:szCs w:val="20"/>
                <w:lang w:eastAsia="lv-LV"/>
              </w:rPr>
              <w:t>2017. gads un turpmāk</w:t>
            </w:r>
          </w:p>
        </w:tc>
        <w:tc>
          <w:tcPr>
            <w:tcW w:w="343" w:type="pct"/>
            <w:vMerge/>
            <w:tcBorders>
              <w:left w:val="nil"/>
              <w:bottom w:val="single" w:sz="4" w:space="0" w:color="auto"/>
              <w:right w:val="single" w:sz="4" w:space="0" w:color="auto"/>
            </w:tcBorders>
            <w:shd w:val="clear" w:color="auto" w:fill="auto"/>
            <w:textDirection w:val="btLr"/>
            <w:vAlign w:val="center"/>
          </w:tcPr>
          <w:p w14:paraId="34D5BBA7" w14:textId="77777777" w:rsidR="00B834CA" w:rsidRPr="00BD6296" w:rsidRDefault="00B834CA" w:rsidP="00B834CA">
            <w:pPr>
              <w:ind w:left="113" w:right="113"/>
              <w:jc w:val="center"/>
              <w:rPr>
                <w:rFonts w:eastAsia="Times New Roman" w:cs="Times New Roman"/>
                <w:b/>
                <w:sz w:val="20"/>
                <w:szCs w:val="20"/>
                <w:lang w:eastAsia="lv-LV"/>
              </w:rPr>
            </w:pPr>
          </w:p>
        </w:tc>
        <w:tc>
          <w:tcPr>
            <w:tcW w:w="347" w:type="pct"/>
            <w:vMerge/>
            <w:tcBorders>
              <w:left w:val="nil"/>
              <w:bottom w:val="single" w:sz="4" w:space="0" w:color="auto"/>
              <w:right w:val="single" w:sz="4" w:space="0" w:color="auto"/>
            </w:tcBorders>
            <w:shd w:val="clear" w:color="auto" w:fill="auto"/>
            <w:textDirection w:val="btLr"/>
            <w:vAlign w:val="center"/>
          </w:tcPr>
          <w:p w14:paraId="068CC505" w14:textId="77777777" w:rsidR="00B834CA" w:rsidRPr="00BD6296" w:rsidRDefault="00B834CA" w:rsidP="00B834CA">
            <w:pPr>
              <w:ind w:left="113" w:right="113"/>
              <w:jc w:val="center"/>
              <w:rPr>
                <w:rFonts w:eastAsia="Times New Roman" w:cs="Times New Roman"/>
                <w:b/>
                <w:sz w:val="20"/>
                <w:szCs w:val="20"/>
                <w:lang w:eastAsia="lv-LV"/>
              </w:rPr>
            </w:pPr>
          </w:p>
        </w:tc>
        <w:tc>
          <w:tcPr>
            <w:tcW w:w="349" w:type="pct"/>
            <w:vMerge/>
            <w:tcBorders>
              <w:left w:val="nil"/>
              <w:bottom w:val="single" w:sz="4" w:space="0" w:color="auto"/>
              <w:right w:val="single" w:sz="4" w:space="0" w:color="000000"/>
            </w:tcBorders>
            <w:shd w:val="clear" w:color="auto" w:fill="auto"/>
            <w:textDirection w:val="btLr"/>
            <w:vAlign w:val="center"/>
          </w:tcPr>
          <w:p w14:paraId="616F1201" w14:textId="77777777" w:rsidR="00B834CA" w:rsidRPr="00BD6296" w:rsidRDefault="00B834CA" w:rsidP="00B834CA">
            <w:pPr>
              <w:ind w:left="113" w:right="113"/>
              <w:jc w:val="center"/>
              <w:rPr>
                <w:rFonts w:eastAsia="Times New Roman" w:cs="Times New Roman"/>
                <w:b/>
                <w:sz w:val="20"/>
                <w:szCs w:val="20"/>
                <w:lang w:eastAsia="lv-LV"/>
              </w:rPr>
            </w:pPr>
          </w:p>
        </w:tc>
        <w:tc>
          <w:tcPr>
            <w:tcW w:w="348" w:type="pct"/>
            <w:vMerge/>
            <w:tcBorders>
              <w:left w:val="nil"/>
              <w:bottom w:val="single" w:sz="4" w:space="0" w:color="auto"/>
              <w:right w:val="single" w:sz="4" w:space="0" w:color="auto"/>
            </w:tcBorders>
            <w:shd w:val="clear" w:color="auto" w:fill="auto"/>
            <w:textDirection w:val="btLr"/>
            <w:vAlign w:val="center"/>
          </w:tcPr>
          <w:p w14:paraId="7D128B3F" w14:textId="77777777" w:rsidR="00B834CA" w:rsidRPr="00BD6296" w:rsidRDefault="00B834CA" w:rsidP="00B834CA">
            <w:pPr>
              <w:ind w:left="113" w:right="113"/>
              <w:jc w:val="center"/>
              <w:rPr>
                <w:rFonts w:eastAsia="Times New Roman" w:cs="Times New Roman"/>
                <w:b/>
                <w:sz w:val="20"/>
                <w:szCs w:val="20"/>
                <w:lang w:eastAsia="lv-LV"/>
              </w:rPr>
            </w:pPr>
          </w:p>
        </w:tc>
        <w:tc>
          <w:tcPr>
            <w:tcW w:w="303" w:type="pct"/>
            <w:vMerge/>
            <w:tcBorders>
              <w:left w:val="nil"/>
              <w:bottom w:val="single" w:sz="4" w:space="0" w:color="auto"/>
              <w:right w:val="single" w:sz="4" w:space="0" w:color="auto"/>
            </w:tcBorders>
            <w:textDirection w:val="btLr"/>
          </w:tcPr>
          <w:p w14:paraId="4B74FCC0" w14:textId="77777777" w:rsidR="00B834CA" w:rsidRPr="00BD6296" w:rsidRDefault="00B834CA" w:rsidP="00B834CA">
            <w:pPr>
              <w:ind w:left="113" w:right="113"/>
              <w:jc w:val="center"/>
              <w:rPr>
                <w:rFonts w:eastAsia="Times New Roman" w:cs="Times New Roman"/>
                <w:b/>
                <w:sz w:val="20"/>
                <w:szCs w:val="20"/>
                <w:lang w:eastAsia="lv-LV"/>
              </w:rPr>
            </w:pPr>
          </w:p>
        </w:tc>
        <w:tc>
          <w:tcPr>
            <w:tcW w:w="390" w:type="pct"/>
            <w:vMerge/>
            <w:tcBorders>
              <w:left w:val="nil"/>
              <w:bottom w:val="single" w:sz="4" w:space="0" w:color="auto"/>
              <w:right w:val="single" w:sz="4" w:space="0" w:color="auto"/>
            </w:tcBorders>
            <w:textDirection w:val="btLr"/>
          </w:tcPr>
          <w:p w14:paraId="62113E2B" w14:textId="77777777" w:rsidR="00B834CA" w:rsidRPr="00BD6296" w:rsidRDefault="00B834CA" w:rsidP="00B834CA">
            <w:pPr>
              <w:ind w:left="113" w:right="113"/>
              <w:jc w:val="center"/>
              <w:rPr>
                <w:rFonts w:eastAsia="Times New Roman" w:cs="Times New Roman"/>
                <w:b/>
                <w:sz w:val="20"/>
                <w:szCs w:val="20"/>
                <w:lang w:eastAsia="lv-LV"/>
              </w:rPr>
            </w:pPr>
          </w:p>
        </w:tc>
      </w:tr>
      <w:tr w:rsidR="00B834CA" w:rsidRPr="00BD6296" w14:paraId="5482E7A7" w14:textId="77777777" w:rsidTr="00B834CA">
        <w:trPr>
          <w:trHeight w:val="300"/>
          <w:jc w:val="cent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96B3"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Nepārsniedz 0,5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7EEBDDC" w14:textId="13D7B2B7"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2CF6876D" w14:textId="54EFE4A1"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08B626A9" w14:textId="1222DFA4"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4EF5CE80" w14:textId="5EEA4050"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46FFEBAD" w14:textId="5BB21D92"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A9B266F"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4000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0D1E4539"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5D524777" w14:textId="394AFBA4"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3,3</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388C7D1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00A6D10B"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290C361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B834CA" w:rsidRPr="00BD6296" w14:paraId="1B0AFC60" w14:textId="77777777" w:rsidTr="00B834CA">
        <w:trPr>
          <w:trHeight w:val="300"/>
          <w:jc w:val="cent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E013"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Lielāka par 0,5 MW, bet nepārsniedz 1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01C20C30" w14:textId="5B254214"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0C5A36A7" w14:textId="3F64E384"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7BEF5465" w14:textId="1C790829"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2785B293" w14:textId="6A3AD220"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4F2080C0" w14:textId="6D9C0F88"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6D56AFF"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3800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34768FEE"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5</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437C6864" w14:textId="1EECAAC2"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3,1</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16BD9062"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0158C118"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6E0A452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B834CA" w:rsidRPr="00BD6296" w14:paraId="65067960" w14:textId="77777777" w:rsidTr="00B834CA">
        <w:trPr>
          <w:trHeight w:val="300"/>
          <w:jc w:val="cent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0AC3F"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Lielāka par 1 MW, bet nepārsniedz 2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02EBF194" w14:textId="170CC28E"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309F7057" w14:textId="5F9075A9"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6FA58E93" w14:textId="43FEB773"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3D5B8D7F" w14:textId="1DD09590"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7C5010C8" w14:textId="66068688"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925111B"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3800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5E0E121F"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5CDA1CE1" w14:textId="045128EB"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2,8</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3692D9FA"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3AC1176C"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1E1D4C57"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B834CA" w:rsidRPr="00BD6296" w14:paraId="40587477" w14:textId="77777777" w:rsidTr="00B834CA">
        <w:trPr>
          <w:trHeight w:val="300"/>
          <w:jc w:val="center"/>
        </w:trPr>
        <w:tc>
          <w:tcPr>
            <w:tcW w:w="1043" w:type="pct"/>
            <w:tcBorders>
              <w:top w:val="nil"/>
              <w:left w:val="single" w:sz="4" w:space="0" w:color="auto"/>
              <w:bottom w:val="single" w:sz="4" w:space="0" w:color="auto"/>
              <w:right w:val="single" w:sz="4" w:space="0" w:color="auto"/>
            </w:tcBorders>
            <w:shd w:val="clear" w:color="auto" w:fill="auto"/>
            <w:noWrap/>
            <w:vAlign w:val="center"/>
            <w:hideMark/>
          </w:tcPr>
          <w:p w14:paraId="446B3490" w14:textId="77777777" w:rsidR="00B834CA" w:rsidRPr="00BD6296" w:rsidRDefault="00B834CA" w:rsidP="00B834CA">
            <w:pPr>
              <w:rPr>
                <w:rFonts w:eastAsia="Times New Roman" w:cs="Times New Roman"/>
                <w:sz w:val="20"/>
                <w:lang w:eastAsia="lv-LV"/>
              </w:rPr>
            </w:pPr>
            <w:r w:rsidRPr="00BD6296">
              <w:rPr>
                <w:rFonts w:eastAsia="Times New Roman" w:cs="Times New Roman"/>
                <w:sz w:val="20"/>
                <w:lang w:eastAsia="lv-LV"/>
              </w:rPr>
              <w:t>Lielāka par 2 MW</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F9E5F76" w14:textId="23640BB7"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4000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09C10B8F" w14:textId="50222C11"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5500</w:t>
            </w:r>
          </w:p>
        </w:tc>
        <w:tc>
          <w:tcPr>
            <w:tcW w:w="343" w:type="pct"/>
            <w:tcBorders>
              <w:top w:val="single" w:sz="4" w:space="0" w:color="auto"/>
              <w:left w:val="nil"/>
              <w:bottom w:val="single" w:sz="4" w:space="0" w:color="auto"/>
              <w:right w:val="single" w:sz="4" w:space="0" w:color="auto"/>
            </w:tcBorders>
            <w:shd w:val="clear" w:color="auto" w:fill="auto"/>
            <w:vAlign w:val="center"/>
          </w:tcPr>
          <w:p w14:paraId="4DE530AF" w14:textId="4A01780B"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6000</w:t>
            </w:r>
          </w:p>
        </w:tc>
        <w:tc>
          <w:tcPr>
            <w:tcW w:w="349" w:type="pct"/>
            <w:tcBorders>
              <w:top w:val="single" w:sz="4" w:space="0" w:color="auto"/>
              <w:left w:val="nil"/>
              <w:bottom w:val="single" w:sz="4" w:space="0" w:color="auto"/>
              <w:right w:val="single" w:sz="4" w:space="0" w:color="auto"/>
            </w:tcBorders>
            <w:shd w:val="clear" w:color="auto" w:fill="auto"/>
            <w:vAlign w:val="center"/>
          </w:tcPr>
          <w:p w14:paraId="6C898B34" w14:textId="35671F1B" w:rsidR="00B834CA" w:rsidRPr="00BD6296" w:rsidRDefault="00B834CA" w:rsidP="00B834CA">
            <w:pPr>
              <w:jc w:val="center"/>
              <w:rPr>
                <w:rFonts w:eastAsia="Times New Roman" w:cs="Times New Roman"/>
                <w:sz w:val="20"/>
                <w:szCs w:val="20"/>
                <w:lang w:eastAsia="lv-LV"/>
              </w:rPr>
            </w:pPr>
            <w:r>
              <w:rPr>
                <w:rFonts w:eastAsia="Times New Roman" w:cs="Times New Roman"/>
                <w:sz w:val="20"/>
                <w:szCs w:val="20"/>
                <w:lang w:eastAsia="lv-LV"/>
              </w:rPr>
              <w:t>6500</w:t>
            </w:r>
          </w:p>
        </w:tc>
        <w:tc>
          <w:tcPr>
            <w:tcW w:w="486" w:type="pct"/>
            <w:tcBorders>
              <w:top w:val="single" w:sz="4" w:space="0" w:color="auto"/>
              <w:left w:val="nil"/>
              <w:bottom w:val="single" w:sz="4" w:space="0" w:color="auto"/>
              <w:right w:val="single" w:sz="4" w:space="0" w:color="auto"/>
            </w:tcBorders>
            <w:shd w:val="clear" w:color="auto" w:fill="auto"/>
            <w:vAlign w:val="center"/>
          </w:tcPr>
          <w:p w14:paraId="73AE3DBA" w14:textId="502111DE" w:rsidR="00B834CA" w:rsidRPr="00BD6296" w:rsidRDefault="00B834CA" w:rsidP="00B834CA">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nil"/>
              <w:left w:val="nil"/>
              <w:bottom w:val="single" w:sz="4" w:space="0" w:color="auto"/>
              <w:right w:val="single" w:sz="4" w:space="0" w:color="auto"/>
            </w:tcBorders>
            <w:shd w:val="clear" w:color="auto" w:fill="auto"/>
            <w:noWrap/>
            <w:vAlign w:val="center"/>
            <w:hideMark/>
          </w:tcPr>
          <w:p w14:paraId="3AAF6867"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3300</w:t>
            </w:r>
          </w:p>
        </w:tc>
        <w:tc>
          <w:tcPr>
            <w:tcW w:w="347" w:type="pct"/>
            <w:tcBorders>
              <w:top w:val="nil"/>
              <w:left w:val="nil"/>
              <w:bottom w:val="single" w:sz="4" w:space="0" w:color="auto"/>
              <w:right w:val="single" w:sz="4" w:space="0" w:color="auto"/>
            </w:tcBorders>
            <w:shd w:val="clear" w:color="auto" w:fill="auto"/>
            <w:noWrap/>
            <w:vAlign w:val="center"/>
            <w:hideMark/>
          </w:tcPr>
          <w:p w14:paraId="764513E0"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6</w:t>
            </w:r>
          </w:p>
        </w:tc>
        <w:tc>
          <w:tcPr>
            <w:tcW w:w="349" w:type="pct"/>
            <w:tcBorders>
              <w:top w:val="nil"/>
              <w:left w:val="nil"/>
              <w:bottom w:val="single" w:sz="4" w:space="0" w:color="auto"/>
              <w:right w:val="single" w:sz="4" w:space="0" w:color="auto"/>
            </w:tcBorders>
            <w:shd w:val="clear" w:color="auto" w:fill="auto"/>
            <w:noWrap/>
            <w:vAlign w:val="center"/>
            <w:hideMark/>
          </w:tcPr>
          <w:p w14:paraId="53187E1F" w14:textId="40802A43" w:rsidR="00B834CA" w:rsidRPr="00FB0AE8" w:rsidRDefault="00B834CA" w:rsidP="00B834CA">
            <w:pPr>
              <w:jc w:val="center"/>
              <w:rPr>
                <w:rFonts w:eastAsia="Times New Roman" w:cs="Times New Roman"/>
                <w:sz w:val="20"/>
                <w:szCs w:val="20"/>
                <w:lang w:eastAsia="lv-LV"/>
              </w:rPr>
            </w:pPr>
            <w:r w:rsidRPr="00FB0AE8">
              <w:rPr>
                <w:rFonts w:eastAsia="Times New Roman" w:cs="Times New Roman"/>
                <w:sz w:val="20"/>
                <w:szCs w:val="20"/>
                <w:lang w:eastAsia="lv-LV"/>
              </w:rPr>
              <w:t>2,6</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6DAB4DF1"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303" w:type="pct"/>
            <w:tcBorders>
              <w:top w:val="single" w:sz="4" w:space="0" w:color="auto"/>
              <w:left w:val="nil"/>
              <w:bottom w:val="single" w:sz="4" w:space="0" w:color="auto"/>
              <w:right w:val="single" w:sz="4" w:space="0" w:color="auto"/>
            </w:tcBorders>
            <w:shd w:val="clear" w:color="auto" w:fill="auto"/>
            <w:vAlign w:val="center"/>
          </w:tcPr>
          <w:p w14:paraId="5FD9F8DB"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35</w:t>
            </w:r>
          </w:p>
        </w:tc>
        <w:tc>
          <w:tcPr>
            <w:tcW w:w="390" w:type="pct"/>
            <w:tcBorders>
              <w:top w:val="single" w:sz="4" w:space="0" w:color="auto"/>
              <w:left w:val="nil"/>
              <w:bottom w:val="single" w:sz="4" w:space="0" w:color="auto"/>
              <w:right w:val="single" w:sz="4" w:space="0" w:color="auto"/>
            </w:tcBorders>
            <w:shd w:val="clear" w:color="auto" w:fill="auto"/>
            <w:vAlign w:val="center"/>
          </w:tcPr>
          <w:p w14:paraId="7A1CDD08" w14:textId="77777777" w:rsidR="00B834CA" w:rsidRPr="00BD6296" w:rsidRDefault="00B834CA" w:rsidP="00B834C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bl>
    <w:p w14:paraId="2121D2A2" w14:textId="77777777" w:rsidR="00CC1383" w:rsidRDefault="00CC1383" w:rsidP="00EB3ABA">
      <w:pPr>
        <w:jc w:val="right"/>
        <w:rPr>
          <w:rFonts w:cs="Times New Roman"/>
          <w:b/>
          <w:szCs w:val="28"/>
        </w:rPr>
      </w:pPr>
    </w:p>
    <w:p w14:paraId="63C759E1" w14:textId="77777777" w:rsidR="00EB3ABA" w:rsidRPr="00BD6296" w:rsidRDefault="00EB3ABA" w:rsidP="00EB3ABA">
      <w:pPr>
        <w:jc w:val="right"/>
        <w:rPr>
          <w:rFonts w:cs="Times New Roman"/>
          <w:b/>
          <w:szCs w:val="28"/>
        </w:rPr>
      </w:pPr>
      <w:r w:rsidRPr="00BD6296">
        <w:rPr>
          <w:rFonts w:cs="Times New Roman"/>
          <w:b/>
          <w:szCs w:val="28"/>
        </w:rPr>
        <w:t>4.tabula</w:t>
      </w:r>
    </w:p>
    <w:p w14:paraId="71CFFD5A" w14:textId="77777777" w:rsidR="00EB3ABA" w:rsidRDefault="00EB3ABA" w:rsidP="00EB3ABA">
      <w:pPr>
        <w:jc w:val="center"/>
        <w:rPr>
          <w:rFonts w:cs="Times New Roman"/>
          <w:b/>
          <w:szCs w:val="28"/>
        </w:rPr>
      </w:pPr>
      <w:r w:rsidRPr="00BD6296">
        <w:rPr>
          <w:rFonts w:cs="Times New Roman"/>
          <w:b/>
          <w:szCs w:val="28"/>
        </w:rPr>
        <w:t xml:space="preserve">Biogāzes stacijām piemērojamās kurināmā cenas </w:t>
      </w:r>
      <w:proofErr w:type="spellStart"/>
      <w:r w:rsidRPr="00BD6296">
        <w:rPr>
          <w:rFonts w:cs="Times New Roman"/>
          <w:b/>
          <w:szCs w:val="28"/>
        </w:rPr>
        <w:t>līmeņatzīmes</w:t>
      </w:r>
      <w:proofErr w:type="spellEnd"/>
      <w:r w:rsidRPr="00BD6296">
        <w:rPr>
          <w:rFonts w:cs="Times New Roman"/>
          <w:b/>
          <w:szCs w:val="28"/>
        </w:rPr>
        <w:t xml:space="preserve">, izņemot stacijas, kurās izmanto biomasas gazifikāciju vai </w:t>
      </w:r>
      <w:proofErr w:type="spellStart"/>
      <w:r w:rsidRPr="00BD6296">
        <w:rPr>
          <w:rFonts w:cs="Times New Roman"/>
          <w:b/>
          <w:szCs w:val="28"/>
        </w:rPr>
        <w:t>poligongāzes</w:t>
      </w:r>
      <w:proofErr w:type="spellEnd"/>
      <w:r w:rsidRPr="00BD6296">
        <w:rPr>
          <w:rFonts w:cs="Times New Roman"/>
          <w:b/>
          <w:szCs w:val="28"/>
        </w:rPr>
        <w:t xml:space="preserve"> </w:t>
      </w:r>
    </w:p>
    <w:tbl>
      <w:tblPr>
        <w:tblW w:w="8795" w:type="dxa"/>
        <w:jc w:val="center"/>
        <w:tblLook w:val="04A0" w:firstRow="1" w:lastRow="0" w:firstColumn="1" w:lastColumn="0" w:noHBand="0" w:noVBand="1"/>
      </w:tblPr>
      <w:tblGrid>
        <w:gridCol w:w="2731"/>
        <w:gridCol w:w="666"/>
        <w:gridCol w:w="666"/>
        <w:gridCol w:w="666"/>
        <w:gridCol w:w="666"/>
        <w:gridCol w:w="666"/>
        <w:gridCol w:w="666"/>
        <w:gridCol w:w="666"/>
        <w:gridCol w:w="666"/>
        <w:gridCol w:w="766"/>
      </w:tblGrid>
      <w:tr w:rsidR="000A123C" w:rsidRPr="003C48F8" w14:paraId="0BDD83D0" w14:textId="77777777" w:rsidTr="005D6D73">
        <w:trPr>
          <w:trHeight w:val="406"/>
          <w:jc w:val="center"/>
        </w:trPr>
        <w:tc>
          <w:tcPr>
            <w:tcW w:w="2731" w:type="dxa"/>
            <w:vMerge w:val="restart"/>
            <w:tcBorders>
              <w:top w:val="single" w:sz="4" w:space="0" w:color="auto"/>
              <w:left w:val="single" w:sz="4" w:space="0" w:color="auto"/>
              <w:right w:val="single" w:sz="4" w:space="0" w:color="auto"/>
            </w:tcBorders>
            <w:shd w:val="clear" w:color="auto" w:fill="auto"/>
            <w:vAlign w:val="center"/>
          </w:tcPr>
          <w:p w14:paraId="657B1342"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6064" w:type="dxa"/>
            <w:gridSpan w:val="9"/>
            <w:tcBorders>
              <w:top w:val="single" w:sz="4" w:space="0" w:color="auto"/>
              <w:left w:val="nil"/>
              <w:bottom w:val="single" w:sz="4" w:space="0" w:color="auto"/>
              <w:right w:val="single" w:sz="4" w:space="0" w:color="auto"/>
            </w:tcBorders>
            <w:shd w:val="clear" w:color="auto" w:fill="auto"/>
            <w:noWrap/>
            <w:vAlign w:val="center"/>
          </w:tcPr>
          <w:p w14:paraId="3D9EB048"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sz w:val="20"/>
                <w:szCs w:val="20"/>
                <w:vertAlign w:val="superscript"/>
                <w:lang w:eastAsia="lv-LV"/>
              </w:rPr>
              <w:t>1</w:t>
            </w:r>
            <w:r w:rsidRPr="003C48F8">
              <w:rPr>
                <w:rFonts w:eastAsia="Times New Roman" w:cs="Times New Roman"/>
                <w:b/>
                <w:sz w:val="20"/>
                <w:szCs w:val="20"/>
                <w:lang w:eastAsia="lv-LV"/>
              </w:rPr>
              <w:t>, EUR/</w:t>
            </w:r>
            <w:proofErr w:type="spellStart"/>
            <w:r w:rsidRPr="003C48F8">
              <w:rPr>
                <w:rFonts w:eastAsia="Times New Roman" w:cs="Times New Roman"/>
                <w:b/>
                <w:sz w:val="20"/>
                <w:szCs w:val="20"/>
                <w:lang w:eastAsia="lv-LV"/>
              </w:rPr>
              <w:t>MWh</w:t>
            </w:r>
            <w:proofErr w:type="spellEnd"/>
          </w:p>
        </w:tc>
      </w:tr>
      <w:tr w:rsidR="000A123C" w:rsidRPr="003C48F8" w14:paraId="759897AC" w14:textId="77777777" w:rsidTr="005D6D73">
        <w:trPr>
          <w:trHeight w:val="129"/>
          <w:jc w:val="center"/>
        </w:trPr>
        <w:tc>
          <w:tcPr>
            <w:tcW w:w="2731" w:type="dxa"/>
            <w:vMerge/>
            <w:tcBorders>
              <w:left w:val="single" w:sz="4" w:space="0" w:color="auto"/>
              <w:bottom w:val="single" w:sz="4" w:space="0" w:color="auto"/>
              <w:right w:val="single" w:sz="4" w:space="0" w:color="auto"/>
            </w:tcBorders>
            <w:shd w:val="clear" w:color="auto" w:fill="auto"/>
            <w:vAlign w:val="center"/>
            <w:hideMark/>
          </w:tcPr>
          <w:p w14:paraId="4C168B3E" w14:textId="77777777" w:rsidR="000A123C" w:rsidRPr="003C48F8" w:rsidRDefault="000A123C" w:rsidP="005D6D73">
            <w:pPr>
              <w:jc w:val="center"/>
              <w:rPr>
                <w:rFonts w:eastAsia="Times New Roman" w:cs="Times New Roman"/>
                <w:b/>
                <w:sz w:val="20"/>
                <w:szCs w:val="20"/>
                <w:lang w:eastAsia="lv-LV"/>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7E8AAB5"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2008</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3E9ABC8"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2009</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670032E"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236C849"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AAE8ACA"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50F1AEF"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F891B77"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9EF797F"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314F21A" w14:textId="77777777" w:rsidR="000A123C" w:rsidRPr="003C48F8" w:rsidRDefault="000A123C" w:rsidP="005D6D73">
            <w:pPr>
              <w:jc w:val="center"/>
              <w:rPr>
                <w:rFonts w:eastAsia="Times New Roman" w:cs="Times New Roman"/>
                <w:b/>
                <w:sz w:val="20"/>
                <w:szCs w:val="20"/>
                <w:lang w:eastAsia="lv-LV"/>
              </w:rPr>
            </w:pPr>
            <w:r w:rsidRPr="003C48F8">
              <w:rPr>
                <w:rFonts w:eastAsia="Times New Roman" w:cs="Times New Roman"/>
                <w:b/>
                <w:sz w:val="20"/>
                <w:szCs w:val="20"/>
                <w:lang w:eastAsia="lv-LV"/>
              </w:rPr>
              <w:t>2016</w:t>
            </w:r>
            <w:r w:rsidRPr="003C48F8">
              <w:rPr>
                <w:rFonts w:eastAsia="Times New Roman" w:cs="Times New Roman"/>
                <w:b/>
                <w:sz w:val="20"/>
                <w:szCs w:val="20"/>
                <w:vertAlign w:val="superscript"/>
                <w:lang w:eastAsia="lv-LV"/>
              </w:rPr>
              <w:t>1</w:t>
            </w:r>
          </w:p>
        </w:tc>
      </w:tr>
      <w:tr w:rsidR="000A123C" w:rsidRPr="003C48F8" w14:paraId="101D729F"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79FFA594"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Nepārsniedz 0,5 MW</w:t>
            </w:r>
          </w:p>
        </w:tc>
        <w:tc>
          <w:tcPr>
            <w:tcW w:w="666" w:type="dxa"/>
            <w:tcBorders>
              <w:top w:val="nil"/>
              <w:left w:val="nil"/>
              <w:bottom w:val="single" w:sz="4" w:space="0" w:color="auto"/>
              <w:right w:val="single" w:sz="4" w:space="0" w:color="auto"/>
            </w:tcBorders>
            <w:shd w:val="clear" w:color="auto" w:fill="auto"/>
            <w:noWrap/>
            <w:vAlign w:val="center"/>
            <w:hideMark/>
          </w:tcPr>
          <w:p w14:paraId="5F8027F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21,12</w:t>
            </w:r>
          </w:p>
        </w:tc>
        <w:tc>
          <w:tcPr>
            <w:tcW w:w="666" w:type="dxa"/>
            <w:tcBorders>
              <w:top w:val="nil"/>
              <w:left w:val="nil"/>
              <w:bottom w:val="single" w:sz="4" w:space="0" w:color="auto"/>
              <w:right w:val="single" w:sz="4" w:space="0" w:color="auto"/>
            </w:tcBorders>
            <w:shd w:val="clear" w:color="auto" w:fill="auto"/>
            <w:noWrap/>
            <w:vAlign w:val="center"/>
            <w:hideMark/>
          </w:tcPr>
          <w:p w14:paraId="5289D252"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21,82</w:t>
            </w:r>
          </w:p>
        </w:tc>
        <w:tc>
          <w:tcPr>
            <w:tcW w:w="666" w:type="dxa"/>
            <w:tcBorders>
              <w:top w:val="nil"/>
              <w:left w:val="nil"/>
              <w:bottom w:val="single" w:sz="4" w:space="0" w:color="auto"/>
              <w:right w:val="single" w:sz="4" w:space="0" w:color="auto"/>
            </w:tcBorders>
            <w:shd w:val="clear" w:color="auto" w:fill="auto"/>
            <w:noWrap/>
            <w:vAlign w:val="center"/>
            <w:hideMark/>
          </w:tcPr>
          <w:p w14:paraId="0C567859"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21,56</w:t>
            </w:r>
          </w:p>
        </w:tc>
        <w:tc>
          <w:tcPr>
            <w:tcW w:w="666" w:type="dxa"/>
            <w:tcBorders>
              <w:top w:val="nil"/>
              <w:left w:val="nil"/>
              <w:bottom w:val="single" w:sz="4" w:space="0" w:color="auto"/>
              <w:right w:val="single" w:sz="4" w:space="0" w:color="auto"/>
            </w:tcBorders>
            <w:shd w:val="clear" w:color="auto" w:fill="auto"/>
            <w:noWrap/>
            <w:vAlign w:val="center"/>
            <w:hideMark/>
          </w:tcPr>
          <w:p w14:paraId="6C5398AA"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22,47</w:t>
            </w:r>
          </w:p>
        </w:tc>
        <w:tc>
          <w:tcPr>
            <w:tcW w:w="666" w:type="dxa"/>
            <w:tcBorders>
              <w:top w:val="nil"/>
              <w:left w:val="nil"/>
              <w:bottom w:val="single" w:sz="4" w:space="0" w:color="auto"/>
              <w:right w:val="single" w:sz="4" w:space="0" w:color="auto"/>
            </w:tcBorders>
            <w:shd w:val="clear" w:color="auto" w:fill="auto"/>
            <w:noWrap/>
            <w:vAlign w:val="center"/>
            <w:hideMark/>
          </w:tcPr>
          <w:p w14:paraId="5E14A3A6"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58D6F4BD"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4977E3E8"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23,15</w:t>
            </w:r>
          </w:p>
        </w:tc>
        <w:tc>
          <w:tcPr>
            <w:tcW w:w="656" w:type="dxa"/>
            <w:tcBorders>
              <w:top w:val="nil"/>
              <w:left w:val="nil"/>
              <w:bottom w:val="single" w:sz="4" w:space="0" w:color="auto"/>
              <w:right w:val="single" w:sz="4" w:space="0" w:color="auto"/>
            </w:tcBorders>
            <w:shd w:val="clear" w:color="auto" w:fill="auto"/>
            <w:noWrap/>
            <w:vAlign w:val="center"/>
            <w:hideMark/>
          </w:tcPr>
          <w:p w14:paraId="176F0EA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23,20</w:t>
            </w:r>
          </w:p>
        </w:tc>
        <w:tc>
          <w:tcPr>
            <w:tcW w:w="766" w:type="dxa"/>
            <w:tcBorders>
              <w:top w:val="nil"/>
              <w:left w:val="nil"/>
              <w:bottom w:val="single" w:sz="4" w:space="0" w:color="auto"/>
              <w:right w:val="single" w:sz="4" w:space="0" w:color="auto"/>
            </w:tcBorders>
            <w:shd w:val="clear" w:color="auto" w:fill="auto"/>
            <w:noWrap/>
            <w:vAlign w:val="center"/>
            <w:hideMark/>
          </w:tcPr>
          <w:p w14:paraId="1A92E30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23,30</w:t>
            </w:r>
          </w:p>
        </w:tc>
      </w:tr>
      <w:tr w:rsidR="000A123C" w:rsidRPr="003C48F8" w14:paraId="552E8226"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54C2EBC4"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Lielāka par 0,5 MW, bet nepārsniedz 1 MW</w:t>
            </w:r>
          </w:p>
        </w:tc>
        <w:tc>
          <w:tcPr>
            <w:tcW w:w="666" w:type="dxa"/>
            <w:tcBorders>
              <w:top w:val="nil"/>
              <w:left w:val="nil"/>
              <w:bottom w:val="single" w:sz="4" w:space="0" w:color="auto"/>
              <w:right w:val="single" w:sz="4" w:space="0" w:color="auto"/>
            </w:tcBorders>
            <w:shd w:val="clear" w:color="auto" w:fill="auto"/>
            <w:noWrap/>
            <w:vAlign w:val="center"/>
            <w:hideMark/>
          </w:tcPr>
          <w:p w14:paraId="54DBAC46"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26,46</w:t>
            </w:r>
          </w:p>
        </w:tc>
        <w:tc>
          <w:tcPr>
            <w:tcW w:w="666" w:type="dxa"/>
            <w:tcBorders>
              <w:top w:val="nil"/>
              <w:left w:val="nil"/>
              <w:bottom w:val="single" w:sz="4" w:space="0" w:color="auto"/>
              <w:right w:val="single" w:sz="4" w:space="0" w:color="auto"/>
            </w:tcBorders>
            <w:shd w:val="clear" w:color="auto" w:fill="auto"/>
            <w:noWrap/>
            <w:vAlign w:val="center"/>
            <w:hideMark/>
          </w:tcPr>
          <w:p w14:paraId="0A6CCCC1"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27,33</w:t>
            </w:r>
          </w:p>
        </w:tc>
        <w:tc>
          <w:tcPr>
            <w:tcW w:w="666" w:type="dxa"/>
            <w:tcBorders>
              <w:top w:val="nil"/>
              <w:left w:val="nil"/>
              <w:bottom w:val="single" w:sz="4" w:space="0" w:color="auto"/>
              <w:right w:val="single" w:sz="4" w:space="0" w:color="auto"/>
            </w:tcBorders>
            <w:shd w:val="clear" w:color="auto" w:fill="auto"/>
            <w:noWrap/>
            <w:vAlign w:val="center"/>
            <w:hideMark/>
          </w:tcPr>
          <w:p w14:paraId="0AF7BAF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27,00</w:t>
            </w:r>
          </w:p>
        </w:tc>
        <w:tc>
          <w:tcPr>
            <w:tcW w:w="666" w:type="dxa"/>
            <w:tcBorders>
              <w:top w:val="nil"/>
              <w:left w:val="nil"/>
              <w:bottom w:val="single" w:sz="4" w:space="0" w:color="auto"/>
              <w:right w:val="single" w:sz="4" w:space="0" w:color="auto"/>
            </w:tcBorders>
            <w:shd w:val="clear" w:color="auto" w:fill="auto"/>
            <w:noWrap/>
            <w:vAlign w:val="center"/>
            <w:hideMark/>
          </w:tcPr>
          <w:p w14:paraId="5CCD628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28,13</w:t>
            </w:r>
          </w:p>
        </w:tc>
        <w:tc>
          <w:tcPr>
            <w:tcW w:w="666" w:type="dxa"/>
            <w:tcBorders>
              <w:top w:val="nil"/>
              <w:left w:val="nil"/>
              <w:bottom w:val="single" w:sz="4" w:space="0" w:color="auto"/>
              <w:right w:val="single" w:sz="4" w:space="0" w:color="auto"/>
            </w:tcBorders>
            <w:shd w:val="clear" w:color="auto" w:fill="auto"/>
            <w:noWrap/>
            <w:vAlign w:val="center"/>
            <w:hideMark/>
          </w:tcPr>
          <w:p w14:paraId="4E4B024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2EA45BE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72677B0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28,98</w:t>
            </w:r>
          </w:p>
        </w:tc>
        <w:tc>
          <w:tcPr>
            <w:tcW w:w="656" w:type="dxa"/>
            <w:tcBorders>
              <w:top w:val="nil"/>
              <w:left w:val="nil"/>
              <w:bottom w:val="single" w:sz="4" w:space="0" w:color="auto"/>
              <w:right w:val="single" w:sz="4" w:space="0" w:color="auto"/>
            </w:tcBorders>
            <w:shd w:val="clear" w:color="auto" w:fill="auto"/>
            <w:noWrap/>
            <w:vAlign w:val="center"/>
            <w:hideMark/>
          </w:tcPr>
          <w:p w14:paraId="06E76C8D"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29,04</w:t>
            </w:r>
          </w:p>
        </w:tc>
        <w:tc>
          <w:tcPr>
            <w:tcW w:w="766" w:type="dxa"/>
            <w:tcBorders>
              <w:top w:val="nil"/>
              <w:left w:val="nil"/>
              <w:bottom w:val="single" w:sz="4" w:space="0" w:color="auto"/>
              <w:right w:val="single" w:sz="4" w:space="0" w:color="auto"/>
            </w:tcBorders>
            <w:shd w:val="clear" w:color="auto" w:fill="auto"/>
            <w:noWrap/>
            <w:vAlign w:val="center"/>
            <w:hideMark/>
          </w:tcPr>
          <w:p w14:paraId="773C08E7"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29,16</w:t>
            </w:r>
          </w:p>
        </w:tc>
      </w:tr>
      <w:tr w:rsidR="000A123C" w:rsidRPr="003C48F8" w14:paraId="3B95FAA0"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7443CBEF"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Lielāka par 1MW, bet nepārsniedz 2 MW</w:t>
            </w:r>
          </w:p>
        </w:tc>
        <w:tc>
          <w:tcPr>
            <w:tcW w:w="666" w:type="dxa"/>
            <w:tcBorders>
              <w:top w:val="nil"/>
              <w:left w:val="nil"/>
              <w:bottom w:val="single" w:sz="4" w:space="0" w:color="auto"/>
              <w:right w:val="single" w:sz="4" w:space="0" w:color="auto"/>
            </w:tcBorders>
            <w:shd w:val="clear" w:color="auto" w:fill="auto"/>
            <w:noWrap/>
            <w:vAlign w:val="center"/>
            <w:hideMark/>
          </w:tcPr>
          <w:p w14:paraId="67F391B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062B4B6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45F81099"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58A18C2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488BAF4E"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31D12113"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3EEE924C"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616F3085"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01A54007"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31,63</w:t>
            </w:r>
          </w:p>
        </w:tc>
      </w:tr>
      <w:tr w:rsidR="000A123C" w:rsidRPr="003C48F8" w14:paraId="7E315E2F" w14:textId="77777777" w:rsidTr="005D6D73">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03BC9ACE" w14:textId="77777777" w:rsidR="000A123C" w:rsidRPr="003C48F8" w:rsidRDefault="000A123C" w:rsidP="005D6D73">
            <w:pPr>
              <w:jc w:val="center"/>
              <w:rPr>
                <w:rFonts w:eastAsia="Times New Roman" w:cs="Times New Roman"/>
                <w:sz w:val="20"/>
                <w:szCs w:val="20"/>
                <w:lang w:eastAsia="lv-LV"/>
              </w:rPr>
            </w:pPr>
            <w:r w:rsidRPr="003C48F8">
              <w:rPr>
                <w:rFonts w:eastAsia="Times New Roman" w:cs="Times New Roman"/>
                <w:sz w:val="20"/>
                <w:szCs w:val="20"/>
                <w:lang w:eastAsia="lv-LV"/>
              </w:rPr>
              <w:t>Lielāka par 2 MW</w:t>
            </w:r>
          </w:p>
        </w:tc>
        <w:tc>
          <w:tcPr>
            <w:tcW w:w="666" w:type="dxa"/>
            <w:tcBorders>
              <w:top w:val="nil"/>
              <w:left w:val="nil"/>
              <w:bottom w:val="single" w:sz="4" w:space="0" w:color="auto"/>
              <w:right w:val="single" w:sz="4" w:space="0" w:color="auto"/>
            </w:tcBorders>
            <w:shd w:val="clear" w:color="auto" w:fill="auto"/>
            <w:noWrap/>
            <w:vAlign w:val="center"/>
            <w:hideMark/>
          </w:tcPr>
          <w:p w14:paraId="758B8522"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047F6151"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25C50C8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137FA344"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22A72EF6"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02C1633F"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50090D20"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06496909"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494F31AC" w14:textId="77777777" w:rsidR="000A123C" w:rsidRPr="003C48F8" w:rsidRDefault="000A123C" w:rsidP="005D6D73">
            <w:pPr>
              <w:jc w:val="center"/>
              <w:rPr>
                <w:rFonts w:eastAsia="Times New Roman" w:cs="Times New Roman"/>
                <w:sz w:val="20"/>
                <w:szCs w:val="20"/>
                <w:lang w:eastAsia="lv-LV"/>
              </w:rPr>
            </w:pPr>
            <w:r>
              <w:rPr>
                <w:rFonts w:cs="Times New Roman"/>
                <w:sz w:val="20"/>
                <w:szCs w:val="20"/>
              </w:rPr>
              <w:t>31,63</w:t>
            </w:r>
          </w:p>
        </w:tc>
      </w:tr>
    </w:tbl>
    <w:p w14:paraId="46F734F3" w14:textId="77777777" w:rsidR="000A123C" w:rsidRPr="003C48F8" w:rsidRDefault="000A123C" w:rsidP="000A123C">
      <w:pPr>
        <w:spacing w:after="160" w:line="259" w:lineRule="auto"/>
        <w:rPr>
          <w:rFonts w:cs="Times New Roman"/>
          <w:sz w:val="22"/>
        </w:rPr>
      </w:pPr>
      <w:r w:rsidRPr="003C48F8">
        <w:rPr>
          <w:rFonts w:cs="Times New Roman"/>
          <w:sz w:val="22"/>
          <w:vertAlign w:val="superscript"/>
        </w:rPr>
        <w:t>1</w:t>
      </w:r>
      <w:r w:rsidRPr="003C48F8">
        <w:rPr>
          <w:rFonts w:cs="Times New Roman"/>
          <w:sz w:val="22"/>
        </w:rPr>
        <w:t xml:space="preserve"> turpmākajiem gadiem cenas indeksētas saskaņā ar 1.tabulas inflācijas prognozi</w:t>
      </w:r>
    </w:p>
    <w:p w14:paraId="59254779" w14:textId="77777777" w:rsidR="00EB3ABA" w:rsidRDefault="00EB3ABA" w:rsidP="00EB3ABA">
      <w:pPr>
        <w:jc w:val="right"/>
        <w:rPr>
          <w:rFonts w:cs="Times New Roman"/>
          <w:b/>
          <w:szCs w:val="28"/>
        </w:rPr>
      </w:pPr>
    </w:p>
    <w:p w14:paraId="0633C2FB" w14:textId="77777777" w:rsidR="00EB3ABA" w:rsidRPr="00BD6296" w:rsidRDefault="00EB3ABA" w:rsidP="00EB3ABA">
      <w:pPr>
        <w:jc w:val="right"/>
        <w:rPr>
          <w:rFonts w:cs="Times New Roman"/>
          <w:b/>
          <w:szCs w:val="28"/>
        </w:rPr>
      </w:pPr>
      <w:r w:rsidRPr="00BD6296">
        <w:rPr>
          <w:rFonts w:cs="Times New Roman"/>
          <w:b/>
          <w:szCs w:val="28"/>
        </w:rPr>
        <w:t>5.tabula</w:t>
      </w:r>
    </w:p>
    <w:p w14:paraId="0ACBB861" w14:textId="77777777" w:rsidR="00EB3ABA" w:rsidRPr="00BD6296" w:rsidRDefault="00EB3ABA" w:rsidP="00EB3ABA">
      <w:pPr>
        <w:jc w:val="center"/>
        <w:rPr>
          <w:rFonts w:cs="Times New Roman"/>
          <w:b/>
          <w:szCs w:val="28"/>
        </w:rPr>
      </w:pPr>
      <w:proofErr w:type="spellStart"/>
      <w:r w:rsidRPr="00BD6296">
        <w:rPr>
          <w:rFonts w:cs="Times New Roman"/>
          <w:b/>
          <w:szCs w:val="28"/>
        </w:rPr>
        <w:lastRenderedPageBreak/>
        <w:t>Poligongāzes</w:t>
      </w:r>
      <w:proofErr w:type="spellEnd"/>
      <w:r w:rsidRPr="00BD6296">
        <w:rPr>
          <w:rFonts w:cs="Times New Roman"/>
          <w:b/>
          <w:szCs w:val="28"/>
        </w:rPr>
        <w:t xml:space="preserve"> cenas </w:t>
      </w:r>
      <w:proofErr w:type="spellStart"/>
      <w:r w:rsidRPr="00BD6296">
        <w:rPr>
          <w:rFonts w:cs="Times New Roman"/>
          <w:b/>
          <w:szCs w:val="28"/>
        </w:rPr>
        <w:t>līmeņatzīmes</w:t>
      </w:r>
      <w:proofErr w:type="spellEnd"/>
      <w:r w:rsidRPr="00BD6296">
        <w:rPr>
          <w:rFonts w:cs="Times New Roman"/>
          <w:b/>
          <w:szCs w:val="28"/>
        </w:rPr>
        <w:t xml:space="preserve"> </w:t>
      </w:r>
    </w:p>
    <w:tbl>
      <w:tblPr>
        <w:tblW w:w="7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2"/>
      </w:tblGrid>
      <w:tr w:rsidR="00EB3ABA" w:rsidRPr="00BD6296" w14:paraId="130AC76E" w14:textId="77777777" w:rsidTr="00D82019">
        <w:trPr>
          <w:trHeight w:val="300"/>
          <w:jc w:val="center"/>
        </w:trPr>
        <w:tc>
          <w:tcPr>
            <w:tcW w:w="2830" w:type="dxa"/>
            <w:vMerge w:val="restart"/>
            <w:shd w:val="clear" w:color="auto" w:fill="auto"/>
            <w:noWrap/>
            <w:vAlign w:val="center"/>
            <w:hideMark/>
          </w:tcPr>
          <w:p w14:paraId="446D269F" w14:textId="77777777" w:rsidR="00EB3ABA" w:rsidRPr="00BD6296" w:rsidRDefault="00EB3ABA" w:rsidP="00EB3ABA">
            <w:pPr>
              <w:jc w:val="center"/>
              <w:rPr>
                <w:rFonts w:eastAsia="Times New Roman" w:cs="Times New Roman"/>
                <w:sz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4252" w:type="dxa"/>
            <w:shd w:val="clear" w:color="auto" w:fill="auto"/>
            <w:noWrap/>
            <w:vAlign w:val="center"/>
            <w:hideMark/>
          </w:tcPr>
          <w:p w14:paraId="2A6F833F" w14:textId="77777777" w:rsidR="00EB3ABA" w:rsidRPr="00BD6296" w:rsidRDefault="00EB3ABA" w:rsidP="00EB3ABA">
            <w:pPr>
              <w:jc w:val="center"/>
              <w:rPr>
                <w:rFonts w:eastAsia="Times New Roman" w:cs="Times New Roman"/>
                <w:b/>
                <w:bCs/>
                <w:sz w:val="20"/>
                <w:lang w:eastAsia="lv-LV"/>
              </w:rPr>
            </w:pPr>
            <w:r w:rsidRPr="00BD6296">
              <w:rPr>
                <w:rFonts w:eastAsia="Times New Roman" w:cs="Times New Roman"/>
                <w:b/>
                <w:bCs/>
                <w:sz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BD6296">
              <w:rPr>
                <w:rFonts w:eastAsia="Times New Roman" w:cs="Times New Roman"/>
                <w:b/>
                <w:bCs/>
                <w:sz w:val="20"/>
                <w:lang w:eastAsia="lv-LV"/>
              </w:rPr>
              <w:t>, EUR/MWh</w:t>
            </w:r>
          </w:p>
        </w:tc>
      </w:tr>
      <w:tr w:rsidR="00EB3ABA" w:rsidRPr="00BD6296" w14:paraId="7468FD0F" w14:textId="77777777" w:rsidTr="00D82019">
        <w:trPr>
          <w:trHeight w:val="300"/>
          <w:jc w:val="center"/>
        </w:trPr>
        <w:tc>
          <w:tcPr>
            <w:tcW w:w="2830" w:type="dxa"/>
            <w:vMerge/>
            <w:shd w:val="clear" w:color="auto" w:fill="auto"/>
            <w:noWrap/>
            <w:vAlign w:val="bottom"/>
            <w:hideMark/>
          </w:tcPr>
          <w:p w14:paraId="1F917BA3" w14:textId="77777777" w:rsidR="00EB3ABA" w:rsidRPr="00BD6296" w:rsidRDefault="00EB3ABA" w:rsidP="00EB3ABA">
            <w:pPr>
              <w:rPr>
                <w:rFonts w:eastAsia="Times New Roman" w:cs="Times New Roman"/>
                <w:sz w:val="20"/>
                <w:lang w:eastAsia="lv-LV"/>
              </w:rPr>
            </w:pPr>
          </w:p>
        </w:tc>
        <w:tc>
          <w:tcPr>
            <w:tcW w:w="4252" w:type="dxa"/>
            <w:shd w:val="clear" w:color="auto" w:fill="auto"/>
            <w:noWrap/>
            <w:vAlign w:val="center"/>
            <w:hideMark/>
          </w:tcPr>
          <w:p w14:paraId="2B40EA4B" w14:textId="77777777" w:rsidR="00EB3ABA" w:rsidRPr="00BD6296" w:rsidRDefault="00EB3ABA" w:rsidP="00EB3ABA">
            <w:pPr>
              <w:jc w:val="center"/>
              <w:rPr>
                <w:rFonts w:eastAsia="Times New Roman" w:cs="Times New Roman"/>
                <w:b/>
                <w:bCs/>
                <w:sz w:val="20"/>
                <w:lang w:eastAsia="lv-LV"/>
              </w:rPr>
            </w:pPr>
            <w:r w:rsidRPr="00BD6296">
              <w:rPr>
                <w:rFonts w:eastAsia="Times New Roman" w:cs="Times New Roman"/>
                <w:b/>
                <w:bCs/>
                <w:sz w:val="20"/>
                <w:lang w:eastAsia="lv-LV"/>
              </w:rPr>
              <w:t>Visi gadi</w:t>
            </w:r>
          </w:p>
        </w:tc>
      </w:tr>
      <w:tr w:rsidR="00EB3ABA" w:rsidRPr="00BD6296" w14:paraId="1B78BD46" w14:textId="77777777" w:rsidTr="00D82019">
        <w:trPr>
          <w:trHeight w:val="300"/>
          <w:jc w:val="center"/>
        </w:trPr>
        <w:tc>
          <w:tcPr>
            <w:tcW w:w="2830" w:type="dxa"/>
            <w:shd w:val="clear" w:color="auto" w:fill="auto"/>
            <w:noWrap/>
            <w:vAlign w:val="bottom"/>
            <w:hideMark/>
          </w:tcPr>
          <w:p w14:paraId="7AC12307" w14:textId="77777777" w:rsidR="00EB3ABA" w:rsidRPr="00BD6296" w:rsidRDefault="00EB3ABA" w:rsidP="00EB3ABA">
            <w:pPr>
              <w:rPr>
                <w:rFonts w:eastAsia="Times New Roman" w:cs="Times New Roman"/>
                <w:sz w:val="20"/>
                <w:lang w:eastAsia="lv-LV"/>
              </w:rPr>
            </w:pPr>
            <w:r w:rsidRPr="00BD6296">
              <w:rPr>
                <w:rFonts w:eastAsia="Times New Roman" w:cs="Times New Roman"/>
                <w:sz w:val="20"/>
                <w:szCs w:val="20"/>
                <w:lang w:eastAsia="lv-LV"/>
              </w:rPr>
              <w:t>Visas jaudas</w:t>
            </w:r>
          </w:p>
        </w:tc>
        <w:tc>
          <w:tcPr>
            <w:tcW w:w="4252" w:type="dxa"/>
            <w:shd w:val="clear" w:color="auto" w:fill="auto"/>
            <w:noWrap/>
            <w:vAlign w:val="center"/>
            <w:hideMark/>
          </w:tcPr>
          <w:p w14:paraId="5E69CA0A" w14:textId="77777777" w:rsidR="00EB3ABA" w:rsidRPr="00BD6296" w:rsidRDefault="00EB3ABA" w:rsidP="00EB3ABA">
            <w:pPr>
              <w:jc w:val="center"/>
              <w:rPr>
                <w:rFonts w:eastAsia="Times New Roman" w:cs="Times New Roman"/>
                <w:bCs/>
                <w:sz w:val="20"/>
                <w:lang w:eastAsia="lv-LV"/>
              </w:rPr>
            </w:pPr>
            <w:r w:rsidRPr="00BD6296">
              <w:rPr>
                <w:rFonts w:eastAsia="Times New Roman" w:cs="Times New Roman"/>
                <w:bCs/>
                <w:sz w:val="20"/>
                <w:lang w:eastAsia="lv-LV"/>
              </w:rPr>
              <w:t>0</w:t>
            </w:r>
          </w:p>
        </w:tc>
      </w:tr>
    </w:tbl>
    <w:p w14:paraId="0201DF87" w14:textId="77777777" w:rsidR="00EB3ABA" w:rsidRPr="00BD6296" w:rsidRDefault="00EB3ABA" w:rsidP="00EB3ABA">
      <w:pPr>
        <w:jc w:val="right"/>
        <w:rPr>
          <w:rFonts w:cs="Times New Roman"/>
          <w:b/>
          <w:szCs w:val="28"/>
        </w:rPr>
      </w:pPr>
    </w:p>
    <w:p w14:paraId="1CE90142" w14:textId="77777777" w:rsidR="00EB3ABA" w:rsidRPr="00BD6296" w:rsidRDefault="00EB3ABA" w:rsidP="00EB3ABA">
      <w:pPr>
        <w:jc w:val="right"/>
        <w:rPr>
          <w:rFonts w:cs="Times New Roman"/>
          <w:b/>
          <w:szCs w:val="28"/>
        </w:rPr>
      </w:pPr>
      <w:r w:rsidRPr="00BD6296">
        <w:rPr>
          <w:rFonts w:cs="Times New Roman"/>
          <w:b/>
          <w:szCs w:val="28"/>
        </w:rPr>
        <w:t>6.tabula</w:t>
      </w:r>
    </w:p>
    <w:p w14:paraId="31E1F1D5" w14:textId="77777777" w:rsidR="00EB3ABA" w:rsidRPr="00BD6296" w:rsidRDefault="00EB3ABA" w:rsidP="00EB3ABA">
      <w:pPr>
        <w:jc w:val="center"/>
        <w:rPr>
          <w:rFonts w:cs="Times New Roman"/>
          <w:b/>
          <w:szCs w:val="28"/>
        </w:rPr>
      </w:pPr>
      <w:r w:rsidRPr="00BD6296">
        <w:rPr>
          <w:rFonts w:cs="Times New Roman"/>
          <w:b/>
          <w:szCs w:val="28"/>
        </w:rPr>
        <w:t xml:space="preserve">Biomasas un biomasas gazifikācijas stacijām piemērojamās </w:t>
      </w:r>
      <w:proofErr w:type="spellStart"/>
      <w:r w:rsidRPr="00BD6296">
        <w:rPr>
          <w:rFonts w:cs="Times New Roman"/>
          <w:b/>
          <w:szCs w:val="28"/>
        </w:rPr>
        <w:t>līmeņatzīmes</w:t>
      </w:r>
      <w:proofErr w:type="spellEnd"/>
    </w:p>
    <w:tbl>
      <w:tblPr>
        <w:tblW w:w="4546" w:type="pct"/>
        <w:jc w:val="center"/>
        <w:tblLayout w:type="fixed"/>
        <w:tblLook w:val="04A0" w:firstRow="1" w:lastRow="0" w:firstColumn="1" w:lastColumn="0" w:noHBand="0" w:noVBand="1"/>
      </w:tblPr>
      <w:tblGrid>
        <w:gridCol w:w="2319"/>
        <w:gridCol w:w="818"/>
        <w:gridCol w:w="773"/>
        <w:gridCol w:w="1041"/>
        <w:gridCol w:w="1140"/>
        <w:gridCol w:w="903"/>
        <w:gridCol w:w="10"/>
        <w:gridCol w:w="1224"/>
        <w:gridCol w:w="10"/>
      </w:tblGrid>
      <w:tr w:rsidR="005F5238" w:rsidRPr="00BD6296" w14:paraId="3586D104" w14:textId="77777777" w:rsidTr="00CC1383">
        <w:trPr>
          <w:trHeight w:val="745"/>
          <w:jc w:val="center"/>
        </w:trPr>
        <w:tc>
          <w:tcPr>
            <w:tcW w:w="1407" w:type="pct"/>
            <w:vMerge w:val="restart"/>
            <w:tcBorders>
              <w:top w:val="single" w:sz="4" w:space="0" w:color="auto"/>
              <w:left w:val="single" w:sz="4" w:space="0" w:color="auto"/>
              <w:right w:val="single" w:sz="4" w:space="0" w:color="auto"/>
            </w:tcBorders>
            <w:shd w:val="clear" w:color="auto" w:fill="auto"/>
            <w:vAlign w:val="center"/>
            <w:hideMark/>
          </w:tcPr>
          <w:p w14:paraId="44075358" w14:textId="77777777" w:rsidR="005F5238" w:rsidRPr="00BD6296" w:rsidRDefault="005F5238"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496" w:type="pct"/>
            <w:vMerge w:val="restart"/>
            <w:tcBorders>
              <w:top w:val="single" w:sz="4" w:space="0" w:color="auto"/>
              <w:left w:val="nil"/>
              <w:right w:val="single" w:sz="4" w:space="0" w:color="auto"/>
            </w:tcBorders>
            <w:shd w:val="clear" w:color="auto" w:fill="auto"/>
            <w:textDirection w:val="btLr"/>
            <w:vAlign w:val="center"/>
            <w:hideMark/>
          </w:tcPr>
          <w:p w14:paraId="68151E13" w14:textId="77777777"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Darba stundu skaits gadā </w:t>
            </w:r>
            <w:r w:rsidRPr="00BD6296">
              <w:rPr>
                <w:rFonts w:eastAsia="Times New Roman" w:cs="Times New Roman"/>
                <w:i/>
                <w:sz w:val="20"/>
                <w:szCs w:val="20"/>
                <w:lang w:eastAsia="lv-LV"/>
              </w:rPr>
              <w:t>d</w:t>
            </w:r>
            <w:r w:rsidRPr="00BD6296">
              <w:rPr>
                <w:rFonts w:eastAsia="Times New Roman" w:cs="Times New Roman"/>
                <w:b/>
                <w:sz w:val="20"/>
                <w:szCs w:val="20"/>
                <w:lang w:eastAsia="lv-LV"/>
              </w:rPr>
              <w:t xml:space="preserve"> (h)</w:t>
            </w:r>
          </w:p>
        </w:tc>
        <w:tc>
          <w:tcPr>
            <w:tcW w:w="469" w:type="pct"/>
            <w:vMerge w:val="restart"/>
            <w:tcBorders>
              <w:top w:val="single" w:sz="4" w:space="0" w:color="auto"/>
              <w:left w:val="nil"/>
              <w:right w:val="single" w:sz="4" w:space="0" w:color="auto"/>
            </w:tcBorders>
            <w:shd w:val="clear" w:color="auto" w:fill="auto"/>
            <w:textDirection w:val="btLr"/>
            <w:vAlign w:val="center"/>
            <w:hideMark/>
          </w:tcPr>
          <w:p w14:paraId="0D2FA735" w14:textId="77777777"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BD6296">
              <w:rPr>
                <w:rFonts w:eastAsia="Times New Roman" w:cs="Times New Roman"/>
                <w:b/>
                <w:sz w:val="20"/>
                <w:szCs w:val="20"/>
                <w:lang w:eastAsia="lv-LV"/>
              </w:rPr>
              <w:t xml:space="preserve"> (EUR/kW</w:t>
            </w:r>
            <w:r w:rsidRPr="00BD6296">
              <w:rPr>
                <w:rFonts w:eastAsia="Times New Roman" w:cs="Times New Roman"/>
                <w:b/>
                <w:sz w:val="20"/>
                <w:szCs w:val="20"/>
                <w:vertAlign w:val="subscript"/>
                <w:lang w:eastAsia="lv-LV"/>
              </w:rPr>
              <w:t>el</w:t>
            </w:r>
            <w:r w:rsidRPr="00BD6296">
              <w:rPr>
                <w:rFonts w:eastAsia="Times New Roman" w:cs="Times New Roman"/>
                <w:b/>
                <w:sz w:val="20"/>
                <w:szCs w:val="20"/>
                <w:lang w:eastAsia="lv-LV"/>
              </w:rPr>
              <w:t>)</w:t>
            </w:r>
          </w:p>
        </w:tc>
        <w:tc>
          <w:tcPr>
            <w:tcW w:w="632" w:type="pct"/>
            <w:vMerge w:val="restart"/>
            <w:tcBorders>
              <w:top w:val="single" w:sz="4" w:space="0" w:color="auto"/>
              <w:left w:val="nil"/>
              <w:right w:val="single" w:sz="4" w:space="0" w:color="auto"/>
            </w:tcBorders>
            <w:shd w:val="clear" w:color="auto" w:fill="auto"/>
            <w:textDirection w:val="btLr"/>
            <w:vAlign w:val="center"/>
            <w:hideMark/>
          </w:tcPr>
          <w:p w14:paraId="782E49BB" w14:textId="77777777"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BD6296">
              <w:rPr>
                <w:rFonts w:eastAsia="Times New Roman" w:cs="Times New Roman"/>
                <w:b/>
                <w:sz w:val="20"/>
                <w:szCs w:val="20"/>
                <w:lang w:eastAsia="lv-LV"/>
              </w:rPr>
              <w:t xml:space="preserve"> (attiecināmās darba slodzes)</w:t>
            </w:r>
          </w:p>
        </w:tc>
        <w:tc>
          <w:tcPr>
            <w:tcW w:w="692" w:type="pct"/>
            <w:vMerge w:val="restart"/>
            <w:tcBorders>
              <w:top w:val="single" w:sz="4" w:space="0" w:color="auto"/>
              <w:left w:val="nil"/>
              <w:right w:val="single" w:sz="4" w:space="0" w:color="000000"/>
            </w:tcBorders>
            <w:shd w:val="clear" w:color="auto" w:fill="auto"/>
            <w:textDirection w:val="btLr"/>
            <w:vAlign w:val="center"/>
            <w:hideMark/>
          </w:tcPr>
          <w:p w14:paraId="22CF94F4" w14:textId="559E4550"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Ekspluatācijas izmaksas</w:t>
            </w:r>
            <w:r>
              <w:rPr>
                <w:rFonts w:eastAsia="Times New Roman" w:cs="Times New Roman"/>
                <w:b/>
                <w:sz w:val="20"/>
                <w:szCs w:val="20"/>
                <w:lang w:eastAsia="lv-LV"/>
              </w:rPr>
              <w:t xml:space="preserve"> gadā </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M</w:t>
            </w:r>
            <w:r w:rsidRPr="00BD6296">
              <w:rPr>
                <w:rFonts w:eastAsia="Times New Roman" w:cs="Times New Roman"/>
                <w:b/>
                <w:sz w:val="20"/>
                <w:szCs w:val="20"/>
                <w:lang w:eastAsia="lv-LV"/>
              </w:rPr>
              <w:t xml:space="preserve"> </w:t>
            </w:r>
            <w:r w:rsidRPr="00BD6296">
              <w:rPr>
                <w:rFonts w:eastAsia="Times New Roman" w:cs="Times New Roman"/>
                <w:b/>
                <w:sz w:val="20"/>
                <w:szCs w:val="20"/>
                <w:lang w:eastAsia="lv-LV"/>
              </w:rPr>
              <w:br/>
              <w:t>(% no kopējām investīcijām)</w:t>
            </w:r>
          </w:p>
        </w:tc>
        <w:tc>
          <w:tcPr>
            <w:tcW w:w="554" w:type="pct"/>
            <w:gridSpan w:val="2"/>
            <w:vMerge w:val="restart"/>
            <w:tcBorders>
              <w:top w:val="single" w:sz="4" w:space="0" w:color="auto"/>
              <w:left w:val="nil"/>
              <w:right w:val="single" w:sz="4" w:space="0" w:color="auto"/>
            </w:tcBorders>
            <w:shd w:val="clear" w:color="auto" w:fill="auto"/>
            <w:textDirection w:val="btLr"/>
            <w:vAlign w:val="center"/>
            <w:hideMark/>
          </w:tcPr>
          <w:p w14:paraId="10921E99" w14:textId="2F0EE786" w:rsidR="005F5238" w:rsidRPr="00BD6296" w:rsidRDefault="005F5238"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Pārējās darbības izmaksas</w:t>
            </w:r>
            <w:r>
              <w:rPr>
                <w:rFonts w:eastAsia="Times New Roman" w:cs="Times New Roman"/>
                <w:b/>
                <w:sz w:val="20"/>
                <w:szCs w:val="20"/>
                <w:lang w:eastAsia="lv-LV"/>
              </w:rPr>
              <w:t xml:space="preserve"> gadā</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O</w:t>
            </w:r>
            <w:r w:rsidRPr="00BD6296">
              <w:rPr>
                <w:rFonts w:eastAsia="Times New Roman" w:cs="Times New Roman"/>
                <w:b/>
                <w:sz w:val="20"/>
                <w:szCs w:val="20"/>
                <w:lang w:eastAsia="lv-LV"/>
              </w:rPr>
              <w:t xml:space="preserve"> (% no kopējām investīcijām)</w:t>
            </w:r>
          </w:p>
        </w:tc>
        <w:tc>
          <w:tcPr>
            <w:tcW w:w="749" w:type="pct"/>
            <w:gridSpan w:val="2"/>
            <w:vMerge w:val="restart"/>
            <w:tcBorders>
              <w:top w:val="single" w:sz="4" w:space="0" w:color="auto"/>
              <w:left w:val="nil"/>
              <w:right w:val="single" w:sz="4" w:space="0" w:color="auto"/>
            </w:tcBorders>
            <w:textDirection w:val="btLr"/>
          </w:tcPr>
          <w:p w14:paraId="076129A2" w14:textId="232C40E3" w:rsidR="005F5238" w:rsidRPr="00BD6296" w:rsidRDefault="005F5238" w:rsidP="00B834C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BD6296">
              <w:rPr>
                <w:rFonts w:eastAsia="Times New Roman" w:cs="Times New Roman"/>
                <w:b/>
                <w:sz w:val="20"/>
                <w:szCs w:val="20"/>
                <w:lang w:eastAsia="lv-LV"/>
              </w:rPr>
              <w:t xml:space="preserve"> (%)</w:t>
            </w:r>
          </w:p>
        </w:tc>
      </w:tr>
      <w:tr w:rsidR="005F5238" w:rsidRPr="00BD6296" w14:paraId="3897F4DF" w14:textId="77777777" w:rsidTr="00CC1383">
        <w:trPr>
          <w:trHeight w:val="2036"/>
          <w:jc w:val="center"/>
        </w:trPr>
        <w:tc>
          <w:tcPr>
            <w:tcW w:w="1407" w:type="pct"/>
            <w:vMerge/>
            <w:tcBorders>
              <w:left w:val="single" w:sz="4" w:space="0" w:color="auto"/>
              <w:bottom w:val="single" w:sz="4" w:space="0" w:color="auto"/>
              <w:right w:val="single" w:sz="4" w:space="0" w:color="auto"/>
            </w:tcBorders>
            <w:shd w:val="clear" w:color="auto" w:fill="auto"/>
            <w:noWrap/>
            <w:vAlign w:val="center"/>
          </w:tcPr>
          <w:p w14:paraId="100D63E4" w14:textId="77777777" w:rsidR="005F5238" w:rsidRPr="00BD6296" w:rsidRDefault="005F5238" w:rsidP="00EB3ABA">
            <w:pPr>
              <w:jc w:val="center"/>
              <w:rPr>
                <w:rFonts w:eastAsia="Times New Roman" w:cs="Times New Roman"/>
                <w:sz w:val="20"/>
                <w:szCs w:val="20"/>
                <w:lang w:eastAsia="lv-LV"/>
              </w:rPr>
            </w:pPr>
          </w:p>
        </w:tc>
        <w:tc>
          <w:tcPr>
            <w:tcW w:w="496" w:type="pct"/>
            <w:vMerge/>
            <w:tcBorders>
              <w:left w:val="nil"/>
              <w:bottom w:val="single" w:sz="4" w:space="0" w:color="auto"/>
              <w:right w:val="single" w:sz="4" w:space="0" w:color="auto"/>
            </w:tcBorders>
            <w:shd w:val="clear" w:color="auto" w:fill="auto"/>
            <w:noWrap/>
            <w:vAlign w:val="center"/>
          </w:tcPr>
          <w:p w14:paraId="6CBDE8B5" w14:textId="77777777" w:rsidR="005F5238" w:rsidRPr="00BD6296" w:rsidRDefault="005F5238" w:rsidP="00EB3ABA">
            <w:pPr>
              <w:jc w:val="center"/>
              <w:rPr>
                <w:rFonts w:eastAsia="Times New Roman" w:cs="Times New Roman"/>
                <w:sz w:val="20"/>
                <w:szCs w:val="20"/>
                <w:lang w:eastAsia="lv-LV"/>
              </w:rPr>
            </w:pPr>
          </w:p>
        </w:tc>
        <w:tc>
          <w:tcPr>
            <w:tcW w:w="469" w:type="pct"/>
            <w:vMerge/>
            <w:tcBorders>
              <w:left w:val="nil"/>
              <w:bottom w:val="single" w:sz="4" w:space="0" w:color="auto"/>
              <w:right w:val="single" w:sz="4" w:space="0" w:color="auto"/>
            </w:tcBorders>
            <w:shd w:val="clear" w:color="auto" w:fill="auto"/>
            <w:noWrap/>
            <w:vAlign w:val="center"/>
          </w:tcPr>
          <w:p w14:paraId="4C956183" w14:textId="77777777" w:rsidR="005F5238" w:rsidRPr="00BD6296" w:rsidRDefault="005F5238" w:rsidP="00EB3ABA">
            <w:pPr>
              <w:jc w:val="center"/>
              <w:rPr>
                <w:rFonts w:eastAsia="Times New Roman" w:cs="Times New Roman"/>
                <w:sz w:val="20"/>
                <w:szCs w:val="20"/>
                <w:lang w:eastAsia="lv-LV"/>
              </w:rPr>
            </w:pPr>
          </w:p>
        </w:tc>
        <w:tc>
          <w:tcPr>
            <w:tcW w:w="632" w:type="pct"/>
            <w:vMerge/>
            <w:tcBorders>
              <w:left w:val="nil"/>
              <w:bottom w:val="single" w:sz="4" w:space="0" w:color="auto"/>
              <w:right w:val="single" w:sz="4" w:space="0" w:color="auto"/>
            </w:tcBorders>
            <w:shd w:val="clear" w:color="auto" w:fill="auto"/>
            <w:vAlign w:val="center"/>
          </w:tcPr>
          <w:p w14:paraId="19CABEE0" w14:textId="77777777" w:rsidR="005F5238" w:rsidRPr="00BD6296" w:rsidRDefault="005F5238" w:rsidP="00EB3ABA">
            <w:pPr>
              <w:jc w:val="center"/>
              <w:rPr>
                <w:rFonts w:eastAsia="Times New Roman" w:cs="Times New Roman"/>
                <w:sz w:val="20"/>
                <w:szCs w:val="20"/>
                <w:lang w:eastAsia="lv-LV"/>
              </w:rPr>
            </w:pPr>
          </w:p>
        </w:tc>
        <w:tc>
          <w:tcPr>
            <w:tcW w:w="692" w:type="pct"/>
            <w:vMerge/>
            <w:tcBorders>
              <w:left w:val="nil"/>
              <w:bottom w:val="single" w:sz="4" w:space="0" w:color="auto"/>
              <w:right w:val="single" w:sz="4" w:space="0" w:color="000000"/>
            </w:tcBorders>
            <w:shd w:val="clear" w:color="auto" w:fill="auto"/>
            <w:vAlign w:val="center"/>
          </w:tcPr>
          <w:p w14:paraId="12095A84" w14:textId="77777777" w:rsidR="005F5238" w:rsidRPr="00BD6296" w:rsidRDefault="005F5238" w:rsidP="00EB3ABA">
            <w:pPr>
              <w:jc w:val="center"/>
              <w:rPr>
                <w:rFonts w:eastAsia="Times New Roman" w:cs="Times New Roman"/>
                <w:sz w:val="20"/>
                <w:szCs w:val="20"/>
                <w:lang w:eastAsia="lv-LV"/>
              </w:rPr>
            </w:pPr>
          </w:p>
        </w:tc>
        <w:tc>
          <w:tcPr>
            <w:tcW w:w="554" w:type="pct"/>
            <w:gridSpan w:val="2"/>
            <w:vMerge/>
            <w:tcBorders>
              <w:left w:val="nil"/>
              <w:bottom w:val="single" w:sz="4" w:space="0" w:color="auto"/>
              <w:right w:val="single" w:sz="4" w:space="0" w:color="auto"/>
            </w:tcBorders>
            <w:shd w:val="clear" w:color="auto" w:fill="auto"/>
            <w:noWrap/>
            <w:vAlign w:val="center"/>
            <w:hideMark/>
          </w:tcPr>
          <w:p w14:paraId="0BE223D7" w14:textId="77777777" w:rsidR="005F5238" w:rsidRPr="00BD6296" w:rsidRDefault="005F5238" w:rsidP="00EB3ABA">
            <w:pPr>
              <w:jc w:val="center"/>
              <w:rPr>
                <w:rFonts w:eastAsia="Times New Roman" w:cs="Times New Roman"/>
                <w:sz w:val="20"/>
                <w:szCs w:val="20"/>
                <w:lang w:eastAsia="lv-LV"/>
              </w:rPr>
            </w:pPr>
          </w:p>
        </w:tc>
        <w:tc>
          <w:tcPr>
            <w:tcW w:w="749" w:type="pct"/>
            <w:gridSpan w:val="2"/>
            <w:vMerge/>
            <w:tcBorders>
              <w:left w:val="nil"/>
              <w:bottom w:val="single" w:sz="4" w:space="0" w:color="auto"/>
              <w:right w:val="single" w:sz="4" w:space="0" w:color="auto"/>
            </w:tcBorders>
          </w:tcPr>
          <w:p w14:paraId="0DD17C3D" w14:textId="77777777" w:rsidR="005F5238" w:rsidRPr="00BD6296" w:rsidRDefault="005F5238" w:rsidP="00EB3ABA">
            <w:pPr>
              <w:jc w:val="center"/>
              <w:rPr>
                <w:rFonts w:eastAsia="Times New Roman" w:cs="Times New Roman"/>
                <w:sz w:val="20"/>
                <w:szCs w:val="20"/>
                <w:lang w:eastAsia="lv-LV"/>
              </w:rPr>
            </w:pPr>
          </w:p>
        </w:tc>
      </w:tr>
      <w:tr w:rsidR="005F5238" w:rsidRPr="00BD6296" w14:paraId="6BDF6A28" w14:textId="77777777" w:rsidTr="00CC1383">
        <w:trPr>
          <w:gridAfter w:val="1"/>
          <w:wAfter w:w="6" w:type="pct"/>
          <w:trHeight w:val="300"/>
          <w:jc w:val="center"/>
        </w:trPr>
        <w:tc>
          <w:tcPr>
            <w:tcW w:w="1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D824" w14:textId="77777777" w:rsidR="005F5238" w:rsidRPr="00BD6296" w:rsidRDefault="005F5238" w:rsidP="00EB3ABA">
            <w:pPr>
              <w:rPr>
                <w:rFonts w:eastAsia="Times New Roman" w:cs="Times New Roman"/>
                <w:sz w:val="20"/>
                <w:szCs w:val="20"/>
                <w:lang w:eastAsia="lv-LV"/>
              </w:rPr>
            </w:pPr>
            <w:r w:rsidRPr="00BD6296">
              <w:rPr>
                <w:rFonts w:eastAsia="Times New Roman" w:cs="Times New Roman"/>
                <w:sz w:val="20"/>
                <w:szCs w:val="20"/>
                <w:lang w:eastAsia="lv-LV"/>
              </w:rPr>
              <w:t>Nepārsniedz 1 MW</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0105C1B6"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4E5146B"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4500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734D3AA4"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3</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4CF8ED9"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548" w:type="pct"/>
            <w:tcBorders>
              <w:top w:val="single" w:sz="4" w:space="0" w:color="auto"/>
              <w:left w:val="nil"/>
              <w:bottom w:val="single" w:sz="4" w:space="0" w:color="auto"/>
              <w:right w:val="single" w:sz="4" w:space="0" w:color="auto"/>
            </w:tcBorders>
            <w:shd w:val="clear" w:color="auto" w:fill="auto"/>
            <w:vAlign w:val="center"/>
          </w:tcPr>
          <w:p w14:paraId="59A822FA"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749" w:type="pct"/>
            <w:gridSpan w:val="2"/>
            <w:tcBorders>
              <w:top w:val="single" w:sz="4" w:space="0" w:color="auto"/>
              <w:left w:val="nil"/>
              <w:bottom w:val="single" w:sz="4" w:space="0" w:color="auto"/>
              <w:right w:val="single" w:sz="4" w:space="0" w:color="auto"/>
            </w:tcBorders>
            <w:vAlign w:val="center"/>
          </w:tcPr>
          <w:p w14:paraId="58A92438"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80</w:t>
            </w:r>
          </w:p>
        </w:tc>
      </w:tr>
      <w:tr w:rsidR="005F5238" w:rsidRPr="00BD6296" w14:paraId="39C7E420" w14:textId="77777777" w:rsidTr="00CC1383">
        <w:trPr>
          <w:gridAfter w:val="1"/>
          <w:wAfter w:w="6" w:type="pct"/>
          <w:trHeight w:val="300"/>
          <w:jc w:val="center"/>
        </w:trPr>
        <w:tc>
          <w:tcPr>
            <w:tcW w:w="1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7D5C" w14:textId="77777777" w:rsidR="005F5238" w:rsidRPr="00BD6296" w:rsidRDefault="005F5238" w:rsidP="00EB3ABA">
            <w:pPr>
              <w:rPr>
                <w:rFonts w:eastAsia="Times New Roman" w:cs="Times New Roman"/>
                <w:sz w:val="20"/>
                <w:lang w:eastAsia="lv-LV"/>
              </w:rPr>
            </w:pPr>
            <w:r w:rsidRPr="00BD6296">
              <w:rPr>
                <w:rFonts w:eastAsia="Times New Roman" w:cs="Times New Roman"/>
                <w:sz w:val="20"/>
                <w:lang w:eastAsia="lv-LV"/>
              </w:rPr>
              <w:t>Lielāka par 1 MW, bet nepārsniedz 4 MW</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7BEE23EF"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79E58F37"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4000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76B439DF"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B1D1AD1"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548" w:type="pct"/>
            <w:tcBorders>
              <w:top w:val="single" w:sz="4" w:space="0" w:color="auto"/>
              <w:left w:val="nil"/>
              <w:bottom w:val="single" w:sz="4" w:space="0" w:color="auto"/>
              <w:right w:val="single" w:sz="4" w:space="0" w:color="auto"/>
            </w:tcBorders>
            <w:shd w:val="clear" w:color="auto" w:fill="auto"/>
            <w:vAlign w:val="center"/>
          </w:tcPr>
          <w:p w14:paraId="269AB90A"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749" w:type="pct"/>
            <w:gridSpan w:val="2"/>
            <w:tcBorders>
              <w:top w:val="single" w:sz="4" w:space="0" w:color="auto"/>
              <w:left w:val="nil"/>
              <w:bottom w:val="single" w:sz="4" w:space="0" w:color="auto"/>
              <w:right w:val="single" w:sz="4" w:space="0" w:color="auto"/>
            </w:tcBorders>
            <w:vAlign w:val="center"/>
          </w:tcPr>
          <w:p w14:paraId="21118FD7"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80</w:t>
            </w:r>
          </w:p>
        </w:tc>
      </w:tr>
      <w:tr w:rsidR="005F5238" w:rsidRPr="00BD6296" w14:paraId="1012C4DD" w14:textId="77777777" w:rsidTr="00CC1383">
        <w:trPr>
          <w:gridAfter w:val="1"/>
          <w:wAfter w:w="6" w:type="pct"/>
          <w:trHeight w:val="300"/>
          <w:jc w:val="center"/>
        </w:trPr>
        <w:tc>
          <w:tcPr>
            <w:tcW w:w="1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823B" w14:textId="77777777" w:rsidR="005F5238" w:rsidRPr="00BD6296" w:rsidRDefault="005F5238" w:rsidP="00EB3ABA">
            <w:pPr>
              <w:rPr>
                <w:rFonts w:eastAsia="Times New Roman" w:cs="Times New Roman"/>
                <w:sz w:val="20"/>
                <w:lang w:eastAsia="lv-LV"/>
              </w:rPr>
            </w:pPr>
            <w:r w:rsidRPr="00BD6296">
              <w:rPr>
                <w:rFonts w:eastAsia="Times New Roman" w:cs="Times New Roman"/>
                <w:sz w:val="20"/>
                <w:lang w:eastAsia="lv-LV"/>
              </w:rPr>
              <w:t>Lielāka par 4 MW</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1D9BECC6"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5500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01D72B85"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3600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6AD3AA6"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7</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2EAFC807"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548" w:type="pct"/>
            <w:tcBorders>
              <w:top w:val="single" w:sz="4" w:space="0" w:color="auto"/>
              <w:left w:val="nil"/>
              <w:bottom w:val="single" w:sz="4" w:space="0" w:color="auto"/>
              <w:right w:val="single" w:sz="4" w:space="0" w:color="auto"/>
            </w:tcBorders>
            <w:shd w:val="clear" w:color="auto" w:fill="auto"/>
            <w:vAlign w:val="center"/>
          </w:tcPr>
          <w:p w14:paraId="2899773B"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749" w:type="pct"/>
            <w:gridSpan w:val="2"/>
            <w:tcBorders>
              <w:top w:val="single" w:sz="4" w:space="0" w:color="auto"/>
              <w:left w:val="nil"/>
              <w:bottom w:val="single" w:sz="4" w:space="0" w:color="auto"/>
              <w:right w:val="single" w:sz="4" w:space="0" w:color="auto"/>
            </w:tcBorders>
            <w:vAlign w:val="center"/>
          </w:tcPr>
          <w:p w14:paraId="1EA3E19B" w14:textId="77777777" w:rsidR="005F5238" w:rsidRPr="00BD6296" w:rsidRDefault="005F5238" w:rsidP="00EB3ABA">
            <w:pPr>
              <w:jc w:val="center"/>
              <w:rPr>
                <w:rFonts w:eastAsia="Times New Roman" w:cs="Times New Roman"/>
                <w:sz w:val="20"/>
                <w:szCs w:val="20"/>
                <w:lang w:eastAsia="lv-LV"/>
              </w:rPr>
            </w:pPr>
            <w:r w:rsidRPr="00BD6296">
              <w:rPr>
                <w:rFonts w:eastAsia="Times New Roman" w:cs="Times New Roman"/>
                <w:sz w:val="20"/>
                <w:szCs w:val="20"/>
                <w:lang w:eastAsia="lv-LV"/>
              </w:rPr>
              <w:t>80</w:t>
            </w:r>
          </w:p>
        </w:tc>
      </w:tr>
    </w:tbl>
    <w:p w14:paraId="3B1705B0" w14:textId="77777777" w:rsidR="00EB3ABA" w:rsidRPr="00BD6296" w:rsidRDefault="00EB3ABA" w:rsidP="00EB3ABA">
      <w:pPr>
        <w:jc w:val="center"/>
        <w:rPr>
          <w:rFonts w:cs="Times New Roman"/>
          <w:b/>
          <w:szCs w:val="28"/>
        </w:rPr>
      </w:pPr>
    </w:p>
    <w:p w14:paraId="7D41FBA3" w14:textId="77777777" w:rsidR="00EB3ABA" w:rsidRPr="00BD6296" w:rsidRDefault="00EB3ABA" w:rsidP="00EB3ABA">
      <w:pPr>
        <w:jc w:val="right"/>
        <w:rPr>
          <w:rFonts w:cs="Times New Roman"/>
          <w:b/>
          <w:szCs w:val="28"/>
        </w:rPr>
      </w:pPr>
      <w:r w:rsidRPr="00BD6296">
        <w:rPr>
          <w:rFonts w:cs="Times New Roman"/>
          <w:b/>
          <w:szCs w:val="28"/>
        </w:rPr>
        <w:t>7.tabula</w:t>
      </w:r>
    </w:p>
    <w:p w14:paraId="675FA016" w14:textId="77777777" w:rsidR="00EB3ABA" w:rsidRPr="00BD6296" w:rsidRDefault="00EB3ABA" w:rsidP="00EB3ABA">
      <w:pPr>
        <w:jc w:val="center"/>
        <w:rPr>
          <w:rFonts w:cs="Times New Roman"/>
          <w:b/>
          <w:szCs w:val="28"/>
        </w:rPr>
      </w:pPr>
      <w:r w:rsidRPr="00BD6296">
        <w:rPr>
          <w:rFonts w:cs="Times New Roman"/>
          <w:b/>
          <w:szCs w:val="28"/>
        </w:rPr>
        <w:t xml:space="preserve">Biomasas un biomasas gazifikācijas stacijām piemērojamās kurināmā cenas </w:t>
      </w:r>
      <w:proofErr w:type="spellStart"/>
      <w:r w:rsidRPr="00BD6296">
        <w:rPr>
          <w:rFonts w:cs="Times New Roman"/>
          <w:b/>
          <w:szCs w:val="28"/>
        </w:rPr>
        <w:t>līmeņatzīmes</w:t>
      </w:r>
      <w:proofErr w:type="spellEnd"/>
      <w:r w:rsidRPr="00BD6296">
        <w:rPr>
          <w:rFonts w:cs="Times New Roman"/>
          <w:b/>
          <w:szCs w:val="28"/>
        </w:rPr>
        <w:t xml:space="preserve"> </w:t>
      </w:r>
    </w:p>
    <w:tbl>
      <w:tblPr>
        <w:tblW w:w="8745" w:type="dxa"/>
        <w:tblInd w:w="-5" w:type="dxa"/>
        <w:tblLook w:val="04A0" w:firstRow="1" w:lastRow="0" w:firstColumn="1" w:lastColumn="0" w:noHBand="0" w:noVBand="1"/>
      </w:tblPr>
      <w:tblGrid>
        <w:gridCol w:w="2731"/>
        <w:gridCol w:w="656"/>
        <w:gridCol w:w="656"/>
        <w:gridCol w:w="656"/>
        <w:gridCol w:w="656"/>
        <w:gridCol w:w="656"/>
        <w:gridCol w:w="656"/>
        <w:gridCol w:w="656"/>
        <w:gridCol w:w="656"/>
        <w:gridCol w:w="766"/>
      </w:tblGrid>
      <w:tr w:rsidR="00EB3ABA" w:rsidRPr="00BD6296" w14:paraId="1F0B3BA1" w14:textId="77777777" w:rsidTr="009626DE">
        <w:trPr>
          <w:trHeight w:val="406"/>
        </w:trPr>
        <w:tc>
          <w:tcPr>
            <w:tcW w:w="2731" w:type="dxa"/>
            <w:vMerge w:val="restart"/>
            <w:tcBorders>
              <w:top w:val="single" w:sz="4" w:space="0" w:color="auto"/>
              <w:left w:val="single" w:sz="4" w:space="0" w:color="auto"/>
              <w:right w:val="single" w:sz="4" w:space="0" w:color="auto"/>
            </w:tcBorders>
            <w:shd w:val="clear" w:color="auto" w:fill="auto"/>
            <w:vAlign w:val="center"/>
          </w:tcPr>
          <w:p w14:paraId="5A8D603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6014" w:type="dxa"/>
            <w:gridSpan w:val="9"/>
            <w:tcBorders>
              <w:top w:val="single" w:sz="4" w:space="0" w:color="auto"/>
              <w:left w:val="nil"/>
              <w:bottom w:val="single" w:sz="4" w:space="0" w:color="auto"/>
              <w:right w:val="single" w:sz="4" w:space="0" w:color="auto"/>
            </w:tcBorders>
            <w:shd w:val="clear" w:color="auto" w:fill="auto"/>
            <w:noWrap/>
            <w:vAlign w:val="center"/>
          </w:tcPr>
          <w:p w14:paraId="7CB0A08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BD6296">
              <w:rPr>
                <w:rFonts w:eastAsia="Times New Roman" w:cs="Times New Roman"/>
                <w:b/>
                <w:sz w:val="20"/>
                <w:szCs w:val="20"/>
                <w:vertAlign w:val="superscript"/>
                <w:lang w:eastAsia="lv-LV"/>
              </w:rPr>
              <w:t>1</w:t>
            </w:r>
            <w:r w:rsidRPr="00BD6296">
              <w:rPr>
                <w:rFonts w:eastAsia="Times New Roman" w:cs="Times New Roman"/>
                <w:b/>
                <w:sz w:val="20"/>
                <w:szCs w:val="20"/>
                <w:lang w:eastAsia="lv-LV"/>
              </w:rPr>
              <w:t>, EUR/</w:t>
            </w:r>
            <w:proofErr w:type="spellStart"/>
            <w:r w:rsidRPr="00BD6296">
              <w:rPr>
                <w:rFonts w:eastAsia="Times New Roman" w:cs="Times New Roman"/>
                <w:b/>
                <w:sz w:val="20"/>
                <w:szCs w:val="20"/>
                <w:lang w:eastAsia="lv-LV"/>
              </w:rPr>
              <w:t>MWh</w:t>
            </w:r>
            <w:proofErr w:type="spellEnd"/>
          </w:p>
        </w:tc>
      </w:tr>
      <w:tr w:rsidR="00EB3ABA" w:rsidRPr="00BD6296" w14:paraId="356A5E17" w14:textId="77777777" w:rsidTr="009626DE">
        <w:trPr>
          <w:trHeight w:val="129"/>
        </w:trPr>
        <w:tc>
          <w:tcPr>
            <w:tcW w:w="2731" w:type="dxa"/>
            <w:vMerge/>
            <w:tcBorders>
              <w:left w:val="single" w:sz="4" w:space="0" w:color="auto"/>
              <w:bottom w:val="single" w:sz="4" w:space="0" w:color="auto"/>
              <w:right w:val="single" w:sz="4" w:space="0" w:color="auto"/>
            </w:tcBorders>
            <w:shd w:val="clear" w:color="auto" w:fill="auto"/>
            <w:vAlign w:val="center"/>
            <w:hideMark/>
          </w:tcPr>
          <w:p w14:paraId="0CFB4836" w14:textId="77777777" w:rsidR="00EB3ABA" w:rsidRPr="00BD6296" w:rsidRDefault="00EB3ABA" w:rsidP="00EB3ABA">
            <w:pPr>
              <w:jc w:val="center"/>
              <w:rPr>
                <w:rFonts w:eastAsia="Times New Roman" w:cs="Times New Roman"/>
                <w:b/>
                <w:sz w:val="20"/>
                <w:szCs w:val="20"/>
                <w:lang w:eastAsia="lv-LV"/>
              </w:rPr>
            </w:pP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F0E065A"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8167027"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FD9709F"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23C23F5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E0462D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951A0F6"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B98CDC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01AAE3A"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A9A884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2016</w:t>
            </w:r>
            <w:r w:rsidRPr="00BD6296">
              <w:rPr>
                <w:rFonts w:eastAsia="Times New Roman" w:cs="Times New Roman"/>
                <w:b/>
                <w:sz w:val="20"/>
                <w:szCs w:val="20"/>
                <w:vertAlign w:val="superscript"/>
                <w:lang w:eastAsia="lv-LV"/>
              </w:rPr>
              <w:t>1</w:t>
            </w:r>
          </w:p>
        </w:tc>
      </w:tr>
      <w:tr w:rsidR="00EB3ABA" w:rsidRPr="00BD6296" w14:paraId="7B45A8B0" w14:textId="77777777" w:rsidTr="009626D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4CA861D7" w14:textId="77777777"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Visas jaudas</w:t>
            </w:r>
          </w:p>
        </w:tc>
        <w:tc>
          <w:tcPr>
            <w:tcW w:w="656" w:type="dxa"/>
            <w:tcBorders>
              <w:top w:val="nil"/>
              <w:left w:val="nil"/>
              <w:bottom w:val="single" w:sz="4" w:space="0" w:color="auto"/>
              <w:right w:val="single" w:sz="4" w:space="0" w:color="auto"/>
            </w:tcBorders>
            <w:shd w:val="clear" w:color="auto" w:fill="auto"/>
            <w:noWrap/>
            <w:vAlign w:val="center"/>
            <w:hideMark/>
          </w:tcPr>
          <w:p w14:paraId="72BE5E14"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11,3</w:t>
            </w:r>
          </w:p>
        </w:tc>
        <w:tc>
          <w:tcPr>
            <w:tcW w:w="656" w:type="dxa"/>
            <w:tcBorders>
              <w:top w:val="nil"/>
              <w:left w:val="nil"/>
              <w:bottom w:val="single" w:sz="4" w:space="0" w:color="auto"/>
              <w:right w:val="single" w:sz="4" w:space="0" w:color="auto"/>
            </w:tcBorders>
            <w:shd w:val="clear" w:color="auto" w:fill="auto"/>
            <w:noWrap/>
            <w:vAlign w:val="center"/>
            <w:hideMark/>
          </w:tcPr>
          <w:p w14:paraId="0C2C1177"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12,6</w:t>
            </w:r>
          </w:p>
        </w:tc>
        <w:tc>
          <w:tcPr>
            <w:tcW w:w="656" w:type="dxa"/>
            <w:tcBorders>
              <w:top w:val="nil"/>
              <w:left w:val="nil"/>
              <w:bottom w:val="single" w:sz="4" w:space="0" w:color="auto"/>
              <w:right w:val="single" w:sz="4" w:space="0" w:color="auto"/>
            </w:tcBorders>
            <w:shd w:val="clear" w:color="auto" w:fill="auto"/>
            <w:noWrap/>
            <w:vAlign w:val="center"/>
            <w:hideMark/>
          </w:tcPr>
          <w:p w14:paraId="11A6C0CC"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c>
          <w:tcPr>
            <w:tcW w:w="656" w:type="dxa"/>
            <w:tcBorders>
              <w:top w:val="nil"/>
              <w:left w:val="nil"/>
              <w:bottom w:val="single" w:sz="4" w:space="0" w:color="auto"/>
              <w:right w:val="single" w:sz="4" w:space="0" w:color="auto"/>
            </w:tcBorders>
            <w:shd w:val="clear" w:color="auto" w:fill="auto"/>
            <w:noWrap/>
            <w:vAlign w:val="center"/>
            <w:hideMark/>
          </w:tcPr>
          <w:p w14:paraId="453F1F4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9,5</w:t>
            </w:r>
          </w:p>
        </w:tc>
        <w:tc>
          <w:tcPr>
            <w:tcW w:w="656" w:type="dxa"/>
            <w:tcBorders>
              <w:top w:val="nil"/>
              <w:left w:val="nil"/>
              <w:bottom w:val="single" w:sz="4" w:space="0" w:color="auto"/>
              <w:right w:val="single" w:sz="4" w:space="0" w:color="auto"/>
            </w:tcBorders>
            <w:shd w:val="clear" w:color="auto" w:fill="auto"/>
            <w:noWrap/>
            <w:vAlign w:val="center"/>
            <w:hideMark/>
          </w:tcPr>
          <w:p w14:paraId="21A010CF"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14B18E26"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10,9</w:t>
            </w:r>
          </w:p>
        </w:tc>
        <w:tc>
          <w:tcPr>
            <w:tcW w:w="656" w:type="dxa"/>
            <w:tcBorders>
              <w:top w:val="nil"/>
              <w:left w:val="nil"/>
              <w:bottom w:val="single" w:sz="4" w:space="0" w:color="auto"/>
              <w:right w:val="single" w:sz="4" w:space="0" w:color="auto"/>
            </w:tcBorders>
            <w:shd w:val="clear" w:color="auto" w:fill="auto"/>
            <w:noWrap/>
            <w:vAlign w:val="center"/>
            <w:hideMark/>
          </w:tcPr>
          <w:p w14:paraId="7AA6FD13"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7347C7B9"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11,2</w:t>
            </w:r>
          </w:p>
        </w:tc>
        <w:tc>
          <w:tcPr>
            <w:tcW w:w="766" w:type="dxa"/>
            <w:tcBorders>
              <w:top w:val="nil"/>
              <w:left w:val="nil"/>
              <w:bottom w:val="single" w:sz="4" w:space="0" w:color="auto"/>
              <w:right w:val="single" w:sz="4" w:space="0" w:color="auto"/>
            </w:tcBorders>
            <w:shd w:val="clear" w:color="auto" w:fill="auto"/>
            <w:noWrap/>
            <w:vAlign w:val="center"/>
            <w:hideMark/>
          </w:tcPr>
          <w:p w14:paraId="23C5EDEF"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sz w:val="20"/>
                <w:szCs w:val="20"/>
                <w:lang w:eastAsia="lv-LV"/>
              </w:rPr>
              <w:t>11,2</w:t>
            </w:r>
          </w:p>
        </w:tc>
      </w:tr>
    </w:tbl>
    <w:p w14:paraId="3A6550FD" w14:textId="77777777" w:rsidR="00EB3ABA" w:rsidRPr="009626DE" w:rsidRDefault="00EB3ABA" w:rsidP="00EB3ABA">
      <w:pPr>
        <w:rPr>
          <w:rFonts w:cs="Times New Roman"/>
          <w:sz w:val="24"/>
        </w:rPr>
      </w:pPr>
      <w:r w:rsidRPr="009626DE">
        <w:rPr>
          <w:rFonts w:cs="Times New Roman"/>
          <w:sz w:val="24"/>
          <w:vertAlign w:val="superscript"/>
        </w:rPr>
        <w:t>1</w:t>
      </w:r>
      <w:r w:rsidRPr="009626DE">
        <w:rPr>
          <w:rFonts w:cs="Times New Roman"/>
          <w:sz w:val="24"/>
        </w:rPr>
        <w:t xml:space="preserve"> turpmākajiem gadiem cenas indeksētas saskaņā ar 1.tabulas inflācijas prognozi</w:t>
      </w:r>
    </w:p>
    <w:p w14:paraId="5BE0C6DC" w14:textId="77777777" w:rsidR="00EB3ABA" w:rsidRPr="00BD6296" w:rsidRDefault="00EB3ABA" w:rsidP="00EB3ABA">
      <w:pPr>
        <w:jc w:val="right"/>
        <w:rPr>
          <w:rFonts w:cs="Times New Roman"/>
          <w:b/>
          <w:szCs w:val="28"/>
        </w:rPr>
      </w:pPr>
    </w:p>
    <w:p w14:paraId="5939D4AA" w14:textId="77777777" w:rsidR="00EB3ABA" w:rsidRPr="00BD6296" w:rsidRDefault="00EB3ABA" w:rsidP="00EB3ABA">
      <w:pPr>
        <w:jc w:val="right"/>
        <w:rPr>
          <w:rFonts w:cs="Times New Roman"/>
          <w:b/>
          <w:szCs w:val="28"/>
        </w:rPr>
      </w:pPr>
      <w:r w:rsidRPr="00BD6296">
        <w:rPr>
          <w:rFonts w:cs="Times New Roman"/>
          <w:b/>
          <w:szCs w:val="28"/>
        </w:rPr>
        <w:t>8.tabula</w:t>
      </w:r>
    </w:p>
    <w:p w14:paraId="1AA0696F" w14:textId="77777777" w:rsidR="00EB3ABA" w:rsidRPr="00BD6296" w:rsidRDefault="00EB3ABA" w:rsidP="00EB3ABA">
      <w:pPr>
        <w:jc w:val="center"/>
        <w:rPr>
          <w:rFonts w:cs="Times New Roman"/>
          <w:b/>
          <w:szCs w:val="28"/>
        </w:rPr>
      </w:pPr>
      <w:proofErr w:type="spellStart"/>
      <w:r w:rsidRPr="00BD6296">
        <w:rPr>
          <w:rFonts w:cs="Times New Roman"/>
          <w:b/>
          <w:szCs w:val="28"/>
        </w:rPr>
        <w:t>Dasbasgāzes</w:t>
      </w:r>
      <w:proofErr w:type="spellEnd"/>
      <w:r w:rsidRPr="00BD6296">
        <w:rPr>
          <w:rFonts w:cs="Times New Roman"/>
          <w:b/>
          <w:szCs w:val="28"/>
        </w:rPr>
        <w:t xml:space="preserve"> stacijām piemērojamās </w:t>
      </w:r>
      <w:proofErr w:type="spellStart"/>
      <w:r w:rsidRPr="00BD6296">
        <w:rPr>
          <w:rFonts w:cs="Times New Roman"/>
          <w:b/>
          <w:szCs w:val="28"/>
        </w:rPr>
        <w:t>līmeņatzīmes</w:t>
      </w:r>
      <w:proofErr w:type="spellEnd"/>
    </w:p>
    <w:tbl>
      <w:tblPr>
        <w:tblW w:w="4143" w:type="pct"/>
        <w:jc w:val="center"/>
        <w:tblLayout w:type="fixed"/>
        <w:tblLook w:val="04A0" w:firstRow="1" w:lastRow="0" w:firstColumn="1" w:lastColumn="0" w:noHBand="0" w:noVBand="1"/>
      </w:tblPr>
      <w:tblGrid>
        <w:gridCol w:w="2316"/>
        <w:gridCol w:w="825"/>
        <w:gridCol w:w="773"/>
        <w:gridCol w:w="885"/>
        <w:gridCol w:w="926"/>
        <w:gridCol w:w="935"/>
        <w:gridCol w:w="848"/>
      </w:tblGrid>
      <w:tr w:rsidR="00CC1383" w:rsidRPr="00BD6296" w14:paraId="3F29FB3C" w14:textId="77777777" w:rsidTr="00CC1383">
        <w:trPr>
          <w:cantSplit/>
          <w:trHeight w:val="2777"/>
          <w:jc w:val="center"/>
        </w:trPr>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97B7A" w14:textId="77777777" w:rsidR="00CC1383" w:rsidRPr="00BD6296" w:rsidRDefault="00CC1383"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 xml:space="preserve">Uzstādītā elektriskā jauda </w:t>
            </w:r>
            <w:r w:rsidRPr="00BD6296">
              <w:rPr>
                <w:rFonts w:eastAsia="Times New Roman" w:cs="Times New Roman"/>
                <w:i/>
                <w:iCs/>
                <w:sz w:val="20"/>
                <w:szCs w:val="20"/>
                <w:lang w:eastAsia="lv-LV"/>
              </w:rPr>
              <w:t>P</w:t>
            </w:r>
            <w:r w:rsidRPr="00BD6296">
              <w:rPr>
                <w:rFonts w:eastAsia="Times New Roman" w:cs="Times New Roman"/>
                <w:i/>
                <w:iCs/>
                <w:sz w:val="20"/>
                <w:szCs w:val="20"/>
                <w:vertAlign w:val="subscript"/>
                <w:lang w:eastAsia="lv-LV"/>
              </w:rPr>
              <w:t>el</w:t>
            </w:r>
          </w:p>
        </w:tc>
        <w:tc>
          <w:tcPr>
            <w:tcW w:w="54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C02BAFA" w14:textId="77777777"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Darba stundu skaits gadā </w:t>
            </w:r>
            <w:r w:rsidRPr="00BD6296">
              <w:rPr>
                <w:rFonts w:eastAsia="Times New Roman" w:cs="Times New Roman"/>
                <w:i/>
                <w:sz w:val="20"/>
                <w:szCs w:val="20"/>
                <w:lang w:eastAsia="lv-LV"/>
              </w:rPr>
              <w:t>d</w:t>
            </w:r>
            <w:r w:rsidRPr="00BD6296">
              <w:rPr>
                <w:rFonts w:eastAsia="Times New Roman" w:cs="Times New Roman"/>
                <w:sz w:val="20"/>
                <w:szCs w:val="20"/>
                <w:lang w:eastAsia="lv-LV"/>
              </w:rPr>
              <w:t xml:space="preserve"> </w:t>
            </w:r>
            <w:r w:rsidRPr="00BD6296">
              <w:rPr>
                <w:rFonts w:eastAsia="Times New Roman" w:cs="Times New Roman"/>
                <w:b/>
                <w:sz w:val="20"/>
                <w:szCs w:val="20"/>
                <w:lang w:eastAsia="lv-LV"/>
              </w:rPr>
              <w:t>(h)</w:t>
            </w:r>
          </w:p>
        </w:tc>
        <w:tc>
          <w:tcPr>
            <w:tcW w:w="51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CC09DA" w14:textId="77777777"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BD6296">
              <w:rPr>
                <w:rFonts w:eastAsia="Times New Roman" w:cs="Times New Roman"/>
                <w:b/>
                <w:sz w:val="20"/>
                <w:szCs w:val="20"/>
                <w:lang w:eastAsia="lv-LV"/>
              </w:rPr>
              <w:t xml:space="preserve"> (EUR/kW</w:t>
            </w:r>
            <w:r w:rsidRPr="00BD6296">
              <w:rPr>
                <w:rFonts w:eastAsia="Times New Roman" w:cs="Times New Roman"/>
                <w:b/>
                <w:sz w:val="20"/>
                <w:szCs w:val="20"/>
                <w:vertAlign w:val="subscript"/>
                <w:lang w:eastAsia="lv-LV"/>
              </w:rPr>
              <w:t>el</w:t>
            </w:r>
            <w:r w:rsidRPr="00BD6296">
              <w:rPr>
                <w:rFonts w:eastAsia="Times New Roman" w:cs="Times New Roman"/>
                <w:b/>
                <w:sz w:val="20"/>
                <w:szCs w:val="20"/>
                <w:lang w:eastAsia="lv-LV"/>
              </w:rPr>
              <w:t>)</w:t>
            </w:r>
          </w:p>
        </w:tc>
        <w:tc>
          <w:tcPr>
            <w:tcW w:w="5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1A29B95" w14:textId="77777777"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BD6296">
              <w:rPr>
                <w:rFonts w:eastAsia="Times New Roman" w:cs="Times New Roman"/>
                <w:b/>
                <w:sz w:val="20"/>
                <w:szCs w:val="20"/>
                <w:lang w:eastAsia="lv-LV"/>
              </w:rPr>
              <w:t xml:space="preserve"> (attiecināmās darba slodzes)</w:t>
            </w:r>
          </w:p>
        </w:tc>
        <w:tc>
          <w:tcPr>
            <w:tcW w:w="617" w:type="pct"/>
            <w:tcBorders>
              <w:top w:val="single" w:sz="4" w:space="0" w:color="auto"/>
              <w:left w:val="nil"/>
              <w:bottom w:val="single" w:sz="4" w:space="0" w:color="auto"/>
              <w:right w:val="single" w:sz="4" w:space="0" w:color="000000"/>
            </w:tcBorders>
            <w:shd w:val="clear" w:color="auto" w:fill="auto"/>
            <w:textDirection w:val="btLr"/>
            <w:vAlign w:val="center"/>
          </w:tcPr>
          <w:p w14:paraId="76375D1F" w14:textId="08BAA9F9" w:rsidR="00CC1383" w:rsidRPr="00BD6296" w:rsidRDefault="00CC1383" w:rsidP="00CC1383">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Ekspluatācijas izmaksas </w:t>
            </w:r>
            <w:r w:rsidRPr="00BD6296">
              <w:rPr>
                <w:rFonts w:eastAsia="Times New Roman" w:cs="Times New Roman"/>
                <w:i/>
                <w:iCs/>
                <w:sz w:val="20"/>
                <w:szCs w:val="20"/>
                <w:lang w:eastAsia="lv-LV"/>
              </w:rPr>
              <w:t>I</w:t>
            </w:r>
            <w:r>
              <w:rPr>
                <w:rFonts w:eastAsia="Times New Roman" w:cs="Times New Roman"/>
                <w:i/>
                <w:iCs/>
                <w:sz w:val="20"/>
                <w:szCs w:val="20"/>
                <w:vertAlign w:val="subscript"/>
                <w:lang w:eastAsia="lv-LV"/>
              </w:rPr>
              <w:t>DG</w:t>
            </w:r>
            <w:r w:rsidRPr="00BD6296">
              <w:rPr>
                <w:rFonts w:eastAsia="Times New Roman" w:cs="Times New Roman"/>
                <w:b/>
                <w:sz w:val="20"/>
                <w:szCs w:val="20"/>
                <w:lang w:eastAsia="lv-LV"/>
              </w:rPr>
              <w:t xml:space="preserve"> </w:t>
            </w:r>
            <w:r w:rsidRPr="00BD6296">
              <w:rPr>
                <w:rFonts w:eastAsia="Times New Roman" w:cs="Times New Roman"/>
                <w:b/>
                <w:sz w:val="20"/>
                <w:szCs w:val="20"/>
                <w:lang w:eastAsia="lv-LV"/>
              </w:rPr>
              <w:br/>
              <w:t>(EUR/</w:t>
            </w:r>
            <w:proofErr w:type="spellStart"/>
            <w:r w:rsidRPr="00BD6296">
              <w:rPr>
                <w:rFonts w:eastAsia="Times New Roman" w:cs="Times New Roman"/>
                <w:b/>
                <w:sz w:val="20"/>
                <w:szCs w:val="20"/>
                <w:lang w:eastAsia="lv-LV"/>
              </w:rPr>
              <w:t>MWh</w:t>
            </w:r>
            <w:proofErr w:type="spellEnd"/>
            <w:r w:rsidRPr="00BD6296">
              <w:rPr>
                <w:rFonts w:eastAsia="Times New Roman" w:cs="Times New Roman"/>
                <w:b/>
                <w:sz w:val="20"/>
                <w:szCs w:val="20"/>
                <w:lang w:eastAsia="lv-LV"/>
              </w:rPr>
              <w:t>)</w:t>
            </w:r>
          </w:p>
        </w:tc>
        <w:tc>
          <w:tcPr>
            <w:tcW w:w="623" w:type="pct"/>
            <w:tcBorders>
              <w:top w:val="single" w:sz="4" w:space="0" w:color="auto"/>
              <w:left w:val="nil"/>
              <w:bottom w:val="single" w:sz="4" w:space="0" w:color="auto"/>
              <w:right w:val="single" w:sz="4" w:space="0" w:color="auto"/>
            </w:tcBorders>
            <w:shd w:val="clear" w:color="auto" w:fill="auto"/>
            <w:textDirection w:val="btLr"/>
            <w:vAlign w:val="center"/>
            <w:hideMark/>
          </w:tcPr>
          <w:p w14:paraId="44FC5EBB" w14:textId="28219602" w:rsidR="00CC1383" w:rsidRPr="00BD6296" w:rsidRDefault="00CC1383" w:rsidP="00EB3ABA">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Pārējās darbības izmaksas</w:t>
            </w:r>
            <w:r>
              <w:rPr>
                <w:rFonts w:eastAsia="Times New Roman" w:cs="Times New Roman"/>
                <w:b/>
                <w:sz w:val="20"/>
                <w:szCs w:val="20"/>
                <w:lang w:eastAsia="lv-LV"/>
              </w:rPr>
              <w:t xml:space="preserve"> gadā </w:t>
            </w:r>
            <w:r w:rsidRPr="00BD6296">
              <w:rPr>
                <w:rFonts w:eastAsia="Times New Roman" w:cs="Times New Roman"/>
                <w:b/>
                <w:sz w:val="20"/>
                <w:szCs w:val="20"/>
                <w:lang w:eastAsia="lv-LV"/>
              </w:rPr>
              <w:t xml:space="preserve"> </w:t>
            </w:r>
            <w:r w:rsidRPr="00BD6296">
              <w:rPr>
                <w:rFonts w:eastAsia="Times New Roman" w:cs="Times New Roman"/>
                <w:i/>
                <w:iCs/>
                <w:sz w:val="20"/>
                <w:szCs w:val="20"/>
                <w:lang w:eastAsia="lv-LV"/>
              </w:rPr>
              <w:t>I</w:t>
            </w:r>
            <w:r w:rsidRPr="00BD6296">
              <w:rPr>
                <w:rFonts w:eastAsia="Times New Roman" w:cs="Times New Roman"/>
                <w:i/>
                <w:iCs/>
                <w:sz w:val="20"/>
                <w:szCs w:val="20"/>
                <w:vertAlign w:val="subscript"/>
                <w:lang w:eastAsia="lv-LV"/>
              </w:rPr>
              <w:t>O</w:t>
            </w:r>
            <w:r w:rsidRPr="00BD6296">
              <w:rPr>
                <w:rFonts w:eastAsia="Times New Roman" w:cs="Times New Roman"/>
                <w:b/>
                <w:sz w:val="20"/>
                <w:szCs w:val="20"/>
                <w:lang w:eastAsia="lv-LV"/>
              </w:rPr>
              <w:br/>
              <w:t>(% no kopējām investīcijām)</w:t>
            </w:r>
          </w:p>
        </w:tc>
        <w:tc>
          <w:tcPr>
            <w:tcW w:w="565" w:type="pct"/>
            <w:tcBorders>
              <w:top w:val="single" w:sz="4" w:space="0" w:color="auto"/>
              <w:left w:val="nil"/>
              <w:bottom w:val="single" w:sz="4" w:space="0" w:color="auto"/>
              <w:right w:val="single" w:sz="4" w:space="0" w:color="auto"/>
            </w:tcBorders>
            <w:textDirection w:val="btLr"/>
          </w:tcPr>
          <w:p w14:paraId="259E2624" w14:textId="31267C42" w:rsidR="00CC1383" w:rsidRPr="00BD6296" w:rsidRDefault="00CC1383" w:rsidP="00401473">
            <w:pPr>
              <w:ind w:left="113" w:right="113"/>
              <w:jc w:val="center"/>
              <w:rPr>
                <w:rFonts w:eastAsia="Times New Roman" w:cs="Times New Roman"/>
                <w:b/>
                <w:sz w:val="20"/>
                <w:szCs w:val="20"/>
                <w:lang w:eastAsia="lv-LV"/>
              </w:rPr>
            </w:pPr>
            <w:r w:rsidRPr="00BD6296">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BD6296">
              <w:rPr>
                <w:rFonts w:eastAsia="Times New Roman" w:cs="Times New Roman"/>
                <w:b/>
                <w:sz w:val="20"/>
                <w:szCs w:val="20"/>
                <w:lang w:eastAsia="lv-LV"/>
              </w:rPr>
              <w:t xml:space="preserve"> (%)</w:t>
            </w:r>
          </w:p>
        </w:tc>
      </w:tr>
      <w:tr w:rsidR="00CC1383" w:rsidRPr="00BD6296" w14:paraId="6E51151D" w14:textId="77777777" w:rsidTr="00CC1383">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0390" w14:textId="77777777" w:rsidR="00CC1383" w:rsidRPr="00BD6296" w:rsidRDefault="00CC1383" w:rsidP="00EB3ABA">
            <w:pPr>
              <w:rPr>
                <w:rFonts w:eastAsia="Times New Roman" w:cs="Times New Roman"/>
                <w:sz w:val="20"/>
                <w:lang w:eastAsia="lv-LV"/>
              </w:rPr>
            </w:pPr>
            <w:r w:rsidRPr="00BD6296">
              <w:rPr>
                <w:rFonts w:eastAsia="Times New Roman" w:cs="Times New Roman"/>
                <w:sz w:val="20"/>
                <w:lang w:eastAsia="lv-LV"/>
              </w:rPr>
              <w:t>Nepārsniedz 1 MW</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0ACD9231" w14:textId="3173B8A5" w:rsidR="00CC1383" w:rsidRPr="00BD6296" w:rsidRDefault="00FE1565" w:rsidP="00EB3ABA">
            <w:pPr>
              <w:jc w:val="center"/>
              <w:rPr>
                <w:rFonts w:eastAsia="Times New Roman" w:cs="Times New Roman"/>
                <w:sz w:val="20"/>
                <w:szCs w:val="20"/>
                <w:lang w:eastAsia="lv-LV"/>
              </w:rPr>
            </w:pPr>
            <w:r>
              <w:rPr>
                <w:rFonts w:eastAsia="Times New Roman" w:cs="Times New Roman"/>
                <w:sz w:val="20"/>
                <w:szCs w:val="20"/>
                <w:lang w:eastAsia="lv-LV"/>
              </w:rPr>
              <w:t>6</w:t>
            </w:r>
            <w:r w:rsidR="00CC1383" w:rsidRPr="00BD6296">
              <w:rPr>
                <w:rFonts w:eastAsia="Times New Roman" w:cs="Times New Roman"/>
                <w:sz w:val="20"/>
                <w:szCs w:val="20"/>
                <w:lang w:eastAsia="lv-LV"/>
              </w:rPr>
              <w:t>500</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0B6E2457"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1600</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1B74DC79"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0,5</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6D3AD0A4"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12</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046316BF"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1,5</w:t>
            </w:r>
          </w:p>
        </w:tc>
        <w:tc>
          <w:tcPr>
            <w:tcW w:w="565" w:type="pct"/>
            <w:tcBorders>
              <w:top w:val="single" w:sz="4" w:space="0" w:color="auto"/>
              <w:left w:val="nil"/>
              <w:bottom w:val="single" w:sz="4" w:space="0" w:color="auto"/>
              <w:right w:val="single" w:sz="4" w:space="0" w:color="auto"/>
            </w:tcBorders>
            <w:shd w:val="clear" w:color="auto" w:fill="auto"/>
            <w:vAlign w:val="center"/>
          </w:tcPr>
          <w:p w14:paraId="1F7533CD"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CC1383" w:rsidRPr="00BD6296" w14:paraId="5339CFF6" w14:textId="77777777" w:rsidTr="00CC1383">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EAFA" w14:textId="77777777" w:rsidR="00CC1383" w:rsidRPr="00BD6296" w:rsidRDefault="00CC1383" w:rsidP="00EB3ABA">
            <w:pPr>
              <w:rPr>
                <w:rFonts w:eastAsia="Times New Roman" w:cs="Times New Roman"/>
                <w:sz w:val="20"/>
                <w:lang w:eastAsia="lv-LV"/>
              </w:rPr>
            </w:pPr>
            <w:r w:rsidRPr="00BD6296">
              <w:rPr>
                <w:rFonts w:eastAsia="Times New Roman" w:cs="Times New Roman"/>
                <w:sz w:val="20"/>
                <w:lang w:eastAsia="lv-LV"/>
              </w:rPr>
              <w:t>Lielāka par 1 MW, bet nepārsniedz 2 MW</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267A52F6" w14:textId="13C746D1" w:rsidR="00CC1383" w:rsidRPr="00BD6296" w:rsidRDefault="00FE1565" w:rsidP="00EB3ABA">
            <w:pPr>
              <w:jc w:val="center"/>
              <w:rPr>
                <w:rFonts w:eastAsia="Times New Roman" w:cs="Times New Roman"/>
                <w:sz w:val="20"/>
                <w:szCs w:val="20"/>
                <w:lang w:eastAsia="lv-LV"/>
              </w:rPr>
            </w:pPr>
            <w:r>
              <w:rPr>
                <w:rFonts w:eastAsia="Times New Roman" w:cs="Times New Roman"/>
                <w:sz w:val="20"/>
                <w:szCs w:val="20"/>
                <w:lang w:eastAsia="lv-LV"/>
              </w:rPr>
              <w:t>6</w:t>
            </w:r>
            <w:r w:rsidR="00CC1383" w:rsidRPr="00BD6296">
              <w:rPr>
                <w:rFonts w:eastAsia="Times New Roman" w:cs="Times New Roman"/>
                <w:sz w:val="20"/>
                <w:szCs w:val="20"/>
                <w:lang w:eastAsia="lv-LV"/>
              </w:rPr>
              <w:t>500</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3DCD6E8D" w14:textId="448FC8DC" w:rsidR="00CC1383" w:rsidRPr="00BD6296" w:rsidRDefault="00CC1383" w:rsidP="0043163E">
            <w:pPr>
              <w:jc w:val="center"/>
              <w:rPr>
                <w:rFonts w:eastAsia="Times New Roman" w:cs="Times New Roman"/>
                <w:sz w:val="20"/>
                <w:szCs w:val="20"/>
                <w:lang w:eastAsia="lv-LV"/>
              </w:rPr>
            </w:pPr>
            <w:r w:rsidRPr="00BD6296">
              <w:rPr>
                <w:rFonts w:eastAsia="Times New Roman" w:cs="Times New Roman"/>
                <w:sz w:val="20"/>
                <w:szCs w:val="20"/>
                <w:lang w:eastAsia="lv-LV"/>
              </w:rPr>
              <w:t>1</w:t>
            </w:r>
            <w:r w:rsidR="0043163E">
              <w:rPr>
                <w:rFonts w:eastAsia="Times New Roman" w:cs="Times New Roman"/>
                <w:sz w:val="20"/>
                <w:szCs w:val="20"/>
                <w:lang w:eastAsia="lv-LV"/>
              </w:rPr>
              <w:t>3</w:t>
            </w:r>
            <w:r w:rsidRPr="00BD6296">
              <w:rPr>
                <w:rFonts w:eastAsia="Times New Roman" w:cs="Times New Roman"/>
                <w:sz w:val="20"/>
                <w:szCs w:val="20"/>
                <w:lang w:eastAsia="lv-LV"/>
              </w:rPr>
              <w:t>00</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0D16E022"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41A121B6"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5D972725"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1,5</w:t>
            </w:r>
          </w:p>
        </w:tc>
        <w:tc>
          <w:tcPr>
            <w:tcW w:w="565" w:type="pct"/>
            <w:tcBorders>
              <w:top w:val="single" w:sz="4" w:space="0" w:color="auto"/>
              <w:left w:val="nil"/>
              <w:bottom w:val="single" w:sz="4" w:space="0" w:color="auto"/>
              <w:right w:val="single" w:sz="4" w:space="0" w:color="auto"/>
            </w:tcBorders>
            <w:shd w:val="clear" w:color="auto" w:fill="auto"/>
            <w:vAlign w:val="center"/>
          </w:tcPr>
          <w:p w14:paraId="5B0E6B5E"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r w:rsidR="00CC1383" w:rsidRPr="00BD6296" w14:paraId="643080B3" w14:textId="77777777" w:rsidTr="00CC1383">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EFE6" w14:textId="77777777" w:rsidR="00CC1383" w:rsidRPr="00BD6296" w:rsidRDefault="00CC1383" w:rsidP="00EB3ABA">
            <w:pPr>
              <w:rPr>
                <w:rFonts w:eastAsia="Times New Roman" w:cs="Times New Roman"/>
                <w:sz w:val="20"/>
                <w:lang w:eastAsia="lv-LV"/>
              </w:rPr>
            </w:pPr>
            <w:r w:rsidRPr="00BD6296">
              <w:rPr>
                <w:rFonts w:eastAsia="Times New Roman" w:cs="Times New Roman"/>
                <w:sz w:val="20"/>
                <w:lang w:eastAsia="lv-LV"/>
              </w:rPr>
              <w:t>Lielāka par 2 MW, bet nepārsniedz 4 MW</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555F3B19" w14:textId="65BF2846" w:rsidR="00CC1383" w:rsidRPr="00BD6296" w:rsidRDefault="00FE1565" w:rsidP="00EB3ABA">
            <w:pPr>
              <w:jc w:val="center"/>
              <w:rPr>
                <w:rFonts w:eastAsia="Times New Roman" w:cs="Times New Roman"/>
                <w:sz w:val="20"/>
                <w:szCs w:val="20"/>
                <w:lang w:eastAsia="lv-LV"/>
              </w:rPr>
            </w:pPr>
            <w:r>
              <w:rPr>
                <w:rFonts w:eastAsia="Times New Roman" w:cs="Times New Roman"/>
                <w:sz w:val="20"/>
                <w:szCs w:val="20"/>
                <w:lang w:eastAsia="lv-LV"/>
              </w:rPr>
              <w:t>6</w:t>
            </w:r>
            <w:r w:rsidR="00CC1383" w:rsidRPr="00BD6296">
              <w:rPr>
                <w:rFonts w:eastAsia="Times New Roman" w:cs="Times New Roman"/>
                <w:sz w:val="20"/>
                <w:szCs w:val="20"/>
                <w:lang w:eastAsia="lv-LV"/>
              </w:rPr>
              <w:t>500</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416B0154" w14:textId="7A97C890" w:rsidR="00CC1383" w:rsidRPr="00BD6296" w:rsidRDefault="0043163E" w:rsidP="00EB3ABA">
            <w:pPr>
              <w:jc w:val="center"/>
              <w:rPr>
                <w:rFonts w:eastAsia="Times New Roman" w:cs="Times New Roman"/>
                <w:sz w:val="20"/>
                <w:szCs w:val="20"/>
                <w:lang w:eastAsia="lv-LV"/>
              </w:rPr>
            </w:pPr>
            <w:r>
              <w:rPr>
                <w:rFonts w:eastAsia="Times New Roman" w:cs="Times New Roman"/>
                <w:sz w:val="20"/>
                <w:szCs w:val="20"/>
                <w:lang w:eastAsia="lv-LV"/>
              </w:rPr>
              <w:t>11</w:t>
            </w:r>
            <w:r w:rsidR="00CC1383" w:rsidRPr="00BD6296">
              <w:rPr>
                <w:rFonts w:eastAsia="Times New Roman" w:cs="Times New Roman"/>
                <w:sz w:val="20"/>
                <w:szCs w:val="20"/>
                <w:lang w:eastAsia="lv-LV"/>
              </w:rPr>
              <w:t>00</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411EC5CA"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2</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54969ACB"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8</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30BD315E"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1,5</w:t>
            </w:r>
          </w:p>
        </w:tc>
        <w:tc>
          <w:tcPr>
            <w:tcW w:w="565" w:type="pct"/>
            <w:tcBorders>
              <w:top w:val="single" w:sz="4" w:space="0" w:color="auto"/>
              <w:left w:val="nil"/>
              <w:bottom w:val="single" w:sz="4" w:space="0" w:color="auto"/>
              <w:right w:val="single" w:sz="4" w:space="0" w:color="auto"/>
            </w:tcBorders>
            <w:shd w:val="clear" w:color="auto" w:fill="auto"/>
            <w:vAlign w:val="center"/>
          </w:tcPr>
          <w:p w14:paraId="72849AB8" w14:textId="77777777" w:rsidR="00CC1383" w:rsidRPr="00BD6296" w:rsidRDefault="00CC1383" w:rsidP="00EB3ABA">
            <w:pPr>
              <w:jc w:val="center"/>
              <w:rPr>
                <w:rFonts w:eastAsia="Times New Roman" w:cs="Times New Roman"/>
                <w:sz w:val="20"/>
                <w:szCs w:val="20"/>
                <w:lang w:eastAsia="lv-LV"/>
              </w:rPr>
            </w:pPr>
            <w:r w:rsidRPr="00BD6296">
              <w:rPr>
                <w:rFonts w:eastAsia="Times New Roman" w:cs="Times New Roman"/>
                <w:sz w:val="20"/>
                <w:szCs w:val="20"/>
                <w:lang w:eastAsia="lv-LV"/>
              </w:rPr>
              <w:t>92</w:t>
            </w:r>
          </w:p>
        </w:tc>
      </w:tr>
    </w:tbl>
    <w:p w14:paraId="33C6369C" w14:textId="77777777" w:rsidR="00EB3ABA" w:rsidRPr="00BD6296" w:rsidRDefault="00EB3ABA" w:rsidP="00EB3ABA">
      <w:pPr>
        <w:jc w:val="right"/>
        <w:rPr>
          <w:rFonts w:cs="Times New Roman"/>
          <w:b/>
          <w:szCs w:val="28"/>
        </w:rPr>
      </w:pPr>
    </w:p>
    <w:p w14:paraId="5629C182" w14:textId="77777777" w:rsidR="00EB3ABA" w:rsidRPr="00BD6296" w:rsidRDefault="00EB3ABA" w:rsidP="00EB3ABA">
      <w:pPr>
        <w:jc w:val="right"/>
        <w:rPr>
          <w:rFonts w:cs="Times New Roman"/>
          <w:b/>
          <w:szCs w:val="28"/>
        </w:rPr>
      </w:pPr>
      <w:r w:rsidRPr="00BD6296">
        <w:rPr>
          <w:rFonts w:cs="Times New Roman"/>
          <w:b/>
          <w:szCs w:val="28"/>
        </w:rPr>
        <w:lastRenderedPageBreak/>
        <w:t>9.tabula</w:t>
      </w:r>
    </w:p>
    <w:p w14:paraId="1AF172F8" w14:textId="77777777" w:rsidR="00EB3ABA" w:rsidRPr="00BD6296" w:rsidRDefault="00EB3ABA" w:rsidP="00EB3ABA">
      <w:pPr>
        <w:jc w:val="center"/>
        <w:rPr>
          <w:rFonts w:cs="Times New Roman"/>
          <w:b/>
          <w:szCs w:val="28"/>
        </w:rPr>
      </w:pPr>
      <w:proofErr w:type="spellStart"/>
      <w:r w:rsidRPr="00BD6296">
        <w:rPr>
          <w:rFonts w:cs="Times New Roman"/>
          <w:b/>
          <w:szCs w:val="28"/>
        </w:rPr>
        <w:t>Dasbasgāzes</w:t>
      </w:r>
      <w:proofErr w:type="spellEnd"/>
      <w:r w:rsidRPr="00BD6296">
        <w:rPr>
          <w:rFonts w:cs="Times New Roman"/>
          <w:b/>
          <w:szCs w:val="28"/>
        </w:rPr>
        <w:t xml:space="preserve"> tirdzniecības cenas </w:t>
      </w:r>
      <w:proofErr w:type="spellStart"/>
      <w:r w:rsidRPr="00BD6296">
        <w:rPr>
          <w:rFonts w:cs="Times New Roman"/>
          <w:b/>
          <w:szCs w:val="28"/>
        </w:rPr>
        <w:t>līmeņatzīmes</w:t>
      </w:r>
      <w:proofErr w:type="spellEnd"/>
    </w:p>
    <w:tbl>
      <w:tblPr>
        <w:tblW w:w="4886" w:type="pct"/>
        <w:jc w:val="center"/>
        <w:tblLayout w:type="fixed"/>
        <w:tblLook w:val="04A0" w:firstRow="1" w:lastRow="0" w:firstColumn="1" w:lastColumn="0" w:noHBand="0" w:noVBand="1"/>
      </w:tblPr>
      <w:tblGrid>
        <w:gridCol w:w="2689"/>
        <w:gridCol w:w="1006"/>
        <w:gridCol w:w="737"/>
        <w:gridCol w:w="737"/>
        <w:gridCol w:w="738"/>
        <w:gridCol w:w="738"/>
        <w:gridCol w:w="738"/>
        <w:gridCol w:w="738"/>
        <w:gridCol w:w="733"/>
      </w:tblGrid>
      <w:tr w:rsidR="00EB3ABA" w:rsidRPr="00BD6296" w14:paraId="1F787D29" w14:textId="77777777" w:rsidTr="00265201">
        <w:trPr>
          <w:trHeight w:val="269"/>
          <w:jc w:val="center"/>
        </w:trPr>
        <w:tc>
          <w:tcPr>
            <w:tcW w:w="1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464C"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Gads</w:t>
            </w:r>
          </w:p>
        </w:tc>
        <w:tc>
          <w:tcPr>
            <w:tcW w:w="568" w:type="pct"/>
            <w:tcBorders>
              <w:top w:val="single" w:sz="4" w:space="0" w:color="auto"/>
              <w:left w:val="nil"/>
              <w:bottom w:val="single" w:sz="4" w:space="0" w:color="auto"/>
              <w:right w:val="single" w:sz="4" w:space="0" w:color="auto"/>
            </w:tcBorders>
            <w:shd w:val="clear" w:color="auto" w:fill="auto"/>
          </w:tcPr>
          <w:p w14:paraId="59999FE9" w14:textId="5DD64CE3" w:rsidR="00EB3ABA" w:rsidRPr="00BD6296" w:rsidRDefault="00EB3ABA" w:rsidP="009626DE">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416" w:type="pct"/>
            <w:tcBorders>
              <w:top w:val="single" w:sz="4" w:space="0" w:color="auto"/>
              <w:left w:val="nil"/>
              <w:bottom w:val="single" w:sz="4" w:space="0" w:color="auto"/>
              <w:right w:val="single" w:sz="4" w:space="0" w:color="auto"/>
            </w:tcBorders>
            <w:shd w:val="clear" w:color="auto" w:fill="auto"/>
            <w:vAlign w:val="center"/>
          </w:tcPr>
          <w:p w14:paraId="7598805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416" w:type="pct"/>
            <w:tcBorders>
              <w:top w:val="single" w:sz="4" w:space="0" w:color="auto"/>
              <w:left w:val="nil"/>
              <w:bottom w:val="single" w:sz="4" w:space="0" w:color="auto"/>
              <w:right w:val="single" w:sz="4" w:space="0" w:color="auto"/>
            </w:tcBorders>
            <w:shd w:val="clear" w:color="auto" w:fill="auto"/>
            <w:vAlign w:val="center"/>
          </w:tcPr>
          <w:p w14:paraId="76815E00"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2018</w:t>
            </w:r>
          </w:p>
        </w:tc>
        <w:tc>
          <w:tcPr>
            <w:tcW w:w="417" w:type="pct"/>
            <w:tcBorders>
              <w:top w:val="single" w:sz="4" w:space="0" w:color="auto"/>
              <w:left w:val="nil"/>
              <w:bottom w:val="single" w:sz="4" w:space="0" w:color="auto"/>
              <w:right w:val="single" w:sz="4" w:space="0" w:color="auto"/>
            </w:tcBorders>
            <w:shd w:val="clear" w:color="auto" w:fill="auto"/>
            <w:vAlign w:val="center"/>
          </w:tcPr>
          <w:p w14:paraId="5C002DB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2019</w:t>
            </w:r>
          </w:p>
        </w:tc>
        <w:tc>
          <w:tcPr>
            <w:tcW w:w="417" w:type="pct"/>
            <w:tcBorders>
              <w:top w:val="single" w:sz="4" w:space="0" w:color="auto"/>
              <w:left w:val="nil"/>
              <w:bottom w:val="single" w:sz="4" w:space="0" w:color="auto"/>
              <w:right w:val="single" w:sz="4" w:space="0" w:color="auto"/>
            </w:tcBorders>
            <w:shd w:val="clear" w:color="auto" w:fill="auto"/>
            <w:vAlign w:val="center"/>
          </w:tcPr>
          <w:p w14:paraId="0DE5DDB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2020</w:t>
            </w:r>
          </w:p>
        </w:tc>
        <w:tc>
          <w:tcPr>
            <w:tcW w:w="417" w:type="pct"/>
            <w:tcBorders>
              <w:top w:val="single" w:sz="4" w:space="0" w:color="auto"/>
              <w:left w:val="nil"/>
              <w:bottom w:val="single" w:sz="4" w:space="0" w:color="auto"/>
              <w:right w:val="single" w:sz="4" w:space="0" w:color="auto"/>
            </w:tcBorders>
            <w:shd w:val="clear" w:color="auto" w:fill="auto"/>
            <w:vAlign w:val="center"/>
          </w:tcPr>
          <w:p w14:paraId="46772CA4"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2021</w:t>
            </w:r>
          </w:p>
        </w:tc>
        <w:tc>
          <w:tcPr>
            <w:tcW w:w="417" w:type="pct"/>
            <w:tcBorders>
              <w:top w:val="single" w:sz="4" w:space="0" w:color="auto"/>
              <w:left w:val="nil"/>
              <w:bottom w:val="single" w:sz="4" w:space="0" w:color="auto"/>
              <w:right w:val="single" w:sz="4" w:space="0" w:color="auto"/>
            </w:tcBorders>
            <w:shd w:val="clear" w:color="auto" w:fill="auto"/>
            <w:vAlign w:val="center"/>
          </w:tcPr>
          <w:p w14:paraId="64F858C8"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2022</w:t>
            </w:r>
          </w:p>
        </w:tc>
        <w:tc>
          <w:tcPr>
            <w:tcW w:w="414" w:type="pct"/>
            <w:tcBorders>
              <w:top w:val="single" w:sz="4" w:space="0" w:color="auto"/>
              <w:left w:val="nil"/>
              <w:bottom w:val="single" w:sz="4" w:space="0" w:color="auto"/>
              <w:right w:val="single" w:sz="4" w:space="0" w:color="auto"/>
            </w:tcBorders>
            <w:shd w:val="clear" w:color="auto" w:fill="auto"/>
            <w:vAlign w:val="center"/>
          </w:tcPr>
          <w:p w14:paraId="2672DC41"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2023</w:t>
            </w:r>
          </w:p>
        </w:tc>
      </w:tr>
      <w:tr w:rsidR="00EB3ABA" w:rsidRPr="00BD6296" w14:paraId="17876A4E" w14:textId="77777777" w:rsidTr="00265201">
        <w:trPr>
          <w:trHeight w:val="269"/>
          <w:jc w:val="center"/>
        </w:trPr>
        <w:tc>
          <w:tcPr>
            <w:tcW w:w="1518" w:type="pct"/>
            <w:tcBorders>
              <w:top w:val="nil"/>
              <w:left w:val="single" w:sz="4" w:space="0" w:color="auto"/>
              <w:bottom w:val="single" w:sz="4" w:space="0" w:color="auto"/>
              <w:right w:val="single" w:sz="4" w:space="0" w:color="auto"/>
            </w:tcBorders>
            <w:shd w:val="clear" w:color="auto" w:fill="auto"/>
            <w:noWrap/>
            <w:vAlign w:val="bottom"/>
            <w:hideMark/>
          </w:tcPr>
          <w:p w14:paraId="6C6655AC" w14:textId="77777777"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Prognozētā gada vidējā dabasgāzes tirdzniecības cena, EUR/tūkst.nm</w:t>
            </w:r>
            <w:r w:rsidRPr="00BD6296">
              <w:rPr>
                <w:rFonts w:eastAsia="Times New Roman" w:cs="Times New Roman"/>
                <w:sz w:val="20"/>
                <w:szCs w:val="20"/>
                <w:vertAlign w:val="superscript"/>
                <w:lang w:eastAsia="lv-LV"/>
              </w:rPr>
              <w:t xml:space="preserve">3  </w:t>
            </w:r>
            <w:r w:rsidRPr="00BD6296">
              <w:rPr>
                <w:rFonts w:eastAsia="Times New Roman" w:cs="Times New Roman"/>
                <w:sz w:val="20"/>
                <w:szCs w:val="20"/>
                <w:lang w:eastAsia="lv-LV"/>
              </w:rPr>
              <w:t>(bez PVN)</w:t>
            </w:r>
          </w:p>
        </w:tc>
        <w:tc>
          <w:tcPr>
            <w:tcW w:w="568" w:type="pct"/>
            <w:tcBorders>
              <w:top w:val="nil"/>
              <w:left w:val="nil"/>
              <w:bottom w:val="single" w:sz="4" w:space="0" w:color="auto"/>
              <w:right w:val="single" w:sz="4" w:space="0" w:color="auto"/>
            </w:tcBorders>
            <w:shd w:val="clear" w:color="auto" w:fill="auto"/>
            <w:noWrap/>
            <w:vAlign w:val="center"/>
          </w:tcPr>
          <w:p w14:paraId="2CF1A823"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158,6</w:t>
            </w:r>
          </w:p>
        </w:tc>
        <w:tc>
          <w:tcPr>
            <w:tcW w:w="416" w:type="pct"/>
            <w:tcBorders>
              <w:top w:val="nil"/>
              <w:left w:val="nil"/>
              <w:bottom w:val="single" w:sz="4" w:space="0" w:color="auto"/>
              <w:right w:val="single" w:sz="4" w:space="0" w:color="auto"/>
            </w:tcBorders>
            <w:shd w:val="clear" w:color="auto" w:fill="auto"/>
            <w:noWrap/>
            <w:vAlign w:val="center"/>
          </w:tcPr>
          <w:p w14:paraId="4DCC1BE8"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176,2</w:t>
            </w:r>
          </w:p>
        </w:tc>
        <w:tc>
          <w:tcPr>
            <w:tcW w:w="416" w:type="pct"/>
            <w:tcBorders>
              <w:top w:val="nil"/>
              <w:left w:val="nil"/>
              <w:bottom w:val="single" w:sz="4" w:space="0" w:color="auto"/>
              <w:right w:val="single" w:sz="4" w:space="0" w:color="auto"/>
            </w:tcBorders>
            <w:shd w:val="clear" w:color="auto" w:fill="auto"/>
            <w:noWrap/>
            <w:vAlign w:val="center"/>
          </w:tcPr>
          <w:p w14:paraId="2A578147"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185,8</w:t>
            </w:r>
          </w:p>
        </w:tc>
        <w:tc>
          <w:tcPr>
            <w:tcW w:w="417" w:type="pct"/>
            <w:tcBorders>
              <w:top w:val="nil"/>
              <w:left w:val="nil"/>
              <w:bottom w:val="single" w:sz="4" w:space="0" w:color="auto"/>
              <w:right w:val="single" w:sz="4" w:space="0" w:color="auto"/>
            </w:tcBorders>
            <w:shd w:val="clear" w:color="auto" w:fill="auto"/>
            <w:noWrap/>
            <w:vAlign w:val="center"/>
          </w:tcPr>
          <w:p w14:paraId="7A074D24"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193,1</w:t>
            </w:r>
          </w:p>
        </w:tc>
        <w:tc>
          <w:tcPr>
            <w:tcW w:w="417" w:type="pct"/>
            <w:tcBorders>
              <w:top w:val="nil"/>
              <w:left w:val="nil"/>
              <w:bottom w:val="single" w:sz="4" w:space="0" w:color="auto"/>
              <w:right w:val="single" w:sz="4" w:space="0" w:color="auto"/>
            </w:tcBorders>
            <w:shd w:val="clear" w:color="auto" w:fill="auto"/>
            <w:noWrap/>
            <w:vAlign w:val="center"/>
          </w:tcPr>
          <w:p w14:paraId="052761C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199,7</w:t>
            </w:r>
          </w:p>
        </w:tc>
        <w:tc>
          <w:tcPr>
            <w:tcW w:w="417" w:type="pct"/>
            <w:tcBorders>
              <w:top w:val="nil"/>
              <w:left w:val="nil"/>
              <w:bottom w:val="single" w:sz="4" w:space="0" w:color="auto"/>
              <w:right w:val="single" w:sz="4" w:space="0" w:color="auto"/>
            </w:tcBorders>
            <w:shd w:val="clear" w:color="auto" w:fill="auto"/>
            <w:noWrap/>
            <w:vAlign w:val="center"/>
          </w:tcPr>
          <w:p w14:paraId="52DFDBE6"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205,4</w:t>
            </w:r>
          </w:p>
        </w:tc>
        <w:tc>
          <w:tcPr>
            <w:tcW w:w="417" w:type="pct"/>
            <w:tcBorders>
              <w:top w:val="nil"/>
              <w:left w:val="nil"/>
              <w:bottom w:val="single" w:sz="4" w:space="0" w:color="auto"/>
              <w:right w:val="single" w:sz="4" w:space="0" w:color="auto"/>
            </w:tcBorders>
            <w:shd w:val="clear" w:color="auto" w:fill="auto"/>
            <w:noWrap/>
            <w:vAlign w:val="center"/>
          </w:tcPr>
          <w:p w14:paraId="7103EC01"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4" w:type="pct"/>
            <w:tcBorders>
              <w:top w:val="nil"/>
              <w:left w:val="nil"/>
              <w:bottom w:val="single" w:sz="4" w:space="0" w:color="auto"/>
              <w:right w:val="single" w:sz="4" w:space="0" w:color="auto"/>
            </w:tcBorders>
            <w:shd w:val="clear" w:color="auto" w:fill="auto"/>
            <w:noWrap/>
            <w:vAlign w:val="center"/>
          </w:tcPr>
          <w:p w14:paraId="3E81E051"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r>
      <w:tr w:rsidR="00EB3ABA" w:rsidRPr="00BD6296" w14:paraId="2542E700" w14:textId="77777777" w:rsidTr="00265201">
        <w:trPr>
          <w:trHeight w:val="300"/>
          <w:jc w:val="center"/>
        </w:trPr>
        <w:tc>
          <w:tcPr>
            <w:tcW w:w="15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5F4DF" w14:textId="77777777" w:rsidR="00EB3ABA" w:rsidRPr="00BD6296" w:rsidRDefault="00EB3ABA" w:rsidP="00EB3ABA">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1C8FF43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2024</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5999B135"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2025</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7830316A"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2026</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6BE4B6A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2027</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4040FEC3"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2028</w:t>
            </w:r>
          </w:p>
        </w:tc>
        <w:tc>
          <w:tcPr>
            <w:tcW w:w="417" w:type="pct"/>
            <w:tcBorders>
              <w:top w:val="single" w:sz="4" w:space="0" w:color="auto"/>
              <w:left w:val="nil"/>
              <w:bottom w:val="single" w:sz="4" w:space="0" w:color="auto"/>
              <w:right w:val="single" w:sz="4" w:space="0" w:color="auto"/>
            </w:tcBorders>
            <w:shd w:val="clear" w:color="auto" w:fill="auto"/>
            <w:noWrap/>
          </w:tcPr>
          <w:p w14:paraId="187A58AE"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2029</w:t>
            </w:r>
          </w:p>
        </w:tc>
        <w:tc>
          <w:tcPr>
            <w:tcW w:w="417" w:type="pct"/>
            <w:tcBorders>
              <w:top w:val="single" w:sz="4" w:space="0" w:color="auto"/>
              <w:left w:val="nil"/>
              <w:bottom w:val="single" w:sz="4" w:space="0" w:color="auto"/>
              <w:right w:val="single" w:sz="4" w:space="0" w:color="auto"/>
            </w:tcBorders>
            <w:shd w:val="clear" w:color="auto" w:fill="auto"/>
            <w:noWrap/>
          </w:tcPr>
          <w:p w14:paraId="28A8DCE2"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2030</w:t>
            </w:r>
          </w:p>
        </w:tc>
        <w:tc>
          <w:tcPr>
            <w:tcW w:w="414" w:type="pct"/>
            <w:tcBorders>
              <w:top w:val="single" w:sz="4" w:space="0" w:color="auto"/>
              <w:left w:val="nil"/>
              <w:bottom w:val="single" w:sz="4" w:space="0" w:color="auto"/>
              <w:right w:val="single" w:sz="4" w:space="0" w:color="auto"/>
            </w:tcBorders>
            <w:shd w:val="clear" w:color="auto" w:fill="auto"/>
            <w:noWrap/>
          </w:tcPr>
          <w:p w14:paraId="712EA37D" w14:textId="77777777" w:rsidR="00EB3ABA" w:rsidRPr="00BD6296" w:rsidRDefault="00EB3ABA" w:rsidP="00EB3ABA">
            <w:pPr>
              <w:jc w:val="center"/>
              <w:rPr>
                <w:rFonts w:eastAsia="Times New Roman" w:cs="Times New Roman"/>
                <w:b/>
                <w:sz w:val="20"/>
                <w:szCs w:val="20"/>
                <w:lang w:eastAsia="lv-LV"/>
              </w:rPr>
            </w:pPr>
            <w:r w:rsidRPr="00BD6296">
              <w:rPr>
                <w:rFonts w:eastAsia="Times New Roman" w:cs="Times New Roman"/>
                <w:b/>
                <w:sz w:val="20"/>
                <w:szCs w:val="20"/>
                <w:lang w:eastAsia="lv-LV"/>
              </w:rPr>
              <w:t>2031</w:t>
            </w:r>
          </w:p>
        </w:tc>
      </w:tr>
      <w:tr w:rsidR="00EB3ABA" w:rsidRPr="00BD6296" w14:paraId="441D90C2" w14:textId="77777777" w:rsidTr="00265201">
        <w:trPr>
          <w:trHeight w:val="264"/>
          <w:jc w:val="center"/>
        </w:trPr>
        <w:tc>
          <w:tcPr>
            <w:tcW w:w="1518" w:type="pct"/>
            <w:tcBorders>
              <w:top w:val="nil"/>
              <w:left w:val="single" w:sz="4" w:space="0" w:color="auto"/>
              <w:bottom w:val="single" w:sz="4" w:space="0" w:color="auto"/>
              <w:right w:val="single" w:sz="4" w:space="0" w:color="auto"/>
            </w:tcBorders>
            <w:shd w:val="clear" w:color="auto" w:fill="auto"/>
            <w:noWrap/>
            <w:vAlign w:val="bottom"/>
          </w:tcPr>
          <w:p w14:paraId="12A4B6C1" w14:textId="77777777" w:rsidR="00EB3ABA" w:rsidRPr="00BD6296" w:rsidRDefault="00EB3ABA" w:rsidP="00EB3ABA">
            <w:pPr>
              <w:rPr>
                <w:rFonts w:eastAsia="Times New Roman" w:cs="Times New Roman"/>
                <w:sz w:val="20"/>
                <w:szCs w:val="20"/>
                <w:lang w:eastAsia="lv-LV"/>
              </w:rPr>
            </w:pPr>
            <w:r w:rsidRPr="00BD6296">
              <w:rPr>
                <w:rFonts w:eastAsia="Times New Roman" w:cs="Times New Roman"/>
                <w:sz w:val="20"/>
                <w:szCs w:val="20"/>
                <w:lang w:eastAsia="lv-LV"/>
              </w:rPr>
              <w:t>Prognozētā gada vidējā dabasgāzes tirdzniecības cena, EUR/tūkst.nm</w:t>
            </w:r>
            <w:r w:rsidRPr="00BD6296">
              <w:rPr>
                <w:rFonts w:eastAsia="Times New Roman" w:cs="Times New Roman"/>
                <w:sz w:val="20"/>
                <w:szCs w:val="20"/>
                <w:vertAlign w:val="superscript"/>
                <w:lang w:eastAsia="lv-LV"/>
              </w:rPr>
              <w:t xml:space="preserve">3 </w:t>
            </w:r>
            <w:r w:rsidRPr="00BD6296">
              <w:rPr>
                <w:rFonts w:eastAsia="Times New Roman" w:cs="Times New Roman"/>
                <w:sz w:val="20"/>
                <w:szCs w:val="20"/>
                <w:lang w:eastAsia="lv-LV"/>
              </w:rPr>
              <w:t xml:space="preserve"> (bez PVN)</w:t>
            </w:r>
          </w:p>
        </w:tc>
        <w:tc>
          <w:tcPr>
            <w:tcW w:w="568" w:type="pct"/>
            <w:tcBorders>
              <w:top w:val="nil"/>
              <w:left w:val="nil"/>
              <w:bottom w:val="single" w:sz="4" w:space="0" w:color="auto"/>
              <w:right w:val="single" w:sz="4" w:space="0" w:color="auto"/>
            </w:tcBorders>
            <w:shd w:val="clear" w:color="auto" w:fill="auto"/>
            <w:noWrap/>
            <w:vAlign w:val="center"/>
          </w:tcPr>
          <w:p w14:paraId="5403D617"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6" w:type="pct"/>
            <w:tcBorders>
              <w:top w:val="nil"/>
              <w:left w:val="nil"/>
              <w:bottom w:val="single" w:sz="4" w:space="0" w:color="auto"/>
              <w:right w:val="single" w:sz="4" w:space="0" w:color="auto"/>
            </w:tcBorders>
            <w:shd w:val="clear" w:color="auto" w:fill="auto"/>
            <w:noWrap/>
            <w:vAlign w:val="center"/>
          </w:tcPr>
          <w:p w14:paraId="3239113D"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6" w:type="pct"/>
            <w:tcBorders>
              <w:top w:val="nil"/>
              <w:left w:val="nil"/>
              <w:bottom w:val="single" w:sz="4" w:space="0" w:color="auto"/>
              <w:right w:val="single" w:sz="4" w:space="0" w:color="auto"/>
            </w:tcBorders>
            <w:shd w:val="clear" w:color="auto" w:fill="auto"/>
            <w:noWrap/>
            <w:vAlign w:val="center"/>
          </w:tcPr>
          <w:p w14:paraId="525725A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744D59DA"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567CF1A3"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124ED45B"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7" w:type="pct"/>
            <w:tcBorders>
              <w:top w:val="nil"/>
              <w:left w:val="nil"/>
              <w:bottom w:val="single" w:sz="4" w:space="0" w:color="auto"/>
              <w:right w:val="single" w:sz="4" w:space="0" w:color="auto"/>
            </w:tcBorders>
            <w:shd w:val="clear" w:color="auto" w:fill="auto"/>
            <w:noWrap/>
            <w:vAlign w:val="center"/>
          </w:tcPr>
          <w:p w14:paraId="75356E3D"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c>
          <w:tcPr>
            <w:tcW w:w="414" w:type="pct"/>
            <w:tcBorders>
              <w:top w:val="nil"/>
              <w:left w:val="nil"/>
              <w:bottom w:val="single" w:sz="4" w:space="0" w:color="auto"/>
              <w:right w:val="single" w:sz="4" w:space="0" w:color="auto"/>
            </w:tcBorders>
            <w:shd w:val="clear" w:color="auto" w:fill="auto"/>
            <w:noWrap/>
            <w:vAlign w:val="center"/>
          </w:tcPr>
          <w:p w14:paraId="1DD3096E" w14:textId="77777777" w:rsidR="00EB3ABA" w:rsidRPr="00BD6296" w:rsidRDefault="00EB3ABA" w:rsidP="00EB3ABA">
            <w:pPr>
              <w:jc w:val="center"/>
              <w:rPr>
                <w:rFonts w:eastAsia="Times New Roman" w:cs="Times New Roman"/>
                <w:sz w:val="20"/>
                <w:szCs w:val="20"/>
                <w:lang w:eastAsia="lv-LV"/>
              </w:rPr>
            </w:pPr>
            <w:r w:rsidRPr="00BD6296">
              <w:rPr>
                <w:rFonts w:cs="Times New Roman"/>
                <w:sz w:val="20"/>
                <w:szCs w:val="20"/>
              </w:rPr>
              <w:t>210,4</w:t>
            </w:r>
          </w:p>
        </w:tc>
      </w:tr>
    </w:tbl>
    <w:p w14:paraId="5C333DBD" w14:textId="53ECC456" w:rsidR="00EB3ABA" w:rsidRDefault="00EB3ABA" w:rsidP="00E350DE">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w:t>
      </w:r>
    </w:p>
    <w:p w14:paraId="6620F5C0" w14:textId="77777777" w:rsidR="002F68E4" w:rsidRPr="002F68E4" w:rsidRDefault="002F68E4" w:rsidP="00692A67">
      <w:pPr>
        <w:shd w:val="clear" w:color="auto" w:fill="FFFFFF"/>
        <w:spacing w:line="254" w:lineRule="atLeast"/>
        <w:jc w:val="both"/>
        <w:rPr>
          <w:rFonts w:eastAsia="Times New Roman" w:cs="Times New Roman"/>
          <w:iCs/>
          <w:szCs w:val="28"/>
          <w:lang w:eastAsia="lv-LV"/>
        </w:rPr>
      </w:pPr>
    </w:p>
    <w:p w14:paraId="75C06ABA" w14:textId="3BEF89E6" w:rsidR="009626DE" w:rsidRPr="003C419B" w:rsidRDefault="003C419B" w:rsidP="003C419B">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21. </w:t>
      </w:r>
      <w:r w:rsidR="009626DE" w:rsidRPr="003C419B">
        <w:rPr>
          <w:rFonts w:eastAsia="Times New Roman" w:cs="Times New Roman"/>
          <w:iCs/>
          <w:szCs w:val="28"/>
          <w:lang w:eastAsia="lv-LV"/>
        </w:rPr>
        <w:t xml:space="preserve">Šie noteikumi stājas spēkā </w:t>
      </w:r>
      <w:r w:rsidR="00312C6B" w:rsidRPr="00312C6B">
        <w:rPr>
          <w:lang w:eastAsia="lv-LV"/>
        </w:rPr>
        <w:t xml:space="preserve">nākamā pilnā kalendārā mēneša pirmajā datumā </w:t>
      </w:r>
      <w:r w:rsidR="009626DE" w:rsidRPr="003C419B">
        <w:rPr>
          <w:rFonts w:eastAsia="Times New Roman" w:cs="Times New Roman"/>
          <w:iCs/>
          <w:szCs w:val="28"/>
          <w:lang w:eastAsia="lv-LV"/>
        </w:rPr>
        <w:t>pēc tam, kad Eiropas Komisija ir pieņēmusi lēmumu par valsts a</w:t>
      </w:r>
      <w:r w:rsidR="00F0556E" w:rsidRPr="003C419B">
        <w:rPr>
          <w:rFonts w:eastAsia="Times New Roman" w:cs="Times New Roman"/>
          <w:iCs/>
          <w:szCs w:val="28"/>
          <w:lang w:eastAsia="lv-LV"/>
        </w:rPr>
        <w:t>tbalsta nosacījumu atbilstību Eiropas Savienības</w:t>
      </w:r>
      <w:r w:rsidR="009626DE" w:rsidRPr="003C419B">
        <w:rPr>
          <w:rFonts w:eastAsia="Times New Roman" w:cs="Times New Roman"/>
          <w:iCs/>
          <w:szCs w:val="28"/>
          <w:lang w:eastAsia="lv-LV"/>
        </w:rPr>
        <w:t xml:space="preserve"> iekšējā tirgus nosacījumiem atbalsta lietas SA.43140 (2015/NN) </w:t>
      </w:r>
      <w:r w:rsidR="00F0556E" w:rsidRPr="003C419B">
        <w:rPr>
          <w:rFonts w:eastAsia="Times New Roman" w:cs="Times New Roman"/>
          <w:iCs/>
          <w:szCs w:val="28"/>
          <w:lang w:eastAsia="lv-LV"/>
        </w:rPr>
        <w:t>“</w:t>
      </w:r>
      <w:r w:rsidR="009626DE" w:rsidRPr="003C419B">
        <w:rPr>
          <w:rFonts w:eastAsia="Times New Roman" w:cs="Times New Roman"/>
          <w:iCs/>
          <w:szCs w:val="28"/>
          <w:lang w:eastAsia="lv-LV"/>
        </w:rPr>
        <w:t>Atbalsts elektroenerģijas ražotājiem</w:t>
      </w:r>
      <w:r w:rsidR="00F0556E" w:rsidRPr="003C419B">
        <w:rPr>
          <w:rFonts w:eastAsia="Times New Roman" w:cs="Times New Roman"/>
          <w:iCs/>
          <w:szCs w:val="28"/>
          <w:lang w:eastAsia="lv-LV"/>
        </w:rPr>
        <w:t>”</w:t>
      </w:r>
      <w:r w:rsidR="009626DE" w:rsidRPr="003C419B">
        <w:rPr>
          <w:rFonts w:eastAsia="Times New Roman" w:cs="Times New Roman"/>
          <w:iCs/>
          <w:szCs w:val="28"/>
          <w:lang w:eastAsia="lv-LV"/>
        </w:rPr>
        <w:t xml:space="preserve"> ietvaros.</w:t>
      </w:r>
    </w:p>
    <w:p w14:paraId="543AF34F" w14:textId="77777777" w:rsidR="002F68E4" w:rsidRPr="002F68E4" w:rsidRDefault="002F68E4" w:rsidP="002F68E4">
      <w:pPr>
        <w:shd w:val="clear" w:color="auto" w:fill="FFFFFF"/>
        <w:spacing w:line="254" w:lineRule="atLeast"/>
        <w:jc w:val="both"/>
        <w:rPr>
          <w:rFonts w:eastAsia="Times New Roman" w:cs="Times New Roman"/>
          <w:iCs/>
          <w:szCs w:val="28"/>
          <w:lang w:eastAsia="lv-LV"/>
        </w:rPr>
      </w:pPr>
    </w:p>
    <w:p w14:paraId="6B89EB16" w14:textId="0C8EF5A8" w:rsidR="002F68E4" w:rsidRPr="003C419B" w:rsidRDefault="003C419B" w:rsidP="003C419B">
      <w:pPr>
        <w:shd w:val="clear" w:color="auto" w:fill="FFFFFF"/>
        <w:spacing w:line="254" w:lineRule="atLeast"/>
        <w:jc w:val="both"/>
        <w:rPr>
          <w:rFonts w:eastAsia="Times New Roman" w:cs="Times New Roman"/>
          <w:iCs/>
          <w:szCs w:val="28"/>
          <w:lang w:eastAsia="lv-LV"/>
        </w:rPr>
      </w:pPr>
      <w:r w:rsidRPr="003C419B">
        <w:rPr>
          <w:rFonts w:eastAsia="Times New Roman" w:cs="Times New Roman"/>
          <w:iCs/>
          <w:szCs w:val="28"/>
          <w:lang w:eastAsia="lv-LV"/>
        </w:rPr>
        <w:t>22.</w:t>
      </w:r>
      <w:r>
        <w:rPr>
          <w:rFonts w:eastAsia="Times New Roman" w:cs="Times New Roman"/>
          <w:iCs/>
          <w:szCs w:val="28"/>
          <w:lang w:eastAsia="lv-LV"/>
        </w:rPr>
        <w:t xml:space="preserve"> </w:t>
      </w:r>
      <w:r w:rsidR="00F73AE7" w:rsidRPr="003C419B">
        <w:rPr>
          <w:rFonts w:eastAsia="Times New Roman" w:cs="Times New Roman"/>
          <w:iCs/>
          <w:szCs w:val="28"/>
          <w:lang w:eastAsia="lv-LV"/>
        </w:rPr>
        <w:t xml:space="preserve">Ministrija pēc tam, kad Eiropas Komisijas pieņēmusi lēmumu </w:t>
      </w:r>
      <w:r w:rsidR="00F73AE7" w:rsidRPr="003C419B">
        <w:rPr>
          <w:szCs w:val="28"/>
        </w:rPr>
        <w:t>par valsts a</w:t>
      </w:r>
      <w:r w:rsidR="00F0556E" w:rsidRPr="003C419B">
        <w:rPr>
          <w:szCs w:val="28"/>
        </w:rPr>
        <w:t>tbalsta nosacījumu atbilstību Eiropas Savienības</w:t>
      </w:r>
      <w:r w:rsidR="00F73AE7" w:rsidRPr="003C419B">
        <w:rPr>
          <w:szCs w:val="28"/>
        </w:rPr>
        <w:t xml:space="preserve"> iekšējā tirgus nosacījumiem atbalsta lietas SA.43140 (2015/NN) “Atbalsts elektroenerģijas ražotājiem” ietvaros, nosūta attiecīgu paziņojumu publicēšanai oficiālajā izdevumā “Latvijas Vēstnesis”.</w:t>
      </w:r>
    </w:p>
    <w:p w14:paraId="6EC3A82E" w14:textId="77777777" w:rsidR="00E350DE" w:rsidRPr="00E350DE" w:rsidRDefault="00E350DE" w:rsidP="002F68E4">
      <w:pPr>
        <w:shd w:val="clear" w:color="auto" w:fill="FFFFFF"/>
        <w:spacing w:line="254" w:lineRule="atLeast"/>
        <w:jc w:val="both"/>
        <w:rPr>
          <w:rFonts w:eastAsia="Times New Roman" w:cs="Times New Roman"/>
          <w:iCs/>
          <w:szCs w:val="28"/>
          <w:lang w:eastAsia="lv-LV"/>
        </w:rPr>
      </w:pPr>
    </w:p>
    <w:p w14:paraId="28D3E5E7" w14:textId="5450E73C" w:rsidR="00AC080B" w:rsidRDefault="00AC080B" w:rsidP="00AC080B">
      <w:pPr>
        <w:spacing w:before="120" w:after="120"/>
        <w:jc w:val="both"/>
      </w:pPr>
      <w:r>
        <w:t>Ministru prezidents</w:t>
      </w:r>
      <w:r>
        <w:tab/>
      </w:r>
      <w:r>
        <w:tab/>
      </w:r>
      <w:r>
        <w:tab/>
      </w:r>
      <w:r>
        <w:tab/>
      </w:r>
      <w:r>
        <w:tab/>
      </w:r>
      <w:r>
        <w:tab/>
      </w:r>
      <w:r>
        <w:tab/>
      </w:r>
      <w:proofErr w:type="spellStart"/>
      <w:r>
        <w:t>M.Kučinskis</w:t>
      </w:r>
      <w:proofErr w:type="spellEnd"/>
    </w:p>
    <w:p w14:paraId="6EC53BE5" w14:textId="77777777" w:rsidR="00AC080B" w:rsidRDefault="00AC080B" w:rsidP="00AC080B">
      <w:pPr>
        <w:spacing w:before="120" w:after="120"/>
        <w:jc w:val="both"/>
      </w:pPr>
    </w:p>
    <w:p w14:paraId="64279FB0" w14:textId="77777777" w:rsidR="00AC080B" w:rsidRDefault="00AC080B" w:rsidP="00AC080B">
      <w:pPr>
        <w:spacing w:before="120" w:after="120"/>
      </w:pPr>
      <w:r>
        <w:t>Ministru prezidenta biedrs,</w:t>
      </w:r>
    </w:p>
    <w:p w14:paraId="5F261BCC" w14:textId="185E5B3D" w:rsidR="00AC080B" w:rsidRDefault="00AC080B" w:rsidP="00AC080B">
      <w:pPr>
        <w:spacing w:before="120" w:after="120"/>
        <w:jc w:val="both"/>
      </w:pPr>
      <w:r>
        <w:t>ekonomikas ministrs</w:t>
      </w:r>
      <w:r>
        <w:tab/>
      </w:r>
      <w:r>
        <w:tab/>
      </w:r>
      <w:r>
        <w:tab/>
      </w:r>
      <w:r>
        <w:tab/>
      </w:r>
      <w:r>
        <w:tab/>
      </w:r>
      <w:r>
        <w:tab/>
      </w:r>
      <w:r>
        <w:tab/>
      </w:r>
      <w:proofErr w:type="spellStart"/>
      <w:r>
        <w:t>A.Ašeradens</w:t>
      </w:r>
      <w:proofErr w:type="spellEnd"/>
    </w:p>
    <w:p w14:paraId="54053A6C" w14:textId="77777777" w:rsidR="00AC080B" w:rsidRDefault="00AC080B" w:rsidP="00AC080B">
      <w:pPr>
        <w:spacing w:before="120" w:after="120"/>
        <w:jc w:val="both"/>
      </w:pPr>
    </w:p>
    <w:p w14:paraId="679F2EDA" w14:textId="77777777" w:rsidR="00AC080B" w:rsidRDefault="00AC080B" w:rsidP="00AC080B">
      <w:pPr>
        <w:spacing w:before="120" w:after="120"/>
        <w:jc w:val="both"/>
      </w:pPr>
      <w:r>
        <w:t>Iesniedzējs:</w:t>
      </w:r>
    </w:p>
    <w:p w14:paraId="60D5576E" w14:textId="77777777" w:rsidR="00AC080B" w:rsidRDefault="00AC080B" w:rsidP="00AC080B">
      <w:pPr>
        <w:spacing w:before="120" w:after="120"/>
      </w:pPr>
      <w:r>
        <w:t>Ministru prezidenta biedrs,</w:t>
      </w:r>
    </w:p>
    <w:p w14:paraId="738808ED" w14:textId="628A52A2" w:rsidR="00AC080B" w:rsidRDefault="00AC080B" w:rsidP="00AC080B">
      <w:pPr>
        <w:spacing w:before="120" w:after="120"/>
        <w:jc w:val="both"/>
      </w:pPr>
      <w:r>
        <w:t>ekonomikas ministrs</w:t>
      </w:r>
      <w:r>
        <w:tab/>
      </w:r>
      <w:r>
        <w:tab/>
      </w:r>
      <w:r>
        <w:tab/>
      </w:r>
      <w:r>
        <w:tab/>
      </w:r>
      <w:r>
        <w:tab/>
      </w:r>
      <w:r>
        <w:tab/>
      </w:r>
      <w:r>
        <w:tab/>
      </w:r>
      <w:proofErr w:type="spellStart"/>
      <w:r>
        <w:t>A.Ašeradens</w:t>
      </w:r>
      <w:proofErr w:type="spellEnd"/>
    </w:p>
    <w:p w14:paraId="57CA25D4" w14:textId="77777777" w:rsidR="00AC080B" w:rsidRDefault="00AC080B" w:rsidP="00AC080B">
      <w:pPr>
        <w:spacing w:before="120" w:after="120"/>
        <w:jc w:val="both"/>
      </w:pPr>
    </w:p>
    <w:p w14:paraId="44CB5080" w14:textId="77777777" w:rsidR="00AC080B" w:rsidRPr="004E4492" w:rsidRDefault="00AC080B" w:rsidP="00AC080B">
      <w:pPr>
        <w:pStyle w:val="EnvelopeReturn"/>
        <w:tabs>
          <w:tab w:val="right" w:pos="8222"/>
        </w:tabs>
        <w:spacing w:before="120" w:after="120"/>
        <w:jc w:val="both"/>
        <w:rPr>
          <w:sz w:val="28"/>
          <w:szCs w:val="28"/>
          <w:lang w:val="lv-LV"/>
        </w:rPr>
      </w:pPr>
      <w:r w:rsidRPr="004E4492">
        <w:rPr>
          <w:sz w:val="28"/>
          <w:szCs w:val="28"/>
          <w:lang w:val="lv-LV"/>
        </w:rPr>
        <w:t xml:space="preserve">Vīza: </w:t>
      </w:r>
    </w:p>
    <w:p w14:paraId="06E8F8E6" w14:textId="1120D3CD" w:rsidR="00AC080B" w:rsidRPr="004E4492" w:rsidRDefault="00AC080B" w:rsidP="00CF05BB">
      <w:pPr>
        <w:pStyle w:val="EnvelopeReturn"/>
        <w:tabs>
          <w:tab w:val="right" w:pos="0"/>
          <w:tab w:val="left" w:pos="7230"/>
        </w:tabs>
        <w:spacing w:before="120" w:after="120"/>
        <w:jc w:val="both"/>
        <w:rPr>
          <w:sz w:val="28"/>
          <w:szCs w:val="28"/>
          <w:lang w:val="lv-LV"/>
        </w:rPr>
      </w:pPr>
      <w:r w:rsidRPr="004E4492">
        <w:rPr>
          <w:sz w:val="28"/>
          <w:szCs w:val="28"/>
          <w:lang w:val="lv-LV"/>
        </w:rPr>
        <w:t>Valsts sekretār</w:t>
      </w:r>
      <w:r w:rsidR="00CF05BB">
        <w:rPr>
          <w:sz w:val="28"/>
          <w:szCs w:val="28"/>
          <w:lang w:val="lv-LV"/>
        </w:rPr>
        <w:t>s</w:t>
      </w:r>
      <w:r w:rsidR="00CF05BB">
        <w:rPr>
          <w:sz w:val="28"/>
          <w:szCs w:val="28"/>
          <w:lang w:val="lv-LV"/>
        </w:rPr>
        <w:tab/>
      </w:r>
      <w:proofErr w:type="spellStart"/>
      <w:r w:rsidR="00CF05BB">
        <w:rPr>
          <w:sz w:val="28"/>
          <w:szCs w:val="28"/>
          <w:lang w:val="lv-LV"/>
        </w:rPr>
        <w:t>J.Stinka</w:t>
      </w:r>
      <w:proofErr w:type="spellEnd"/>
    </w:p>
    <w:p w14:paraId="6C26F7E6" w14:textId="77777777" w:rsidR="00000202" w:rsidRDefault="00000202" w:rsidP="00000202">
      <w:pPr>
        <w:pStyle w:val="naislab"/>
        <w:spacing w:before="120" w:after="120"/>
        <w:jc w:val="left"/>
        <w:rPr>
          <w:sz w:val="20"/>
          <w:szCs w:val="20"/>
        </w:rPr>
      </w:pPr>
    </w:p>
    <w:p w14:paraId="2E012B6A" w14:textId="4856067E" w:rsidR="00000202" w:rsidRDefault="00105456" w:rsidP="00000202">
      <w:pPr>
        <w:rPr>
          <w:sz w:val="20"/>
        </w:rPr>
      </w:pPr>
      <w:r>
        <w:rPr>
          <w:sz w:val="20"/>
        </w:rPr>
        <w:t>26</w:t>
      </w:r>
      <w:r w:rsidR="00000202">
        <w:rPr>
          <w:sz w:val="20"/>
        </w:rPr>
        <w:t xml:space="preserve">.05.2016. </w:t>
      </w:r>
      <w:r w:rsidR="00FE1565">
        <w:rPr>
          <w:sz w:val="20"/>
        </w:rPr>
        <w:t>11:02</w:t>
      </w:r>
      <w:bookmarkStart w:id="6" w:name="_GoBack"/>
      <w:bookmarkEnd w:id="6"/>
    </w:p>
    <w:p w14:paraId="7DEB5AE5" w14:textId="2E8619FF" w:rsidR="00000202" w:rsidRDefault="00935AEC" w:rsidP="00000202">
      <w:pPr>
        <w:rPr>
          <w:sz w:val="20"/>
        </w:rPr>
      </w:pPr>
      <w:r>
        <w:rPr>
          <w:sz w:val="20"/>
        </w:rPr>
        <w:t>4173</w:t>
      </w:r>
    </w:p>
    <w:p w14:paraId="0DB4AB20" w14:textId="18849017" w:rsidR="00000202" w:rsidRPr="002763E8" w:rsidRDefault="00000202" w:rsidP="00000202">
      <w:pPr>
        <w:pStyle w:val="Header"/>
        <w:tabs>
          <w:tab w:val="clear" w:pos="4153"/>
          <w:tab w:val="clear" w:pos="8306"/>
        </w:tabs>
        <w:rPr>
          <w:color w:val="000000" w:themeColor="text1"/>
          <w:sz w:val="20"/>
          <w:szCs w:val="20"/>
        </w:rPr>
      </w:pPr>
      <w:proofErr w:type="spellStart"/>
      <w:r w:rsidRPr="002763E8">
        <w:rPr>
          <w:color w:val="000000" w:themeColor="text1"/>
          <w:sz w:val="20"/>
          <w:szCs w:val="20"/>
        </w:rPr>
        <w:t>I.Iļjina</w:t>
      </w:r>
      <w:proofErr w:type="spellEnd"/>
      <w:r w:rsidRPr="002763E8">
        <w:rPr>
          <w:color w:val="000000" w:themeColor="text1"/>
          <w:sz w:val="20"/>
          <w:szCs w:val="20"/>
        </w:rPr>
        <w:t>, 67013095</w:t>
      </w:r>
      <w:r w:rsidR="00105456">
        <w:rPr>
          <w:color w:val="000000" w:themeColor="text1"/>
          <w:sz w:val="20"/>
          <w:szCs w:val="20"/>
        </w:rPr>
        <w:t>,</w:t>
      </w:r>
      <w:hyperlink r:id="rId10" w:history="1">
        <w:r w:rsidRPr="002763E8">
          <w:rPr>
            <w:rStyle w:val="Hyperlink"/>
            <w:sz w:val="20"/>
            <w:szCs w:val="20"/>
          </w:rPr>
          <w:t>Inga.Iljina@em.gov.lv</w:t>
        </w:r>
      </w:hyperlink>
      <w:r w:rsidRPr="002763E8">
        <w:rPr>
          <w:sz w:val="20"/>
          <w:szCs w:val="20"/>
        </w:rPr>
        <w:t xml:space="preserve"> </w:t>
      </w:r>
      <w:r w:rsidRPr="002763E8">
        <w:rPr>
          <w:color w:val="000000" w:themeColor="text1"/>
          <w:sz w:val="20"/>
          <w:szCs w:val="20"/>
        </w:rPr>
        <w:t xml:space="preserve"> </w:t>
      </w:r>
    </w:p>
    <w:p w14:paraId="6715A524" w14:textId="77777777" w:rsidR="00000202" w:rsidRDefault="00000202" w:rsidP="00000202">
      <w:pPr>
        <w:pStyle w:val="Header"/>
        <w:tabs>
          <w:tab w:val="clear" w:pos="4153"/>
          <w:tab w:val="clear" w:pos="8306"/>
        </w:tabs>
        <w:rPr>
          <w:color w:val="000000" w:themeColor="text1"/>
          <w:sz w:val="20"/>
          <w:szCs w:val="20"/>
        </w:rPr>
      </w:pPr>
    </w:p>
    <w:p w14:paraId="7A91152A" w14:textId="187E771A" w:rsidR="00000202" w:rsidRDefault="00000202" w:rsidP="00000202">
      <w:pPr>
        <w:pStyle w:val="Header"/>
        <w:tabs>
          <w:tab w:val="clear" w:pos="4153"/>
          <w:tab w:val="clear" w:pos="8306"/>
        </w:tabs>
        <w:rPr>
          <w:color w:val="000000" w:themeColor="text1"/>
          <w:sz w:val="20"/>
          <w:szCs w:val="20"/>
        </w:rPr>
      </w:pPr>
      <w:proofErr w:type="spellStart"/>
      <w:r>
        <w:rPr>
          <w:color w:val="000000" w:themeColor="text1"/>
          <w:sz w:val="20"/>
          <w:szCs w:val="20"/>
        </w:rPr>
        <w:t>R.Meijers</w:t>
      </w:r>
      <w:proofErr w:type="spellEnd"/>
      <w:r>
        <w:rPr>
          <w:color w:val="000000" w:themeColor="text1"/>
          <w:sz w:val="20"/>
          <w:szCs w:val="20"/>
        </w:rPr>
        <w:t>,</w:t>
      </w:r>
      <w:r w:rsidR="00935AEC">
        <w:rPr>
          <w:color w:val="000000" w:themeColor="text1"/>
          <w:sz w:val="20"/>
          <w:szCs w:val="20"/>
        </w:rPr>
        <w:t xml:space="preserve"> </w:t>
      </w:r>
      <w:r>
        <w:rPr>
          <w:color w:val="000000" w:themeColor="text1"/>
          <w:sz w:val="20"/>
          <w:szCs w:val="20"/>
        </w:rPr>
        <w:t>67013176</w:t>
      </w:r>
      <w:r w:rsidR="00105456">
        <w:rPr>
          <w:color w:val="000000" w:themeColor="text1"/>
          <w:sz w:val="20"/>
          <w:szCs w:val="20"/>
        </w:rPr>
        <w:t xml:space="preserve">, </w:t>
      </w:r>
      <w:hyperlink r:id="rId11" w:history="1">
        <w:r w:rsidRPr="007C260D">
          <w:rPr>
            <w:rStyle w:val="Hyperlink"/>
            <w:sz w:val="20"/>
            <w:szCs w:val="20"/>
          </w:rPr>
          <w:t>Roberts.Meijers@em.gov.lv</w:t>
        </w:r>
      </w:hyperlink>
      <w:r w:rsidRPr="002763E8">
        <w:rPr>
          <w:sz w:val="20"/>
          <w:szCs w:val="20"/>
        </w:rPr>
        <w:t xml:space="preserve"> </w:t>
      </w:r>
      <w:r w:rsidRPr="002763E8">
        <w:rPr>
          <w:color w:val="000000" w:themeColor="text1"/>
          <w:sz w:val="20"/>
          <w:szCs w:val="20"/>
        </w:rPr>
        <w:t xml:space="preserve"> </w:t>
      </w:r>
    </w:p>
    <w:p w14:paraId="2AE5EC9D" w14:textId="77777777" w:rsidR="00000202" w:rsidRDefault="00000202" w:rsidP="00000202">
      <w:pPr>
        <w:pStyle w:val="Header"/>
        <w:tabs>
          <w:tab w:val="clear" w:pos="4153"/>
          <w:tab w:val="clear" w:pos="8306"/>
        </w:tabs>
        <w:rPr>
          <w:color w:val="000000" w:themeColor="text1"/>
          <w:sz w:val="20"/>
          <w:szCs w:val="20"/>
        </w:rPr>
      </w:pPr>
    </w:p>
    <w:p w14:paraId="377CF06F" w14:textId="46ABDA24" w:rsidR="00BD6296" w:rsidRDefault="00000202" w:rsidP="00105456">
      <w:pPr>
        <w:pStyle w:val="Header"/>
        <w:tabs>
          <w:tab w:val="clear" w:pos="4153"/>
          <w:tab w:val="clear" w:pos="8306"/>
        </w:tabs>
        <w:rPr>
          <w:sz w:val="20"/>
        </w:rPr>
      </w:pPr>
      <w:proofErr w:type="spellStart"/>
      <w:r>
        <w:rPr>
          <w:color w:val="000000" w:themeColor="text1"/>
          <w:sz w:val="20"/>
          <w:szCs w:val="20"/>
        </w:rPr>
        <w:t>H.Skarbnieks</w:t>
      </w:r>
      <w:proofErr w:type="spellEnd"/>
      <w:r>
        <w:rPr>
          <w:color w:val="000000" w:themeColor="text1"/>
          <w:sz w:val="20"/>
          <w:szCs w:val="20"/>
        </w:rPr>
        <w:t>,</w:t>
      </w:r>
      <w:r w:rsidR="00935AEC">
        <w:rPr>
          <w:color w:val="000000" w:themeColor="text1"/>
          <w:sz w:val="20"/>
          <w:szCs w:val="20"/>
        </w:rPr>
        <w:t xml:space="preserve"> </w:t>
      </w:r>
      <w:r>
        <w:rPr>
          <w:color w:val="000000" w:themeColor="text1"/>
          <w:sz w:val="20"/>
          <w:szCs w:val="20"/>
        </w:rPr>
        <w:t>67013226</w:t>
      </w:r>
      <w:r w:rsidR="00105456">
        <w:rPr>
          <w:color w:val="000000" w:themeColor="text1"/>
          <w:sz w:val="20"/>
          <w:szCs w:val="20"/>
        </w:rPr>
        <w:t xml:space="preserve">, </w:t>
      </w:r>
      <w:hyperlink r:id="rId12" w:history="1">
        <w:r w:rsidRPr="007C260D">
          <w:rPr>
            <w:rStyle w:val="Hyperlink"/>
            <w:sz w:val="20"/>
            <w:szCs w:val="20"/>
          </w:rPr>
          <w:t>Haralds.Skarbnieks@em.gov.lv</w:t>
        </w:r>
      </w:hyperlink>
      <w:r w:rsidRPr="002763E8">
        <w:rPr>
          <w:sz w:val="20"/>
          <w:szCs w:val="20"/>
        </w:rPr>
        <w:t xml:space="preserve"> </w:t>
      </w:r>
      <w:r w:rsidRPr="002763E8">
        <w:rPr>
          <w:color w:val="000000" w:themeColor="text1"/>
          <w:sz w:val="20"/>
          <w:szCs w:val="20"/>
        </w:rPr>
        <w:t xml:space="preserve"> </w:t>
      </w:r>
    </w:p>
    <w:sectPr w:rsidR="00BD6296" w:rsidSect="001423CC">
      <w:headerReference w:type="default" r:id="rId13"/>
      <w:footerReference w:type="default" r:id="rId14"/>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302E" w14:textId="77777777" w:rsidR="005D6D73" w:rsidRDefault="005D6D73" w:rsidP="009D281C">
      <w:r>
        <w:separator/>
      </w:r>
    </w:p>
  </w:endnote>
  <w:endnote w:type="continuationSeparator" w:id="0">
    <w:p w14:paraId="36C1BFB7" w14:textId="77777777" w:rsidR="005D6D73" w:rsidRDefault="005D6D73"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5C88" w14:textId="3DFE4D20" w:rsidR="005D6D73" w:rsidRPr="00000202" w:rsidRDefault="005D6D73" w:rsidP="00000202">
    <w:pPr>
      <w:contextualSpacing/>
      <w:jc w:val="both"/>
      <w:outlineLvl w:val="0"/>
      <w:rPr>
        <w:sz w:val="20"/>
        <w:szCs w:val="20"/>
      </w:rPr>
    </w:pPr>
    <w:r w:rsidRPr="00515F9D">
      <w:rPr>
        <w:sz w:val="20"/>
        <w:szCs w:val="20"/>
      </w:rPr>
      <w:t>E</w:t>
    </w:r>
    <w:r w:rsidR="00105456">
      <w:rPr>
        <w:sz w:val="20"/>
        <w:szCs w:val="20"/>
      </w:rPr>
      <w:t>MNot_26</w:t>
    </w:r>
    <w:r w:rsidRPr="00515F9D">
      <w:rPr>
        <w:sz w:val="20"/>
        <w:szCs w:val="20"/>
      </w:rPr>
      <w:t xml:space="preserve">0516_MK221; </w:t>
    </w:r>
    <w:r w:rsidRPr="00515F9D">
      <w:rPr>
        <w:color w:val="000000"/>
        <w:sz w:val="20"/>
        <w:szCs w:val="20"/>
      </w:rPr>
      <w:t>Mini</w:t>
    </w:r>
    <w:r>
      <w:rPr>
        <w:color w:val="000000"/>
        <w:sz w:val="20"/>
        <w:szCs w:val="20"/>
      </w:rPr>
      <w:t>stru kabineta noteikumu projekts</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9B42" w14:textId="77777777" w:rsidR="005D6D73" w:rsidRDefault="005D6D73" w:rsidP="009D281C">
      <w:r>
        <w:separator/>
      </w:r>
    </w:p>
  </w:footnote>
  <w:footnote w:type="continuationSeparator" w:id="0">
    <w:p w14:paraId="704F0950" w14:textId="77777777" w:rsidR="005D6D73" w:rsidRDefault="005D6D73" w:rsidP="009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1949"/>
      <w:docPartObj>
        <w:docPartGallery w:val="Page Numbers (Top of Page)"/>
        <w:docPartUnique/>
      </w:docPartObj>
    </w:sdtPr>
    <w:sdtEndPr>
      <w:rPr>
        <w:noProof/>
      </w:rPr>
    </w:sdtEndPr>
    <w:sdtContent>
      <w:p w14:paraId="5DB6984C" w14:textId="5A1BE595" w:rsidR="005D6D73" w:rsidRDefault="005D6D73">
        <w:pPr>
          <w:pStyle w:val="Header"/>
          <w:jc w:val="right"/>
        </w:pPr>
        <w:r>
          <w:fldChar w:fldCharType="begin"/>
        </w:r>
        <w:r>
          <w:instrText xml:space="preserve"> PAGE   \* MERGEFORMAT </w:instrText>
        </w:r>
        <w:r>
          <w:fldChar w:fldCharType="separate"/>
        </w:r>
        <w:r w:rsidR="00FE1565">
          <w:rPr>
            <w:noProof/>
          </w:rPr>
          <w:t>16</w:t>
        </w:r>
        <w:r>
          <w:rPr>
            <w:noProof/>
          </w:rPr>
          <w:fldChar w:fldCharType="end"/>
        </w:r>
      </w:p>
    </w:sdtContent>
  </w:sdt>
  <w:p w14:paraId="7ECFED1C" w14:textId="77777777" w:rsidR="005D6D73" w:rsidRDefault="005D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DC35741"/>
    <w:multiLevelType w:val="hybridMultilevel"/>
    <w:tmpl w:val="773EFF0C"/>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4" w15:restartNumberingAfterBreak="0">
    <w:nsid w:val="419F4085"/>
    <w:multiLevelType w:val="hybridMultilevel"/>
    <w:tmpl w:val="79DC59DE"/>
    <w:lvl w:ilvl="0" w:tplc="DB468BCC">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C0A4EF9"/>
    <w:multiLevelType w:val="hybridMultilevel"/>
    <w:tmpl w:val="01EE6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9F61C4"/>
    <w:multiLevelType w:val="hybridMultilevel"/>
    <w:tmpl w:val="9E7C9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1F6D09"/>
    <w:multiLevelType w:val="hybridMultilevel"/>
    <w:tmpl w:val="EA78A444"/>
    <w:lvl w:ilvl="0" w:tplc="77521E18">
      <w:start w:val="1"/>
      <w:numFmt w:val="decimal"/>
      <w:lvlText w:val="%1."/>
      <w:lvlJc w:val="left"/>
      <w:pPr>
        <w:ind w:left="768" w:hanging="408"/>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776E13A9"/>
    <w:multiLevelType w:val="hybridMultilevel"/>
    <w:tmpl w:val="638C8A88"/>
    <w:lvl w:ilvl="0" w:tplc="C9B6E616">
      <w:start w:val="1"/>
      <w:numFmt w:val="decimal"/>
      <w:lvlText w:val="%1."/>
      <w:lvlJc w:val="left"/>
      <w:pPr>
        <w:ind w:left="660" w:hanging="360"/>
      </w:pPr>
      <w:rPr>
        <w:rFonts w:eastAsiaTheme="minorHAnsi" w:cstheme="minorBid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786042FF"/>
    <w:multiLevelType w:val="hybridMultilevel"/>
    <w:tmpl w:val="3FE4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1"/>
  </w:num>
  <w:num w:numId="6">
    <w:abstractNumId w:val="7"/>
  </w:num>
  <w:num w:numId="7">
    <w:abstractNumId w:val="8"/>
  </w:num>
  <w:num w:numId="8">
    <w:abstractNumId w:val="3"/>
  </w:num>
  <w:num w:numId="9">
    <w:abstractNumId w:val="6"/>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02"/>
    <w:rsid w:val="00011522"/>
    <w:rsid w:val="00016616"/>
    <w:rsid w:val="000167FC"/>
    <w:rsid w:val="00024AE4"/>
    <w:rsid w:val="000320B3"/>
    <w:rsid w:val="00096FF9"/>
    <w:rsid w:val="000A123C"/>
    <w:rsid w:val="000A7F47"/>
    <w:rsid w:val="00105456"/>
    <w:rsid w:val="001148DB"/>
    <w:rsid w:val="0012373F"/>
    <w:rsid w:val="00126036"/>
    <w:rsid w:val="001423CC"/>
    <w:rsid w:val="00155809"/>
    <w:rsid w:val="00156F1F"/>
    <w:rsid w:val="00180FFB"/>
    <w:rsid w:val="001B2CDE"/>
    <w:rsid w:val="001C155B"/>
    <w:rsid w:val="001C161E"/>
    <w:rsid w:val="001D0874"/>
    <w:rsid w:val="002043DE"/>
    <w:rsid w:val="00225FDC"/>
    <w:rsid w:val="002311C1"/>
    <w:rsid w:val="002649C9"/>
    <w:rsid w:val="00264C1A"/>
    <w:rsid w:val="00265201"/>
    <w:rsid w:val="002A247F"/>
    <w:rsid w:val="002E5405"/>
    <w:rsid w:val="002F68E4"/>
    <w:rsid w:val="00312C6B"/>
    <w:rsid w:val="00317FE5"/>
    <w:rsid w:val="0032378D"/>
    <w:rsid w:val="00356D00"/>
    <w:rsid w:val="00356E88"/>
    <w:rsid w:val="00380645"/>
    <w:rsid w:val="00383440"/>
    <w:rsid w:val="00390BC0"/>
    <w:rsid w:val="0039253F"/>
    <w:rsid w:val="0039326B"/>
    <w:rsid w:val="003A77D1"/>
    <w:rsid w:val="003C419B"/>
    <w:rsid w:val="003E2AF9"/>
    <w:rsid w:val="00401473"/>
    <w:rsid w:val="0040161C"/>
    <w:rsid w:val="00407630"/>
    <w:rsid w:val="004116C3"/>
    <w:rsid w:val="0043163E"/>
    <w:rsid w:val="004567AC"/>
    <w:rsid w:val="00457CBD"/>
    <w:rsid w:val="00464526"/>
    <w:rsid w:val="00474DA0"/>
    <w:rsid w:val="004963BC"/>
    <w:rsid w:val="004E055C"/>
    <w:rsid w:val="004E4492"/>
    <w:rsid w:val="004F1A9F"/>
    <w:rsid w:val="005304FC"/>
    <w:rsid w:val="00532B29"/>
    <w:rsid w:val="0053790C"/>
    <w:rsid w:val="00542BE9"/>
    <w:rsid w:val="00553B7F"/>
    <w:rsid w:val="00563DC4"/>
    <w:rsid w:val="005652A4"/>
    <w:rsid w:val="005710D3"/>
    <w:rsid w:val="0058766D"/>
    <w:rsid w:val="005D029D"/>
    <w:rsid w:val="005D6D73"/>
    <w:rsid w:val="005F5238"/>
    <w:rsid w:val="005F5C9B"/>
    <w:rsid w:val="00600D90"/>
    <w:rsid w:val="00602F38"/>
    <w:rsid w:val="006203A9"/>
    <w:rsid w:val="00626C8C"/>
    <w:rsid w:val="00661D58"/>
    <w:rsid w:val="0068327D"/>
    <w:rsid w:val="00684D9C"/>
    <w:rsid w:val="0068612A"/>
    <w:rsid w:val="00692A67"/>
    <w:rsid w:val="006C70BD"/>
    <w:rsid w:val="006D4189"/>
    <w:rsid w:val="006E6E1B"/>
    <w:rsid w:val="00710669"/>
    <w:rsid w:val="007132F2"/>
    <w:rsid w:val="00714CCC"/>
    <w:rsid w:val="00725D79"/>
    <w:rsid w:val="0074039F"/>
    <w:rsid w:val="00747D2B"/>
    <w:rsid w:val="00761897"/>
    <w:rsid w:val="00775A4C"/>
    <w:rsid w:val="00785827"/>
    <w:rsid w:val="00796355"/>
    <w:rsid w:val="007A0480"/>
    <w:rsid w:val="007A28B9"/>
    <w:rsid w:val="007B5EDA"/>
    <w:rsid w:val="007B5F68"/>
    <w:rsid w:val="007C2502"/>
    <w:rsid w:val="007C642B"/>
    <w:rsid w:val="007D62C3"/>
    <w:rsid w:val="008417CE"/>
    <w:rsid w:val="0085135A"/>
    <w:rsid w:val="00865DFA"/>
    <w:rsid w:val="00872F4F"/>
    <w:rsid w:val="008831D9"/>
    <w:rsid w:val="008955D1"/>
    <w:rsid w:val="008A5D46"/>
    <w:rsid w:val="008C31A6"/>
    <w:rsid w:val="008D3FFE"/>
    <w:rsid w:val="008E0212"/>
    <w:rsid w:val="008E067B"/>
    <w:rsid w:val="009138FA"/>
    <w:rsid w:val="00935AEC"/>
    <w:rsid w:val="0093720F"/>
    <w:rsid w:val="009602DA"/>
    <w:rsid w:val="009626DE"/>
    <w:rsid w:val="009877DD"/>
    <w:rsid w:val="009A71C5"/>
    <w:rsid w:val="009B075F"/>
    <w:rsid w:val="009D0998"/>
    <w:rsid w:val="009D281C"/>
    <w:rsid w:val="009F59B8"/>
    <w:rsid w:val="00A13BC5"/>
    <w:rsid w:val="00A37BAA"/>
    <w:rsid w:val="00A40AA8"/>
    <w:rsid w:val="00A43537"/>
    <w:rsid w:val="00A45BA8"/>
    <w:rsid w:val="00A64FEE"/>
    <w:rsid w:val="00A77F00"/>
    <w:rsid w:val="00A80494"/>
    <w:rsid w:val="00A908FB"/>
    <w:rsid w:val="00AB4012"/>
    <w:rsid w:val="00AC080B"/>
    <w:rsid w:val="00AC1057"/>
    <w:rsid w:val="00AD2561"/>
    <w:rsid w:val="00AE1052"/>
    <w:rsid w:val="00B039DC"/>
    <w:rsid w:val="00B30294"/>
    <w:rsid w:val="00B834CA"/>
    <w:rsid w:val="00B93A45"/>
    <w:rsid w:val="00BB00C4"/>
    <w:rsid w:val="00BD6296"/>
    <w:rsid w:val="00BF7361"/>
    <w:rsid w:val="00C07B41"/>
    <w:rsid w:val="00C23730"/>
    <w:rsid w:val="00C244CE"/>
    <w:rsid w:val="00C36D14"/>
    <w:rsid w:val="00C859D3"/>
    <w:rsid w:val="00CA2DE8"/>
    <w:rsid w:val="00CA773D"/>
    <w:rsid w:val="00CB156D"/>
    <w:rsid w:val="00CC1383"/>
    <w:rsid w:val="00CF05BB"/>
    <w:rsid w:val="00D652F0"/>
    <w:rsid w:val="00D80F73"/>
    <w:rsid w:val="00D82019"/>
    <w:rsid w:val="00D849E6"/>
    <w:rsid w:val="00D928CA"/>
    <w:rsid w:val="00DA67D7"/>
    <w:rsid w:val="00DB52F5"/>
    <w:rsid w:val="00DC7A44"/>
    <w:rsid w:val="00E2412E"/>
    <w:rsid w:val="00E25667"/>
    <w:rsid w:val="00E300AE"/>
    <w:rsid w:val="00E350DE"/>
    <w:rsid w:val="00E44ED5"/>
    <w:rsid w:val="00E734F7"/>
    <w:rsid w:val="00E82E3D"/>
    <w:rsid w:val="00E86055"/>
    <w:rsid w:val="00E87E61"/>
    <w:rsid w:val="00E9604B"/>
    <w:rsid w:val="00EA5B7A"/>
    <w:rsid w:val="00EB3ABA"/>
    <w:rsid w:val="00EC7661"/>
    <w:rsid w:val="00ED03C9"/>
    <w:rsid w:val="00EE5027"/>
    <w:rsid w:val="00EF34C6"/>
    <w:rsid w:val="00EF723D"/>
    <w:rsid w:val="00F01361"/>
    <w:rsid w:val="00F0556E"/>
    <w:rsid w:val="00F1757D"/>
    <w:rsid w:val="00F20541"/>
    <w:rsid w:val="00F21AC6"/>
    <w:rsid w:val="00F33965"/>
    <w:rsid w:val="00F35426"/>
    <w:rsid w:val="00F53F62"/>
    <w:rsid w:val="00F56087"/>
    <w:rsid w:val="00F604D5"/>
    <w:rsid w:val="00F73AE7"/>
    <w:rsid w:val="00F90DD2"/>
    <w:rsid w:val="00FA6990"/>
    <w:rsid w:val="00FB0AE8"/>
    <w:rsid w:val="00FC401B"/>
    <w:rsid w:val="00FE1565"/>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208A"/>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242">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1485664749">
      <w:bodyDiv w:val="1"/>
      <w:marLeft w:val="0"/>
      <w:marRight w:val="0"/>
      <w:marTop w:val="0"/>
      <w:marBottom w:val="0"/>
      <w:divBdr>
        <w:top w:val="none" w:sz="0" w:space="0" w:color="auto"/>
        <w:left w:val="none" w:sz="0" w:space="0" w:color="auto"/>
        <w:bottom w:val="none" w:sz="0" w:space="0" w:color="auto"/>
        <w:right w:val="none" w:sz="0" w:space="0" w:color="auto"/>
      </w:divBdr>
    </w:div>
    <w:div w:id="1495301098">
      <w:bodyDiv w:val="1"/>
      <w:marLeft w:val="0"/>
      <w:marRight w:val="0"/>
      <w:marTop w:val="0"/>
      <w:marBottom w:val="0"/>
      <w:divBdr>
        <w:top w:val="none" w:sz="0" w:space="0" w:color="auto"/>
        <w:left w:val="none" w:sz="0" w:space="0" w:color="auto"/>
        <w:bottom w:val="none" w:sz="0" w:space="0" w:color="auto"/>
        <w:right w:val="none" w:sz="0" w:space="0" w:color="auto"/>
      </w:divBdr>
    </w:div>
    <w:div w:id="1927306851">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207458&amp;version_date=23.12.2015&amp;version_date_end=...&amp;grozijumi=0&amp;pielikumi=1&amp;saturs=0&amp;piezimes=0&amp;large_font=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alds.Skarbnieks@e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s.Meijers@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Iljina@em.gov.lv" TargetMode="External"/><Relationship Id="rId4" Type="http://schemas.openxmlformats.org/officeDocument/2006/relationships/settings" Target="settings.xml"/><Relationship Id="rId9" Type="http://schemas.openxmlformats.org/officeDocument/2006/relationships/hyperlink" Target="http://likumi.lv/ta/id/147673-noteikumi-par-elektroenergijas-razosanu-kogeneracij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C5BC-487B-433B-A67B-D8851846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17</Pages>
  <Words>21142</Words>
  <Characters>12052</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Inga Iļjina</cp:lastModifiedBy>
  <cp:revision>72</cp:revision>
  <cp:lastPrinted>2016-05-16T13:25:00Z</cp:lastPrinted>
  <dcterms:created xsi:type="dcterms:W3CDTF">2016-05-16T11:34:00Z</dcterms:created>
  <dcterms:modified xsi:type="dcterms:W3CDTF">2016-05-26T08:02:00Z</dcterms:modified>
</cp:coreProperties>
</file>