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823CB3" w:rsidRDefault="00D32E3B" w:rsidP="00B65C59">
      <w:pPr>
        <w:spacing w:after="0" w:line="240" w:lineRule="auto"/>
        <w:outlineLvl w:val="3"/>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p>
    <w:p w14:paraId="44A3619F" w14:textId="77777777" w:rsidR="004A505F" w:rsidRPr="00823CB3" w:rsidRDefault="004A505F" w:rsidP="005C42B1">
      <w:pPr>
        <w:spacing w:after="0" w:line="240" w:lineRule="auto"/>
        <w:jc w:val="center"/>
        <w:outlineLvl w:val="3"/>
        <w:rPr>
          <w:rFonts w:ascii="Times New Roman" w:eastAsia="Times New Roman" w:hAnsi="Times New Roman"/>
          <w:b/>
          <w:bCs/>
          <w:sz w:val="26"/>
          <w:szCs w:val="26"/>
          <w:lang w:eastAsia="lv-LV"/>
        </w:rPr>
      </w:pPr>
    </w:p>
    <w:p w14:paraId="527F531C" w14:textId="62DB18A1" w:rsidR="005C42B1" w:rsidRPr="00192E0E" w:rsidRDefault="00C05444" w:rsidP="00192E0E">
      <w:pPr>
        <w:spacing w:before="100" w:beforeAutospacing="1" w:after="100" w:afterAutospacing="1"/>
        <w:jc w:val="center"/>
        <w:outlineLvl w:val="2"/>
        <w:rPr>
          <w:rFonts w:ascii="Times New Roman" w:hAnsi="Times New Roman"/>
          <w:b/>
          <w:bCs/>
          <w:sz w:val="28"/>
          <w:szCs w:val="28"/>
        </w:rPr>
      </w:pPr>
      <w:r w:rsidRPr="00143A35">
        <w:rPr>
          <w:rFonts w:ascii="Times New Roman" w:eastAsia="Times New Roman" w:hAnsi="Times New Roman"/>
          <w:b/>
          <w:bCs/>
          <w:sz w:val="28"/>
          <w:szCs w:val="28"/>
          <w:lang w:eastAsia="lv-LV"/>
        </w:rPr>
        <w:t xml:space="preserve">Ministru kabineta noteikumu projekta </w:t>
      </w:r>
      <w:bookmarkStart w:id="4" w:name="OLE_LINK3"/>
      <w:bookmarkEnd w:id="0"/>
      <w:bookmarkEnd w:id="1"/>
      <w:r w:rsidR="00570815">
        <w:rPr>
          <w:rFonts w:ascii="Times New Roman" w:hAnsi="Times New Roman"/>
          <w:b/>
          <w:sz w:val="28"/>
          <w:szCs w:val="28"/>
        </w:rPr>
        <w:t>„</w:t>
      </w:r>
      <w:r w:rsidR="00143A35" w:rsidRPr="00143A35">
        <w:rPr>
          <w:rFonts w:ascii="Times New Roman" w:hAnsi="Times New Roman"/>
          <w:b/>
          <w:bCs/>
          <w:sz w:val="28"/>
          <w:szCs w:val="28"/>
        </w:rPr>
        <w:t>Grozījumi Ministru kabineta 2015.gada 14.jūlija n</w:t>
      </w:r>
      <w:r w:rsidR="00757316">
        <w:rPr>
          <w:rFonts w:ascii="Times New Roman" w:hAnsi="Times New Roman"/>
          <w:b/>
          <w:bCs/>
          <w:sz w:val="28"/>
          <w:szCs w:val="28"/>
        </w:rPr>
        <w:t>oteikumos Nr.409 „Nodibinājuma „</w:t>
      </w:r>
      <w:r w:rsidR="00143A35" w:rsidRPr="00143A35">
        <w:rPr>
          <w:rFonts w:ascii="Times New Roman" w:hAnsi="Times New Roman"/>
          <w:b/>
          <w:bCs/>
          <w:sz w:val="28"/>
          <w:szCs w:val="28"/>
        </w:rPr>
        <w:t>Akadēmiskās informācijas centrs” maksas pakalpojumu cenrādis”</w:t>
      </w:r>
      <w:bookmarkEnd w:id="4"/>
      <w:r w:rsidR="00143A35">
        <w:rPr>
          <w:rFonts w:ascii="Times New Roman" w:hAnsi="Times New Roman"/>
          <w:b/>
          <w:bCs/>
          <w:sz w:val="28"/>
          <w:szCs w:val="28"/>
        </w:rPr>
        <w:t xml:space="preserve">” </w:t>
      </w:r>
      <w:r w:rsidRPr="00143A35">
        <w:rPr>
          <w:rFonts w:ascii="Times New Roman" w:hAnsi="Times New Roman"/>
          <w:b/>
          <w:sz w:val="28"/>
          <w:szCs w:val="28"/>
        </w:rPr>
        <w:t>sākotnējās ietekmes novērtējuma ziņojums (anotācija)</w:t>
      </w:r>
      <w:bookmarkEnd w:id="2"/>
      <w:bookmarkEnd w:id="3"/>
    </w:p>
    <w:tbl>
      <w:tblPr>
        <w:tblW w:w="470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87"/>
        <w:gridCol w:w="1469"/>
        <w:gridCol w:w="6925"/>
      </w:tblGrid>
      <w:tr w:rsidR="00812271" w:rsidRPr="00823CB3" w14:paraId="2E5C4833" w14:textId="77777777" w:rsidTr="00B6352D">
        <w:trPr>
          <w:tblCellSpacing w:w="15" w:type="dxa"/>
        </w:trPr>
        <w:tc>
          <w:tcPr>
            <w:tcW w:w="4966" w:type="pct"/>
            <w:gridSpan w:val="3"/>
            <w:tcBorders>
              <w:top w:val="single" w:sz="6" w:space="0" w:color="auto"/>
              <w:left w:val="single" w:sz="6" w:space="0" w:color="auto"/>
              <w:bottom w:val="outset" w:sz="6" w:space="0" w:color="auto"/>
              <w:right w:val="single" w:sz="6" w:space="0" w:color="auto"/>
            </w:tcBorders>
            <w:vAlign w:val="center"/>
            <w:hideMark/>
          </w:tcPr>
          <w:p w14:paraId="79A4479D" w14:textId="77777777" w:rsidR="00392D00" w:rsidRPr="00823CB3" w:rsidRDefault="00392D00" w:rsidP="005C42B1">
            <w:pPr>
              <w:spacing w:after="0" w:line="240" w:lineRule="auto"/>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t>I. Tiesību akta projekta izstrādes nepieciešamība</w:t>
            </w:r>
          </w:p>
        </w:tc>
      </w:tr>
      <w:tr w:rsidR="00812271" w:rsidRPr="0069747C" w14:paraId="48059241" w14:textId="77777777" w:rsidTr="00B6352D">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254A913D" w14:textId="77777777" w:rsidR="00392D00" w:rsidRPr="0069747C" w:rsidRDefault="00392D00" w:rsidP="005C42B1">
            <w:pPr>
              <w:spacing w:after="0" w:line="240" w:lineRule="auto"/>
              <w:rPr>
                <w:rFonts w:ascii="Times New Roman" w:eastAsia="Times New Roman" w:hAnsi="Times New Roman"/>
                <w:sz w:val="26"/>
                <w:szCs w:val="26"/>
                <w:lang w:eastAsia="lv-LV"/>
              </w:rPr>
            </w:pPr>
            <w:r w:rsidRPr="0069747C">
              <w:rPr>
                <w:rFonts w:ascii="Times New Roman" w:eastAsia="Times New Roman" w:hAnsi="Times New Roman"/>
                <w:sz w:val="26"/>
                <w:szCs w:val="26"/>
                <w:lang w:eastAsia="lv-LV"/>
              </w:rPr>
              <w:t>1.</w:t>
            </w:r>
          </w:p>
        </w:tc>
        <w:tc>
          <w:tcPr>
            <w:tcW w:w="825" w:type="pct"/>
            <w:tcBorders>
              <w:top w:val="outset" w:sz="6" w:space="0" w:color="auto"/>
              <w:left w:val="outset" w:sz="6" w:space="0" w:color="auto"/>
              <w:bottom w:val="outset" w:sz="6" w:space="0" w:color="auto"/>
              <w:right w:val="outset" w:sz="6" w:space="0" w:color="auto"/>
            </w:tcBorders>
            <w:hideMark/>
          </w:tcPr>
          <w:p w14:paraId="38B29A4A" w14:textId="77777777" w:rsidR="00392D00" w:rsidRPr="0069747C" w:rsidRDefault="00392D00" w:rsidP="005C42B1">
            <w:pPr>
              <w:spacing w:after="0" w:line="240" w:lineRule="auto"/>
              <w:rPr>
                <w:rFonts w:ascii="Times New Roman" w:eastAsia="Times New Roman" w:hAnsi="Times New Roman"/>
                <w:sz w:val="26"/>
                <w:szCs w:val="26"/>
                <w:lang w:eastAsia="lv-LV"/>
              </w:rPr>
            </w:pPr>
            <w:r w:rsidRPr="0069747C">
              <w:rPr>
                <w:rFonts w:ascii="Times New Roman" w:eastAsia="Times New Roman" w:hAnsi="Times New Roman"/>
                <w:sz w:val="26"/>
                <w:szCs w:val="26"/>
                <w:lang w:eastAsia="lv-LV"/>
              </w:rPr>
              <w:t>Pamatojums</w:t>
            </w:r>
          </w:p>
        </w:tc>
        <w:tc>
          <w:tcPr>
            <w:tcW w:w="3911" w:type="pct"/>
            <w:tcBorders>
              <w:top w:val="outset" w:sz="6" w:space="0" w:color="auto"/>
              <w:left w:val="outset" w:sz="6" w:space="0" w:color="auto"/>
              <w:bottom w:val="outset" w:sz="6" w:space="0" w:color="auto"/>
              <w:right w:val="outset" w:sz="6" w:space="0" w:color="auto"/>
            </w:tcBorders>
            <w:hideMark/>
          </w:tcPr>
          <w:p w14:paraId="36D5ED83" w14:textId="561C479E" w:rsidR="00392D00" w:rsidRPr="00DB0717" w:rsidRDefault="00DB0717" w:rsidP="00B606B2">
            <w:pPr>
              <w:spacing w:after="0" w:line="240" w:lineRule="auto"/>
              <w:jc w:val="both"/>
              <w:rPr>
                <w:rFonts w:ascii="Times New Roman" w:eastAsia="Times New Roman" w:hAnsi="Times New Roman"/>
                <w:sz w:val="26"/>
                <w:szCs w:val="26"/>
                <w:lang w:eastAsia="lv-LV"/>
              </w:rPr>
            </w:pPr>
            <w:r w:rsidRPr="00DB0717">
              <w:rPr>
                <w:rFonts w:ascii="Times New Roman" w:eastAsia="Times New Roman" w:hAnsi="Times New Roman"/>
                <w:bCs/>
                <w:sz w:val="26"/>
                <w:szCs w:val="26"/>
                <w:lang w:eastAsia="lv-LV"/>
              </w:rPr>
              <w:t>Mini</w:t>
            </w:r>
            <w:r>
              <w:rPr>
                <w:rFonts w:ascii="Times New Roman" w:eastAsia="Times New Roman" w:hAnsi="Times New Roman"/>
                <w:bCs/>
                <w:sz w:val="26"/>
                <w:szCs w:val="26"/>
                <w:lang w:eastAsia="lv-LV"/>
              </w:rPr>
              <w:t>stru kabineta noteikumu projekts</w:t>
            </w:r>
            <w:r w:rsidRPr="00DB0717">
              <w:rPr>
                <w:rFonts w:ascii="Times New Roman" w:eastAsia="Times New Roman" w:hAnsi="Times New Roman"/>
                <w:bCs/>
                <w:sz w:val="26"/>
                <w:szCs w:val="26"/>
                <w:lang w:eastAsia="lv-LV"/>
              </w:rPr>
              <w:t xml:space="preserve"> </w:t>
            </w:r>
            <w:r w:rsidR="002577B0">
              <w:rPr>
                <w:rFonts w:ascii="Times New Roman" w:hAnsi="Times New Roman"/>
                <w:sz w:val="26"/>
                <w:szCs w:val="26"/>
              </w:rPr>
              <w:t>„</w:t>
            </w:r>
            <w:r w:rsidRPr="00DB0717">
              <w:rPr>
                <w:rFonts w:ascii="Times New Roman" w:hAnsi="Times New Roman"/>
                <w:bCs/>
                <w:sz w:val="26"/>
                <w:szCs w:val="26"/>
              </w:rPr>
              <w:t>Grozījumi Ministru kabineta 2015.gada 14.jūlija n</w:t>
            </w:r>
            <w:r w:rsidR="002577B0">
              <w:rPr>
                <w:rFonts w:ascii="Times New Roman" w:hAnsi="Times New Roman"/>
                <w:bCs/>
                <w:sz w:val="26"/>
                <w:szCs w:val="26"/>
              </w:rPr>
              <w:t>oteikumos Nr.409 „Nodibinājuma „</w:t>
            </w:r>
            <w:r w:rsidRPr="00DB0717">
              <w:rPr>
                <w:rFonts w:ascii="Times New Roman" w:hAnsi="Times New Roman"/>
                <w:bCs/>
                <w:sz w:val="26"/>
                <w:szCs w:val="26"/>
              </w:rPr>
              <w:t>Akadēmiskās informācijas centrs” maksas pakalpojumu cenrādis””</w:t>
            </w:r>
            <w:r>
              <w:rPr>
                <w:rFonts w:ascii="Times New Roman" w:hAnsi="Times New Roman"/>
                <w:bCs/>
                <w:sz w:val="26"/>
                <w:szCs w:val="26"/>
              </w:rPr>
              <w:t xml:space="preserve"> (turpmāk – projekts) ir izstrādāts, pamatojoties uz </w:t>
            </w:r>
            <w:r w:rsidRPr="00DB0717">
              <w:rPr>
                <w:rFonts w:ascii="Times New Roman" w:hAnsi="Times New Roman"/>
                <w:bCs/>
                <w:sz w:val="26"/>
                <w:szCs w:val="26"/>
              </w:rPr>
              <w:t xml:space="preserve"> </w:t>
            </w:r>
            <w:r>
              <w:rPr>
                <w:rFonts w:ascii="Times New Roman" w:eastAsia="Times New Roman" w:hAnsi="Times New Roman"/>
                <w:bCs/>
                <w:sz w:val="26"/>
                <w:szCs w:val="26"/>
                <w:lang w:eastAsia="lv-LV"/>
              </w:rPr>
              <w:t>l</w:t>
            </w:r>
            <w:r w:rsidRPr="00DB0717">
              <w:rPr>
                <w:rFonts w:ascii="Times New Roman" w:eastAsia="Times New Roman" w:hAnsi="Times New Roman"/>
                <w:bCs/>
                <w:sz w:val="26"/>
                <w:szCs w:val="26"/>
                <w:lang w:eastAsia="lv-LV"/>
              </w:rPr>
              <w:t>ikuma</w:t>
            </w:r>
            <w:r w:rsidR="002577B0">
              <w:rPr>
                <w:rFonts w:ascii="Times New Roman" w:eastAsia="Times New Roman" w:hAnsi="Times New Roman"/>
                <w:bCs/>
                <w:sz w:val="26"/>
                <w:szCs w:val="26"/>
                <w:lang w:eastAsia="lv-LV"/>
              </w:rPr>
              <w:t xml:space="preserve"> „</w:t>
            </w:r>
            <w:r w:rsidR="00192E0E" w:rsidRPr="00DB0717">
              <w:rPr>
                <w:rFonts w:ascii="Times New Roman" w:eastAsia="Times New Roman" w:hAnsi="Times New Roman"/>
                <w:bCs/>
                <w:sz w:val="26"/>
                <w:szCs w:val="26"/>
                <w:lang w:eastAsia="lv-LV"/>
              </w:rPr>
              <w:t>Par reglamentētajām profesijām un profesionālās kvalifikācijas atzīšanu”</w:t>
            </w:r>
            <w:r w:rsidRPr="00DB0717">
              <w:rPr>
                <w:rFonts w:ascii="Times New Roman" w:eastAsia="Times New Roman" w:hAnsi="Times New Roman"/>
                <w:bCs/>
                <w:sz w:val="26"/>
                <w:szCs w:val="26"/>
                <w:lang w:eastAsia="lv-LV"/>
              </w:rPr>
              <w:t xml:space="preserve"> (turpmāk – likums)</w:t>
            </w:r>
            <w:r w:rsidR="00192E0E" w:rsidRPr="00DB0717">
              <w:rPr>
                <w:rFonts w:ascii="Times New Roman" w:eastAsia="Times New Roman" w:hAnsi="Times New Roman"/>
                <w:bCs/>
                <w:sz w:val="26"/>
                <w:szCs w:val="26"/>
                <w:lang w:eastAsia="lv-LV"/>
              </w:rPr>
              <w:t xml:space="preserve"> </w:t>
            </w:r>
            <w:r w:rsidR="005F541E" w:rsidRPr="00DB0717">
              <w:rPr>
                <w:rFonts w:ascii="Times New Roman" w:hAnsi="Times New Roman"/>
                <w:sz w:val="26"/>
                <w:szCs w:val="26"/>
              </w:rPr>
              <w:t>55.</w:t>
            </w:r>
            <w:r w:rsidR="005F541E" w:rsidRPr="00DB0717">
              <w:rPr>
                <w:rFonts w:ascii="Times New Roman" w:hAnsi="Times New Roman"/>
                <w:sz w:val="26"/>
                <w:szCs w:val="26"/>
                <w:vertAlign w:val="superscript"/>
              </w:rPr>
              <w:t>1</w:t>
            </w:r>
            <w:r w:rsidR="005F541E" w:rsidRPr="00DB0717">
              <w:rPr>
                <w:rFonts w:ascii="Times New Roman" w:hAnsi="Times New Roman"/>
                <w:sz w:val="26"/>
                <w:szCs w:val="26"/>
              </w:rPr>
              <w:t xml:space="preserve"> panta ceturt</w:t>
            </w:r>
            <w:r>
              <w:rPr>
                <w:rFonts w:ascii="Times New Roman" w:hAnsi="Times New Roman"/>
                <w:sz w:val="26"/>
                <w:szCs w:val="26"/>
              </w:rPr>
              <w:t>o daļu</w:t>
            </w:r>
            <w:r w:rsidR="005F541E" w:rsidRPr="00DB0717">
              <w:rPr>
                <w:rFonts w:ascii="Times New Roman" w:hAnsi="Times New Roman"/>
                <w:sz w:val="26"/>
                <w:szCs w:val="26"/>
              </w:rPr>
              <w:t>,</w:t>
            </w:r>
            <w:r w:rsidR="005F541E" w:rsidRPr="00DB0717">
              <w:rPr>
                <w:rFonts w:ascii="Times New Roman" w:eastAsia="Times New Roman" w:hAnsi="Times New Roman"/>
                <w:bCs/>
                <w:sz w:val="26"/>
                <w:szCs w:val="26"/>
                <w:lang w:eastAsia="lv-LV"/>
              </w:rPr>
              <w:t xml:space="preserve"> </w:t>
            </w:r>
            <w:r w:rsidR="00192E0E" w:rsidRPr="00DB0717">
              <w:rPr>
                <w:rFonts w:ascii="Times New Roman" w:eastAsia="Times New Roman" w:hAnsi="Times New Roman"/>
                <w:bCs/>
                <w:sz w:val="26"/>
                <w:szCs w:val="26"/>
                <w:lang w:eastAsia="lv-LV"/>
              </w:rPr>
              <w:t>56.panta trešās da</w:t>
            </w:r>
            <w:r>
              <w:rPr>
                <w:rFonts w:ascii="Times New Roman" w:eastAsia="Times New Roman" w:hAnsi="Times New Roman"/>
                <w:bCs/>
                <w:sz w:val="26"/>
                <w:szCs w:val="26"/>
                <w:lang w:eastAsia="lv-LV"/>
              </w:rPr>
              <w:t>ļas 4.punktu</w:t>
            </w:r>
            <w:r w:rsidR="005F541E" w:rsidRPr="00DB0717">
              <w:rPr>
                <w:rFonts w:ascii="Times New Roman" w:eastAsia="Times New Roman" w:hAnsi="Times New Roman"/>
                <w:bCs/>
                <w:sz w:val="26"/>
                <w:szCs w:val="26"/>
                <w:lang w:eastAsia="lv-LV"/>
              </w:rPr>
              <w:t>.</w:t>
            </w:r>
          </w:p>
        </w:tc>
      </w:tr>
      <w:tr w:rsidR="00812271" w:rsidRPr="00823CB3" w14:paraId="47891B61" w14:textId="77777777" w:rsidTr="00B6352D">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18C8B563" w14:textId="77777777" w:rsidR="00392D00" w:rsidRPr="00823CB3" w:rsidRDefault="00392D00"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2.</w:t>
            </w:r>
          </w:p>
        </w:tc>
        <w:tc>
          <w:tcPr>
            <w:tcW w:w="825" w:type="pct"/>
            <w:tcBorders>
              <w:top w:val="outset" w:sz="6" w:space="0" w:color="auto"/>
              <w:left w:val="outset" w:sz="6" w:space="0" w:color="auto"/>
              <w:bottom w:val="outset" w:sz="6" w:space="0" w:color="auto"/>
              <w:right w:val="outset" w:sz="6" w:space="0" w:color="auto"/>
            </w:tcBorders>
            <w:hideMark/>
          </w:tcPr>
          <w:p w14:paraId="66E34E69" w14:textId="77777777" w:rsidR="00B72734" w:rsidRPr="00823CB3" w:rsidRDefault="00812271" w:rsidP="00322FF1">
            <w:pPr>
              <w:spacing w:after="0" w:line="240" w:lineRule="auto"/>
              <w:jc w:val="both"/>
              <w:rPr>
                <w:rFonts w:ascii="Times New Roman" w:eastAsia="Times New Roman" w:hAnsi="Times New Roman"/>
                <w:sz w:val="26"/>
                <w:szCs w:val="26"/>
                <w:lang w:eastAsia="lv-LV"/>
              </w:rPr>
            </w:pPr>
            <w:r w:rsidRPr="00823CB3">
              <w:rPr>
                <w:rFonts w:ascii="Times New Roman" w:hAnsi="Times New Roman"/>
                <w:sz w:val="26"/>
                <w:szCs w:val="26"/>
              </w:rPr>
              <w:t>Pašreizējā situācija un problēmas, kuru risināšanai tiesību akta projekts izstrādāts, tiesiskā regulējuma mērķis un būtība</w:t>
            </w:r>
          </w:p>
          <w:p w14:paraId="3943FBDE" w14:textId="77777777" w:rsidR="00B72734" w:rsidRPr="00823CB3" w:rsidRDefault="00B72734" w:rsidP="00B72734">
            <w:pPr>
              <w:rPr>
                <w:rFonts w:ascii="Times New Roman" w:eastAsia="Times New Roman" w:hAnsi="Times New Roman"/>
                <w:sz w:val="26"/>
                <w:szCs w:val="26"/>
                <w:lang w:eastAsia="lv-LV"/>
              </w:rPr>
            </w:pPr>
          </w:p>
          <w:p w14:paraId="002258CE" w14:textId="77777777" w:rsidR="00B72734" w:rsidRPr="00823CB3" w:rsidRDefault="00B72734" w:rsidP="00B72734">
            <w:pPr>
              <w:rPr>
                <w:rFonts w:ascii="Times New Roman" w:eastAsia="Times New Roman" w:hAnsi="Times New Roman"/>
                <w:sz w:val="26"/>
                <w:szCs w:val="26"/>
                <w:lang w:eastAsia="lv-LV"/>
              </w:rPr>
            </w:pPr>
          </w:p>
          <w:p w14:paraId="40B5928E" w14:textId="77777777" w:rsidR="00B72734" w:rsidRPr="00823CB3" w:rsidRDefault="00B72734" w:rsidP="00B72734">
            <w:pPr>
              <w:rPr>
                <w:rFonts w:ascii="Times New Roman" w:eastAsia="Times New Roman" w:hAnsi="Times New Roman"/>
                <w:sz w:val="26"/>
                <w:szCs w:val="26"/>
                <w:lang w:eastAsia="lv-LV"/>
              </w:rPr>
            </w:pPr>
          </w:p>
          <w:p w14:paraId="10C42283" w14:textId="77777777" w:rsidR="00B72734" w:rsidRPr="00823CB3" w:rsidRDefault="00B72734" w:rsidP="00B72734">
            <w:pPr>
              <w:rPr>
                <w:rFonts w:ascii="Times New Roman" w:eastAsia="Times New Roman" w:hAnsi="Times New Roman"/>
                <w:sz w:val="26"/>
                <w:szCs w:val="26"/>
                <w:lang w:eastAsia="lv-LV"/>
              </w:rPr>
            </w:pPr>
          </w:p>
          <w:p w14:paraId="4F6CC40B" w14:textId="77777777" w:rsidR="00B72734" w:rsidRPr="00823CB3" w:rsidRDefault="00B72734" w:rsidP="00B72734">
            <w:pPr>
              <w:rPr>
                <w:rFonts w:ascii="Times New Roman" w:eastAsia="Times New Roman" w:hAnsi="Times New Roman"/>
                <w:sz w:val="26"/>
                <w:szCs w:val="26"/>
                <w:lang w:eastAsia="lv-LV"/>
              </w:rPr>
            </w:pPr>
          </w:p>
          <w:p w14:paraId="1AA9CCA4" w14:textId="77777777" w:rsidR="00B72734" w:rsidRPr="00823CB3" w:rsidRDefault="00B72734" w:rsidP="00B72734">
            <w:pPr>
              <w:rPr>
                <w:rFonts w:ascii="Times New Roman" w:eastAsia="Times New Roman" w:hAnsi="Times New Roman"/>
                <w:sz w:val="26"/>
                <w:szCs w:val="26"/>
                <w:lang w:eastAsia="lv-LV"/>
              </w:rPr>
            </w:pPr>
          </w:p>
          <w:p w14:paraId="7F1C5F9B" w14:textId="77777777" w:rsidR="00392D00" w:rsidRPr="00823CB3" w:rsidRDefault="00392D00" w:rsidP="00B72734">
            <w:pPr>
              <w:jc w:val="center"/>
              <w:rPr>
                <w:rFonts w:ascii="Times New Roman" w:eastAsia="Times New Roman" w:hAnsi="Times New Roman"/>
                <w:sz w:val="26"/>
                <w:szCs w:val="26"/>
                <w:lang w:eastAsia="lv-LV"/>
              </w:rPr>
            </w:pPr>
          </w:p>
        </w:tc>
        <w:tc>
          <w:tcPr>
            <w:tcW w:w="3911" w:type="pct"/>
            <w:tcBorders>
              <w:top w:val="outset" w:sz="6" w:space="0" w:color="auto"/>
              <w:left w:val="outset" w:sz="6" w:space="0" w:color="auto"/>
              <w:bottom w:val="outset" w:sz="6" w:space="0" w:color="auto"/>
              <w:right w:val="outset" w:sz="6" w:space="0" w:color="auto"/>
            </w:tcBorders>
            <w:hideMark/>
          </w:tcPr>
          <w:p w14:paraId="67A35DE8" w14:textId="6943503F" w:rsidR="00D1469B" w:rsidRDefault="00862A84" w:rsidP="00396EBE">
            <w:pPr>
              <w:spacing w:after="0" w:line="240" w:lineRule="auto"/>
              <w:jc w:val="both"/>
              <w:rPr>
                <w:rFonts w:ascii="Times New Roman" w:hAnsi="Times New Roman"/>
                <w:bCs/>
                <w:sz w:val="26"/>
                <w:szCs w:val="26"/>
              </w:rPr>
            </w:pPr>
            <w:r>
              <w:rPr>
                <w:rFonts w:ascii="Times New Roman" w:hAnsi="Times New Roman"/>
                <w:bCs/>
                <w:sz w:val="26"/>
                <w:szCs w:val="26"/>
              </w:rPr>
              <w:t xml:space="preserve">     </w:t>
            </w:r>
            <w:r w:rsidR="00D1469B" w:rsidRPr="00DB0717">
              <w:rPr>
                <w:rFonts w:ascii="Times New Roman" w:hAnsi="Times New Roman"/>
                <w:bCs/>
                <w:sz w:val="26"/>
                <w:szCs w:val="26"/>
              </w:rPr>
              <w:t>Ministru kabinet</w:t>
            </w:r>
            <w:r w:rsidR="00D1469B">
              <w:rPr>
                <w:rFonts w:ascii="Times New Roman" w:hAnsi="Times New Roman"/>
                <w:bCs/>
                <w:sz w:val="26"/>
                <w:szCs w:val="26"/>
              </w:rPr>
              <w:t>a 2015.gada 14.jūlija noteikumi</w:t>
            </w:r>
            <w:r w:rsidR="002577B0">
              <w:rPr>
                <w:rFonts w:ascii="Times New Roman" w:hAnsi="Times New Roman"/>
                <w:bCs/>
                <w:sz w:val="26"/>
                <w:szCs w:val="26"/>
              </w:rPr>
              <w:t xml:space="preserve"> Nr.409 „Nodibinājuma „</w:t>
            </w:r>
            <w:r w:rsidR="00D1469B" w:rsidRPr="00DB0717">
              <w:rPr>
                <w:rFonts w:ascii="Times New Roman" w:hAnsi="Times New Roman"/>
                <w:bCs/>
                <w:sz w:val="26"/>
                <w:szCs w:val="26"/>
              </w:rPr>
              <w:t>Akadēmiskās informācijas centrs” maksas pakalpojumu cenrādis””</w:t>
            </w:r>
            <w:r w:rsidR="00D1469B">
              <w:rPr>
                <w:rFonts w:ascii="Times New Roman" w:hAnsi="Times New Roman"/>
                <w:bCs/>
                <w:sz w:val="26"/>
                <w:szCs w:val="26"/>
              </w:rPr>
              <w:t xml:space="preserve"> </w:t>
            </w:r>
            <w:r w:rsidR="00F505F8">
              <w:rPr>
                <w:rFonts w:ascii="Times New Roman" w:hAnsi="Times New Roman"/>
                <w:bCs/>
                <w:sz w:val="26"/>
                <w:szCs w:val="26"/>
              </w:rPr>
              <w:t xml:space="preserve">nosaka pakalpojumus, </w:t>
            </w:r>
            <w:r w:rsidR="00FC42D0">
              <w:rPr>
                <w:rFonts w:ascii="Times New Roman" w:hAnsi="Times New Roman"/>
                <w:bCs/>
                <w:sz w:val="26"/>
                <w:szCs w:val="26"/>
              </w:rPr>
              <w:t xml:space="preserve">kurus </w:t>
            </w:r>
            <w:r w:rsidR="002577B0">
              <w:rPr>
                <w:rFonts w:ascii="Times New Roman" w:hAnsi="Times New Roman"/>
                <w:bCs/>
                <w:sz w:val="26"/>
                <w:szCs w:val="26"/>
              </w:rPr>
              <w:t>nodibinājums „</w:t>
            </w:r>
            <w:r w:rsidR="00FC42D0">
              <w:rPr>
                <w:rFonts w:ascii="Times New Roman" w:hAnsi="Times New Roman"/>
                <w:bCs/>
                <w:sz w:val="26"/>
                <w:szCs w:val="26"/>
              </w:rPr>
              <w:t>Akadēmiskās informācijas centrs” (turpmāk – AIC) sniedz par maksu saskaņā ar Izglītības likumā un Augstskolu likumā noteiktajiem uzdevumiem.</w:t>
            </w:r>
            <w:r w:rsidR="000806B6">
              <w:rPr>
                <w:rFonts w:ascii="Times New Roman" w:hAnsi="Times New Roman"/>
                <w:bCs/>
                <w:sz w:val="26"/>
                <w:szCs w:val="26"/>
              </w:rPr>
              <w:t xml:space="preserve"> 2015.gada 12.</w:t>
            </w:r>
            <w:r w:rsidR="00B606B2">
              <w:rPr>
                <w:rFonts w:ascii="Times New Roman" w:hAnsi="Times New Roman"/>
                <w:bCs/>
                <w:sz w:val="26"/>
                <w:szCs w:val="26"/>
              </w:rPr>
              <w:t xml:space="preserve">novembrī </w:t>
            </w:r>
            <w:r w:rsidR="000806B6">
              <w:rPr>
                <w:rFonts w:ascii="Times New Roman" w:hAnsi="Times New Roman"/>
                <w:bCs/>
                <w:sz w:val="26"/>
                <w:szCs w:val="26"/>
              </w:rPr>
              <w:t>tika pieņemti grozījumi likumā, kas paredz jaunu uzdevumus AIC</w:t>
            </w:r>
            <w:r w:rsidR="00E8375B">
              <w:rPr>
                <w:rFonts w:ascii="Times New Roman" w:hAnsi="Times New Roman"/>
                <w:bCs/>
                <w:sz w:val="26"/>
                <w:szCs w:val="26"/>
              </w:rPr>
              <w:t>, tajā skaitā</w:t>
            </w:r>
            <w:r w:rsidR="000806B6">
              <w:rPr>
                <w:rFonts w:ascii="Times New Roman" w:eastAsia="Times New Roman" w:hAnsi="Times New Roman"/>
                <w:bCs/>
                <w:sz w:val="26"/>
                <w:szCs w:val="26"/>
                <w:lang w:eastAsia="lv-LV"/>
              </w:rPr>
              <w:t xml:space="preserve"> Eiropas profesionālās kartes</w:t>
            </w:r>
            <w:r w:rsidR="00F923EC">
              <w:rPr>
                <w:rFonts w:ascii="Times New Roman" w:eastAsia="Times New Roman" w:hAnsi="Times New Roman"/>
                <w:bCs/>
                <w:sz w:val="26"/>
                <w:szCs w:val="26"/>
                <w:lang w:eastAsia="lv-LV"/>
              </w:rPr>
              <w:t xml:space="preserve"> (turpmāk – EPK) pieteikumu saņemšanu un apstrādi un EPK</w:t>
            </w:r>
            <w:r w:rsidR="000806B6">
              <w:rPr>
                <w:rFonts w:ascii="Times New Roman" w:hAnsi="Times New Roman"/>
                <w:bCs/>
                <w:sz w:val="26"/>
                <w:szCs w:val="26"/>
              </w:rPr>
              <w:t xml:space="preserve"> </w:t>
            </w:r>
            <w:r w:rsidR="00C2299C">
              <w:rPr>
                <w:rFonts w:ascii="Times New Roman" w:hAnsi="Times New Roman"/>
                <w:bCs/>
                <w:sz w:val="26"/>
                <w:szCs w:val="26"/>
              </w:rPr>
              <w:t>izdo</w:t>
            </w:r>
            <w:r w:rsidR="00E445BC">
              <w:rPr>
                <w:rFonts w:ascii="Times New Roman" w:hAnsi="Times New Roman"/>
                <w:bCs/>
                <w:sz w:val="26"/>
                <w:szCs w:val="26"/>
              </w:rPr>
              <w:t>šanu.</w:t>
            </w:r>
            <w:r w:rsidR="00F923EC">
              <w:rPr>
                <w:rFonts w:ascii="Times New Roman" w:hAnsi="Times New Roman"/>
                <w:bCs/>
                <w:sz w:val="26"/>
                <w:szCs w:val="26"/>
              </w:rPr>
              <w:t xml:space="preserve"> </w:t>
            </w:r>
          </w:p>
          <w:p w14:paraId="3AC598E6" w14:textId="699C15A7" w:rsidR="00862A84" w:rsidRDefault="00862A84" w:rsidP="00396EBE">
            <w:pPr>
              <w:spacing w:after="0" w:line="240" w:lineRule="auto"/>
              <w:jc w:val="both"/>
              <w:rPr>
                <w:rFonts w:ascii="Times New Roman" w:hAnsi="Times New Roman"/>
                <w:bCs/>
                <w:sz w:val="26"/>
                <w:szCs w:val="26"/>
              </w:rPr>
            </w:pPr>
            <w:r>
              <w:rPr>
                <w:rFonts w:ascii="Times New Roman" w:hAnsi="Times New Roman"/>
                <w:sz w:val="26"/>
                <w:szCs w:val="26"/>
              </w:rPr>
              <w:t xml:space="preserve">     Pienākumu Latvijas Republikai nodrošināt EPK izdošanu nosaka </w:t>
            </w:r>
            <w:r w:rsidRPr="005949A8">
              <w:rPr>
                <w:rFonts w:ascii="Times New Roman" w:hAnsi="Times New Roman"/>
                <w:sz w:val="26"/>
                <w:szCs w:val="26"/>
              </w:rPr>
              <w:t xml:space="preserve">Eiropas Parlamenta un Padomes </w:t>
            </w:r>
            <w:r w:rsidRPr="005949A8">
              <w:rPr>
                <w:rFonts w:ascii="Times New Roman" w:hAnsi="Times New Roman"/>
                <w:bCs/>
                <w:sz w:val="26"/>
                <w:szCs w:val="26"/>
              </w:rPr>
              <w:t>2013.gada 20.novembra</w:t>
            </w:r>
            <w:r w:rsidRPr="005949A8">
              <w:rPr>
                <w:rFonts w:ascii="Times New Roman" w:hAnsi="Times New Roman"/>
                <w:sz w:val="26"/>
                <w:szCs w:val="26"/>
              </w:rPr>
              <w:t xml:space="preserve">      Direktīva Nr.</w:t>
            </w:r>
            <w:r w:rsidRPr="005949A8">
              <w:rPr>
                <w:rFonts w:ascii="Times New Roman" w:hAnsi="Times New Roman"/>
                <w:bCs/>
                <w:sz w:val="26"/>
                <w:szCs w:val="26"/>
              </w:rPr>
              <w:t xml:space="preserve">2013/55/ES, ar ko groza Direktīvu 2005/36/EK par profesionālo kvalifikāciju atzīšanu un Regulu (ES) Nr.1024/2012 par administratīvo sadarbību, izmantojot Iekšējā tirgus informācijas sistēmu (IMI regulu) (dokuments attiecas uz EEZ) (turpmāk – grozījumu direktīva) un </w:t>
            </w:r>
            <w:r w:rsidR="005478FA">
              <w:rPr>
                <w:rFonts w:ascii="Times New Roman" w:hAnsi="Times New Roman"/>
                <w:bCs/>
                <w:sz w:val="26"/>
                <w:szCs w:val="26"/>
              </w:rPr>
              <w:t xml:space="preserve">Eiropas </w:t>
            </w:r>
            <w:r w:rsidR="005478FA" w:rsidRPr="005949A8">
              <w:rPr>
                <w:rFonts w:ascii="Times New Roman" w:hAnsi="Times New Roman"/>
                <w:bCs/>
                <w:sz w:val="26"/>
                <w:szCs w:val="26"/>
              </w:rPr>
              <w:t xml:space="preserve">Komisijas </w:t>
            </w:r>
            <w:r w:rsidR="005478FA">
              <w:rPr>
                <w:rFonts w:ascii="Times New Roman" w:hAnsi="Times New Roman"/>
                <w:bCs/>
                <w:sz w:val="26"/>
                <w:szCs w:val="26"/>
              </w:rPr>
              <w:t>2015. gada 24. jūnija</w:t>
            </w:r>
            <w:r w:rsidR="005478FA" w:rsidRPr="005949A8">
              <w:rPr>
                <w:rFonts w:ascii="Times New Roman" w:hAnsi="Times New Roman"/>
                <w:bCs/>
                <w:sz w:val="26"/>
                <w:szCs w:val="26"/>
              </w:rPr>
              <w:t xml:space="preserve"> Īstenošanas regul</w:t>
            </w:r>
            <w:r w:rsidR="005478FA">
              <w:rPr>
                <w:rFonts w:ascii="Times New Roman" w:hAnsi="Times New Roman"/>
                <w:bCs/>
                <w:sz w:val="26"/>
                <w:szCs w:val="26"/>
              </w:rPr>
              <w:t>a Nr.2015/983</w:t>
            </w:r>
            <w:r w:rsidR="005478FA" w:rsidRPr="005949A8">
              <w:rPr>
                <w:rFonts w:ascii="Times New Roman" w:hAnsi="Times New Roman"/>
                <w:bCs/>
                <w:sz w:val="26"/>
                <w:szCs w:val="26"/>
              </w:rPr>
              <w:t xml:space="preserve"> </w:t>
            </w:r>
            <w:r w:rsidR="005478FA">
              <w:rPr>
                <w:rFonts w:ascii="Times New Roman" w:hAnsi="Times New Roman"/>
                <w:bCs/>
                <w:sz w:val="26"/>
                <w:szCs w:val="26"/>
              </w:rPr>
              <w:t>p</w:t>
            </w:r>
            <w:r w:rsidR="005478FA" w:rsidRPr="005949A8">
              <w:rPr>
                <w:rFonts w:ascii="Times New Roman" w:hAnsi="Times New Roman"/>
                <w:bCs/>
                <w:sz w:val="26"/>
                <w:szCs w:val="26"/>
              </w:rPr>
              <w:t>ar Eiropas profesionālās kartes izdošanu un brīdināšanas mehānisma piemērošanu saskaņā ar Eiropas Parlamenta un Padomes Direktīvu 2005/36/EK</w:t>
            </w:r>
            <w:r w:rsidRPr="005949A8">
              <w:rPr>
                <w:rFonts w:ascii="Times New Roman" w:hAnsi="Times New Roman"/>
                <w:bCs/>
                <w:sz w:val="26"/>
                <w:szCs w:val="26"/>
              </w:rPr>
              <w:t xml:space="preserve"> (turpmāk – regula).</w:t>
            </w:r>
            <w:r>
              <w:rPr>
                <w:rFonts w:ascii="Times New Roman" w:hAnsi="Times New Roman"/>
                <w:bCs/>
                <w:sz w:val="26"/>
                <w:szCs w:val="26"/>
              </w:rPr>
              <w:t xml:space="preserve"> </w:t>
            </w:r>
            <w:r w:rsidR="001463F6">
              <w:rPr>
                <w:rFonts w:ascii="Times New Roman" w:eastAsia="Times New Roman" w:hAnsi="Times New Roman"/>
                <w:bCs/>
                <w:sz w:val="26"/>
                <w:szCs w:val="26"/>
                <w:lang w:eastAsia="lv-LV"/>
              </w:rPr>
              <w:t xml:space="preserve">Grozījumu direktīvas 1.panta 5) daļa (par Direktīvas </w:t>
            </w:r>
            <w:r w:rsidR="001463F6" w:rsidRPr="005949A8">
              <w:rPr>
                <w:rFonts w:ascii="Times New Roman" w:hAnsi="Times New Roman"/>
                <w:bCs/>
                <w:sz w:val="26"/>
                <w:szCs w:val="26"/>
              </w:rPr>
              <w:t>2005/36/EK par profesionālo kvalifikāciju atzīšanu</w:t>
            </w:r>
            <w:r w:rsidR="001463F6">
              <w:rPr>
                <w:rFonts w:ascii="Times New Roman" w:eastAsia="Times New Roman" w:hAnsi="Times New Roman"/>
                <w:bCs/>
                <w:sz w:val="26"/>
                <w:szCs w:val="26"/>
                <w:lang w:eastAsia="lv-LV"/>
              </w:rPr>
              <w:t xml:space="preserve"> 4.a panta 8.punktu) nosaka, ka EPK izdošana var notikt par maksu. </w:t>
            </w:r>
          </w:p>
          <w:p w14:paraId="69CFAF70" w14:textId="23F7A493" w:rsidR="00AE1EA2" w:rsidRPr="009E0212" w:rsidRDefault="00AE1EA2" w:rsidP="00AE1EA2">
            <w:pPr>
              <w:spacing w:after="0" w:line="240" w:lineRule="auto"/>
              <w:jc w:val="both"/>
              <w:rPr>
                <w:rFonts w:ascii="Times New Roman" w:hAnsi="Times New Roman"/>
                <w:sz w:val="26"/>
                <w:szCs w:val="26"/>
              </w:rPr>
            </w:pPr>
            <w:r w:rsidRPr="009E0212">
              <w:rPr>
                <w:rFonts w:ascii="Times New Roman" w:eastAsia="Times New Roman" w:hAnsi="Times New Roman"/>
                <w:bCs/>
                <w:sz w:val="26"/>
                <w:szCs w:val="26"/>
                <w:lang w:eastAsia="lv-LV"/>
              </w:rPr>
              <w:t xml:space="preserve">     </w:t>
            </w:r>
            <w:r w:rsidRPr="009E0212">
              <w:rPr>
                <w:rFonts w:ascii="Times New Roman" w:hAnsi="Times New Roman"/>
                <w:bCs/>
                <w:sz w:val="26"/>
                <w:szCs w:val="26"/>
              </w:rPr>
              <w:t xml:space="preserve">EPK ir elektronisks sertifikāts, kas apliecina personas izglītību un profesionālo kvalifikāciju apliecinošo dokumentu atbilstību nosacījumiem, ar kādiem atzīstama pastāvīgai profesionālai darbībai vai īslaicīgu profesionālo pakalpojumu sniegšanai </w:t>
            </w:r>
            <w:r w:rsidR="000B6DC1" w:rsidRPr="009E0212">
              <w:rPr>
                <w:rFonts w:ascii="Times New Roman" w:hAnsi="Times New Roman"/>
                <w:sz w:val="26"/>
                <w:szCs w:val="26"/>
              </w:rPr>
              <w:t>Eiropas Savienības un</w:t>
            </w:r>
            <w:r w:rsidR="000B6DC1">
              <w:rPr>
                <w:rFonts w:ascii="Times New Roman" w:hAnsi="Times New Roman"/>
                <w:sz w:val="26"/>
                <w:szCs w:val="26"/>
              </w:rPr>
              <w:t xml:space="preserve"> Eiropas Ekonomikas zonas valstīs</w:t>
            </w:r>
            <w:r w:rsidR="000B6DC1" w:rsidRPr="009E0212">
              <w:rPr>
                <w:rFonts w:ascii="Times New Roman" w:hAnsi="Times New Roman"/>
                <w:sz w:val="26"/>
                <w:szCs w:val="26"/>
              </w:rPr>
              <w:t xml:space="preserve"> (turpmāk – dalībvalstis)</w:t>
            </w:r>
            <w:r w:rsidR="000B6DC1">
              <w:rPr>
                <w:rFonts w:ascii="Times New Roman" w:hAnsi="Times New Roman"/>
                <w:sz w:val="26"/>
                <w:szCs w:val="26"/>
              </w:rPr>
              <w:t xml:space="preserve"> </w:t>
            </w:r>
            <w:r w:rsidRPr="009E0212">
              <w:rPr>
                <w:rFonts w:ascii="Times New Roman" w:hAnsi="Times New Roman"/>
                <w:bCs/>
                <w:sz w:val="26"/>
                <w:szCs w:val="26"/>
              </w:rPr>
              <w:t xml:space="preserve"> nepieciešamā profesionālā kvalifikācija. </w:t>
            </w:r>
            <w:r w:rsidRPr="009E0212">
              <w:rPr>
                <w:rFonts w:ascii="Times New Roman" w:hAnsi="Times New Roman"/>
                <w:sz w:val="26"/>
                <w:szCs w:val="26"/>
              </w:rPr>
              <w:lastRenderedPageBreak/>
              <w:t xml:space="preserve">Lai arī EPK nebūs obligāta personai, ja tā izvēlēsies līdzšinējo profesionālo kvalifikāciju atzīšanas procedūru, </w:t>
            </w:r>
            <w:r w:rsidR="00AB3A73">
              <w:rPr>
                <w:rFonts w:ascii="Times New Roman" w:hAnsi="Times New Roman"/>
                <w:sz w:val="26"/>
                <w:szCs w:val="26"/>
              </w:rPr>
              <w:t xml:space="preserve">grozījumu </w:t>
            </w:r>
            <w:r w:rsidRPr="009E0212">
              <w:rPr>
                <w:rFonts w:ascii="Times New Roman" w:hAnsi="Times New Roman"/>
                <w:sz w:val="26"/>
                <w:szCs w:val="26"/>
              </w:rPr>
              <w:t>direktīva uzliek pienākumu</w:t>
            </w:r>
            <w:r w:rsidR="00E8375B">
              <w:rPr>
                <w:rFonts w:ascii="Times New Roman" w:hAnsi="Times New Roman"/>
                <w:sz w:val="26"/>
                <w:szCs w:val="26"/>
              </w:rPr>
              <w:t xml:space="preserve"> Latvijas Republikai un citām</w:t>
            </w:r>
            <w:r w:rsidRPr="009E0212">
              <w:rPr>
                <w:rFonts w:ascii="Times New Roman" w:hAnsi="Times New Roman"/>
                <w:sz w:val="26"/>
                <w:szCs w:val="26"/>
              </w:rPr>
              <w:t xml:space="preserve"> dalībvalstīm izveidot priekšnoteikumus, lai personām būtu iespējams izmantot savas tiesības saņemt EPK. EPK izdošanu Latvijā paredzēts organizēt maksimāli racionāli, nosakot tikai vienu par EPK izdošanu atbildīgo institūciju,</w:t>
            </w:r>
            <w:r w:rsidR="00862A84">
              <w:rPr>
                <w:rFonts w:ascii="Times New Roman" w:hAnsi="Times New Roman"/>
                <w:sz w:val="26"/>
                <w:szCs w:val="26"/>
              </w:rPr>
              <w:t xml:space="preserve"> </w:t>
            </w:r>
            <w:r>
              <w:rPr>
                <w:rFonts w:ascii="Times New Roman" w:hAnsi="Times New Roman"/>
                <w:sz w:val="26"/>
                <w:szCs w:val="26"/>
              </w:rPr>
              <w:t>t.i. AIC</w:t>
            </w:r>
            <w:r w:rsidR="00862A84">
              <w:rPr>
                <w:rFonts w:ascii="Times New Roman" w:hAnsi="Times New Roman"/>
                <w:sz w:val="26"/>
                <w:szCs w:val="26"/>
              </w:rPr>
              <w:t>,</w:t>
            </w:r>
            <w:r w:rsidRPr="009E0212">
              <w:rPr>
                <w:rFonts w:ascii="Times New Roman" w:hAnsi="Times New Roman"/>
                <w:sz w:val="26"/>
                <w:szCs w:val="26"/>
              </w:rPr>
              <w:t xml:space="preserve"> kaut arī regula ļauj izvēlēties katrai profesijai savu institūciju. </w:t>
            </w:r>
          </w:p>
          <w:p w14:paraId="06A99385" w14:textId="563E8EA8" w:rsidR="00760056" w:rsidRDefault="007A1770" w:rsidP="00396EBE">
            <w:pPr>
              <w:spacing w:after="0" w:line="240" w:lineRule="auto"/>
              <w:jc w:val="both"/>
              <w:rPr>
                <w:rFonts w:ascii="Times New Roman" w:hAnsi="Times New Roman"/>
                <w:bCs/>
                <w:sz w:val="26"/>
                <w:szCs w:val="26"/>
              </w:rPr>
            </w:pPr>
            <w:r>
              <w:rPr>
                <w:rFonts w:ascii="Times New Roman" w:hAnsi="Times New Roman"/>
                <w:bCs/>
                <w:sz w:val="26"/>
                <w:szCs w:val="26"/>
              </w:rPr>
              <w:t xml:space="preserve">      EPK izdošanas procedūra atvieglo profesionālās kvalifikācijas atzīšanas pakalpojuma saņemšanu personām ar profesionālo kvalifikāciju reglamentētā profesijā, kas vēlas saņemt EPK un veikt pastāvīgu profesionālu darbību vai sniegt īslaicīgu</w:t>
            </w:r>
            <w:r w:rsidR="00144526">
              <w:rPr>
                <w:rFonts w:ascii="Times New Roman" w:hAnsi="Times New Roman"/>
                <w:bCs/>
                <w:sz w:val="26"/>
                <w:szCs w:val="26"/>
              </w:rPr>
              <w:t>s</w:t>
            </w:r>
            <w:r>
              <w:rPr>
                <w:rFonts w:ascii="Times New Roman" w:hAnsi="Times New Roman"/>
                <w:bCs/>
                <w:sz w:val="26"/>
                <w:szCs w:val="26"/>
              </w:rPr>
              <w:t xml:space="preserve"> profesionālos pakalpojumus māsas, farmaceita, fizioterapeita, nekustamo īpašumu aģenta un kalnu gida profesijās</w:t>
            </w:r>
            <w:r w:rsidR="00144526">
              <w:rPr>
                <w:rFonts w:ascii="Times New Roman" w:hAnsi="Times New Roman"/>
                <w:bCs/>
                <w:sz w:val="26"/>
                <w:szCs w:val="26"/>
              </w:rPr>
              <w:t xml:space="preserve"> (nosauktajās profesijās tiek izdota EPK saskaņā ar regulu)</w:t>
            </w:r>
            <w:r>
              <w:rPr>
                <w:rFonts w:ascii="Times New Roman" w:hAnsi="Times New Roman"/>
                <w:bCs/>
                <w:sz w:val="26"/>
                <w:szCs w:val="26"/>
              </w:rPr>
              <w:t>, no kurām pēdējās divas Latvijā nav reglamentētās profesijas. Atvieglojums šīm personām izpaužas kā iespēja EPK pieteikumu izveidot</w:t>
            </w:r>
            <w:r w:rsidR="00841149">
              <w:rPr>
                <w:rFonts w:ascii="Times New Roman" w:hAnsi="Times New Roman"/>
                <w:bCs/>
                <w:sz w:val="26"/>
                <w:szCs w:val="26"/>
              </w:rPr>
              <w:t xml:space="preserve"> un turpmāk visas komunikācijas veikt</w:t>
            </w:r>
            <w:r>
              <w:rPr>
                <w:rFonts w:ascii="Times New Roman" w:hAnsi="Times New Roman"/>
                <w:bCs/>
                <w:sz w:val="26"/>
                <w:szCs w:val="26"/>
              </w:rPr>
              <w:t xml:space="preserve"> </w:t>
            </w:r>
            <w:r w:rsidR="00C662F5">
              <w:rPr>
                <w:rFonts w:ascii="Times New Roman" w:hAnsi="Times New Roman"/>
                <w:bCs/>
                <w:sz w:val="26"/>
                <w:szCs w:val="26"/>
              </w:rPr>
              <w:t>tiešsai</w:t>
            </w:r>
            <w:r w:rsidR="008E0B81">
              <w:rPr>
                <w:rFonts w:ascii="Times New Roman" w:hAnsi="Times New Roman"/>
                <w:bCs/>
                <w:sz w:val="26"/>
                <w:szCs w:val="26"/>
              </w:rPr>
              <w:t>s</w:t>
            </w:r>
            <w:r w:rsidR="00C662F5">
              <w:rPr>
                <w:rFonts w:ascii="Times New Roman" w:hAnsi="Times New Roman"/>
                <w:bCs/>
                <w:sz w:val="26"/>
                <w:szCs w:val="26"/>
              </w:rPr>
              <w:t xml:space="preserve">tē globālajā tīmeklī, t.i., </w:t>
            </w:r>
            <w:r>
              <w:rPr>
                <w:rFonts w:ascii="Times New Roman" w:hAnsi="Times New Roman"/>
                <w:bCs/>
                <w:sz w:val="26"/>
                <w:szCs w:val="26"/>
              </w:rPr>
              <w:t>attālin</w:t>
            </w:r>
            <w:r w:rsidR="00C662F5">
              <w:rPr>
                <w:rFonts w:ascii="Times New Roman" w:hAnsi="Times New Roman"/>
                <w:bCs/>
                <w:sz w:val="26"/>
                <w:szCs w:val="26"/>
              </w:rPr>
              <w:t>āti un sev ērtā laikā augšupielādējot visus nepieciešamos dokumentus</w:t>
            </w:r>
            <w:r w:rsidR="00841149">
              <w:rPr>
                <w:rFonts w:ascii="Times New Roman" w:hAnsi="Times New Roman"/>
                <w:bCs/>
                <w:sz w:val="26"/>
                <w:szCs w:val="26"/>
              </w:rPr>
              <w:t xml:space="preserve"> un tos papildinot nepieciešamības gadījumā</w:t>
            </w:r>
            <w:r w:rsidR="00C662F5">
              <w:rPr>
                <w:rFonts w:ascii="Times New Roman" w:hAnsi="Times New Roman"/>
                <w:bCs/>
                <w:sz w:val="26"/>
                <w:szCs w:val="26"/>
              </w:rPr>
              <w:t>.</w:t>
            </w:r>
            <w:r w:rsidR="00841149">
              <w:rPr>
                <w:rFonts w:ascii="Times New Roman" w:hAnsi="Times New Roman"/>
                <w:bCs/>
                <w:sz w:val="26"/>
                <w:szCs w:val="26"/>
              </w:rPr>
              <w:t xml:space="preserve"> </w:t>
            </w:r>
          </w:p>
          <w:p w14:paraId="1C12918E" w14:textId="77777777" w:rsidR="00144526" w:rsidRDefault="006F03FD" w:rsidP="00396EBE">
            <w:pPr>
              <w:spacing w:after="0" w:line="240" w:lineRule="auto"/>
              <w:jc w:val="both"/>
              <w:rPr>
                <w:rFonts w:ascii="Times New Roman" w:hAnsi="Times New Roman"/>
                <w:bCs/>
                <w:sz w:val="26"/>
                <w:szCs w:val="26"/>
              </w:rPr>
            </w:pPr>
            <w:r>
              <w:rPr>
                <w:rFonts w:ascii="Times New Roman" w:hAnsi="Times New Roman"/>
                <w:bCs/>
                <w:sz w:val="26"/>
                <w:szCs w:val="26"/>
              </w:rPr>
              <w:t xml:space="preserve">     </w:t>
            </w:r>
            <w:r w:rsidR="002443EC">
              <w:rPr>
                <w:rFonts w:ascii="Times New Roman" w:hAnsi="Times New Roman"/>
                <w:bCs/>
                <w:sz w:val="26"/>
                <w:szCs w:val="26"/>
              </w:rPr>
              <w:t>EPK izdošanas procedūras ir atšķirīgas atkarībā no tā, vai EPK tiek izdota pastāvīgai profesionālai darbībai vai īslaicīgu profesionālo pakalpojumu sniegšanai, kā arī no tā, vai reglamentētā profesija, kurā EPK tiek izdota</w:t>
            </w:r>
            <w:r w:rsidR="00B606B2">
              <w:rPr>
                <w:rFonts w:ascii="Times New Roman" w:hAnsi="Times New Roman"/>
                <w:bCs/>
                <w:sz w:val="26"/>
                <w:szCs w:val="26"/>
              </w:rPr>
              <w:t>,</w:t>
            </w:r>
            <w:r w:rsidR="002443EC">
              <w:rPr>
                <w:rFonts w:ascii="Times New Roman" w:hAnsi="Times New Roman"/>
                <w:bCs/>
                <w:sz w:val="26"/>
                <w:szCs w:val="26"/>
              </w:rPr>
              <w:t xml:space="preserve"> ir saistīta ar pakalpojumu saņēmēju veselību un drošību.</w:t>
            </w:r>
            <w:r w:rsidR="00FB4A14">
              <w:rPr>
                <w:rFonts w:ascii="Times New Roman" w:hAnsi="Times New Roman"/>
                <w:bCs/>
                <w:sz w:val="26"/>
                <w:szCs w:val="26"/>
              </w:rPr>
              <w:t xml:space="preserve"> Iesaistīto institūciju uzdevumi atšķiras arī atkarībā no tā, vai EPK pretendents profesionālo kvalifikāciju ir ieguvis Latvijā un vēlas saņemt EPK turpmākai profesionālai darbībai citā </w:t>
            </w:r>
            <w:r w:rsidR="00C22D5A">
              <w:rPr>
                <w:rFonts w:ascii="Times New Roman" w:hAnsi="Times New Roman"/>
                <w:bCs/>
                <w:sz w:val="26"/>
                <w:szCs w:val="26"/>
              </w:rPr>
              <w:t>dalībvalstī</w:t>
            </w:r>
            <w:r w:rsidR="004D767C">
              <w:rPr>
                <w:rFonts w:ascii="Times New Roman" w:hAnsi="Times New Roman"/>
                <w:bCs/>
                <w:sz w:val="26"/>
                <w:szCs w:val="26"/>
              </w:rPr>
              <w:t xml:space="preserve"> (šādā gadījumā AIC un citas institūcijas veic mītnes valsts kompetento institūciju pienākumus)</w:t>
            </w:r>
            <w:r w:rsidR="00C22D5A">
              <w:rPr>
                <w:rFonts w:ascii="Times New Roman" w:hAnsi="Times New Roman"/>
                <w:bCs/>
                <w:sz w:val="26"/>
                <w:szCs w:val="26"/>
              </w:rPr>
              <w:t xml:space="preserve"> un EPK izdošanas procesā ir iesaistīts tikai AIC</w:t>
            </w:r>
            <w:r w:rsidR="004D767C">
              <w:rPr>
                <w:rFonts w:ascii="Times New Roman" w:hAnsi="Times New Roman"/>
                <w:bCs/>
                <w:sz w:val="26"/>
                <w:szCs w:val="26"/>
              </w:rPr>
              <w:t xml:space="preserve">, vai arī EPK pretendents ir persona no citas dalībvalsts, kas pretendē uz EPK saņemšanu ar mērķi veikt profesionālo darbību Latvijā </w:t>
            </w:r>
            <w:r w:rsidR="004D767C" w:rsidRPr="00F3154A">
              <w:rPr>
                <w:rFonts w:ascii="Times New Roman" w:hAnsi="Times New Roman"/>
                <w:bCs/>
                <w:sz w:val="26"/>
                <w:szCs w:val="26"/>
              </w:rPr>
              <w:t xml:space="preserve">reglamentētā profesijā (šādā gadījumā AIC un citas institūcijas veic uzņemošās valsts kompetentās </w:t>
            </w:r>
            <w:r w:rsidR="00B606B2" w:rsidRPr="00F3154A">
              <w:rPr>
                <w:rFonts w:ascii="Times New Roman" w:hAnsi="Times New Roman"/>
                <w:bCs/>
                <w:sz w:val="26"/>
                <w:szCs w:val="26"/>
              </w:rPr>
              <w:t>institūcij</w:t>
            </w:r>
            <w:r w:rsidR="00B606B2">
              <w:rPr>
                <w:rFonts w:ascii="Times New Roman" w:hAnsi="Times New Roman"/>
                <w:bCs/>
                <w:sz w:val="26"/>
                <w:szCs w:val="26"/>
              </w:rPr>
              <w:t>as</w:t>
            </w:r>
            <w:r w:rsidR="00B606B2" w:rsidRPr="00F3154A">
              <w:rPr>
                <w:rFonts w:ascii="Times New Roman" w:hAnsi="Times New Roman"/>
                <w:bCs/>
                <w:sz w:val="26"/>
                <w:szCs w:val="26"/>
              </w:rPr>
              <w:t xml:space="preserve"> </w:t>
            </w:r>
            <w:r w:rsidR="004D767C" w:rsidRPr="00F3154A">
              <w:rPr>
                <w:rFonts w:ascii="Times New Roman" w:hAnsi="Times New Roman"/>
                <w:bCs/>
                <w:sz w:val="26"/>
                <w:szCs w:val="26"/>
              </w:rPr>
              <w:t>pienākumus</w:t>
            </w:r>
            <w:r w:rsidR="00C22D5A">
              <w:rPr>
                <w:rFonts w:ascii="Times New Roman" w:hAnsi="Times New Roman"/>
                <w:bCs/>
                <w:sz w:val="26"/>
                <w:szCs w:val="26"/>
              </w:rPr>
              <w:t xml:space="preserve"> un </w:t>
            </w:r>
            <w:r w:rsidR="00C22D5A" w:rsidRPr="00C22D5A">
              <w:rPr>
                <w:rFonts w:ascii="Times New Roman" w:hAnsi="Times New Roman"/>
                <w:bCs/>
                <w:sz w:val="26"/>
                <w:szCs w:val="26"/>
              </w:rPr>
              <w:t>procesā ir iesaistīts gan AIC, gan institūcijas</w:t>
            </w:r>
            <w:r w:rsidR="00C22D5A">
              <w:rPr>
                <w:rFonts w:ascii="Times New Roman" w:hAnsi="Times New Roman"/>
                <w:bCs/>
                <w:sz w:val="26"/>
                <w:szCs w:val="26"/>
              </w:rPr>
              <w:t xml:space="preserve">, kas izsniedz profesionālās kvalifikācijas atzīšanas apliecības reglamentētajās profesijā </w:t>
            </w:r>
            <w:r w:rsidR="00C22D5A" w:rsidRPr="006C756C">
              <w:rPr>
                <w:rFonts w:ascii="Times New Roman" w:hAnsi="Times New Roman"/>
                <w:sz w:val="26"/>
                <w:szCs w:val="26"/>
              </w:rPr>
              <w:t>(turpmāk – institūcija, kas izsniedz atzīšanas apliecības)</w:t>
            </w:r>
            <w:r w:rsidR="004D767C" w:rsidRPr="00F3154A">
              <w:rPr>
                <w:rFonts w:ascii="Times New Roman" w:hAnsi="Times New Roman"/>
                <w:bCs/>
                <w:sz w:val="26"/>
                <w:szCs w:val="26"/>
              </w:rPr>
              <w:t>).</w:t>
            </w:r>
            <w:r w:rsidR="00FE57F4" w:rsidRPr="00F3154A">
              <w:rPr>
                <w:rFonts w:ascii="Times New Roman" w:hAnsi="Times New Roman"/>
                <w:bCs/>
                <w:sz w:val="26"/>
                <w:szCs w:val="26"/>
              </w:rPr>
              <w:t xml:space="preserve"> </w:t>
            </w:r>
            <w:r w:rsidR="000E13FA" w:rsidRPr="00F3154A">
              <w:rPr>
                <w:rFonts w:ascii="Times New Roman" w:hAnsi="Times New Roman"/>
                <w:bCs/>
                <w:sz w:val="26"/>
                <w:szCs w:val="26"/>
              </w:rPr>
              <w:t xml:space="preserve">Uzskatāmības labad EPK izdošanas procedūra sarežģītākajam gadījumam (pastāvīgai profesionālajai darbībai vai īslaicīgiem profesionālajiem pakalpojumiem reglamentētajā profesijā, kas saistīta ar pakalpojuma saņēmēja veselību vai drošību) ir atspoguļota shēmā </w:t>
            </w:r>
            <w:r w:rsidR="00082859">
              <w:rPr>
                <w:rFonts w:ascii="Times New Roman" w:hAnsi="Times New Roman"/>
                <w:bCs/>
                <w:sz w:val="26"/>
                <w:szCs w:val="26"/>
              </w:rPr>
              <w:t>1.</w:t>
            </w:r>
            <w:r w:rsidR="000E13FA" w:rsidRPr="00F3154A">
              <w:rPr>
                <w:rFonts w:ascii="Times New Roman" w:hAnsi="Times New Roman"/>
                <w:bCs/>
                <w:sz w:val="26"/>
                <w:szCs w:val="26"/>
              </w:rPr>
              <w:t>pielikumā.</w:t>
            </w:r>
          </w:p>
          <w:p w14:paraId="7C0F990A" w14:textId="5A6F80F8" w:rsidR="002443EC" w:rsidRPr="009E1BD2" w:rsidRDefault="00144526" w:rsidP="00396EBE">
            <w:pPr>
              <w:spacing w:after="0" w:line="240" w:lineRule="auto"/>
              <w:jc w:val="both"/>
              <w:rPr>
                <w:rFonts w:ascii="Times New Roman" w:hAnsi="Times New Roman"/>
                <w:bCs/>
                <w:sz w:val="26"/>
                <w:szCs w:val="26"/>
              </w:rPr>
            </w:pPr>
            <w:r>
              <w:rPr>
                <w:rFonts w:ascii="Times New Roman" w:hAnsi="Times New Roman"/>
                <w:bCs/>
                <w:sz w:val="26"/>
                <w:szCs w:val="26"/>
              </w:rPr>
              <w:t xml:space="preserve">    Projekta paredz, ka maksa par EPK</w:t>
            </w:r>
            <w:r w:rsidR="00D57769">
              <w:rPr>
                <w:rFonts w:ascii="Times New Roman" w:hAnsi="Times New Roman"/>
                <w:bCs/>
                <w:sz w:val="26"/>
                <w:szCs w:val="26"/>
              </w:rPr>
              <w:t xml:space="preserve"> pieteikumu kalnu gida un nekustamo īpašumu aģenta profesijās apstrādi, tajā skaitā EPK </w:t>
            </w:r>
            <w:r w:rsidR="00D57769">
              <w:rPr>
                <w:rFonts w:ascii="Times New Roman" w:hAnsi="Times New Roman"/>
                <w:bCs/>
                <w:sz w:val="26"/>
                <w:szCs w:val="26"/>
              </w:rPr>
              <w:lastRenderedPageBreak/>
              <w:t>izdošanu, ja pretendenta dokumenti apliecinās, ka viņa iegūtā profesionālā kvalifikācija atbilst uzņemošās valsts prasībām īslaicīgu profesionālo pakalpojumu sniegšanai nosauktajās reglamentētajās profesijās,</w:t>
            </w:r>
            <w:r>
              <w:rPr>
                <w:rFonts w:ascii="Times New Roman" w:hAnsi="Times New Roman"/>
                <w:bCs/>
                <w:sz w:val="26"/>
                <w:szCs w:val="26"/>
              </w:rPr>
              <w:t xml:space="preserve"> būs </w:t>
            </w:r>
            <w:r w:rsidR="00D57769">
              <w:rPr>
                <w:rFonts w:ascii="Times New Roman" w:hAnsi="Times New Roman"/>
                <w:bCs/>
                <w:sz w:val="26"/>
                <w:szCs w:val="26"/>
              </w:rPr>
              <w:t xml:space="preserve">100 </w:t>
            </w:r>
            <w:r w:rsidR="00D57769">
              <w:rPr>
                <w:rFonts w:ascii="Times New Roman" w:hAnsi="Times New Roman"/>
                <w:bCs/>
                <w:i/>
                <w:sz w:val="26"/>
                <w:szCs w:val="26"/>
              </w:rPr>
              <w:t>euro</w:t>
            </w:r>
            <w:r w:rsidR="007D4D82">
              <w:rPr>
                <w:rFonts w:ascii="Times New Roman" w:hAnsi="Times New Roman"/>
                <w:bCs/>
                <w:sz w:val="26"/>
                <w:szCs w:val="26"/>
              </w:rPr>
              <w:t>. Māsām, farmaceitiem, fizioterapeitiem,</w:t>
            </w:r>
            <w:r w:rsidR="00586F3A">
              <w:rPr>
                <w:rFonts w:ascii="Times New Roman" w:hAnsi="Times New Roman"/>
                <w:bCs/>
                <w:sz w:val="26"/>
                <w:szCs w:val="26"/>
              </w:rPr>
              <w:t xml:space="preserve"> kuru izglītība un profesionālā kvalifikācija ir iegūta vai atzīta Latvijā</w:t>
            </w:r>
            <w:r w:rsidR="007D4D82">
              <w:rPr>
                <w:rFonts w:ascii="Times New Roman" w:hAnsi="Times New Roman"/>
                <w:bCs/>
                <w:sz w:val="26"/>
                <w:szCs w:val="26"/>
              </w:rPr>
              <w:t xml:space="preserve">, un kuri pretendē uz EPK, lai sniegtu īslaicīgus profesionālos pakalpojumus vai veiktu pastāvīgu profesionālo darbību nosauktajās profesijās ārvalstīs, EPK pieteikumu apstrāde tāpat izmaksās 100 </w:t>
            </w:r>
            <w:r w:rsidR="007D4D82">
              <w:rPr>
                <w:rFonts w:ascii="Times New Roman" w:hAnsi="Times New Roman"/>
                <w:bCs/>
                <w:i/>
                <w:sz w:val="26"/>
                <w:szCs w:val="26"/>
              </w:rPr>
              <w:t>euro</w:t>
            </w:r>
            <w:r w:rsidR="007D4D82">
              <w:rPr>
                <w:rFonts w:ascii="Times New Roman" w:hAnsi="Times New Roman"/>
                <w:bCs/>
                <w:sz w:val="26"/>
                <w:szCs w:val="26"/>
              </w:rPr>
              <w:t>, bet lēmumu par EPK izdošanu pieņems attiecīgās uzņemošās valsts kompetentā</w:t>
            </w:r>
            <w:r w:rsidR="000E13FA" w:rsidRPr="00F3154A">
              <w:rPr>
                <w:rFonts w:ascii="Times New Roman" w:hAnsi="Times New Roman"/>
                <w:bCs/>
                <w:sz w:val="26"/>
                <w:szCs w:val="26"/>
              </w:rPr>
              <w:t xml:space="preserve"> </w:t>
            </w:r>
            <w:r w:rsidR="007D4D82">
              <w:rPr>
                <w:rFonts w:ascii="Times New Roman" w:hAnsi="Times New Roman"/>
                <w:bCs/>
                <w:sz w:val="26"/>
                <w:szCs w:val="26"/>
              </w:rPr>
              <w:t xml:space="preserve">institūcija. </w:t>
            </w:r>
            <w:r w:rsidR="009E1BD2">
              <w:rPr>
                <w:rFonts w:ascii="Times New Roman" w:hAnsi="Times New Roman"/>
                <w:bCs/>
                <w:sz w:val="26"/>
                <w:szCs w:val="26"/>
              </w:rPr>
              <w:t>Māsām, farmaceitiem, fizioterapeitiem no citām Eiropas Savienības dalībvalstīm un Eiropas Ekonomiskās kopienas valstīm, kuri pretendēs uz EPK saņemšanu, lai</w:t>
            </w:r>
            <w:r w:rsidR="005E38B8">
              <w:rPr>
                <w:rFonts w:ascii="Times New Roman" w:hAnsi="Times New Roman"/>
                <w:bCs/>
                <w:sz w:val="26"/>
                <w:szCs w:val="26"/>
              </w:rPr>
              <w:t xml:space="preserve"> sniegtu</w:t>
            </w:r>
            <w:r w:rsidR="009E1BD2">
              <w:rPr>
                <w:rFonts w:ascii="Times New Roman" w:hAnsi="Times New Roman"/>
                <w:bCs/>
                <w:sz w:val="26"/>
                <w:szCs w:val="26"/>
              </w:rPr>
              <w:t xml:space="preserve"> īslaicīgus profesionālos pakalpojumus vai veiktu pastāvīgu profesionālo darbību nosauktajās profesijās Latvij</w:t>
            </w:r>
            <w:r w:rsidR="005E38B8">
              <w:rPr>
                <w:rFonts w:ascii="Times New Roman" w:hAnsi="Times New Roman"/>
                <w:bCs/>
                <w:sz w:val="26"/>
                <w:szCs w:val="26"/>
              </w:rPr>
              <w:t>ā,</w:t>
            </w:r>
            <w:r w:rsidR="009E1BD2">
              <w:rPr>
                <w:rFonts w:ascii="Times New Roman" w:hAnsi="Times New Roman"/>
                <w:bCs/>
                <w:sz w:val="26"/>
                <w:szCs w:val="26"/>
              </w:rPr>
              <w:t xml:space="preserve"> pieteikumu izskatīšana izmaksās 200 </w:t>
            </w:r>
            <w:r w:rsidR="009E1BD2">
              <w:rPr>
                <w:rFonts w:ascii="Times New Roman" w:hAnsi="Times New Roman"/>
                <w:bCs/>
                <w:i/>
                <w:sz w:val="26"/>
                <w:szCs w:val="26"/>
              </w:rPr>
              <w:t>euro.</w:t>
            </w:r>
          </w:p>
          <w:p w14:paraId="50A55557" w14:textId="77777777" w:rsidR="00F23904" w:rsidRPr="00823CB3" w:rsidRDefault="002443EC" w:rsidP="00F23904">
            <w:pPr>
              <w:spacing w:after="0" w:line="240" w:lineRule="auto"/>
              <w:jc w:val="both"/>
              <w:rPr>
                <w:rFonts w:ascii="Times New Roman" w:hAnsi="Times New Roman"/>
                <w:bCs/>
                <w:sz w:val="26"/>
                <w:szCs w:val="26"/>
              </w:rPr>
            </w:pPr>
            <w:r w:rsidRPr="00F3154A">
              <w:rPr>
                <w:rFonts w:ascii="Times New Roman" w:hAnsi="Times New Roman"/>
                <w:bCs/>
                <w:sz w:val="26"/>
                <w:szCs w:val="26"/>
              </w:rPr>
              <w:t xml:space="preserve">     </w:t>
            </w:r>
            <w:r w:rsidR="006F03FD" w:rsidRPr="00F3154A">
              <w:rPr>
                <w:rFonts w:ascii="Times New Roman" w:hAnsi="Times New Roman"/>
                <w:bCs/>
                <w:sz w:val="26"/>
                <w:szCs w:val="26"/>
              </w:rPr>
              <w:t>N</w:t>
            </w:r>
            <w:r w:rsidR="00760056" w:rsidRPr="00F3154A">
              <w:rPr>
                <w:rFonts w:ascii="Times New Roman" w:hAnsi="Times New Roman"/>
                <w:bCs/>
                <w:sz w:val="26"/>
                <w:szCs w:val="26"/>
              </w:rPr>
              <w:t>o EPK izdošanas procedūras nodrošināšanas</w:t>
            </w:r>
            <w:r w:rsidR="00760056">
              <w:rPr>
                <w:rFonts w:ascii="Times New Roman" w:hAnsi="Times New Roman"/>
                <w:bCs/>
                <w:sz w:val="26"/>
                <w:szCs w:val="26"/>
              </w:rPr>
              <w:t xml:space="preserve"> puses process kopumā nav uzskatāms par mazāk darbietilpīgu, salīdzinot ar </w:t>
            </w:r>
            <w:r w:rsidR="00D004F9">
              <w:rPr>
                <w:rFonts w:ascii="Times New Roman" w:hAnsi="Times New Roman"/>
                <w:bCs/>
                <w:sz w:val="26"/>
                <w:szCs w:val="26"/>
              </w:rPr>
              <w:t>līdz šim īstenoto profesionālās kvalifikācijas atzīšanas kārtību, iesniedzot dokumentus papīra formātā.</w:t>
            </w:r>
            <w:r w:rsidR="00F23904">
              <w:rPr>
                <w:rFonts w:ascii="Times New Roman" w:hAnsi="Times New Roman"/>
                <w:bCs/>
                <w:sz w:val="26"/>
                <w:szCs w:val="26"/>
              </w:rPr>
              <w:t xml:space="preserve"> </w:t>
            </w:r>
            <w:r w:rsidR="00F23904">
              <w:rPr>
                <w:rFonts w:ascii="Times New Roman" w:hAnsi="Times New Roman"/>
                <w:sz w:val="26"/>
                <w:szCs w:val="26"/>
              </w:rPr>
              <w:t>Profesionālās kvalifikācijas atzīšanas pakalpojumiem raksturīgs kopumā pieaugums gan kvantitatīvos, gan kvalitatīvos rādītājos, jo pieaug gan gadījumu skaits, gan to komplicētība, piemēram, pretendentu iegūtā izglītība un profesionālā pieredze arvien biežāk ir iegūta vairākās valstīs un tādēļ profesionālās kvalifikācijas ekspertam ir jāpārzina dažādas izglītības un reglamentēto profesiju sistēmas, kas prasa augstu kompetenci.</w:t>
            </w:r>
          </w:p>
          <w:p w14:paraId="27E280F2" w14:textId="77A8DA79" w:rsidR="00986947" w:rsidRDefault="001A1369" w:rsidP="00396EBE">
            <w:pPr>
              <w:spacing w:after="0" w:line="240" w:lineRule="auto"/>
              <w:jc w:val="both"/>
              <w:rPr>
                <w:rFonts w:ascii="Times New Roman" w:hAnsi="Times New Roman"/>
                <w:bCs/>
                <w:sz w:val="26"/>
                <w:szCs w:val="26"/>
              </w:rPr>
            </w:pPr>
            <w:r w:rsidRPr="002577B0">
              <w:rPr>
                <w:rFonts w:ascii="Times New Roman" w:hAnsi="Times New Roman"/>
                <w:bCs/>
                <w:sz w:val="26"/>
                <w:szCs w:val="26"/>
              </w:rPr>
              <w:t xml:space="preserve"> </w:t>
            </w:r>
            <w:r w:rsidR="00CA0D69" w:rsidRPr="002577B0">
              <w:rPr>
                <w:rFonts w:ascii="Times New Roman" w:hAnsi="Times New Roman"/>
                <w:bCs/>
                <w:sz w:val="26"/>
                <w:szCs w:val="26"/>
              </w:rPr>
              <w:t xml:space="preserve">     </w:t>
            </w:r>
            <w:r w:rsidRPr="002577B0">
              <w:rPr>
                <w:rFonts w:ascii="Times New Roman" w:hAnsi="Times New Roman"/>
                <w:bCs/>
                <w:sz w:val="26"/>
                <w:szCs w:val="26"/>
              </w:rPr>
              <w:t xml:space="preserve">Ir jāņem vērā, ka </w:t>
            </w:r>
            <w:r w:rsidR="008C7069" w:rsidRPr="002577B0">
              <w:rPr>
                <w:rFonts w:ascii="Times New Roman" w:hAnsi="Times New Roman"/>
                <w:bCs/>
                <w:sz w:val="26"/>
                <w:szCs w:val="26"/>
              </w:rPr>
              <w:t>profesionālās kvalifikācijas atzīšanas praksē apstiprinās tas, ka sakarā ar datortehnoloģiju straujo attīstību pieaug dokumentu viltojumu skaits un veidi, bet EPK pieteikumi būs elektroniski augšupielādēti skenētu oriģinālo dokumentu</w:t>
            </w:r>
            <w:r w:rsidR="00D303EE" w:rsidRPr="002577B0">
              <w:rPr>
                <w:rFonts w:ascii="Times New Roman" w:hAnsi="Times New Roman"/>
                <w:bCs/>
                <w:sz w:val="26"/>
                <w:szCs w:val="26"/>
              </w:rPr>
              <w:t>, iespējams,</w:t>
            </w:r>
            <w:r w:rsidR="008C7069" w:rsidRPr="002577B0">
              <w:rPr>
                <w:rFonts w:ascii="Times New Roman" w:hAnsi="Times New Roman"/>
                <w:bCs/>
                <w:sz w:val="26"/>
                <w:szCs w:val="26"/>
              </w:rPr>
              <w:t xml:space="preserve"> </w:t>
            </w:r>
            <w:r w:rsidR="00CA0D69" w:rsidRPr="002577B0">
              <w:rPr>
                <w:rFonts w:ascii="Times New Roman" w:hAnsi="Times New Roman"/>
                <w:bCs/>
                <w:sz w:val="26"/>
                <w:szCs w:val="26"/>
              </w:rPr>
              <w:t xml:space="preserve">melnbaltas </w:t>
            </w:r>
            <w:r w:rsidR="008C7069" w:rsidRPr="002577B0">
              <w:rPr>
                <w:rFonts w:ascii="Times New Roman" w:hAnsi="Times New Roman"/>
                <w:bCs/>
                <w:sz w:val="26"/>
                <w:szCs w:val="26"/>
              </w:rPr>
              <w:t>kopijas, t.i. bez iespējas ekspertiem iepazīties ar oriģinālajiem dokumentiem</w:t>
            </w:r>
            <w:r w:rsidR="00CB345B" w:rsidRPr="002577B0">
              <w:rPr>
                <w:rFonts w:ascii="Times New Roman" w:hAnsi="Times New Roman"/>
                <w:bCs/>
                <w:sz w:val="26"/>
                <w:szCs w:val="26"/>
              </w:rPr>
              <w:t xml:space="preserve"> papīra formātā</w:t>
            </w:r>
            <w:r w:rsidR="008C7069" w:rsidRPr="002577B0">
              <w:rPr>
                <w:rFonts w:ascii="Times New Roman" w:hAnsi="Times New Roman"/>
                <w:bCs/>
                <w:sz w:val="26"/>
                <w:szCs w:val="26"/>
              </w:rPr>
              <w:t xml:space="preserve"> un tajos iestrādātajiem drošības elementiem, līdz ar to ekspertu darba sarežģītība un komunikāciju skaits ar dokumentu  izdevējiestādēm pieaugs, lai gūtu pārliecību par dokumentu autentiskumu.</w:t>
            </w:r>
            <w:r w:rsidR="00975BB3">
              <w:rPr>
                <w:rFonts w:ascii="Times New Roman" w:hAnsi="Times New Roman"/>
                <w:bCs/>
                <w:sz w:val="26"/>
                <w:szCs w:val="26"/>
              </w:rPr>
              <w:t xml:space="preserve"> Tikai atsevišķos gadījumos, nevarot pārliecināties par dokumentu autentiskumu, EPK pretendentiem būs jāuzrāda dokumentu oriģināli. </w:t>
            </w:r>
            <w:r w:rsidR="00E55FF5">
              <w:rPr>
                <w:rFonts w:ascii="Times New Roman" w:hAnsi="Times New Roman"/>
                <w:bCs/>
                <w:sz w:val="26"/>
                <w:szCs w:val="26"/>
              </w:rPr>
              <w:t xml:space="preserve">EPK pieteikuma izvērtēšanā galvenās darbības ir </w:t>
            </w:r>
            <w:r w:rsidR="00986947" w:rsidRPr="00986947">
              <w:rPr>
                <w:rFonts w:ascii="Times New Roman" w:hAnsi="Times New Roman"/>
                <w:bCs/>
                <w:sz w:val="26"/>
                <w:szCs w:val="26"/>
              </w:rPr>
              <w:t>EPK pretendenta</w:t>
            </w:r>
            <w:r w:rsidR="001D464D">
              <w:rPr>
                <w:rFonts w:ascii="Times New Roman" w:hAnsi="Times New Roman"/>
                <w:bCs/>
                <w:sz w:val="26"/>
                <w:szCs w:val="26"/>
              </w:rPr>
              <w:t xml:space="preserve">: </w:t>
            </w:r>
            <w:r w:rsidR="00986947" w:rsidRPr="00986947">
              <w:rPr>
                <w:rFonts w:ascii="Times New Roman" w:hAnsi="Times New Roman"/>
                <w:bCs/>
                <w:sz w:val="26"/>
                <w:szCs w:val="26"/>
              </w:rPr>
              <w:t xml:space="preserve"> </w:t>
            </w:r>
          </w:p>
          <w:p w14:paraId="2308A762" w14:textId="2969C2B7" w:rsidR="00986947" w:rsidRPr="00986947" w:rsidRDefault="00986947" w:rsidP="00986947">
            <w:pPr>
              <w:pStyle w:val="ListParagraph"/>
              <w:numPr>
                <w:ilvl w:val="0"/>
                <w:numId w:val="5"/>
              </w:numPr>
              <w:spacing w:after="0" w:line="240" w:lineRule="auto"/>
              <w:jc w:val="both"/>
              <w:rPr>
                <w:rFonts w:ascii="Times New Roman" w:hAnsi="Times New Roman"/>
                <w:bCs/>
                <w:sz w:val="26"/>
                <w:szCs w:val="26"/>
              </w:rPr>
            </w:pPr>
            <w:r>
              <w:rPr>
                <w:rFonts w:ascii="Times New Roman" w:hAnsi="Times New Roman"/>
                <w:bCs/>
                <w:sz w:val="26"/>
                <w:szCs w:val="26"/>
                <w:lang w:val="lv-LV"/>
              </w:rPr>
              <w:t>i</w:t>
            </w:r>
            <w:r w:rsidRPr="00986947">
              <w:rPr>
                <w:rFonts w:ascii="Times New Roman" w:hAnsi="Times New Roman"/>
                <w:bCs/>
                <w:sz w:val="26"/>
                <w:szCs w:val="26"/>
              </w:rPr>
              <w:t xml:space="preserve">esniegto </w:t>
            </w:r>
            <w:r>
              <w:rPr>
                <w:rFonts w:ascii="Times New Roman" w:hAnsi="Times New Roman"/>
                <w:bCs/>
                <w:sz w:val="26"/>
                <w:szCs w:val="26"/>
                <w:lang w:val="lv-LV"/>
              </w:rPr>
              <w:t xml:space="preserve">personu apliecinošo un izglītību apliecinošo </w:t>
            </w:r>
            <w:r w:rsidRPr="00986947">
              <w:rPr>
                <w:rFonts w:ascii="Times New Roman" w:hAnsi="Times New Roman"/>
                <w:bCs/>
                <w:sz w:val="26"/>
                <w:szCs w:val="26"/>
              </w:rPr>
              <w:t xml:space="preserve">dokumentu </w:t>
            </w:r>
            <w:r w:rsidR="00E55FF5" w:rsidRPr="00986947">
              <w:rPr>
                <w:rFonts w:ascii="Times New Roman" w:hAnsi="Times New Roman"/>
                <w:bCs/>
                <w:sz w:val="26"/>
                <w:szCs w:val="26"/>
              </w:rPr>
              <w:t>autentiskuma un derīguma izvērtējums</w:t>
            </w:r>
            <w:r w:rsidR="00F3154A">
              <w:rPr>
                <w:rFonts w:ascii="Times New Roman" w:hAnsi="Times New Roman"/>
                <w:bCs/>
                <w:sz w:val="26"/>
                <w:szCs w:val="26"/>
                <w:lang w:val="lv-LV"/>
              </w:rPr>
              <w:t xml:space="preserve"> – veic </w:t>
            </w:r>
            <w:r w:rsidR="001D464D">
              <w:rPr>
                <w:rFonts w:ascii="Times New Roman" w:hAnsi="Times New Roman"/>
                <w:bCs/>
                <w:sz w:val="26"/>
                <w:szCs w:val="26"/>
                <w:lang w:val="lv-LV"/>
              </w:rPr>
              <w:t>AIC</w:t>
            </w:r>
            <w:r w:rsidR="00F3154A">
              <w:rPr>
                <w:rFonts w:ascii="Times New Roman" w:hAnsi="Times New Roman"/>
                <w:bCs/>
                <w:sz w:val="26"/>
                <w:szCs w:val="26"/>
                <w:lang w:val="lv-LV"/>
              </w:rPr>
              <w:t>,</w:t>
            </w:r>
          </w:p>
          <w:p w14:paraId="0BDAF402" w14:textId="0610F24F" w:rsidR="00AE1EA2" w:rsidRPr="00986947" w:rsidRDefault="00986947" w:rsidP="00986947">
            <w:pPr>
              <w:pStyle w:val="ListParagraph"/>
              <w:numPr>
                <w:ilvl w:val="0"/>
                <w:numId w:val="5"/>
              </w:numPr>
              <w:spacing w:after="0" w:line="240" w:lineRule="auto"/>
              <w:jc w:val="both"/>
              <w:rPr>
                <w:rFonts w:ascii="Times New Roman" w:hAnsi="Times New Roman"/>
                <w:bCs/>
                <w:sz w:val="26"/>
                <w:szCs w:val="26"/>
              </w:rPr>
            </w:pPr>
            <w:r>
              <w:rPr>
                <w:rFonts w:ascii="Times New Roman" w:hAnsi="Times New Roman"/>
                <w:bCs/>
                <w:sz w:val="26"/>
                <w:szCs w:val="26"/>
                <w:lang w:val="lv-LV"/>
              </w:rPr>
              <w:t xml:space="preserve">profesionālo kvalifikāciju apliecinošo dokumentu izvērtējums, vai ir izpildītas visas prasības, kas izvirzītas </w:t>
            </w:r>
            <w:r>
              <w:rPr>
                <w:rFonts w:ascii="Times New Roman" w:hAnsi="Times New Roman"/>
                <w:bCs/>
                <w:sz w:val="26"/>
                <w:szCs w:val="26"/>
                <w:lang w:val="lv-LV"/>
              </w:rPr>
              <w:lastRenderedPageBreak/>
              <w:t xml:space="preserve">profesionālajai darbībai </w:t>
            </w:r>
            <w:r w:rsidR="001B7A46">
              <w:rPr>
                <w:rFonts w:ascii="Times New Roman" w:hAnsi="Times New Roman"/>
                <w:bCs/>
                <w:sz w:val="26"/>
                <w:szCs w:val="26"/>
                <w:lang w:val="lv-LV"/>
              </w:rPr>
              <w:t>konk</w:t>
            </w:r>
            <w:r w:rsidR="00F3154A">
              <w:rPr>
                <w:rFonts w:ascii="Times New Roman" w:hAnsi="Times New Roman"/>
                <w:bCs/>
                <w:sz w:val="26"/>
                <w:szCs w:val="26"/>
                <w:lang w:val="lv-LV"/>
              </w:rPr>
              <w:t xml:space="preserve">rētajā reglamentētajā profesijā </w:t>
            </w:r>
            <w:r w:rsidR="00C22D5A">
              <w:rPr>
                <w:rFonts w:ascii="Times New Roman" w:hAnsi="Times New Roman"/>
                <w:bCs/>
                <w:sz w:val="26"/>
                <w:szCs w:val="26"/>
                <w:lang w:val="lv-LV"/>
              </w:rPr>
              <w:t>–</w:t>
            </w:r>
            <w:r w:rsidR="00F3154A">
              <w:rPr>
                <w:rFonts w:ascii="Times New Roman" w:hAnsi="Times New Roman"/>
                <w:bCs/>
                <w:sz w:val="26"/>
                <w:szCs w:val="26"/>
                <w:lang w:val="lv-LV"/>
              </w:rPr>
              <w:t xml:space="preserve"> veic</w:t>
            </w:r>
            <w:r w:rsidR="00C22D5A">
              <w:rPr>
                <w:rFonts w:ascii="Times New Roman" w:hAnsi="Times New Roman"/>
                <w:bCs/>
                <w:sz w:val="26"/>
                <w:szCs w:val="26"/>
                <w:lang w:val="lv-LV"/>
              </w:rPr>
              <w:t xml:space="preserve"> </w:t>
            </w:r>
            <w:r w:rsidR="00C22D5A" w:rsidRPr="006C756C">
              <w:rPr>
                <w:rFonts w:ascii="Times New Roman" w:hAnsi="Times New Roman"/>
                <w:sz w:val="26"/>
                <w:szCs w:val="26"/>
              </w:rPr>
              <w:t>institūcija, kas izsniedz atzīšanas apliecības</w:t>
            </w:r>
            <w:r w:rsidR="00C22D5A">
              <w:rPr>
                <w:rFonts w:ascii="Times New Roman" w:hAnsi="Times New Roman"/>
                <w:sz w:val="26"/>
                <w:szCs w:val="26"/>
                <w:lang w:val="lv-LV"/>
              </w:rPr>
              <w:t>.</w:t>
            </w:r>
          </w:p>
          <w:p w14:paraId="3E539B11" w14:textId="77777777" w:rsidR="00636B4D" w:rsidRDefault="004F6B33" w:rsidP="00396EBE">
            <w:pPr>
              <w:spacing w:after="0" w:line="240" w:lineRule="auto"/>
              <w:jc w:val="both"/>
              <w:rPr>
                <w:rFonts w:ascii="Times New Roman" w:hAnsi="Times New Roman"/>
                <w:bCs/>
                <w:sz w:val="26"/>
                <w:szCs w:val="26"/>
              </w:rPr>
            </w:pPr>
            <w:r>
              <w:rPr>
                <w:rFonts w:ascii="Times New Roman" w:hAnsi="Times New Roman"/>
                <w:bCs/>
                <w:sz w:val="26"/>
                <w:szCs w:val="26"/>
              </w:rPr>
              <w:t xml:space="preserve">     </w:t>
            </w:r>
            <w:r w:rsidR="00EC3A3B">
              <w:rPr>
                <w:rFonts w:ascii="Times New Roman" w:hAnsi="Times New Roman"/>
                <w:bCs/>
                <w:sz w:val="26"/>
                <w:szCs w:val="26"/>
              </w:rPr>
              <w:t>Galvenās iesaistītās instit</w:t>
            </w:r>
            <w:r w:rsidR="00144550">
              <w:rPr>
                <w:rFonts w:ascii="Times New Roman" w:hAnsi="Times New Roman"/>
                <w:bCs/>
                <w:sz w:val="26"/>
                <w:szCs w:val="26"/>
              </w:rPr>
              <w:t>ūcijas ir AIC un</w:t>
            </w:r>
            <w:r w:rsidR="00F3154A">
              <w:rPr>
                <w:rFonts w:ascii="Times New Roman" w:hAnsi="Times New Roman"/>
                <w:bCs/>
                <w:sz w:val="26"/>
                <w:szCs w:val="26"/>
              </w:rPr>
              <w:t xml:space="preserve"> </w:t>
            </w:r>
            <w:r w:rsidR="00F3154A" w:rsidRPr="006C756C">
              <w:rPr>
                <w:rFonts w:ascii="Times New Roman" w:hAnsi="Times New Roman"/>
                <w:sz w:val="26"/>
                <w:szCs w:val="26"/>
              </w:rPr>
              <w:t>institūcija, kas izsniedz atzīšanas apliecības</w:t>
            </w:r>
            <w:r w:rsidR="00144550">
              <w:rPr>
                <w:rFonts w:ascii="Times New Roman" w:hAnsi="Times New Roman"/>
                <w:bCs/>
                <w:sz w:val="26"/>
                <w:szCs w:val="26"/>
              </w:rPr>
              <w:t>, kas veicot uzdevumus atbilstoši katras institūcijas kompetencei</w:t>
            </w:r>
            <w:r w:rsidR="00E55FF5">
              <w:rPr>
                <w:rFonts w:ascii="Times New Roman" w:hAnsi="Times New Roman"/>
                <w:bCs/>
                <w:sz w:val="26"/>
                <w:szCs w:val="26"/>
              </w:rPr>
              <w:t xml:space="preserve">, kopumā nodrošina EPK </w:t>
            </w:r>
            <w:r w:rsidR="00E55FF5" w:rsidRPr="006C0FF1">
              <w:rPr>
                <w:rFonts w:ascii="Times New Roman" w:hAnsi="Times New Roman"/>
                <w:bCs/>
                <w:sz w:val="26"/>
                <w:szCs w:val="26"/>
              </w:rPr>
              <w:t>pieteikuma izvērtēšanu un pamatota lēmuma pieņem</w:t>
            </w:r>
            <w:r w:rsidR="006F03FD" w:rsidRPr="006C0FF1">
              <w:rPr>
                <w:rFonts w:ascii="Times New Roman" w:hAnsi="Times New Roman"/>
                <w:bCs/>
                <w:sz w:val="26"/>
                <w:szCs w:val="26"/>
              </w:rPr>
              <w:t xml:space="preserve">šanu. </w:t>
            </w:r>
          </w:p>
          <w:p w14:paraId="101722F4" w14:textId="0716A98B" w:rsidR="004F6B33" w:rsidRDefault="00636B4D" w:rsidP="00396EBE">
            <w:pPr>
              <w:spacing w:after="0" w:line="240" w:lineRule="auto"/>
              <w:jc w:val="both"/>
              <w:rPr>
                <w:rFonts w:ascii="Times New Roman" w:hAnsi="Times New Roman"/>
                <w:bCs/>
                <w:sz w:val="26"/>
                <w:szCs w:val="26"/>
              </w:rPr>
            </w:pPr>
            <w:r>
              <w:rPr>
                <w:rFonts w:ascii="Times New Roman" w:hAnsi="Times New Roman"/>
                <w:bCs/>
                <w:sz w:val="26"/>
                <w:szCs w:val="26"/>
              </w:rPr>
              <w:t xml:space="preserve">      </w:t>
            </w:r>
            <w:r w:rsidR="006C0FF1" w:rsidRPr="006C0FF1">
              <w:rPr>
                <w:rFonts w:ascii="Times New Roman" w:hAnsi="Times New Roman"/>
                <w:bCs/>
                <w:sz w:val="26"/>
                <w:szCs w:val="26"/>
              </w:rPr>
              <w:t xml:space="preserve">Lai EPK procesu pretendentiem padarītu pēc iespējas ērtāku, ja EPK pieteikums ir no </w:t>
            </w:r>
            <w:r w:rsidR="006C0FF1" w:rsidRPr="006C0FF1">
              <w:rPr>
                <w:rFonts w:ascii="Times New Roman" w:hAnsi="Times New Roman"/>
                <w:sz w:val="26"/>
                <w:szCs w:val="26"/>
              </w:rPr>
              <w:t>personas, kas izglītību un profesionālo kvalifikāciju ieguvusi citā dalībvalstī un pretendē uz Eiropas profesionālās kartes saņemšanu pastāvīgai profesionālajai darbībai vai īslaicīgu profesionālo pakalpojumu sniegšanai</w:t>
            </w:r>
            <w:r w:rsidR="006C0FF1" w:rsidRPr="006C0FF1" w:rsidDel="00031FAE">
              <w:rPr>
                <w:rFonts w:ascii="Times New Roman" w:hAnsi="Times New Roman"/>
                <w:sz w:val="26"/>
                <w:szCs w:val="26"/>
              </w:rPr>
              <w:t xml:space="preserve"> </w:t>
            </w:r>
            <w:r w:rsidR="006C0FF1" w:rsidRPr="006C0FF1">
              <w:rPr>
                <w:rFonts w:ascii="Times New Roman" w:hAnsi="Times New Roman"/>
                <w:sz w:val="26"/>
                <w:szCs w:val="26"/>
              </w:rPr>
              <w:t>Latvijas Republikā reglamentētajā profesijā, kurā nekvalificēts īslaicīgu profesionālo pakalpojumu sniedzējs var apdraudēt pakalpojumu saņēmēja veselību un drošību, samaksa par pieteikuma apstrādi veicama tikai vienā institūcijā – AIC, kas sedz institūcijas, kas izsniedz atzīšanas apliecības izmaksas.</w:t>
            </w:r>
          </w:p>
          <w:p w14:paraId="78656CFB" w14:textId="77777777" w:rsidR="00EF5308" w:rsidRPr="00F23904" w:rsidRDefault="00F3154A" w:rsidP="00EF5308">
            <w:pPr>
              <w:spacing w:after="0" w:line="240" w:lineRule="auto"/>
              <w:jc w:val="both"/>
              <w:rPr>
                <w:rFonts w:ascii="Times New Roman" w:hAnsi="Times New Roman"/>
                <w:sz w:val="26"/>
                <w:szCs w:val="26"/>
              </w:rPr>
            </w:pPr>
            <w:r w:rsidRPr="00F23904">
              <w:rPr>
                <w:rFonts w:ascii="Times New Roman" w:hAnsi="Times New Roman"/>
                <w:bCs/>
                <w:sz w:val="26"/>
                <w:szCs w:val="26"/>
              </w:rPr>
              <w:t xml:space="preserve">      AIC</w:t>
            </w:r>
            <w:r w:rsidR="007E4656" w:rsidRPr="00F23904">
              <w:rPr>
                <w:rFonts w:ascii="Times New Roman" w:hAnsi="Times New Roman"/>
                <w:bCs/>
                <w:sz w:val="26"/>
                <w:szCs w:val="26"/>
              </w:rPr>
              <w:t>, izskatot EPK pieteikumu,</w:t>
            </w:r>
            <w:r w:rsidRPr="00F23904">
              <w:rPr>
                <w:rFonts w:ascii="Times New Roman" w:hAnsi="Times New Roman"/>
                <w:bCs/>
                <w:sz w:val="26"/>
                <w:szCs w:val="26"/>
              </w:rPr>
              <w:t xml:space="preserve"> </w:t>
            </w:r>
            <w:r w:rsidR="007E4656" w:rsidRPr="00F23904">
              <w:rPr>
                <w:rFonts w:ascii="Times New Roman" w:hAnsi="Times New Roman"/>
                <w:bCs/>
                <w:sz w:val="26"/>
                <w:szCs w:val="26"/>
              </w:rPr>
              <w:t xml:space="preserve">veic šādas galvenās darbības: </w:t>
            </w:r>
            <w:r w:rsidR="00EC22F5" w:rsidRPr="00F23904">
              <w:rPr>
                <w:rFonts w:ascii="Times New Roman" w:hAnsi="Times New Roman"/>
                <w:bCs/>
                <w:sz w:val="26"/>
                <w:szCs w:val="26"/>
              </w:rPr>
              <w:t>1) pieteikuma</w:t>
            </w:r>
            <w:r w:rsidRPr="00F23904">
              <w:rPr>
                <w:rFonts w:ascii="Times New Roman" w:hAnsi="Times New Roman"/>
                <w:sz w:val="26"/>
                <w:szCs w:val="26"/>
              </w:rPr>
              <w:t xml:space="preserve"> un tam </w:t>
            </w:r>
            <w:r w:rsidR="00EC22F5" w:rsidRPr="00F23904">
              <w:rPr>
                <w:rFonts w:ascii="Times New Roman" w:hAnsi="Times New Roman"/>
                <w:sz w:val="26"/>
                <w:szCs w:val="26"/>
              </w:rPr>
              <w:t xml:space="preserve">pievienoto dokumentu sākotnējā pārbaude ar mērķi </w:t>
            </w:r>
            <w:r w:rsidRPr="00F23904">
              <w:rPr>
                <w:rFonts w:ascii="Times New Roman" w:hAnsi="Times New Roman"/>
                <w:sz w:val="26"/>
                <w:szCs w:val="26"/>
              </w:rPr>
              <w:t>pārliecinā</w:t>
            </w:r>
            <w:r w:rsidR="00EC22F5" w:rsidRPr="00F23904">
              <w:rPr>
                <w:rFonts w:ascii="Times New Roman" w:hAnsi="Times New Roman"/>
                <w:sz w:val="26"/>
                <w:szCs w:val="26"/>
              </w:rPr>
              <w:t>tie</w:t>
            </w:r>
            <w:r w:rsidRPr="00F23904">
              <w:rPr>
                <w:rFonts w:ascii="Times New Roman" w:hAnsi="Times New Roman"/>
                <w:sz w:val="26"/>
                <w:szCs w:val="26"/>
              </w:rPr>
              <w:t xml:space="preserve">s, ka pretendents ir iesniedzis pilnīgi aizpildītu </w:t>
            </w:r>
            <w:r w:rsidR="00EF5308" w:rsidRPr="00F23904">
              <w:rPr>
                <w:rFonts w:ascii="Times New Roman" w:hAnsi="Times New Roman"/>
                <w:sz w:val="26"/>
                <w:szCs w:val="26"/>
              </w:rPr>
              <w:t>pieteikumu</w:t>
            </w:r>
            <w:r w:rsidRPr="00F23904">
              <w:rPr>
                <w:rFonts w:ascii="Times New Roman" w:hAnsi="Times New Roman"/>
                <w:sz w:val="26"/>
                <w:szCs w:val="26"/>
              </w:rPr>
              <w:t xml:space="preserve"> un visus nepieciešamos dokumentus</w:t>
            </w:r>
            <w:r w:rsidR="00EF5308" w:rsidRPr="00F23904">
              <w:rPr>
                <w:rFonts w:ascii="Times New Roman" w:hAnsi="Times New Roman"/>
                <w:sz w:val="26"/>
                <w:szCs w:val="26"/>
              </w:rPr>
              <w:t>;</w:t>
            </w:r>
          </w:p>
          <w:p w14:paraId="6EDE3896" w14:textId="77777777" w:rsidR="001A1369" w:rsidRPr="00F23904" w:rsidRDefault="00EF5308" w:rsidP="001A1369">
            <w:pPr>
              <w:spacing w:after="0" w:line="240" w:lineRule="auto"/>
              <w:jc w:val="both"/>
              <w:rPr>
                <w:rFonts w:ascii="Times New Roman" w:hAnsi="Times New Roman"/>
                <w:sz w:val="26"/>
                <w:szCs w:val="26"/>
              </w:rPr>
            </w:pPr>
            <w:r w:rsidRPr="00F23904">
              <w:rPr>
                <w:rFonts w:ascii="Times New Roman" w:hAnsi="Times New Roman"/>
                <w:sz w:val="26"/>
                <w:szCs w:val="26"/>
              </w:rPr>
              <w:t>2) j</w:t>
            </w:r>
            <w:r w:rsidR="00F3154A" w:rsidRPr="00F23904">
              <w:rPr>
                <w:rFonts w:ascii="Times New Roman" w:hAnsi="Times New Roman"/>
                <w:sz w:val="26"/>
                <w:szCs w:val="26"/>
              </w:rPr>
              <w:t xml:space="preserve">a </w:t>
            </w:r>
            <w:r w:rsidRPr="00F23904">
              <w:rPr>
                <w:rFonts w:ascii="Times New Roman" w:hAnsi="Times New Roman"/>
                <w:sz w:val="26"/>
                <w:szCs w:val="26"/>
              </w:rPr>
              <w:t>pieteikums nav aizpildīts pilnībā vai</w:t>
            </w:r>
            <w:r w:rsidR="00F3154A" w:rsidRPr="00F23904">
              <w:rPr>
                <w:rFonts w:ascii="Times New Roman" w:hAnsi="Times New Roman"/>
                <w:sz w:val="26"/>
                <w:szCs w:val="26"/>
              </w:rPr>
              <w:t xml:space="preserve"> nav iesniegti visi nepieciešamie dokumenti </w:t>
            </w:r>
            <w:r w:rsidRPr="00F23904">
              <w:rPr>
                <w:rFonts w:ascii="Times New Roman" w:hAnsi="Times New Roman"/>
                <w:sz w:val="26"/>
                <w:szCs w:val="26"/>
              </w:rPr>
              <w:t>EPK izdošanai,</w:t>
            </w:r>
            <w:r w:rsidR="00F3154A" w:rsidRPr="00F23904">
              <w:rPr>
                <w:rFonts w:ascii="Times New Roman" w:hAnsi="Times New Roman"/>
                <w:sz w:val="26"/>
                <w:szCs w:val="26"/>
              </w:rPr>
              <w:t xml:space="preserve"> vai pretendenta iesniegtajiem dokumentiem ir nepiecieš</w:t>
            </w:r>
            <w:r w:rsidRPr="00F23904">
              <w:rPr>
                <w:rFonts w:ascii="Times New Roman" w:hAnsi="Times New Roman"/>
                <w:sz w:val="26"/>
                <w:szCs w:val="26"/>
              </w:rPr>
              <w:t xml:space="preserve">ams tulkojums valsts valodā, </w:t>
            </w:r>
            <w:r w:rsidR="00F3154A" w:rsidRPr="00F23904">
              <w:rPr>
                <w:rFonts w:ascii="Times New Roman" w:hAnsi="Times New Roman"/>
                <w:sz w:val="26"/>
                <w:szCs w:val="26"/>
              </w:rPr>
              <w:t xml:space="preserve">informē pretendentu par konstatētajiem un novēršamajiem trūkumiem un </w:t>
            </w:r>
            <w:r w:rsidRPr="00F23904">
              <w:rPr>
                <w:rFonts w:ascii="Times New Roman" w:hAnsi="Times New Roman"/>
                <w:sz w:val="26"/>
                <w:szCs w:val="26"/>
              </w:rPr>
              <w:t xml:space="preserve">atkārtoti </w:t>
            </w:r>
            <w:r w:rsidR="00F3154A" w:rsidRPr="00F23904">
              <w:rPr>
                <w:rFonts w:ascii="Times New Roman" w:hAnsi="Times New Roman"/>
                <w:sz w:val="26"/>
                <w:szCs w:val="26"/>
              </w:rPr>
              <w:t>pieņem</w:t>
            </w:r>
            <w:r w:rsidRPr="00F23904">
              <w:rPr>
                <w:rFonts w:ascii="Times New Roman" w:hAnsi="Times New Roman"/>
                <w:sz w:val="26"/>
                <w:szCs w:val="26"/>
              </w:rPr>
              <w:t xml:space="preserve"> un izskata</w:t>
            </w:r>
            <w:r w:rsidR="00F3154A" w:rsidRPr="00F23904">
              <w:rPr>
                <w:rFonts w:ascii="Times New Roman" w:hAnsi="Times New Roman"/>
                <w:sz w:val="26"/>
                <w:szCs w:val="26"/>
              </w:rPr>
              <w:t xml:space="preserve"> trūkstošos dokumentus</w:t>
            </w:r>
            <w:r w:rsidRPr="00F23904">
              <w:rPr>
                <w:rFonts w:ascii="Times New Roman" w:hAnsi="Times New Roman"/>
                <w:sz w:val="26"/>
                <w:szCs w:val="26"/>
              </w:rPr>
              <w:t>;</w:t>
            </w:r>
          </w:p>
          <w:p w14:paraId="12A128F7" w14:textId="77777777" w:rsidR="00A11C0B" w:rsidRPr="00F23904" w:rsidRDefault="001A1369" w:rsidP="00A11C0B">
            <w:pPr>
              <w:spacing w:after="0" w:line="240" w:lineRule="auto"/>
              <w:jc w:val="both"/>
              <w:rPr>
                <w:rFonts w:ascii="Times New Roman" w:hAnsi="Times New Roman"/>
                <w:sz w:val="26"/>
                <w:szCs w:val="26"/>
              </w:rPr>
            </w:pPr>
            <w:r w:rsidRPr="00F23904">
              <w:rPr>
                <w:rFonts w:ascii="Times New Roman" w:hAnsi="Times New Roman"/>
                <w:sz w:val="26"/>
                <w:szCs w:val="26"/>
              </w:rPr>
              <w:t>3) veic iesniegto personu apliecinošo un izglītības dokumentu autentiskuma pārbaudi un to apstiprina. Izglītības dokumentu autentiskuma pārbaudei AIC salīdzina dokumenta attēlu ar diplomu paraugu datu bāzē iekļautajiem dokumentiem, sazinās ar Ārstniecības personu, Farmaceitu un farmaceitu asistentu reģistriem, Iedzīvotāju re</w:t>
            </w:r>
            <w:r w:rsidR="00A11C0B" w:rsidRPr="00F23904">
              <w:rPr>
                <w:rFonts w:ascii="Times New Roman" w:hAnsi="Times New Roman"/>
                <w:sz w:val="26"/>
                <w:szCs w:val="26"/>
              </w:rPr>
              <w:t>ģistru;</w:t>
            </w:r>
          </w:p>
          <w:p w14:paraId="6CD5DC8D" w14:textId="50880F11" w:rsidR="0078138D" w:rsidRPr="00F23904" w:rsidRDefault="00A11C0B" w:rsidP="0078138D">
            <w:pPr>
              <w:spacing w:after="0" w:line="240" w:lineRule="auto"/>
              <w:jc w:val="both"/>
              <w:rPr>
                <w:rFonts w:ascii="Times New Roman" w:hAnsi="Times New Roman"/>
                <w:sz w:val="26"/>
                <w:szCs w:val="26"/>
              </w:rPr>
            </w:pPr>
            <w:r w:rsidRPr="00F23904">
              <w:rPr>
                <w:rFonts w:ascii="Times New Roman" w:hAnsi="Times New Roman"/>
                <w:sz w:val="26"/>
                <w:szCs w:val="26"/>
              </w:rPr>
              <w:t xml:space="preserve">4) </w:t>
            </w:r>
            <w:r w:rsidR="00B42E78">
              <w:rPr>
                <w:rFonts w:ascii="Times New Roman" w:hAnsi="Times New Roman"/>
                <w:sz w:val="26"/>
                <w:szCs w:val="26"/>
              </w:rPr>
              <w:t xml:space="preserve">veic izglītības dokumentu akadēmisko atzīšanu, t.i., </w:t>
            </w:r>
            <w:r w:rsidRPr="00F23904">
              <w:rPr>
                <w:rFonts w:ascii="Times New Roman" w:hAnsi="Times New Roman"/>
                <w:sz w:val="26"/>
                <w:szCs w:val="26"/>
              </w:rPr>
              <w:t>s</w:t>
            </w:r>
            <w:r w:rsidR="00F3154A" w:rsidRPr="00F23904">
              <w:rPr>
                <w:rFonts w:ascii="Times New Roman" w:hAnsi="Times New Roman"/>
                <w:sz w:val="26"/>
                <w:szCs w:val="26"/>
              </w:rPr>
              <w:t xml:space="preserve">alīdzina </w:t>
            </w:r>
            <w:r w:rsidR="0078138D" w:rsidRPr="00F23904">
              <w:rPr>
                <w:rFonts w:ascii="Times New Roman" w:hAnsi="Times New Roman"/>
                <w:sz w:val="26"/>
                <w:szCs w:val="26"/>
              </w:rPr>
              <w:t xml:space="preserve">EPK </w:t>
            </w:r>
            <w:r w:rsidR="00F3154A" w:rsidRPr="00F23904">
              <w:rPr>
                <w:rFonts w:ascii="Times New Roman" w:hAnsi="Times New Roman"/>
                <w:sz w:val="26"/>
                <w:szCs w:val="26"/>
              </w:rPr>
              <w:t>pretendenta iesniegtajos izglītības un profesionālās kvalifikācijas dokumentos apliecinātās izglītības un praktiskās apmācības ilgumu ar Latvijas Republikā noteiktajām prasībām profesionālās kvalifikācijas iegūšanai attiecīgajā reglamentētajā profesijā</w:t>
            </w:r>
            <w:r w:rsidR="0078138D" w:rsidRPr="00F23904">
              <w:rPr>
                <w:rFonts w:ascii="Times New Roman" w:hAnsi="Times New Roman"/>
                <w:sz w:val="26"/>
                <w:szCs w:val="26"/>
              </w:rPr>
              <w:t>;</w:t>
            </w:r>
          </w:p>
          <w:p w14:paraId="52AC2C68" w14:textId="77777777" w:rsidR="0078138D" w:rsidRPr="00F23904" w:rsidRDefault="0078138D" w:rsidP="0078138D">
            <w:pPr>
              <w:spacing w:after="0" w:line="240" w:lineRule="auto"/>
              <w:jc w:val="both"/>
              <w:rPr>
                <w:rFonts w:ascii="Times New Roman" w:hAnsi="Times New Roman"/>
                <w:sz w:val="26"/>
                <w:szCs w:val="26"/>
              </w:rPr>
            </w:pPr>
            <w:r w:rsidRPr="00F23904">
              <w:rPr>
                <w:rFonts w:ascii="Times New Roman" w:hAnsi="Times New Roman"/>
                <w:sz w:val="26"/>
                <w:szCs w:val="26"/>
              </w:rPr>
              <w:t>5) l</w:t>
            </w:r>
            <w:r w:rsidR="00F3154A" w:rsidRPr="00F23904">
              <w:rPr>
                <w:rFonts w:ascii="Times New Roman" w:hAnsi="Times New Roman"/>
                <w:sz w:val="26"/>
                <w:szCs w:val="26"/>
              </w:rPr>
              <w:t>ai noskaidrotu izglītības vai kvalifikācijas dokumentu autentiskumu, vai ir radušās neskaidrības par izglītības līmeni vai pretendenta tiesībām strādāt mītnes valstī, sazinās ar mītnes valsts vai izsniedzējvalsts atbilstošajām institūcijām</w:t>
            </w:r>
            <w:r w:rsidRPr="00F23904">
              <w:rPr>
                <w:rFonts w:ascii="Times New Roman" w:hAnsi="Times New Roman"/>
                <w:sz w:val="26"/>
                <w:szCs w:val="26"/>
              </w:rPr>
              <w:t>;</w:t>
            </w:r>
          </w:p>
          <w:p w14:paraId="28DCF5EA" w14:textId="20D4CD31" w:rsidR="0078138D" w:rsidRPr="00F23904" w:rsidRDefault="0078138D" w:rsidP="0078138D">
            <w:pPr>
              <w:spacing w:after="0" w:line="240" w:lineRule="auto"/>
              <w:jc w:val="both"/>
              <w:rPr>
                <w:rFonts w:ascii="Times New Roman" w:hAnsi="Times New Roman"/>
                <w:sz w:val="26"/>
                <w:szCs w:val="26"/>
              </w:rPr>
            </w:pPr>
            <w:r w:rsidRPr="00F23904">
              <w:rPr>
                <w:rFonts w:ascii="Times New Roman" w:hAnsi="Times New Roman"/>
                <w:sz w:val="26"/>
                <w:szCs w:val="26"/>
              </w:rPr>
              <w:t xml:space="preserve">6) pārbaudes rezultātus apkopo </w:t>
            </w:r>
            <w:r w:rsidR="00F3154A" w:rsidRPr="00F23904">
              <w:rPr>
                <w:rFonts w:ascii="Times New Roman" w:hAnsi="Times New Roman"/>
                <w:sz w:val="26"/>
                <w:szCs w:val="26"/>
              </w:rPr>
              <w:t>izziņ</w:t>
            </w:r>
            <w:r w:rsidRPr="00F23904">
              <w:rPr>
                <w:rFonts w:ascii="Times New Roman" w:hAnsi="Times New Roman"/>
                <w:sz w:val="26"/>
                <w:szCs w:val="26"/>
              </w:rPr>
              <w:t>ā</w:t>
            </w:r>
            <w:r w:rsidR="00F3154A" w:rsidRPr="00F23904">
              <w:rPr>
                <w:rFonts w:ascii="Times New Roman" w:hAnsi="Times New Roman"/>
                <w:sz w:val="26"/>
                <w:szCs w:val="26"/>
              </w:rPr>
              <w:t xml:space="preserve"> un</w:t>
            </w:r>
            <w:r w:rsidRPr="00F23904">
              <w:rPr>
                <w:rFonts w:ascii="Times New Roman" w:hAnsi="Times New Roman"/>
                <w:sz w:val="26"/>
                <w:szCs w:val="26"/>
              </w:rPr>
              <w:t xml:space="preserve"> to reizē ar</w:t>
            </w:r>
            <w:r w:rsidR="00F3154A" w:rsidRPr="00F23904">
              <w:rPr>
                <w:rFonts w:ascii="Times New Roman" w:hAnsi="Times New Roman"/>
                <w:sz w:val="26"/>
                <w:szCs w:val="26"/>
              </w:rPr>
              <w:t xml:space="preserve"> pretendenta </w:t>
            </w:r>
            <w:r w:rsidRPr="00F23904">
              <w:rPr>
                <w:rFonts w:ascii="Times New Roman" w:hAnsi="Times New Roman"/>
                <w:sz w:val="26"/>
                <w:szCs w:val="26"/>
              </w:rPr>
              <w:t>pieteikumu un</w:t>
            </w:r>
            <w:r w:rsidR="00F3154A" w:rsidRPr="00F23904">
              <w:rPr>
                <w:rFonts w:ascii="Times New Roman" w:hAnsi="Times New Roman"/>
                <w:sz w:val="26"/>
                <w:szCs w:val="26"/>
              </w:rPr>
              <w:t xml:space="preserve"> tam pievienotajiem dokumentiem pārsūta </w:t>
            </w:r>
            <w:r w:rsidR="00F3154A" w:rsidRPr="00F23904">
              <w:rPr>
                <w:rFonts w:ascii="Times New Roman" w:hAnsi="Times New Roman"/>
                <w:sz w:val="26"/>
                <w:szCs w:val="26"/>
              </w:rPr>
              <w:lastRenderedPageBreak/>
              <w:t xml:space="preserve">izskatīšanai un lēmuma pieņemšanai institūcijai, kas </w:t>
            </w:r>
            <w:r w:rsidR="001D464D">
              <w:rPr>
                <w:rFonts w:ascii="Times New Roman" w:hAnsi="Times New Roman"/>
                <w:sz w:val="26"/>
                <w:szCs w:val="26"/>
              </w:rPr>
              <w:t xml:space="preserve">izsniedz </w:t>
            </w:r>
            <w:r w:rsidR="00F3154A" w:rsidRPr="00F23904">
              <w:rPr>
                <w:rFonts w:ascii="Times New Roman" w:hAnsi="Times New Roman"/>
                <w:sz w:val="26"/>
                <w:szCs w:val="26"/>
              </w:rPr>
              <w:t>atzīšanas apliecības attiecīgajā reglamentētajā profesijā</w:t>
            </w:r>
            <w:r w:rsidRPr="00F23904">
              <w:rPr>
                <w:rFonts w:ascii="Times New Roman" w:hAnsi="Times New Roman"/>
                <w:sz w:val="26"/>
                <w:szCs w:val="26"/>
              </w:rPr>
              <w:t>;</w:t>
            </w:r>
          </w:p>
          <w:p w14:paraId="78682458" w14:textId="77777777" w:rsidR="0078138D" w:rsidRPr="00F23904" w:rsidRDefault="0078138D" w:rsidP="0078138D">
            <w:pPr>
              <w:spacing w:after="0" w:line="240" w:lineRule="auto"/>
              <w:jc w:val="both"/>
              <w:rPr>
                <w:rFonts w:ascii="Times New Roman" w:hAnsi="Times New Roman"/>
                <w:sz w:val="26"/>
                <w:szCs w:val="26"/>
              </w:rPr>
            </w:pPr>
            <w:r w:rsidRPr="00F23904">
              <w:rPr>
                <w:rFonts w:ascii="Times New Roman" w:hAnsi="Times New Roman"/>
                <w:sz w:val="26"/>
                <w:szCs w:val="26"/>
              </w:rPr>
              <w:t>7) s</w:t>
            </w:r>
            <w:r w:rsidR="00F3154A" w:rsidRPr="00F23904">
              <w:rPr>
                <w:rFonts w:ascii="Times New Roman" w:hAnsi="Times New Roman"/>
                <w:sz w:val="26"/>
                <w:szCs w:val="26"/>
              </w:rPr>
              <w:t xml:space="preserve">aņem no institūcijas, kas izsniedz atzīšanas apliecības attiecīgajā reglamentētajā profesijā, </w:t>
            </w:r>
            <w:r w:rsidRPr="00F23904">
              <w:rPr>
                <w:rFonts w:ascii="Times New Roman" w:hAnsi="Times New Roman"/>
                <w:sz w:val="26"/>
                <w:szCs w:val="26"/>
              </w:rPr>
              <w:t>atzinumu ar priekšlikumu izsniegt EPK, atteikt EPK, noteikt papildu prasības vai pagarināt EPK derīguma termiņu;</w:t>
            </w:r>
          </w:p>
          <w:p w14:paraId="5D107A95" w14:textId="7F4E2C7A" w:rsidR="00F3154A" w:rsidRPr="00F23904" w:rsidRDefault="0078138D" w:rsidP="00396EBE">
            <w:pPr>
              <w:spacing w:after="0" w:line="240" w:lineRule="auto"/>
              <w:jc w:val="both"/>
              <w:rPr>
                <w:rFonts w:ascii="Times New Roman" w:hAnsi="Times New Roman"/>
                <w:bCs/>
                <w:sz w:val="26"/>
                <w:szCs w:val="26"/>
              </w:rPr>
            </w:pPr>
            <w:r w:rsidRPr="00F23904">
              <w:rPr>
                <w:rFonts w:ascii="Times New Roman" w:hAnsi="Times New Roman"/>
                <w:sz w:val="26"/>
                <w:szCs w:val="26"/>
              </w:rPr>
              <w:t>8) n</w:t>
            </w:r>
            <w:r w:rsidR="00F3154A" w:rsidRPr="00F23904">
              <w:rPr>
                <w:rFonts w:ascii="Times New Roman" w:hAnsi="Times New Roman"/>
                <w:sz w:val="26"/>
                <w:szCs w:val="26"/>
              </w:rPr>
              <w:t>osūtu pretendentam informāciju par pieņemto lēmumu</w:t>
            </w:r>
            <w:r w:rsidR="00DD7841" w:rsidRPr="00F23904">
              <w:rPr>
                <w:rFonts w:ascii="Times New Roman" w:hAnsi="Times New Roman"/>
                <w:sz w:val="26"/>
                <w:szCs w:val="26"/>
              </w:rPr>
              <w:t xml:space="preserve"> un aizpilda attiecīgo datni IMI sistēmā</w:t>
            </w:r>
            <w:r w:rsidR="00F3154A" w:rsidRPr="00F23904">
              <w:rPr>
                <w:rFonts w:ascii="Times New Roman" w:hAnsi="Times New Roman"/>
                <w:sz w:val="26"/>
                <w:szCs w:val="26"/>
              </w:rPr>
              <w:t>.</w:t>
            </w:r>
          </w:p>
          <w:p w14:paraId="54397975" w14:textId="1EEBC084" w:rsidR="001E1E16" w:rsidRPr="00DC1F11" w:rsidRDefault="001E1E16" w:rsidP="00132F12">
            <w:pPr>
              <w:spacing w:after="0" w:line="240" w:lineRule="auto"/>
              <w:jc w:val="both"/>
              <w:rPr>
                <w:rFonts w:ascii="Times New Roman" w:eastAsia="Times New Roman" w:hAnsi="Times New Roman"/>
                <w:sz w:val="26"/>
                <w:szCs w:val="26"/>
                <w:lang w:eastAsia="lv-LV"/>
              </w:rPr>
            </w:pPr>
            <w:r>
              <w:rPr>
                <w:rFonts w:ascii="Times New Roman" w:hAnsi="Times New Roman"/>
                <w:bCs/>
                <w:sz w:val="26"/>
                <w:szCs w:val="26"/>
              </w:rPr>
              <w:t xml:space="preserve">      </w:t>
            </w:r>
            <w:r w:rsidRPr="006C756C">
              <w:rPr>
                <w:rFonts w:ascii="Times New Roman" w:hAnsi="Times New Roman"/>
                <w:sz w:val="26"/>
                <w:szCs w:val="26"/>
              </w:rPr>
              <w:t xml:space="preserve">Institūcija, kas izsniedz </w:t>
            </w:r>
            <w:r>
              <w:rPr>
                <w:rFonts w:ascii="Times New Roman" w:hAnsi="Times New Roman"/>
                <w:sz w:val="26"/>
                <w:szCs w:val="26"/>
              </w:rPr>
              <w:t>atzīšanas apliecības, izskatot EPK pieteikumu,</w:t>
            </w:r>
            <w:r w:rsidRPr="006C756C">
              <w:rPr>
                <w:rFonts w:ascii="Times New Roman" w:hAnsi="Times New Roman"/>
                <w:sz w:val="26"/>
                <w:szCs w:val="26"/>
              </w:rPr>
              <w:t xml:space="preserve"> veic darbības, kas</w:t>
            </w:r>
            <w:r>
              <w:rPr>
                <w:rFonts w:ascii="Times New Roman" w:hAnsi="Times New Roman"/>
                <w:sz w:val="26"/>
                <w:szCs w:val="26"/>
              </w:rPr>
              <w:t xml:space="preserve"> saturiski</w:t>
            </w:r>
            <w:r w:rsidRPr="006C756C">
              <w:rPr>
                <w:rFonts w:ascii="Times New Roman" w:hAnsi="Times New Roman"/>
                <w:sz w:val="26"/>
                <w:szCs w:val="26"/>
              </w:rPr>
              <w:t xml:space="preserve"> ir analoģiskas </w:t>
            </w:r>
            <w:r w:rsidRPr="006C756C">
              <w:rPr>
                <w:rFonts w:ascii="Times New Roman" w:eastAsia="Times New Roman" w:hAnsi="Times New Roman"/>
                <w:bCs/>
                <w:sz w:val="26"/>
                <w:szCs w:val="26"/>
                <w:lang w:eastAsia="lv-LV"/>
              </w:rPr>
              <w:t xml:space="preserve">Ministru kabineta </w:t>
            </w:r>
            <w:r w:rsidRPr="00DC1F11">
              <w:rPr>
                <w:rFonts w:ascii="Times New Roman" w:eastAsia="Times New Roman" w:hAnsi="Times New Roman"/>
                <w:sz w:val="26"/>
                <w:szCs w:val="26"/>
                <w:lang w:eastAsia="lv-LV"/>
              </w:rPr>
              <w:t xml:space="preserve">2005.gada 19.jūlija </w:t>
            </w:r>
            <w:r w:rsidRPr="00DC1F11">
              <w:rPr>
                <w:rFonts w:ascii="Times New Roman" w:eastAsia="Times New Roman" w:hAnsi="Times New Roman"/>
                <w:bCs/>
                <w:sz w:val="26"/>
                <w:szCs w:val="26"/>
                <w:lang w:eastAsia="lv-LV"/>
              </w:rPr>
              <w:t>noteikumu Nr.525</w:t>
            </w:r>
            <w:r w:rsidR="002577B0">
              <w:rPr>
                <w:rFonts w:ascii="Times New Roman" w:eastAsia="Times New Roman" w:hAnsi="Times New Roman"/>
                <w:sz w:val="26"/>
                <w:szCs w:val="26"/>
                <w:lang w:eastAsia="lv-LV"/>
              </w:rPr>
              <w:t xml:space="preserve"> „</w:t>
            </w:r>
            <w:r w:rsidRPr="00DC1F11">
              <w:rPr>
                <w:rFonts w:ascii="Times New Roman" w:eastAsia="Times New Roman" w:hAnsi="Times New Roman"/>
                <w:bCs/>
                <w:sz w:val="26"/>
                <w:szCs w:val="26"/>
                <w:lang w:eastAsia="lv-LV"/>
              </w:rPr>
              <w:t>Kārtība profesionālās kvalifikācijas atzīšanai pastāvīgai profesionālajai darbībai Latvijas Republikā” 11., 12., 16., 17., 18., 19.punkt</w:t>
            </w:r>
            <w:r w:rsidR="001D464D">
              <w:rPr>
                <w:rFonts w:ascii="Times New Roman" w:eastAsia="Times New Roman" w:hAnsi="Times New Roman"/>
                <w:bCs/>
                <w:sz w:val="26"/>
                <w:szCs w:val="26"/>
                <w:lang w:eastAsia="lv-LV"/>
              </w:rPr>
              <w:t>ā</w:t>
            </w:r>
            <w:r w:rsidRPr="00DC1F11">
              <w:rPr>
                <w:rFonts w:ascii="Times New Roman" w:eastAsia="Times New Roman" w:hAnsi="Times New Roman"/>
                <w:bCs/>
                <w:sz w:val="26"/>
                <w:szCs w:val="26"/>
                <w:lang w:eastAsia="lv-LV"/>
              </w:rPr>
              <w:t xml:space="preserve"> noteiktajam, proti, tiek veikta pārbaude, vai EPK pretendenta pieteikumam pievienotie dokumenti apliecina iegūtās izglītības un profesionālās pieredzes atbilstību Latvijas Republikā konkrētajai reglamentētajai profesijai izvirzītajām prasībām. Piemēram, fizioterapeitam, saskaņā ar Ministru kabineta </w:t>
            </w:r>
            <w:r>
              <w:rPr>
                <w:rFonts w:ascii="Times New Roman" w:eastAsia="Times New Roman" w:hAnsi="Times New Roman"/>
                <w:sz w:val="26"/>
                <w:szCs w:val="26"/>
                <w:lang w:eastAsia="lv-LV"/>
              </w:rPr>
              <w:t>2009.gada 24.marta</w:t>
            </w:r>
            <w:r w:rsidRPr="00DC1F11">
              <w:rPr>
                <w:rFonts w:ascii="Times New Roman" w:eastAsia="Times New Roman" w:hAnsi="Times New Roman"/>
                <w:sz w:val="26"/>
                <w:szCs w:val="26"/>
                <w:lang w:eastAsia="lv-LV"/>
              </w:rPr>
              <w:t xml:space="preserve"> </w:t>
            </w:r>
            <w:r>
              <w:rPr>
                <w:rFonts w:ascii="Times New Roman" w:eastAsia="Times New Roman" w:hAnsi="Times New Roman"/>
                <w:bCs/>
                <w:sz w:val="26"/>
                <w:szCs w:val="26"/>
                <w:lang w:eastAsia="lv-LV"/>
              </w:rPr>
              <w:t xml:space="preserve">noteikumu </w:t>
            </w:r>
            <w:r w:rsidRPr="00DC1F11">
              <w:rPr>
                <w:rFonts w:ascii="Times New Roman" w:eastAsia="Times New Roman" w:hAnsi="Times New Roman"/>
                <w:bCs/>
                <w:sz w:val="26"/>
                <w:szCs w:val="26"/>
                <w:lang w:eastAsia="lv-LV"/>
              </w:rPr>
              <w:t>Nr.268</w:t>
            </w:r>
            <w:r w:rsidRPr="00DC1F11">
              <w:rPr>
                <w:rFonts w:ascii="Times New Roman" w:eastAsia="Times New Roman" w:hAnsi="Times New Roman"/>
                <w:sz w:val="26"/>
                <w:szCs w:val="26"/>
                <w:lang w:eastAsia="lv-LV"/>
              </w:rPr>
              <w:t xml:space="preserve"> </w:t>
            </w:r>
            <w:r w:rsidR="003C1CF7">
              <w:rPr>
                <w:rFonts w:ascii="Times New Roman" w:eastAsia="Times New Roman" w:hAnsi="Times New Roman"/>
                <w:bCs/>
                <w:sz w:val="26"/>
                <w:szCs w:val="26"/>
                <w:lang w:eastAsia="lv-LV"/>
              </w:rPr>
              <w:t>„</w:t>
            </w:r>
            <w:r w:rsidRPr="00DC1F11">
              <w:rPr>
                <w:rFonts w:ascii="Times New Roman" w:eastAsia="Times New Roman" w:hAnsi="Times New Roman"/>
                <w:bCs/>
                <w:sz w:val="26"/>
                <w:szCs w:val="26"/>
                <w:lang w:eastAsia="lv-LV"/>
              </w:rPr>
              <w:t>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bCs/>
                <w:sz w:val="26"/>
                <w:szCs w:val="26"/>
                <w:lang w:eastAsia="lv-LV"/>
              </w:rPr>
              <w:t>”</w:t>
            </w:r>
            <w:r w:rsidRPr="00DC1F11">
              <w:rPr>
                <w:rFonts w:ascii="Times New Roman" w:eastAsia="Times New Roman" w:hAnsi="Times New Roman"/>
                <w:bCs/>
                <w:sz w:val="26"/>
                <w:szCs w:val="26"/>
                <w:lang w:eastAsia="lv-LV"/>
              </w:rPr>
              <w:t xml:space="preserve"> </w:t>
            </w:r>
            <w:r>
              <w:rPr>
                <w:rFonts w:ascii="Times New Roman" w:eastAsia="Times New Roman" w:hAnsi="Times New Roman"/>
                <w:sz w:val="26"/>
                <w:szCs w:val="26"/>
                <w:lang w:eastAsia="lv-LV"/>
              </w:rPr>
              <w:t xml:space="preserve">473.punktu, ir jābūt </w:t>
            </w:r>
            <w:r w:rsidRPr="00DC1F11">
              <w:rPr>
                <w:rFonts w:ascii="Times New Roman" w:hAnsi="Times New Roman"/>
                <w:sz w:val="26"/>
                <w:szCs w:val="26"/>
              </w:rPr>
              <w:t>bakalaura grād</w:t>
            </w:r>
            <w:r>
              <w:rPr>
                <w:rFonts w:ascii="Times New Roman" w:hAnsi="Times New Roman"/>
                <w:sz w:val="26"/>
                <w:szCs w:val="26"/>
              </w:rPr>
              <w:t>am</w:t>
            </w:r>
            <w:r w:rsidRPr="00DC1F11">
              <w:rPr>
                <w:rFonts w:ascii="Times New Roman" w:hAnsi="Times New Roman"/>
                <w:sz w:val="26"/>
                <w:szCs w:val="26"/>
              </w:rPr>
              <w:t xml:space="preserve"> veselības aprūpē ar kvalifikāciju fizioterapijā</w:t>
            </w:r>
            <w:r>
              <w:rPr>
                <w:rFonts w:ascii="Times New Roman" w:hAnsi="Times New Roman"/>
                <w:sz w:val="26"/>
                <w:szCs w:val="26"/>
              </w:rPr>
              <w:t>, kas nozīmē, ka ir jābūt apgūtai studiju programmai vismaz 160 kredītpunktu (240 ECTS) apjomā, un ekspertiem ir jāveic izvērtējums, vai apgūtie studiju rezultāti nodrošina fizioterapeita profesionālajai darbībai nepieciešamās zināšanas, prasmes un kompetences. Nepieciešamības gadījumā ir jānosaka papildus prasības, kas var būt noteikta satura studiju kursu apguve, gan arī adaptācijas periods (noteikta termiņa darbs reglamentētajā profesijā sertificēta speciālista uzraudzībā). Kā ir atzīts Eiropas Vienotā tirgus stratēģijā, prasības reglamentācijai profesijām dažādās Eiropas valstīs ievērojami atšķiras</w:t>
            </w:r>
            <w:r>
              <w:rPr>
                <w:rStyle w:val="FootnoteReference"/>
                <w:rFonts w:ascii="Times New Roman" w:hAnsi="Times New Roman"/>
                <w:sz w:val="26"/>
                <w:szCs w:val="26"/>
              </w:rPr>
              <w:footnoteReference w:id="1"/>
            </w:r>
            <w:r>
              <w:rPr>
                <w:rFonts w:ascii="Times New Roman" w:hAnsi="Times New Roman"/>
                <w:sz w:val="26"/>
                <w:szCs w:val="26"/>
              </w:rPr>
              <w:t>, tādēļ katrs gadījums ir individuāls un prasa augstu ekspertu kompetenci korekta salīdzinājuma veikšanai ar mērķi aizsargāt pacientu intereses un nepieļautu iespēju</w:t>
            </w:r>
            <w:r w:rsidR="00DA58B9">
              <w:rPr>
                <w:rFonts w:ascii="Times New Roman" w:hAnsi="Times New Roman"/>
                <w:sz w:val="26"/>
                <w:szCs w:val="26"/>
              </w:rPr>
              <w:t>, ka</w:t>
            </w:r>
            <w:r>
              <w:rPr>
                <w:rFonts w:ascii="Times New Roman" w:hAnsi="Times New Roman"/>
                <w:sz w:val="26"/>
                <w:szCs w:val="26"/>
              </w:rPr>
              <w:t xml:space="preserve"> </w:t>
            </w:r>
            <w:r w:rsidR="00DA58B9">
              <w:rPr>
                <w:rFonts w:ascii="Times New Roman" w:hAnsi="Times New Roman"/>
                <w:sz w:val="26"/>
                <w:szCs w:val="26"/>
              </w:rPr>
              <w:t>speciālisti ar neatbilstošu profesionālo kvalifikāciju var iegūt tiesības veikt profesion</w:t>
            </w:r>
            <w:r w:rsidR="00395CF7">
              <w:rPr>
                <w:rFonts w:ascii="Times New Roman" w:hAnsi="Times New Roman"/>
                <w:sz w:val="26"/>
                <w:szCs w:val="26"/>
              </w:rPr>
              <w:t>ālo</w:t>
            </w:r>
            <w:r w:rsidR="00DA58B9">
              <w:rPr>
                <w:rFonts w:ascii="Times New Roman" w:hAnsi="Times New Roman"/>
                <w:sz w:val="26"/>
                <w:szCs w:val="26"/>
              </w:rPr>
              <w:t xml:space="preserve"> darbību ārstniecības profesijās. </w:t>
            </w:r>
          </w:p>
          <w:p w14:paraId="77EA5643" w14:textId="7BB8F5CF" w:rsidR="007A1770" w:rsidRPr="003D6A4D" w:rsidRDefault="002443EC" w:rsidP="00132F12">
            <w:pPr>
              <w:spacing w:after="0" w:line="240" w:lineRule="auto"/>
              <w:ind w:firstLine="720"/>
              <w:jc w:val="both"/>
              <w:rPr>
                <w:rFonts w:ascii="Times New Roman" w:eastAsia="Times New Roman" w:hAnsi="Times New Roman"/>
                <w:sz w:val="26"/>
                <w:szCs w:val="26"/>
                <w:lang w:eastAsia="lv-LV"/>
              </w:rPr>
            </w:pPr>
            <w:r w:rsidRPr="003D6A4D">
              <w:rPr>
                <w:rFonts w:ascii="Times New Roman" w:hAnsi="Times New Roman"/>
                <w:bCs/>
                <w:sz w:val="26"/>
                <w:szCs w:val="26"/>
              </w:rPr>
              <w:t>Likuma par budžetu un finanšu vadību</w:t>
            </w:r>
            <w:r w:rsidRPr="003D6A4D">
              <w:rPr>
                <w:rFonts w:ascii="Times New Roman" w:hAnsi="Times New Roman"/>
                <w:sz w:val="26"/>
                <w:szCs w:val="26"/>
              </w:rPr>
              <w:t xml:space="preserve"> 5.panta 12</w:t>
            </w:r>
            <w:r w:rsidR="001D464D">
              <w:rPr>
                <w:rFonts w:ascii="Times New Roman" w:hAnsi="Times New Roman"/>
                <w:sz w:val="26"/>
                <w:szCs w:val="26"/>
              </w:rPr>
              <w:t>.</w:t>
            </w:r>
            <w:r w:rsidRPr="003D6A4D">
              <w:rPr>
                <w:rFonts w:ascii="Times New Roman" w:hAnsi="Times New Roman"/>
                <w:sz w:val="26"/>
                <w:szCs w:val="26"/>
                <w:vertAlign w:val="superscript"/>
              </w:rPr>
              <w:t xml:space="preserve">1 </w:t>
            </w:r>
            <w:r w:rsidR="006B0C3A">
              <w:rPr>
                <w:rFonts w:ascii="Times New Roman" w:hAnsi="Times New Roman"/>
                <w:sz w:val="26"/>
                <w:szCs w:val="26"/>
              </w:rPr>
              <w:t>daļa paredz, ka „</w:t>
            </w:r>
            <w:r w:rsidRPr="003D6A4D">
              <w:rPr>
                <w:rFonts w:ascii="Times New Roman" w:hAnsi="Times New Roman"/>
                <w:sz w:val="26"/>
                <w:szCs w:val="26"/>
              </w:rPr>
              <w:t>Nosakot maksas pakalpojuma izcenojumu, ievēro nosacījumu, ka samaksa par pakalpojumu nedrīkst pārsniegt ar pakalpojuma sniegšanu saistītās izmaksas”.</w:t>
            </w:r>
            <w:r w:rsidR="003D6A4D" w:rsidRPr="003D6A4D">
              <w:rPr>
                <w:rFonts w:ascii="Times New Roman" w:hAnsi="Times New Roman"/>
                <w:sz w:val="26"/>
                <w:szCs w:val="26"/>
              </w:rPr>
              <w:t xml:space="preserve"> </w:t>
            </w:r>
            <w:r w:rsidR="007A1770" w:rsidRPr="003D6A4D">
              <w:rPr>
                <w:rFonts w:ascii="Times New Roman" w:eastAsia="Times New Roman" w:hAnsi="Times New Roman"/>
                <w:sz w:val="26"/>
                <w:szCs w:val="26"/>
                <w:lang w:eastAsia="lv-LV"/>
              </w:rPr>
              <w:t xml:space="preserve">Samaksas par </w:t>
            </w:r>
            <w:r w:rsidR="00F23904" w:rsidRPr="003D6A4D">
              <w:rPr>
                <w:rFonts w:ascii="Times New Roman" w:eastAsia="Times New Roman" w:hAnsi="Times New Roman"/>
                <w:sz w:val="26"/>
                <w:szCs w:val="26"/>
                <w:lang w:eastAsia="lv-LV"/>
              </w:rPr>
              <w:t xml:space="preserve">EPK </w:t>
            </w:r>
            <w:r w:rsidR="00F23904" w:rsidRPr="003D6A4D">
              <w:rPr>
                <w:rFonts w:ascii="Times New Roman" w:eastAsia="Times New Roman" w:hAnsi="Times New Roman"/>
                <w:sz w:val="26"/>
                <w:szCs w:val="26"/>
                <w:lang w:eastAsia="lv-LV"/>
              </w:rPr>
              <w:lastRenderedPageBreak/>
              <w:t>izdošanu</w:t>
            </w:r>
            <w:r w:rsidR="007A1770" w:rsidRPr="003D6A4D">
              <w:rPr>
                <w:rFonts w:ascii="Times New Roman" w:eastAsia="Times New Roman" w:hAnsi="Times New Roman"/>
                <w:sz w:val="26"/>
                <w:szCs w:val="26"/>
                <w:lang w:eastAsia="lv-LV"/>
              </w:rPr>
              <w:t xml:space="preserve"> aprēķinam izmantota </w:t>
            </w:r>
            <w:r w:rsidR="007A1770" w:rsidRPr="003D6A4D">
              <w:rPr>
                <w:rFonts w:ascii="Times New Roman" w:hAnsi="Times New Roman"/>
                <w:bCs/>
                <w:sz w:val="26"/>
                <w:szCs w:val="26"/>
              </w:rPr>
              <w:t>Ministru kabineta 2011.</w:t>
            </w:r>
            <w:r w:rsidR="00BD486B">
              <w:rPr>
                <w:rFonts w:ascii="Times New Roman" w:hAnsi="Times New Roman"/>
                <w:bCs/>
                <w:sz w:val="26"/>
                <w:szCs w:val="26"/>
              </w:rPr>
              <w:t>gada 3.maija noteikumos Nr.333 „</w:t>
            </w:r>
            <w:r w:rsidR="007A1770" w:rsidRPr="003D6A4D">
              <w:rPr>
                <w:rFonts w:ascii="Times New Roman" w:hAnsi="Times New Roman"/>
                <w:bCs/>
                <w:sz w:val="26"/>
                <w:szCs w:val="26"/>
              </w:rPr>
              <w:t xml:space="preserve">Kārtība, kādā plānojami un uzskaitāmi ieņēmumi no maksas pakalpojumiem un ar šo pakalpojumu sniegšanu saistītie izdevumi, kā arī maksas pakalpojumu izcenojumu noteikšanas metodika un izcenojumu apstiprināšanas kārtība” noteiktā metodika, tika izvērtēti tiešie izdevumi un netiešās izmaksas, kuru aprēķins ir atspoguļots </w:t>
            </w:r>
            <w:r w:rsidR="00B6352D">
              <w:rPr>
                <w:rFonts w:ascii="Times New Roman" w:hAnsi="Times New Roman"/>
                <w:bCs/>
                <w:sz w:val="26"/>
                <w:szCs w:val="26"/>
              </w:rPr>
              <w:t>1.</w:t>
            </w:r>
            <w:r w:rsidR="00132F12">
              <w:rPr>
                <w:rFonts w:ascii="Times New Roman" w:hAnsi="Times New Roman"/>
                <w:bCs/>
                <w:sz w:val="26"/>
                <w:szCs w:val="26"/>
              </w:rPr>
              <w:t xml:space="preserve"> un 2.</w:t>
            </w:r>
            <w:r w:rsidR="00B6352D">
              <w:rPr>
                <w:rFonts w:ascii="Times New Roman" w:hAnsi="Times New Roman"/>
                <w:bCs/>
                <w:sz w:val="26"/>
                <w:szCs w:val="26"/>
              </w:rPr>
              <w:t xml:space="preserve"> </w:t>
            </w:r>
            <w:r w:rsidR="007A1770" w:rsidRPr="003D6A4D">
              <w:rPr>
                <w:rFonts w:ascii="Times New Roman" w:hAnsi="Times New Roman"/>
                <w:bCs/>
                <w:sz w:val="26"/>
                <w:szCs w:val="26"/>
              </w:rPr>
              <w:t xml:space="preserve">tabulā. </w:t>
            </w:r>
          </w:p>
          <w:p w14:paraId="73FC3941" w14:textId="77777777" w:rsidR="007A1770" w:rsidRPr="00975CB2" w:rsidRDefault="007A1770" w:rsidP="007A1770">
            <w:pPr>
              <w:spacing w:after="0" w:line="240" w:lineRule="auto"/>
              <w:jc w:val="both"/>
              <w:rPr>
                <w:rFonts w:ascii="Times New Roman" w:hAnsi="Times New Roman"/>
                <w:sz w:val="26"/>
                <w:szCs w:val="26"/>
              </w:rPr>
            </w:pPr>
          </w:p>
          <w:p w14:paraId="2E2D68A0" w14:textId="278EE28C" w:rsidR="007A1770" w:rsidRPr="00746D7A" w:rsidRDefault="00B6352D" w:rsidP="007A1770">
            <w:pPr>
              <w:spacing w:after="0" w:line="240" w:lineRule="auto"/>
              <w:jc w:val="right"/>
              <w:rPr>
                <w:rFonts w:ascii="Times New Roman" w:hAnsi="Times New Roman"/>
                <w:b/>
                <w:i/>
                <w:sz w:val="24"/>
                <w:szCs w:val="24"/>
              </w:rPr>
            </w:pPr>
            <w:r>
              <w:rPr>
                <w:rFonts w:ascii="Times New Roman" w:hAnsi="Times New Roman"/>
                <w:i/>
                <w:sz w:val="24"/>
                <w:szCs w:val="24"/>
              </w:rPr>
              <w:t>1.</w:t>
            </w:r>
            <w:r w:rsidR="007A1770" w:rsidRPr="00746D7A">
              <w:rPr>
                <w:rFonts w:ascii="Times New Roman" w:hAnsi="Times New Roman"/>
                <w:i/>
                <w:sz w:val="26"/>
                <w:szCs w:val="26"/>
                <w:lang w:eastAsia="x-none"/>
              </w:rPr>
              <w:t>tabula</w:t>
            </w:r>
          </w:p>
          <w:p w14:paraId="1F139F43" w14:textId="2CFA9949" w:rsidR="007A1770" w:rsidRPr="00A80702" w:rsidRDefault="00B42E78" w:rsidP="007A1770">
            <w:pPr>
              <w:spacing w:after="0" w:line="240" w:lineRule="auto"/>
              <w:jc w:val="center"/>
              <w:rPr>
                <w:rFonts w:ascii="Times New Roman" w:hAnsi="Times New Roman"/>
                <w:b/>
              </w:rPr>
            </w:pPr>
            <w:r w:rsidRPr="00A80702">
              <w:rPr>
                <w:rFonts w:ascii="Times New Roman" w:hAnsi="Times New Roman"/>
                <w:b/>
              </w:rPr>
              <w:t>AIC</w:t>
            </w:r>
            <w:r w:rsidR="007A1770" w:rsidRPr="00A80702">
              <w:rPr>
                <w:rFonts w:ascii="Times New Roman" w:hAnsi="Times New Roman"/>
                <w:b/>
              </w:rPr>
              <w:t xml:space="preserve"> </w:t>
            </w:r>
            <w:r w:rsidR="00551551" w:rsidRPr="00A80702">
              <w:rPr>
                <w:rFonts w:ascii="Times New Roman" w:hAnsi="Times New Roman"/>
                <w:b/>
              </w:rPr>
              <w:t>izmaksu aprēķins pakalpojumam „</w:t>
            </w:r>
            <w:r w:rsidR="00A80702" w:rsidRPr="00A80702">
              <w:rPr>
                <w:rFonts w:ascii="Times New Roman" w:hAnsi="Times New Roman"/>
                <w:b/>
              </w:rPr>
              <w:t>Eiropas profesionālās kartes pieteikuma no personas, kas izglītību un profesionālo kvalifikāciju ieguvusi citā  Eiropas Savienības vai Eiropas Ekonomikas zonas valstī un pretendē uz Eiropas profesionālās kartes saņemšanu pastāvīgai profesionālajai darbībai vai īslaicīgu profesionālo pakalpojumu sniegšanai</w:t>
            </w:r>
            <w:r w:rsidR="00A80702" w:rsidRPr="00A80702" w:rsidDel="00031FAE">
              <w:rPr>
                <w:rFonts w:ascii="Times New Roman" w:hAnsi="Times New Roman"/>
                <w:b/>
              </w:rPr>
              <w:t xml:space="preserve"> </w:t>
            </w:r>
            <w:r w:rsidR="00A80702" w:rsidRPr="00A80702">
              <w:rPr>
                <w:rFonts w:ascii="Times New Roman" w:hAnsi="Times New Roman"/>
                <w:b/>
              </w:rPr>
              <w:t>Latvijas Republikā reglamentētajā profesijā, kurā nekvalificēts īslaicīgu profesionālo pakalpojumu sniedzējs var apdraudēt pakalpojumu saņēmēja veselību un drošību, apstrāde</w:t>
            </w:r>
            <w:r w:rsidR="00551551" w:rsidRPr="00A80702">
              <w:rPr>
                <w:rFonts w:ascii="Times New Roman" w:hAnsi="Times New Roman"/>
                <w:b/>
              </w:rPr>
              <w:t>” un pakalpojumam „</w:t>
            </w:r>
            <w:r w:rsidR="00A80702" w:rsidRPr="00A80702">
              <w:rPr>
                <w:rFonts w:ascii="Times New Roman" w:hAnsi="Times New Roman"/>
                <w:b/>
              </w:rPr>
              <w:t>Eiropas profesionālās kartes pieteikuma no personas, kas izglītību un profesionālo kvalifikāciju ieguvusi Latvijas Republikā, kā arī no personas, kam Latvijas Republikā ir atzīta profesionālā kvalifikācija, un kas pretendē uz Eiropas profesionālās kartes saņemšanu profesionālajai darbībai reglamentētajā profesijā citā Eiropas Savienības vai Eiropas Ekonomikas zonas valstī regl</w:t>
            </w:r>
            <w:r w:rsidR="00A80702" w:rsidRPr="00A80702">
              <w:rPr>
                <w:rFonts w:ascii="Times New Roman" w:hAnsi="Times New Roman"/>
                <w:b/>
              </w:rPr>
              <w:t xml:space="preserve">amentētajā profesijā, apstrāde </w:t>
            </w:r>
            <w:r w:rsidR="00C73EDE" w:rsidRPr="00A80702">
              <w:rPr>
                <w:rFonts w:ascii="Times New Roman" w:hAnsi="Times New Roman"/>
                <w:b/>
              </w:rPr>
              <w:t>”</w:t>
            </w:r>
          </w:p>
          <w:p w14:paraId="4ED19EB6" w14:textId="77777777" w:rsidR="007A1770" w:rsidRDefault="007A1770" w:rsidP="007A1770">
            <w:pPr>
              <w:spacing w:after="0" w:line="240" w:lineRule="auto"/>
              <w:jc w:val="center"/>
              <w:rPr>
                <w:rFonts w:ascii="Times New Roman" w:hAnsi="Times New Roman"/>
                <w:sz w:val="24"/>
                <w:szCs w:val="24"/>
              </w:rPr>
            </w:pPr>
          </w:p>
          <w:p w14:paraId="5AC28FFF" w14:textId="255DA16D" w:rsidR="007A1770" w:rsidRPr="002B463E" w:rsidRDefault="00B6352D" w:rsidP="007A1770">
            <w:pPr>
              <w:spacing w:after="0" w:line="240" w:lineRule="auto"/>
              <w:rPr>
                <w:rFonts w:ascii="Times New Roman" w:hAnsi="Times New Roman"/>
                <w:b/>
                <w:sz w:val="24"/>
                <w:szCs w:val="24"/>
              </w:rPr>
            </w:pPr>
            <w:r>
              <w:rPr>
                <w:rFonts w:ascii="Times New Roman" w:hAnsi="Times New Roman"/>
                <w:b/>
                <w:sz w:val="24"/>
                <w:szCs w:val="24"/>
              </w:rPr>
              <w:t xml:space="preserve">1.1. tabula </w:t>
            </w:r>
            <w:r w:rsidR="007A1770" w:rsidRPr="00905DCD">
              <w:rPr>
                <w:rFonts w:ascii="Times New Roman" w:hAnsi="Times New Roman"/>
                <w:b/>
                <w:sz w:val="24"/>
                <w:szCs w:val="24"/>
              </w:rPr>
              <w:t>Tiešās izmaksas</w:t>
            </w:r>
          </w:p>
          <w:tbl>
            <w:tblPr>
              <w:tblStyle w:val="TableGrid"/>
              <w:tblW w:w="6186" w:type="dxa"/>
              <w:tblLayout w:type="fixed"/>
              <w:tblLook w:val="04A0" w:firstRow="1" w:lastRow="0" w:firstColumn="1" w:lastColumn="0" w:noHBand="0" w:noVBand="1"/>
            </w:tblPr>
            <w:tblGrid>
              <w:gridCol w:w="2040"/>
              <w:gridCol w:w="1134"/>
              <w:gridCol w:w="1358"/>
              <w:gridCol w:w="1654"/>
            </w:tblGrid>
            <w:tr w:rsidR="00600D74" w:rsidRPr="00905DCD" w14:paraId="7C5E7414" w14:textId="77777777" w:rsidTr="00F50EFF">
              <w:tc>
                <w:tcPr>
                  <w:tcW w:w="2040" w:type="dxa"/>
                </w:tcPr>
                <w:p w14:paraId="751B0858" w14:textId="77777777" w:rsidR="00600D74" w:rsidRPr="00746D7A" w:rsidRDefault="00600D74" w:rsidP="00F50EFF">
                  <w:pPr>
                    <w:spacing w:after="0" w:line="240" w:lineRule="auto"/>
                    <w:rPr>
                      <w:rFonts w:ascii="Times New Roman" w:hAnsi="Times New Roman"/>
                      <w:i/>
                    </w:rPr>
                  </w:pPr>
                  <w:r w:rsidRPr="00746D7A">
                    <w:rPr>
                      <w:rFonts w:ascii="Times New Roman" w:hAnsi="Times New Roman"/>
                      <w:i/>
                    </w:rPr>
                    <w:t>Rādītājs un mērvienība</w:t>
                  </w:r>
                </w:p>
              </w:tc>
              <w:tc>
                <w:tcPr>
                  <w:tcW w:w="1134" w:type="dxa"/>
                </w:tcPr>
                <w:p w14:paraId="291C0896" w14:textId="77777777" w:rsidR="00600D74" w:rsidRPr="00746D7A" w:rsidRDefault="00600D74" w:rsidP="007A1770">
                  <w:pPr>
                    <w:spacing w:after="0" w:line="240" w:lineRule="auto"/>
                    <w:rPr>
                      <w:rFonts w:ascii="Times New Roman" w:hAnsi="Times New Roman"/>
                      <w:i/>
                    </w:rPr>
                  </w:pPr>
                  <w:r w:rsidRPr="00746D7A">
                    <w:rPr>
                      <w:rFonts w:ascii="Times New Roman" w:hAnsi="Times New Roman"/>
                      <w:i/>
                    </w:rPr>
                    <w:t>Izmaksas</w:t>
                  </w:r>
                </w:p>
                <w:p w14:paraId="33823CA2" w14:textId="012FF867" w:rsidR="00600D74" w:rsidRPr="00746D7A" w:rsidRDefault="00600D74" w:rsidP="00600D74">
                  <w:pPr>
                    <w:spacing w:after="0" w:line="240" w:lineRule="auto"/>
                    <w:rPr>
                      <w:rFonts w:ascii="Times New Roman" w:hAnsi="Times New Roman"/>
                    </w:rPr>
                  </w:pPr>
                  <w:r w:rsidRPr="00746D7A">
                    <w:rPr>
                      <w:rFonts w:ascii="Times New Roman" w:hAnsi="Times New Roman"/>
                      <w:i/>
                    </w:rPr>
                    <w:t xml:space="preserve">euro </w:t>
                  </w:r>
                </w:p>
              </w:tc>
              <w:tc>
                <w:tcPr>
                  <w:tcW w:w="1358" w:type="dxa"/>
                </w:tcPr>
                <w:p w14:paraId="5A1B1212" w14:textId="670DD3B7" w:rsidR="00600D74" w:rsidRPr="00746D7A" w:rsidRDefault="00600D74" w:rsidP="007A1770">
                  <w:pPr>
                    <w:spacing w:after="0" w:line="240" w:lineRule="auto"/>
                    <w:rPr>
                      <w:rFonts w:ascii="Times New Roman" w:hAnsi="Times New Roman"/>
                      <w:i/>
                    </w:rPr>
                  </w:pPr>
                  <w:r w:rsidRPr="00746D7A">
                    <w:rPr>
                      <w:rFonts w:ascii="Times New Roman" w:hAnsi="Times New Roman"/>
                      <w:i/>
                    </w:rPr>
                    <w:t>Plānotais laika ieguldījums pakalpojuma sniegšanai (h)</w:t>
                  </w:r>
                </w:p>
              </w:tc>
              <w:tc>
                <w:tcPr>
                  <w:tcW w:w="1654" w:type="dxa"/>
                </w:tcPr>
                <w:p w14:paraId="5B912091" w14:textId="77777777" w:rsidR="00600D74" w:rsidRPr="00746D7A" w:rsidRDefault="00600D74" w:rsidP="007A1770">
                  <w:pPr>
                    <w:spacing w:after="0" w:line="240" w:lineRule="auto"/>
                    <w:rPr>
                      <w:rFonts w:ascii="Times New Roman" w:hAnsi="Times New Roman"/>
                      <w:i/>
                    </w:rPr>
                  </w:pPr>
                  <w:r w:rsidRPr="00746D7A">
                    <w:rPr>
                      <w:rFonts w:ascii="Times New Roman" w:hAnsi="Times New Roman"/>
                      <w:i/>
                    </w:rPr>
                    <w:t>Izmaksu apjoms gadā maksas pakalpojuma veida nodrošinā</w:t>
                  </w:r>
                  <w:r w:rsidRPr="004B72DA">
                    <w:rPr>
                      <w:rFonts w:ascii="Times New Roman" w:hAnsi="Times New Roman"/>
                      <w:i/>
                    </w:rPr>
                    <w:t>-</w:t>
                  </w:r>
                  <w:r w:rsidRPr="00746D7A">
                    <w:rPr>
                      <w:rFonts w:ascii="Times New Roman" w:hAnsi="Times New Roman"/>
                      <w:i/>
                    </w:rPr>
                    <w:t xml:space="preserve">šanai </w:t>
                  </w:r>
                </w:p>
                <w:p w14:paraId="699B4752" w14:textId="187FFD95" w:rsidR="00600D74" w:rsidRPr="00746D7A" w:rsidRDefault="00600D74" w:rsidP="00600D74">
                  <w:pPr>
                    <w:spacing w:after="0" w:line="240" w:lineRule="auto"/>
                    <w:rPr>
                      <w:rFonts w:ascii="Times New Roman" w:hAnsi="Times New Roman"/>
                    </w:rPr>
                  </w:pPr>
                  <w:r w:rsidRPr="00746D7A">
                    <w:rPr>
                      <w:rFonts w:ascii="Times New Roman" w:hAnsi="Times New Roman"/>
                      <w:i/>
                    </w:rPr>
                    <w:t>euro</w:t>
                  </w:r>
                </w:p>
              </w:tc>
            </w:tr>
            <w:tr w:rsidR="00600D74" w:rsidRPr="00A5465E" w14:paraId="05F2B3F9" w14:textId="77777777" w:rsidTr="00F50EFF">
              <w:tc>
                <w:tcPr>
                  <w:tcW w:w="2040" w:type="dxa"/>
                </w:tcPr>
                <w:p w14:paraId="4E981CB9" w14:textId="22700372" w:rsidR="00600D74" w:rsidRPr="00746D7A" w:rsidRDefault="00600D74" w:rsidP="00F50EFF">
                  <w:pPr>
                    <w:spacing w:after="0" w:line="240" w:lineRule="auto"/>
                    <w:rPr>
                      <w:rFonts w:ascii="Times New Roman" w:hAnsi="Times New Roman"/>
                    </w:rPr>
                  </w:pPr>
                  <w:r>
                    <w:rPr>
                      <w:rFonts w:ascii="Times New Roman" w:hAnsi="Times New Roman"/>
                    </w:rPr>
                    <w:t>EPK pieteikumam pievienoto izglītības dokumentu akadēmiskās atzīšanas</w:t>
                  </w:r>
                  <w:r w:rsidRPr="00746D7A">
                    <w:rPr>
                      <w:rFonts w:ascii="Times New Roman" w:hAnsi="Times New Roman"/>
                    </w:rPr>
                    <w:t xml:space="preserve"> eksperta atalgojums</w:t>
                  </w:r>
                </w:p>
              </w:tc>
              <w:tc>
                <w:tcPr>
                  <w:tcW w:w="1134" w:type="dxa"/>
                </w:tcPr>
                <w:p w14:paraId="3C92CFFB" w14:textId="77777777" w:rsidR="00600D74" w:rsidRPr="00746D7A" w:rsidRDefault="00600D74" w:rsidP="007A1770">
                  <w:pPr>
                    <w:spacing w:after="0" w:line="240" w:lineRule="auto"/>
                    <w:jc w:val="center"/>
                    <w:rPr>
                      <w:rFonts w:ascii="Times New Roman" w:hAnsi="Times New Roman"/>
                    </w:rPr>
                  </w:pPr>
                  <w:r w:rsidRPr="00746D7A">
                    <w:rPr>
                      <w:rFonts w:ascii="Times New Roman" w:hAnsi="Times New Roman"/>
                    </w:rPr>
                    <w:t>8,43</w:t>
                  </w:r>
                </w:p>
              </w:tc>
              <w:tc>
                <w:tcPr>
                  <w:tcW w:w="1358" w:type="dxa"/>
                </w:tcPr>
                <w:p w14:paraId="5C35E496" w14:textId="005AEA35" w:rsidR="00600D74" w:rsidRPr="00746D7A" w:rsidRDefault="00600D74" w:rsidP="007A1770">
                  <w:pPr>
                    <w:spacing w:after="0" w:line="240" w:lineRule="auto"/>
                    <w:jc w:val="center"/>
                    <w:rPr>
                      <w:rFonts w:ascii="Times New Roman" w:hAnsi="Times New Roman"/>
                    </w:rPr>
                  </w:pPr>
                  <w:r>
                    <w:rPr>
                      <w:rFonts w:ascii="Times New Roman" w:hAnsi="Times New Roman"/>
                    </w:rPr>
                    <w:t>5</w:t>
                  </w:r>
                </w:p>
              </w:tc>
              <w:tc>
                <w:tcPr>
                  <w:tcW w:w="1654" w:type="dxa"/>
                </w:tcPr>
                <w:p w14:paraId="1A8F24AA" w14:textId="29C8F3E3" w:rsidR="00600D74" w:rsidRPr="00746D7A" w:rsidRDefault="00600D74" w:rsidP="007A1770">
                  <w:pPr>
                    <w:spacing w:after="0" w:line="240" w:lineRule="auto"/>
                    <w:jc w:val="center"/>
                    <w:rPr>
                      <w:rFonts w:ascii="Times New Roman" w:hAnsi="Times New Roman"/>
                    </w:rPr>
                  </w:pPr>
                  <w:r>
                    <w:rPr>
                      <w:rFonts w:ascii="Times New Roman" w:hAnsi="Times New Roman"/>
                    </w:rPr>
                    <w:t>42,15</w:t>
                  </w:r>
                </w:p>
              </w:tc>
            </w:tr>
            <w:tr w:rsidR="00600D74" w:rsidRPr="00A5465E" w14:paraId="3DCCD247" w14:textId="77777777" w:rsidTr="00F50EFF">
              <w:tc>
                <w:tcPr>
                  <w:tcW w:w="2040" w:type="dxa"/>
                </w:tcPr>
                <w:p w14:paraId="253E9C61" w14:textId="36C09084" w:rsidR="00600D74" w:rsidRDefault="00600D74" w:rsidP="00F50EFF">
                  <w:pPr>
                    <w:spacing w:after="0" w:line="240" w:lineRule="auto"/>
                    <w:rPr>
                      <w:rFonts w:ascii="Times New Roman" w:hAnsi="Times New Roman"/>
                    </w:rPr>
                  </w:pPr>
                  <w:r>
                    <w:rPr>
                      <w:rFonts w:ascii="Times New Roman" w:hAnsi="Times New Roman"/>
                    </w:rPr>
                    <w:t>EPK pieteikuma dokumentu kopas autentiskuma pārbaudes eksperta atalgojums</w:t>
                  </w:r>
                </w:p>
              </w:tc>
              <w:tc>
                <w:tcPr>
                  <w:tcW w:w="1134" w:type="dxa"/>
                </w:tcPr>
                <w:p w14:paraId="6E02052F" w14:textId="7FBBEC77" w:rsidR="00600D74" w:rsidRPr="00746D7A" w:rsidRDefault="00600D74" w:rsidP="00600D74">
                  <w:pPr>
                    <w:spacing w:after="0" w:line="240" w:lineRule="auto"/>
                    <w:jc w:val="center"/>
                    <w:rPr>
                      <w:rFonts w:ascii="Times New Roman" w:hAnsi="Times New Roman"/>
                    </w:rPr>
                  </w:pPr>
                  <w:r w:rsidRPr="00746D7A">
                    <w:rPr>
                      <w:rFonts w:ascii="Times New Roman" w:hAnsi="Times New Roman"/>
                    </w:rPr>
                    <w:t>8,43</w:t>
                  </w:r>
                </w:p>
              </w:tc>
              <w:tc>
                <w:tcPr>
                  <w:tcW w:w="1358" w:type="dxa"/>
                </w:tcPr>
                <w:p w14:paraId="02318E2A" w14:textId="16D81E9A" w:rsidR="00600D74" w:rsidRPr="00746D7A" w:rsidRDefault="00600D74" w:rsidP="00600D74">
                  <w:pPr>
                    <w:spacing w:after="0" w:line="240" w:lineRule="auto"/>
                    <w:jc w:val="center"/>
                    <w:rPr>
                      <w:rFonts w:ascii="Times New Roman" w:hAnsi="Times New Roman"/>
                    </w:rPr>
                  </w:pPr>
                  <w:r>
                    <w:rPr>
                      <w:rFonts w:ascii="Times New Roman" w:hAnsi="Times New Roman"/>
                    </w:rPr>
                    <w:t>3</w:t>
                  </w:r>
                </w:p>
              </w:tc>
              <w:tc>
                <w:tcPr>
                  <w:tcW w:w="1654" w:type="dxa"/>
                </w:tcPr>
                <w:p w14:paraId="42278BF8" w14:textId="1D410E87" w:rsidR="00600D74" w:rsidRPr="00746D7A" w:rsidRDefault="00600D74" w:rsidP="00600D74">
                  <w:pPr>
                    <w:spacing w:after="0" w:line="240" w:lineRule="auto"/>
                    <w:jc w:val="center"/>
                    <w:rPr>
                      <w:rFonts w:ascii="Times New Roman" w:hAnsi="Times New Roman"/>
                    </w:rPr>
                  </w:pPr>
                  <w:r>
                    <w:rPr>
                      <w:rFonts w:ascii="Times New Roman" w:hAnsi="Times New Roman"/>
                    </w:rPr>
                    <w:t>25,29</w:t>
                  </w:r>
                </w:p>
              </w:tc>
            </w:tr>
          </w:tbl>
          <w:p w14:paraId="4AEF1353" w14:textId="77777777" w:rsidR="007A1770" w:rsidRDefault="007A1770" w:rsidP="007A1770">
            <w:pPr>
              <w:spacing w:after="0" w:line="240" w:lineRule="auto"/>
              <w:rPr>
                <w:rFonts w:ascii="Times New Roman" w:hAnsi="Times New Roman"/>
                <w:sz w:val="24"/>
                <w:szCs w:val="24"/>
              </w:rPr>
            </w:pPr>
          </w:p>
          <w:p w14:paraId="50C54182" w14:textId="5C9F728D" w:rsidR="007A1770" w:rsidRPr="002B463E" w:rsidRDefault="00B6352D" w:rsidP="007A1770">
            <w:pPr>
              <w:spacing w:after="0" w:line="240" w:lineRule="auto"/>
              <w:rPr>
                <w:rFonts w:ascii="Times New Roman" w:hAnsi="Times New Roman"/>
                <w:b/>
                <w:sz w:val="24"/>
                <w:szCs w:val="24"/>
              </w:rPr>
            </w:pPr>
            <w:r>
              <w:rPr>
                <w:rFonts w:ascii="Times New Roman" w:hAnsi="Times New Roman"/>
                <w:b/>
                <w:sz w:val="24"/>
                <w:szCs w:val="24"/>
              </w:rPr>
              <w:t xml:space="preserve">1.2. tabula </w:t>
            </w:r>
            <w:r w:rsidR="007A1770" w:rsidRPr="00905DCD">
              <w:rPr>
                <w:rFonts w:ascii="Times New Roman" w:hAnsi="Times New Roman"/>
                <w:b/>
                <w:sz w:val="24"/>
                <w:szCs w:val="24"/>
              </w:rPr>
              <w:t>Netiešās izmaksas</w:t>
            </w:r>
          </w:p>
          <w:tbl>
            <w:tblPr>
              <w:tblStyle w:val="TableGrid"/>
              <w:tblW w:w="6293" w:type="dxa"/>
              <w:tblLayout w:type="fixed"/>
              <w:tblLook w:val="04A0" w:firstRow="1" w:lastRow="0" w:firstColumn="1" w:lastColumn="0" w:noHBand="0" w:noVBand="1"/>
            </w:tblPr>
            <w:tblGrid>
              <w:gridCol w:w="4450"/>
              <w:gridCol w:w="1843"/>
            </w:tblGrid>
            <w:tr w:rsidR="00B6352D" w:rsidRPr="00905DCD" w14:paraId="25275C02" w14:textId="77777777" w:rsidTr="00B6352D">
              <w:tc>
                <w:tcPr>
                  <w:tcW w:w="4450" w:type="dxa"/>
                </w:tcPr>
                <w:p w14:paraId="3A6EF776" w14:textId="77777777" w:rsidR="00B6352D" w:rsidRPr="00905DCD" w:rsidRDefault="00B6352D" w:rsidP="007A1770">
                  <w:pPr>
                    <w:spacing w:after="0" w:line="240" w:lineRule="auto"/>
                    <w:rPr>
                      <w:rFonts w:ascii="Times New Roman" w:hAnsi="Times New Roman"/>
                      <w:i/>
                      <w:sz w:val="24"/>
                      <w:szCs w:val="24"/>
                    </w:rPr>
                  </w:pPr>
                  <w:r w:rsidRPr="00905DCD">
                    <w:rPr>
                      <w:rFonts w:ascii="Times New Roman" w:hAnsi="Times New Roman"/>
                      <w:i/>
                      <w:sz w:val="24"/>
                      <w:szCs w:val="24"/>
                    </w:rPr>
                    <w:t>Rādītājs un mērvienība</w:t>
                  </w:r>
                </w:p>
              </w:tc>
              <w:tc>
                <w:tcPr>
                  <w:tcW w:w="1843" w:type="dxa"/>
                </w:tcPr>
                <w:p w14:paraId="4E183E89" w14:textId="77777777" w:rsidR="00B6352D" w:rsidRPr="00905DCD" w:rsidRDefault="00B6352D" w:rsidP="007A1770">
                  <w:pPr>
                    <w:spacing w:after="0" w:line="240" w:lineRule="auto"/>
                    <w:rPr>
                      <w:rFonts w:ascii="Times New Roman" w:hAnsi="Times New Roman"/>
                      <w:i/>
                      <w:sz w:val="24"/>
                      <w:szCs w:val="24"/>
                    </w:rPr>
                  </w:pPr>
                  <w:r w:rsidRPr="00905DCD">
                    <w:rPr>
                      <w:rFonts w:ascii="Times New Roman" w:hAnsi="Times New Roman"/>
                      <w:i/>
                      <w:sz w:val="24"/>
                      <w:szCs w:val="24"/>
                    </w:rPr>
                    <w:t>Izmaksa</w:t>
                  </w:r>
                  <w:r>
                    <w:rPr>
                      <w:rFonts w:ascii="Times New Roman" w:hAnsi="Times New Roman"/>
                      <w:i/>
                      <w:sz w:val="24"/>
                      <w:szCs w:val="24"/>
                    </w:rPr>
                    <w:t>s</w:t>
                  </w:r>
                </w:p>
                <w:p w14:paraId="1323F15A" w14:textId="77777777" w:rsidR="00B6352D" w:rsidRPr="00746D7A" w:rsidRDefault="00B6352D" w:rsidP="007A1770">
                  <w:pPr>
                    <w:spacing w:after="0" w:line="240" w:lineRule="auto"/>
                    <w:rPr>
                      <w:rFonts w:ascii="Times New Roman" w:hAnsi="Times New Roman"/>
                      <w:sz w:val="24"/>
                      <w:szCs w:val="24"/>
                    </w:rPr>
                  </w:pPr>
                  <w:r>
                    <w:rPr>
                      <w:rFonts w:ascii="Times New Roman" w:hAnsi="Times New Roman"/>
                      <w:i/>
                      <w:sz w:val="24"/>
                      <w:szCs w:val="24"/>
                    </w:rPr>
                    <w:t>e</w:t>
                  </w:r>
                  <w:r w:rsidRPr="00905DCD">
                    <w:rPr>
                      <w:rFonts w:ascii="Times New Roman" w:hAnsi="Times New Roman"/>
                      <w:i/>
                      <w:sz w:val="24"/>
                      <w:szCs w:val="24"/>
                    </w:rPr>
                    <w:t>uro</w:t>
                  </w:r>
                  <w:r>
                    <w:rPr>
                      <w:rFonts w:ascii="Times New Roman" w:hAnsi="Times New Roman"/>
                      <w:i/>
                      <w:sz w:val="24"/>
                      <w:szCs w:val="24"/>
                    </w:rPr>
                    <w:t xml:space="preserve"> </w:t>
                  </w:r>
                  <w:r>
                    <w:rPr>
                      <w:rFonts w:ascii="Times New Roman" w:hAnsi="Times New Roman"/>
                      <w:sz w:val="24"/>
                      <w:szCs w:val="24"/>
                    </w:rPr>
                    <w:t>(2014.)</w:t>
                  </w:r>
                </w:p>
              </w:tc>
            </w:tr>
            <w:tr w:rsidR="00B6352D" w14:paraId="727CE1A6" w14:textId="77777777" w:rsidTr="00B6352D">
              <w:tc>
                <w:tcPr>
                  <w:tcW w:w="4450" w:type="dxa"/>
                </w:tcPr>
                <w:p w14:paraId="72018706" w14:textId="77777777" w:rsidR="00B6352D" w:rsidRDefault="00B6352D" w:rsidP="007A1770">
                  <w:pPr>
                    <w:spacing w:after="0" w:line="240" w:lineRule="auto"/>
                    <w:rPr>
                      <w:rFonts w:ascii="Times New Roman" w:hAnsi="Times New Roman"/>
                      <w:sz w:val="24"/>
                      <w:szCs w:val="24"/>
                    </w:rPr>
                  </w:pPr>
                  <w:r>
                    <w:rPr>
                      <w:rFonts w:ascii="Times New Roman" w:hAnsi="Times New Roman"/>
                      <w:sz w:val="24"/>
                      <w:szCs w:val="24"/>
                    </w:rPr>
                    <w:lastRenderedPageBreak/>
                    <w:t>S</w:t>
                  </w:r>
                  <w:r w:rsidRPr="00A5465E">
                    <w:rPr>
                      <w:rFonts w:ascii="Times New Roman" w:hAnsi="Times New Roman"/>
                      <w:sz w:val="24"/>
                      <w:szCs w:val="24"/>
                    </w:rPr>
                    <w:t>ekretāres – lietvedes darba apmaksa</w:t>
                  </w:r>
                  <w:r>
                    <w:rPr>
                      <w:rFonts w:ascii="Times New Roman" w:hAnsi="Times New Roman"/>
                      <w:sz w:val="24"/>
                      <w:szCs w:val="24"/>
                    </w:rPr>
                    <w:t xml:space="preserve"> </w:t>
                  </w:r>
                  <w:r w:rsidRPr="00A5465E">
                    <w:rPr>
                      <w:rFonts w:ascii="Times New Roman" w:hAnsi="Times New Roman"/>
                      <w:sz w:val="24"/>
                      <w:szCs w:val="24"/>
                    </w:rPr>
                    <w:t xml:space="preserve">(komunikācijas ar klientu, korespondences sagatavošana, </w:t>
                  </w:r>
                  <w:r>
                    <w:rPr>
                      <w:rFonts w:ascii="Times New Roman" w:hAnsi="Times New Roman"/>
                      <w:sz w:val="24"/>
                      <w:szCs w:val="24"/>
                    </w:rPr>
                    <w:t>dokumentu plūsmas pārvaldīšana)</w:t>
                  </w:r>
                </w:p>
              </w:tc>
              <w:tc>
                <w:tcPr>
                  <w:tcW w:w="1843" w:type="dxa"/>
                </w:tcPr>
                <w:p w14:paraId="3FA5EA44" w14:textId="77777777" w:rsidR="00B6352D" w:rsidRDefault="00B6352D" w:rsidP="007A1770">
                  <w:pPr>
                    <w:spacing w:after="0" w:line="240" w:lineRule="auto"/>
                    <w:rPr>
                      <w:rFonts w:ascii="Times New Roman" w:hAnsi="Times New Roman"/>
                      <w:sz w:val="24"/>
                      <w:szCs w:val="24"/>
                    </w:rPr>
                  </w:pPr>
                  <w:r w:rsidRPr="00A5465E">
                    <w:rPr>
                      <w:rFonts w:ascii="Times New Roman" w:hAnsi="Times New Roman"/>
                      <w:sz w:val="24"/>
                      <w:szCs w:val="24"/>
                    </w:rPr>
                    <w:t xml:space="preserve">5,57 </w:t>
                  </w:r>
                  <w:r w:rsidRPr="00A5465E">
                    <w:rPr>
                      <w:rFonts w:ascii="Times New Roman" w:hAnsi="Times New Roman"/>
                      <w:i/>
                      <w:sz w:val="24"/>
                      <w:szCs w:val="24"/>
                    </w:rPr>
                    <w:t>euro</w:t>
                  </w:r>
                  <w:r w:rsidRPr="00A5465E" w:rsidDel="009C7ABE">
                    <w:rPr>
                      <w:rFonts w:ascii="Times New Roman" w:hAnsi="Times New Roman"/>
                      <w:sz w:val="24"/>
                      <w:szCs w:val="24"/>
                    </w:rPr>
                    <w:t xml:space="preserve"> </w:t>
                  </w:r>
                  <w:r w:rsidRPr="00A5465E">
                    <w:rPr>
                      <w:rFonts w:ascii="Times New Roman" w:hAnsi="Times New Roman"/>
                      <w:sz w:val="24"/>
                      <w:szCs w:val="24"/>
                    </w:rPr>
                    <w:t>/stundā</w:t>
                  </w:r>
                  <w:r>
                    <w:rPr>
                      <w:rFonts w:ascii="Times New Roman" w:hAnsi="Times New Roman"/>
                      <w:sz w:val="24"/>
                      <w:szCs w:val="24"/>
                    </w:rPr>
                    <w:t xml:space="preserve"> * 0,5 stundas</w:t>
                  </w:r>
                </w:p>
                <w:p w14:paraId="5B18FA8F" w14:textId="77777777" w:rsidR="00B6352D" w:rsidRDefault="00B6352D" w:rsidP="007A1770">
                  <w:pPr>
                    <w:spacing w:after="0" w:line="240" w:lineRule="auto"/>
                    <w:rPr>
                      <w:rFonts w:ascii="Times New Roman" w:hAnsi="Times New Roman"/>
                      <w:sz w:val="24"/>
                      <w:szCs w:val="24"/>
                    </w:rPr>
                  </w:pPr>
                  <w:r>
                    <w:rPr>
                      <w:rFonts w:ascii="Times New Roman" w:hAnsi="Times New Roman"/>
                      <w:sz w:val="24"/>
                      <w:szCs w:val="24"/>
                    </w:rPr>
                    <w:t xml:space="preserve"> = 2,79 </w:t>
                  </w:r>
                </w:p>
              </w:tc>
            </w:tr>
            <w:tr w:rsidR="00B6352D" w:rsidRPr="000E121B" w14:paraId="25B3CAE1" w14:textId="77777777" w:rsidTr="00B6352D">
              <w:tc>
                <w:tcPr>
                  <w:tcW w:w="4450" w:type="dxa"/>
                </w:tcPr>
                <w:p w14:paraId="3BE9909F" w14:textId="187ACEA5" w:rsidR="00B6352D" w:rsidRDefault="00B6352D" w:rsidP="007A1770">
                  <w:pPr>
                    <w:spacing w:after="0" w:line="240" w:lineRule="auto"/>
                    <w:jc w:val="both"/>
                    <w:rPr>
                      <w:rFonts w:ascii="Times New Roman" w:hAnsi="Times New Roman"/>
                      <w:sz w:val="24"/>
                      <w:szCs w:val="24"/>
                    </w:rPr>
                  </w:pPr>
                  <w:r>
                    <w:rPr>
                      <w:rFonts w:ascii="Times New Roman" w:hAnsi="Times New Roman"/>
                      <w:sz w:val="24"/>
                      <w:szCs w:val="24"/>
                    </w:rPr>
                    <w:t>AIC d</w:t>
                  </w:r>
                  <w:r w:rsidRPr="000E121B">
                    <w:rPr>
                      <w:rFonts w:ascii="Times New Roman" w:hAnsi="Times New Roman"/>
                      <w:sz w:val="24"/>
                      <w:szCs w:val="24"/>
                    </w:rPr>
                    <w:t>arba organizācija</w:t>
                  </w:r>
                  <w:r>
                    <w:rPr>
                      <w:rFonts w:ascii="Times New Roman" w:hAnsi="Times New Roman"/>
                      <w:sz w:val="24"/>
                      <w:szCs w:val="24"/>
                    </w:rPr>
                    <w:t>s izdevumi papildus</w:t>
                  </w:r>
                  <w:r w:rsidRPr="000E121B">
                    <w:rPr>
                      <w:rFonts w:ascii="Times New Roman" w:hAnsi="Times New Roman"/>
                      <w:sz w:val="24"/>
                      <w:szCs w:val="24"/>
                    </w:rPr>
                    <w:t xml:space="preserve"> tiešajām ar profesionālās kvalifikācijas atzīšanas dokumentu ekspertīzi un izziņas sagatavošanu saistītajām izmaksām. </w:t>
                  </w:r>
                </w:p>
                <w:p w14:paraId="0A5DEC39" w14:textId="77777777" w:rsidR="00B6352D" w:rsidRPr="000E121B" w:rsidRDefault="00B6352D" w:rsidP="007A1770">
                  <w:pPr>
                    <w:spacing w:after="0" w:line="240" w:lineRule="auto"/>
                    <w:jc w:val="both"/>
                    <w:rPr>
                      <w:rFonts w:ascii="Times New Roman" w:hAnsi="Times New Roman"/>
                      <w:sz w:val="24"/>
                      <w:szCs w:val="24"/>
                    </w:rPr>
                  </w:pPr>
                  <w:r w:rsidRPr="000E121B">
                    <w:rPr>
                      <w:rFonts w:ascii="Times New Roman" w:hAnsi="Times New Roman"/>
                      <w:sz w:val="24"/>
                      <w:szCs w:val="24"/>
                    </w:rPr>
                    <w:t>Darba organizācijas izdevumos ietilpst: saimnieciskie un biroja preču izdevumi, sakaru izdevumi</w:t>
                  </w:r>
                  <w:r>
                    <w:rPr>
                      <w:rFonts w:ascii="Times New Roman" w:hAnsi="Times New Roman"/>
                      <w:sz w:val="24"/>
                      <w:szCs w:val="24"/>
                    </w:rPr>
                    <w:t xml:space="preserve"> (</w:t>
                  </w:r>
                  <w:r w:rsidRPr="000E121B">
                    <w:rPr>
                      <w:rFonts w:ascii="Times New Roman" w:hAnsi="Times New Roman"/>
                      <w:sz w:val="24"/>
                      <w:szCs w:val="24"/>
                    </w:rPr>
                    <w:t>tajā skaitā pasta sūtījumi, telefons, fakss, internets</w:t>
                  </w:r>
                  <w:r>
                    <w:rPr>
                      <w:rFonts w:ascii="Times New Roman" w:hAnsi="Times New Roman"/>
                      <w:sz w:val="24"/>
                      <w:szCs w:val="24"/>
                    </w:rPr>
                    <w:t>) un</w:t>
                  </w:r>
                  <w:r w:rsidRPr="000E121B">
                    <w:rPr>
                      <w:rFonts w:ascii="Times New Roman" w:hAnsi="Times New Roman"/>
                      <w:sz w:val="24"/>
                      <w:szCs w:val="24"/>
                    </w:rPr>
                    <w:t xml:space="preserve"> biroja telpu uzturēšana</w:t>
                  </w:r>
                  <w:r>
                    <w:rPr>
                      <w:rFonts w:ascii="Times New Roman" w:hAnsi="Times New Roman"/>
                      <w:sz w:val="24"/>
                      <w:szCs w:val="24"/>
                    </w:rPr>
                    <w:t xml:space="preserve"> (</w:t>
                  </w:r>
                  <w:r w:rsidRPr="000E121B">
                    <w:rPr>
                      <w:rFonts w:ascii="Times New Roman" w:hAnsi="Times New Roman"/>
                      <w:sz w:val="24"/>
                      <w:szCs w:val="24"/>
                    </w:rPr>
                    <w:t>tajā skaitā īre, apsaimniekošana, apkure</w:t>
                  </w:r>
                  <w:r>
                    <w:rPr>
                      <w:rFonts w:ascii="Times New Roman" w:hAnsi="Times New Roman"/>
                      <w:sz w:val="24"/>
                      <w:szCs w:val="24"/>
                    </w:rPr>
                    <w:t>)</w:t>
                  </w:r>
                  <w:r w:rsidRPr="000E121B">
                    <w:rPr>
                      <w:rFonts w:ascii="Times New Roman" w:hAnsi="Times New Roman"/>
                      <w:sz w:val="24"/>
                      <w:szCs w:val="24"/>
                    </w:rPr>
                    <w:t>, kā arī datoru un biroja tehnika</w:t>
                  </w:r>
                  <w:r>
                    <w:rPr>
                      <w:rFonts w:ascii="Times New Roman" w:hAnsi="Times New Roman"/>
                      <w:sz w:val="24"/>
                      <w:szCs w:val="24"/>
                    </w:rPr>
                    <w:t>s iegāde un uzturēšana, kā arī izdevumi, kas saistīti ar institūcijas darbību, piemēram, grāmatvedības funkcijas, pārskatu gatavošana.</w:t>
                  </w:r>
                </w:p>
              </w:tc>
              <w:tc>
                <w:tcPr>
                  <w:tcW w:w="1843" w:type="dxa"/>
                </w:tcPr>
                <w:p w14:paraId="503BEC9F" w14:textId="77777777" w:rsidR="00B6352D" w:rsidRDefault="00B6352D" w:rsidP="007A1770">
                  <w:pPr>
                    <w:spacing w:after="0" w:line="240" w:lineRule="auto"/>
                    <w:rPr>
                      <w:rFonts w:ascii="Times New Roman" w:hAnsi="Times New Roman"/>
                      <w:bCs/>
                      <w:sz w:val="24"/>
                      <w:szCs w:val="24"/>
                    </w:rPr>
                  </w:pPr>
                  <w:r>
                    <w:rPr>
                      <w:rFonts w:ascii="Times New Roman" w:hAnsi="Times New Roman"/>
                      <w:bCs/>
                      <w:sz w:val="24"/>
                      <w:szCs w:val="24"/>
                    </w:rPr>
                    <w:t>1</w:t>
                  </w:r>
                  <w:r w:rsidRPr="000E121B">
                    <w:rPr>
                      <w:rFonts w:ascii="Times New Roman" w:hAnsi="Times New Roman"/>
                      <w:bCs/>
                      <w:sz w:val="24"/>
                      <w:szCs w:val="24"/>
                    </w:rPr>
                    <w:t>9,</w:t>
                  </w:r>
                  <w:r>
                    <w:rPr>
                      <w:rFonts w:ascii="Times New Roman" w:hAnsi="Times New Roman"/>
                      <w:bCs/>
                      <w:sz w:val="24"/>
                      <w:szCs w:val="24"/>
                    </w:rPr>
                    <w:t>77</w:t>
                  </w:r>
                </w:p>
                <w:p w14:paraId="25F16628" w14:textId="77777777" w:rsidR="00B6352D" w:rsidRPr="000E121B" w:rsidRDefault="00B6352D" w:rsidP="007A1770">
                  <w:pPr>
                    <w:spacing w:after="0" w:line="240" w:lineRule="auto"/>
                    <w:rPr>
                      <w:rFonts w:ascii="Times New Roman" w:hAnsi="Times New Roman"/>
                      <w:bCs/>
                      <w:sz w:val="24"/>
                      <w:szCs w:val="24"/>
                    </w:rPr>
                  </w:pPr>
                </w:p>
                <w:p w14:paraId="38E8D091" w14:textId="77777777" w:rsidR="00B6352D" w:rsidRPr="000E121B" w:rsidRDefault="00B6352D" w:rsidP="007A1770">
                  <w:pPr>
                    <w:spacing w:after="0" w:line="240" w:lineRule="auto"/>
                    <w:rPr>
                      <w:rFonts w:ascii="Times New Roman" w:hAnsi="Times New Roman"/>
                      <w:sz w:val="24"/>
                      <w:szCs w:val="24"/>
                    </w:rPr>
                  </w:pPr>
                </w:p>
              </w:tc>
            </w:tr>
            <w:tr w:rsidR="00B6352D" w:rsidRPr="000E121B" w14:paraId="215756D2" w14:textId="77777777" w:rsidTr="00B6352D">
              <w:tc>
                <w:tcPr>
                  <w:tcW w:w="4450" w:type="dxa"/>
                </w:tcPr>
                <w:p w14:paraId="7D7AF12D" w14:textId="1BE94016" w:rsidR="00B6352D" w:rsidRDefault="00B6352D" w:rsidP="007A1770">
                  <w:pPr>
                    <w:spacing w:after="0" w:line="240" w:lineRule="auto"/>
                    <w:jc w:val="both"/>
                    <w:rPr>
                      <w:rFonts w:ascii="Times New Roman" w:hAnsi="Times New Roman"/>
                      <w:sz w:val="24"/>
                      <w:szCs w:val="24"/>
                    </w:rPr>
                  </w:pPr>
                  <w:r>
                    <w:rPr>
                      <w:rFonts w:ascii="Times New Roman" w:hAnsi="Times New Roman"/>
                      <w:sz w:val="24"/>
                      <w:szCs w:val="24"/>
                    </w:rPr>
                    <w:t>AIC darbinieku kompetences paaugstināšana apmācībās, kā arī ar</w:t>
                  </w:r>
                  <w:r w:rsidRPr="000E121B">
                    <w:rPr>
                      <w:rFonts w:ascii="Times New Roman" w:hAnsi="Times New Roman"/>
                      <w:sz w:val="24"/>
                      <w:szCs w:val="24"/>
                    </w:rPr>
                    <w:t xml:space="preserve"> </w:t>
                  </w:r>
                  <w:r>
                    <w:rPr>
                      <w:rFonts w:ascii="Times New Roman" w:hAnsi="Times New Roman"/>
                      <w:sz w:val="24"/>
                      <w:szCs w:val="24"/>
                    </w:rPr>
                    <w:t>līdzdalību</w:t>
                  </w:r>
                  <w:r w:rsidRPr="000E121B">
                    <w:rPr>
                      <w:rFonts w:ascii="Times New Roman" w:hAnsi="Times New Roman"/>
                      <w:sz w:val="24"/>
                      <w:szCs w:val="24"/>
                    </w:rPr>
                    <w:t xml:space="preserve"> starptautiskajās profesionālās kvalifikācijas atzīš</w:t>
                  </w:r>
                  <w:r>
                    <w:rPr>
                      <w:rFonts w:ascii="Times New Roman" w:hAnsi="Times New Roman"/>
                      <w:sz w:val="24"/>
                      <w:szCs w:val="24"/>
                    </w:rPr>
                    <w:t>anas sanāksmēs, kursos, u.c. pasākumos, profesionālas literatūras iegāde.</w:t>
                  </w:r>
                </w:p>
              </w:tc>
              <w:tc>
                <w:tcPr>
                  <w:tcW w:w="1843" w:type="dxa"/>
                </w:tcPr>
                <w:p w14:paraId="70834A93" w14:textId="77777777" w:rsidR="00B6352D" w:rsidRPr="000E121B" w:rsidRDefault="00B6352D" w:rsidP="007A1770">
                  <w:pPr>
                    <w:spacing w:after="0" w:line="240" w:lineRule="auto"/>
                    <w:rPr>
                      <w:rFonts w:ascii="Times New Roman" w:hAnsi="Times New Roman"/>
                      <w:bCs/>
                      <w:sz w:val="24"/>
                      <w:szCs w:val="24"/>
                    </w:rPr>
                  </w:pPr>
                  <w:r>
                    <w:rPr>
                      <w:rFonts w:ascii="Times New Roman" w:hAnsi="Times New Roman"/>
                      <w:bCs/>
                      <w:sz w:val="24"/>
                      <w:szCs w:val="24"/>
                    </w:rPr>
                    <w:t>10,00</w:t>
                  </w:r>
                </w:p>
              </w:tc>
            </w:tr>
            <w:tr w:rsidR="00B6352D" w:rsidRPr="000E121B" w14:paraId="4CF4E464" w14:textId="77777777" w:rsidTr="00B6352D">
              <w:tc>
                <w:tcPr>
                  <w:tcW w:w="4450" w:type="dxa"/>
                </w:tcPr>
                <w:p w14:paraId="2EAA7E72" w14:textId="77777777" w:rsidR="00B6352D" w:rsidRDefault="00B6352D" w:rsidP="007A1770">
                  <w:pPr>
                    <w:spacing w:after="0" w:line="240" w:lineRule="auto"/>
                    <w:jc w:val="both"/>
                    <w:rPr>
                      <w:rFonts w:ascii="Times New Roman" w:hAnsi="Times New Roman"/>
                      <w:sz w:val="24"/>
                      <w:szCs w:val="24"/>
                    </w:rPr>
                  </w:pPr>
                  <w:r>
                    <w:rPr>
                      <w:rFonts w:ascii="Times New Roman" w:hAnsi="Times New Roman"/>
                      <w:sz w:val="24"/>
                      <w:szCs w:val="24"/>
                    </w:rPr>
                    <w:t>Kopā</w:t>
                  </w:r>
                </w:p>
              </w:tc>
              <w:tc>
                <w:tcPr>
                  <w:tcW w:w="1843" w:type="dxa"/>
                </w:tcPr>
                <w:p w14:paraId="5DC1B22E" w14:textId="77777777" w:rsidR="00B6352D" w:rsidRPr="000E121B" w:rsidRDefault="00B6352D" w:rsidP="007A1770">
                  <w:pPr>
                    <w:spacing w:after="0" w:line="240" w:lineRule="auto"/>
                    <w:rPr>
                      <w:rFonts w:ascii="Times New Roman" w:hAnsi="Times New Roman"/>
                      <w:bCs/>
                      <w:sz w:val="24"/>
                      <w:szCs w:val="24"/>
                    </w:rPr>
                  </w:pPr>
                  <w:r>
                    <w:rPr>
                      <w:rFonts w:ascii="Times New Roman" w:hAnsi="Times New Roman"/>
                      <w:bCs/>
                      <w:sz w:val="24"/>
                      <w:szCs w:val="24"/>
                    </w:rPr>
                    <w:t>32,56</w:t>
                  </w:r>
                </w:p>
              </w:tc>
            </w:tr>
          </w:tbl>
          <w:p w14:paraId="69EAB58E" w14:textId="77777777" w:rsidR="007A1770" w:rsidRDefault="007A1770" w:rsidP="007A1770">
            <w:pPr>
              <w:spacing w:after="0" w:line="240" w:lineRule="auto"/>
              <w:rPr>
                <w:rFonts w:ascii="Times New Roman" w:hAnsi="Times New Roman"/>
                <w:sz w:val="24"/>
                <w:szCs w:val="24"/>
              </w:rPr>
            </w:pPr>
          </w:p>
          <w:p w14:paraId="6C43F1A2" w14:textId="0259CD97" w:rsidR="007A1770" w:rsidRDefault="00B6352D" w:rsidP="007A1770">
            <w:pPr>
              <w:spacing w:after="0" w:line="240" w:lineRule="auto"/>
              <w:rPr>
                <w:rFonts w:ascii="Times New Roman" w:hAnsi="Times New Roman"/>
                <w:b/>
                <w:sz w:val="24"/>
                <w:szCs w:val="24"/>
              </w:rPr>
            </w:pPr>
            <w:r>
              <w:rPr>
                <w:rFonts w:ascii="Times New Roman" w:hAnsi="Times New Roman"/>
                <w:b/>
                <w:sz w:val="24"/>
                <w:szCs w:val="24"/>
              </w:rPr>
              <w:t xml:space="preserve">1.3. tabula </w:t>
            </w:r>
            <w:r w:rsidR="007A1770">
              <w:rPr>
                <w:rFonts w:ascii="Times New Roman" w:hAnsi="Times New Roman"/>
                <w:b/>
                <w:sz w:val="24"/>
                <w:szCs w:val="24"/>
              </w:rPr>
              <w:t>Kopsavilkums</w:t>
            </w:r>
          </w:p>
          <w:tbl>
            <w:tblPr>
              <w:tblStyle w:val="TableGrid"/>
              <w:tblW w:w="0" w:type="auto"/>
              <w:tblLayout w:type="fixed"/>
              <w:tblLook w:val="04A0" w:firstRow="1" w:lastRow="0" w:firstColumn="1" w:lastColumn="0" w:noHBand="0" w:noVBand="1"/>
            </w:tblPr>
            <w:tblGrid>
              <w:gridCol w:w="2167"/>
              <w:gridCol w:w="1984"/>
            </w:tblGrid>
            <w:tr w:rsidR="00B6352D" w:rsidRPr="00FC097F" w14:paraId="3FCB367C" w14:textId="77777777" w:rsidTr="00C6674C">
              <w:tc>
                <w:tcPr>
                  <w:tcW w:w="2167" w:type="dxa"/>
                </w:tcPr>
                <w:p w14:paraId="0599C705" w14:textId="77777777" w:rsidR="00B6352D" w:rsidRPr="00FC097F" w:rsidRDefault="00B6352D" w:rsidP="007A1770">
                  <w:pPr>
                    <w:spacing w:after="0" w:line="240" w:lineRule="auto"/>
                    <w:rPr>
                      <w:rFonts w:ascii="Times New Roman" w:hAnsi="Times New Roman"/>
                      <w:i/>
                      <w:sz w:val="24"/>
                      <w:szCs w:val="24"/>
                    </w:rPr>
                  </w:pPr>
                  <w:r w:rsidRPr="00FC097F">
                    <w:rPr>
                      <w:rFonts w:ascii="Times New Roman" w:hAnsi="Times New Roman"/>
                      <w:i/>
                      <w:sz w:val="24"/>
                      <w:szCs w:val="24"/>
                    </w:rPr>
                    <w:t>Izmaksu grupa</w:t>
                  </w:r>
                </w:p>
              </w:tc>
              <w:tc>
                <w:tcPr>
                  <w:tcW w:w="1984" w:type="dxa"/>
                </w:tcPr>
                <w:p w14:paraId="7774C555" w14:textId="77777777" w:rsidR="00B6352D" w:rsidRPr="00746D7A" w:rsidRDefault="00B6352D" w:rsidP="007A1770">
                  <w:pPr>
                    <w:spacing w:after="0" w:line="240" w:lineRule="auto"/>
                    <w:rPr>
                      <w:rFonts w:ascii="Times New Roman" w:hAnsi="Times New Roman"/>
                      <w:sz w:val="24"/>
                      <w:szCs w:val="24"/>
                    </w:rPr>
                  </w:pPr>
                  <w:r w:rsidRPr="00FC097F">
                    <w:rPr>
                      <w:rFonts w:ascii="Times New Roman" w:hAnsi="Times New Roman"/>
                      <w:i/>
                      <w:sz w:val="24"/>
                      <w:szCs w:val="24"/>
                    </w:rPr>
                    <w:t>Izmaksas euro</w:t>
                  </w:r>
                  <w:r>
                    <w:rPr>
                      <w:rFonts w:ascii="Times New Roman" w:hAnsi="Times New Roman"/>
                      <w:i/>
                      <w:sz w:val="24"/>
                      <w:szCs w:val="24"/>
                    </w:rPr>
                    <w:t xml:space="preserve"> </w:t>
                  </w:r>
                  <w:r>
                    <w:rPr>
                      <w:rFonts w:ascii="Times New Roman" w:hAnsi="Times New Roman"/>
                      <w:sz w:val="24"/>
                      <w:szCs w:val="24"/>
                    </w:rPr>
                    <w:t>(2014.)</w:t>
                  </w:r>
                </w:p>
              </w:tc>
            </w:tr>
            <w:tr w:rsidR="00B6352D" w14:paraId="036EFBF7" w14:textId="77777777" w:rsidTr="00C6674C">
              <w:tc>
                <w:tcPr>
                  <w:tcW w:w="2167" w:type="dxa"/>
                </w:tcPr>
                <w:p w14:paraId="71F5FE1F" w14:textId="77777777" w:rsidR="00B6352D" w:rsidRDefault="00B6352D" w:rsidP="007A1770">
                  <w:pPr>
                    <w:spacing w:after="0" w:line="240" w:lineRule="auto"/>
                    <w:rPr>
                      <w:rFonts w:ascii="Times New Roman" w:hAnsi="Times New Roman"/>
                      <w:sz w:val="24"/>
                      <w:szCs w:val="24"/>
                    </w:rPr>
                  </w:pPr>
                  <w:r>
                    <w:rPr>
                      <w:rFonts w:ascii="Times New Roman" w:hAnsi="Times New Roman"/>
                      <w:sz w:val="24"/>
                      <w:szCs w:val="24"/>
                    </w:rPr>
                    <w:t>Tiešās izmaksas</w:t>
                  </w:r>
                </w:p>
              </w:tc>
              <w:tc>
                <w:tcPr>
                  <w:tcW w:w="1984" w:type="dxa"/>
                </w:tcPr>
                <w:p w14:paraId="0522EB9E" w14:textId="77777777" w:rsidR="00B6352D" w:rsidRDefault="00B6352D" w:rsidP="007A1770">
                  <w:pPr>
                    <w:spacing w:after="0" w:line="240" w:lineRule="auto"/>
                    <w:rPr>
                      <w:rFonts w:ascii="Times New Roman" w:hAnsi="Times New Roman"/>
                      <w:sz w:val="24"/>
                      <w:szCs w:val="24"/>
                    </w:rPr>
                  </w:pPr>
                  <w:r>
                    <w:rPr>
                      <w:rFonts w:ascii="Times New Roman" w:hAnsi="Times New Roman"/>
                      <w:sz w:val="24"/>
                      <w:szCs w:val="24"/>
                    </w:rPr>
                    <w:t>67,44</w:t>
                  </w:r>
                </w:p>
              </w:tc>
            </w:tr>
            <w:tr w:rsidR="00B6352D" w14:paraId="72EF7A14" w14:textId="77777777" w:rsidTr="00C6674C">
              <w:tc>
                <w:tcPr>
                  <w:tcW w:w="2167" w:type="dxa"/>
                </w:tcPr>
                <w:p w14:paraId="53C4D738" w14:textId="77777777" w:rsidR="00B6352D" w:rsidRDefault="00B6352D" w:rsidP="007A1770">
                  <w:pPr>
                    <w:spacing w:after="0" w:line="240" w:lineRule="auto"/>
                    <w:rPr>
                      <w:rFonts w:ascii="Times New Roman" w:hAnsi="Times New Roman"/>
                      <w:sz w:val="24"/>
                      <w:szCs w:val="24"/>
                    </w:rPr>
                  </w:pPr>
                  <w:r>
                    <w:rPr>
                      <w:rFonts w:ascii="Times New Roman" w:hAnsi="Times New Roman"/>
                      <w:sz w:val="24"/>
                      <w:szCs w:val="24"/>
                    </w:rPr>
                    <w:t xml:space="preserve">Netiešās izmaksas </w:t>
                  </w:r>
                </w:p>
              </w:tc>
              <w:tc>
                <w:tcPr>
                  <w:tcW w:w="1984" w:type="dxa"/>
                </w:tcPr>
                <w:p w14:paraId="41816ACB" w14:textId="77777777" w:rsidR="00B6352D" w:rsidRDefault="00B6352D" w:rsidP="007A1770">
                  <w:pPr>
                    <w:spacing w:after="0" w:line="240" w:lineRule="auto"/>
                    <w:rPr>
                      <w:rFonts w:ascii="Times New Roman" w:hAnsi="Times New Roman"/>
                      <w:sz w:val="24"/>
                      <w:szCs w:val="24"/>
                    </w:rPr>
                  </w:pPr>
                  <w:r>
                    <w:rPr>
                      <w:rFonts w:ascii="Times New Roman" w:hAnsi="Times New Roman"/>
                      <w:sz w:val="24"/>
                      <w:szCs w:val="24"/>
                    </w:rPr>
                    <w:t>32,56</w:t>
                  </w:r>
                </w:p>
              </w:tc>
            </w:tr>
            <w:tr w:rsidR="00B6352D" w14:paraId="5DA8BC06" w14:textId="77777777" w:rsidTr="00C6674C">
              <w:tc>
                <w:tcPr>
                  <w:tcW w:w="2167" w:type="dxa"/>
                </w:tcPr>
                <w:p w14:paraId="682B512B" w14:textId="77777777" w:rsidR="00B6352D" w:rsidRDefault="00B6352D" w:rsidP="007A1770">
                  <w:pPr>
                    <w:spacing w:after="0" w:line="240" w:lineRule="auto"/>
                    <w:rPr>
                      <w:rFonts w:ascii="Times New Roman" w:hAnsi="Times New Roman"/>
                      <w:sz w:val="24"/>
                      <w:szCs w:val="24"/>
                    </w:rPr>
                  </w:pPr>
                  <w:r>
                    <w:rPr>
                      <w:rFonts w:ascii="Times New Roman" w:hAnsi="Times New Roman"/>
                      <w:sz w:val="24"/>
                      <w:szCs w:val="24"/>
                    </w:rPr>
                    <w:t>Kopā</w:t>
                  </w:r>
                </w:p>
              </w:tc>
              <w:tc>
                <w:tcPr>
                  <w:tcW w:w="1984" w:type="dxa"/>
                </w:tcPr>
                <w:p w14:paraId="60D5BADB" w14:textId="77777777" w:rsidR="00B6352D" w:rsidRDefault="00B6352D" w:rsidP="007A1770">
                  <w:pPr>
                    <w:spacing w:after="0" w:line="240" w:lineRule="auto"/>
                    <w:rPr>
                      <w:rFonts w:ascii="Times New Roman" w:hAnsi="Times New Roman"/>
                      <w:sz w:val="24"/>
                      <w:szCs w:val="24"/>
                    </w:rPr>
                  </w:pPr>
                  <w:r>
                    <w:rPr>
                      <w:rFonts w:ascii="Times New Roman" w:hAnsi="Times New Roman"/>
                      <w:sz w:val="24"/>
                      <w:szCs w:val="24"/>
                    </w:rPr>
                    <w:t>100,00</w:t>
                  </w:r>
                </w:p>
              </w:tc>
            </w:tr>
          </w:tbl>
          <w:p w14:paraId="3A9EC4A2" w14:textId="77777777" w:rsidR="007A1770" w:rsidRDefault="007A1770" w:rsidP="00396EBE">
            <w:pPr>
              <w:spacing w:after="0" w:line="240" w:lineRule="auto"/>
              <w:jc w:val="both"/>
              <w:rPr>
                <w:rFonts w:ascii="Times New Roman" w:hAnsi="Times New Roman"/>
                <w:bCs/>
                <w:sz w:val="26"/>
                <w:szCs w:val="26"/>
              </w:rPr>
            </w:pPr>
          </w:p>
          <w:p w14:paraId="33F2D1DA" w14:textId="498EB842" w:rsidR="00EC398A" w:rsidRPr="00746D7A" w:rsidRDefault="00EC398A" w:rsidP="00EC398A">
            <w:pPr>
              <w:spacing w:after="0" w:line="240" w:lineRule="auto"/>
              <w:jc w:val="right"/>
              <w:rPr>
                <w:rFonts w:ascii="Times New Roman" w:hAnsi="Times New Roman"/>
                <w:b/>
                <w:i/>
                <w:sz w:val="24"/>
                <w:szCs w:val="24"/>
              </w:rPr>
            </w:pPr>
            <w:r>
              <w:rPr>
                <w:rFonts w:ascii="Times New Roman" w:hAnsi="Times New Roman"/>
                <w:i/>
                <w:sz w:val="24"/>
                <w:szCs w:val="24"/>
              </w:rPr>
              <w:t>2.</w:t>
            </w:r>
            <w:r w:rsidRPr="00746D7A">
              <w:rPr>
                <w:rFonts w:ascii="Times New Roman" w:hAnsi="Times New Roman"/>
                <w:i/>
                <w:sz w:val="26"/>
                <w:szCs w:val="26"/>
                <w:lang w:eastAsia="x-none"/>
              </w:rPr>
              <w:t>tabula</w:t>
            </w:r>
          </w:p>
          <w:p w14:paraId="056970EA" w14:textId="4BB69454" w:rsidR="00EC398A" w:rsidRPr="00B42E78" w:rsidRDefault="00EC398A" w:rsidP="00EC398A">
            <w:pPr>
              <w:spacing w:after="0" w:line="240" w:lineRule="auto"/>
              <w:jc w:val="center"/>
              <w:rPr>
                <w:rFonts w:ascii="Times New Roman" w:hAnsi="Times New Roman"/>
                <w:b/>
              </w:rPr>
            </w:pPr>
            <w:r>
              <w:rPr>
                <w:rFonts w:ascii="Times New Roman" w:hAnsi="Times New Roman"/>
                <w:b/>
              </w:rPr>
              <w:t>Institūcijas, kas izsniedz atzīšanas apliecības</w:t>
            </w:r>
            <w:r w:rsidRPr="00B42E78">
              <w:rPr>
                <w:rFonts w:ascii="Times New Roman" w:hAnsi="Times New Roman"/>
                <w:b/>
              </w:rPr>
              <w:t xml:space="preserve"> </w:t>
            </w:r>
            <w:r w:rsidRPr="00C73EDE">
              <w:rPr>
                <w:rFonts w:ascii="Times New Roman" w:hAnsi="Times New Roman"/>
                <w:b/>
              </w:rPr>
              <w:t xml:space="preserve">izmaksu aprēķins pakalpojumam </w:t>
            </w:r>
            <w:r w:rsidR="00AC2EDC">
              <w:rPr>
                <w:rFonts w:ascii="Times New Roman" w:hAnsi="Times New Roman"/>
                <w:b/>
              </w:rPr>
              <w:t>„</w:t>
            </w:r>
            <w:r w:rsidR="004D4E31" w:rsidRPr="00A80702">
              <w:rPr>
                <w:rFonts w:ascii="Times New Roman" w:hAnsi="Times New Roman"/>
                <w:b/>
              </w:rPr>
              <w:t>Eiropas profesionālās kartes pieteikuma no personas, kas izglītību un profesionālo kvalifikāciju ieguvusi citā  Eiropas Savienības vai Eiropas Ekonomikas zonas valstī un pretendē uz Eiropas profesionālās kartes saņemšanu pastāvīgai profesionālajai darbībai vai īslaicīgu profesionālo pakalpojumu sniegšanai</w:t>
            </w:r>
            <w:r w:rsidR="004D4E31" w:rsidRPr="00A80702" w:rsidDel="00031FAE">
              <w:rPr>
                <w:rFonts w:ascii="Times New Roman" w:hAnsi="Times New Roman"/>
                <w:b/>
              </w:rPr>
              <w:t xml:space="preserve"> </w:t>
            </w:r>
            <w:r w:rsidR="004D4E31" w:rsidRPr="00A80702">
              <w:rPr>
                <w:rFonts w:ascii="Times New Roman" w:hAnsi="Times New Roman"/>
                <w:b/>
              </w:rPr>
              <w:t>Latvijas Republikā reglamentētajā profesijā, kurā nekvalificēts īslaicīgu profesionālo pakalpojumu sniedzējs var apdraudēt pakalpojumu saņēmēja veselību un drošību, apstrāde</w:t>
            </w:r>
            <w:r w:rsidR="00AC2EDC">
              <w:rPr>
                <w:rFonts w:ascii="Times New Roman" w:hAnsi="Times New Roman"/>
                <w:b/>
              </w:rPr>
              <w:t>”</w:t>
            </w:r>
          </w:p>
          <w:p w14:paraId="391D76E2" w14:textId="77777777" w:rsidR="00EC398A" w:rsidRDefault="00EC398A" w:rsidP="00EC398A">
            <w:pPr>
              <w:spacing w:after="0" w:line="240" w:lineRule="auto"/>
              <w:jc w:val="center"/>
              <w:rPr>
                <w:rFonts w:ascii="Times New Roman" w:hAnsi="Times New Roman"/>
                <w:sz w:val="24"/>
                <w:szCs w:val="24"/>
              </w:rPr>
            </w:pPr>
          </w:p>
          <w:p w14:paraId="3A668695" w14:textId="6F799D2F" w:rsidR="00EC398A" w:rsidRPr="002B463E" w:rsidRDefault="00EC398A" w:rsidP="00EC398A">
            <w:pPr>
              <w:spacing w:after="0" w:line="240" w:lineRule="auto"/>
              <w:rPr>
                <w:rFonts w:ascii="Times New Roman" w:hAnsi="Times New Roman"/>
                <w:b/>
                <w:sz w:val="24"/>
                <w:szCs w:val="24"/>
              </w:rPr>
            </w:pPr>
            <w:r>
              <w:rPr>
                <w:rFonts w:ascii="Times New Roman" w:hAnsi="Times New Roman"/>
                <w:b/>
                <w:sz w:val="24"/>
                <w:szCs w:val="24"/>
              </w:rPr>
              <w:t xml:space="preserve">2.1. tabula </w:t>
            </w:r>
            <w:r w:rsidRPr="00905DCD">
              <w:rPr>
                <w:rFonts w:ascii="Times New Roman" w:hAnsi="Times New Roman"/>
                <w:b/>
                <w:sz w:val="24"/>
                <w:szCs w:val="24"/>
              </w:rPr>
              <w:t>Tiešās izmaksas</w:t>
            </w:r>
          </w:p>
          <w:tbl>
            <w:tblPr>
              <w:tblStyle w:val="TableGrid"/>
              <w:tblW w:w="6186" w:type="dxa"/>
              <w:tblLayout w:type="fixed"/>
              <w:tblLook w:val="04A0" w:firstRow="1" w:lastRow="0" w:firstColumn="1" w:lastColumn="0" w:noHBand="0" w:noVBand="1"/>
            </w:tblPr>
            <w:tblGrid>
              <w:gridCol w:w="1899"/>
              <w:gridCol w:w="1134"/>
              <w:gridCol w:w="1499"/>
              <w:gridCol w:w="1654"/>
            </w:tblGrid>
            <w:tr w:rsidR="00EC398A" w:rsidRPr="00905DCD" w14:paraId="42925FF0" w14:textId="77777777" w:rsidTr="0020301A">
              <w:tc>
                <w:tcPr>
                  <w:tcW w:w="1899" w:type="dxa"/>
                </w:tcPr>
                <w:p w14:paraId="0A45CABD" w14:textId="77777777" w:rsidR="00EC398A" w:rsidRPr="00746D7A" w:rsidRDefault="00EC398A" w:rsidP="00EC398A">
                  <w:pPr>
                    <w:spacing w:after="0" w:line="240" w:lineRule="auto"/>
                    <w:rPr>
                      <w:rFonts w:ascii="Times New Roman" w:hAnsi="Times New Roman"/>
                      <w:i/>
                    </w:rPr>
                  </w:pPr>
                  <w:r w:rsidRPr="00746D7A">
                    <w:rPr>
                      <w:rFonts w:ascii="Times New Roman" w:hAnsi="Times New Roman"/>
                      <w:i/>
                    </w:rPr>
                    <w:t>Rādītājs un mērvienība</w:t>
                  </w:r>
                </w:p>
              </w:tc>
              <w:tc>
                <w:tcPr>
                  <w:tcW w:w="1134" w:type="dxa"/>
                </w:tcPr>
                <w:p w14:paraId="327F6883" w14:textId="77777777" w:rsidR="00EC398A" w:rsidRPr="00746D7A" w:rsidRDefault="00EC398A" w:rsidP="00EC398A">
                  <w:pPr>
                    <w:spacing w:after="0" w:line="240" w:lineRule="auto"/>
                    <w:rPr>
                      <w:rFonts w:ascii="Times New Roman" w:hAnsi="Times New Roman"/>
                      <w:i/>
                    </w:rPr>
                  </w:pPr>
                  <w:r w:rsidRPr="00746D7A">
                    <w:rPr>
                      <w:rFonts w:ascii="Times New Roman" w:hAnsi="Times New Roman"/>
                      <w:i/>
                    </w:rPr>
                    <w:t>Izmaksas</w:t>
                  </w:r>
                </w:p>
                <w:p w14:paraId="5CD937BD" w14:textId="77777777" w:rsidR="00EC398A" w:rsidRPr="00746D7A" w:rsidRDefault="00EC398A" w:rsidP="00EC398A">
                  <w:pPr>
                    <w:spacing w:after="0" w:line="240" w:lineRule="auto"/>
                    <w:rPr>
                      <w:rFonts w:ascii="Times New Roman" w:hAnsi="Times New Roman"/>
                    </w:rPr>
                  </w:pPr>
                  <w:r w:rsidRPr="00746D7A">
                    <w:rPr>
                      <w:rFonts w:ascii="Times New Roman" w:hAnsi="Times New Roman"/>
                      <w:i/>
                    </w:rPr>
                    <w:t xml:space="preserve">euro </w:t>
                  </w:r>
                </w:p>
              </w:tc>
              <w:tc>
                <w:tcPr>
                  <w:tcW w:w="1499" w:type="dxa"/>
                </w:tcPr>
                <w:p w14:paraId="143C38D0" w14:textId="77777777" w:rsidR="00EC398A" w:rsidRPr="00746D7A" w:rsidRDefault="00EC398A" w:rsidP="00EC398A">
                  <w:pPr>
                    <w:spacing w:after="0" w:line="240" w:lineRule="auto"/>
                    <w:rPr>
                      <w:rFonts w:ascii="Times New Roman" w:hAnsi="Times New Roman"/>
                      <w:i/>
                    </w:rPr>
                  </w:pPr>
                  <w:r w:rsidRPr="00746D7A">
                    <w:rPr>
                      <w:rFonts w:ascii="Times New Roman" w:hAnsi="Times New Roman"/>
                      <w:i/>
                    </w:rPr>
                    <w:t xml:space="preserve">Plānotais laika ieguldījums </w:t>
                  </w:r>
                  <w:r w:rsidRPr="00746D7A">
                    <w:rPr>
                      <w:rFonts w:ascii="Times New Roman" w:hAnsi="Times New Roman"/>
                      <w:i/>
                    </w:rPr>
                    <w:lastRenderedPageBreak/>
                    <w:t>pakalpojuma sniegšanai (h)</w:t>
                  </w:r>
                </w:p>
              </w:tc>
              <w:tc>
                <w:tcPr>
                  <w:tcW w:w="1654" w:type="dxa"/>
                </w:tcPr>
                <w:p w14:paraId="655C2D4C" w14:textId="77777777" w:rsidR="00EC398A" w:rsidRPr="00746D7A" w:rsidRDefault="00EC398A" w:rsidP="00EC398A">
                  <w:pPr>
                    <w:spacing w:after="0" w:line="240" w:lineRule="auto"/>
                    <w:rPr>
                      <w:rFonts w:ascii="Times New Roman" w:hAnsi="Times New Roman"/>
                      <w:i/>
                    </w:rPr>
                  </w:pPr>
                  <w:r w:rsidRPr="00746D7A">
                    <w:rPr>
                      <w:rFonts w:ascii="Times New Roman" w:hAnsi="Times New Roman"/>
                      <w:i/>
                    </w:rPr>
                    <w:lastRenderedPageBreak/>
                    <w:t xml:space="preserve">Izmaksu apjoms gadā maksas pakalpojuma veida </w:t>
                  </w:r>
                  <w:r w:rsidRPr="00746D7A">
                    <w:rPr>
                      <w:rFonts w:ascii="Times New Roman" w:hAnsi="Times New Roman"/>
                      <w:i/>
                    </w:rPr>
                    <w:lastRenderedPageBreak/>
                    <w:t>nodrošinā</w:t>
                  </w:r>
                  <w:r w:rsidRPr="004B72DA">
                    <w:rPr>
                      <w:rFonts w:ascii="Times New Roman" w:hAnsi="Times New Roman"/>
                      <w:i/>
                    </w:rPr>
                    <w:t>-</w:t>
                  </w:r>
                  <w:r w:rsidRPr="00746D7A">
                    <w:rPr>
                      <w:rFonts w:ascii="Times New Roman" w:hAnsi="Times New Roman"/>
                      <w:i/>
                    </w:rPr>
                    <w:t xml:space="preserve">šanai </w:t>
                  </w:r>
                </w:p>
                <w:p w14:paraId="1C429D1F" w14:textId="77777777" w:rsidR="00EC398A" w:rsidRPr="00746D7A" w:rsidRDefault="00EC398A" w:rsidP="00EC398A">
                  <w:pPr>
                    <w:spacing w:after="0" w:line="240" w:lineRule="auto"/>
                    <w:rPr>
                      <w:rFonts w:ascii="Times New Roman" w:hAnsi="Times New Roman"/>
                    </w:rPr>
                  </w:pPr>
                  <w:r w:rsidRPr="00746D7A">
                    <w:rPr>
                      <w:rFonts w:ascii="Times New Roman" w:hAnsi="Times New Roman"/>
                      <w:i/>
                    </w:rPr>
                    <w:t>euro</w:t>
                  </w:r>
                </w:p>
              </w:tc>
            </w:tr>
            <w:tr w:rsidR="00EC398A" w:rsidRPr="00A5465E" w14:paraId="2086F73A" w14:textId="77777777" w:rsidTr="0020301A">
              <w:tc>
                <w:tcPr>
                  <w:tcW w:w="1899" w:type="dxa"/>
                </w:tcPr>
                <w:p w14:paraId="04776471" w14:textId="641ABABF" w:rsidR="00EC398A" w:rsidRPr="00746D7A" w:rsidRDefault="00EC398A" w:rsidP="00EC398A">
                  <w:pPr>
                    <w:spacing w:after="0" w:line="240" w:lineRule="auto"/>
                    <w:jc w:val="center"/>
                    <w:rPr>
                      <w:rFonts w:ascii="Times New Roman" w:hAnsi="Times New Roman"/>
                    </w:rPr>
                  </w:pPr>
                  <w:r>
                    <w:rPr>
                      <w:rFonts w:ascii="Times New Roman" w:hAnsi="Times New Roman"/>
                    </w:rPr>
                    <w:lastRenderedPageBreak/>
                    <w:t>Profesionālās kvalifikācijas atzīšanas ekspertu atalgojums</w:t>
                  </w:r>
                </w:p>
              </w:tc>
              <w:tc>
                <w:tcPr>
                  <w:tcW w:w="1134" w:type="dxa"/>
                </w:tcPr>
                <w:p w14:paraId="7354E5E4" w14:textId="4CC802C8" w:rsidR="00EC398A" w:rsidRPr="00746D7A" w:rsidRDefault="00EC398A" w:rsidP="00EC398A">
                  <w:pPr>
                    <w:spacing w:after="0" w:line="240" w:lineRule="auto"/>
                    <w:jc w:val="center"/>
                    <w:rPr>
                      <w:rFonts w:ascii="Times New Roman" w:hAnsi="Times New Roman"/>
                    </w:rPr>
                  </w:pPr>
                  <w:r w:rsidRPr="00746D7A">
                    <w:rPr>
                      <w:rFonts w:ascii="Times New Roman" w:hAnsi="Times New Roman"/>
                    </w:rPr>
                    <w:t>8,43</w:t>
                  </w:r>
                </w:p>
              </w:tc>
              <w:tc>
                <w:tcPr>
                  <w:tcW w:w="1499" w:type="dxa"/>
                </w:tcPr>
                <w:p w14:paraId="1B04476D" w14:textId="3B8FA348" w:rsidR="00EC398A" w:rsidRPr="00746D7A" w:rsidRDefault="005619A5" w:rsidP="00EC398A">
                  <w:pPr>
                    <w:spacing w:after="0" w:line="240" w:lineRule="auto"/>
                    <w:jc w:val="center"/>
                    <w:rPr>
                      <w:rFonts w:ascii="Times New Roman" w:hAnsi="Times New Roman"/>
                    </w:rPr>
                  </w:pPr>
                  <w:r>
                    <w:rPr>
                      <w:rFonts w:ascii="Times New Roman" w:hAnsi="Times New Roman"/>
                    </w:rPr>
                    <w:t>8</w:t>
                  </w:r>
                </w:p>
              </w:tc>
              <w:tc>
                <w:tcPr>
                  <w:tcW w:w="1654" w:type="dxa"/>
                </w:tcPr>
                <w:p w14:paraId="0E34F425" w14:textId="17BFF8E8" w:rsidR="00EC398A" w:rsidRPr="00746D7A" w:rsidRDefault="005619A5" w:rsidP="00EC398A">
                  <w:pPr>
                    <w:spacing w:after="0" w:line="240" w:lineRule="auto"/>
                    <w:jc w:val="center"/>
                    <w:rPr>
                      <w:rFonts w:ascii="Times New Roman" w:hAnsi="Times New Roman"/>
                    </w:rPr>
                  </w:pPr>
                  <w:r>
                    <w:rPr>
                      <w:rFonts w:ascii="Times New Roman" w:hAnsi="Times New Roman"/>
                    </w:rPr>
                    <w:t>67,44</w:t>
                  </w:r>
                </w:p>
              </w:tc>
            </w:tr>
          </w:tbl>
          <w:p w14:paraId="05ABAAC3" w14:textId="77777777" w:rsidR="00EC398A" w:rsidRDefault="00EC398A" w:rsidP="00EC398A">
            <w:pPr>
              <w:spacing w:after="0" w:line="240" w:lineRule="auto"/>
              <w:rPr>
                <w:rFonts w:ascii="Times New Roman" w:hAnsi="Times New Roman"/>
                <w:b/>
                <w:sz w:val="24"/>
                <w:szCs w:val="24"/>
              </w:rPr>
            </w:pPr>
          </w:p>
          <w:p w14:paraId="331F5DD8" w14:textId="3BD16856" w:rsidR="00EC398A" w:rsidRPr="002B463E" w:rsidRDefault="003F586B" w:rsidP="00EC398A">
            <w:pPr>
              <w:spacing w:after="0" w:line="240" w:lineRule="auto"/>
              <w:rPr>
                <w:rFonts w:ascii="Times New Roman" w:hAnsi="Times New Roman"/>
                <w:b/>
                <w:sz w:val="24"/>
                <w:szCs w:val="24"/>
              </w:rPr>
            </w:pPr>
            <w:r>
              <w:rPr>
                <w:rFonts w:ascii="Times New Roman" w:hAnsi="Times New Roman"/>
                <w:b/>
                <w:sz w:val="24"/>
                <w:szCs w:val="24"/>
              </w:rPr>
              <w:t>2</w:t>
            </w:r>
            <w:r w:rsidR="00EC398A">
              <w:rPr>
                <w:rFonts w:ascii="Times New Roman" w:hAnsi="Times New Roman"/>
                <w:b/>
                <w:sz w:val="24"/>
                <w:szCs w:val="24"/>
              </w:rPr>
              <w:t xml:space="preserve">.2. tabula </w:t>
            </w:r>
            <w:r w:rsidR="00EC398A" w:rsidRPr="00905DCD">
              <w:rPr>
                <w:rFonts w:ascii="Times New Roman" w:hAnsi="Times New Roman"/>
                <w:b/>
                <w:sz w:val="24"/>
                <w:szCs w:val="24"/>
              </w:rPr>
              <w:t>Netiešās izmaksas</w:t>
            </w:r>
          </w:p>
          <w:tbl>
            <w:tblPr>
              <w:tblStyle w:val="TableGrid"/>
              <w:tblW w:w="6237" w:type="dxa"/>
              <w:tblInd w:w="56" w:type="dxa"/>
              <w:tblLayout w:type="fixed"/>
              <w:tblLook w:val="04A0" w:firstRow="1" w:lastRow="0" w:firstColumn="1" w:lastColumn="0" w:noHBand="0" w:noVBand="1"/>
            </w:tblPr>
            <w:tblGrid>
              <w:gridCol w:w="4394"/>
              <w:gridCol w:w="1843"/>
            </w:tblGrid>
            <w:tr w:rsidR="00EC398A" w:rsidRPr="00905DCD" w14:paraId="7F95354B" w14:textId="77777777" w:rsidTr="00E30AD3">
              <w:tc>
                <w:tcPr>
                  <w:tcW w:w="4394" w:type="dxa"/>
                </w:tcPr>
                <w:p w14:paraId="5560056E" w14:textId="77777777" w:rsidR="00EC398A" w:rsidRPr="00905DCD" w:rsidRDefault="00EC398A" w:rsidP="00EC398A">
                  <w:pPr>
                    <w:spacing w:after="0" w:line="240" w:lineRule="auto"/>
                    <w:rPr>
                      <w:rFonts w:ascii="Times New Roman" w:hAnsi="Times New Roman"/>
                      <w:i/>
                      <w:sz w:val="24"/>
                      <w:szCs w:val="24"/>
                    </w:rPr>
                  </w:pPr>
                  <w:r w:rsidRPr="00905DCD">
                    <w:rPr>
                      <w:rFonts w:ascii="Times New Roman" w:hAnsi="Times New Roman"/>
                      <w:i/>
                      <w:sz w:val="24"/>
                      <w:szCs w:val="24"/>
                    </w:rPr>
                    <w:t>Rādītājs un mērvienība</w:t>
                  </w:r>
                </w:p>
              </w:tc>
              <w:tc>
                <w:tcPr>
                  <w:tcW w:w="1843" w:type="dxa"/>
                </w:tcPr>
                <w:p w14:paraId="5FBD1E42" w14:textId="77777777" w:rsidR="00EC398A" w:rsidRPr="00905DCD" w:rsidRDefault="00EC398A" w:rsidP="00EC398A">
                  <w:pPr>
                    <w:spacing w:after="0" w:line="240" w:lineRule="auto"/>
                    <w:rPr>
                      <w:rFonts w:ascii="Times New Roman" w:hAnsi="Times New Roman"/>
                      <w:i/>
                      <w:sz w:val="24"/>
                      <w:szCs w:val="24"/>
                    </w:rPr>
                  </w:pPr>
                  <w:r w:rsidRPr="00905DCD">
                    <w:rPr>
                      <w:rFonts w:ascii="Times New Roman" w:hAnsi="Times New Roman"/>
                      <w:i/>
                      <w:sz w:val="24"/>
                      <w:szCs w:val="24"/>
                    </w:rPr>
                    <w:t>Izmaksa</w:t>
                  </w:r>
                  <w:r>
                    <w:rPr>
                      <w:rFonts w:ascii="Times New Roman" w:hAnsi="Times New Roman"/>
                      <w:i/>
                      <w:sz w:val="24"/>
                      <w:szCs w:val="24"/>
                    </w:rPr>
                    <w:t>s</w:t>
                  </w:r>
                </w:p>
                <w:p w14:paraId="753EA6E2" w14:textId="77777777" w:rsidR="00EC398A" w:rsidRPr="00746D7A" w:rsidRDefault="00EC398A" w:rsidP="00EC398A">
                  <w:pPr>
                    <w:spacing w:after="0" w:line="240" w:lineRule="auto"/>
                    <w:rPr>
                      <w:rFonts w:ascii="Times New Roman" w:hAnsi="Times New Roman"/>
                      <w:sz w:val="24"/>
                      <w:szCs w:val="24"/>
                    </w:rPr>
                  </w:pPr>
                  <w:r>
                    <w:rPr>
                      <w:rFonts w:ascii="Times New Roman" w:hAnsi="Times New Roman"/>
                      <w:i/>
                      <w:sz w:val="24"/>
                      <w:szCs w:val="24"/>
                    </w:rPr>
                    <w:t>e</w:t>
                  </w:r>
                  <w:r w:rsidRPr="00905DCD">
                    <w:rPr>
                      <w:rFonts w:ascii="Times New Roman" w:hAnsi="Times New Roman"/>
                      <w:i/>
                      <w:sz w:val="24"/>
                      <w:szCs w:val="24"/>
                    </w:rPr>
                    <w:t>uro</w:t>
                  </w:r>
                  <w:r>
                    <w:rPr>
                      <w:rFonts w:ascii="Times New Roman" w:hAnsi="Times New Roman"/>
                      <w:i/>
                      <w:sz w:val="24"/>
                      <w:szCs w:val="24"/>
                    </w:rPr>
                    <w:t xml:space="preserve"> </w:t>
                  </w:r>
                  <w:r>
                    <w:rPr>
                      <w:rFonts w:ascii="Times New Roman" w:hAnsi="Times New Roman"/>
                      <w:sz w:val="24"/>
                      <w:szCs w:val="24"/>
                    </w:rPr>
                    <w:t>(2014.)</w:t>
                  </w:r>
                </w:p>
              </w:tc>
            </w:tr>
            <w:tr w:rsidR="00EC398A" w14:paraId="5BA88AC0" w14:textId="77777777" w:rsidTr="00E30AD3">
              <w:tc>
                <w:tcPr>
                  <w:tcW w:w="4394" w:type="dxa"/>
                </w:tcPr>
                <w:p w14:paraId="1A2A6E91" w14:textId="77777777" w:rsidR="00EC398A" w:rsidRDefault="00EC398A" w:rsidP="00EC398A">
                  <w:pPr>
                    <w:spacing w:after="0" w:line="240" w:lineRule="auto"/>
                    <w:rPr>
                      <w:rFonts w:ascii="Times New Roman" w:hAnsi="Times New Roman"/>
                      <w:sz w:val="24"/>
                      <w:szCs w:val="24"/>
                    </w:rPr>
                  </w:pPr>
                  <w:r>
                    <w:rPr>
                      <w:rFonts w:ascii="Times New Roman" w:hAnsi="Times New Roman"/>
                      <w:sz w:val="24"/>
                      <w:szCs w:val="24"/>
                    </w:rPr>
                    <w:t>S</w:t>
                  </w:r>
                  <w:r w:rsidRPr="00A5465E">
                    <w:rPr>
                      <w:rFonts w:ascii="Times New Roman" w:hAnsi="Times New Roman"/>
                      <w:sz w:val="24"/>
                      <w:szCs w:val="24"/>
                    </w:rPr>
                    <w:t>ekretāres – lietvedes darba apmaksa</w:t>
                  </w:r>
                  <w:r>
                    <w:rPr>
                      <w:rFonts w:ascii="Times New Roman" w:hAnsi="Times New Roman"/>
                      <w:sz w:val="24"/>
                      <w:szCs w:val="24"/>
                    </w:rPr>
                    <w:t xml:space="preserve"> </w:t>
                  </w:r>
                  <w:r w:rsidRPr="00A5465E">
                    <w:rPr>
                      <w:rFonts w:ascii="Times New Roman" w:hAnsi="Times New Roman"/>
                      <w:sz w:val="24"/>
                      <w:szCs w:val="24"/>
                    </w:rPr>
                    <w:t xml:space="preserve">(komunikācijas ar klientu, korespondences sagatavošana, </w:t>
                  </w:r>
                  <w:r>
                    <w:rPr>
                      <w:rFonts w:ascii="Times New Roman" w:hAnsi="Times New Roman"/>
                      <w:sz w:val="24"/>
                      <w:szCs w:val="24"/>
                    </w:rPr>
                    <w:t>dokumentu plūsmas pārvaldīšana)</w:t>
                  </w:r>
                </w:p>
              </w:tc>
              <w:tc>
                <w:tcPr>
                  <w:tcW w:w="1843" w:type="dxa"/>
                </w:tcPr>
                <w:p w14:paraId="68E06EF0" w14:textId="77777777" w:rsidR="00EC398A" w:rsidRDefault="00EC398A" w:rsidP="00EC398A">
                  <w:pPr>
                    <w:spacing w:after="0" w:line="240" w:lineRule="auto"/>
                    <w:rPr>
                      <w:rFonts w:ascii="Times New Roman" w:hAnsi="Times New Roman"/>
                      <w:sz w:val="24"/>
                      <w:szCs w:val="24"/>
                    </w:rPr>
                  </w:pPr>
                  <w:r w:rsidRPr="00A5465E">
                    <w:rPr>
                      <w:rFonts w:ascii="Times New Roman" w:hAnsi="Times New Roman"/>
                      <w:sz w:val="24"/>
                      <w:szCs w:val="24"/>
                    </w:rPr>
                    <w:t xml:space="preserve">5,57 </w:t>
                  </w:r>
                  <w:r w:rsidRPr="00A5465E">
                    <w:rPr>
                      <w:rFonts w:ascii="Times New Roman" w:hAnsi="Times New Roman"/>
                      <w:i/>
                      <w:sz w:val="24"/>
                      <w:szCs w:val="24"/>
                    </w:rPr>
                    <w:t>euro</w:t>
                  </w:r>
                  <w:r w:rsidRPr="00A5465E" w:rsidDel="009C7ABE">
                    <w:rPr>
                      <w:rFonts w:ascii="Times New Roman" w:hAnsi="Times New Roman"/>
                      <w:sz w:val="24"/>
                      <w:szCs w:val="24"/>
                    </w:rPr>
                    <w:t xml:space="preserve"> </w:t>
                  </w:r>
                  <w:r w:rsidRPr="00A5465E">
                    <w:rPr>
                      <w:rFonts w:ascii="Times New Roman" w:hAnsi="Times New Roman"/>
                      <w:sz w:val="24"/>
                      <w:szCs w:val="24"/>
                    </w:rPr>
                    <w:t>/stundā</w:t>
                  </w:r>
                  <w:r>
                    <w:rPr>
                      <w:rFonts w:ascii="Times New Roman" w:hAnsi="Times New Roman"/>
                      <w:sz w:val="24"/>
                      <w:szCs w:val="24"/>
                    </w:rPr>
                    <w:t xml:space="preserve"> * 0,5 stundas</w:t>
                  </w:r>
                </w:p>
                <w:p w14:paraId="050CEB39" w14:textId="77777777" w:rsidR="00EC398A" w:rsidRDefault="00EC398A" w:rsidP="00EC398A">
                  <w:pPr>
                    <w:spacing w:after="0" w:line="240" w:lineRule="auto"/>
                    <w:rPr>
                      <w:rFonts w:ascii="Times New Roman" w:hAnsi="Times New Roman"/>
                      <w:sz w:val="24"/>
                      <w:szCs w:val="24"/>
                    </w:rPr>
                  </w:pPr>
                  <w:r>
                    <w:rPr>
                      <w:rFonts w:ascii="Times New Roman" w:hAnsi="Times New Roman"/>
                      <w:sz w:val="24"/>
                      <w:szCs w:val="24"/>
                    </w:rPr>
                    <w:t xml:space="preserve"> = 2,79 </w:t>
                  </w:r>
                </w:p>
              </w:tc>
            </w:tr>
            <w:tr w:rsidR="00EC398A" w:rsidRPr="000E121B" w14:paraId="7D3C9435" w14:textId="77777777" w:rsidTr="00E30AD3">
              <w:tc>
                <w:tcPr>
                  <w:tcW w:w="4394" w:type="dxa"/>
                </w:tcPr>
                <w:p w14:paraId="6BDFC58F" w14:textId="27ECAF08" w:rsidR="00EC398A" w:rsidRPr="004720C4" w:rsidRDefault="004720C4" w:rsidP="00EC398A">
                  <w:pPr>
                    <w:spacing w:after="0" w:line="240" w:lineRule="auto"/>
                    <w:jc w:val="both"/>
                    <w:rPr>
                      <w:rFonts w:ascii="Times New Roman" w:hAnsi="Times New Roman"/>
                      <w:sz w:val="24"/>
                      <w:szCs w:val="24"/>
                    </w:rPr>
                  </w:pPr>
                  <w:r w:rsidRPr="004720C4">
                    <w:rPr>
                      <w:rFonts w:ascii="Times New Roman" w:hAnsi="Times New Roman"/>
                      <w:sz w:val="24"/>
                      <w:szCs w:val="24"/>
                    </w:rPr>
                    <w:t>Institūcijas, kas izsniedz atzīšanas apliecības</w:t>
                  </w:r>
                  <w:r w:rsidR="00EC398A" w:rsidRPr="004720C4">
                    <w:rPr>
                      <w:rFonts w:ascii="Times New Roman" w:hAnsi="Times New Roman"/>
                      <w:sz w:val="24"/>
                      <w:szCs w:val="24"/>
                    </w:rPr>
                    <w:t xml:space="preserve"> darba organizācijas izdevumi papildus tiešajām ar profesionālās kvalifikācijas atzīšanas dokumentu ekspertīzi un izziņas sagatavošanu saistītajām izmaksām. </w:t>
                  </w:r>
                </w:p>
                <w:p w14:paraId="02AAE8AD" w14:textId="77777777" w:rsidR="00EC398A" w:rsidRPr="004720C4" w:rsidRDefault="00EC398A" w:rsidP="00EC398A">
                  <w:pPr>
                    <w:spacing w:after="0" w:line="240" w:lineRule="auto"/>
                    <w:jc w:val="both"/>
                    <w:rPr>
                      <w:rFonts w:ascii="Times New Roman" w:hAnsi="Times New Roman"/>
                      <w:sz w:val="24"/>
                      <w:szCs w:val="24"/>
                    </w:rPr>
                  </w:pPr>
                  <w:r w:rsidRPr="004720C4">
                    <w:rPr>
                      <w:rFonts w:ascii="Times New Roman" w:hAnsi="Times New Roman"/>
                      <w:sz w:val="24"/>
                      <w:szCs w:val="24"/>
                    </w:rPr>
                    <w:t>Darba organizācijas izdevumos ietilpst: saimnieciskie un biroja preču izdevumi, sakaru izdevumi (tajā skaitā pasta sūtījumi, telefons, fakss, internets) un biroja telpu uzturēšana (tajā skaitā īre, apsaimniekošana, apkure), kā arī datoru un biroja tehnikas iegāde un uzturēšana, kā arī izdevumi, kas saistīti ar institūcijas darbību, piemēram, grāmatvedības funkcijas, pārskatu gatavošana.</w:t>
                  </w:r>
                </w:p>
              </w:tc>
              <w:tc>
                <w:tcPr>
                  <w:tcW w:w="1843" w:type="dxa"/>
                </w:tcPr>
                <w:p w14:paraId="71ACF3B6" w14:textId="77777777" w:rsidR="00EC398A" w:rsidRDefault="00EC398A" w:rsidP="00EC398A">
                  <w:pPr>
                    <w:spacing w:after="0" w:line="240" w:lineRule="auto"/>
                    <w:rPr>
                      <w:rFonts w:ascii="Times New Roman" w:hAnsi="Times New Roman"/>
                      <w:bCs/>
                      <w:sz w:val="24"/>
                      <w:szCs w:val="24"/>
                    </w:rPr>
                  </w:pPr>
                  <w:r>
                    <w:rPr>
                      <w:rFonts w:ascii="Times New Roman" w:hAnsi="Times New Roman"/>
                      <w:bCs/>
                      <w:sz w:val="24"/>
                      <w:szCs w:val="24"/>
                    </w:rPr>
                    <w:t>1</w:t>
                  </w:r>
                  <w:r w:rsidRPr="000E121B">
                    <w:rPr>
                      <w:rFonts w:ascii="Times New Roman" w:hAnsi="Times New Roman"/>
                      <w:bCs/>
                      <w:sz w:val="24"/>
                      <w:szCs w:val="24"/>
                    </w:rPr>
                    <w:t>9,</w:t>
                  </w:r>
                  <w:r>
                    <w:rPr>
                      <w:rFonts w:ascii="Times New Roman" w:hAnsi="Times New Roman"/>
                      <w:bCs/>
                      <w:sz w:val="24"/>
                      <w:szCs w:val="24"/>
                    </w:rPr>
                    <w:t>77</w:t>
                  </w:r>
                </w:p>
                <w:p w14:paraId="130E762C" w14:textId="77777777" w:rsidR="00EC398A" w:rsidRPr="000E121B" w:rsidRDefault="00EC398A" w:rsidP="00EC398A">
                  <w:pPr>
                    <w:spacing w:after="0" w:line="240" w:lineRule="auto"/>
                    <w:rPr>
                      <w:rFonts w:ascii="Times New Roman" w:hAnsi="Times New Roman"/>
                      <w:bCs/>
                      <w:sz w:val="24"/>
                      <w:szCs w:val="24"/>
                    </w:rPr>
                  </w:pPr>
                </w:p>
                <w:p w14:paraId="2CD83381" w14:textId="77777777" w:rsidR="00EC398A" w:rsidRPr="000E121B" w:rsidRDefault="00EC398A" w:rsidP="00EC398A">
                  <w:pPr>
                    <w:spacing w:after="0" w:line="240" w:lineRule="auto"/>
                    <w:rPr>
                      <w:rFonts w:ascii="Times New Roman" w:hAnsi="Times New Roman"/>
                      <w:sz w:val="24"/>
                      <w:szCs w:val="24"/>
                    </w:rPr>
                  </w:pPr>
                </w:p>
              </w:tc>
            </w:tr>
            <w:tr w:rsidR="00EC398A" w:rsidRPr="000E121B" w14:paraId="27703D5A" w14:textId="77777777" w:rsidTr="00E30AD3">
              <w:tc>
                <w:tcPr>
                  <w:tcW w:w="4394" w:type="dxa"/>
                </w:tcPr>
                <w:p w14:paraId="180EA5E0" w14:textId="3C1CDC2F" w:rsidR="00EC398A" w:rsidRDefault="004720C4" w:rsidP="00EC398A">
                  <w:pPr>
                    <w:spacing w:after="0" w:line="240" w:lineRule="auto"/>
                    <w:jc w:val="both"/>
                    <w:rPr>
                      <w:rFonts w:ascii="Times New Roman" w:hAnsi="Times New Roman"/>
                      <w:sz w:val="24"/>
                      <w:szCs w:val="24"/>
                    </w:rPr>
                  </w:pPr>
                  <w:r w:rsidRPr="004720C4">
                    <w:rPr>
                      <w:rFonts w:ascii="Times New Roman" w:hAnsi="Times New Roman"/>
                      <w:sz w:val="24"/>
                      <w:szCs w:val="24"/>
                    </w:rPr>
                    <w:t>Institūcijas, kas izsniedz atzīšanas apliecības</w:t>
                  </w:r>
                  <w:r w:rsidR="00EC398A">
                    <w:rPr>
                      <w:rFonts w:ascii="Times New Roman" w:hAnsi="Times New Roman"/>
                      <w:sz w:val="24"/>
                      <w:szCs w:val="24"/>
                    </w:rPr>
                    <w:t xml:space="preserve"> darbinieku kompetences paaugstināšana apmācībās, kā arī ar</w:t>
                  </w:r>
                  <w:r w:rsidR="00EC398A" w:rsidRPr="000E121B">
                    <w:rPr>
                      <w:rFonts w:ascii="Times New Roman" w:hAnsi="Times New Roman"/>
                      <w:sz w:val="24"/>
                      <w:szCs w:val="24"/>
                    </w:rPr>
                    <w:t xml:space="preserve"> </w:t>
                  </w:r>
                  <w:r w:rsidR="00EC398A">
                    <w:rPr>
                      <w:rFonts w:ascii="Times New Roman" w:hAnsi="Times New Roman"/>
                      <w:sz w:val="24"/>
                      <w:szCs w:val="24"/>
                    </w:rPr>
                    <w:t>līdzdalību</w:t>
                  </w:r>
                  <w:r w:rsidR="00EC398A" w:rsidRPr="000E121B">
                    <w:rPr>
                      <w:rFonts w:ascii="Times New Roman" w:hAnsi="Times New Roman"/>
                      <w:sz w:val="24"/>
                      <w:szCs w:val="24"/>
                    </w:rPr>
                    <w:t xml:space="preserve"> starptautiskajās profesionālās kvalifikācijas atzīš</w:t>
                  </w:r>
                  <w:r w:rsidR="00EC398A">
                    <w:rPr>
                      <w:rFonts w:ascii="Times New Roman" w:hAnsi="Times New Roman"/>
                      <w:sz w:val="24"/>
                      <w:szCs w:val="24"/>
                    </w:rPr>
                    <w:t>anas sanāksmēs, kursos, u.c. pasākumos, profesionālas literatūras iegāde.</w:t>
                  </w:r>
                </w:p>
              </w:tc>
              <w:tc>
                <w:tcPr>
                  <w:tcW w:w="1843" w:type="dxa"/>
                </w:tcPr>
                <w:p w14:paraId="04FE3628" w14:textId="77777777" w:rsidR="00EC398A" w:rsidRPr="000E121B" w:rsidRDefault="00EC398A" w:rsidP="00EC398A">
                  <w:pPr>
                    <w:spacing w:after="0" w:line="240" w:lineRule="auto"/>
                    <w:rPr>
                      <w:rFonts w:ascii="Times New Roman" w:hAnsi="Times New Roman"/>
                      <w:bCs/>
                      <w:sz w:val="24"/>
                      <w:szCs w:val="24"/>
                    </w:rPr>
                  </w:pPr>
                  <w:r>
                    <w:rPr>
                      <w:rFonts w:ascii="Times New Roman" w:hAnsi="Times New Roman"/>
                      <w:bCs/>
                      <w:sz w:val="24"/>
                      <w:szCs w:val="24"/>
                    </w:rPr>
                    <w:t>10,00</w:t>
                  </w:r>
                </w:p>
              </w:tc>
            </w:tr>
            <w:tr w:rsidR="00EC398A" w:rsidRPr="000E121B" w14:paraId="2E4C5927" w14:textId="77777777" w:rsidTr="00E30AD3">
              <w:tc>
                <w:tcPr>
                  <w:tcW w:w="4394" w:type="dxa"/>
                </w:tcPr>
                <w:p w14:paraId="17EE6E9A" w14:textId="77777777" w:rsidR="00EC398A" w:rsidRDefault="00EC398A" w:rsidP="00EC398A">
                  <w:pPr>
                    <w:spacing w:after="0" w:line="240" w:lineRule="auto"/>
                    <w:jc w:val="both"/>
                    <w:rPr>
                      <w:rFonts w:ascii="Times New Roman" w:hAnsi="Times New Roman"/>
                      <w:sz w:val="24"/>
                      <w:szCs w:val="24"/>
                    </w:rPr>
                  </w:pPr>
                  <w:r>
                    <w:rPr>
                      <w:rFonts w:ascii="Times New Roman" w:hAnsi="Times New Roman"/>
                      <w:sz w:val="24"/>
                      <w:szCs w:val="24"/>
                    </w:rPr>
                    <w:t>Kopā</w:t>
                  </w:r>
                </w:p>
              </w:tc>
              <w:tc>
                <w:tcPr>
                  <w:tcW w:w="1843" w:type="dxa"/>
                </w:tcPr>
                <w:p w14:paraId="3115D9AC" w14:textId="77777777" w:rsidR="00EC398A" w:rsidRPr="000E121B" w:rsidRDefault="00EC398A" w:rsidP="00EC398A">
                  <w:pPr>
                    <w:spacing w:after="0" w:line="240" w:lineRule="auto"/>
                    <w:rPr>
                      <w:rFonts w:ascii="Times New Roman" w:hAnsi="Times New Roman"/>
                      <w:bCs/>
                      <w:sz w:val="24"/>
                      <w:szCs w:val="24"/>
                    </w:rPr>
                  </w:pPr>
                  <w:r>
                    <w:rPr>
                      <w:rFonts w:ascii="Times New Roman" w:hAnsi="Times New Roman"/>
                      <w:bCs/>
                      <w:sz w:val="24"/>
                      <w:szCs w:val="24"/>
                    </w:rPr>
                    <w:t>32,56</w:t>
                  </w:r>
                </w:p>
              </w:tc>
            </w:tr>
          </w:tbl>
          <w:p w14:paraId="4204F373" w14:textId="77777777" w:rsidR="00EC398A" w:rsidRDefault="00EC398A" w:rsidP="00EC398A">
            <w:pPr>
              <w:spacing w:after="0" w:line="240" w:lineRule="auto"/>
              <w:rPr>
                <w:rFonts w:ascii="Times New Roman" w:hAnsi="Times New Roman"/>
                <w:sz w:val="24"/>
                <w:szCs w:val="24"/>
              </w:rPr>
            </w:pPr>
          </w:p>
          <w:p w14:paraId="52FC6B27" w14:textId="6B9C9065" w:rsidR="00EC398A" w:rsidRDefault="003F586B" w:rsidP="00EC398A">
            <w:pPr>
              <w:spacing w:after="0" w:line="240" w:lineRule="auto"/>
              <w:rPr>
                <w:rFonts w:ascii="Times New Roman" w:hAnsi="Times New Roman"/>
                <w:b/>
                <w:sz w:val="24"/>
                <w:szCs w:val="24"/>
              </w:rPr>
            </w:pPr>
            <w:r>
              <w:rPr>
                <w:rFonts w:ascii="Times New Roman" w:hAnsi="Times New Roman"/>
                <w:b/>
                <w:sz w:val="24"/>
                <w:szCs w:val="24"/>
              </w:rPr>
              <w:t>2</w:t>
            </w:r>
            <w:r w:rsidR="00EC398A">
              <w:rPr>
                <w:rFonts w:ascii="Times New Roman" w:hAnsi="Times New Roman"/>
                <w:b/>
                <w:sz w:val="24"/>
                <w:szCs w:val="24"/>
              </w:rPr>
              <w:t>.3. tabula Kopsavilkums</w:t>
            </w:r>
          </w:p>
          <w:tbl>
            <w:tblPr>
              <w:tblStyle w:val="TableGrid"/>
              <w:tblW w:w="0" w:type="auto"/>
              <w:tblLayout w:type="fixed"/>
              <w:tblLook w:val="04A0" w:firstRow="1" w:lastRow="0" w:firstColumn="1" w:lastColumn="0" w:noHBand="0" w:noVBand="1"/>
            </w:tblPr>
            <w:tblGrid>
              <w:gridCol w:w="2167"/>
              <w:gridCol w:w="1984"/>
            </w:tblGrid>
            <w:tr w:rsidR="00EC398A" w:rsidRPr="00FC097F" w14:paraId="5B854205" w14:textId="77777777" w:rsidTr="004420A6">
              <w:tc>
                <w:tcPr>
                  <w:tcW w:w="2167" w:type="dxa"/>
                </w:tcPr>
                <w:p w14:paraId="38A791FB" w14:textId="77777777" w:rsidR="00EC398A" w:rsidRPr="00FC097F" w:rsidRDefault="00EC398A" w:rsidP="00EC398A">
                  <w:pPr>
                    <w:spacing w:after="0" w:line="240" w:lineRule="auto"/>
                    <w:rPr>
                      <w:rFonts w:ascii="Times New Roman" w:hAnsi="Times New Roman"/>
                      <w:i/>
                      <w:sz w:val="24"/>
                      <w:szCs w:val="24"/>
                    </w:rPr>
                  </w:pPr>
                  <w:r w:rsidRPr="00FC097F">
                    <w:rPr>
                      <w:rFonts w:ascii="Times New Roman" w:hAnsi="Times New Roman"/>
                      <w:i/>
                      <w:sz w:val="24"/>
                      <w:szCs w:val="24"/>
                    </w:rPr>
                    <w:t>Izmaksu grupa</w:t>
                  </w:r>
                </w:p>
              </w:tc>
              <w:tc>
                <w:tcPr>
                  <w:tcW w:w="1984" w:type="dxa"/>
                </w:tcPr>
                <w:p w14:paraId="0F9829B8" w14:textId="77777777" w:rsidR="00EC398A" w:rsidRPr="00746D7A" w:rsidRDefault="00EC398A" w:rsidP="00EC398A">
                  <w:pPr>
                    <w:spacing w:after="0" w:line="240" w:lineRule="auto"/>
                    <w:rPr>
                      <w:rFonts w:ascii="Times New Roman" w:hAnsi="Times New Roman"/>
                      <w:sz w:val="24"/>
                      <w:szCs w:val="24"/>
                    </w:rPr>
                  </w:pPr>
                  <w:r w:rsidRPr="00FC097F">
                    <w:rPr>
                      <w:rFonts w:ascii="Times New Roman" w:hAnsi="Times New Roman"/>
                      <w:i/>
                      <w:sz w:val="24"/>
                      <w:szCs w:val="24"/>
                    </w:rPr>
                    <w:t>Izmaksas euro</w:t>
                  </w:r>
                  <w:r>
                    <w:rPr>
                      <w:rFonts w:ascii="Times New Roman" w:hAnsi="Times New Roman"/>
                      <w:i/>
                      <w:sz w:val="24"/>
                      <w:szCs w:val="24"/>
                    </w:rPr>
                    <w:t xml:space="preserve"> </w:t>
                  </w:r>
                  <w:r>
                    <w:rPr>
                      <w:rFonts w:ascii="Times New Roman" w:hAnsi="Times New Roman"/>
                      <w:sz w:val="24"/>
                      <w:szCs w:val="24"/>
                    </w:rPr>
                    <w:t>(2014.)</w:t>
                  </w:r>
                </w:p>
              </w:tc>
            </w:tr>
            <w:tr w:rsidR="00EC398A" w14:paraId="1D8811A4" w14:textId="77777777" w:rsidTr="004420A6">
              <w:tc>
                <w:tcPr>
                  <w:tcW w:w="2167" w:type="dxa"/>
                </w:tcPr>
                <w:p w14:paraId="2242B347" w14:textId="77777777" w:rsidR="00EC398A" w:rsidRDefault="00EC398A" w:rsidP="00EC398A">
                  <w:pPr>
                    <w:spacing w:after="0" w:line="240" w:lineRule="auto"/>
                    <w:rPr>
                      <w:rFonts w:ascii="Times New Roman" w:hAnsi="Times New Roman"/>
                      <w:sz w:val="24"/>
                      <w:szCs w:val="24"/>
                    </w:rPr>
                  </w:pPr>
                  <w:r>
                    <w:rPr>
                      <w:rFonts w:ascii="Times New Roman" w:hAnsi="Times New Roman"/>
                      <w:sz w:val="24"/>
                      <w:szCs w:val="24"/>
                    </w:rPr>
                    <w:t>Tiešās izmaksas</w:t>
                  </w:r>
                </w:p>
              </w:tc>
              <w:tc>
                <w:tcPr>
                  <w:tcW w:w="1984" w:type="dxa"/>
                </w:tcPr>
                <w:p w14:paraId="73E46F20" w14:textId="77777777" w:rsidR="00EC398A" w:rsidRDefault="00EC398A" w:rsidP="00EC398A">
                  <w:pPr>
                    <w:spacing w:after="0" w:line="240" w:lineRule="auto"/>
                    <w:rPr>
                      <w:rFonts w:ascii="Times New Roman" w:hAnsi="Times New Roman"/>
                      <w:sz w:val="24"/>
                      <w:szCs w:val="24"/>
                    </w:rPr>
                  </w:pPr>
                  <w:r>
                    <w:rPr>
                      <w:rFonts w:ascii="Times New Roman" w:hAnsi="Times New Roman"/>
                      <w:sz w:val="24"/>
                      <w:szCs w:val="24"/>
                    </w:rPr>
                    <w:t>67,44</w:t>
                  </w:r>
                </w:p>
              </w:tc>
            </w:tr>
            <w:tr w:rsidR="00EC398A" w14:paraId="4476BBF2" w14:textId="77777777" w:rsidTr="004420A6">
              <w:tc>
                <w:tcPr>
                  <w:tcW w:w="2167" w:type="dxa"/>
                </w:tcPr>
                <w:p w14:paraId="08199387" w14:textId="77777777" w:rsidR="00EC398A" w:rsidRDefault="00EC398A" w:rsidP="00EC398A">
                  <w:pPr>
                    <w:spacing w:after="0" w:line="240" w:lineRule="auto"/>
                    <w:rPr>
                      <w:rFonts w:ascii="Times New Roman" w:hAnsi="Times New Roman"/>
                      <w:sz w:val="24"/>
                      <w:szCs w:val="24"/>
                    </w:rPr>
                  </w:pPr>
                  <w:r>
                    <w:rPr>
                      <w:rFonts w:ascii="Times New Roman" w:hAnsi="Times New Roman"/>
                      <w:sz w:val="24"/>
                      <w:szCs w:val="24"/>
                    </w:rPr>
                    <w:t xml:space="preserve">Netiešās izmaksas </w:t>
                  </w:r>
                </w:p>
              </w:tc>
              <w:tc>
                <w:tcPr>
                  <w:tcW w:w="1984" w:type="dxa"/>
                </w:tcPr>
                <w:p w14:paraId="583D5871" w14:textId="77777777" w:rsidR="00EC398A" w:rsidRDefault="00EC398A" w:rsidP="00EC398A">
                  <w:pPr>
                    <w:spacing w:after="0" w:line="240" w:lineRule="auto"/>
                    <w:rPr>
                      <w:rFonts w:ascii="Times New Roman" w:hAnsi="Times New Roman"/>
                      <w:sz w:val="24"/>
                      <w:szCs w:val="24"/>
                    </w:rPr>
                  </w:pPr>
                  <w:r>
                    <w:rPr>
                      <w:rFonts w:ascii="Times New Roman" w:hAnsi="Times New Roman"/>
                      <w:sz w:val="24"/>
                      <w:szCs w:val="24"/>
                    </w:rPr>
                    <w:t>32,56</w:t>
                  </w:r>
                </w:p>
              </w:tc>
            </w:tr>
            <w:tr w:rsidR="00EC398A" w14:paraId="457072AC" w14:textId="77777777" w:rsidTr="004420A6">
              <w:tc>
                <w:tcPr>
                  <w:tcW w:w="2167" w:type="dxa"/>
                </w:tcPr>
                <w:p w14:paraId="1A15050A" w14:textId="77777777" w:rsidR="00EC398A" w:rsidRDefault="00EC398A" w:rsidP="00EC398A">
                  <w:pPr>
                    <w:spacing w:after="0" w:line="240" w:lineRule="auto"/>
                    <w:rPr>
                      <w:rFonts w:ascii="Times New Roman" w:hAnsi="Times New Roman"/>
                      <w:sz w:val="24"/>
                      <w:szCs w:val="24"/>
                    </w:rPr>
                  </w:pPr>
                  <w:r>
                    <w:rPr>
                      <w:rFonts w:ascii="Times New Roman" w:hAnsi="Times New Roman"/>
                      <w:sz w:val="24"/>
                      <w:szCs w:val="24"/>
                    </w:rPr>
                    <w:t>Kopā</w:t>
                  </w:r>
                </w:p>
              </w:tc>
              <w:tc>
                <w:tcPr>
                  <w:tcW w:w="1984" w:type="dxa"/>
                </w:tcPr>
                <w:p w14:paraId="336F071B" w14:textId="77777777" w:rsidR="00EC398A" w:rsidRDefault="00EC398A" w:rsidP="00EC398A">
                  <w:pPr>
                    <w:spacing w:after="0" w:line="240" w:lineRule="auto"/>
                    <w:rPr>
                      <w:rFonts w:ascii="Times New Roman" w:hAnsi="Times New Roman"/>
                      <w:sz w:val="24"/>
                      <w:szCs w:val="24"/>
                    </w:rPr>
                  </w:pPr>
                  <w:r>
                    <w:rPr>
                      <w:rFonts w:ascii="Times New Roman" w:hAnsi="Times New Roman"/>
                      <w:sz w:val="24"/>
                      <w:szCs w:val="24"/>
                    </w:rPr>
                    <w:t>100,00</w:t>
                  </w:r>
                </w:p>
              </w:tc>
            </w:tr>
          </w:tbl>
          <w:p w14:paraId="137D433C" w14:textId="377495BE" w:rsidR="00605858" w:rsidRPr="00746D7A" w:rsidRDefault="00605858" w:rsidP="00D21BAD">
            <w:pPr>
              <w:spacing w:after="0" w:line="240" w:lineRule="auto"/>
              <w:jc w:val="both"/>
              <w:rPr>
                <w:rFonts w:ascii="Times New Roman" w:hAnsi="Times New Roman"/>
                <w:bCs/>
                <w:sz w:val="26"/>
                <w:szCs w:val="26"/>
              </w:rPr>
            </w:pPr>
          </w:p>
        </w:tc>
      </w:tr>
      <w:tr w:rsidR="00812271" w:rsidRPr="00823CB3" w14:paraId="7F7EC0F0" w14:textId="77777777" w:rsidTr="00B6352D">
        <w:trPr>
          <w:tblCellSpacing w:w="15" w:type="dxa"/>
        </w:trPr>
        <w:tc>
          <w:tcPr>
            <w:tcW w:w="196" w:type="pct"/>
            <w:tcBorders>
              <w:top w:val="outset" w:sz="6" w:space="0" w:color="auto"/>
              <w:left w:val="outset" w:sz="6" w:space="0" w:color="auto"/>
              <w:bottom w:val="outset" w:sz="6" w:space="0" w:color="auto"/>
              <w:right w:val="outset" w:sz="6" w:space="0" w:color="auto"/>
            </w:tcBorders>
          </w:tcPr>
          <w:p w14:paraId="71EC361F" w14:textId="009A70CC"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lastRenderedPageBreak/>
              <w:t>3.</w:t>
            </w:r>
          </w:p>
        </w:tc>
        <w:tc>
          <w:tcPr>
            <w:tcW w:w="825" w:type="pct"/>
            <w:tcBorders>
              <w:top w:val="outset" w:sz="6" w:space="0" w:color="auto"/>
              <w:left w:val="outset" w:sz="6" w:space="0" w:color="auto"/>
              <w:bottom w:val="outset" w:sz="6" w:space="0" w:color="auto"/>
              <w:right w:val="outset" w:sz="6" w:space="0" w:color="auto"/>
            </w:tcBorders>
          </w:tcPr>
          <w:p w14:paraId="0DE533F5"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Projekta izstrādē iesaistītās institūcijas</w:t>
            </w:r>
          </w:p>
        </w:tc>
        <w:tc>
          <w:tcPr>
            <w:tcW w:w="3911" w:type="pct"/>
            <w:tcBorders>
              <w:top w:val="outset" w:sz="6" w:space="0" w:color="auto"/>
              <w:left w:val="outset" w:sz="6" w:space="0" w:color="auto"/>
              <w:bottom w:val="outset" w:sz="6" w:space="0" w:color="auto"/>
              <w:right w:val="outset" w:sz="6" w:space="0" w:color="auto"/>
            </w:tcBorders>
          </w:tcPr>
          <w:p w14:paraId="2D06F8AD" w14:textId="705C54C5" w:rsidR="00392D00" w:rsidRPr="00823CB3" w:rsidRDefault="00D17159" w:rsidP="004A6A60">
            <w:pPr>
              <w:spacing w:after="0" w:line="240" w:lineRule="auto"/>
              <w:rPr>
                <w:rFonts w:ascii="Times New Roman" w:eastAsia="Times New Roman" w:hAnsi="Times New Roman"/>
                <w:sz w:val="26"/>
                <w:szCs w:val="26"/>
                <w:lang w:eastAsia="lv-LV"/>
              </w:rPr>
            </w:pPr>
            <w:r>
              <w:rPr>
                <w:rFonts w:ascii="Times New Roman" w:eastAsia="Times New Roman" w:hAnsi="Times New Roman"/>
                <w:bCs/>
                <w:sz w:val="26"/>
                <w:szCs w:val="26"/>
                <w:lang w:eastAsia="lv-LV"/>
              </w:rPr>
              <w:t>Izglītības un zinātnes m</w:t>
            </w:r>
            <w:r w:rsidR="00711F3E" w:rsidRPr="00823CB3">
              <w:rPr>
                <w:rFonts w:ascii="Times New Roman" w:eastAsia="Times New Roman" w:hAnsi="Times New Roman"/>
                <w:bCs/>
                <w:sz w:val="26"/>
                <w:szCs w:val="26"/>
                <w:lang w:eastAsia="lv-LV"/>
              </w:rPr>
              <w:t>inistrija</w:t>
            </w:r>
            <w:r>
              <w:rPr>
                <w:rFonts w:ascii="Times New Roman" w:eastAsia="Times New Roman" w:hAnsi="Times New Roman"/>
                <w:bCs/>
                <w:sz w:val="26"/>
                <w:szCs w:val="26"/>
                <w:lang w:eastAsia="lv-LV"/>
              </w:rPr>
              <w:t xml:space="preserve"> (turpmāk – ministrija)</w:t>
            </w:r>
            <w:r w:rsidR="00711F3E" w:rsidRPr="00823CB3">
              <w:rPr>
                <w:rFonts w:ascii="Times New Roman" w:eastAsia="Times New Roman" w:hAnsi="Times New Roman"/>
                <w:bCs/>
                <w:sz w:val="26"/>
                <w:szCs w:val="26"/>
                <w:lang w:eastAsia="lv-LV"/>
              </w:rPr>
              <w:t xml:space="preserve">, </w:t>
            </w:r>
            <w:r w:rsidR="004A6A60">
              <w:rPr>
                <w:rFonts w:ascii="Times New Roman" w:eastAsia="Times New Roman" w:hAnsi="Times New Roman"/>
                <w:bCs/>
                <w:sz w:val="26"/>
                <w:szCs w:val="26"/>
                <w:lang w:eastAsia="lv-LV"/>
              </w:rPr>
              <w:t>AIC</w:t>
            </w:r>
            <w:r w:rsidR="004720C4">
              <w:rPr>
                <w:rFonts w:ascii="Times New Roman" w:eastAsia="Times New Roman" w:hAnsi="Times New Roman"/>
                <w:bCs/>
                <w:sz w:val="26"/>
                <w:szCs w:val="26"/>
                <w:lang w:eastAsia="lv-LV"/>
              </w:rPr>
              <w:t xml:space="preserve">, Veselības inspekcija, </w:t>
            </w:r>
            <w:r w:rsidR="00E30AD3">
              <w:rPr>
                <w:rFonts w:ascii="Times New Roman" w:eastAsia="Times New Roman" w:hAnsi="Times New Roman"/>
                <w:bCs/>
                <w:sz w:val="26"/>
                <w:szCs w:val="26"/>
                <w:lang w:eastAsia="lv-LV"/>
              </w:rPr>
              <w:t>Latvijas Ārstniecības personu profesionālo organizāciju savienība, Latvijas Farmaceitu biedrība</w:t>
            </w:r>
          </w:p>
        </w:tc>
      </w:tr>
      <w:tr w:rsidR="00812271" w:rsidRPr="00823CB3" w14:paraId="175958CA" w14:textId="77777777" w:rsidTr="00B6352D">
        <w:trPr>
          <w:tblCellSpacing w:w="15" w:type="dxa"/>
        </w:trPr>
        <w:tc>
          <w:tcPr>
            <w:tcW w:w="196" w:type="pct"/>
            <w:tcBorders>
              <w:top w:val="outset" w:sz="6" w:space="0" w:color="auto"/>
              <w:left w:val="outset" w:sz="6" w:space="0" w:color="auto"/>
              <w:bottom w:val="outset" w:sz="6" w:space="0" w:color="auto"/>
              <w:right w:val="outset" w:sz="6" w:space="0" w:color="auto"/>
            </w:tcBorders>
          </w:tcPr>
          <w:p w14:paraId="3CBCAAF4"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4.</w:t>
            </w:r>
          </w:p>
        </w:tc>
        <w:tc>
          <w:tcPr>
            <w:tcW w:w="825" w:type="pct"/>
            <w:tcBorders>
              <w:top w:val="outset" w:sz="6" w:space="0" w:color="auto"/>
              <w:left w:val="outset" w:sz="6" w:space="0" w:color="auto"/>
              <w:bottom w:val="outset" w:sz="6" w:space="0" w:color="auto"/>
              <w:right w:val="outset" w:sz="6" w:space="0" w:color="auto"/>
            </w:tcBorders>
          </w:tcPr>
          <w:p w14:paraId="2CF71E8B"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3911" w:type="pct"/>
            <w:tcBorders>
              <w:top w:val="outset" w:sz="6" w:space="0" w:color="auto"/>
              <w:left w:val="outset" w:sz="6" w:space="0" w:color="auto"/>
              <w:bottom w:val="outset" w:sz="6" w:space="0" w:color="auto"/>
              <w:right w:val="outset" w:sz="6" w:space="0" w:color="auto"/>
            </w:tcBorders>
          </w:tcPr>
          <w:p w14:paraId="1F5B946A" w14:textId="727965D7" w:rsidR="00577216" w:rsidRPr="00823CB3" w:rsidRDefault="00AE649E" w:rsidP="0098545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p>
        </w:tc>
      </w:tr>
    </w:tbl>
    <w:p w14:paraId="3EF7D496" w14:textId="77777777" w:rsidR="004A505F" w:rsidRPr="00823CB3" w:rsidRDefault="004A505F" w:rsidP="004A505F">
      <w:pPr>
        <w:spacing w:after="0" w:line="360" w:lineRule="auto"/>
        <w:rPr>
          <w:rFonts w:ascii="Times New Roman" w:hAnsi="Times New Roman"/>
          <w:i/>
          <w:sz w:val="26"/>
          <w:szCs w:val="26"/>
        </w:rPr>
      </w:pPr>
    </w:p>
    <w:tbl>
      <w:tblPr>
        <w:tblW w:w="522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
        <w:gridCol w:w="434"/>
        <w:gridCol w:w="1789"/>
        <w:gridCol w:w="7489"/>
      </w:tblGrid>
      <w:tr w:rsidR="003460E1" w:rsidRPr="00823CB3" w14:paraId="653FAB39" w14:textId="77777777" w:rsidTr="001919B5">
        <w:trPr>
          <w:trHeight w:val="555"/>
          <w:tblCellSpacing w:w="15" w:type="dxa"/>
        </w:trPr>
        <w:tc>
          <w:tcPr>
            <w:tcW w:w="4969" w:type="pct"/>
            <w:gridSpan w:val="4"/>
            <w:tcBorders>
              <w:top w:val="single" w:sz="4" w:space="0" w:color="auto"/>
              <w:left w:val="single" w:sz="4" w:space="0" w:color="auto"/>
              <w:bottom w:val="single" w:sz="4" w:space="0" w:color="auto"/>
              <w:right w:val="single" w:sz="4" w:space="0" w:color="auto"/>
            </w:tcBorders>
            <w:vAlign w:val="center"/>
            <w:hideMark/>
          </w:tcPr>
          <w:p w14:paraId="4D58DDBE" w14:textId="77777777" w:rsidR="003460E1" w:rsidRPr="00823CB3" w:rsidRDefault="003460E1" w:rsidP="00436672">
            <w:pPr>
              <w:spacing w:after="0" w:line="240" w:lineRule="auto"/>
              <w:ind w:firstLine="300"/>
              <w:jc w:val="both"/>
              <w:rPr>
                <w:rFonts w:ascii="Times New Roman" w:hAnsi="Times New Roman"/>
                <w:b/>
                <w:bCs/>
                <w:sz w:val="26"/>
                <w:szCs w:val="26"/>
                <w:lang w:eastAsia="lv-LV"/>
              </w:rPr>
            </w:pPr>
            <w:r w:rsidRPr="00823CB3">
              <w:rPr>
                <w:rFonts w:ascii="Times New Roman" w:hAnsi="Times New Roman"/>
                <w:b/>
                <w:bCs/>
                <w:sz w:val="26"/>
                <w:szCs w:val="26"/>
                <w:lang w:eastAsia="lv-LV"/>
              </w:rPr>
              <w:t>II. Tiesību akta projekta ietekme uz sabiedrību, tautsaimniecības attīstību un administratīvo slogu</w:t>
            </w:r>
          </w:p>
        </w:tc>
      </w:tr>
      <w:tr w:rsidR="003460E1" w:rsidRPr="00823CB3" w14:paraId="3BC746F8" w14:textId="77777777" w:rsidTr="001919B5">
        <w:trPr>
          <w:trHeight w:val="465"/>
          <w:tblCellSpacing w:w="15" w:type="dxa"/>
        </w:trPr>
        <w:tc>
          <w:tcPr>
            <w:tcW w:w="212" w:type="pct"/>
            <w:gridSpan w:val="2"/>
            <w:tcBorders>
              <w:top w:val="single" w:sz="4" w:space="0" w:color="auto"/>
              <w:left w:val="single" w:sz="4" w:space="0" w:color="auto"/>
              <w:bottom w:val="single" w:sz="4" w:space="0" w:color="auto"/>
              <w:right w:val="single" w:sz="4" w:space="0" w:color="auto"/>
            </w:tcBorders>
            <w:hideMark/>
          </w:tcPr>
          <w:p w14:paraId="56988472"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1.</w:t>
            </w:r>
          </w:p>
        </w:tc>
        <w:tc>
          <w:tcPr>
            <w:tcW w:w="909" w:type="pct"/>
            <w:tcBorders>
              <w:top w:val="single" w:sz="4" w:space="0" w:color="auto"/>
              <w:left w:val="single" w:sz="4" w:space="0" w:color="auto"/>
              <w:bottom w:val="single" w:sz="4" w:space="0" w:color="auto"/>
              <w:right w:val="single" w:sz="4" w:space="0" w:color="auto"/>
            </w:tcBorders>
            <w:hideMark/>
          </w:tcPr>
          <w:p w14:paraId="341DE1FB"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Sabiedrības mērķgrupas, kuras tiesiskais regulējums ietekmē vai varētu ietekmēt</w:t>
            </w:r>
          </w:p>
        </w:tc>
        <w:tc>
          <w:tcPr>
            <w:tcW w:w="3818" w:type="pct"/>
            <w:tcBorders>
              <w:top w:val="single" w:sz="4" w:space="0" w:color="auto"/>
              <w:left w:val="single" w:sz="4" w:space="0" w:color="auto"/>
              <w:bottom w:val="single" w:sz="4" w:space="0" w:color="auto"/>
              <w:right w:val="single" w:sz="4" w:space="0" w:color="auto"/>
            </w:tcBorders>
            <w:hideMark/>
          </w:tcPr>
          <w:p w14:paraId="316E1CF4" w14:textId="77777777" w:rsidR="005F4612" w:rsidRPr="006D4569" w:rsidRDefault="005F4612" w:rsidP="005F4612">
            <w:pPr>
              <w:pStyle w:val="ListParagraph"/>
              <w:tabs>
                <w:tab w:val="left" w:pos="220"/>
              </w:tabs>
              <w:spacing w:after="0" w:line="240" w:lineRule="auto"/>
              <w:ind w:left="0"/>
              <w:jc w:val="both"/>
              <w:rPr>
                <w:rFonts w:ascii="Times New Roman" w:hAnsi="Times New Roman"/>
                <w:sz w:val="26"/>
                <w:szCs w:val="26"/>
                <w:lang w:val="lv-LV" w:eastAsia="en-US"/>
              </w:rPr>
            </w:pPr>
            <w:r w:rsidRPr="006D4569">
              <w:rPr>
                <w:rFonts w:ascii="Times New Roman" w:hAnsi="Times New Roman"/>
                <w:sz w:val="26"/>
                <w:szCs w:val="26"/>
                <w:lang w:val="lv-LV" w:eastAsia="en-US"/>
              </w:rPr>
              <w:t xml:space="preserve">Projektā noteiktais attieksies uz: </w:t>
            </w:r>
          </w:p>
          <w:p w14:paraId="6859834C" w14:textId="70F0BA52" w:rsidR="005F4612" w:rsidRPr="006D4569" w:rsidRDefault="005F4612" w:rsidP="005F4612">
            <w:pPr>
              <w:pStyle w:val="ListParagraph"/>
              <w:tabs>
                <w:tab w:val="left" w:pos="220"/>
              </w:tabs>
              <w:spacing w:after="0" w:line="240" w:lineRule="auto"/>
              <w:ind w:left="0"/>
              <w:jc w:val="both"/>
              <w:rPr>
                <w:rFonts w:ascii="Times New Roman" w:hAnsi="Times New Roman"/>
                <w:sz w:val="26"/>
                <w:szCs w:val="26"/>
                <w:lang w:val="lv-LV" w:eastAsia="en-US"/>
              </w:rPr>
            </w:pPr>
            <w:r w:rsidRPr="006D4569">
              <w:rPr>
                <w:rFonts w:ascii="Times New Roman" w:hAnsi="Times New Roman"/>
                <w:sz w:val="26"/>
                <w:szCs w:val="26"/>
                <w:lang w:val="lv-LV" w:eastAsia="en-US"/>
              </w:rPr>
              <w:t xml:space="preserve">1) </w:t>
            </w:r>
            <w:r w:rsidRPr="006D4569">
              <w:rPr>
                <w:rFonts w:ascii="Times New Roman" w:hAnsi="Times New Roman"/>
                <w:color w:val="000000"/>
                <w:sz w:val="26"/>
                <w:szCs w:val="26"/>
              </w:rPr>
              <w:t>p</w:t>
            </w:r>
            <w:r w:rsidRPr="006D4569">
              <w:rPr>
                <w:rFonts w:ascii="Times New Roman" w:hAnsi="Times New Roman"/>
                <w:sz w:val="26"/>
                <w:szCs w:val="26"/>
              </w:rPr>
              <w:t>erson</w:t>
            </w:r>
            <w:r w:rsidRPr="006D4569">
              <w:rPr>
                <w:rFonts w:ascii="Times New Roman" w:hAnsi="Times New Roman"/>
                <w:sz w:val="26"/>
                <w:szCs w:val="26"/>
                <w:lang w:val="lv-LV"/>
              </w:rPr>
              <w:t>ām</w:t>
            </w:r>
            <w:r w:rsidRPr="006D4569">
              <w:rPr>
                <w:rFonts w:ascii="Times New Roman" w:hAnsi="Times New Roman"/>
                <w:sz w:val="26"/>
                <w:szCs w:val="26"/>
              </w:rPr>
              <w:t>, kas izglītību un profesionālo kvalifikāciju ieguvu</w:t>
            </w:r>
            <w:r w:rsidR="00AE766D">
              <w:rPr>
                <w:rFonts w:ascii="Times New Roman" w:hAnsi="Times New Roman"/>
                <w:sz w:val="26"/>
                <w:szCs w:val="26"/>
                <w:lang w:val="lv-LV"/>
              </w:rPr>
              <w:t>šas</w:t>
            </w:r>
            <w:r w:rsidRPr="006D4569">
              <w:rPr>
                <w:rFonts w:ascii="Times New Roman" w:hAnsi="Times New Roman"/>
                <w:sz w:val="26"/>
                <w:szCs w:val="26"/>
              </w:rPr>
              <w:t xml:space="preserve"> Latvijas Republikā, kā arī </w:t>
            </w:r>
            <w:r w:rsidR="00AE766D">
              <w:rPr>
                <w:rFonts w:ascii="Times New Roman" w:hAnsi="Times New Roman"/>
                <w:sz w:val="26"/>
                <w:szCs w:val="26"/>
                <w:lang w:val="lv-LV"/>
              </w:rPr>
              <w:t>uz personām</w:t>
            </w:r>
            <w:r w:rsidRPr="006D4569">
              <w:rPr>
                <w:rFonts w:ascii="Times New Roman" w:hAnsi="Times New Roman"/>
                <w:sz w:val="26"/>
                <w:szCs w:val="26"/>
              </w:rPr>
              <w:t xml:space="preserve">, kam ir tiesības strādāt reglamentētajā profesijā Latvijā, un kas pretendē uz </w:t>
            </w:r>
            <w:r>
              <w:rPr>
                <w:rFonts w:ascii="Times New Roman" w:hAnsi="Times New Roman"/>
                <w:sz w:val="26"/>
                <w:szCs w:val="26"/>
                <w:lang w:val="lv-LV"/>
              </w:rPr>
              <w:t>EPK</w:t>
            </w:r>
            <w:r w:rsidRPr="006D4569">
              <w:rPr>
                <w:rFonts w:ascii="Times New Roman" w:hAnsi="Times New Roman"/>
                <w:sz w:val="26"/>
                <w:szCs w:val="26"/>
              </w:rPr>
              <w:t xml:space="preserve"> saņemšanu profesionālajai darbībai reglamentētajā profesijā citā dalībvalstī  reglamentētajā profesijā</w:t>
            </w:r>
            <w:r w:rsidRPr="006D4569">
              <w:rPr>
                <w:rFonts w:ascii="Times New Roman" w:hAnsi="Times New Roman"/>
                <w:sz w:val="26"/>
                <w:szCs w:val="26"/>
                <w:lang w:val="lv-LV"/>
              </w:rPr>
              <w:t>;</w:t>
            </w:r>
          </w:p>
          <w:p w14:paraId="4D0EDF76" w14:textId="5E28C669" w:rsidR="005F4612" w:rsidRPr="006D4569" w:rsidRDefault="005F4612" w:rsidP="005F4612">
            <w:pPr>
              <w:pStyle w:val="ListParagraph"/>
              <w:tabs>
                <w:tab w:val="left" w:pos="220"/>
              </w:tabs>
              <w:spacing w:after="0" w:line="240" w:lineRule="auto"/>
              <w:ind w:left="0"/>
              <w:jc w:val="both"/>
              <w:rPr>
                <w:rFonts w:ascii="Times New Roman" w:hAnsi="Times New Roman"/>
                <w:iCs/>
                <w:sz w:val="26"/>
                <w:szCs w:val="26"/>
                <w:lang w:val="lv-LV" w:eastAsia="en-US"/>
              </w:rPr>
            </w:pPr>
            <w:r w:rsidRPr="006D4569">
              <w:rPr>
                <w:rFonts w:ascii="Times New Roman" w:hAnsi="Times New Roman"/>
                <w:sz w:val="26"/>
                <w:szCs w:val="26"/>
                <w:lang w:val="lv-LV" w:eastAsia="en-US"/>
              </w:rPr>
              <w:t xml:space="preserve">2) </w:t>
            </w:r>
            <w:r w:rsidRPr="006D4569">
              <w:rPr>
                <w:rFonts w:ascii="Times New Roman" w:hAnsi="Times New Roman"/>
                <w:color w:val="000000"/>
                <w:sz w:val="26"/>
                <w:szCs w:val="26"/>
              </w:rPr>
              <w:t>p</w:t>
            </w:r>
            <w:r w:rsidRPr="006D4569">
              <w:rPr>
                <w:rFonts w:ascii="Times New Roman" w:hAnsi="Times New Roman"/>
                <w:sz w:val="26"/>
                <w:szCs w:val="26"/>
              </w:rPr>
              <w:t>erson</w:t>
            </w:r>
            <w:r w:rsidRPr="006D4569">
              <w:rPr>
                <w:rFonts w:ascii="Times New Roman" w:hAnsi="Times New Roman"/>
                <w:sz w:val="26"/>
                <w:szCs w:val="26"/>
                <w:lang w:val="lv-LV"/>
              </w:rPr>
              <w:t>ām</w:t>
            </w:r>
            <w:r w:rsidRPr="006D4569">
              <w:rPr>
                <w:rFonts w:ascii="Times New Roman" w:hAnsi="Times New Roman"/>
                <w:sz w:val="26"/>
                <w:szCs w:val="26"/>
              </w:rPr>
              <w:t>, kas izglītību un profesionālo kvalifikāciju ieguvu</w:t>
            </w:r>
            <w:r w:rsidR="00AE766D">
              <w:rPr>
                <w:rFonts w:ascii="Times New Roman" w:hAnsi="Times New Roman"/>
                <w:sz w:val="26"/>
                <w:szCs w:val="26"/>
                <w:lang w:val="lv-LV"/>
              </w:rPr>
              <w:t>šas</w:t>
            </w:r>
            <w:r w:rsidRPr="006D4569">
              <w:rPr>
                <w:rFonts w:ascii="Times New Roman" w:hAnsi="Times New Roman"/>
                <w:sz w:val="26"/>
                <w:szCs w:val="26"/>
              </w:rPr>
              <w:t xml:space="preserve"> citā dalībvalstī un pretendē uz </w:t>
            </w:r>
            <w:r>
              <w:rPr>
                <w:rFonts w:ascii="Times New Roman" w:hAnsi="Times New Roman"/>
                <w:sz w:val="26"/>
                <w:szCs w:val="26"/>
                <w:lang w:val="lv-LV"/>
              </w:rPr>
              <w:t>EPK</w:t>
            </w:r>
            <w:r w:rsidRPr="006D4569">
              <w:rPr>
                <w:rFonts w:ascii="Times New Roman" w:hAnsi="Times New Roman"/>
                <w:sz w:val="26"/>
                <w:szCs w:val="26"/>
              </w:rPr>
              <w:t xml:space="preserve"> saņemšanu pastāvīgai profesionālajai darbībai reglamentētajā profesijā vai īslaicīgu profesionālo pakalpojumu sniegšanai</w:t>
            </w:r>
            <w:r w:rsidRPr="006D4569" w:rsidDel="00031FAE">
              <w:rPr>
                <w:rFonts w:ascii="Times New Roman" w:hAnsi="Times New Roman"/>
                <w:sz w:val="26"/>
                <w:szCs w:val="26"/>
              </w:rPr>
              <w:t xml:space="preserve"> </w:t>
            </w:r>
            <w:r w:rsidRPr="006D4569">
              <w:rPr>
                <w:rFonts w:ascii="Times New Roman" w:hAnsi="Times New Roman"/>
                <w:sz w:val="26"/>
                <w:szCs w:val="26"/>
              </w:rPr>
              <w:t>Latvijas Republikā reglamentētajā profesijā</w:t>
            </w:r>
            <w:r w:rsidRPr="006D4569">
              <w:rPr>
                <w:rFonts w:ascii="Times New Roman" w:hAnsi="Times New Roman"/>
                <w:iCs/>
                <w:sz w:val="26"/>
                <w:szCs w:val="26"/>
                <w:lang w:val="lv-LV" w:eastAsia="en-US"/>
              </w:rPr>
              <w:t>;</w:t>
            </w:r>
          </w:p>
          <w:p w14:paraId="5C8E1018" w14:textId="2DF25D1B" w:rsidR="005F4612" w:rsidRPr="006D4569" w:rsidRDefault="005F4612" w:rsidP="005F4612">
            <w:pPr>
              <w:pStyle w:val="ListParagraph"/>
              <w:tabs>
                <w:tab w:val="left" w:pos="220"/>
              </w:tabs>
              <w:spacing w:after="0" w:line="240" w:lineRule="auto"/>
              <w:ind w:left="0"/>
              <w:jc w:val="both"/>
              <w:rPr>
                <w:rFonts w:ascii="Times New Roman" w:hAnsi="Times New Roman"/>
                <w:sz w:val="26"/>
                <w:szCs w:val="26"/>
                <w:lang w:val="lv-LV" w:eastAsia="en-US"/>
              </w:rPr>
            </w:pPr>
            <w:r>
              <w:rPr>
                <w:rFonts w:ascii="Times New Roman" w:hAnsi="Times New Roman"/>
                <w:sz w:val="26"/>
                <w:szCs w:val="26"/>
                <w:lang w:val="lv-LV" w:eastAsia="en-US"/>
              </w:rPr>
              <w:t>3</w:t>
            </w:r>
            <w:r w:rsidRPr="006D4569">
              <w:rPr>
                <w:rFonts w:ascii="Times New Roman" w:hAnsi="Times New Roman"/>
                <w:sz w:val="26"/>
                <w:szCs w:val="26"/>
                <w:lang w:val="lv-LV" w:eastAsia="en-US"/>
              </w:rPr>
              <w:t xml:space="preserve">) institūcijām, kas izsniedz profesionālās kvalifikācijas atzīšanas apliecības reglamentētajās profesijās. </w:t>
            </w:r>
          </w:p>
          <w:p w14:paraId="384EA2C6" w14:textId="1D5112C6" w:rsidR="003460E1" w:rsidRPr="00823CB3" w:rsidRDefault="003460E1" w:rsidP="00436672">
            <w:pPr>
              <w:tabs>
                <w:tab w:val="left" w:pos="220"/>
              </w:tabs>
              <w:spacing w:after="0" w:line="240" w:lineRule="auto"/>
              <w:jc w:val="both"/>
              <w:rPr>
                <w:rFonts w:ascii="Times New Roman" w:hAnsi="Times New Roman"/>
                <w:color w:val="215868" w:themeColor="accent5" w:themeShade="80"/>
                <w:sz w:val="26"/>
                <w:szCs w:val="26"/>
                <w:lang w:eastAsia="lv-LV"/>
              </w:rPr>
            </w:pPr>
          </w:p>
        </w:tc>
      </w:tr>
      <w:tr w:rsidR="003460E1" w:rsidRPr="00823CB3" w14:paraId="199FFF5C" w14:textId="77777777" w:rsidTr="001919B5">
        <w:trPr>
          <w:trHeight w:val="510"/>
          <w:tblCellSpacing w:w="15" w:type="dxa"/>
        </w:trPr>
        <w:tc>
          <w:tcPr>
            <w:tcW w:w="212" w:type="pct"/>
            <w:gridSpan w:val="2"/>
            <w:tcBorders>
              <w:top w:val="single" w:sz="4" w:space="0" w:color="auto"/>
              <w:left w:val="single" w:sz="4" w:space="0" w:color="auto"/>
              <w:bottom w:val="single" w:sz="4" w:space="0" w:color="auto"/>
              <w:right w:val="single" w:sz="4" w:space="0" w:color="auto"/>
            </w:tcBorders>
            <w:hideMark/>
          </w:tcPr>
          <w:p w14:paraId="66FA650B"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2.</w:t>
            </w:r>
          </w:p>
        </w:tc>
        <w:tc>
          <w:tcPr>
            <w:tcW w:w="909" w:type="pct"/>
            <w:tcBorders>
              <w:top w:val="single" w:sz="4" w:space="0" w:color="auto"/>
              <w:left w:val="single" w:sz="4" w:space="0" w:color="auto"/>
              <w:bottom w:val="single" w:sz="4" w:space="0" w:color="auto"/>
              <w:right w:val="single" w:sz="4" w:space="0" w:color="auto"/>
            </w:tcBorders>
            <w:hideMark/>
          </w:tcPr>
          <w:p w14:paraId="2F0345BE" w14:textId="77777777" w:rsidR="003460E1" w:rsidRPr="00823CB3" w:rsidRDefault="003460E1" w:rsidP="00937CF5">
            <w:pPr>
              <w:spacing w:after="0" w:line="240" w:lineRule="auto"/>
              <w:rPr>
                <w:rFonts w:ascii="Times New Roman" w:hAnsi="Times New Roman"/>
                <w:sz w:val="26"/>
                <w:szCs w:val="26"/>
                <w:lang w:eastAsia="lv-LV"/>
              </w:rPr>
            </w:pPr>
            <w:r w:rsidRPr="00823CB3">
              <w:rPr>
                <w:rFonts w:ascii="Times New Roman" w:hAnsi="Times New Roman"/>
                <w:sz w:val="26"/>
                <w:szCs w:val="26"/>
                <w:lang w:eastAsia="lv-LV"/>
              </w:rPr>
              <w:t>Tiesiskā regulējuma ietekme uz tautsaimniecību un administratīvo slogu</w:t>
            </w:r>
          </w:p>
        </w:tc>
        <w:tc>
          <w:tcPr>
            <w:tcW w:w="3818" w:type="pct"/>
            <w:tcBorders>
              <w:top w:val="single" w:sz="4" w:space="0" w:color="auto"/>
              <w:left w:val="single" w:sz="4" w:space="0" w:color="auto"/>
              <w:bottom w:val="single" w:sz="4" w:space="0" w:color="auto"/>
              <w:right w:val="single" w:sz="4" w:space="0" w:color="auto"/>
            </w:tcBorders>
          </w:tcPr>
          <w:p w14:paraId="3A120980" w14:textId="77A18CA9" w:rsidR="00CB4722" w:rsidRPr="00A33851" w:rsidRDefault="002A4D5C" w:rsidP="00CB4722">
            <w:pPr>
              <w:tabs>
                <w:tab w:val="left" w:pos="7371"/>
              </w:tabs>
              <w:spacing w:after="0" w:line="240" w:lineRule="auto"/>
              <w:jc w:val="both"/>
              <w:rPr>
                <w:rFonts w:ascii="Times New Roman" w:eastAsia="Times New Roman" w:hAnsi="Times New Roman"/>
                <w:sz w:val="26"/>
                <w:szCs w:val="26"/>
                <w:lang w:eastAsia="lv-LV"/>
              </w:rPr>
            </w:pPr>
            <w:r w:rsidRPr="00A33851">
              <w:rPr>
                <w:rFonts w:ascii="Times New Roman" w:eastAsia="Times New Roman" w:hAnsi="Times New Roman"/>
                <w:sz w:val="26"/>
                <w:szCs w:val="26"/>
                <w:lang w:eastAsia="lv-LV"/>
              </w:rPr>
              <w:t>Projekta tiesiskā regulējuma finansiālā ietekme attieksies uz personām, kuras vēlas</w:t>
            </w:r>
            <w:r w:rsidR="00DC1A7E">
              <w:rPr>
                <w:rFonts w:ascii="Times New Roman" w:eastAsia="Times New Roman" w:hAnsi="Times New Roman"/>
                <w:sz w:val="26"/>
                <w:szCs w:val="26"/>
                <w:lang w:eastAsia="lv-LV"/>
              </w:rPr>
              <w:t xml:space="preserve"> saņemt EPK pastāvīgai profesionālajai darbībai vai īslaicīgu profesionālo pakalpojumu sniegšanai reglamentētajā profesijā</w:t>
            </w:r>
            <w:r w:rsidR="00E96EA6">
              <w:rPr>
                <w:rFonts w:ascii="Times New Roman" w:eastAsia="Times New Roman" w:hAnsi="Times New Roman"/>
                <w:sz w:val="26"/>
                <w:szCs w:val="26"/>
                <w:lang w:eastAsia="lv-LV"/>
              </w:rPr>
              <w:t xml:space="preserve"> Latvijas republikā vai citā dalībvalstī</w:t>
            </w:r>
            <w:r w:rsidRPr="00A33851">
              <w:rPr>
                <w:rFonts w:ascii="Times New Roman" w:eastAsia="Times New Roman" w:hAnsi="Times New Roman"/>
                <w:sz w:val="26"/>
                <w:szCs w:val="26"/>
                <w:lang w:eastAsia="lv-LV"/>
              </w:rPr>
              <w:t xml:space="preserve">. </w:t>
            </w:r>
          </w:p>
          <w:p w14:paraId="1FF1C85B" w14:textId="2F6C0262" w:rsidR="003460E1" w:rsidRPr="00A33851" w:rsidRDefault="00C672FF" w:rsidP="00C672FF">
            <w:pPr>
              <w:tabs>
                <w:tab w:val="left" w:pos="7371"/>
              </w:tabs>
              <w:spacing w:after="0" w:line="240" w:lineRule="auto"/>
              <w:jc w:val="both"/>
              <w:rPr>
                <w:rFonts w:ascii="Times New Roman" w:hAnsi="Times New Roman"/>
                <w:sz w:val="26"/>
                <w:szCs w:val="26"/>
              </w:rPr>
            </w:pPr>
            <w:r>
              <w:rPr>
                <w:rFonts w:ascii="Times New Roman" w:hAnsi="Times New Roman"/>
                <w:sz w:val="26"/>
                <w:szCs w:val="26"/>
              </w:rPr>
              <w:t>EPK pieteikumu iesniegšana un apstrāde notiks attālināti tiešsai</w:t>
            </w:r>
            <w:r w:rsidR="00AE766D">
              <w:rPr>
                <w:rFonts w:ascii="Times New Roman" w:hAnsi="Times New Roman"/>
                <w:sz w:val="26"/>
                <w:szCs w:val="26"/>
              </w:rPr>
              <w:t>s</w:t>
            </w:r>
            <w:r>
              <w:rPr>
                <w:rFonts w:ascii="Times New Roman" w:hAnsi="Times New Roman"/>
                <w:sz w:val="26"/>
                <w:szCs w:val="26"/>
              </w:rPr>
              <w:t>tē globālajā tīmeklī, līdz ar to tas varēs notikt pakalpojuma saņēmējam ērtā vietā laikā, ar minimālu administratīvo slogu un tikai atsevišķos, nepieciešamības gadījumos tiks lūgts uzrādīt dokumentu oriģinālus.</w:t>
            </w:r>
          </w:p>
        </w:tc>
      </w:tr>
      <w:tr w:rsidR="003460E1" w:rsidRPr="00823CB3" w14:paraId="3F89A8EA" w14:textId="77777777" w:rsidTr="001919B5">
        <w:trPr>
          <w:gridBefore w:val="1"/>
          <w:wBefore w:w="3" w:type="pct"/>
          <w:trHeight w:val="510"/>
          <w:tblCellSpacing w:w="15" w:type="dxa"/>
        </w:trPr>
        <w:tc>
          <w:tcPr>
            <w:tcW w:w="194" w:type="pct"/>
            <w:tcBorders>
              <w:top w:val="single" w:sz="4" w:space="0" w:color="auto"/>
              <w:left w:val="single" w:sz="4" w:space="0" w:color="auto"/>
              <w:bottom w:val="single" w:sz="4" w:space="0" w:color="auto"/>
              <w:right w:val="single" w:sz="4" w:space="0" w:color="auto"/>
            </w:tcBorders>
            <w:hideMark/>
          </w:tcPr>
          <w:p w14:paraId="2A143E05"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3.</w:t>
            </w:r>
          </w:p>
        </w:tc>
        <w:tc>
          <w:tcPr>
            <w:tcW w:w="909" w:type="pct"/>
            <w:tcBorders>
              <w:top w:val="single" w:sz="4" w:space="0" w:color="auto"/>
              <w:left w:val="single" w:sz="4" w:space="0" w:color="auto"/>
              <w:bottom w:val="single" w:sz="4" w:space="0" w:color="auto"/>
              <w:right w:val="single" w:sz="4" w:space="0" w:color="auto"/>
            </w:tcBorders>
            <w:hideMark/>
          </w:tcPr>
          <w:p w14:paraId="659C183C"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Administratīvo izmaksu monetārs novērtējums</w:t>
            </w:r>
          </w:p>
        </w:tc>
        <w:tc>
          <w:tcPr>
            <w:tcW w:w="3818" w:type="pct"/>
            <w:tcBorders>
              <w:top w:val="single" w:sz="4" w:space="0" w:color="auto"/>
              <w:left w:val="single" w:sz="4" w:space="0" w:color="auto"/>
              <w:bottom w:val="single" w:sz="4" w:space="0" w:color="auto"/>
              <w:right w:val="single" w:sz="4" w:space="0" w:color="auto"/>
            </w:tcBorders>
          </w:tcPr>
          <w:p w14:paraId="11E955B5" w14:textId="4F5419D0" w:rsidR="003460E1" w:rsidRPr="00823CB3" w:rsidRDefault="00DB59E6" w:rsidP="00F80C33">
            <w:pPr>
              <w:spacing w:after="0" w:line="240" w:lineRule="auto"/>
              <w:jc w:val="both"/>
              <w:rPr>
                <w:rFonts w:ascii="Times New Roman" w:hAnsi="Times New Roman"/>
                <w:color w:val="215868" w:themeColor="accent5" w:themeShade="80"/>
                <w:sz w:val="26"/>
                <w:szCs w:val="26"/>
                <w:lang w:eastAsia="lv-LV"/>
              </w:rPr>
            </w:pPr>
            <w:r w:rsidRPr="00EF6DB9">
              <w:rPr>
                <w:rFonts w:ascii="Times New Roman" w:hAnsi="Times New Roman"/>
                <w:sz w:val="26"/>
                <w:szCs w:val="26"/>
                <w:lang w:eastAsia="lv-LV"/>
              </w:rPr>
              <w:t>Projekts šo jomu neskar.</w:t>
            </w:r>
          </w:p>
        </w:tc>
      </w:tr>
      <w:tr w:rsidR="003460E1" w:rsidRPr="00823CB3" w14:paraId="3E65A493" w14:textId="77777777" w:rsidTr="001919B5">
        <w:trPr>
          <w:gridBefore w:val="1"/>
          <w:wBefore w:w="3" w:type="pct"/>
          <w:trHeight w:val="345"/>
          <w:tblCellSpacing w:w="15" w:type="dxa"/>
        </w:trPr>
        <w:tc>
          <w:tcPr>
            <w:tcW w:w="194" w:type="pct"/>
            <w:tcBorders>
              <w:top w:val="single" w:sz="4" w:space="0" w:color="auto"/>
              <w:left w:val="single" w:sz="4" w:space="0" w:color="auto"/>
              <w:bottom w:val="single" w:sz="4" w:space="0" w:color="auto"/>
              <w:right w:val="single" w:sz="4" w:space="0" w:color="auto"/>
            </w:tcBorders>
            <w:hideMark/>
          </w:tcPr>
          <w:p w14:paraId="1F2200A3"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4.</w:t>
            </w:r>
          </w:p>
        </w:tc>
        <w:tc>
          <w:tcPr>
            <w:tcW w:w="909" w:type="pct"/>
            <w:tcBorders>
              <w:top w:val="single" w:sz="4" w:space="0" w:color="auto"/>
              <w:left w:val="single" w:sz="4" w:space="0" w:color="auto"/>
              <w:bottom w:val="single" w:sz="4" w:space="0" w:color="auto"/>
              <w:right w:val="single" w:sz="4" w:space="0" w:color="auto"/>
            </w:tcBorders>
            <w:hideMark/>
          </w:tcPr>
          <w:p w14:paraId="767F28B4" w14:textId="77777777" w:rsidR="003460E1" w:rsidRPr="00823CB3" w:rsidRDefault="003460E1" w:rsidP="00436672">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Cita informācija</w:t>
            </w:r>
          </w:p>
        </w:tc>
        <w:tc>
          <w:tcPr>
            <w:tcW w:w="3818" w:type="pct"/>
            <w:tcBorders>
              <w:top w:val="single" w:sz="4" w:space="0" w:color="auto"/>
              <w:left w:val="single" w:sz="4" w:space="0" w:color="auto"/>
              <w:bottom w:val="single" w:sz="4" w:space="0" w:color="auto"/>
              <w:right w:val="single" w:sz="4" w:space="0" w:color="auto"/>
            </w:tcBorders>
          </w:tcPr>
          <w:p w14:paraId="16FE8CA0" w14:textId="17C0B513" w:rsidR="003460E1" w:rsidRPr="00823CB3" w:rsidRDefault="00EF6DB9" w:rsidP="00436672">
            <w:pPr>
              <w:spacing w:after="0" w:line="240" w:lineRule="auto"/>
              <w:jc w:val="both"/>
              <w:rPr>
                <w:rFonts w:ascii="Times New Roman" w:hAnsi="Times New Roman"/>
                <w:color w:val="215868" w:themeColor="accent5" w:themeShade="80"/>
                <w:sz w:val="26"/>
                <w:szCs w:val="26"/>
              </w:rPr>
            </w:pPr>
            <w:r w:rsidRPr="00EF6DB9">
              <w:rPr>
                <w:rFonts w:ascii="Times New Roman" w:hAnsi="Times New Roman"/>
                <w:sz w:val="26"/>
                <w:szCs w:val="26"/>
              </w:rPr>
              <w:t xml:space="preserve">Nav. </w:t>
            </w:r>
          </w:p>
        </w:tc>
      </w:tr>
    </w:tbl>
    <w:p w14:paraId="0CA1CF34" w14:textId="77777777" w:rsidR="003460E1" w:rsidRPr="00823CB3" w:rsidRDefault="003460E1" w:rsidP="004A505F">
      <w:pPr>
        <w:spacing w:after="0" w:line="360" w:lineRule="auto"/>
        <w:rPr>
          <w:rFonts w:ascii="Times New Roman" w:hAnsi="Times New Roman"/>
          <w:i/>
          <w:sz w:val="26"/>
          <w:szCs w:val="26"/>
        </w:rPr>
      </w:pPr>
    </w:p>
    <w:tbl>
      <w:tblPr>
        <w:tblW w:w="500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3"/>
        <w:gridCol w:w="119"/>
        <w:gridCol w:w="2747"/>
        <w:gridCol w:w="52"/>
        <w:gridCol w:w="5847"/>
        <w:gridCol w:w="166"/>
      </w:tblGrid>
      <w:tr w:rsidR="0093760D" w:rsidRPr="0007455F" w14:paraId="11511624" w14:textId="77777777" w:rsidTr="0093760D">
        <w:trPr>
          <w:trHeight w:val="42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4A38C7C" w14:textId="77777777" w:rsidR="0093760D" w:rsidRPr="0093760D" w:rsidRDefault="0093760D" w:rsidP="0093760D">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93760D">
              <w:rPr>
                <w:rFonts w:ascii="Times New Roman" w:eastAsia="Times New Roman" w:hAnsi="Times New Roman"/>
                <w:b/>
                <w:bCs/>
                <w:sz w:val="26"/>
                <w:szCs w:val="26"/>
                <w:lang w:eastAsia="lv-LV"/>
              </w:rPr>
              <w:t>IV. Tiesību akta projekta ietekme uz spēkā esošo tiesību normu sistēmu</w:t>
            </w:r>
          </w:p>
        </w:tc>
      </w:tr>
      <w:tr w:rsidR="0093760D" w:rsidRPr="0007455F" w14:paraId="54666332" w14:textId="77777777" w:rsidTr="0093760D">
        <w:trPr>
          <w:gridAfter w:val="1"/>
          <w:wAfter w:w="51" w:type="pct"/>
          <w:tblCellSpacing w:w="15" w:type="dxa"/>
          <w:jc w:val="center"/>
        </w:trPr>
        <w:tc>
          <w:tcPr>
            <w:tcW w:w="199" w:type="pct"/>
            <w:tcBorders>
              <w:top w:val="single" w:sz="4" w:space="0" w:color="auto"/>
              <w:left w:val="single" w:sz="4" w:space="0" w:color="auto"/>
              <w:bottom w:val="single" w:sz="4" w:space="0" w:color="auto"/>
              <w:right w:val="single" w:sz="4" w:space="0" w:color="auto"/>
            </w:tcBorders>
            <w:hideMark/>
          </w:tcPr>
          <w:p w14:paraId="6ECB132E" w14:textId="77777777" w:rsidR="0093760D" w:rsidRPr="0007455F" w:rsidRDefault="0093760D" w:rsidP="004420A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1.</w:t>
            </w:r>
          </w:p>
        </w:tc>
        <w:tc>
          <w:tcPr>
            <w:tcW w:w="1516" w:type="pct"/>
            <w:gridSpan w:val="2"/>
            <w:tcBorders>
              <w:top w:val="single" w:sz="4" w:space="0" w:color="auto"/>
              <w:left w:val="single" w:sz="4" w:space="0" w:color="auto"/>
              <w:bottom w:val="single" w:sz="4" w:space="0" w:color="auto"/>
              <w:right w:val="single" w:sz="4" w:space="0" w:color="auto"/>
            </w:tcBorders>
            <w:hideMark/>
          </w:tcPr>
          <w:p w14:paraId="7FABBD13" w14:textId="77777777" w:rsidR="0093760D" w:rsidRPr="0007455F" w:rsidRDefault="0093760D" w:rsidP="004420A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Nepieciešamie saistītie tiesību aktu projekti</w:t>
            </w:r>
          </w:p>
        </w:tc>
        <w:tc>
          <w:tcPr>
            <w:tcW w:w="3154" w:type="pct"/>
            <w:gridSpan w:val="2"/>
            <w:tcBorders>
              <w:top w:val="single" w:sz="4" w:space="0" w:color="auto"/>
              <w:left w:val="single" w:sz="4" w:space="0" w:color="auto"/>
              <w:bottom w:val="single" w:sz="4" w:space="0" w:color="auto"/>
              <w:right w:val="single" w:sz="4" w:space="0" w:color="auto"/>
            </w:tcBorders>
            <w:hideMark/>
          </w:tcPr>
          <w:p w14:paraId="7A817B5C" w14:textId="79F20F3F" w:rsidR="0093760D" w:rsidRPr="0093760D" w:rsidRDefault="0093760D" w:rsidP="004420A6">
            <w:pPr>
              <w:pStyle w:val="ListParagraph"/>
              <w:spacing w:after="0" w:line="240" w:lineRule="auto"/>
              <w:ind w:left="0"/>
              <w:jc w:val="both"/>
              <w:rPr>
                <w:rFonts w:ascii="Times New Roman" w:hAnsi="Times New Roman"/>
                <w:sz w:val="26"/>
                <w:szCs w:val="26"/>
                <w:lang w:val="lv-LV" w:eastAsia="lv-LV"/>
              </w:rPr>
            </w:pPr>
            <w:r w:rsidRPr="0093760D">
              <w:rPr>
                <w:rFonts w:ascii="Times New Roman" w:hAnsi="Times New Roman"/>
                <w:bCs/>
                <w:sz w:val="26"/>
                <w:szCs w:val="26"/>
              </w:rPr>
              <w:t xml:space="preserve">Grozījumi </w:t>
            </w:r>
            <w:r w:rsidRPr="0093760D">
              <w:rPr>
                <w:rFonts w:ascii="Times New Roman" w:hAnsi="Times New Roman"/>
                <w:sz w:val="26"/>
                <w:szCs w:val="26"/>
              </w:rPr>
              <w:t xml:space="preserve">Ministru kabineta 2010.gada </w:t>
            </w:r>
            <w:r w:rsidR="00092938">
              <w:rPr>
                <w:rFonts w:ascii="Times New Roman" w:hAnsi="Times New Roman"/>
                <w:sz w:val="26"/>
                <w:szCs w:val="26"/>
              </w:rPr>
              <w:t xml:space="preserve">14.septembra noteikumos Nr.848 </w:t>
            </w:r>
            <w:r w:rsidR="00092938">
              <w:rPr>
                <w:rFonts w:ascii="Times New Roman" w:hAnsi="Times New Roman"/>
                <w:sz w:val="26"/>
                <w:szCs w:val="26"/>
                <w:lang w:val="lv-LV"/>
              </w:rPr>
              <w:t>„</w:t>
            </w:r>
            <w:r w:rsidRPr="0093760D">
              <w:rPr>
                <w:rFonts w:ascii="Times New Roman" w:hAnsi="Times New Roman"/>
                <w:bCs/>
                <w:sz w:val="26"/>
                <w:szCs w:val="26"/>
              </w:rPr>
              <w:t xml:space="preserve">Noteikumi par informācijas </w:t>
            </w:r>
            <w:r w:rsidRPr="0093760D">
              <w:rPr>
                <w:rFonts w:ascii="Times New Roman" w:hAnsi="Times New Roman"/>
                <w:bCs/>
                <w:sz w:val="26"/>
                <w:szCs w:val="26"/>
              </w:rPr>
              <w:lastRenderedPageBreak/>
              <w:t>apmaiņu iekšējā tirgus informācijas sistēmas ietvaros, informācijas apmaiņā iesaistīto iestāžu atbildību un informācijas apmaiņas uzraudzību</w:t>
            </w:r>
            <w:r w:rsidRPr="0093760D">
              <w:rPr>
                <w:rFonts w:ascii="Times New Roman" w:hAnsi="Times New Roman"/>
                <w:sz w:val="26"/>
                <w:szCs w:val="26"/>
              </w:rPr>
              <w:t>”</w:t>
            </w:r>
          </w:p>
        </w:tc>
      </w:tr>
      <w:tr w:rsidR="0093760D" w:rsidRPr="0007455F" w14:paraId="4220DDFE" w14:textId="77777777" w:rsidTr="0093760D">
        <w:trPr>
          <w:gridAfter w:val="1"/>
          <w:wAfter w:w="51" w:type="pct"/>
          <w:tblCellSpacing w:w="15" w:type="dxa"/>
          <w:jc w:val="center"/>
        </w:trPr>
        <w:tc>
          <w:tcPr>
            <w:tcW w:w="199" w:type="pct"/>
            <w:tcBorders>
              <w:top w:val="single" w:sz="4" w:space="0" w:color="auto"/>
              <w:left w:val="single" w:sz="4" w:space="0" w:color="auto"/>
              <w:bottom w:val="single" w:sz="4" w:space="0" w:color="auto"/>
              <w:right w:val="single" w:sz="4" w:space="0" w:color="auto"/>
            </w:tcBorders>
            <w:hideMark/>
          </w:tcPr>
          <w:p w14:paraId="76F848DB" w14:textId="77777777" w:rsidR="0093760D" w:rsidRPr="0007455F" w:rsidRDefault="0093760D" w:rsidP="004420A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lastRenderedPageBreak/>
              <w:t>2.</w:t>
            </w:r>
          </w:p>
        </w:tc>
        <w:tc>
          <w:tcPr>
            <w:tcW w:w="1516" w:type="pct"/>
            <w:gridSpan w:val="2"/>
            <w:tcBorders>
              <w:top w:val="single" w:sz="4" w:space="0" w:color="auto"/>
              <w:left w:val="single" w:sz="4" w:space="0" w:color="auto"/>
              <w:bottom w:val="single" w:sz="4" w:space="0" w:color="auto"/>
              <w:right w:val="single" w:sz="4" w:space="0" w:color="auto"/>
            </w:tcBorders>
            <w:hideMark/>
          </w:tcPr>
          <w:p w14:paraId="2E0FF5A4" w14:textId="77777777" w:rsidR="0093760D" w:rsidRPr="0007455F" w:rsidRDefault="0093760D" w:rsidP="004420A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Atbildīgā institūcija</w:t>
            </w:r>
          </w:p>
        </w:tc>
        <w:tc>
          <w:tcPr>
            <w:tcW w:w="3154" w:type="pct"/>
            <w:gridSpan w:val="2"/>
            <w:tcBorders>
              <w:top w:val="single" w:sz="4" w:space="0" w:color="auto"/>
              <w:left w:val="single" w:sz="4" w:space="0" w:color="auto"/>
              <w:bottom w:val="single" w:sz="4" w:space="0" w:color="auto"/>
              <w:right w:val="single" w:sz="4" w:space="0" w:color="auto"/>
            </w:tcBorders>
            <w:hideMark/>
          </w:tcPr>
          <w:p w14:paraId="354F66A0" w14:textId="77777777" w:rsidR="0093760D" w:rsidRPr="0007455F" w:rsidRDefault="0093760D" w:rsidP="004420A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Izglītības un zinātnes ministrija</w:t>
            </w:r>
          </w:p>
        </w:tc>
      </w:tr>
      <w:tr w:rsidR="0093760D" w:rsidRPr="0007455F" w14:paraId="5B2AAACC" w14:textId="77777777" w:rsidTr="0093760D">
        <w:trPr>
          <w:gridAfter w:val="1"/>
          <w:wAfter w:w="51" w:type="pct"/>
          <w:tblCellSpacing w:w="15" w:type="dxa"/>
          <w:jc w:val="center"/>
        </w:trPr>
        <w:tc>
          <w:tcPr>
            <w:tcW w:w="199" w:type="pct"/>
            <w:tcBorders>
              <w:top w:val="single" w:sz="4" w:space="0" w:color="auto"/>
              <w:left w:val="single" w:sz="4" w:space="0" w:color="auto"/>
              <w:bottom w:val="single" w:sz="4" w:space="0" w:color="auto"/>
              <w:right w:val="single" w:sz="4" w:space="0" w:color="auto"/>
            </w:tcBorders>
            <w:hideMark/>
          </w:tcPr>
          <w:p w14:paraId="01F13943" w14:textId="77777777" w:rsidR="0093760D" w:rsidRPr="0007455F" w:rsidRDefault="0093760D" w:rsidP="004420A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3.</w:t>
            </w:r>
          </w:p>
        </w:tc>
        <w:tc>
          <w:tcPr>
            <w:tcW w:w="1516" w:type="pct"/>
            <w:gridSpan w:val="2"/>
            <w:tcBorders>
              <w:top w:val="single" w:sz="4" w:space="0" w:color="auto"/>
              <w:left w:val="single" w:sz="4" w:space="0" w:color="auto"/>
              <w:bottom w:val="single" w:sz="4" w:space="0" w:color="auto"/>
              <w:right w:val="single" w:sz="4" w:space="0" w:color="auto"/>
            </w:tcBorders>
            <w:hideMark/>
          </w:tcPr>
          <w:p w14:paraId="1E2E669B" w14:textId="77777777" w:rsidR="0093760D" w:rsidRPr="0007455F" w:rsidRDefault="0093760D" w:rsidP="004420A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Cita informācija</w:t>
            </w:r>
          </w:p>
        </w:tc>
        <w:tc>
          <w:tcPr>
            <w:tcW w:w="3154" w:type="pct"/>
            <w:gridSpan w:val="2"/>
            <w:tcBorders>
              <w:top w:val="single" w:sz="4" w:space="0" w:color="auto"/>
              <w:left w:val="single" w:sz="4" w:space="0" w:color="auto"/>
              <w:bottom w:val="single" w:sz="4" w:space="0" w:color="auto"/>
              <w:right w:val="single" w:sz="4" w:space="0" w:color="auto"/>
            </w:tcBorders>
            <w:hideMark/>
          </w:tcPr>
          <w:p w14:paraId="752302AD" w14:textId="77777777" w:rsidR="0093760D" w:rsidRPr="0007455F" w:rsidRDefault="0093760D" w:rsidP="004420A6">
            <w:pPr>
              <w:spacing w:after="0" w:line="240" w:lineRule="auto"/>
              <w:jc w:val="both"/>
              <w:rPr>
                <w:rFonts w:ascii="Times New Roman" w:hAnsi="Times New Roman"/>
                <w:i/>
                <w:sz w:val="26"/>
                <w:szCs w:val="26"/>
                <w:lang w:eastAsia="lv-LV"/>
              </w:rPr>
            </w:pPr>
            <w:r w:rsidRPr="0007455F">
              <w:rPr>
                <w:rFonts w:ascii="Times New Roman" w:hAnsi="Times New Roman"/>
                <w:sz w:val="26"/>
                <w:szCs w:val="26"/>
                <w:lang w:eastAsia="lv-LV"/>
              </w:rPr>
              <w:t>Nav</w:t>
            </w:r>
          </w:p>
        </w:tc>
      </w:tr>
      <w:tr w:rsidR="00812271" w:rsidRPr="00823CB3" w14:paraId="16EDB388" w14:textId="77777777" w:rsidTr="0093760D">
        <w:trPr>
          <w:trHeight w:val="42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F27DA47" w14:textId="77777777" w:rsidR="00812271" w:rsidRPr="00823CB3" w:rsidRDefault="00812271" w:rsidP="00564A6E">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t>VI. Sabiedrības līdzdalība un komunikācijas aktivitātes</w:t>
            </w:r>
          </w:p>
        </w:tc>
      </w:tr>
      <w:tr w:rsidR="00812271" w:rsidRPr="00823CB3" w14:paraId="47F69F25" w14:textId="77777777" w:rsidTr="0093760D">
        <w:trPr>
          <w:trHeight w:val="540"/>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14:paraId="380D24CD"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1.</w:t>
            </w:r>
          </w:p>
        </w:tc>
        <w:tc>
          <w:tcPr>
            <w:tcW w:w="1480" w:type="pct"/>
            <w:gridSpan w:val="2"/>
            <w:tcBorders>
              <w:top w:val="outset" w:sz="6" w:space="0" w:color="auto"/>
              <w:left w:val="outset" w:sz="6" w:space="0" w:color="auto"/>
              <w:bottom w:val="outset" w:sz="6" w:space="0" w:color="auto"/>
              <w:right w:val="outset" w:sz="6" w:space="0" w:color="auto"/>
            </w:tcBorders>
            <w:hideMark/>
          </w:tcPr>
          <w:p w14:paraId="6B498F62"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Plānotās sabiedrības līdzdalības un komunikācijas aktivitātes saistībā ar projektu</w:t>
            </w:r>
          </w:p>
        </w:tc>
        <w:tc>
          <w:tcPr>
            <w:tcW w:w="3207" w:type="pct"/>
            <w:gridSpan w:val="2"/>
            <w:tcBorders>
              <w:top w:val="outset" w:sz="6" w:space="0" w:color="auto"/>
              <w:left w:val="outset" w:sz="6" w:space="0" w:color="auto"/>
              <w:bottom w:val="outset" w:sz="6" w:space="0" w:color="auto"/>
              <w:right w:val="outset" w:sz="6" w:space="0" w:color="auto"/>
            </w:tcBorders>
            <w:hideMark/>
          </w:tcPr>
          <w:p w14:paraId="000E8450" w14:textId="6F167C1E" w:rsidR="00812271" w:rsidRPr="00823CB3" w:rsidRDefault="006A671F" w:rsidP="00D1715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Pr</w:t>
            </w:r>
            <w:r w:rsidR="005C7EFA">
              <w:rPr>
                <w:rFonts w:ascii="Times New Roman" w:eastAsia="Times New Roman" w:hAnsi="Times New Roman"/>
                <w:sz w:val="26"/>
                <w:szCs w:val="26"/>
                <w:lang w:eastAsia="lv-LV"/>
              </w:rPr>
              <w:t>ojekts</w:t>
            </w:r>
            <w:r w:rsidR="00E73ABF">
              <w:rPr>
                <w:rFonts w:ascii="Times New Roman" w:eastAsia="Times New Roman" w:hAnsi="Times New Roman"/>
                <w:sz w:val="26"/>
                <w:szCs w:val="26"/>
                <w:lang w:eastAsia="lv-LV"/>
              </w:rPr>
              <w:t xml:space="preserve"> </w:t>
            </w:r>
            <w:r w:rsidR="005E5A22">
              <w:rPr>
                <w:rFonts w:ascii="Times New Roman" w:eastAsia="Times New Roman" w:hAnsi="Times New Roman"/>
                <w:sz w:val="26"/>
                <w:szCs w:val="26"/>
                <w:lang w:eastAsia="lv-LV"/>
              </w:rPr>
              <w:t xml:space="preserve">publicēts </w:t>
            </w:r>
            <w:r w:rsidR="00577EBE">
              <w:rPr>
                <w:rFonts w:ascii="Times New Roman" w:eastAsia="Times New Roman" w:hAnsi="Times New Roman"/>
                <w:sz w:val="26"/>
                <w:szCs w:val="26"/>
                <w:lang w:eastAsia="lv-LV"/>
              </w:rPr>
              <w:t>ministrijas tīmekļa vietnē</w:t>
            </w:r>
            <w:r w:rsidR="00E73ABF">
              <w:rPr>
                <w:rFonts w:ascii="Times New Roman" w:eastAsia="Times New Roman" w:hAnsi="Times New Roman"/>
                <w:sz w:val="26"/>
                <w:szCs w:val="26"/>
                <w:lang w:eastAsia="lv-LV"/>
              </w:rPr>
              <w:t xml:space="preserve">. </w:t>
            </w:r>
            <w:r w:rsidR="005C7EFA">
              <w:rPr>
                <w:rFonts w:ascii="Times New Roman" w:eastAsia="Times New Roman" w:hAnsi="Times New Roman"/>
                <w:sz w:val="26"/>
                <w:szCs w:val="26"/>
                <w:lang w:eastAsia="lv-LV"/>
              </w:rPr>
              <w:t>Pēc pieņemšanas maksas apmērs par EPK izdošanu tiks publiskots IMI sistēmā EPK izdošanas vietnē kā Latvijas nosacījums, kā arī vienotā kontaktpunkta informatīvajā vietnē www.Latvija.lv</w:t>
            </w:r>
            <w:r w:rsidR="00C867AF">
              <w:rPr>
                <w:rFonts w:ascii="Times New Roman" w:eastAsia="Times New Roman" w:hAnsi="Times New Roman"/>
                <w:sz w:val="26"/>
                <w:szCs w:val="26"/>
                <w:lang w:eastAsia="lv-LV"/>
              </w:rPr>
              <w:t>.</w:t>
            </w:r>
          </w:p>
        </w:tc>
      </w:tr>
      <w:tr w:rsidR="00812271" w:rsidRPr="00823CB3" w14:paraId="6BF6DEE4" w14:textId="77777777" w:rsidTr="0093760D">
        <w:trPr>
          <w:trHeight w:val="330"/>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14:paraId="5B441D1E"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2.</w:t>
            </w:r>
          </w:p>
        </w:tc>
        <w:tc>
          <w:tcPr>
            <w:tcW w:w="1480" w:type="pct"/>
            <w:gridSpan w:val="2"/>
            <w:tcBorders>
              <w:top w:val="outset" w:sz="6" w:space="0" w:color="auto"/>
              <w:left w:val="outset" w:sz="6" w:space="0" w:color="auto"/>
              <w:bottom w:val="outset" w:sz="6" w:space="0" w:color="auto"/>
              <w:right w:val="outset" w:sz="6" w:space="0" w:color="auto"/>
            </w:tcBorders>
            <w:hideMark/>
          </w:tcPr>
          <w:p w14:paraId="5F1DE4BC"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Sabiedrības līdzdalība projekta izstrādē</w:t>
            </w:r>
          </w:p>
        </w:tc>
        <w:tc>
          <w:tcPr>
            <w:tcW w:w="3207" w:type="pct"/>
            <w:gridSpan w:val="2"/>
            <w:tcBorders>
              <w:top w:val="outset" w:sz="6" w:space="0" w:color="auto"/>
              <w:left w:val="outset" w:sz="6" w:space="0" w:color="auto"/>
              <w:bottom w:val="outset" w:sz="6" w:space="0" w:color="auto"/>
              <w:right w:val="outset" w:sz="6" w:space="0" w:color="auto"/>
            </w:tcBorders>
            <w:hideMark/>
          </w:tcPr>
          <w:p w14:paraId="18DCDC29" w14:textId="0B9E270F" w:rsidR="00812271" w:rsidRPr="00823CB3" w:rsidRDefault="00577EBE" w:rsidP="00AE766D">
            <w:pPr>
              <w:spacing w:after="0" w:line="240" w:lineRule="auto"/>
              <w:rPr>
                <w:rFonts w:ascii="Times New Roman" w:eastAsia="Times New Roman" w:hAnsi="Times New Roman"/>
                <w:sz w:val="26"/>
                <w:szCs w:val="26"/>
                <w:lang w:eastAsia="lv-LV"/>
              </w:rPr>
            </w:pPr>
            <w:r>
              <w:rPr>
                <w:rFonts w:ascii="Times New Roman" w:hAnsi="Times New Roman"/>
                <w:sz w:val="26"/>
                <w:szCs w:val="26"/>
              </w:rPr>
              <w:t xml:space="preserve">Projekta izstrādes laikā notikušas konsultācijas ar </w:t>
            </w:r>
            <w:r w:rsidR="00D17159">
              <w:rPr>
                <w:rFonts w:ascii="Times New Roman" w:hAnsi="Times New Roman"/>
                <w:sz w:val="26"/>
                <w:szCs w:val="26"/>
              </w:rPr>
              <w:t>institūcijām, kas būs iesaistītas EPK izdošanā, t.i.</w:t>
            </w:r>
            <w:r w:rsidR="00F73731">
              <w:rPr>
                <w:rFonts w:ascii="Times New Roman" w:hAnsi="Times New Roman"/>
                <w:sz w:val="26"/>
                <w:szCs w:val="26"/>
              </w:rPr>
              <w:t>,</w:t>
            </w:r>
            <w:r w:rsidR="00D17159">
              <w:rPr>
                <w:rFonts w:ascii="Times New Roman" w:hAnsi="Times New Roman"/>
                <w:sz w:val="26"/>
                <w:szCs w:val="26"/>
              </w:rPr>
              <w:t xml:space="preserve"> </w:t>
            </w:r>
            <w:r w:rsidR="00AE766D">
              <w:rPr>
                <w:rFonts w:ascii="Times New Roman" w:hAnsi="Times New Roman"/>
                <w:sz w:val="26"/>
                <w:szCs w:val="26"/>
              </w:rPr>
              <w:t>AIC</w:t>
            </w:r>
            <w:r w:rsidR="00D17159">
              <w:rPr>
                <w:rFonts w:ascii="Times New Roman" w:hAnsi="Times New Roman"/>
                <w:sz w:val="26"/>
                <w:szCs w:val="26"/>
              </w:rPr>
              <w:t xml:space="preserve">, </w:t>
            </w:r>
            <w:r w:rsidR="00D17159">
              <w:rPr>
                <w:rFonts w:ascii="Times New Roman" w:eastAsia="Times New Roman" w:hAnsi="Times New Roman"/>
                <w:bCs/>
                <w:sz w:val="26"/>
                <w:szCs w:val="26"/>
                <w:lang w:eastAsia="lv-LV"/>
              </w:rPr>
              <w:t>Veselības inspekcij</w:t>
            </w:r>
            <w:r w:rsidR="00F73731">
              <w:rPr>
                <w:rFonts w:ascii="Times New Roman" w:eastAsia="Times New Roman" w:hAnsi="Times New Roman"/>
                <w:bCs/>
                <w:sz w:val="26"/>
                <w:szCs w:val="26"/>
                <w:lang w:eastAsia="lv-LV"/>
              </w:rPr>
              <w:t>u</w:t>
            </w:r>
            <w:r w:rsidR="00D17159">
              <w:rPr>
                <w:rFonts w:ascii="Times New Roman" w:eastAsia="Times New Roman" w:hAnsi="Times New Roman"/>
                <w:bCs/>
                <w:sz w:val="26"/>
                <w:szCs w:val="26"/>
                <w:lang w:eastAsia="lv-LV"/>
              </w:rPr>
              <w:t>, Latvijas Ārstniecības personu profesionālo organizāciju savien</w:t>
            </w:r>
            <w:r w:rsidR="00F73731">
              <w:rPr>
                <w:rFonts w:ascii="Times New Roman" w:eastAsia="Times New Roman" w:hAnsi="Times New Roman"/>
                <w:bCs/>
                <w:sz w:val="26"/>
                <w:szCs w:val="26"/>
                <w:lang w:eastAsia="lv-LV"/>
              </w:rPr>
              <w:t>ību</w:t>
            </w:r>
            <w:r w:rsidR="00D17159">
              <w:rPr>
                <w:rFonts w:ascii="Times New Roman" w:eastAsia="Times New Roman" w:hAnsi="Times New Roman"/>
                <w:bCs/>
                <w:sz w:val="26"/>
                <w:szCs w:val="26"/>
                <w:lang w:eastAsia="lv-LV"/>
              </w:rPr>
              <w:t>, Latvijas Farmaceitu biedrīb</w:t>
            </w:r>
            <w:r w:rsidR="00F73731">
              <w:rPr>
                <w:rFonts w:ascii="Times New Roman" w:eastAsia="Times New Roman" w:hAnsi="Times New Roman"/>
                <w:bCs/>
                <w:sz w:val="26"/>
                <w:szCs w:val="26"/>
                <w:lang w:eastAsia="lv-LV"/>
              </w:rPr>
              <w:t>u</w:t>
            </w:r>
            <w:r>
              <w:rPr>
                <w:rFonts w:ascii="Times New Roman" w:hAnsi="Times New Roman"/>
                <w:sz w:val="26"/>
                <w:szCs w:val="26"/>
              </w:rPr>
              <w:t>.</w:t>
            </w:r>
          </w:p>
        </w:tc>
      </w:tr>
      <w:tr w:rsidR="00812271" w:rsidRPr="00823CB3" w14:paraId="5B9989C0" w14:textId="77777777" w:rsidTr="0093760D">
        <w:trPr>
          <w:trHeight w:val="465"/>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14:paraId="78D1D466"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3.</w:t>
            </w:r>
          </w:p>
        </w:tc>
        <w:tc>
          <w:tcPr>
            <w:tcW w:w="1480" w:type="pct"/>
            <w:gridSpan w:val="2"/>
            <w:tcBorders>
              <w:top w:val="outset" w:sz="6" w:space="0" w:color="auto"/>
              <w:left w:val="outset" w:sz="6" w:space="0" w:color="auto"/>
              <w:bottom w:val="outset" w:sz="6" w:space="0" w:color="auto"/>
              <w:right w:val="outset" w:sz="6" w:space="0" w:color="auto"/>
            </w:tcBorders>
            <w:hideMark/>
          </w:tcPr>
          <w:p w14:paraId="24CE4BC3"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Sabiedrības līdzdalības rezultāti</w:t>
            </w:r>
          </w:p>
        </w:tc>
        <w:tc>
          <w:tcPr>
            <w:tcW w:w="3207" w:type="pct"/>
            <w:gridSpan w:val="2"/>
            <w:tcBorders>
              <w:top w:val="outset" w:sz="6" w:space="0" w:color="auto"/>
              <w:left w:val="outset" w:sz="6" w:space="0" w:color="auto"/>
              <w:bottom w:val="outset" w:sz="6" w:space="0" w:color="auto"/>
              <w:right w:val="outset" w:sz="6" w:space="0" w:color="auto"/>
            </w:tcBorders>
            <w:hideMark/>
          </w:tcPr>
          <w:p w14:paraId="193D3150" w14:textId="4D4D2112" w:rsidR="00812271" w:rsidRPr="00823CB3" w:rsidRDefault="00AE766D" w:rsidP="00564A6E">
            <w:pPr>
              <w:spacing w:after="0" w:line="240" w:lineRule="auto"/>
              <w:rPr>
                <w:rFonts w:ascii="Times New Roman" w:eastAsia="Times New Roman" w:hAnsi="Times New Roman"/>
                <w:sz w:val="26"/>
                <w:szCs w:val="26"/>
                <w:lang w:eastAsia="lv-LV"/>
              </w:rPr>
            </w:pPr>
            <w:r>
              <w:rPr>
                <w:rFonts w:ascii="Times New Roman" w:hAnsi="Times New Roman"/>
                <w:sz w:val="26"/>
                <w:szCs w:val="26"/>
              </w:rPr>
              <w:t>AIC</w:t>
            </w:r>
            <w:r w:rsidR="00F73731">
              <w:rPr>
                <w:rFonts w:ascii="Times New Roman" w:hAnsi="Times New Roman"/>
                <w:sz w:val="26"/>
                <w:szCs w:val="26"/>
              </w:rPr>
              <w:t xml:space="preserve">, </w:t>
            </w:r>
            <w:r w:rsidR="00F73731">
              <w:rPr>
                <w:rFonts w:ascii="Times New Roman" w:eastAsia="Times New Roman" w:hAnsi="Times New Roman"/>
                <w:bCs/>
                <w:sz w:val="26"/>
                <w:szCs w:val="26"/>
                <w:lang w:eastAsia="lv-LV"/>
              </w:rPr>
              <w:t>Veselības inspekcijas, Latvijas Ārstniecības personu profesionālo organizāciju savienības, Latvijas Farmaceitu biedrības</w:t>
            </w:r>
            <w:r w:rsidR="004B72F1">
              <w:rPr>
                <w:rFonts w:ascii="Times New Roman" w:hAnsi="Times New Roman"/>
                <w:sz w:val="26"/>
                <w:szCs w:val="26"/>
              </w:rPr>
              <w:t xml:space="preserve"> sniegtā informācija ir ņemta vērā, izstrādājot projektu.</w:t>
            </w:r>
          </w:p>
        </w:tc>
      </w:tr>
      <w:tr w:rsidR="00812271" w:rsidRPr="00823CB3" w14:paraId="48CF7382" w14:textId="77777777" w:rsidTr="0093760D">
        <w:trPr>
          <w:trHeight w:val="465"/>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14:paraId="2C4673BA"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4.</w:t>
            </w:r>
          </w:p>
        </w:tc>
        <w:tc>
          <w:tcPr>
            <w:tcW w:w="1480" w:type="pct"/>
            <w:gridSpan w:val="2"/>
            <w:tcBorders>
              <w:top w:val="outset" w:sz="6" w:space="0" w:color="auto"/>
              <w:left w:val="outset" w:sz="6" w:space="0" w:color="auto"/>
              <w:bottom w:val="outset" w:sz="6" w:space="0" w:color="auto"/>
              <w:right w:val="outset" w:sz="6" w:space="0" w:color="auto"/>
            </w:tcBorders>
            <w:hideMark/>
          </w:tcPr>
          <w:p w14:paraId="25D26C68" w14:textId="77777777" w:rsidR="00812271" w:rsidRPr="00823CB3" w:rsidRDefault="00812271" w:rsidP="00564A6E">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3207" w:type="pct"/>
            <w:gridSpan w:val="2"/>
            <w:tcBorders>
              <w:top w:val="outset" w:sz="6" w:space="0" w:color="auto"/>
              <w:left w:val="outset" w:sz="6" w:space="0" w:color="auto"/>
              <w:bottom w:val="outset" w:sz="6" w:space="0" w:color="auto"/>
              <w:right w:val="outset" w:sz="6" w:space="0" w:color="auto"/>
            </w:tcBorders>
            <w:hideMark/>
          </w:tcPr>
          <w:p w14:paraId="14959059" w14:textId="77777777" w:rsidR="00812271" w:rsidRPr="00823CB3" w:rsidRDefault="00812271" w:rsidP="00564A6E">
            <w:pPr>
              <w:spacing w:before="100" w:beforeAutospacing="1" w:after="100" w:afterAutospacing="1" w:line="36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Nav.</w:t>
            </w:r>
          </w:p>
        </w:tc>
      </w:tr>
    </w:tbl>
    <w:p w14:paraId="0A64254E" w14:textId="77777777" w:rsidR="004A505F" w:rsidRPr="00823CB3" w:rsidRDefault="004A505F" w:rsidP="004A505F">
      <w:pPr>
        <w:spacing w:after="0" w:line="360" w:lineRule="auto"/>
        <w:jc w:val="both"/>
        <w:rPr>
          <w:rFonts w:ascii="Times New Roman" w:eastAsia="Times New Roman" w:hAnsi="Times New Roman"/>
          <w:sz w:val="26"/>
          <w:szCs w:val="2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4"/>
        <w:gridCol w:w="5300"/>
      </w:tblGrid>
      <w:tr w:rsidR="00812271" w:rsidRPr="00823CB3" w14:paraId="65402A31" w14:textId="77777777"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B8C3E6" w14:textId="77777777" w:rsidR="00C96AD3" w:rsidRPr="00823CB3" w:rsidRDefault="00C96AD3" w:rsidP="00C96AD3">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t>VII. Tiesību akta projekta izpildes nodrošināšana un tās ietekme uz institūcijām</w:t>
            </w:r>
          </w:p>
        </w:tc>
      </w:tr>
      <w:tr w:rsidR="00812271" w:rsidRPr="00823CB3" w14:paraId="702A1D02" w14:textId="77777777"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99F7942"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25FBC28D"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46637270" w14:textId="22FA9957" w:rsidR="00C96AD3" w:rsidRPr="00823CB3" w:rsidRDefault="00AE766D" w:rsidP="00930796">
            <w:pPr>
              <w:spacing w:after="0" w:line="240" w:lineRule="auto"/>
              <w:rPr>
                <w:rFonts w:ascii="Times New Roman" w:eastAsia="Times New Roman" w:hAnsi="Times New Roman"/>
                <w:sz w:val="26"/>
                <w:szCs w:val="26"/>
                <w:lang w:eastAsia="lv-LV"/>
              </w:rPr>
            </w:pPr>
            <w:r>
              <w:rPr>
                <w:rFonts w:ascii="Times New Roman" w:hAnsi="Times New Roman"/>
                <w:sz w:val="26"/>
                <w:szCs w:val="26"/>
              </w:rPr>
              <w:t>AIC</w:t>
            </w:r>
            <w:r w:rsidR="00581C3C">
              <w:rPr>
                <w:rFonts w:ascii="Times New Roman" w:hAnsi="Times New Roman"/>
                <w:sz w:val="26"/>
                <w:szCs w:val="26"/>
              </w:rPr>
              <w:t xml:space="preserve">, </w:t>
            </w:r>
            <w:r w:rsidR="00581C3C">
              <w:rPr>
                <w:rFonts w:ascii="Times New Roman" w:eastAsia="Times New Roman" w:hAnsi="Times New Roman"/>
                <w:bCs/>
                <w:sz w:val="26"/>
                <w:szCs w:val="26"/>
                <w:lang w:eastAsia="lv-LV"/>
              </w:rPr>
              <w:t>Veselības inspekcija, Latvijas Ārstniecības personu profesionālo organizāciju savienība, Latvijas Farmaceitu biedrība</w:t>
            </w:r>
          </w:p>
        </w:tc>
      </w:tr>
      <w:tr w:rsidR="00812271" w:rsidRPr="00823CB3" w14:paraId="28D8C2E0" w14:textId="77777777"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AA7CC44"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32540DF8" w14:textId="77777777" w:rsidR="00C96AD3" w:rsidRPr="00823CB3" w:rsidRDefault="00C96AD3" w:rsidP="00C96AD3">
            <w:pPr>
              <w:spacing w:after="0" w:line="240" w:lineRule="auto"/>
              <w:jc w:val="both"/>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5DA89E96" w14:textId="77777777" w:rsidR="00C96AD3" w:rsidRPr="00823CB3" w:rsidRDefault="008D3E7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w:t>
            </w:r>
            <w:r w:rsidR="00C96AD3" w:rsidRPr="00823CB3">
              <w:rPr>
                <w:rFonts w:ascii="Times New Roman" w:hAnsi="Times New Roman"/>
                <w:sz w:val="26"/>
                <w:szCs w:val="26"/>
              </w:rPr>
              <w:t>rojekts šo jomu neskar.</w:t>
            </w:r>
          </w:p>
        </w:tc>
      </w:tr>
      <w:tr w:rsidR="00812271" w:rsidRPr="00823CB3" w14:paraId="0CFC8929" w14:textId="77777777"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EB8D1CF"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3355C226"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7C05FE5F" w14:textId="77777777" w:rsidR="00C96AD3" w:rsidRPr="00823CB3" w:rsidRDefault="00C96AD3" w:rsidP="00C96AD3">
            <w:pPr>
              <w:spacing w:before="100" w:beforeAutospacing="1" w:after="100" w:afterAutospacing="1" w:line="36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Nav.</w:t>
            </w:r>
          </w:p>
        </w:tc>
      </w:tr>
    </w:tbl>
    <w:p w14:paraId="0EC3D8E3" w14:textId="77777777" w:rsidR="004A505F" w:rsidRPr="00823CB3" w:rsidRDefault="004A505F" w:rsidP="005C42B1">
      <w:pPr>
        <w:spacing w:after="0" w:line="240" w:lineRule="auto"/>
        <w:rPr>
          <w:rFonts w:ascii="Times New Roman" w:eastAsia="Times New Roman" w:hAnsi="Times New Roman"/>
          <w:sz w:val="26"/>
          <w:szCs w:val="26"/>
          <w:lang w:eastAsia="lv-LV"/>
        </w:rPr>
      </w:pPr>
    </w:p>
    <w:p w14:paraId="19CBBC07" w14:textId="18F610BC" w:rsidR="007C5781" w:rsidRPr="00823CB3" w:rsidRDefault="0093760D" w:rsidP="005C42B1">
      <w:pPr>
        <w:autoSpaceDE w:val="0"/>
        <w:autoSpaceDN w:val="0"/>
        <w:adjustRightInd w:val="0"/>
        <w:spacing w:after="0" w:line="240" w:lineRule="auto"/>
        <w:rPr>
          <w:rFonts w:ascii="Times New Roman" w:hAnsi="Times New Roman"/>
          <w:sz w:val="26"/>
          <w:szCs w:val="26"/>
        </w:rPr>
      </w:pPr>
      <w:r>
        <w:rPr>
          <w:rFonts w:ascii="Times New Roman" w:hAnsi="Times New Roman"/>
          <w:i/>
          <w:sz w:val="26"/>
          <w:szCs w:val="26"/>
        </w:rPr>
        <w:t>Anotācijas III,</w:t>
      </w:r>
      <w:r w:rsidR="00812271" w:rsidRPr="00823CB3">
        <w:rPr>
          <w:rFonts w:ascii="Times New Roman" w:hAnsi="Times New Roman"/>
          <w:i/>
          <w:sz w:val="26"/>
          <w:szCs w:val="26"/>
        </w:rPr>
        <w:t xml:space="preserve"> V sadaļa - </w:t>
      </w:r>
      <w:r w:rsidR="00BB24B4" w:rsidRPr="00823CB3">
        <w:rPr>
          <w:rFonts w:ascii="Times New Roman" w:eastAsia="Times New Roman" w:hAnsi="Times New Roman"/>
          <w:i/>
          <w:sz w:val="26"/>
          <w:szCs w:val="26"/>
          <w:lang w:eastAsia="lv-LV"/>
        </w:rPr>
        <w:t xml:space="preserve">noteikumu </w:t>
      </w:r>
      <w:r w:rsidR="00812271" w:rsidRPr="00823CB3">
        <w:rPr>
          <w:rFonts w:ascii="Times New Roman" w:eastAsia="Times New Roman" w:hAnsi="Times New Roman"/>
          <w:i/>
          <w:sz w:val="26"/>
          <w:szCs w:val="26"/>
          <w:lang w:eastAsia="lv-LV"/>
        </w:rPr>
        <w:t>projekts šīs jomas neskar</w:t>
      </w:r>
      <w:r w:rsidR="00812271" w:rsidRPr="00823CB3">
        <w:rPr>
          <w:rFonts w:ascii="Times New Roman" w:eastAsia="Times New Roman" w:hAnsi="Times New Roman"/>
          <w:sz w:val="26"/>
          <w:szCs w:val="26"/>
          <w:lang w:eastAsia="lv-LV"/>
        </w:rPr>
        <w:t>.</w:t>
      </w:r>
    </w:p>
    <w:p w14:paraId="699185B8" w14:textId="77777777" w:rsidR="004A505F" w:rsidRPr="00823CB3" w:rsidRDefault="004A505F" w:rsidP="005C42B1">
      <w:pPr>
        <w:autoSpaceDE w:val="0"/>
        <w:autoSpaceDN w:val="0"/>
        <w:adjustRightInd w:val="0"/>
        <w:spacing w:after="0" w:line="240" w:lineRule="auto"/>
        <w:rPr>
          <w:rFonts w:ascii="Times New Roman" w:hAnsi="Times New Roman"/>
          <w:sz w:val="26"/>
          <w:szCs w:val="26"/>
        </w:rPr>
      </w:pPr>
    </w:p>
    <w:p w14:paraId="21D7ACC2" w14:textId="77777777" w:rsidR="004A505F" w:rsidRPr="00823CB3" w:rsidRDefault="004A505F" w:rsidP="005C42B1">
      <w:pPr>
        <w:autoSpaceDE w:val="0"/>
        <w:autoSpaceDN w:val="0"/>
        <w:adjustRightInd w:val="0"/>
        <w:spacing w:after="0" w:line="240" w:lineRule="auto"/>
        <w:rPr>
          <w:rFonts w:ascii="Times New Roman" w:hAnsi="Times New Roman"/>
          <w:sz w:val="26"/>
          <w:szCs w:val="26"/>
        </w:rPr>
      </w:pPr>
    </w:p>
    <w:p w14:paraId="79224C61" w14:textId="7CE1BEEF" w:rsidR="00F31126" w:rsidRPr="00823CB3" w:rsidRDefault="00A76C0A" w:rsidP="004A11C2">
      <w:pPr>
        <w:spacing w:after="0" w:line="240" w:lineRule="auto"/>
        <w:ind w:firstLine="720"/>
        <w:jc w:val="both"/>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I</w:t>
      </w:r>
      <w:r w:rsidR="00F31126" w:rsidRPr="00823CB3">
        <w:rPr>
          <w:rFonts w:ascii="Times New Roman" w:eastAsia="Times New Roman" w:hAnsi="Times New Roman"/>
          <w:sz w:val="26"/>
          <w:szCs w:val="26"/>
          <w:lang w:eastAsia="lv-LV"/>
        </w:rPr>
        <w:t>zglītības un zinātne</w:t>
      </w:r>
      <w:r w:rsidR="0076612A">
        <w:rPr>
          <w:rFonts w:ascii="Times New Roman" w:eastAsia="Times New Roman" w:hAnsi="Times New Roman"/>
          <w:sz w:val="26"/>
          <w:szCs w:val="26"/>
          <w:lang w:eastAsia="lv-LV"/>
        </w:rPr>
        <w:t>s ministrs</w:t>
      </w:r>
      <w:r w:rsidRPr="00823CB3">
        <w:rPr>
          <w:rFonts w:ascii="Times New Roman" w:eastAsia="Times New Roman" w:hAnsi="Times New Roman"/>
          <w:sz w:val="26"/>
          <w:szCs w:val="26"/>
          <w:lang w:eastAsia="lv-LV"/>
        </w:rPr>
        <w:tab/>
      </w:r>
      <w:r w:rsidRPr="00823CB3">
        <w:rPr>
          <w:rFonts w:ascii="Times New Roman" w:eastAsia="Times New Roman" w:hAnsi="Times New Roman"/>
          <w:sz w:val="26"/>
          <w:szCs w:val="26"/>
          <w:lang w:eastAsia="lv-LV"/>
        </w:rPr>
        <w:tab/>
      </w:r>
      <w:r w:rsidR="00F31126" w:rsidRPr="00823CB3">
        <w:rPr>
          <w:rFonts w:ascii="Times New Roman" w:eastAsia="Times New Roman" w:hAnsi="Times New Roman"/>
          <w:sz w:val="26"/>
          <w:szCs w:val="26"/>
          <w:lang w:eastAsia="lv-LV"/>
        </w:rPr>
        <w:t xml:space="preserve"> </w:t>
      </w:r>
      <w:r w:rsidR="00F31126" w:rsidRPr="00823CB3">
        <w:rPr>
          <w:rFonts w:ascii="Times New Roman" w:eastAsia="Times New Roman" w:hAnsi="Times New Roman"/>
          <w:sz w:val="26"/>
          <w:szCs w:val="26"/>
          <w:lang w:eastAsia="lv-LV"/>
        </w:rPr>
        <w:tab/>
      </w:r>
      <w:r w:rsidR="00F31126" w:rsidRPr="00823CB3">
        <w:rPr>
          <w:rFonts w:ascii="Times New Roman" w:eastAsia="Times New Roman" w:hAnsi="Times New Roman"/>
          <w:sz w:val="26"/>
          <w:szCs w:val="26"/>
          <w:lang w:eastAsia="lv-LV"/>
        </w:rPr>
        <w:tab/>
        <w:t xml:space="preserve">    </w:t>
      </w:r>
      <w:r w:rsidR="0076612A">
        <w:rPr>
          <w:rFonts w:ascii="Times New Roman" w:eastAsia="Times New Roman" w:hAnsi="Times New Roman"/>
          <w:sz w:val="26"/>
          <w:szCs w:val="26"/>
          <w:lang w:eastAsia="lv-LV"/>
        </w:rPr>
        <w:t>Kārlis Šadurskis</w:t>
      </w:r>
    </w:p>
    <w:p w14:paraId="33D916E8" w14:textId="77777777" w:rsidR="00F31126" w:rsidRPr="00823CB3" w:rsidRDefault="00F31126" w:rsidP="00F31126">
      <w:pPr>
        <w:spacing w:after="0" w:line="240" w:lineRule="auto"/>
        <w:ind w:firstLine="720"/>
        <w:jc w:val="both"/>
        <w:rPr>
          <w:rFonts w:ascii="Times New Roman" w:eastAsia="Times New Roman" w:hAnsi="Times New Roman"/>
          <w:sz w:val="26"/>
          <w:szCs w:val="26"/>
          <w:lang w:eastAsia="lv-LV"/>
        </w:rPr>
      </w:pPr>
    </w:p>
    <w:p w14:paraId="4EB571A5" w14:textId="77777777" w:rsidR="00322FF1" w:rsidRPr="00823CB3" w:rsidRDefault="00322FF1" w:rsidP="00012B57">
      <w:pPr>
        <w:spacing w:after="0" w:line="240" w:lineRule="auto"/>
        <w:jc w:val="both"/>
        <w:rPr>
          <w:rFonts w:ascii="Times New Roman" w:eastAsia="Times New Roman" w:hAnsi="Times New Roman"/>
          <w:sz w:val="26"/>
          <w:szCs w:val="26"/>
          <w:lang w:eastAsia="lv-LV"/>
        </w:rPr>
      </w:pPr>
    </w:p>
    <w:p w14:paraId="6A0B4BB1" w14:textId="77777777" w:rsidR="004A505F" w:rsidRPr="00823CB3" w:rsidRDefault="004A505F" w:rsidP="00012B57">
      <w:pPr>
        <w:spacing w:after="0" w:line="240" w:lineRule="auto"/>
        <w:jc w:val="both"/>
        <w:rPr>
          <w:rFonts w:ascii="Times New Roman" w:eastAsia="Times New Roman" w:hAnsi="Times New Roman"/>
          <w:sz w:val="26"/>
          <w:szCs w:val="26"/>
          <w:lang w:eastAsia="lv-LV"/>
        </w:rPr>
      </w:pPr>
    </w:p>
    <w:p w14:paraId="21D59E03" w14:textId="77777777" w:rsidR="00A76C0A" w:rsidRPr="00823CB3" w:rsidRDefault="00A76C0A" w:rsidP="004A11C2">
      <w:pPr>
        <w:spacing w:after="0" w:line="240" w:lineRule="auto"/>
        <w:ind w:firstLine="720"/>
        <w:jc w:val="both"/>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Vizē:</w:t>
      </w:r>
    </w:p>
    <w:p w14:paraId="4FC60801" w14:textId="31B60BEA" w:rsidR="00012B57" w:rsidRPr="00823CB3" w:rsidRDefault="006C5F23" w:rsidP="004A11C2">
      <w:pPr>
        <w:spacing w:after="0" w:line="240" w:lineRule="auto"/>
        <w:ind w:firstLine="720"/>
        <w:jc w:val="both"/>
        <w:rPr>
          <w:rFonts w:ascii="Times New Roman" w:eastAsia="Times New Roman" w:hAnsi="Times New Roman"/>
          <w:sz w:val="26"/>
          <w:szCs w:val="26"/>
          <w:lang w:eastAsia="lv-LV"/>
        </w:rPr>
      </w:pPr>
      <w:r w:rsidRPr="00823CB3">
        <w:rPr>
          <w:rFonts w:ascii="Times New Roman" w:eastAsia="Times New Roman" w:hAnsi="Times New Roman"/>
          <w:bCs/>
          <w:kern w:val="32"/>
          <w:sz w:val="26"/>
          <w:szCs w:val="26"/>
          <w:lang w:eastAsia="lv-LV"/>
        </w:rPr>
        <w:t>Valsts sekretāre</w:t>
      </w:r>
      <w:r w:rsidRPr="00823CB3">
        <w:rPr>
          <w:rFonts w:ascii="Times New Roman" w:eastAsia="Times New Roman" w:hAnsi="Times New Roman"/>
          <w:bCs/>
          <w:kern w:val="32"/>
          <w:sz w:val="26"/>
          <w:szCs w:val="26"/>
          <w:lang w:eastAsia="lv-LV"/>
        </w:rPr>
        <w:tab/>
      </w:r>
      <w:r w:rsidRPr="00823CB3">
        <w:rPr>
          <w:rFonts w:ascii="Times New Roman" w:eastAsia="Times New Roman" w:hAnsi="Times New Roman"/>
          <w:bCs/>
          <w:kern w:val="32"/>
          <w:sz w:val="26"/>
          <w:szCs w:val="26"/>
          <w:lang w:eastAsia="lv-LV"/>
        </w:rPr>
        <w:tab/>
      </w:r>
      <w:r w:rsidRPr="00823CB3">
        <w:rPr>
          <w:rFonts w:ascii="Times New Roman" w:eastAsia="Times New Roman" w:hAnsi="Times New Roman"/>
          <w:bCs/>
          <w:kern w:val="32"/>
          <w:sz w:val="26"/>
          <w:szCs w:val="26"/>
          <w:lang w:eastAsia="lv-LV"/>
        </w:rPr>
        <w:tab/>
      </w:r>
      <w:r w:rsidRPr="00823CB3">
        <w:rPr>
          <w:rFonts w:ascii="Times New Roman" w:eastAsia="Times New Roman" w:hAnsi="Times New Roman"/>
          <w:bCs/>
          <w:kern w:val="32"/>
          <w:sz w:val="26"/>
          <w:szCs w:val="26"/>
          <w:lang w:eastAsia="lv-LV"/>
        </w:rPr>
        <w:tab/>
      </w:r>
      <w:r w:rsidRPr="00823CB3">
        <w:rPr>
          <w:rFonts w:ascii="Times New Roman" w:eastAsia="Times New Roman" w:hAnsi="Times New Roman"/>
          <w:bCs/>
          <w:kern w:val="32"/>
          <w:sz w:val="26"/>
          <w:szCs w:val="26"/>
          <w:lang w:eastAsia="lv-LV"/>
        </w:rPr>
        <w:tab/>
      </w:r>
      <w:r w:rsidRPr="00823CB3">
        <w:rPr>
          <w:rFonts w:ascii="Times New Roman" w:eastAsia="Times New Roman" w:hAnsi="Times New Roman"/>
          <w:bCs/>
          <w:kern w:val="32"/>
          <w:sz w:val="26"/>
          <w:szCs w:val="26"/>
          <w:lang w:eastAsia="lv-LV"/>
        </w:rPr>
        <w:tab/>
      </w:r>
      <w:r w:rsidR="004A11C2">
        <w:rPr>
          <w:rFonts w:ascii="Times New Roman" w:eastAsia="Times New Roman" w:hAnsi="Times New Roman"/>
          <w:bCs/>
          <w:kern w:val="32"/>
          <w:sz w:val="26"/>
          <w:szCs w:val="26"/>
          <w:lang w:eastAsia="lv-LV"/>
        </w:rPr>
        <w:t xml:space="preserve">     </w:t>
      </w:r>
      <w:r w:rsidRPr="00823CB3">
        <w:rPr>
          <w:rFonts w:ascii="Times New Roman" w:eastAsia="Times New Roman" w:hAnsi="Times New Roman"/>
          <w:bCs/>
          <w:kern w:val="32"/>
          <w:sz w:val="26"/>
          <w:szCs w:val="26"/>
          <w:lang w:eastAsia="lv-LV"/>
        </w:rPr>
        <w:t>Līga Lejiņa</w:t>
      </w:r>
    </w:p>
    <w:p w14:paraId="7B2DE953" w14:textId="77777777" w:rsidR="00012B57" w:rsidRPr="00823CB3" w:rsidRDefault="00012B57" w:rsidP="00012B57">
      <w:pPr>
        <w:spacing w:after="0" w:line="240" w:lineRule="auto"/>
        <w:jc w:val="both"/>
        <w:rPr>
          <w:rFonts w:ascii="Times New Roman" w:eastAsia="Times New Roman" w:hAnsi="Times New Roman"/>
          <w:sz w:val="26"/>
          <w:szCs w:val="26"/>
          <w:lang w:eastAsia="lv-LV"/>
        </w:rPr>
      </w:pPr>
    </w:p>
    <w:p w14:paraId="1FD2F788" w14:textId="77777777" w:rsidR="00FC7EFA" w:rsidRPr="001919B5" w:rsidRDefault="00FC7EFA" w:rsidP="00F31126">
      <w:pPr>
        <w:autoSpaceDE w:val="0"/>
        <w:autoSpaceDN w:val="0"/>
        <w:adjustRightInd w:val="0"/>
        <w:rPr>
          <w:rFonts w:ascii="Times New Roman" w:hAnsi="Times New Roman"/>
          <w:sz w:val="20"/>
          <w:szCs w:val="20"/>
        </w:rPr>
      </w:pP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p>
    <w:p w14:paraId="7B6ED593" w14:textId="0B16F8AD" w:rsidR="00012B57" w:rsidRPr="001919B5" w:rsidRDefault="00FF3EE4"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01.06</w:t>
      </w:r>
      <w:r w:rsidR="003F586B">
        <w:rPr>
          <w:rFonts w:ascii="Times New Roman" w:eastAsia="Times New Roman" w:hAnsi="Times New Roman"/>
          <w:sz w:val="20"/>
          <w:szCs w:val="20"/>
          <w:lang w:eastAsia="lv-LV"/>
        </w:rPr>
        <w:t>.2016.</w:t>
      </w:r>
    </w:p>
    <w:p w14:paraId="660458F1" w14:textId="152842FA" w:rsidR="00012B57" w:rsidRPr="001919B5" w:rsidRDefault="003F586B"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DB65F8">
        <w:rPr>
          <w:rFonts w:ascii="Times New Roman" w:eastAsia="Times New Roman" w:hAnsi="Times New Roman"/>
          <w:sz w:val="20"/>
          <w:szCs w:val="20"/>
          <w:lang w:eastAsia="lv-LV"/>
        </w:rPr>
        <w:t>544</w:t>
      </w:r>
      <w:bookmarkStart w:id="5" w:name="_GoBack"/>
      <w:bookmarkEnd w:id="5"/>
    </w:p>
    <w:p w14:paraId="4FD50F29" w14:textId="657D3CDF" w:rsidR="00FC7EFA" w:rsidRPr="001919B5" w:rsidRDefault="00DB397F" w:rsidP="00A76C0A">
      <w:pPr>
        <w:spacing w:after="0" w:line="240" w:lineRule="auto"/>
        <w:jc w:val="both"/>
        <w:rPr>
          <w:rFonts w:ascii="Times New Roman" w:eastAsia="Times New Roman" w:hAnsi="Times New Roman"/>
          <w:sz w:val="20"/>
          <w:szCs w:val="20"/>
          <w:lang w:eastAsia="lv-LV"/>
        </w:rPr>
      </w:pPr>
      <w:r w:rsidRPr="001919B5">
        <w:rPr>
          <w:rFonts w:ascii="Times New Roman" w:eastAsia="Times New Roman" w:hAnsi="Times New Roman"/>
          <w:sz w:val="20"/>
          <w:szCs w:val="20"/>
          <w:lang w:eastAsia="lv-LV"/>
        </w:rPr>
        <w:t>I.Stūre, 67047899</w:t>
      </w:r>
    </w:p>
    <w:p w14:paraId="3BB36A2B" w14:textId="1E019F2D" w:rsidR="001F23CB" w:rsidRDefault="00DB397F" w:rsidP="00A76C0A">
      <w:pPr>
        <w:spacing w:after="0" w:line="240" w:lineRule="auto"/>
        <w:jc w:val="both"/>
        <w:rPr>
          <w:rFonts w:ascii="Times New Roman" w:eastAsia="Times New Roman" w:hAnsi="Times New Roman"/>
          <w:sz w:val="20"/>
          <w:szCs w:val="20"/>
          <w:lang w:eastAsia="lv-LV"/>
        </w:rPr>
      </w:pPr>
      <w:r w:rsidRPr="001919B5">
        <w:rPr>
          <w:rFonts w:ascii="Times New Roman" w:eastAsia="Times New Roman" w:hAnsi="Times New Roman"/>
          <w:sz w:val="20"/>
          <w:szCs w:val="20"/>
          <w:lang w:eastAsia="lv-LV"/>
        </w:rPr>
        <w:t>Inese.Sture</w:t>
      </w:r>
      <w:r w:rsidR="00A76C0A" w:rsidRPr="001919B5">
        <w:rPr>
          <w:rFonts w:ascii="Times New Roman" w:eastAsia="Times New Roman" w:hAnsi="Times New Roman"/>
          <w:sz w:val="20"/>
          <w:szCs w:val="20"/>
          <w:lang w:eastAsia="lv-LV"/>
        </w:rPr>
        <w:t>@izm.gov.lv</w:t>
      </w:r>
    </w:p>
    <w:p w14:paraId="7ABA9A3E" w14:textId="77777777" w:rsidR="001F23CB" w:rsidRPr="001F23CB" w:rsidRDefault="001F23CB" w:rsidP="001F23CB">
      <w:pPr>
        <w:rPr>
          <w:rFonts w:ascii="Times New Roman" w:eastAsia="Times New Roman" w:hAnsi="Times New Roman"/>
          <w:sz w:val="20"/>
          <w:szCs w:val="20"/>
          <w:lang w:eastAsia="lv-LV"/>
        </w:rPr>
      </w:pPr>
    </w:p>
    <w:p w14:paraId="44F17A15" w14:textId="77777777" w:rsidR="001F23CB" w:rsidRPr="001F23CB" w:rsidRDefault="001F23CB" w:rsidP="001F23CB">
      <w:pPr>
        <w:rPr>
          <w:rFonts w:ascii="Times New Roman" w:eastAsia="Times New Roman" w:hAnsi="Times New Roman"/>
          <w:sz w:val="20"/>
          <w:szCs w:val="20"/>
          <w:lang w:eastAsia="lv-LV"/>
        </w:rPr>
      </w:pPr>
    </w:p>
    <w:p w14:paraId="3E1FDE04" w14:textId="77777777" w:rsidR="001F23CB" w:rsidRPr="001F23CB" w:rsidRDefault="001F23CB" w:rsidP="001F23CB">
      <w:pPr>
        <w:rPr>
          <w:rFonts w:ascii="Times New Roman" w:eastAsia="Times New Roman" w:hAnsi="Times New Roman"/>
          <w:sz w:val="20"/>
          <w:szCs w:val="20"/>
          <w:lang w:eastAsia="lv-LV"/>
        </w:rPr>
      </w:pPr>
    </w:p>
    <w:p w14:paraId="5E935CEF" w14:textId="77777777" w:rsidR="001F23CB" w:rsidRPr="001F23CB" w:rsidRDefault="001F23CB" w:rsidP="001F23CB">
      <w:pPr>
        <w:rPr>
          <w:rFonts w:ascii="Times New Roman" w:eastAsia="Times New Roman" w:hAnsi="Times New Roman"/>
          <w:sz w:val="20"/>
          <w:szCs w:val="20"/>
          <w:lang w:eastAsia="lv-LV"/>
        </w:rPr>
      </w:pPr>
    </w:p>
    <w:p w14:paraId="66C33D03" w14:textId="77777777" w:rsidR="001F23CB" w:rsidRPr="001F23CB" w:rsidRDefault="001F23CB" w:rsidP="001F23CB">
      <w:pPr>
        <w:rPr>
          <w:rFonts w:ascii="Times New Roman" w:eastAsia="Times New Roman" w:hAnsi="Times New Roman"/>
          <w:sz w:val="20"/>
          <w:szCs w:val="20"/>
          <w:lang w:eastAsia="lv-LV"/>
        </w:rPr>
      </w:pPr>
    </w:p>
    <w:p w14:paraId="42839063" w14:textId="77777777" w:rsidR="001F23CB" w:rsidRPr="001F23CB" w:rsidRDefault="001F23CB" w:rsidP="001F23CB">
      <w:pPr>
        <w:rPr>
          <w:rFonts w:ascii="Times New Roman" w:eastAsia="Times New Roman" w:hAnsi="Times New Roman"/>
          <w:sz w:val="20"/>
          <w:szCs w:val="20"/>
          <w:lang w:eastAsia="lv-LV"/>
        </w:rPr>
      </w:pPr>
    </w:p>
    <w:p w14:paraId="59C7DF68" w14:textId="77777777" w:rsidR="001F23CB" w:rsidRPr="001F23CB" w:rsidRDefault="001F23CB" w:rsidP="001F23CB">
      <w:pPr>
        <w:rPr>
          <w:rFonts w:ascii="Times New Roman" w:eastAsia="Times New Roman" w:hAnsi="Times New Roman"/>
          <w:sz w:val="20"/>
          <w:szCs w:val="20"/>
          <w:lang w:eastAsia="lv-LV"/>
        </w:rPr>
      </w:pPr>
    </w:p>
    <w:p w14:paraId="1AC657F9" w14:textId="77777777" w:rsidR="001F23CB" w:rsidRPr="001F23CB" w:rsidRDefault="001F23CB" w:rsidP="001F23CB">
      <w:pPr>
        <w:rPr>
          <w:rFonts w:ascii="Times New Roman" w:eastAsia="Times New Roman" w:hAnsi="Times New Roman"/>
          <w:sz w:val="20"/>
          <w:szCs w:val="20"/>
          <w:lang w:eastAsia="lv-LV"/>
        </w:rPr>
      </w:pPr>
    </w:p>
    <w:p w14:paraId="46360353" w14:textId="77777777" w:rsidR="001F23CB" w:rsidRPr="001F23CB" w:rsidRDefault="001F23CB" w:rsidP="001F23CB">
      <w:pPr>
        <w:rPr>
          <w:rFonts w:ascii="Times New Roman" w:eastAsia="Times New Roman" w:hAnsi="Times New Roman"/>
          <w:sz w:val="20"/>
          <w:szCs w:val="20"/>
          <w:lang w:eastAsia="lv-LV"/>
        </w:rPr>
      </w:pPr>
    </w:p>
    <w:p w14:paraId="70119660" w14:textId="77777777" w:rsidR="001F23CB" w:rsidRPr="001F23CB" w:rsidRDefault="001F23CB" w:rsidP="001F23CB">
      <w:pPr>
        <w:rPr>
          <w:rFonts w:ascii="Times New Roman" w:eastAsia="Times New Roman" w:hAnsi="Times New Roman"/>
          <w:sz w:val="20"/>
          <w:szCs w:val="20"/>
          <w:lang w:eastAsia="lv-LV"/>
        </w:rPr>
      </w:pPr>
    </w:p>
    <w:p w14:paraId="68081099" w14:textId="77777777" w:rsidR="001F23CB" w:rsidRPr="001F23CB" w:rsidRDefault="001F23CB" w:rsidP="001F23CB">
      <w:pPr>
        <w:rPr>
          <w:rFonts w:ascii="Times New Roman" w:eastAsia="Times New Roman" w:hAnsi="Times New Roman"/>
          <w:sz w:val="20"/>
          <w:szCs w:val="20"/>
          <w:lang w:eastAsia="lv-LV"/>
        </w:rPr>
      </w:pPr>
    </w:p>
    <w:p w14:paraId="5AA246B2" w14:textId="77777777" w:rsidR="001F23CB" w:rsidRPr="001F23CB" w:rsidRDefault="001F23CB" w:rsidP="001F23CB">
      <w:pPr>
        <w:rPr>
          <w:rFonts w:ascii="Times New Roman" w:eastAsia="Times New Roman" w:hAnsi="Times New Roman"/>
          <w:sz w:val="20"/>
          <w:szCs w:val="20"/>
          <w:lang w:eastAsia="lv-LV"/>
        </w:rPr>
      </w:pPr>
    </w:p>
    <w:p w14:paraId="0998F1F8" w14:textId="77777777" w:rsidR="001F23CB" w:rsidRPr="001F23CB" w:rsidRDefault="001F23CB" w:rsidP="001F23CB">
      <w:pPr>
        <w:rPr>
          <w:rFonts w:ascii="Times New Roman" w:eastAsia="Times New Roman" w:hAnsi="Times New Roman"/>
          <w:sz w:val="20"/>
          <w:szCs w:val="20"/>
          <w:lang w:eastAsia="lv-LV"/>
        </w:rPr>
      </w:pPr>
    </w:p>
    <w:p w14:paraId="3F44527F" w14:textId="4B875A62" w:rsidR="001F23CB" w:rsidRDefault="001F23CB" w:rsidP="001F23CB">
      <w:pPr>
        <w:rPr>
          <w:rFonts w:ascii="Times New Roman" w:eastAsia="Times New Roman" w:hAnsi="Times New Roman"/>
          <w:sz w:val="20"/>
          <w:szCs w:val="20"/>
          <w:lang w:eastAsia="lv-LV"/>
        </w:rPr>
      </w:pPr>
    </w:p>
    <w:p w14:paraId="22A350A6" w14:textId="6E59AB1F" w:rsidR="00A76C0A" w:rsidRPr="001F23CB" w:rsidRDefault="001F23CB" w:rsidP="001F23CB">
      <w:pPr>
        <w:tabs>
          <w:tab w:val="left" w:pos="1005"/>
        </w:tabs>
        <w:rPr>
          <w:rFonts w:ascii="Times New Roman" w:eastAsia="Times New Roman" w:hAnsi="Times New Roman"/>
          <w:sz w:val="20"/>
          <w:szCs w:val="20"/>
          <w:lang w:eastAsia="lv-LV"/>
        </w:rPr>
      </w:pPr>
      <w:r>
        <w:rPr>
          <w:rFonts w:ascii="Times New Roman" w:eastAsia="Times New Roman" w:hAnsi="Times New Roman"/>
          <w:sz w:val="20"/>
          <w:szCs w:val="20"/>
          <w:lang w:eastAsia="lv-LV"/>
        </w:rPr>
        <w:tab/>
      </w:r>
    </w:p>
    <w:sectPr w:rsidR="00A76C0A" w:rsidRPr="001F23CB" w:rsidSect="00DF12C5">
      <w:headerReference w:type="default" r:id="rId8"/>
      <w:footerReference w:type="default" r:id="rId9"/>
      <w:footerReference w:type="first" r:id="rId10"/>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AEB6A" w14:textId="77777777" w:rsidR="00B74994" w:rsidRDefault="00B74994" w:rsidP="004A53C8">
      <w:pPr>
        <w:spacing w:after="0" w:line="240" w:lineRule="auto"/>
      </w:pPr>
      <w:r>
        <w:separator/>
      </w:r>
    </w:p>
  </w:endnote>
  <w:endnote w:type="continuationSeparator" w:id="0">
    <w:p w14:paraId="7E76E146" w14:textId="77777777" w:rsidR="00B74994" w:rsidRDefault="00B74994"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1399" w14:textId="26947E46" w:rsidR="00247E4E" w:rsidRPr="00247E4E" w:rsidRDefault="00455DE6" w:rsidP="00247E4E">
    <w:pPr>
      <w:spacing w:before="100" w:beforeAutospacing="1" w:after="100" w:afterAutospacing="1"/>
      <w:jc w:val="both"/>
      <w:outlineLvl w:val="2"/>
      <w:rPr>
        <w:rFonts w:ascii="Times New Roman" w:hAnsi="Times New Roman"/>
        <w:bCs/>
        <w:sz w:val="20"/>
        <w:szCs w:val="20"/>
      </w:rPr>
    </w:pPr>
    <w:r w:rsidRPr="00455DE6">
      <w:rPr>
        <w:rFonts w:ascii="Times New Roman" w:hAnsi="Times New Roman"/>
        <w:sz w:val="20"/>
        <w:szCs w:val="20"/>
      </w:rPr>
      <w:t>IZManot_010616_cenrAIC.31</w:t>
    </w:r>
    <w:r w:rsidR="00247E4E" w:rsidRPr="00247E4E">
      <w:rPr>
        <w:rFonts w:ascii="Times New Roman" w:hAnsi="Times New Roman"/>
        <w:sz w:val="20"/>
        <w:szCs w:val="20"/>
      </w:rPr>
      <w:t xml:space="preserve">; </w:t>
    </w:r>
    <w:r w:rsidR="00247E4E" w:rsidRPr="00247E4E">
      <w:rPr>
        <w:rFonts w:ascii="Times New Roman" w:eastAsia="Times New Roman" w:hAnsi="Times New Roman"/>
        <w:bCs/>
        <w:sz w:val="20"/>
        <w:szCs w:val="20"/>
        <w:lang w:eastAsia="lv-LV"/>
      </w:rPr>
      <w:t xml:space="preserve">Ministru kabineta noteikumu projekta </w:t>
    </w:r>
    <w:r w:rsidR="00305F62">
      <w:rPr>
        <w:rFonts w:ascii="Times New Roman" w:hAnsi="Times New Roman"/>
        <w:sz w:val="20"/>
        <w:szCs w:val="20"/>
      </w:rPr>
      <w:t>„</w:t>
    </w:r>
    <w:r w:rsidR="00247E4E" w:rsidRPr="00247E4E">
      <w:rPr>
        <w:rFonts w:ascii="Times New Roman" w:hAnsi="Times New Roman"/>
        <w:bCs/>
        <w:sz w:val="20"/>
        <w:szCs w:val="20"/>
      </w:rPr>
      <w:t>Grozījumi Ministru kabineta 2015.gada 14.jūlija n</w:t>
    </w:r>
    <w:r w:rsidR="00305F62">
      <w:rPr>
        <w:rFonts w:ascii="Times New Roman" w:hAnsi="Times New Roman"/>
        <w:bCs/>
        <w:sz w:val="20"/>
        <w:szCs w:val="20"/>
      </w:rPr>
      <w:t>oteikumos Nr.409 „Nodibinājuma „</w:t>
    </w:r>
    <w:r w:rsidR="00247E4E" w:rsidRPr="00247E4E">
      <w:rPr>
        <w:rFonts w:ascii="Times New Roman" w:hAnsi="Times New Roman"/>
        <w:bCs/>
        <w:sz w:val="20"/>
        <w:szCs w:val="20"/>
      </w:rPr>
      <w:t xml:space="preserve">Akadēmiskās informācijas centrs” maksas pakalpojumu cenrādis”” </w:t>
    </w:r>
    <w:r w:rsidR="00247E4E" w:rsidRPr="00247E4E">
      <w:rPr>
        <w:rFonts w:ascii="Times New Roman" w:hAnsi="Times New Roman"/>
        <w:sz w:val="20"/>
        <w:szCs w:val="20"/>
      </w:rPr>
      <w:t>sākotnējās ietekmes novērtējuma ziņojums (anotācija)</w:t>
    </w:r>
  </w:p>
  <w:p w14:paraId="4AB0836B" w14:textId="77777777" w:rsidR="004A53C8" w:rsidRPr="002865DB" w:rsidRDefault="004A53C8"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8EBC" w14:textId="1EF090F5" w:rsidR="00247E4E" w:rsidRPr="00247E4E" w:rsidRDefault="00455DE6" w:rsidP="00247E4E">
    <w:pPr>
      <w:spacing w:before="100" w:beforeAutospacing="1" w:after="100" w:afterAutospacing="1"/>
      <w:jc w:val="both"/>
      <w:outlineLvl w:val="2"/>
      <w:rPr>
        <w:rFonts w:ascii="Times New Roman" w:hAnsi="Times New Roman"/>
        <w:bCs/>
        <w:sz w:val="20"/>
        <w:szCs w:val="20"/>
      </w:rPr>
    </w:pPr>
    <w:r w:rsidRPr="00455DE6">
      <w:rPr>
        <w:rFonts w:ascii="Times New Roman" w:hAnsi="Times New Roman"/>
        <w:sz w:val="20"/>
        <w:szCs w:val="20"/>
      </w:rPr>
      <w:t>IZManot_010616_cenrAIC.31</w:t>
    </w:r>
    <w:r w:rsidR="00F4546D" w:rsidRPr="00247E4E">
      <w:rPr>
        <w:rFonts w:ascii="Times New Roman" w:hAnsi="Times New Roman"/>
        <w:sz w:val="20"/>
        <w:szCs w:val="20"/>
      </w:rPr>
      <w:t xml:space="preserve">; </w:t>
    </w:r>
    <w:r w:rsidR="00247E4E" w:rsidRPr="00247E4E">
      <w:rPr>
        <w:rFonts w:ascii="Times New Roman" w:eastAsia="Times New Roman" w:hAnsi="Times New Roman"/>
        <w:bCs/>
        <w:sz w:val="20"/>
        <w:szCs w:val="20"/>
        <w:lang w:eastAsia="lv-LV"/>
      </w:rPr>
      <w:t xml:space="preserve">Ministru kabineta noteikumu projekta </w:t>
    </w:r>
    <w:r w:rsidR="00247E4E" w:rsidRPr="00247E4E">
      <w:rPr>
        <w:rFonts w:ascii="Times New Roman" w:hAnsi="Times New Roman"/>
        <w:sz w:val="20"/>
        <w:szCs w:val="20"/>
      </w:rPr>
      <w:t>“</w:t>
    </w:r>
    <w:r w:rsidR="00247E4E" w:rsidRPr="00247E4E">
      <w:rPr>
        <w:rFonts w:ascii="Times New Roman" w:hAnsi="Times New Roman"/>
        <w:bCs/>
        <w:sz w:val="20"/>
        <w:szCs w:val="20"/>
      </w:rPr>
      <w:t xml:space="preserve">Grozījumi Ministru kabineta 2015.gada 14.jūlija noteikumos Nr.409 „Nodibinājuma “Akadēmiskās informācijas centrs” maksas pakalpojumu cenrādis”” </w:t>
    </w:r>
    <w:r w:rsidR="00247E4E" w:rsidRPr="00247E4E">
      <w:rPr>
        <w:rFonts w:ascii="Times New Roman" w:hAnsi="Times New Roman"/>
        <w:sz w:val="20"/>
        <w:szCs w:val="20"/>
      </w:rPr>
      <w:t>sākotnējās ietekmes novērtējuma ziņojums (anotācija)</w:t>
    </w:r>
  </w:p>
  <w:p w14:paraId="7BBC103C" w14:textId="153A543E" w:rsidR="00D954F7" w:rsidRPr="00D954F7" w:rsidRDefault="00D954F7" w:rsidP="00D954F7">
    <w:pPr>
      <w:jc w:val="both"/>
      <w:rPr>
        <w:rFonts w:ascii="Times New Roman" w:hAnsi="Times New Roman"/>
        <w:sz w:val="20"/>
        <w:szCs w:val="20"/>
      </w:rPr>
    </w:pPr>
  </w:p>
  <w:p w14:paraId="6FA2B6BF" w14:textId="5866D311" w:rsidR="00F4546D" w:rsidRPr="002865DB" w:rsidRDefault="00F4546D" w:rsidP="00F4546D">
    <w:pPr>
      <w:pStyle w:val="Foote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12DD9" w14:textId="77777777" w:rsidR="00B74994" w:rsidRDefault="00B74994" w:rsidP="004A53C8">
      <w:pPr>
        <w:spacing w:after="0" w:line="240" w:lineRule="auto"/>
      </w:pPr>
      <w:r>
        <w:separator/>
      </w:r>
    </w:p>
  </w:footnote>
  <w:footnote w:type="continuationSeparator" w:id="0">
    <w:p w14:paraId="5A25D5F2" w14:textId="77777777" w:rsidR="00B74994" w:rsidRDefault="00B74994" w:rsidP="004A53C8">
      <w:pPr>
        <w:spacing w:after="0" w:line="240" w:lineRule="auto"/>
      </w:pPr>
      <w:r>
        <w:continuationSeparator/>
      </w:r>
    </w:p>
  </w:footnote>
  <w:footnote w:id="1">
    <w:p w14:paraId="3BF552C6" w14:textId="77777777" w:rsidR="001E1E16" w:rsidRDefault="001E1E16" w:rsidP="001E1E16">
      <w:pPr>
        <w:pStyle w:val="FootnoteText"/>
      </w:pPr>
      <w:r>
        <w:rPr>
          <w:rStyle w:val="FootnoteReference"/>
        </w:rPr>
        <w:footnoteRef/>
      </w:r>
      <w:r>
        <w:t xml:space="preserve"> </w:t>
      </w:r>
      <w:hyperlink r:id="rId1" w:history="1">
        <w:r w:rsidRPr="00275DD1">
          <w:rPr>
            <w:rStyle w:val="Hyperlink"/>
          </w:rPr>
          <w:t>http://ec.europa.eu/growth/single-market/index_en.htm</w:t>
        </w:r>
      </w:hyperlink>
      <w:r>
        <w:t>, 32.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DB65F8">
      <w:rPr>
        <w:rFonts w:ascii="Times New Roman" w:hAnsi="Times New Roman"/>
        <w:noProof/>
        <w:sz w:val="24"/>
        <w:szCs w:val="24"/>
      </w:rPr>
      <w:t>11</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72DF5"/>
    <w:multiLevelType w:val="hybridMultilevel"/>
    <w:tmpl w:val="DC181F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203AF7"/>
    <w:multiLevelType w:val="hybridMultilevel"/>
    <w:tmpl w:val="CB9A5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663B83"/>
    <w:multiLevelType w:val="hybridMultilevel"/>
    <w:tmpl w:val="6ECAB894"/>
    <w:lvl w:ilvl="0" w:tplc="AECE9EE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2C1C63"/>
    <w:multiLevelType w:val="hybridMultilevel"/>
    <w:tmpl w:val="406016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7F5978"/>
    <w:multiLevelType w:val="hybridMultilevel"/>
    <w:tmpl w:val="ED9AE698"/>
    <w:lvl w:ilvl="0" w:tplc="192A9EDC">
      <w:start w:val="1"/>
      <w:numFmt w:val="decimal"/>
      <w:lvlText w:val="%1."/>
      <w:lvlJc w:val="left"/>
      <w:pPr>
        <w:ind w:left="720" w:hanging="360"/>
      </w:pPr>
      <w:rPr>
        <w:rFonts w:hint="default"/>
        <w:color w:val="40407C"/>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1DDF"/>
    <w:rsid w:val="00004B8E"/>
    <w:rsid w:val="00005D6D"/>
    <w:rsid w:val="00012B57"/>
    <w:rsid w:val="0001406B"/>
    <w:rsid w:val="000140A6"/>
    <w:rsid w:val="000163D3"/>
    <w:rsid w:val="00057E77"/>
    <w:rsid w:val="00064A14"/>
    <w:rsid w:val="00066969"/>
    <w:rsid w:val="0006697F"/>
    <w:rsid w:val="00066F6E"/>
    <w:rsid w:val="00074501"/>
    <w:rsid w:val="000746F0"/>
    <w:rsid w:val="000806B6"/>
    <w:rsid w:val="0008115D"/>
    <w:rsid w:val="000814D2"/>
    <w:rsid w:val="00082859"/>
    <w:rsid w:val="00085722"/>
    <w:rsid w:val="0008700C"/>
    <w:rsid w:val="00091E19"/>
    <w:rsid w:val="00092938"/>
    <w:rsid w:val="00094D6E"/>
    <w:rsid w:val="0009669B"/>
    <w:rsid w:val="000B6DC1"/>
    <w:rsid w:val="000C0CAE"/>
    <w:rsid w:val="000C5B35"/>
    <w:rsid w:val="000E13FA"/>
    <w:rsid w:val="000E399A"/>
    <w:rsid w:val="000E40CB"/>
    <w:rsid w:val="000E6D09"/>
    <w:rsid w:val="000F47DB"/>
    <w:rsid w:val="000F597B"/>
    <w:rsid w:val="00101B63"/>
    <w:rsid w:val="001156D9"/>
    <w:rsid w:val="00121135"/>
    <w:rsid w:val="00132F12"/>
    <w:rsid w:val="00133A9A"/>
    <w:rsid w:val="0013546A"/>
    <w:rsid w:val="00137F9E"/>
    <w:rsid w:val="00140D9F"/>
    <w:rsid w:val="00143A35"/>
    <w:rsid w:val="00143C0B"/>
    <w:rsid w:val="00144526"/>
    <w:rsid w:val="00144550"/>
    <w:rsid w:val="001463F6"/>
    <w:rsid w:val="00152749"/>
    <w:rsid w:val="001539B3"/>
    <w:rsid w:val="00153DFF"/>
    <w:rsid w:val="001568D1"/>
    <w:rsid w:val="00162AD0"/>
    <w:rsid w:val="001738CC"/>
    <w:rsid w:val="00187108"/>
    <w:rsid w:val="001916C0"/>
    <w:rsid w:val="001919B5"/>
    <w:rsid w:val="00192E0E"/>
    <w:rsid w:val="00196D09"/>
    <w:rsid w:val="001A08CA"/>
    <w:rsid w:val="001A1369"/>
    <w:rsid w:val="001B2B20"/>
    <w:rsid w:val="001B7A46"/>
    <w:rsid w:val="001D464D"/>
    <w:rsid w:val="001D5D6F"/>
    <w:rsid w:val="001E1E16"/>
    <w:rsid w:val="001E3A52"/>
    <w:rsid w:val="001E7945"/>
    <w:rsid w:val="001F23CB"/>
    <w:rsid w:val="00201805"/>
    <w:rsid w:val="0020301A"/>
    <w:rsid w:val="00204189"/>
    <w:rsid w:val="00204B97"/>
    <w:rsid w:val="002172EA"/>
    <w:rsid w:val="002328DC"/>
    <w:rsid w:val="002443EC"/>
    <w:rsid w:val="00247E4E"/>
    <w:rsid w:val="00250073"/>
    <w:rsid w:val="00250A70"/>
    <w:rsid w:val="0025296C"/>
    <w:rsid w:val="002560B1"/>
    <w:rsid w:val="002577B0"/>
    <w:rsid w:val="00260CAD"/>
    <w:rsid w:val="00272847"/>
    <w:rsid w:val="00275B3C"/>
    <w:rsid w:val="002817E2"/>
    <w:rsid w:val="002865DB"/>
    <w:rsid w:val="002901D5"/>
    <w:rsid w:val="002A4D5C"/>
    <w:rsid w:val="002B1A24"/>
    <w:rsid w:val="002C425B"/>
    <w:rsid w:val="002D0EB1"/>
    <w:rsid w:val="002D4DF0"/>
    <w:rsid w:val="002D79DB"/>
    <w:rsid w:val="002F12C1"/>
    <w:rsid w:val="002F6EBF"/>
    <w:rsid w:val="00304E39"/>
    <w:rsid w:val="0030592D"/>
    <w:rsid w:val="00305F62"/>
    <w:rsid w:val="003076ED"/>
    <w:rsid w:val="00307EF6"/>
    <w:rsid w:val="003138F6"/>
    <w:rsid w:val="00313C26"/>
    <w:rsid w:val="0032115E"/>
    <w:rsid w:val="00322FF1"/>
    <w:rsid w:val="00323E04"/>
    <w:rsid w:val="0033149E"/>
    <w:rsid w:val="00336BB4"/>
    <w:rsid w:val="00336C5F"/>
    <w:rsid w:val="003409A7"/>
    <w:rsid w:val="003460E1"/>
    <w:rsid w:val="00350E80"/>
    <w:rsid w:val="00354158"/>
    <w:rsid w:val="00355F35"/>
    <w:rsid w:val="003739EF"/>
    <w:rsid w:val="0038607C"/>
    <w:rsid w:val="00392D00"/>
    <w:rsid w:val="00394620"/>
    <w:rsid w:val="00395CF7"/>
    <w:rsid w:val="00396EBE"/>
    <w:rsid w:val="003A6BFF"/>
    <w:rsid w:val="003B0459"/>
    <w:rsid w:val="003B0A3C"/>
    <w:rsid w:val="003C1CF7"/>
    <w:rsid w:val="003C590F"/>
    <w:rsid w:val="003D05A2"/>
    <w:rsid w:val="003D5881"/>
    <w:rsid w:val="003D6A4D"/>
    <w:rsid w:val="003E12C5"/>
    <w:rsid w:val="003F2409"/>
    <w:rsid w:val="003F586B"/>
    <w:rsid w:val="00400B50"/>
    <w:rsid w:val="004150E1"/>
    <w:rsid w:val="00425A51"/>
    <w:rsid w:val="00425A6D"/>
    <w:rsid w:val="004358D3"/>
    <w:rsid w:val="00446666"/>
    <w:rsid w:val="00450A5C"/>
    <w:rsid w:val="00454A2A"/>
    <w:rsid w:val="00455DE6"/>
    <w:rsid w:val="00470A88"/>
    <w:rsid w:val="004713DD"/>
    <w:rsid w:val="004720C4"/>
    <w:rsid w:val="0047221D"/>
    <w:rsid w:val="0047435F"/>
    <w:rsid w:val="00481E13"/>
    <w:rsid w:val="00482C68"/>
    <w:rsid w:val="00487765"/>
    <w:rsid w:val="004A11C2"/>
    <w:rsid w:val="004A16FD"/>
    <w:rsid w:val="004A405A"/>
    <w:rsid w:val="004A505F"/>
    <w:rsid w:val="004A53C8"/>
    <w:rsid w:val="004A549F"/>
    <w:rsid w:val="004A6A60"/>
    <w:rsid w:val="004A6E95"/>
    <w:rsid w:val="004A719C"/>
    <w:rsid w:val="004B0F25"/>
    <w:rsid w:val="004B3319"/>
    <w:rsid w:val="004B623D"/>
    <w:rsid w:val="004B72DA"/>
    <w:rsid w:val="004B72F1"/>
    <w:rsid w:val="004C115D"/>
    <w:rsid w:val="004C31BB"/>
    <w:rsid w:val="004C4E93"/>
    <w:rsid w:val="004D3CA0"/>
    <w:rsid w:val="004D4E31"/>
    <w:rsid w:val="004D6490"/>
    <w:rsid w:val="004D767C"/>
    <w:rsid w:val="004E520A"/>
    <w:rsid w:val="004F40F7"/>
    <w:rsid w:val="004F6B33"/>
    <w:rsid w:val="005012A5"/>
    <w:rsid w:val="00503370"/>
    <w:rsid w:val="00506F10"/>
    <w:rsid w:val="00512F1C"/>
    <w:rsid w:val="00513587"/>
    <w:rsid w:val="00517034"/>
    <w:rsid w:val="005263C8"/>
    <w:rsid w:val="00531930"/>
    <w:rsid w:val="00532A75"/>
    <w:rsid w:val="0054015A"/>
    <w:rsid w:val="00540DC8"/>
    <w:rsid w:val="00541FAA"/>
    <w:rsid w:val="005478FA"/>
    <w:rsid w:val="00551551"/>
    <w:rsid w:val="00551B92"/>
    <w:rsid w:val="005551D1"/>
    <w:rsid w:val="005619A5"/>
    <w:rsid w:val="00561B38"/>
    <w:rsid w:val="005703EA"/>
    <w:rsid w:val="00570815"/>
    <w:rsid w:val="005749B4"/>
    <w:rsid w:val="00577216"/>
    <w:rsid w:val="00577EBE"/>
    <w:rsid w:val="00581C3C"/>
    <w:rsid w:val="00584120"/>
    <w:rsid w:val="00586F3A"/>
    <w:rsid w:val="005925F2"/>
    <w:rsid w:val="005A1C65"/>
    <w:rsid w:val="005B237A"/>
    <w:rsid w:val="005B3E75"/>
    <w:rsid w:val="005B3F33"/>
    <w:rsid w:val="005C2289"/>
    <w:rsid w:val="005C3F18"/>
    <w:rsid w:val="005C42B1"/>
    <w:rsid w:val="005C4E27"/>
    <w:rsid w:val="005C7EFA"/>
    <w:rsid w:val="005D56D4"/>
    <w:rsid w:val="005E38B8"/>
    <w:rsid w:val="005E5A22"/>
    <w:rsid w:val="005F0690"/>
    <w:rsid w:val="005F4612"/>
    <w:rsid w:val="005F541E"/>
    <w:rsid w:val="005F5ADA"/>
    <w:rsid w:val="00600D74"/>
    <w:rsid w:val="00605858"/>
    <w:rsid w:val="00613DAC"/>
    <w:rsid w:val="0061423E"/>
    <w:rsid w:val="00617C45"/>
    <w:rsid w:val="00626958"/>
    <w:rsid w:val="00631529"/>
    <w:rsid w:val="00634BA3"/>
    <w:rsid w:val="00635523"/>
    <w:rsid w:val="00636B4D"/>
    <w:rsid w:val="00647270"/>
    <w:rsid w:val="0065161F"/>
    <w:rsid w:val="006531A5"/>
    <w:rsid w:val="00661B34"/>
    <w:rsid w:val="00663B48"/>
    <w:rsid w:val="00665D01"/>
    <w:rsid w:val="00671C20"/>
    <w:rsid w:val="00681BFB"/>
    <w:rsid w:val="006825C0"/>
    <w:rsid w:val="00694633"/>
    <w:rsid w:val="0069747C"/>
    <w:rsid w:val="006A3B0A"/>
    <w:rsid w:val="006A671F"/>
    <w:rsid w:val="006B0C3A"/>
    <w:rsid w:val="006C0FF1"/>
    <w:rsid w:val="006C5F23"/>
    <w:rsid w:val="006C7DE1"/>
    <w:rsid w:val="006E39A6"/>
    <w:rsid w:val="006F03FD"/>
    <w:rsid w:val="006F11ED"/>
    <w:rsid w:val="006F3CAE"/>
    <w:rsid w:val="00702234"/>
    <w:rsid w:val="007058CE"/>
    <w:rsid w:val="0071082B"/>
    <w:rsid w:val="00711F3E"/>
    <w:rsid w:val="00713986"/>
    <w:rsid w:val="007147BE"/>
    <w:rsid w:val="007161C1"/>
    <w:rsid w:val="007248FB"/>
    <w:rsid w:val="00731E6C"/>
    <w:rsid w:val="00733C8C"/>
    <w:rsid w:val="007418A6"/>
    <w:rsid w:val="0074653E"/>
    <w:rsid w:val="00746D7A"/>
    <w:rsid w:val="00753132"/>
    <w:rsid w:val="00757316"/>
    <w:rsid w:val="00760056"/>
    <w:rsid w:val="00763606"/>
    <w:rsid w:val="0076612A"/>
    <w:rsid w:val="00767454"/>
    <w:rsid w:val="00767AC1"/>
    <w:rsid w:val="00771AE0"/>
    <w:rsid w:val="00773158"/>
    <w:rsid w:val="00773C6A"/>
    <w:rsid w:val="0078138D"/>
    <w:rsid w:val="00781A81"/>
    <w:rsid w:val="007849BB"/>
    <w:rsid w:val="00787C61"/>
    <w:rsid w:val="007973E0"/>
    <w:rsid w:val="007A0535"/>
    <w:rsid w:val="007A1770"/>
    <w:rsid w:val="007A5D0E"/>
    <w:rsid w:val="007B02E9"/>
    <w:rsid w:val="007B07F6"/>
    <w:rsid w:val="007B1499"/>
    <w:rsid w:val="007B25E2"/>
    <w:rsid w:val="007B2775"/>
    <w:rsid w:val="007C4012"/>
    <w:rsid w:val="007C447D"/>
    <w:rsid w:val="007C50F1"/>
    <w:rsid w:val="007C5781"/>
    <w:rsid w:val="007D4D82"/>
    <w:rsid w:val="007E4656"/>
    <w:rsid w:val="007E7C9E"/>
    <w:rsid w:val="007F19E2"/>
    <w:rsid w:val="007F474B"/>
    <w:rsid w:val="007F6577"/>
    <w:rsid w:val="00800369"/>
    <w:rsid w:val="00812271"/>
    <w:rsid w:val="008126B4"/>
    <w:rsid w:val="00816BD1"/>
    <w:rsid w:val="0082002F"/>
    <w:rsid w:val="00823CB3"/>
    <w:rsid w:val="00833E9A"/>
    <w:rsid w:val="00835064"/>
    <w:rsid w:val="00840CFA"/>
    <w:rsid w:val="00841149"/>
    <w:rsid w:val="00857EFA"/>
    <w:rsid w:val="00862A84"/>
    <w:rsid w:val="00863303"/>
    <w:rsid w:val="00872CFE"/>
    <w:rsid w:val="008750A2"/>
    <w:rsid w:val="0087656E"/>
    <w:rsid w:val="00891DD9"/>
    <w:rsid w:val="008A3B73"/>
    <w:rsid w:val="008B1598"/>
    <w:rsid w:val="008B4FFB"/>
    <w:rsid w:val="008C0B91"/>
    <w:rsid w:val="008C2BFF"/>
    <w:rsid w:val="008C2F6A"/>
    <w:rsid w:val="008C7069"/>
    <w:rsid w:val="008D05F0"/>
    <w:rsid w:val="008D37A4"/>
    <w:rsid w:val="008D3E73"/>
    <w:rsid w:val="008E0B81"/>
    <w:rsid w:val="008E2DC4"/>
    <w:rsid w:val="008F0B46"/>
    <w:rsid w:val="008F36AC"/>
    <w:rsid w:val="008F785B"/>
    <w:rsid w:val="009006A8"/>
    <w:rsid w:val="0090667B"/>
    <w:rsid w:val="00916CD2"/>
    <w:rsid w:val="00930796"/>
    <w:rsid w:val="00930A74"/>
    <w:rsid w:val="00933A0D"/>
    <w:rsid w:val="0093566F"/>
    <w:rsid w:val="0093760D"/>
    <w:rsid w:val="00937CF5"/>
    <w:rsid w:val="00944BE5"/>
    <w:rsid w:val="00944E05"/>
    <w:rsid w:val="00946764"/>
    <w:rsid w:val="00951E78"/>
    <w:rsid w:val="009625C1"/>
    <w:rsid w:val="009636D0"/>
    <w:rsid w:val="009675F2"/>
    <w:rsid w:val="009705CA"/>
    <w:rsid w:val="00971FE2"/>
    <w:rsid w:val="00973AB7"/>
    <w:rsid w:val="00975BB3"/>
    <w:rsid w:val="00975CB2"/>
    <w:rsid w:val="0098126F"/>
    <w:rsid w:val="00985459"/>
    <w:rsid w:val="00986947"/>
    <w:rsid w:val="00990EC6"/>
    <w:rsid w:val="009B0744"/>
    <w:rsid w:val="009B3D7E"/>
    <w:rsid w:val="009B4FA5"/>
    <w:rsid w:val="009E0243"/>
    <w:rsid w:val="009E1BD2"/>
    <w:rsid w:val="009E2695"/>
    <w:rsid w:val="009E3113"/>
    <w:rsid w:val="009E4133"/>
    <w:rsid w:val="009F2558"/>
    <w:rsid w:val="009F6089"/>
    <w:rsid w:val="00A06E37"/>
    <w:rsid w:val="00A071CB"/>
    <w:rsid w:val="00A11171"/>
    <w:rsid w:val="00A11C0B"/>
    <w:rsid w:val="00A13AAD"/>
    <w:rsid w:val="00A26DC3"/>
    <w:rsid w:val="00A272D5"/>
    <w:rsid w:val="00A325FA"/>
    <w:rsid w:val="00A33851"/>
    <w:rsid w:val="00A415D2"/>
    <w:rsid w:val="00A4504C"/>
    <w:rsid w:val="00A462B4"/>
    <w:rsid w:val="00A54BE6"/>
    <w:rsid w:val="00A6532E"/>
    <w:rsid w:val="00A7350D"/>
    <w:rsid w:val="00A76C0A"/>
    <w:rsid w:val="00A80702"/>
    <w:rsid w:val="00A8486E"/>
    <w:rsid w:val="00A87395"/>
    <w:rsid w:val="00A917AF"/>
    <w:rsid w:val="00AA3E1C"/>
    <w:rsid w:val="00AB3A73"/>
    <w:rsid w:val="00AC20F9"/>
    <w:rsid w:val="00AC2EDC"/>
    <w:rsid w:val="00AC418E"/>
    <w:rsid w:val="00AC62B2"/>
    <w:rsid w:val="00AD32A3"/>
    <w:rsid w:val="00AD4FD5"/>
    <w:rsid w:val="00AE1EA2"/>
    <w:rsid w:val="00AE506E"/>
    <w:rsid w:val="00AE560C"/>
    <w:rsid w:val="00AE649E"/>
    <w:rsid w:val="00AE766D"/>
    <w:rsid w:val="00AF7504"/>
    <w:rsid w:val="00B01379"/>
    <w:rsid w:val="00B06476"/>
    <w:rsid w:val="00B10218"/>
    <w:rsid w:val="00B14A4E"/>
    <w:rsid w:val="00B21F14"/>
    <w:rsid w:val="00B2312C"/>
    <w:rsid w:val="00B232E9"/>
    <w:rsid w:val="00B2641B"/>
    <w:rsid w:val="00B31D70"/>
    <w:rsid w:val="00B42E78"/>
    <w:rsid w:val="00B44668"/>
    <w:rsid w:val="00B44EA5"/>
    <w:rsid w:val="00B4613D"/>
    <w:rsid w:val="00B47243"/>
    <w:rsid w:val="00B50A34"/>
    <w:rsid w:val="00B54568"/>
    <w:rsid w:val="00B54C9C"/>
    <w:rsid w:val="00B54E5E"/>
    <w:rsid w:val="00B550BB"/>
    <w:rsid w:val="00B606B2"/>
    <w:rsid w:val="00B6352D"/>
    <w:rsid w:val="00B65C59"/>
    <w:rsid w:val="00B6774E"/>
    <w:rsid w:val="00B72734"/>
    <w:rsid w:val="00B73480"/>
    <w:rsid w:val="00B74994"/>
    <w:rsid w:val="00B91E30"/>
    <w:rsid w:val="00B97DF5"/>
    <w:rsid w:val="00BB10ED"/>
    <w:rsid w:val="00BB24B4"/>
    <w:rsid w:val="00BB4987"/>
    <w:rsid w:val="00BC273D"/>
    <w:rsid w:val="00BD1C23"/>
    <w:rsid w:val="00BD486B"/>
    <w:rsid w:val="00C02C2B"/>
    <w:rsid w:val="00C05444"/>
    <w:rsid w:val="00C06E4F"/>
    <w:rsid w:val="00C07AFE"/>
    <w:rsid w:val="00C1270E"/>
    <w:rsid w:val="00C21978"/>
    <w:rsid w:val="00C2299C"/>
    <w:rsid w:val="00C22D5A"/>
    <w:rsid w:val="00C25ED6"/>
    <w:rsid w:val="00C30748"/>
    <w:rsid w:val="00C30AA0"/>
    <w:rsid w:val="00C3373E"/>
    <w:rsid w:val="00C40E50"/>
    <w:rsid w:val="00C41CAB"/>
    <w:rsid w:val="00C51360"/>
    <w:rsid w:val="00C56A53"/>
    <w:rsid w:val="00C64748"/>
    <w:rsid w:val="00C662F5"/>
    <w:rsid w:val="00C672FF"/>
    <w:rsid w:val="00C676BF"/>
    <w:rsid w:val="00C73E71"/>
    <w:rsid w:val="00C73EDE"/>
    <w:rsid w:val="00C74642"/>
    <w:rsid w:val="00C76266"/>
    <w:rsid w:val="00C76A5D"/>
    <w:rsid w:val="00C77A99"/>
    <w:rsid w:val="00C867AF"/>
    <w:rsid w:val="00C95874"/>
    <w:rsid w:val="00C96AD3"/>
    <w:rsid w:val="00C97BE1"/>
    <w:rsid w:val="00CA0D69"/>
    <w:rsid w:val="00CB345B"/>
    <w:rsid w:val="00CB4722"/>
    <w:rsid w:val="00CB68F1"/>
    <w:rsid w:val="00CC063E"/>
    <w:rsid w:val="00CD70CC"/>
    <w:rsid w:val="00CF1208"/>
    <w:rsid w:val="00CF2671"/>
    <w:rsid w:val="00D004F9"/>
    <w:rsid w:val="00D0561E"/>
    <w:rsid w:val="00D1469B"/>
    <w:rsid w:val="00D169F6"/>
    <w:rsid w:val="00D17159"/>
    <w:rsid w:val="00D21BAD"/>
    <w:rsid w:val="00D23B0E"/>
    <w:rsid w:val="00D303EE"/>
    <w:rsid w:val="00D32E3B"/>
    <w:rsid w:val="00D45491"/>
    <w:rsid w:val="00D55BB7"/>
    <w:rsid w:val="00D57769"/>
    <w:rsid w:val="00D6049C"/>
    <w:rsid w:val="00D7234C"/>
    <w:rsid w:val="00D73DD5"/>
    <w:rsid w:val="00D80173"/>
    <w:rsid w:val="00D86E70"/>
    <w:rsid w:val="00D947A5"/>
    <w:rsid w:val="00D954F7"/>
    <w:rsid w:val="00D95F93"/>
    <w:rsid w:val="00D96AA6"/>
    <w:rsid w:val="00DA58B9"/>
    <w:rsid w:val="00DB0717"/>
    <w:rsid w:val="00DB30BA"/>
    <w:rsid w:val="00DB3160"/>
    <w:rsid w:val="00DB397F"/>
    <w:rsid w:val="00DB475F"/>
    <w:rsid w:val="00DB59E6"/>
    <w:rsid w:val="00DB65F8"/>
    <w:rsid w:val="00DC1A7E"/>
    <w:rsid w:val="00DC5F8B"/>
    <w:rsid w:val="00DC6380"/>
    <w:rsid w:val="00DC6BAF"/>
    <w:rsid w:val="00DD7841"/>
    <w:rsid w:val="00DE582E"/>
    <w:rsid w:val="00DF0C25"/>
    <w:rsid w:val="00DF12C5"/>
    <w:rsid w:val="00DF53C3"/>
    <w:rsid w:val="00E01393"/>
    <w:rsid w:val="00E05857"/>
    <w:rsid w:val="00E14DB0"/>
    <w:rsid w:val="00E16634"/>
    <w:rsid w:val="00E223F6"/>
    <w:rsid w:val="00E22F0E"/>
    <w:rsid w:val="00E30404"/>
    <w:rsid w:val="00E30AD3"/>
    <w:rsid w:val="00E32858"/>
    <w:rsid w:val="00E445BC"/>
    <w:rsid w:val="00E44DD5"/>
    <w:rsid w:val="00E47554"/>
    <w:rsid w:val="00E521AB"/>
    <w:rsid w:val="00E55FF5"/>
    <w:rsid w:val="00E67DE9"/>
    <w:rsid w:val="00E72680"/>
    <w:rsid w:val="00E73ABF"/>
    <w:rsid w:val="00E8375B"/>
    <w:rsid w:val="00E8589E"/>
    <w:rsid w:val="00E90688"/>
    <w:rsid w:val="00E96EA6"/>
    <w:rsid w:val="00EA2144"/>
    <w:rsid w:val="00EA4CB5"/>
    <w:rsid w:val="00EA6CD0"/>
    <w:rsid w:val="00EB23DE"/>
    <w:rsid w:val="00EB38B0"/>
    <w:rsid w:val="00EB4EB5"/>
    <w:rsid w:val="00EB510C"/>
    <w:rsid w:val="00EC08CE"/>
    <w:rsid w:val="00EC1F0E"/>
    <w:rsid w:val="00EC22F5"/>
    <w:rsid w:val="00EC2AEA"/>
    <w:rsid w:val="00EC398A"/>
    <w:rsid w:val="00EC3A3B"/>
    <w:rsid w:val="00EC418C"/>
    <w:rsid w:val="00ED666D"/>
    <w:rsid w:val="00EF16F5"/>
    <w:rsid w:val="00EF5308"/>
    <w:rsid w:val="00EF5512"/>
    <w:rsid w:val="00EF6B62"/>
    <w:rsid w:val="00EF6DB9"/>
    <w:rsid w:val="00F10D0C"/>
    <w:rsid w:val="00F15FF9"/>
    <w:rsid w:val="00F17C81"/>
    <w:rsid w:val="00F21574"/>
    <w:rsid w:val="00F23904"/>
    <w:rsid w:val="00F259FB"/>
    <w:rsid w:val="00F30FEF"/>
    <w:rsid w:val="00F31126"/>
    <w:rsid w:val="00F3154A"/>
    <w:rsid w:val="00F32794"/>
    <w:rsid w:val="00F35989"/>
    <w:rsid w:val="00F4260E"/>
    <w:rsid w:val="00F4546D"/>
    <w:rsid w:val="00F470C3"/>
    <w:rsid w:val="00F476E5"/>
    <w:rsid w:val="00F505F8"/>
    <w:rsid w:val="00F50EFF"/>
    <w:rsid w:val="00F61F26"/>
    <w:rsid w:val="00F66720"/>
    <w:rsid w:val="00F73731"/>
    <w:rsid w:val="00F80C33"/>
    <w:rsid w:val="00F834B3"/>
    <w:rsid w:val="00F849B1"/>
    <w:rsid w:val="00F923EC"/>
    <w:rsid w:val="00F92AF7"/>
    <w:rsid w:val="00F93702"/>
    <w:rsid w:val="00F9465B"/>
    <w:rsid w:val="00FA58DD"/>
    <w:rsid w:val="00FB436D"/>
    <w:rsid w:val="00FB4A14"/>
    <w:rsid w:val="00FB7C51"/>
    <w:rsid w:val="00FC42D0"/>
    <w:rsid w:val="00FC4FD8"/>
    <w:rsid w:val="00FC6626"/>
    <w:rsid w:val="00FC68B2"/>
    <w:rsid w:val="00FC7EFA"/>
    <w:rsid w:val="00FD4859"/>
    <w:rsid w:val="00FE08D2"/>
    <w:rsid w:val="00FE57F4"/>
    <w:rsid w:val="00FE6554"/>
    <w:rsid w:val="00FF3EE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4CB"/>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character" w:customStyle="1" w:styleId="ListParagraphChar">
    <w:name w:val="List Paragraph Char"/>
    <w:link w:val="ListParagraph"/>
    <w:uiPriority w:val="34"/>
    <w:locked/>
    <w:rsid w:val="003460E1"/>
    <w:rPr>
      <w:lang w:val="x-none" w:eastAsia="x-none"/>
    </w:rPr>
  </w:style>
  <w:style w:type="paragraph" w:styleId="ListParagraph">
    <w:name w:val="List Paragraph"/>
    <w:basedOn w:val="Normal"/>
    <w:link w:val="ListParagraphChar"/>
    <w:uiPriority w:val="34"/>
    <w:qFormat/>
    <w:rsid w:val="003460E1"/>
    <w:pPr>
      <w:ind w:left="720"/>
      <w:contextualSpacing/>
    </w:pPr>
    <w:rPr>
      <w:sz w:val="20"/>
      <w:szCs w:val="20"/>
      <w:lang w:val="x-none" w:eastAsia="x-none"/>
    </w:rPr>
  </w:style>
  <w:style w:type="paragraph" w:styleId="FootnoteText">
    <w:name w:val="footnote text"/>
    <w:basedOn w:val="Normal"/>
    <w:link w:val="FootnoteTextChar"/>
    <w:uiPriority w:val="99"/>
    <w:semiHidden/>
    <w:unhideWhenUsed/>
    <w:rsid w:val="003460E1"/>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3460E1"/>
    <w:rPr>
      <w:rFonts w:eastAsia="Times New Roman"/>
      <w:lang w:val="lv-LV"/>
    </w:rPr>
  </w:style>
  <w:style w:type="character" w:styleId="FootnoteReference">
    <w:name w:val="footnote reference"/>
    <w:basedOn w:val="DefaultParagraphFont"/>
    <w:uiPriority w:val="99"/>
    <w:semiHidden/>
    <w:unhideWhenUsed/>
    <w:rsid w:val="003460E1"/>
    <w:rPr>
      <w:vertAlign w:val="superscript"/>
    </w:rPr>
  </w:style>
  <w:style w:type="character" w:styleId="Strong">
    <w:name w:val="Strong"/>
    <w:basedOn w:val="DefaultParagraphFont"/>
    <w:uiPriority w:val="22"/>
    <w:qFormat/>
    <w:rsid w:val="004B623D"/>
    <w:rPr>
      <w:b/>
      <w:bCs/>
    </w:rPr>
  </w:style>
  <w:style w:type="table" w:styleId="TableGrid">
    <w:name w:val="Table Grid"/>
    <w:basedOn w:val="TableNormal"/>
    <w:uiPriority w:val="39"/>
    <w:rsid w:val="0032115E"/>
    <w:rPr>
      <w:rFonts w:asciiTheme="minorHAnsi" w:eastAsiaTheme="minorHAnsi" w:hAnsiTheme="minorHAnsi" w:cstheme="minorBidi"/>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1728">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514005408">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8224">
      <w:bodyDiv w:val="1"/>
      <w:marLeft w:val="0"/>
      <w:marRight w:val="0"/>
      <w:marTop w:val="0"/>
      <w:marBottom w:val="0"/>
      <w:divBdr>
        <w:top w:val="none" w:sz="0" w:space="0" w:color="auto"/>
        <w:left w:val="none" w:sz="0" w:space="0" w:color="auto"/>
        <w:bottom w:val="none" w:sz="0" w:space="0" w:color="auto"/>
        <w:right w:val="none" w:sz="0" w:space="0" w:color="auto"/>
      </w:divBdr>
    </w:div>
    <w:div w:id="2003317851">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ingle-marke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C269-2540-4E76-B3F5-C68D8698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13893</Words>
  <Characters>7920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2003.gada 10.jūnija noteikumos Nr.298 „Kārtība, kādā pretendents sedz izdevumus, kas saistīti ar personas profesionālās kvalifikācijas atzīšanu”” sākotnējās ietekmes novērtējuma ziņojums (a</vt:lpstr>
    </vt:vector>
  </TitlesOfParts>
  <Company>IZM</Company>
  <LinksUpToDate>false</LinksUpToDate>
  <CharactersWithSpaces>21770</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2003.gada 10.jūnija noteikumos Nr.298 „Kārtība, kādā pretendents sedz izdevumus, kas saistīti ar personas profesionālās kvalifikācijas atzīšanu”” sākotnējās ietekmes novērtējuma ziņojums (anotācija)</dc:title>
  <dc:subject>Noteikumu projekta anotācija</dc:subject>
  <dc:creator>Inese Stūre</dc:creator>
  <cp:keywords/>
  <dc:description>tel.:67047899; e-pasts: Inese.Sture@izm.gov.lv</dc:description>
  <cp:lastModifiedBy>Inese Stūre</cp:lastModifiedBy>
  <cp:revision>32</cp:revision>
  <cp:lastPrinted>2015-12-23T10:23:00Z</cp:lastPrinted>
  <dcterms:created xsi:type="dcterms:W3CDTF">2016-02-23T12:30:00Z</dcterms:created>
  <dcterms:modified xsi:type="dcterms:W3CDTF">2016-06-01T12:31:00Z</dcterms:modified>
</cp:coreProperties>
</file>