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AD" w:rsidRPr="00877BB7" w:rsidRDefault="00C50198" w:rsidP="00877BB7">
      <w:pPr>
        <w:jc w:val="center"/>
        <w:rPr>
          <w:b/>
        </w:rPr>
      </w:pPr>
      <w:r>
        <w:rPr>
          <w:b/>
          <w:bCs/>
          <w:color w:val="000000"/>
          <w:sz w:val="28"/>
          <w:szCs w:val="28"/>
        </w:rPr>
        <w:t>M</w:t>
      </w:r>
      <w:r w:rsidR="009F7598" w:rsidRPr="00427146">
        <w:rPr>
          <w:b/>
          <w:bCs/>
          <w:color w:val="000000"/>
          <w:sz w:val="28"/>
          <w:szCs w:val="28"/>
        </w:rPr>
        <w:t xml:space="preserve">inistru </w:t>
      </w:r>
      <w:r w:rsidR="009F7598" w:rsidRPr="00CB2D42">
        <w:rPr>
          <w:b/>
          <w:bCs/>
          <w:color w:val="000000"/>
          <w:sz w:val="28"/>
          <w:szCs w:val="28"/>
        </w:rPr>
        <w:t xml:space="preserve">kabineta noteikumu </w:t>
      </w:r>
      <w:r w:rsidR="00E4790E" w:rsidRPr="00CB2D42">
        <w:rPr>
          <w:b/>
          <w:bCs/>
          <w:color w:val="000000"/>
          <w:sz w:val="28"/>
          <w:szCs w:val="28"/>
        </w:rPr>
        <w:t>projekta</w:t>
      </w:r>
      <w:r w:rsidR="008539C0" w:rsidRPr="00877BB7">
        <w:rPr>
          <w:b/>
          <w:bCs/>
          <w:color w:val="000000"/>
          <w:sz w:val="28"/>
          <w:szCs w:val="28"/>
        </w:rPr>
        <w:t xml:space="preserve"> </w:t>
      </w:r>
      <w:r w:rsidR="00F41949">
        <w:rPr>
          <w:b/>
          <w:bCs/>
          <w:color w:val="000000"/>
          <w:sz w:val="28"/>
          <w:szCs w:val="28"/>
        </w:rPr>
        <w:t>“</w:t>
      </w:r>
      <w:r w:rsidR="00877BB7" w:rsidRPr="00877BB7">
        <w:rPr>
          <w:b/>
          <w:bCs/>
          <w:color w:val="000000"/>
          <w:sz w:val="28"/>
          <w:szCs w:val="28"/>
        </w:rPr>
        <w:t>Grozījum</w:t>
      </w:r>
      <w:r w:rsidR="00F41949">
        <w:rPr>
          <w:b/>
          <w:bCs/>
          <w:color w:val="000000"/>
          <w:sz w:val="28"/>
          <w:szCs w:val="28"/>
        </w:rPr>
        <w:t>i</w:t>
      </w:r>
      <w:r w:rsidR="00877BB7" w:rsidRPr="00877BB7">
        <w:rPr>
          <w:b/>
          <w:bCs/>
          <w:color w:val="000000"/>
          <w:sz w:val="28"/>
          <w:szCs w:val="28"/>
        </w:rPr>
        <w:t xml:space="preserve"> Ministru kabineta 2015.gada 17.novembra noteikumos Nr.</w:t>
      </w:r>
      <w:r w:rsidR="00877BB7">
        <w:rPr>
          <w:b/>
          <w:bCs/>
          <w:color w:val="000000"/>
          <w:sz w:val="28"/>
          <w:szCs w:val="28"/>
        </w:rPr>
        <w:t>65</w:t>
      </w:r>
      <w:r w:rsidR="00877BB7" w:rsidRPr="00877BB7">
        <w:rPr>
          <w:b/>
          <w:bCs/>
          <w:color w:val="000000"/>
          <w:sz w:val="28"/>
          <w:szCs w:val="28"/>
        </w:rPr>
        <w:t xml:space="preserve">3 “Darbības programmas </w:t>
      </w:r>
      <w:r w:rsidR="00F41949">
        <w:rPr>
          <w:b/>
          <w:bCs/>
          <w:color w:val="000000"/>
          <w:sz w:val="28"/>
          <w:szCs w:val="28"/>
        </w:rPr>
        <w:t>“Izaugsme un nodarbinātība”</w:t>
      </w:r>
      <w:r w:rsidR="00877BB7" w:rsidRPr="00877BB7">
        <w:rPr>
          <w:b/>
          <w:bCs/>
          <w:color w:val="000000"/>
          <w:sz w:val="28"/>
          <w:szCs w:val="28"/>
        </w:rPr>
        <w:t xml:space="preserve"> 2.</w:t>
      </w:r>
      <w:r w:rsidR="00F41949">
        <w:rPr>
          <w:b/>
          <w:bCs/>
          <w:color w:val="000000"/>
          <w:sz w:val="28"/>
          <w:szCs w:val="28"/>
        </w:rPr>
        <w:t>2.1. specifiskā atbalsta mērķa “</w:t>
      </w:r>
      <w:r w:rsidR="00877BB7" w:rsidRPr="00877BB7">
        <w:rPr>
          <w:b/>
          <w:bCs/>
          <w:color w:val="000000"/>
          <w:sz w:val="28"/>
          <w:szCs w:val="28"/>
        </w:rPr>
        <w:t xml:space="preserve">Nodrošināt publisko datu atkalizmantošanas pieaugumu un efektīvu publiskās pārvaldes </w:t>
      </w:r>
      <w:r w:rsidR="00F41949">
        <w:rPr>
          <w:b/>
          <w:bCs/>
          <w:color w:val="000000"/>
          <w:sz w:val="28"/>
          <w:szCs w:val="28"/>
        </w:rPr>
        <w:t>un privātā sektora mijiedarbību”</w:t>
      </w:r>
      <w:r w:rsidR="00877BB7" w:rsidRPr="00877BB7">
        <w:rPr>
          <w:b/>
          <w:bCs/>
          <w:color w:val="000000"/>
          <w:sz w:val="28"/>
          <w:szCs w:val="28"/>
        </w:rPr>
        <w:t xml:space="preserve"> 2.2.1.1. pasākuma </w:t>
      </w:r>
      <w:r w:rsidR="00F41949">
        <w:rPr>
          <w:b/>
          <w:bCs/>
          <w:color w:val="000000"/>
          <w:sz w:val="28"/>
          <w:szCs w:val="28"/>
        </w:rPr>
        <w:t>“</w:t>
      </w:r>
      <w:r w:rsidR="00877BB7" w:rsidRPr="00877BB7">
        <w:rPr>
          <w:b/>
          <w:bCs/>
          <w:color w:val="000000"/>
          <w:sz w:val="28"/>
          <w:szCs w:val="28"/>
        </w:rPr>
        <w:t>Centralizētu publiskās pārvaldes IKT platformu izveide, publiskās pārvaldes procesu optimizēšana un attīstība" īstenošanas noteikumi”</w:t>
      </w:r>
      <w:r w:rsidR="005A7740">
        <w:rPr>
          <w:b/>
          <w:bCs/>
          <w:color w:val="000000"/>
          <w:sz w:val="28"/>
          <w:szCs w:val="28"/>
        </w:rPr>
        <w:t xml:space="preserve">” </w:t>
      </w:r>
      <w:r w:rsidR="00086ED6" w:rsidRPr="005A7740">
        <w:rPr>
          <w:b/>
          <w:bCs/>
          <w:color w:val="000000"/>
          <w:sz w:val="28"/>
          <w:szCs w:val="28"/>
        </w:rPr>
        <w:t>s</w:t>
      </w:r>
      <w:r w:rsidR="00086ED6" w:rsidRPr="00877BB7">
        <w:rPr>
          <w:b/>
          <w:bCs/>
          <w:color w:val="000000"/>
          <w:sz w:val="28"/>
          <w:szCs w:val="28"/>
        </w:rPr>
        <w:t>ākotnējās ietekmes novērtējuma ziņojums (anotācija)</w:t>
      </w:r>
    </w:p>
    <w:p w:rsidR="00DF5207" w:rsidRPr="00427146" w:rsidRDefault="00DF5207" w:rsidP="008539C0">
      <w:pPr>
        <w:pStyle w:val="naisc"/>
        <w:spacing w:before="0" w:after="0"/>
        <w:rPr>
          <w:color w:val="000000"/>
        </w:rPr>
      </w:pPr>
    </w:p>
    <w:tbl>
      <w:tblPr>
        <w:tblW w:w="5241"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57"/>
        <w:gridCol w:w="2122"/>
        <w:gridCol w:w="7076"/>
      </w:tblGrid>
      <w:tr w:rsidR="00AA00A2" w:rsidRPr="00427146" w:rsidTr="008B72C5">
        <w:trPr>
          <w:trHeight w:val="450"/>
          <w:tblCellSpacing w:w="15" w:type="dxa"/>
        </w:trPr>
        <w:tc>
          <w:tcPr>
            <w:tcW w:w="4968" w:type="pct"/>
            <w:gridSpan w:val="3"/>
            <w:vAlign w:val="center"/>
            <w:hideMark/>
          </w:tcPr>
          <w:p w:rsidR="00385F0D" w:rsidRPr="00427146" w:rsidRDefault="00385F0D" w:rsidP="00B657F2">
            <w:pPr>
              <w:spacing w:before="100" w:beforeAutospacing="1" w:after="100" w:afterAutospacing="1"/>
              <w:ind w:firstLine="346"/>
              <w:jc w:val="center"/>
              <w:rPr>
                <w:b/>
                <w:bCs/>
                <w:color w:val="000000"/>
              </w:rPr>
            </w:pPr>
            <w:r w:rsidRPr="00427146">
              <w:rPr>
                <w:b/>
                <w:bCs/>
                <w:color w:val="000000"/>
              </w:rPr>
              <w:t>I. Tiesību akta projekta izstrādes nepieciešamība</w:t>
            </w:r>
          </w:p>
        </w:tc>
      </w:tr>
      <w:tr w:rsidR="00385F0D" w:rsidRPr="00427146" w:rsidTr="00A100BB">
        <w:trPr>
          <w:trHeight w:val="405"/>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t>1.</w:t>
            </w:r>
          </w:p>
        </w:tc>
        <w:tc>
          <w:tcPr>
            <w:tcW w:w="1090" w:type="pct"/>
            <w:hideMark/>
          </w:tcPr>
          <w:p w:rsidR="00385F0D" w:rsidRPr="00427146" w:rsidRDefault="00385F0D">
            <w:pPr>
              <w:rPr>
                <w:color w:val="000000"/>
              </w:rPr>
            </w:pPr>
            <w:r w:rsidRPr="00427146">
              <w:rPr>
                <w:color w:val="000000"/>
              </w:rPr>
              <w:t>Pamatojums</w:t>
            </w:r>
          </w:p>
        </w:tc>
        <w:tc>
          <w:tcPr>
            <w:tcW w:w="3632" w:type="pct"/>
            <w:hideMark/>
          </w:tcPr>
          <w:p w:rsidR="00385F0D" w:rsidRPr="00F62629" w:rsidRDefault="00385F0D" w:rsidP="00E7386B">
            <w:pPr>
              <w:ind w:right="65"/>
              <w:jc w:val="both"/>
              <w:rPr>
                <w:iCs/>
                <w:szCs w:val="28"/>
                <w:shd w:val="clear" w:color="auto" w:fill="FFFFFF"/>
              </w:rPr>
            </w:pPr>
            <w:r w:rsidRPr="00F62629">
              <w:rPr>
                <w:iCs/>
                <w:szCs w:val="28"/>
                <w:shd w:val="clear" w:color="auto" w:fill="FFFFFF"/>
              </w:rPr>
              <w:t>Ministru kabineta (tu</w:t>
            </w:r>
            <w:r w:rsidR="00632205" w:rsidRPr="00F62629">
              <w:rPr>
                <w:iCs/>
                <w:szCs w:val="28"/>
                <w:shd w:val="clear" w:color="auto" w:fill="FFFFFF"/>
              </w:rPr>
              <w:t xml:space="preserve">rpmāk – MK) noteikumu projektu </w:t>
            </w:r>
            <w:r w:rsidR="00E47163" w:rsidRPr="00F62629">
              <w:rPr>
                <w:iCs/>
                <w:szCs w:val="28"/>
                <w:shd w:val="clear" w:color="auto" w:fill="FFFFFF"/>
              </w:rPr>
              <w:t>“</w:t>
            </w:r>
            <w:r w:rsidR="00877BB7" w:rsidRPr="00F62629">
              <w:rPr>
                <w:iCs/>
                <w:szCs w:val="28"/>
                <w:shd w:val="clear" w:color="auto" w:fill="FFFFFF"/>
              </w:rPr>
              <w:t>Grozījum</w:t>
            </w:r>
            <w:r w:rsidR="00E7386B" w:rsidRPr="00F62629">
              <w:rPr>
                <w:iCs/>
                <w:szCs w:val="28"/>
                <w:shd w:val="clear" w:color="auto" w:fill="FFFFFF"/>
              </w:rPr>
              <w:t>i</w:t>
            </w:r>
            <w:r w:rsidR="00877BB7" w:rsidRPr="00F62629">
              <w:rPr>
                <w:iCs/>
                <w:szCs w:val="28"/>
                <w:shd w:val="clear" w:color="auto" w:fill="FFFFFF"/>
              </w:rPr>
              <w:t xml:space="preserve"> Ministru kabineta 2015.gada 17.novembra noteikumos Nr.</w:t>
            </w:r>
            <w:r w:rsidR="00584A85" w:rsidRPr="00F62629">
              <w:rPr>
                <w:iCs/>
                <w:szCs w:val="28"/>
                <w:shd w:val="clear" w:color="auto" w:fill="FFFFFF"/>
              </w:rPr>
              <w:t>653</w:t>
            </w:r>
            <w:r w:rsidR="00877BB7" w:rsidRPr="00F62629">
              <w:rPr>
                <w:iCs/>
                <w:szCs w:val="28"/>
                <w:shd w:val="clear" w:color="auto" w:fill="FFFFFF"/>
              </w:rPr>
              <w:t xml:space="preserve"> “Darbības programmas </w:t>
            </w:r>
            <w:r w:rsidR="00E7386B" w:rsidRPr="00F62629">
              <w:rPr>
                <w:iCs/>
                <w:szCs w:val="28"/>
                <w:shd w:val="clear" w:color="auto" w:fill="FFFFFF"/>
              </w:rPr>
              <w:t>“Izaugsme un nodarbinātība”</w:t>
            </w:r>
            <w:r w:rsidR="00877BB7" w:rsidRPr="00F62629">
              <w:rPr>
                <w:iCs/>
                <w:szCs w:val="28"/>
                <w:shd w:val="clear" w:color="auto" w:fill="FFFFFF"/>
              </w:rPr>
              <w:t xml:space="preserve"> 2.</w:t>
            </w:r>
            <w:r w:rsidR="00E7386B" w:rsidRPr="00F62629">
              <w:rPr>
                <w:iCs/>
                <w:szCs w:val="28"/>
                <w:shd w:val="clear" w:color="auto" w:fill="FFFFFF"/>
              </w:rPr>
              <w:t>2.1. specifiskā atbalsta mērķa “</w:t>
            </w:r>
            <w:r w:rsidR="00877BB7" w:rsidRPr="00F62629">
              <w:rPr>
                <w:iCs/>
                <w:szCs w:val="28"/>
                <w:shd w:val="clear" w:color="auto" w:fill="FFFFFF"/>
              </w:rPr>
              <w:t xml:space="preserve">Nodrošināt publisko datu atkalizmantošanas pieaugumu un efektīvu publiskās pārvaldes </w:t>
            </w:r>
            <w:r w:rsidR="00E7386B" w:rsidRPr="00F62629">
              <w:rPr>
                <w:iCs/>
                <w:szCs w:val="28"/>
                <w:shd w:val="clear" w:color="auto" w:fill="FFFFFF"/>
              </w:rPr>
              <w:t>un privātā sektora mijiedarbību” 2.2.1.1. pasākuma “</w:t>
            </w:r>
            <w:r w:rsidR="00877BB7" w:rsidRPr="00F62629">
              <w:rPr>
                <w:iCs/>
                <w:szCs w:val="28"/>
                <w:shd w:val="clear" w:color="auto" w:fill="FFFFFF"/>
              </w:rPr>
              <w:t>Centralizētu publiskās pārvaldes IKT platformu izveide, publiskās pārvaldes pr</w:t>
            </w:r>
            <w:r w:rsidR="00E7386B" w:rsidRPr="00F62629">
              <w:rPr>
                <w:iCs/>
                <w:szCs w:val="28"/>
                <w:shd w:val="clear" w:color="auto" w:fill="FFFFFF"/>
              </w:rPr>
              <w:t>ocesu optimizēšana un attīstība”</w:t>
            </w:r>
            <w:r w:rsidR="00877BB7" w:rsidRPr="00F62629">
              <w:rPr>
                <w:iCs/>
                <w:szCs w:val="28"/>
                <w:shd w:val="clear" w:color="auto" w:fill="FFFFFF"/>
              </w:rPr>
              <w:t xml:space="preserve"> īstenošanas noteikumi”</w:t>
            </w:r>
            <w:r w:rsidR="0050332E" w:rsidRPr="00F62629">
              <w:rPr>
                <w:bCs/>
                <w:szCs w:val="28"/>
              </w:rPr>
              <w:t>”</w:t>
            </w:r>
            <w:r w:rsidR="00572572" w:rsidRPr="00F62629">
              <w:rPr>
                <w:bCs/>
                <w:sz w:val="28"/>
                <w:szCs w:val="28"/>
              </w:rPr>
              <w:t xml:space="preserve"> </w:t>
            </w:r>
            <w:r w:rsidRPr="00F62629">
              <w:t>(turpmāk – noteikumu projekts) Vides aizsardzības un reģionālās attīstības ministrija (turpmāk – VARAM) izstrādājusi saskaņā ar</w:t>
            </w:r>
            <w:r w:rsidR="001E1A1F" w:rsidRPr="00F62629">
              <w:t xml:space="preserve"> </w:t>
            </w:r>
            <w:r w:rsidR="001E1A1F" w:rsidRPr="00F62629">
              <w:rPr>
                <w:iCs/>
                <w:szCs w:val="28"/>
                <w:shd w:val="clear" w:color="auto" w:fill="FFFFFF"/>
              </w:rPr>
              <w:t>Eiropas Savienības struktūrfondu</w:t>
            </w:r>
            <w:r w:rsidR="000A4815" w:rsidRPr="00F62629">
              <w:rPr>
                <w:iCs/>
                <w:szCs w:val="28"/>
                <w:shd w:val="clear" w:color="auto" w:fill="FFFFFF"/>
              </w:rPr>
              <w:t xml:space="preserve"> un Kohēzijas fonda 2014.–2020.</w:t>
            </w:r>
            <w:r w:rsidR="001E1A1F" w:rsidRPr="00F62629">
              <w:rPr>
                <w:iCs/>
                <w:szCs w:val="28"/>
                <w:shd w:val="clear" w:color="auto" w:fill="FFFFFF"/>
              </w:rPr>
              <w:t xml:space="preserve">gada plānošanas perioda vadības likuma 20.panta 6. un </w:t>
            </w:r>
            <w:r w:rsidR="001E1A1F" w:rsidRPr="00F62629">
              <w:t>13.punktu</w:t>
            </w:r>
            <w:r w:rsidR="00A44D85" w:rsidRPr="00F62629">
              <w:t xml:space="preserve"> un </w:t>
            </w:r>
            <w:hyperlink r:id="rId8" w:tgtFrame="_blank" w:history="1">
              <w:r w:rsidR="00A44D85" w:rsidRPr="00F62629">
                <w:t>Valsts informācijas sistēmu likuma</w:t>
              </w:r>
            </w:hyperlink>
            <w:r w:rsidR="00A44D85" w:rsidRPr="00F62629">
              <w:t xml:space="preserve"> </w:t>
            </w:r>
            <w:hyperlink r:id="rId9" w:anchor="p4" w:tgtFrame="_blank" w:history="1">
              <w:r w:rsidR="00A44D85" w:rsidRPr="00F62629">
                <w:t>4. panta</w:t>
              </w:r>
            </w:hyperlink>
            <w:r w:rsidR="00A44D85" w:rsidRPr="00F62629">
              <w:t xml:space="preserve"> otro daļu</w:t>
            </w:r>
            <w:r w:rsidR="00877BB7" w:rsidRPr="00F62629">
              <w:t>.</w:t>
            </w:r>
          </w:p>
        </w:tc>
      </w:tr>
      <w:tr w:rsidR="00385F0D" w:rsidRPr="00427146" w:rsidTr="00A100BB">
        <w:trPr>
          <w:trHeight w:val="505"/>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t>2.</w:t>
            </w:r>
          </w:p>
        </w:tc>
        <w:tc>
          <w:tcPr>
            <w:tcW w:w="1090" w:type="pct"/>
            <w:hideMark/>
          </w:tcPr>
          <w:p w:rsidR="00385F0D" w:rsidRPr="00427146" w:rsidRDefault="00385F0D">
            <w:pPr>
              <w:rPr>
                <w:color w:val="000000"/>
              </w:rPr>
            </w:pPr>
            <w:r w:rsidRPr="00427146">
              <w:rPr>
                <w:color w:val="000000"/>
              </w:rPr>
              <w:t>Pašreizējā situācija un problēmas, kuru risināšanai tiesību akta projekts izstrādāts, tiesiskā regulējuma mērķis un būtība</w:t>
            </w:r>
          </w:p>
        </w:tc>
        <w:tc>
          <w:tcPr>
            <w:tcW w:w="3632" w:type="pct"/>
            <w:hideMark/>
          </w:tcPr>
          <w:p w:rsidR="009148E9" w:rsidRPr="00F62629" w:rsidRDefault="0006003C" w:rsidP="00741C8D">
            <w:pPr>
              <w:spacing w:after="120"/>
              <w:ind w:right="72"/>
              <w:jc w:val="both"/>
              <w:rPr>
                <w:bCs/>
              </w:rPr>
            </w:pPr>
            <w:r w:rsidRPr="00F62629">
              <w:rPr>
                <w:bCs/>
              </w:rPr>
              <w:t xml:space="preserve">MK </w:t>
            </w:r>
            <w:r w:rsidR="00C40867" w:rsidRPr="00F62629">
              <w:rPr>
                <w:bCs/>
              </w:rPr>
              <w:t>2015.gada 1</w:t>
            </w:r>
            <w:r w:rsidR="00877BB7" w:rsidRPr="00F62629">
              <w:rPr>
                <w:bCs/>
              </w:rPr>
              <w:t>7</w:t>
            </w:r>
            <w:r w:rsidR="00120CFF" w:rsidRPr="00F62629">
              <w:rPr>
                <w:bCs/>
              </w:rPr>
              <w:t>.</w:t>
            </w:r>
            <w:r w:rsidR="00877BB7" w:rsidRPr="00F62629">
              <w:rPr>
                <w:bCs/>
              </w:rPr>
              <w:t>novembrī</w:t>
            </w:r>
            <w:r w:rsidR="00120CFF" w:rsidRPr="00F62629">
              <w:rPr>
                <w:bCs/>
              </w:rPr>
              <w:t xml:space="preserve"> </w:t>
            </w:r>
            <w:r w:rsidRPr="00F62629">
              <w:rPr>
                <w:bCs/>
              </w:rPr>
              <w:t xml:space="preserve">ir pieņēmis </w:t>
            </w:r>
            <w:r w:rsidR="0093312D" w:rsidRPr="00F62629">
              <w:rPr>
                <w:bCs/>
              </w:rPr>
              <w:t xml:space="preserve"> </w:t>
            </w:r>
            <w:r w:rsidR="001A1E9B" w:rsidRPr="00F62629">
              <w:rPr>
                <w:bCs/>
              </w:rPr>
              <w:t>noteikum</w:t>
            </w:r>
            <w:r w:rsidRPr="00F62629">
              <w:rPr>
                <w:bCs/>
              </w:rPr>
              <w:t>us</w:t>
            </w:r>
            <w:r w:rsidR="001A1E9B" w:rsidRPr="00F62629">
              <w:rPr>
                <w:bCs/>
              </w:rPr>
              <w:t xml:space="preserve"> </w:t>
            </w:r>
            <w:r w:rsidR="00CE5044" w:rsidRPr="00F62629">
              <w:rPr>
                <w:bCs/>
                <w:szCs w:val="28"/>
              </w:rPr>
              <w:t>Nr.</w:t>
            </w:r>
            <w:r w:rsidR="00877BB7" w:rsidRPr="00F62629">
              <w:rPr>
                <w:bCs/>
                <w:szCs w:val="28"/>
              </w:rPr>
              <w:t>65</w:t>
            </w:r>
            <w:r w:rsidR="00CE5044" w:rsidRPr="00F62629">
              <w:rPr>
                <w:bCs/>
                <w:szCs w:val="28"/>
              </w:rPr>
              <w:t>3 “</w:t>
            </w:r>
            <w:r w:rsidR="00877BB7" w:rsidRPr="00F62629">
              <w:rPr>
                <w:bCs/>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00CE5044" w:rsidRPr="00F62629">
              <w:rPr>
                <w:bCs/>
                <w:szCs w:val="28"/>
              </w:rPr>
              <w:t>”</w:t>
            </w:r>
            <w:r w:rsidR="001A1E9B" w:rsidRPr="00F62629">
              <w:rPr>
                <w:bCs/>
                <w:shd w:val="clear" w:color="auto" w:fill="FFFFFF"/>
              </w:rPr>
              <w:t xml:space="preserve"> </w:t>
            </w:r>
            <w:r w:rsidR="0093312D" w:rsidRPr="00F62629">
              <w:rPr>
                <w:bCs/>
              </w:rPr>
              <w:t xml:space="preserve">(turpmāk – </w:t>
            </w:r>
            <w:r w:rsidR="00F5726F" w:rsidRPr="00F62629">
              <w:rPr>
                <w:bCs/>
              </w:rPr>
              <w:t xml:space="preserve">MK </w:t>
            </w:r>
            <w:r w:rsidR="0093312D" w:rsidRPr="00F62629">
              <w:rPr>
                <w:bCs/>
              </w:rPr>
              <w:t>noteikumi</w:t>
            </w:r>
            <w:r w:rsidR="00F5726F" w:rsidRPr="00F62629">
              <w:rPr>
                <w:bCs/>
              </w:rPr>
              <w:t xml:space="preserve"> Nr.</w:t>
            </w:r>
            <w:r w:rsidR="00877BB7" w:rsidRPr="00F62629">
              <w:rPr>
                <w:bCs/>
              </w:rPr>
              <w:t>65</w:t>
            </w:r>
            <w:r w:rsidR="00CE5044" w:rsidRPr="00F62629">
              <w:rPr>
                <w:bCs/>
              </w:rPr>
              <w:t>3</w:t>
            </w:r>
            <w:r w:rsidR="0093312D" w:rsidRPr="00F62629">
              <w:rPr>
                <w:bCs/>
              </w:rPr>
              <w:t>)</w:t>
            </w:r>
            <w:r w:rsidR="00E74E0F" w:rsidRPr="00F62629">
              <w:rPr>
                <w:bCs/>
              </w:rPr>
              <w:t>.</w:t>
            </w:r>
          </w:p>
          <w:p w:rsidR="00DF5BBE" w:rsidRPr="00F62629" w:rsidRDefault="00F5726F" w:rsidP="00877BB7">
            <w:pPr>
              <w:spacing w:after="120"/>
              <w:ind w:right="72"/>
              <w:jc w:val="both"/>
              <w:rPr>
                <w:bCs/>
              </w:rPr>
            </w:pPr>
            <w:r w:rsidRPr="00F62629">
              <w:rPr>
                <w:iCs/>
                <w:shd w:val="clear" w:color="auto" w:fill="FFFFFF"/>
              </w:rPr>
              <w:t>MK n</w:t>
            </w:r>
            <w:r w:rsidR="004E1121" w:rsidRPr="00F62629">
              <w:rPr>
                <w:iCs/>
                <w:shd w:val="clear" w:color="auto" w:fill="FFFFFF"/>
              </w:rPr>
              <w:t xml:space="preserve">oteikumu </w:t>
            </w:r>
            <w:r w:rsidRPr="00F62629">
              <w:rPr>
                <w:iCs/>
                <w:shd w:val="clear" w:color="auto" w:fill="FFFFFF"/>
              </w:rPr>
              <w:t>Nr.</w:t>
            </w:r>
            <w:r w:rsidR="00877BB7" w:rsidRPr="00F62629">
              <w:rPr>
                <w:iCs/>
                <w:shd w:val="clear" w:color="auto" w:fill="FFFFFF"/>
              </w:rPr>
              <w:t>65</w:t>
            </w:r>
            <w:r w:rsidR="00CE5044" w:rsidRPr="00F62629">
              <w:rPr>
                <w:iCs/>
                <w:shd w:val="clear" w:color="auto" w:fill="FFFFFF"/>
              </w:rPr>
              <w:t>3</w:t>
            </w:r>
            <w:r w:rsidRPr="00F62629">
              <w:rPr>
                <w:iCs/>
                <w:shd w:val="clear" w:color="auto" w:fill="FFFFFF"/>
              </w:rPr>
              <w:t xml:space="preserve"> </w:t>
            </w:r>
            <w:r w:rsidR="00877BB7" w:rsidRPr="00F62629">
              <w:rPr>
                <w:iCs/>
                <w:shd w:val="clear" w:color="auto" w:fill="FFFFFF"/>
              </w:rPr>
              <w:t>20.1.2.</w:t>
            </w:r>
            <w:r w:rsidR="00DF5BBE" w:rsidRPr="00F62629">
              <w:rPr>
                <w:iCs/>
                <w:shd w:val="clear" w:color="auto" w:fill="FFFFFF"/>
              </w:rPr>
              <w:t xml:space="preserve">apakšpunkts paredz, ka  </w:t>
            </w:r>
            <w:r w:rsidR="00EE69DF" w:rsidRPr="00F62629">
              <w:rPr>
                <w:bCs/>
              </w:rPr>
              <w:t xml:space="preserve">2.2.1.1. pasākuma "Centralizētu publiskās pārvaldes IKT platformu izveide, publiskās pārvaldes procesu optimizēšana un attīstība" (turpmāk – 2.2.1.1.pasākums) ietvaros </w:t>
            </w:r>
            <w:r w:rsidR="00DF5BBE" w:rsidRPr="00F62629">
              <w:rPr>
                <w:iCs/>
                <w:shd w:val="clear" w:color="auto" w:fill="FFFFFF"/>
              </w:rPr>
              <w:t xml:space="preserve">projekta tiešās attiecināmās izmaksas ir </w:t>
            </w:r>
            <w:r w:rsidR="00877BB7" w:rsidRPr="00F62629">
              <w:t>projekta īstenošanas personāla atlīdzības izmaksas</w:t>
            </w:r>
            <w:r w:rsidR="00DF5BBE" w:rsidRPr="00F62629">
              <w:rPr>
                <w:iCs/>
                <w:shd w:val="clear" w:color="auto" w:fill="FFFFFF"/>
              </w:rPr>
              <w:t>.</w:t>
            </w:r>
            <w:r w:rsidR="00877BB7" w:rsidRPr="00F62629">
              <w:rPr>
                <w:iCs/>
                <w:shd w:val="clear" w:color="auto" w:fill="FFFFFF"/>
              </w:rPr>
              <w:t xml:space="preserve"> Savukārt MK noteikumu Nr.653 </w:t>
            </w:r>
            <w:r w:rsidR="00877BB7" w:rsidRPr="00F62629">
              <w:t xml:space="preserve">26.punkts nosaka, ka 20.1.2. apakšpunktā minētās projekta īstenošanas personāla atlīdzības izmaksas </w:t>
            </w:r>
            <w:r w:rsidR="00877BB7" w:rsidRPr="00F62629">
              <w:rPr>
                <w:bCs/>
              </w:rPr>
              <w:t>kopā nepārsniedz piecus procentus no projekta kopējām tiešajām attiecināmajām izmaksām. Ja projekta ietvaros tiek veidota centralizēta informācijas sistēmu platforma vai centralizētas informācijas sistēmu platformas jauna funkcionalitāte, šo noteikumu 20.1.2. apakšpunktā minētās projekta īstenošanas personāla atlīdzības izmaksas kopā nepārsniedz 10 procentus no projekta kopējām tiešajām attiecināmajām izmaksām. Šo noteikumu 20.1.2. apakšpunktā minētās projekta īstenošanas personāla atlīdzības izmaksas valsts informācijas un komunikācijas tehnoloģiju (turpmāk – IKT) pārvaldības organizācijas</w:t>
            </w:r>
            <w:r w:rsidR="00E70D44" w:rsidRPr="00F62629">
              <w:rPr>
                <w:bCs/>
              </w:rPr>
              <w:t xml:space="preserve"> (VARAM) </w:t>
            </w:r>
            <w:r w:rsidR="00877BB7" w:rsidRPr="00F62629">
              <w:rPr>
                <w:bCs/>
              </w:rPr>
              <w:t>īstenotā projektā kopā nepārsniedz 15 procentus no projekta kopējām tiešajām attiecināmajām izmaksām.</w:t>
            </w:r>
          </w:p>
          <w:p w:rsidR="00877BB7" w:rsidRPr="00F62629" w:rsidRDefault="00877BB7" w:rsidP="00877BB7">
            <w:pPr>
              <w:spacing w:after="120"/>
              <w:ind w:right="72"/>
              <w:jc w:val="both"/>
            </w:pPr>
            <w:r w:rsidRPr="00F62629">
              <w:rPr>
                <w:bCs/>
              </w:rPr>
              <w:t xml:space="preserve">Ar MK 2016.gada 10.februāra rīkojumu Nr.136 “Par informācijas sabiedrības attīstības pamatnostādņu ieviešanu publiskās pārvaldes informācijas sistēmu jomā” </w:t>
            </w:r>
            <w:r w:rsidR="00504020" w:rsidRPr="00F62629">
              <w:rPr>
                <w:bCs/>
              </w:rPr>
              <w:t xml:space="preserve">(turpmāk – MK rīkojums Nr.136) </w:t>
            </w:r>
            <w:r w:rsidRPr="00F62629">
              <w:rPr>
                <w:bCs/>
              </w:rPr>
              <w:t>VARAM ir uzdots īstenot projektu “</w:t>
            </w:r>
            <w:r w:rsidRPr="00F62629">
              <w:t>Publiskās pārvaldes informācijas un komunikāciju tehnoloģiju arhitektūras pārvaldības sistēma"</w:t>
            </w:r>
            <w:r w:rsidR="00EE69DF" w:rsidRPr="00F62629">
              <w:t xml:space="preserve"> (turpmāk – </w:t>
            </w:r>
            <w:r w:rsidR="00106022" w:rsidRPr="00F62629">
              <w:t xml:space="preserve">PIKTAPS </w:t>
            </w:r>
            <w:r w:rsidR="00EE69DF" w:rsidRPr="00F62629">
              <w:t>projekts)</w:t>
            </w:r>
            <w:r w:rsidRPr="00F62629">
              <w:t xml:space="preserve"> ar projekta izmaksām 4 500 000 </w:t>
            </w:r>
            <w:r w:rsidRPr="00F62629">
              <w:rPr>
                <w:i/>
                <w:iCs/>
              </w:rPr>
              <w:t>euro</w:t>
            </w:r>
            <w:r w:rsidRPr="00F62629">
              <w:t xml:space="preserve"> apmērā un uz šo projektu ir attiecināms 26.punktā minētais projekta īstenošanas personāla atlīdzības izmaksu ierobežojums 15 procentu apmērā. </w:t>
            </w:r>
          </w:p>
          <w:p w:rsidR="00877BB7" w:rsidRPr="00BD3074" w:rsidRDefault="00877BB7" w:rsidP="00877BB7">
            <w:pPr>
              <w:spacing w:after="120"/>
              <w:ind w:right="72"/>
              <w:jc w:val="both"/>
            </w:pPr>
            <w:r w:rsidRPr="00F62629">
              <w:t xml:space="preserve">Viens no galvenajiem projekta mērķiem ir nodrošināt 2014.-2020. gada plānošanas perioda </w:t>
            </w:r>
            <w:r w:rsidR="00E70D44" w:rsidRPr="00F62629">
              <w:t xml:space="preserve">Eiropas Reģionālās attīstības fonda (turpmāk – ERAF) </w:t>
            </w:r>
            <w:r w:rsidRPr="00F62629">
              <w:t xml:space="preserve">IKT projektu savstarpējo saskaņotību no IKT arhitektūras un </w:t>
            </w:r>
            <w:r w:rsidR="00EE69DF" w:rsidRPr="00F62629">
              <w:t>2.2.1. specifiskā atbalsta mērķa "Nodrošināt publisko datu atkalizmantošanas pieaugumu un efektīvu publiskās pārvaldes un privātā sektora mijiedarbību"</w:t>
            </w:r>
            <w:r w:rsidRPr="00F62629">
              <w:t xml:space="preserve"> </w:t>
            </w:r>
            <w:r w:rsidR="002A537F" w:rsidRPr="00F62629">
              <w:t xml:space="preserve">(turpmāk – SAM 2.2.1.) </w:t>
            </w:r>
            <w:r w:rsidRPr="00F62629">
              <w:t xml:space="preserve">kopējo rādītāju izpildes viedokļa, kā arī </w:t>
            </w:r>
            <w:r w:rsidRPr="00BD3074">
              <w:t>sekmēt Publiskās pārvaldes informācijas sistēmu konceptuālās arhitektūras principu īstenošanu.</w:t>
            </w:r>
          </w:p>
          <w:p w:rsidR="00775AD3" w:rsidRPr="00BD3074" w:rsidRDefault="00775AD3" w:rsidP="00775AD3">
            <w:pPr>
              <w:spacing w:before="120"/>
              <w:jc w:val="both"/>
              <w:rPr>
                <w:bCs/>
              </w:rPr>
            </w:pPr>
            <w:r w:rsidRPr="00BD3074">
              <w:rPr>
                <w:bCs/>
              </w:rPr>
              <w:t xml:space="preserve">PIKTAPS projekts tika vērtēts, izmantojot vērtēšanas sistēmu, kas ir vienāda visiem projektiem un kas noteikta VARAM 2016.gada 14.janvāra metodikā projektu iekļaušanai IKT mērķarhitektūrā (publicēta VARAM tīmekļvietnē: </w:t>
            </w:r>
            <w:hyperlink r:id="rId10" w:history="1">
              <w:r w:rsidRPr="00BD3074">
                <w:rPr>
                  <w:bCs/>
                </w:rPr>
                <w:t>http://www.varam.gov.lv/lat/fondi/kohez/2014_2020/?doc=18634</w:t>
              </w:r>
            </w:hyperlink>
            <w:r w:rsidRPr="00BD3074">
              <w:rPr>
                <w:bCs/>
              </w:rPr>
              <w:t xml:space="preserve">). MK noteikumu projektā paredzētais grozījums attiecībā uz projekta īstenošanas personāla izmaksu ierobežojuma izmaiņām neietekmē MK apstiprinātajā PIKTAPS projekta aprakstā norādīto projekta mērķi, kopējo finansējuma apjomu un sasniedzamos rezultātus, tāpēc projekta apraksta atkārtota saskaņošana MK nav nepieciešama. </w:t>
            </w:r>
          </w:p>
          <w:p w:rsidR="00C61370" w:rsidRPr="00BD3074" w:rsidRDefault="00C61370" w:rsidP="00C61370">
            <w:pPr>
              <w:spacing w:before="120"/>
              <w:jc w:val="both"/>
              <w:rPr>
                <w:bCs/>
              </w:rPr>
            </w:pPr>
            <w:r w:rsidRPr="00BD3074">
              <w:t xml:space="preserve">Pēc </w:t>
            </w:r>
            <w:r w:rsidRPr="00BD3074">
              <w:rPr>
                <w:bCs/>
              </w:rPr>
              <w:t xml:space="preserve">MK noteikumu Nr.653 </w:t>
            </w:r>
            <w:r w:rsidR="008B1FBD" w:rsidRPr="00BD3074">
              <w:rPr>
                <w:bCs/>
              </w:rPr>
              <w:t>apstiprināšanas</w:t>
            </w:r>
            <w:r w:rsidRPr="00BD3074">
              <w:rPr>
                <w:bCs/>
              </w:rPr>
              <w:t xml:space="preserve"> 2015.gada 17.novembrī VARAM uzsāka projekta apraksta formas un PIKTAPS projekta izstrādi, uz kā pamata tika veikti aprēķini nepieciešamajam PIKTAPS projekta īstenošanas personāla atlīdzības apmēram, ievērojot MK noteikumu Nr.653 26.punktā noteikto ierobežojumu – projekta īstenošanas personāla atlīdzības izmaksas valsts </w:t>
            </w:r>
            <w:r w:rsidR="008B1FBD" w:rsidRPr="00BD3074">
              <w:rPr>
                <w:bCs/>
              </w:rPr>
              <w:t>IKT</w:t>
            </w:r>
            <w:r w:rsidRPr="00BD3074">
              <w:rPr>
                <w:bCs/>
              </w:rPr>
              <w:t xml:space="preserve"> pārvaldības organizācijas īstenotā projektā kopā nepārsniedz 15 procentus no projekta kopējām tiešajām attiecināmajām izmaksām.</w:t>
            </w:r>
          </w:p>
          <w:p w:rsidR="009A354C" w:rsidRPr="00BD3074" w:rsidRDefault="00C61370" w:rsidP="00C61370">
            <w:pPr>
              <w:spacing w:before="120"/>
              <w:jc w:val="both"/>
            </w:pPr>
            <w:r w:rsidRPr="00BD3074">
              <w:rPr>
                <w:bCs/>
              </w:rPr>
              <w:t xml:space="preserve">Šī noteiktā </w:t>
            </w:r>
            <w:r w:rsidR="008B1FBD" w:rsidRPr="00BD3074">
              <w:rPr>
                <w:bCs/>
              </w:rPr>
              <w:t xml:space="preserve">projekta īstenošanas personāla atlīdzības izmaksu </w:t>
            </w:r>
            <w:r w:rsidRPr="00BD3074">
              <w:rPr>
                <w:bCs/>
              </w:rPr>
              <w:t xml:space="preserve">ierobežojuma ietvaros tika plānotas šādas </w:t>
            </w:r>
            <w:r w:rsidR="00106022" w:rsidRPr="00BD3074">
              <w:t xml:space="preserve">PIKTAPS </w:t>
            </w:r>
            <w:r w:rsidR="00CE1164" w:rsidRPr="00BD3074">
              <w:t>projekta</w:t>
            </w:r>
            <w:r w:rsidR="009A354C" w:rsidRPr="00BD3074">
              <w:t xml:space="preserve"> </w:t>
            </w:r>
            <w:r w:rsidR="007469FD" w:rsidRPr="00BD3074">
              <w:t>darbības</w:t>
            </w:r>
            <w:r w:rsidRPr="00BD3074">
              <w:t>, kas</w:t>
            </w:r>
            <w:r w:rsidR="009A354C" w:rsidRPr="00BD3074">
              <w:t xml:space="preserve"> būtiski atšķir</w:t>
            </w:r>
            <w:r w:rsidR="007469FD" w:rsidRPr="00BD3074">
              <w:t>a</w:t>
            </w:r>
            <w:r w:rsidR="009A354C" w:rsidRPr="00BD3074">
              <w:t xml:space="preserve">s no citu </w:t>
            </w:r>
            <w:r w:rsidR="00E70D44" w:rsidRPr="00BD3074">
              <w:t xml:space="preserve">ERAF </w:t>
            </w:r>
            <w:r w:rsidR="009A354C" w:rsidRPr="00BD3074">
              <w:t>IKT projektu apjomiem:</w:t>
            </w:r>
          </w:p>
          <w:p w:rsidR="009A354C" w:rsidRPr="00BD3074" w:rsidRDefault="0012459D" w:rsidP="00D91DEE">
            <w:pPr>
              <w:pStyle w:val="ListParagraph"/>
              <w:numPr>
                <w:ilvl w:val="0"/>
                <w:numId w:val="44"/>
              </w:numPr>
              <w:ind w:right="74" w:hanging="357"/>
              <w:jc w:val="both"/>
            </w:pPr>
            <w:r w:rsidRPr="00BD3074">
              <w:t xml:space="preserve">Jānodrošina </w:t>
            </w:r>
            <w:r w:rsidRPr="00BD3074">
              <w:rPr>
                <w:bCs/>
              </w:rPr>
              <w:t xml:space="preserve">SAM 2.2.1. (1.kārtā 38 projekti) </w:t>
            </w:r>
            <w:r w:rsidRPr="00BD3074">
              <w:t xml:space="preserve">projektu </w:t>
            </w:r>
            <w:r w:rsidR="00E70D44" w:rsidRPr="00BD3074">
              <w:t>detalizēto aprakstu izvērtē</w:t>
            </w:r>
            <w:r w:rsidRPr="00BD3074">
              <w:t>š</w:t>
            </w:r>
            <w:r w:rsidR="00E70D44" w:rsidRPr="00BD3074">
              <w:t>a</w:t>
            </w:r>
            <w:r w:rsidRPr="00BD3074">
              <w:t>na, virzība un uzraudzība atbilstoši IKT arhitektūrai</w:t>
            </w:r>
            <w:r w:rsidR="009A354C" w:rsidRPr="00BD3074">
              <w:t>, t.sk.</w:t>
            </w:r>
          </w:p>
          <w:p w:rsidR="00CE1164" w:rsidRPr="00BD3074" w:rsidRDefault="008F60D7" w:rsidP="00D91DEE">
            <w:pPr>
              <w:pStyle w:val="ListParagraph"/>
              <w:numPr>
                <w:ilvl w:val="1"/>
                <w:numId w:val="44"/>
              </w:numPr>
              <w:ind w:right="74" w:hanging="357"/>
              <w:jc w:val="both"/>
            </w:pPr>
            <w:r w:rsidRPr="00BD3074">
              <w:t>v</w:t>
            </w:r>
            <w:r w:rsidR="00501029" w:rsidRPr="00BD3074">
              <w:t>eicot detalizēto projektu aprakstu vērtēšanu;</w:t>
            </w:r>
          </w:p>
          <w:p w:rsidR="00501029" w:rsidRPr="00BD3074" w:rsidRDefault="008F60D7" w:rsidP="00D91DEE">
            <w:pPr>
              <w:pStyle w:val="ListParagraph"/>
              <w:numPr>
                <w:ilvl w:val="1"/>
                <w:numId w:val="44"/>
              </w:numPr>
              <w:ind w:right="74" w:hanging="357"/>
              <w:jc w:val="both"/>
            </w:pPr>
            <w:r w:rsidRPr="00BD3074">
              <w:t>p</w:t>
            </w:r>
            <w:r w:rsidR="00501029" w:rsidRPr="00BD3074">
              <w:t>reventīvi konsultējot projektu iesniedzējus par projektu ideju atbilstību IKT arhitektūrai un SAM 2.2.1.</w:t>
            </w:r>
            <w:r w:rsidR="007469FD" w:rsidRPr="00BD3074">
              <w:t xml:space="preserve"> nosacījumiem</w:t>
            </w:r>
            <w:r w:rsidR="00501029" w:rsidRPr="00BD3074">
              <w:t>;</w:t>
            </w:r>
          </w:p>
          <w:p w:rsidR="00501029" w:rsidRPr="00BD3074" w:rsidRDefault="008F60D7" w:rsidP="00D91DEE">
            <w:pPr>
              <w:pStyle w:val="ListParagraph"/>
              <w:numPr>
                <w:ilvl w:val="1"/>
                <w:numId w:val="44"/>
              </w:numPr>
              <w:ind w:right="74" w:hanging="357"/>
              <w:jc w:val="both"/>
            </w:pPr>
            <w:r w:rsidRPr="00BD3074">
              <w:t>piedaloties mediatora lomā projektu saskaņošanā ar pašvaldībām;</w:t>
            </w:r>
          </w:p>
          <w:p w:rsidR="008F60D7" w:rsidRPr="00BD3074" w:rsidRDefault="00E70D44" w:rsidP="00D91DEE">
            <w:pPr>
              <w:pStyle w:val="ListParagraph"/>
              <w:numPr>
                <w:ilvl w:val="1"/>
                <w:numId w:val="44"/>
              </w:numPr>
              <w:ind w:right="74" w:hanging="357"/>
              <w:jc w:val="both"/>
            </w:pPr>
            <w:r w:rsidRPr="00BD3074">
              <w:t>virzot projektu aprakstus izskatīšanai</w:t>
            </w:r>
            <w:r w:rsidR="00B13339" w:rsidRPr="00BD3074">
              <w:t xml:space="preserve"> </w:t>
            </w:r>
            <w:r w:rsidR="007469FD" w:rsidRPr="00BD3074">
              <w:t>MK</w:t>
            </w:r>
            <w:r w:rsidR="00B13339" w:rsidRPr="00BD3074">
              <w:t xml:space="preserve"> ;</w:t>
            </w:r>
          </w:p>
          <w:p w:rsidR="00B13339" w:rsidRPr="00BD3074" w:rsidRDefault="00B13339" w:rsidP="00D91DEE">
            <w:pPr>
              <w:pStyle w:val="ListParagraph"/>
              <w:numPr>
                <w:ilvl w:val="1"/>
                <w:numId w:val="44"/>
              </w:numPr>
              <w:ind w:right="74" w:hanging="357"/>
              <w:jc w:val="both"/>
            </w:pPr>
            <w:r w:rsidRPr="00BD3074">
              <w:t>veicot projektu savstarpējo atkarību uzraudzību projektos, kuros tiek izstrādāti koplietošanas IKT risinājumi (dalība darba grupās, mediācija, ekspertīze);</w:t>
            </w:r>
          </w:p>
          <w:p w:rsidR="00B13339" w:rsidRPr="00BD3074" w:rsidRDefault="00B13339" w:rsidP="00D91DEE">
            <w:pPr>
              <w:pStyle w:val="ListParagraph"/>
              <w:numPr>
                <w:ilvl w:val="1"/>
                <w:numId w:val="44"/>
              </w:numPr>
              <w:ind w:right="74" w:hanging="357"/>
              <w:jc w:val="both"/>
            </w:pPr>
            <w:r w:rsidRPr="00BD3074">
              <w:t>nodrošinot IKT pārvaldības organizācijas dalību projektu uzraudzības padomēs, nodrošinot projektu risku vadību.</w:t>
            </w:r>
          </w:p>
          <w:p w:rsidR="0012459D" w:rsidRPr="00BD3074" w:rsidRDefault="0012459D" w:rsidP="00FD1E54">
            <w:pPr>
              <w:pStyle w:val="ListParagraph"/>
              <w:numPr>
                <w:ilvl w:val="0"/>
                <w:numId w:val="44"/>
              </w:numPr>
              <w:spacing w:after="120"/>
              <w:ind w:right="72"/>
              <w:jc w:val="both"/>
            </w:pPr>
            <w:r w:rsidRPr="00BD3074">
              <w:t xml:space="preserve">Atšķirībā no citiem </w:t>
            </w:r>
            <w:r w:rsidR="00E70D44" w:rsidRPr="00BD3074">
              <w:t xml:space="preserve">SAM 2.2.1. </w:t>
            </w:r>
            <w:r w:rsidRPr="00BD3074">
              <w:t>projektiem PIKTAPS projekta ietvaros tiks attīstītas vairākas centralizētas koplietošanas platformas (kopā 5 IKT risinājumi). No minēto platformu ieviešanas ir atkarīgi gandrīz visi ERAF IKT projekti.</w:t>
            </w:r>
            <w:r w:rsidR="003F0D82" w:rsidRPr="00BD3074">
              <w:t xml:space="preserve"> </w:t>
            </w:r>
          </w:p>
          <w:p w:rsidR="0012459D" w:rsidRPr="00BD3074" w:rsidRDefault="0012459D" w:rsidP="008C5CBD">
            <w:pPr>
              <w:pStyle w:val="ListParagraph"/>
              <w:numPr>
                <w:ilvl w:val="0"/>
                <w:numId w:val="44"/>
              </w:numPr>
              <w:spacing w:after="120"/>
              <w:ind w:right="72"/>
              <w:jc w:val="both"/>
            </w:pPr>
            <w:r w:rsidRPr="00BD3074">
              <w:t xml:space="preserve">PIKTAPS </w:t>
            </w:r>
            <w:r w:rsidR="000F66CF" w:rsidRPr="00BD3074">
              <w:t xml:space="preserve">projekta </w:t>
            </w:r>
            <w:r w:rsidRPr="00BD3074">
              <w:t xml:space="preserve">ietvaros </w:t>
            </w:r>
            <w:r w:rsidR="00854178" w:rsidRPr="00BD3074">
              <w:t>jānodrošin</w:t>
            </w:r>
            <w:r w:rsidRPr="00BD3074">
              <w:t xml:space="preserve">a </w:t>
            </w:r>
            <w:r w:rsidR="00854178" w:rsidRPr="00BD3074">
              <w:t>centralizētas SAM 2.2.1. (1. kārtas projektos)</w:t>
            </w:r>
            <w:r w:rsidRPr="00BD3074">
              <w:t xml:space="preserve"> IKT iespēju izmantošanas veicināšana</w:t>
            </w:r>
            <w:r w:rsidR="00854178" w:rsidRPr="00BD3074">
              <w:t>s aktivitātes</w:t>
            </w:r>
            <w:r w:rsidRPr="00BD3074">
              <w:t>.</w:t>
            </w:r>
          </w:p>
          <w:p w:rsidR="0094471C" w:rsidRPr="00BD3074" w:rsidRDefault="004E3532" w:rsidP="0094471C">
            <w:pPr>
              <w:spacing w:before="120"/>
              <w:jc w:val="both"/>
            </w:pPr>
            <w:r w:rsidRPr="00BD3074">
              <w:t xml:space="preserve">Tomēr </w:t>
            </w:r>
            <w:r w:rsidR="0094471C" w:rsidRPr="00BD3074">
              <w:t xml:space="preserve">MK rīkojuma Nr.136 saskaņošanas </w:t>
            </w:r>
            <w:r w:rsidR="00A01CCF" w:rsidRPr="00BD3074">
              <w:t>procesā tika panākta vienošanās</w:t>
            </w:r>
            <w:r w:rsidRPr="00BD3074">
              <w:t xml:space="preserve"> (tai skaitā ar Finanšu ministriju)</w:t>
            </w:r>
            <w:r w:rsidR="0094471C" w:rsidRPr="00BD3074">
              <w:t xml:space="preserve"> par projekta apraksta formas papildināšanu ar jaunām sadaļām, lai tiktu nodrošināts, ka IKT mērķarhitektūrā tiek iekļauti tikai tādi projektu apraksti, kas ir analizēti ne tikai atbilstoši IKT arhitektūras principiem, bet arī atbilstoši darbības programmas "Izaugsme un nodarbinātība"</w:t>
            </w:r>
            <w:r w:rsidR="0094471C" w:rsidRPr="00BD3074">
              <w:rPr>
                <w:color w:val="000000"/>
              </w:rPr>
              <w:t xml:space="preserve"> noteiktajiem mērķiem un prioritātēm</w:t>
            </w:r>
            <w:r w:rsidR="0058056C" w:rsidRPr="00BD3074">
              <w:rPr>
                <w:color w:val="000000"/>
              </w:rPr>
              <w:t xml:space="preserve"> un ka</w:t>
            </w:r>
            <w:r w:rsidR="0094471C" w:rsidRPr="00BD3074">
              <w:rPr>
                <w:color w:val="000000"/>
              </w:rPr>
              <w:t xml:space="preserve"> VARAM </w:t>
            </w:r>
            <w:r w:rsidR="0094471C" w:rsidRPr="00BD3074">
              <w:t xml:space="preserve">izvērtēs projektu aprakstus un to pielikumus, kas </w:t>
            </w:r>
            <w:r w:rsidR="0094471C" w:rsidRPr="00BD3074">
              <w:rPr>
                <w:bCs/>
                <w:color w:val="000000"/>
              </w:rPr>
              <w:t>papildus</w:t>
            </w:r>
            <w:r w:rsidR="0094471C" w:rsidRPr="00BD3074">
              <w:t xml:space="preserve"> ietvers šādas galvenās sadaļas:</w:t>
            </w:r>
          </w:p>
          <w:p w:rsidR="0094471C" w:rsidRPr="00BD3074" w:rsidRDefault="00403B8E" w:rsidP="008B1FBD">
            <w:pPr>
              <w:pStyle w:val="ListParagraph"/>
              <w:numPr>
                <w:ilvl w:val="0"/>
                <w:numId w:val="46"/>
              </w:numPr>
              <w:spacing w:before="120"/>
              <w:jc w:val="both"/>
            </w:pPr>
            <w:r w:rsidRPr="00BD3074">
              <w:t xml:space="preserve">Informāciju </w:t>
            </w:r>
            <w:r w:rsidR="0094471C" w:rsidRPr="00BD3074">
              <w:t>par projektu ieguvumiem</w:t>
            </w:r>
            <w:r w:rsidRPr="00BD3074">
              <w:t>.</w:t>
            </w:r>
          </w:p>
          <w:p w:rsidR="0094471C" w:rsidRPr="00BD3074" w:rsidRDefault="00403B8E" w:rsidP="008B1FBD">
            <w:pPr>
              <w:pStyle w:val="ListParagraph"/>
              <w:numPr>
                <w:ilvl w:val="0"/>
                <w:numId w:val="46"/>
              </w:numPr>
              <w:spacing w:before="120"/>
              <w:jc w:val="both"/>
            </w:pPr>
            <w:r w:rsidRPr="00BD3074">
              <w:t xml:space="preserve">Detalizētu </w:t>
            </w:r>
            <w:r w:rsidR="0094471C" w:rsidRPr="00BD3074">
              <w:t>informāciju par visu projekta ietvaros pilnveidojamo procesu pilnveides nepieciešamības pamatojumu, darbībām, kas tiks veiktas, lai nodrošinātu pāreju uz elektronizētu procesu komersantiem, publiskās pārvaldes iestādēm un iedzīvotājiem</w:t>
            </w:r>
            <w:r w:rsidRPr="00BD3074">
              <w:t>.</w:t>
            </w:r>
          </w:p>
          <w:p w:rsidR="0094471C" w:rsidRPr="00BD3074" w:rsidRDefault="00403B8E" w:rsidP="008B1FBD">
            <w:pPr>
              <w:pStyle w:val="ListParagraph"/>
              <w:numPr>
                <w:ilvl w:val="0"/>
                <w:numId w:val="46"/>
              </w:numPr>
              <w:spacing w:before="120"/>
              <w:jc w:val="both"/>
            </w:pPr>
            <w:r w:rsidRPr="00BD3074">
              <w:t xml:space="preserve">Pakalpojumu </w:t>
            </w:r>
            <w:r w:rsidR="0094471C" w:rsidRPr="00BD3074">
              <w:t>elektronizēšanas nepieciešamību, ņemot vērā pieprasījumu pēc šāda pakalpojuma, kā arī paredzētajām darbīb</w:t>
            </w:r>
            <w:r w:rsidR="00611BC2" w:rsidRPr="00BD3074">
              <w:t>ām</w:t>
            </w:r>
            <w:r w:rsidR="0094471C" w:rsidRPr="00BD3074">
              <w:t xml:space="preserve"> projekta rezultātu lietošanas pieaugumam un ilgtspējas nodrošināšanai</w:t>
            </w:r>
            <w:r w:rsidRPr="00BD3074">
              <w:t>.</w:t>
            </w:r>
          </w:p>
          <w:p w:rsidR="0094471C" w:rsidRPr="00BD3074" w:rsidRDefault="00403B8E" w:rsidP="008B1FBD">
            <w:pPr>
              <w:pStyle w:val="ListParagraph"/>
              <w:numPr>
                <w:ilvl w:val="0"/>
                <w:numId w:val="46"/>
              </w:numPr>
              <w:spacing w:before="120"/>
              <w:jc w:val="both"/>
            </w:pPr>
            <w:r w:rsidRPr="00BD3074">
              <w:t>Detalizētāk</w:t>
            </w:r>
            <w:r w:rsidR="0094471C" w:rsidRPr="00BD3074">
              <w:t>u informāciju par “būtisko arhitektūras elementu izmantošanu”, “būtisko arhitektūras elementu attīstīšanu” un  “būtisko arhitektūras elementu robežšķirtnēm”.</w:t>
            </w:r>
          </w:p>
          <w:p w:rsidR="00A859CC" w:rsidRPr="00BD3074" w:rsidRDefault="00A859CC" w:rsidP="00A859CC">
            <w:pPr>
              <w:spacing w:before="120"/>
              <w:jc w:val="both"/>
            </w:pPr>
            <w:r w:rsidRPr="00BD3074">
              <w:t xml:space="preserve">Pēc MK rīkojuma Nr.136 pieņemšanas, veicot cilvēkresursu pārrēķinu PIKTAPS projektam un ņemot vērā projekta aprakstā papildus iekļautās izvērtējamās sadaļas, kā arī to, ka MK 2016. gada 2. februāra sēdes laikā tika uzdots atbildīgajām nozares ministrijām vai institūcijām projektu aprakstus iesniegt VARAM līdz 2016. gada 30. decembrim (prot. Nr.5, 32.§, 2.punkts), tika secināts, ka ar sākotnēji plānoto projekta īstenošanas personāla atlīdzības izmaksu ierobežojumu - 15 procenti no projekta kopējām tiešajām attiecināmajām izmaksām – nav iespējams to paveikt nepieciešamajā apjomā, kvalitātē un laika termiņā, jo VARAM jāveic pirmās atlases kārtas 37 projektu aprakstu vērtēšana un virzīšana MK ierobežotā laika periodā. </w:t>
            </w:r>
          </w:p>
          <w:p w:rsidR="00A859CC" w:rsidRPr="00BD3074" w:rsidRDefault="00A859CC" w:rsidP="0094471C">
            <w:pPr>
              <w:spacing w:before="120"/>
              <w:jc w:val="both"/>
            </w:pPr>
            <w:r w:rsidRPr="00BD3074">
              <w:t>Papildus skaidrojam, ka līdz šim visi VARAM izvērtēšanai iesniegtie pieci projektu apraksti tikuši atgriezti konceptuālo precizējumu veikšanai un tas kopā būtiski palielina PIKTAPS projekta īstenošanas personāla noslodzi minēto darbību izpildei. Tikai PIKTAPS projekta īstenošanas personāla palielināšana ļaus kompensēt nepietiekami sagatavoto projektu aprakstu saskaņošanu, lai projektu iesniegumi tiktu iesniegti sadarbības iestādē labā kvalitātē un saprātīgā termiņā, vienlaikus ļaujot</w:t>
            </w:r>
            <w:r w:rsidR="00775AD3" w:rsidRPr="00BD3074">
              <w:t xml:space="preserve"> nekavēt Eiropas Savienības</w:t>
            </w:r>
            <w:r w:rsidRPr="00BD3074">
              <w:t xml:space="preserve"> fondu projektu īstenošanu un izpildīt ERAF finansējuma apguves plānu.</w:t>
            </w:r>
          </w:p>
          <w:p w:rsidR="0058056C" w:rsidRPr="00BD3074" w:rsidRDefault="0058056C" w:rsidP="0094471C">
            <w:pPr>
              <w:spacing w:before="120"/>
              <w:jc w:val="both"/>
            </w:pPr>
            <w:r w:rsidRPr="00BD3074">
              <w:t>L</w:t>
            </w:r>
            <w:r w:rsidR="00106022" w:rsidRPr="00BD3074">
              <w:t>ai nodrošinātu PIKTAPS projekta ietvaros uzdotos uzdevumus</w:t>
            </w:r>
            <w:r w:rsidR="00FD3686" w:rsidRPr="00BD3074">
              <w:t>,</w:t>
            </w:r>
            <w:r w:rsidR="0094471C" w:rsidRPr="00BD3074">
              <w:t xml:space="preserve"> t.sk. IKT arhitektūras pārvaldības funkciju</w:t>
            </w:r>
            <w:r w:rsidR="00A01CCF" w:rsidRPr="00BD3074">
              <w:t>,</w:t>
            </w:r>
            <w:r w:rsidR="0094471C" w:rsidRPr="00BD3074">
              <w:t xml:space="preserve"> ņemot vērā projekta apraksta formas </w:t>
            </w:r>
            <w:r w:rsidRPr="00BD3074">
              <w:t xml:space="preserve">papildus </w:t>
            </w:r>
            <w:r w:rsidR="0094471C" w:rsidRPr="00BD3074">
              <w:t>detalizācijas pakāpi un darbību apjomu, kas jāveic, lai nodrošinātu projektu aprakstu izvērtēšanu un vēlāk to īstenošanas uzraudzību,</w:t>
            </w:r>
            <w:r w:rsidR="00FD3686" w:rsidRPr="00BD3074">
              <w:t xml:space="preserve"> PIKTAPS projektā</w:t>
            </w:r>
            <w:r w:rsidRPr="00BD3074">
              <w:t xml:space="preserve"> kopumā</w:t>
            </w:r>
            <w:r w:rsidR="00FD3686" w:rsidRPr="00BD3074">
              <w:t xml:space="preserve"> ir nepieciešams iekļaut finansējumu</w:t>
            </w:r>
            <w:r w:rsidR="007F49D8" w:rsidRPr="00BD3074">
              <w:t xml:space="preserve"> </w:t>
            </w:r>
            <w:r w:rsidR="00E70D44" w:rsidRPr="00BD3074">
              <w:t>1</w:t>
            </w:r>
            <w:r w:rsidR="005214CD" w:rsidRPr="00BD3074">
              <w:t>4</w:t>
            </w:r>
            <w:r w:rsidR="00E70D44" w:rsidRPr="00BD3074">
              <w:t xml:space="preserve"> </w:t>
            </w:r>
            <w:r w:rsidR="00E838E3" w:rsidRPr="00BD3074">
              <w:t xml:space="preserve">projekta </w:t>
            </w:r>
            <w:r w:rsidR="00D03F23" w:rsidRPr="00BD3074">
              <w:t xml:space="preserve">ieviešanas </w:t>
            </w:r>
            <w:r w:rsidR="00FD3686" w:rsidRPr="00BD3074">
              <w:t>da</w:t>
            </w:r>
            <w:r w:rsidR="00D03F23" w:rsidRPr="00BD3074">
              <w:t>r</w:t>
            </w:r>
            <w:r w:rsidR="00FD3686" w:rsidRPr="00BD3074">
              <w:t>binieku</w:t>
            </w:r>
            <w:r w:rsidR="005214CD" w:rsidRPr="00BD3074">
              <w:t xml:space="preserve"> slodžu</w:t>
            </w:r>
            <w:r w:rsidR="007F49D8" w:rsidRPr="00BD3074">
              <w:t xml:space="preserve"> </w:t>
            </w:r>
            <w:r w:rsidR="00E838E3" w:rsidRPr="00BD3074">
              <w:t xml:space="preserve"> atlīdzības izmaksu segšanai</w:t>
            </w:r>
            <w:r w:rsidR="00254284" w:rsidRPr="00BD3074">
              <w:t xml:space="preserve">, </w:t>
            </w:r>
            <w:r w:rsidR="00FD3686" w:rsidRPr="00BD3074">
              <w:t>kas pārsniedz MK noteikumu Nr.653 26.punktā noteikto ierobežojumu</w:t>
            </w:r>
            <w:r w:rsidR="007F49D8" w:rsidRPr="00BD3074">
              <w:t xml:space="preserve"> (palielinājums no iepriekš plānotajiem </w:t>
            </w:r>
            <w:r w:rsidR="005214CD" w:rsidRPr="00BD3074">
              <w:t>9,5</w:t>
            </w:r>
            <w:r w:rsidR="007F49D8" w:rsidRPr="00BD3074">
              <w:t xml:space="preserve"> uz 1</w:t>
            </w:r>
            <w:r w:rsidR="005214CD" w:rsidRPr="00BD3074">
              <w:t>4</w:t>
            </w:r>
            <w:r w:rsidR="0012459D" w:rsidRPr="00BD3074">
              <w:t xml:space="preserve"> </w:t>
            </w:r>
            <w:r w:rsidR="007F49D8" w:rsidRPr="00BD3074">
              <w:t>projekta ieviešanas darbinieku slodzēm VARAM un sadarbības partneriem kopā)</w:t>
            </w:r>
            <w:r w:rsidR="00FD3686" w:rsidRPr="00BD3074">
              <w:t xml:space="preserve">. </w:t>
            </w:r>
          </w:p>
          <w:p w:rsidR="00A30A2A" w:rsidRPr="00BD3074" w:rsidRDefault="00A30A2A" w:rsidP="00A30A2A">
            <w:pPr>
              <w:spacing w:before="120"/>
              <w:jc w:val="both"/>
              <w:outlineLvl w:val="0"/>
              <w:rPr>
                <w:bCs/>
              </w:rPr>
            </w:pPr>
            <w:r w:rsidRPr="00BD3074">
              <w:rPr>
                <w:bCs/>
              </w:rPr>
              <w:t>Projektā plānots piesaistīt četras speciālistu grupas ar šādu indikatīvu noslodzi:</w:t>
            </w:r>
          </w:p>
          <w:p w:rsidR="00A30A2A" w:rsidRPr="00BD3074" w:rsidRDefault="00A30A2A" w:rsidP="00A30A2A">
            <w:pPr>
              <w:pStyle w:val="naisc"/>
              <w:numPr>
                <w:ilvl w:val="0"/>
                <w:numId w:val="47"/>
              </w:numPr>
              <w:spacing w:before="0" w:after="0"/>
              <w:jc w:val="left"/>
            </w:pPr>
            <w:r w:rsidRPr="00BD3074">
              <w:t>IKT iespēju izmantošanas veicināšanas aktivitāšu koordinatori (2 slodzes);</w:t>
            </w:r>
          </w:p>
          <w:p w:rsidR="00A30A2A" w:rsidRPr="00BD3074" w:rsidRDefault="00A30A2A" w:rsidP="00A30A2A">
            <w:pPr>
              <w:pStyle w:val="naisc"/>
              <w:numPr>
                <w:ilvl w:val="0"/>
                <w:numId w:val="47"/>
              </w:numPr>
              <w:spacing w:before="0" w:after="0"/>
              <w:jc w:val="left"/>
            </w:pPr>
            <w:r w:rsidRPr="00BD3074">
              <w:t>Biznesa procesu analītiķis (</w:t>
            </w:r>
            <w:r w:rsidR="008450F6" w:rsidRPr="00BD3074">
              <w:t>3</w:t>
            </w:r>
            <w:r w:rsidRPr="00BD3074">
              <w:t xml:space="preserve"> slodze);</w:t>
            </w:r>
          </w:p>
          <w:p w:rsidR="00A30A2A" w:rsidRPr="00BD3074" w:rsidRDefault="00A30A2A" w:rsidP="00A30A2A">
            <w:pPr>
              <w:pStyle w:val="naisc"/>
              <w:numPr>
                <w:ilvl w:val="0"/>
                <w:numId w:val="47"/>
              </w:numPr>
              <w:spacing w:before="0" w:after="0"/>
              <w:jc w:val="left"/>
            </w:pPr>
            <w:r w:rsidRPr="00BD3074">
              <w:t>Sistēmu analītiķis (</w:t>
            </w:r>
            <w:r w:rsidR="008450F6" w:rsidRPr="00BD3074">
              <w:t>4</w:t>
            </w:r>
            <w:r w:rsidRPr="00BD3074">
              <w:t xml:space="preserve"> slodzes);</w:t>
            </w:r>
          </w:p>
          <w:p w:rsidR="00A30A2A" w:rsidRPr="00BD3074" w:rsidRDefault="00A30A2A" w:rsidP="00A30A2A">
            <w:pPr>
              <w:pStyle w:val="naisc"/>
              <w:numPr>
                <w:ilvl w:val="0"/>
                <w:numId w:val="47"/>
              </w:numPr>
              <w:spacing w:before="0" w:after="0"/>
              <w:jc w:val="left"/>
            </w:pPr>
            <w:r w:rsidRPr="00BD3074">
              <w:t>Risinājumu attīstības vadītājs (</w:t>
            </w:r>
            <w:r w:rsidR="008450F6" w:rsidRPr="00BD3074">
              <w:t>5</w:t>
            </w:r>
            <w:r w:rsidRPr="00BD3074">
              <w:t xml:space="preserve"> slodzes).</w:t>
            </w:r>
          </w:p>
          <w:p w:rsidR="00BF7371" w:rsidRPr="00F62629" w:rsidRDefault="00FB392C" w:rsidP="0094471C">
            <w:pPr>
              <w:spacing w:before="120"/>
              <w:jc w:val="both"/>
            </w:pPr>
            <w:r w:rsidRPr="00BD3074">
              <w:t>Vienlaikus</w:t>
            </w:r>
            <w:r w:rsidR="005214CD" w:rsidRPr="00BD3074">
              <w:t xml:space="preserve"> VARAM apzinās, ka</w:t>
            </w:r>
            <w:r w:rsidR="005214CD" w:rsidRPr="00F62629">
              <w:t xml:space="preserve"> pastāv noteikts risks, ka</w:t>
            </w:r>
            <w:r w:rsidRPr="00F62629">
              <w:t>, lai nodrošinātu</w:t>
            </w:r>
            <w:r w:rsidR="005214CD" w:rsidRPr="00F62629">
              <w:t xml:space="preserve"> IKT arhitektūras pārvaldība</w:t>
            </w:r>
            <w:r w:rsidRPr="00F62629">
              <w:t xml:space="preserve">s funkciju 2.2.1.1.pasākuma ietvaros, </w:t>
            </w:r>
            <w:r w:rsidR="00680038" w:rsidRPr="00F62629">
              <w:t xml:space="preserve">PIKTAPS </w:t>
            </w:r>
            <w:r w:rsidRPr="00F62629">
              <w:t>projekta īstenošanas laikā var rasties nepieciešamība īstenot darbības, kuras šobrīd nav paredzētas.</w:t>
            </w:r>
            <w:r w:rsidR="005214CD" w:rsidRPr="00F62629">
              <w:t xml:space="preserve"> </w:t>
            </w:r>
            <w:r w:rsidRPr="00F62629">
              <w:t>J</w:t>
            </w:r>
            <w:r w:rsidR="005214CD" w:rsidRPr="00F62629">
              <w:t>a ERAF IKT projektu īstenošanas gaitā tiks konstatēts, ka nepieciešami papildus kontroles mehānismi to uzraudzībai, jābūt iespējai ieguldīt lielāk</w:t>
            </w:r>
            <w:r w:rsidRPr="00F62629">
              <w:t>u</w:t>
            </w:r>
            <w:r w:rsidR="005214CD" w:rsidRPr="00F62629">
              <w:t xml:space="preserve"> resursu to nodrošināšanai. </w:t>
            </w:r>
            <w:r w:rsidRPr="00F62629">
              <w:t xml:space="preserve">Ņemot vērā iepriekšminēto, kā arī to, ka projekta citu </w:t>
            </w:r>
            <w:r w:rsidR="003125D1" w:rsidRPr="00F62629">
              <w:t>darbību</w:t>
            </w:r>
            <w:r w:rsidRPr="00F62629">
              <w:t xml:space="preserve"> ietvaros projekta īstenošanas laikā var veidoties ietaupījums, kas radītu kopējo attiecināmo izmaksu apjoma samazinājumu un līdz ar to ietekmētu īstenošanas personāla atlīdzības izmaksu </w:t>
            </w:r>
            <w:r w:rsidR="00A01CCF" w:rsidRPr="00F62629">
              <w:t xml:space="preserve">procentuālo apjomu, </w:t>
            </w:r>
            <w:r w:rsidR="005214CD" w:rsidRPr="00F62629">
              <w:t>VARAM</w:t>
            </w:r>
            <w:r w:rsidRPr="00F62629">
              <w:t xml:space="preserve"> skaidro</w:t>
            </w:r>
            <w:r w:rsidR="005214CD" w:rsidRPr="00F62629">
              <w:t>, ka</w:t>
            </w:r>
            <w:r w:rsidRPr="00F62629">
              <w:t xml:space="preserve"> īstenošanas personāla atlīdzības izmaksu ierobežojums jāparedz ar </w:t>
            </w:r>
            <w:r w:rsidR="005214CD" w:rsidRPr="00F62629">
              <w:t xml:space="preserve"> rezervi 5 procent</w:t>
            </w:r>
            <w:r w:rsidRPr="00F62629">
              <w:t>u apmērā</w:t>
            </w:r>
            <w:r w:rsidR="005214CD" w:rsidRPr="00F62629">
              <w:t xml:space="preserve"> no tiešajām attiecināmajām izmaksām. </w:t>
            </w:r>
            <w:r w:rsidR="00306191" w:rsidRPr="00F62629">
              <w:t xml:space="preserve">Tas nosaka nepieciešamību </w:t>
            </w:r>
            <w:r w:rsidR="00A01CCF" w:rsidRPr="00F62629">
              <w:t xml:space="preserve">kopumā </w:t>
            </w:r>
            <w:r w:rsidR="00306191" w:rsidRPr="00F62629">
              <w:t xml:space="preserve">palielināt PIKTAPS īstenošanas personāla atlīdzības izmaksu ierobežojumu līdz </w:t>
            </w:r>
            <w:r w:rsidR="00E70D44" w:rsidRPr="00F62629">
              <w:t>30</w:t>
            </w:r>
            <w:r w:rsidR="00306191" w:rsidRPr="00F62629">
              <w:t xml:space="preserve"> procentie</w:t>
            </w:r>
            <w:r w:rsidR="0012459D" w:rsidRPr="00F62629">
              <w:t>m</w:t>
            </w:r>
            <w:r w:rsidR="00306191" w:rsidRPr="00F62629">
              <w:t>.</w:t>
            </w:r>
            <w:r w:rsidR="00154704" w:rsidRPr="00F62629">
              <w:t xml:space="preserve"> </w:t>
            </w:r>
          </w:p>
          <w:p w:rsidR="00FD1E54" w:rsidRPr="00BD3074" w:rsidRDefault="00FD1E54" w:rsidP="00593735">
            <w:pPr>
              <w:spacing w:after="120"/>
              <w:ind w:right="72"/>
              <w:jc w:val="both"/>
              <w:rPr>
                <w:bCs/>
              </w:rPr>
            </w:pPr>
            <w:r w:rsidRPr="00F62629">
              <w:t>Vienlaikus VARAM skaidro, ka tiks nodrošināts, lai funkcijas, ko VARAM veic kā atbildīgā iestāde</w:t>
            </w:r>
            <w:r w:rsidR="008D57E4" w:rsidRPr="00F62629">
              <w:t xml:space="preserve"> atbilstoši</w:t>
            </w:r>
            <w:r w:rsidRPr="00F62629">
              <w:t xml:space="preserve"> </w:t>
            </w:r>
            <w:r w:rsidR="008D57E4" w:rsidRPr="00F62629">
              <w:t>Eiropas Savienības struktūrfondu un Kohēzijas fonda 2014.—2020.gada plānošanas perioda vadības likumā noteiktajam</w:t>
            </w:r>
            <w:r w:rsidR="00F242DF" w:rsidRPr="00F62629">
              <w:t>,</w:t>
            </w:r>
            <w:r w:rsidR="008D57E4" w:rsidRPr="00F62629">
              <w:t xml:space="preserve"> </w:t>
            </w:r>
            <w:r w:rsidRPr="00F62629">
              <w:t xml:space="preserve">nepārklātos ar funkcijām, ko VARAM veic kā </w:t>
            </w:r>
            <w:r w:rsidRPr="00F62629">
              <w:rPr>
                <w:bCs/>
              </w:rPr>
              <w:t>valsts IKT pārvaldības organizācija, t.sk. PIKTAPS projekta ietvaros</w:t>
            </w:r>
            <w:r w:rsidR="00F242DF" w:rsidRPr="00F62629">
              <w:rPr>
                <w:bCs/>
              </w:rPr>
              <w:t xml:space="preserve">, nodrošinot to ar darba laika uzskaiti, kā arī attiecīgās funkcijas </w:t>
            </w:r>
            <w:r w:rsidR="00F242DF" w:rsidRPr="00BD3074">
              <w:rPr>
                <w:bCs/>
              </w:rPr>
              <w:t>norādot amata aprakstos</w:t>
            </w:r>
            <w:r w:rsidR="008D57E4" w:rsidRPr="00BD3074">
              <w:rPr>
                <w:bCs/>
              </w:rPr>
              <w:t>.</w:t>
            </w:r>
          </w:p>
          <w:p w:rsidR="00BE050E" w:rsidRPr="00BD3074" w:rsidRDefault="00BE050E" w:rsidP="00BE050E">
            <w:pPr>
              <w:pStyle w:val="naisc"/>
              <w:jc w:val="both"/>
            </w:pPr>
            <w:r w:rsidRPr="00BD3074">
              <w:t>VARAM IKT pārvaldības organizācijai PIKTAPS projekta ietvaros ir šādas funkcijas:</w:t>
            </w:r>
          </w:p>
          <w:p w:rsidR="00BE050E" w:rsidRPr="00BD3074" w:rsidRDefault="00BE050E" w:rsidP="00BE050E">
            <w:pPr>
              <w:numPr>
                <w:ilvl w:val="0"/>
                <w:numId w:val="48"/>
              </w:numPr>
              <w:jc w:val="both"/>
            </w:pPr>
            <w:r w:rsidRPr="00BD3074">
              <w:t xml:space="preserve">ERAF IKT projektu aprakstu vērtēšana un informācijas sagatavošana virzīšanai apstiprināšanai </w:t>
            </w:r>
            <w:r w:rsidR="00C30090" w:rsidRPr="00BD3074">
              <w:t>MK</w:t>
            </w:r>
            <w:r w:rsidRPr="00BD3074">
              <w:t>.</w:t>
            </w:r>
          </w:p>
          <w:p w:rsidR="00BE050E" w:rsidRPr="00BD3074" w:rsidRDefault="00BE050E" w:rsidP="00BE050E">
            <w:pPr>
              <w:numPr>
                <w:ilvl w:val="0"/>
                <w:numId w:val="48"/>
              </w:numPr>
              <w:jc w:val="both"/>
            </w:pPr>
            <w:r w:rsidRPr="00BD3074">
              <w:t>Dalība būtisko arhitektūras elementu attīstīšanas darba grupās atbilstoši identificētajām EARF IKT projektu līdzatk</w:t>
            </w:r>
            <w:r w:rsidR="00775AD3" w:rsidRPr="00BD3074">
              <w:t>arībām.</w:t>
            </w:r>
          </w:p>
          <w:p w:rsidR="00BE050E" w:rsidRPr="00BD3074" w:rsidRDefault="00BE050E" w:rsidP="00BE050E">
            <w:pPr>
              <w:numPr>
                <w:ilvl w:val="0"/>
                <w:numId w:val="48"/>
              </w:numPr>
              <w:jc w:val="both"/>
            </w:pPr>
            <w:r w:rsidRPr="00BD3074">
              <w:t>Ar IKT risinājumu ieviešanu saistīto nodevumu pārbaude (izlases kārtā).</w:t>
            </w:r>
          </w:p>
          <w:p w:rsidR="00BE050E" w:rsidRPr="00BD3074" w:rsidRDefault="00BE050E" w:rsidP="00BE050E">
            <w:pPr>
              <w:numPr>
                <w:ilvl w:val="0"/>
                <w:numId w:val="48"/>
              </w:numPr>
              <w:jc w:val="both"/>
            </w:pPr>
            <w:r w:rsidRPr="00BD3074">
              <w:t>Dalība attīstības programmu konsultatīvajās padomēs un projektu uzraudzības padomēs.</w:t>
            </w:r>
          </w:p>
          <w:p w:rsidR="00BE050E" w:rsidRPr="00BD3074" w:rsidRDefault="00BE050E" w:rsidP="00BE050E">
            <w:pPr>
              <w:numPr>
                <w:ilvl w:val="0"/>
                <w:numId w:val="48"/>
              </w:numPr>
              <w:jc w:val="both"/>
            </w:pPr>
            <w:r w:rsidRPr="00BD3074">
              <w:t>Ar IKT arhitektūras pārvaldību saistīto metodisko materiālu izstrāde.</w:t>
            </w:r>
          </w:p>
          <w:p w:rsidR="00BE050E" w:rsidRPr="00BD3074" w:rsidRDefault="00BE050E" w:rsidP="00BE050E">
            <w:pPr>
              <w:numPr>
                <w:ilvl w:val="0"/>
                <w:numId w:val="48"/>
              </w:numPr>
              <w:jc w:val="both"/>
            </w:pPr>
            <w:r w:rsidRPr="00BD3074">
              <w:t>ERAF IKT projektu iesniedzēju konsultēšana par projektu aprakstu vērtēšanu, IKT arhitektūras principiem, būtisko arhitektūras elementu ieviešanu.</w:t>
            </w:r>
          </w:p>
          <w:p w:rsidR="00BE050E" w:rsidRPr="00BD3074" w:rsidRDefault="00BE050E" w:rsidP="00BE050E">
            <w:pPr>
              <w:numPr>
                <w:ilvl w:val="0"/>
                <w:numId w:val="48"/>
              </w:numPr>
              <w:jc w:val="both"/>
            </w:pPr>
            <w:r w:rsidRPr="00BD3074">
              <w:t>ERAF IKT projektu iesniedzēju apmācība par IKT arhitektūru.</w:t>
            </w:r>
          </w:p>
          <w:p w:rsidR="00775AD3" w:rsidRPr="00BD3074" w:rsidRDefault="00775AD3" w:rsidP="00C30090">
            <w:pPr>
              <w:spacing w:before="120"/>
              <w:jc w:val="both"/>
              <w:outlineLvl w:val="0"/>
            </w:pPr>
            <w:r w:rsidRPr="00BD3074">
              <w:t>VARAM štata vietu skaits netiks palielināts, jo uz PIKTAPS projekta īstenošanas laiku projekta īstenošanas personāls nepieciešams projekta darbību izpildei un mērķu sasniegšanai, un pēc PIKTAPS projekta īstenošanas beigām jaunas amatu vietas projekta funkciju veikšanai nebūs nepieciešamas. Atsevišķas funkcijas, kuras jāveic PIKTAPS projektā, ir līdzīgas funkcijām, kuras tika finansētas arī 2007.-2013.gada Eiropas Savienības fondu plānošanas perioda Tehniskās palīdzības projekta ietvaros IKT jomā, un pēc tehniskās palīdzības projekta pabeigšanas jaunas darba vietas netika izveidotas.</w:t>
            </w:r>
          </w:p>
          <w:p w:rsidR="00CE2711" w:rsidRPr="00F62629" w:rsidRDefault="009A1FFD" w:rsidP="00C30090">
            <w:pPr>
              <w:spacing w:before="120"/>
              <w:jc w:val="both"/>
              <w:outlineLvl w:val="0"/>
            </w:pPr>
            <w:r w:rsidRPr="00BD3074">
              <w:t>Valsts kontrole</w:t>
            </w:r>
            <w:r w:rsidR="006D1C17" w:rsidRPr="00BD3074">
              <w:t>, veicot neatkarīgu situācijas izvērtējumu IKT attīstības jomā,</w:t>
            </w:r>
            <w:r w:rsidRPr="00BD3074">
              <w:t xml:space="preserve"> norāda, ka </w:t>
            </w:r>
            <w:r w:rsidR="006D1C17" w:rsidRPr="00BD3074">
              <w:t>SAM</w:t>
            </w:r>
            <w:r w:rsidR="006D1C17" w:rsidRPr="00F62629">
              <w:t xml:space="preserve"> 2.2.1. īstenošanas kontekstā “valdībai vajadzēs nodrošināt efektīvu vienotas IKT attīstības arhitektūras izstrādes procesa vadību”. Arī vairkākkārt valdības līmeņa diskusijās ar IKT nozares asociāciju iesaisti ir norādīts, ka attiecībā uz turpmāko IKT projektu īstenošanu ir nepieciešams būtiski stiprināt IKT projektu uzraudzību, kā arī VARAM ir uzdots nodrošināt efektīvu projektu ieviešanas sistēmu, ņemot vērā 2007.-2013.g. Eiropas Savienības fondu plānošanas perioda </w:t>
            </w:r>
            <w:r w:rsidR="00A16490" w:rsidRPr="00F62629">
              <w:t>trūkumus</w:t>
            </w:r>
            <w:r w:rsidR="006D1C17" w:rsidRPr="00F62629">
              <w:t>.</w:t>
            </w:r>
          </w:p>
          <w:p w:rsidR="00EE1D5D" w:rsidRPr="00F62629" w:rsidRDefault="00EE1D5D" w:rsidP="00EE69DF">
            <w:pPr>
              <w:spacing w:after="120"/>
              <w:ind w:right="72"/>
              <w:jc w:val="both"/>
            </w:pPr>
            <w:r w:rsidRPr="00F62629">
              <w:t>Nepalielinot projekta īstenošanas personāla atlīdzības izmaksas</w:t>
            </w:r>
            <w:r w:rsidR="00106022" w:rsidRPr="00F62629">
              <w:t xml:space="preserve"> PIKTAPS projekta ietvaros</w:t>
            </w:r>
            <w:r w:rsidRPr="00F62629">
              <w:t xml:space="preserve">, palielinās risks, ka arī 2014.-2020. gada plānošanas perioda </w:t>
            </w:r>
            <w:r w:rsidR="00E70D44" w:rsidRPr="00F62629">
              <w:t>ERAF</w:t>
            </w:r>
            <w:r w:rsidRPr="00F62629">
              <w:t xml:space="preserve"> IKT projekti un valsts IKT arhitektūra netiks pārvaldīti sagaidāmā efektīvā līmenī.</w:t>
            </w:r>
          </w:p>
          <w:p w:rsidR="00235D47" w:rsidRPr="00F62629" w:rsidRDefault="00EE69DF" w:rsidP="00A16490">
            <w:pPr>
              <w:spacing w:after="120"/>
              <w:ind w:right="72"/>
              <w:jc w:val="both"/>
              <w:rPr>
                <w:bCs/>
              </w:rPr>
            </w:pPr>
            <w:r w:rsidRPr="00F62629">
              <w:t xml:space="preserve">Ņemot vērā iepriekšminēto, </w:t>
            </w:r>
            <w:r w:rsidR="00074AA1" w:rsidRPr="00F62629">
              <w:t xml:space="preserve">VARAM </w:t>
            </w:r>
            <w:r w:rsidR="00AE44BE" w:rsidRPr="00F62629">
              <w:t>ierosina</w:t>
            </w:r>
            <w:r w:rsidR="002563E1" w:rsidRPr="00F62629">
              <w:t xml:space="preserve"> izdarīt</w:t>
            </w:r>
            <w:r w:rsidR="00AE44BE" w:rsidRPr="00F62629">
              <w:t xml:space="preserve"> grozījumu </w:t>
            </w:r>
            <w:r w:rsidR="002563E1" w:rsidRPr="00F62629">
              <w:t xml:space="preserve">MK </w:t>
            </w:r>
            <w:r w:rsidR="00074AA1" w:rsidRPr="00F62629">
              <w:t>noteikum</w:t>
            </w:r>
            <w:r w:rsidR="00AE44BE" w:rsidRPr="00F62629">
              <w:t>os</w:t>
            </w:r>
            <w:r w:rsidR="002563E1" w:rsidRPr="00F62629">
              <w:t xml:space="preserve"> Nr.</w:t>
            </w:r>
            <w:r w:rsidRPr="00F62629">
              <w:t xml:space="preserve">653 un </w:t>
            </w:r>
            <w:r w:rsidR="00A16490" w:rsidRPr="00F62629">
              <w:t xml:space="preserve">precizēt </w:t>
            </w:r>
            <w:r w:rsidRPr="00F62629">
              <w:t>26.punktā minēto projekta īstenošanas personāla</w:t>
            </w:r>
            <w:r w:rsidR="00604F60" w:rsidRPr="00F62629">
              <w:t xml:space="preserve"> atlīdzības izmaksu ierobežojumu </w:t>
            </w:r>
            <w:r w:rsidR="00A16490" w:rsidRPr="00F62629">
              <w:t xml:space="preserve">attiecībā uz </w:t>
            </w:r>
            <w:r w:rsidR="00A16490" w:rsidRPr="00F62629">
              <w:rPr>
                <w:bCs/>
              </w:rPr>
              <w:t>valsts IKT pārvaldības organizācijas īstenoto projektu, to nosakot 30</w:t>
            </w:r>
            <w:r w:rsidR="00E70D44" w:rsidRPr="00F62629">
              <w:rPr>
                <w:bCs/>
              </w:rPr>
              <w:t xml:space="preserve"> </w:t>
            </w:r>
            <w:r w:rsidR="00A16490" w:rsidRPr="00F62629">
              <w:rPr>
                <w:bCs/>
              </w:rPr>
              <w:t>procentu apmērā.</w:t>
            </w:r>
          </w:p>
          <w:p w:rsidR="00EE69DF" w:rsidRPr="00F62629" w:rsidRDefault="00E70D44" w:rsidP="00E70D44">
            <w:pPr>
              <w:spacing w:after="120"/>
              <w:ind w:right="72"/>
              <w:jc w:val="both"/>
              <w:rPr>
                <w:bCs/>
                <w:shd w:val="clear" w:color="auto" w:fill="FFFFFF"/>
              </w:rPr>
            </w:pPr>
            <w:r w:rsidRPr="00F62629">
              <w:rPr>
                <w:bCs/>
                <w:shd w:val="clear" w:color="auto" w:fill="FFFFFF"/>
              </w:rPr>
              <w:t>CFLA 2016.gada 4.aprīlī ir izsludinājusi projektu iesniegumu atlasi 2.2.1.1.pasākuma ietvaros, līdz ar to ir nepieciešams steidzami MK izskatīt noteikumu projektu, lai PIKTAPS projekta iesniegums varētu tikt iesniegts CFLA  izvērtēšanai un nekavējoties uzsākta PIKTAPS projekta īstenošana, tādejādi nodrošinot visu pārējo SAM 2.2.1. projektu aprakstu virzību uz MK, šo projektu koordinētu uzraudzību un īstenošanu, kā arī tiktu uzsākta PIKTAPS ietvaros plānoto centralizēto koplietošanas platformu attīstība, no kuru ieviešanas ir atkarīgi gandrīz visi pārējie 2.2.1.1.pasākuma projekti.</w:t>
            </w:r>
          </w:p>
          <w:p w:rsidR="00213DA8" w:rsidRPr="00F62629" w:rsidRDefault="005415A8" w:rsidP="00213DA8">
            <w:pPr>
              <w:spacing w:after="120"/>
              <w:ind w:right="72"/>
              <w:jc w:val="both"/>
              <w:rPr>
                <w:bCs/>
                <w:shd w:val="clear" w:color="auto" w:fill="FFFFFF"/>
              </w:rPr>
            </w:pPr>
            <w:r w:rsidRPr="00F62629">
              <w:rPr>
                <w:bCs/>
                <w:shd w:val="clear" w:color="auto" w:fill="FFFFFF"/>
              </w:rPr>
              <w:t>Papildus</w:t>
            </w:r>
            <w:r w:rsidR="00213DA8" w:rsidRPr="00F62629">
              <w:rPr>
                <w:bCs/>
                <w:shd w:val="clear" w:color="auto" w:fill="FFFFFF"/>
              </w:rPr>
              <w:t xml:space="preserve"> VARAM skaidro, ka PIKTAPS projekta ietvaros projektēto centralizēto koplietošanas IKT risinājumu ieviešanai nepieciešamie cilvēkresursi tiks nodrošināti projektu “Vienotā datu telpa” un “Pakalpojumu sniegšanas un pārvaldības platforma” ietvaros un, sagatavojot abu iepriekšminēto projektu aprakstus, tiks plānoti pasākumi šo projektu rezultātu ilgtspējības nodrošināšanai, t.sk., paredzot nepieciešamos cilvēkresursus.</w:t>
            </w:r>
          </w:p>
          <w:p w:rsidR="00C30090" w:rsidRPr="00BD3074" w:rsidRDefault="00213DA8" w:rsidP="00213DA8">
            <w:pPr>
              <w:spacing w:after="120"/>
              <w:ind w:right="72"/>
              <w:jc w:val="both"/>
              <w:rPr>
                <w:bCs/>
                <w:shd w:val="clear" w:color="auto" w:fill="FFFFFF"/>
              </w:rPr>
            </w:pPr>
            <w:r w:rsidRPr="00F62629">
              <w:rPr>
                <w:bCs/>
                <w:shd w:val="clear" w:color="auto" w:fill="FFFFFF"/>
              </w:rPr>
              <w:t xml:space="preserve">Lai nodrošinātu ilgtspējīgu </w:t>
            </w:r>
            <w:r w:rsidRPr="00BD3074">
              <w:rPr>
                <w:bCs/>
                <w:shd w:val="clear" w:color="auto" w:fill="FFFFFF"/>
              </w:rPr>
              <w:t>PIKTAPS projekta rezultātā izstrādāto IKT risinājumu darbību</w:t>
            </w:r>
            <w:r w:rsidR="00A01CCF" w:rsidRPr="00BD3074">
              <w:rPr>
                <w:bCs/>
                <w:shd w:val="clear" w:color="auto" w:fill="FFFFFF"/>
              </w:rPr>
              <w:t>,</w:t>
            </w:r>
            <w:r w:rsidRPr="00BD3074">
              <w:rPr>
                <w:bCs/>
                <w:shd w:val="clear" w:color="auto" w:fill="FFFFFF"/>
              </w:rPr>
              <w:t xml:space="preserve"> pēc PIKTAPS projekta termiņa beigām IKT risinājumu uzturēšanas izmaksas </w:t>
            </w:r>
            <w:r w:rsidR="00A01CCF" w:rsidRPr="00BD3074">
              <w:rPr>
                <w:bCs/>
                <w:shd w:val="clear" w:color="auto" w:fill="FFFFFF"/>
              </w:rPr>
              <w:t xml:space="preserve">ir plānojamas </w:t>
            </w:r>
            <w:r w:rsidRPr="00BD3074">
              <w:rPr>
                <w:bCs/>
                <w:shd w:val="clear" w:color="auto" w:fill="FFFFFF"/>
              </w:rPr>
              <w:t xml:space="preserve">atbilstoši Ministru kabineta </w:t>
            </w:r>
            <w:r w:rsidR="00A01CCF" w:rsidRPr="00BD3074">
              <w:rPr>
                <w:bCs/>
                <w:shd w:val="clear" w:color="auto" w:fill="FFFFFF"/>
              </w:rPr>
              <w:t>rīkojuma Nr.136</w:t>
            </w:r>
            <w:r w:rsidRPr="00BD3074">
              <w:rPr>
                <w:bCs/>
                <w:shd w:val="clear" w:color="auto" w:fill="FFFFFF"/>
              </w:rPr>
              <w:t xml:space="preserve"> anotācijā norādītajai informācijai - nepieciešamais valsts budžeta finansējums pē</w:t>
            </w:r>
            <w:r w:rsidR="00A01CCF" w:rsidRPr="00BD3074">
              <w:rPr>
                <w:bCs/>
                <w:shd w:val="clear" w:color="auto" w:fill="FFFFFF"/>
              </w:rPr>
              <w:t xml:space="preserve">c PIKTAPS projekta pabeigšanas </w:t>
            </w:r>
            <w:r w:rsidRPr="00BD3074">
              <w:rPr>
                <w:bCs/>
                <w:shd w:val="clear" w:color="auto" w:fill="FFFFFF"/>
              </w:rPr>
              <w:t>(indikatīvi 2019.gadā) būs 210 000 euro gadā.</w:t>
            </w:r>
          </w:p>
          <w:p w:rsidR="00C30090" w:rsidRPr="00BD3074" w:rsidRDefault="00C30090" w:rsidP="00213DA8">
            <w:pPr>
              <w:spacing w:after="120"/>
              <w:ind w:right="72"/>
              <w:jc w:val="both"/>
              <w:rPr>
                <w:bCs/>
                <w:shd w:val="clear" w:color="auto" w:fill="FFFFFF"/>
              </w:rPr>
            </w:pPr>
            <w:r w:rsidRPr="00BD3074">
              <w:rPr>
                <w:bCs/>
                <w:shd w:val="clear" w:color="auto" w:fill="FFFFFF"/>
              </w:rPr>
              <w:t>Ņemot vērā iepriekš aprakstītos grozījumus MK noteikumu Nr.653 26.punktā, atbilstoši ir nepieciešams veikts precizējumus arī MK noteikumu Nr.653 47.punktā, paredzot lielāku atbildību valsts</w:t>
            </w:r>
            <w:r w:rsidR="00B77C59">
              <w:rPr>
                <w:bCs/>
                <w:shd w:val="clear" w:color="auto" w:fill="FFFFFF"/>
              </w:rPr>
              <w:t xml:space="preserve"> IKT pārvaldības organizācijai,</w:t>
            </w:r>
            <w:r w:rsidRPr="00BD3074">
              <w:rPr>
                <w:bCs/>
                <w:shd w:val="clear" w:color="auto" w:fill="FFFFFF"/>
              </w:rPr>
              <w:t xml:space="preserve"> nodrošinot, ka IKT pārvaldības organizācija ierosina sadarbības iestādei izskatīt nepieciešamību atkāpties no līguma vai vienošanās par projekta īstenošanu vai sniedz priekšlikumus projekta pārskatīšanai</w:t>
            </w:r>
            <w:r w:rsidR="00FC7E05" w:rsidRPr="00BD3074">
              <w:rPr>
                <w:bCs/>
                <w:shd w:val="clear" w:color="auto" w:fill="FFFFFF"/>
              </w:rPr>
              <w:t>,</w:t>
            </w:r>
            <w:r w:rsidRPr="00BD3074">
              <w:rPr>
                <w:bCs/>
                <w:shd w:val="clear" w:color="auto" w:fill="FFFFFF"/>
              </w:rPr>
              <w:t xml:space="preserve"> </w:t>
            </w:r>
            <w:r w:rsidR="00FC7E05" w:rsidRPr="00BD3074">
              <w:rPr>
                <w:bCs/>
                <w:shd w:val="clear" w:color="auto" w:fill="FFFFFF"/>
              </w:rPr>
              <w:t>ja tiek konstatētas nesaskaņotas atkāpes no IKT mērķarhitektūrā iekļautā projekta apraksta vai ir iestājušies citi apstākļi, kas ietekmē vai var ietekmēt pasākuma mērķi, iznākuma rādītāju vai uzraudzības rādītāju sasniegšanu, kā rezultātā tiek apdraudēta valsts IKT arhitektūras ieviešana vai darbība</w:t>
            </w:r>
            <w:r w:rsidRPr="00BD3074">
              <w:rPr>
                <w:bCs/>
                <w:shd w:val="clear" w:color="auto" w:fill="FFFFFF"/>
              </w:rPr>
              <w:t>.</w:t>
            </w:r>
          </w:p>
          <w:p w:rsidR="00BF7371" w:rsidRPr="00BD3074" w:rsidRDefault="00BF7371" w:rsidP="00E70D44">
            <w:pPr>
              <w:spacing w:after="120"/>
              <w:ind w:right="72"/>
              <w:jc w:val="both"/>
              <w:rPr>
                <w:bCs/>
                <w:shd w:val="clear" w:color="auto" w:fill="FFFFFF"/>
              </w:rPr>
            </w:pPr>
            <w:r w:rsidRPr="00BD3074">
              <w:rPr>
                <w:bCs/>
                <w:shd w:val="clear" w:color="auto" w:fill="FFFFFF"/>
              </w:rPr>
              <w:t>Vienlaikus MK noteikumos Nr.653 nepiecie</w:t>
            </w:r>
            <w:r w:rsidR="00721E8E" w:rsidRPr="00BD3074">
              <w:rPr>
                <w:bCs/>
                <w:shd w:val="clear" w:color="auto" w:fill="FFFFFF"/>
              </w:rPr>
              <w:t>šams veikt šādus tehniskus groz</w:t>
            </w:r>
            <w:r w:rsidRPr="00BD3074">
              <w:rPr>
                <w:bCs/>
                <w:shd w:val="clear" w:color="auto" w:fill="FFFFFF"/>
              </w:rPr>
              <w:t>ījumus:</w:t>
            </w:r>
          </w:p>
          <w:p w:rsidR="00BF7371" w:rsidRPr="00F62629" w:rsidRDefault="00BF7371" w:rsidP="003F0D82">
            <w:pPr>
              <w:spacing w:after="120"/>
              <w:ind w:right="72"/>
              <w:jc w:val="both"/>
              <w:rPr>
                <w:bCs/>
                <w:shd w:val="clear" w:color="auto" w:fill="FFFFFF"/>
              </w:rPr>
            </w:pPr>
            <w:r w:rsidRPr="00BD3074">
              <w:rPr>
                <w:bCs/>
                <w:shd w:val="clear" w:color="auto" w:fill="FFFFFF"/>
              </w:rPr>
              <w:t>1)precizēt MK noteikumu Nr.653 7.3.apakšpunktā no</w:t>
            </w:r>
            <w:r w:rsidR="003F0D82" w:rsidRPr="00BD3074">
              <w:rPr>
                <w:bCs/>
                <w:shd w:val="clear" w:color="auto" w:fill="FFFFFF"/>
              </w:rPr>
              <w:t>rādīto</w:t>
            </w:r>
            <w:r w:rsidRPr="00BD3074">
              <w:rPr>
                <w:bCs/>
                <w:shd w:val="clear" w:color="auto" w:fill="FFFFFF"/>
              </w:rPr>
              <w:t xml:space="preserve"> </w:t>
            </w:r>
            <w:r w:rsidR="003F0D82" w:rsidRPr="00BD3074">
              <w:rPr>
                <w:bCs/>
                <w:shd w:val="clear" w:color="auto" w:fill="FFFFFF"/>
              </w:rPr>
              <w:t xml:space="preserve">finanšu rādītāju, </w:t>
            </w:r>
            <w:r w:rsidRPr="00BD3074">
              <w:rPr>
                <w:bCs/>
                <w:shd w:val="clear" w:color="auto" w:fill="FFFFFF"/>
              </w:rPr>
              <w:t xml:space="preserve">nosakot, ka līdz 2018.gada 31.decembrim sertificēto izdevumu apjoms ir 13 754 084 euro, ņemot vērā, ka šobrīd noteikumos norādītā summa atbilst sertificēto izdevumu apjoma </w:t>
            </w:r>
            <w:r w:rsidR="003F0D82" w:rsidRPr="00BD3074">
              <w:rPr>
                <w:bCs/>
                <w:shd w:val="clear" w:color="auto" w:fill="FFFFFF"/>
              </w:rPr>
              <w:t>ERAF</w:t>
            </w:r>
            <w:r w:rsidRPr="00BD3074">
              <w:rPr>
                <w:bCs/>
                <w:shd w:val="clear" w:color="auto" w:fill="FFFFFF"/>
              </w:rPr>
              <w:t xml:space="preserve"> daļai, neietverot nacionālā publiskā</w:t>
            </w:r>
            <w:r w:rsidRPr="00F62629">
              <w:rPr>
                <w:bCs/>
                <w:shd w:val="clear" w:color="auto" w:fill="FFFFFF"/>
              </w:rPr>
              <w:t xml:space="preserve"> finansējuma apjomu</w:t>
            </w:r>
            <w:r w:rsidR="003F0D82" w:rsidRPr="00F62629">
              <w:rPr>
                <w:bCs/>
                <w:shd w:val="clear" w:color="auto" w:fill="FFFFFF"/>
              </w:rPr>
              <w:t>;</w:t>
            </w:r>
          </w:p>
          <w:p w:rsidR="003F0D82" w:rsidRDefault="003F0D82" w:rsidP="00D91DEE">
            <w:pPr>
              <w:spacing w:after="120"/>
              <w:ind w:right="72"/>
              <w:jc w:val="both"/>
              <w:rPr>
                <w:bCs/>
                <w:shd w:val="clear" w:color="auto" w:fill="FFFFFF"/>
              </w:rPr>
            </w:pPr>
            <w:r w:rsidRPr="00F62629">
              <w:rPr>
                <w:bCs/>
                <w:shd w:val="clear" w:color="auto" w:fill="FFFFFF"/>
              </w:rPr>
              <w:t>2)precizēt MK noteikumu 20.1.apakšpunktā norādīto projekta vadības personāla atlīdzības izmaksu aprēķina aprakstu, lai nodrošinātu MK noteikumos iekļauto nosacījumu atbilstību Finanšu ministrijas</w:t>
            </w:r>
            <w:r w:rsidR="00D91DEE" w:rsidRPr="00F62629">
              <w:rPr>
                <w:bCs/>
                <w:shd w:val="clear" w:color="auto" w:fill="FFFFFF"/>
              </w:rPr>
              <w:t xml:space="preserve"> 2015.gada 2.jūnija</w:t>
            </w:r>
            <w:r w:rsidRPr="00F62629">
              <w:rPr>
                <w:bCs/>
                <w:shd w:val="clear" w:color="auto" w:fill="FFFFFF"/>
              </w:rPr>
              <w:t xml:space="preserve"> </w:t>
            </w:r>
            <w:r w:rsidR="00D91DEE" w:rsidRPr="00F62629">
              <w:rPr>
                <w:bCs/>
                <w:shd w:val="clear" w:color="auto" w:fill="FFFFFF"/>
              </w:rPr>
              <w:t>m</w:t>
            </w:r>
            <w:r w:rsidRPr="00F62629">
              <w:rPr>
                <w:bCs/>
                <w:shd w:val="clear" w:color="auto" w:fill="FFFFFF"/>
              </w:rPr>
              <w:t xml:space="preserve">etodikai </w:t>
            </w:r>
            <w:r w:rsidRPr="00F62629">
              <w:rPr>
                <w:bCs/>
                <w:i/>
                <w:shd w:val="clear" w:color="auto" w:fill="FFFFFF"/>
              </w:rPr>
              <w:t>par netiešo izmaksu vienotās likmes piemērošanu projekta izmaksu atzīšanā 2014.-2020.gada plānošanas periodā</w:t>
            </w:r>
            <w:r w:rsidR="008726AF">
              <w:rPr>
                <w:bCs/>
                <w:shd w:val="clear" w:color="auto" w:fill="FFFFFF"/>
              </w:rPr>
              <w:t>;</w:t>
            </w:r>
          </w:p>
          <w:p w:rsidR="008726AF" w:rsidRPr="00F62629" w:rsidRDefault="008726AF" w:rsidP="00D91DEE">
            <w:pPr>
              <w:spacing w:after="120"/>
              <w:ind w:right="72"/>
              <w:jc w:val="both"/>
            </w:pPr>
            <w:r w:rsidRPr="00BD2D53">
              <w:rPr>
                <w:bCs/>
                <w:shd w:val="clear" w:color="auto" w:fill="FFFFFF"/>
              </w:rPr>
              <w:t xml:space="preserve">3)precizēt MK noteikumu 30.punktu, lai nodrošinātu, ka MK noteikumu 30.punktā minētās iepirkumu procedūras var tikt izsludinātas jau pirms tiek noslēgta vienošanās par projekta īstenošanu, kā arī MK noteikumu 20.4.apakšpunktā </w:t>
            </w:r>
            <w:r>
              <w:rPr>
                <w:bCs/>
                <w:shd w:val="clear" w:color="auto" w:fill="FFFFFF"/>
              </w:rPr>
              <w:t xml:space="preserve">minētās </w:t>
            </w:r>
            <w:r w:rsidRPr="00BD2D53">
              <w:rPr>
                <w:bCs/>
                <w:shd w:val="clear" w:color="auto" w:fill="FFFFFF"/>
              </w:rPr>
              <w:t>dokumentācijas un informācijas sistēmu izstrāde var tikt uzsākta pirms tiek noslēgta vienošanās par projekta īstenošanu, ņemot vērā, ka MK noteikumu 30.punkta būtība ir noteikt maksimālo termiņu, līdz kuram ir jāuzsāk iepriekšminēto darbību īstenošana.</w:t>
            </w:r>
          </w:p>
        </w:tc>
      </w:tr>
      <w:tr w:rsidR="00385F0D" w:rsidRPr="00427146" w:rsidTr="00A100BB">
        <w:trPr>
          <w:trHeight w:val="465"/>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t>3.</w:t>
            </w:r>
          </w:p>
        </w:tc>
        <w:tc>
          <w:tcPr>
            <w:tcW w:w="1090" w:type="pct"/>
            <w:hideMark/>
          </w:tcPr>
          <w:p w:rsidR="00385F0D" w:rsidRPr="00427146" w:rsidRDefault="00385F0D">
            <w:pPr>
              <w:rPr>
                <w:color w:val="000000"/>
              </w:rPr>
            </w:pPr>
            <w:r w:rsidRPr="00427146">
              <w:rPr>
                <w:color w:val="000000"/>
              </w:rPr>
              <w:t>Projekta izstrādē iesaistītās institūcijas</w:t>
            </w:r>
          </w:p>
        </w:tc>
        <w:tc>
          <w:tcPr>
            <w:tcW w:w="3632" w:type="pct"/>
            <w:hideMark/>
          </w:tcPr>
          <w:p w:rsidR="00052AC4" w:rsidRPr="00F279B7" w:rsidRDefault="00EE69DF" w:rsidP="00182C66">
            <w:pPr>
              <w:jc w:val="both"/>
              <w:rPr>
                <w:color w:val="FF0000"/>
              </w:rPr>
            </w:pPr>
            <w:r>
              <w:rPr>
                <w:color w:val="000000"/>
              </w:rPr>
              <w:t>Nav</w:t>
            </w:r>
          </w:p>
        </w:tc>
      </w:tr>
      <w:tr w:rsidR="00385F0D" w:rsidRPr="00427146" w:rsidTr="00A100BB">
        <w:trPr>
          <w:tblCellSpacing w:w="15" w:type="dxa"/>
        </w:trPr>
        <w:tc>
          <w:tcPr>
            <w:tcW w:w="215" w:type="pct"/>
            <w:hideMark/>
          </w:tcPr>
          <w:p w:rsidR="00385F0D" w:rsidRPr="00427146" w:rsidRDefault="00385F0D" w:rsidP="00385F0D">
            <w:pPr>
              <w:spacing w:before="100" w:beforeAutospacing="1" w:after="100" w:afterAutospacing="1" w:line="360" w:lineRule="auto"/>
              <w:rPr>
                <w:color w:val="000000"/>
              </w:rPr>
            </w:pPr>
            <w:r w:rsidRPr="00427146">
              <w:rPr>
                <w:color w:val="000000"/>
              </w:rPr>
              <w:t>4.</w:t>
            </w:r>
          </w:p>
        </w:tc>
        <w:tc>
          <w:tcPr>
            <w:tcW w:w="1090" w:type="pct"/>
            <w:hideMark/>
          </w:tcPr>
          <w:p w:rsidR="00385F0D" w:rsidRPr="00427146" w:rsidRDefault="00385F0D">
            <w:pPr>
              <w:rPr>
                <w:color w:val="000000"/>
              </w:rPr>
            </w:pPr>
            <w:r w:rsidRPr="00427146">
              <w:rPr>
                <w:color w:val="000000"/>
              </w:rPr>
              <w:t>Cita informācija</w:t>
            </w:r>
          </w:p>
        </w:tc>
        <w:tc>
          <w:tcPr>
            <w:tcW w:w="3632" w:type="pct"/>
            <w:hideMark/>
          </w:tcPr>
          <w:p w:rsidR="003C289D" w:rsidRPr="00427146" w:rsidRDefault="003C289D" w:rsidP="001F7760">
            <w:pPr>
              <w:ind w:right="72"/>
              <w:jc w:val="both"/>
              <w:rPr>
                <w:color w:val="000000"/>
              </w:rPr>
            </w:pPr>
            <w:r>
              <w:t>Nav</w:t>
            </w:r>
          </w:p>
        </w:tc>
      </w:tr>
      <w:tr w:rsidR="007E1737" w:rsidRPr="00427146" w:rsidTr="008B72C5">
        <w:trPr>
          <w:trHeight w:val="711"/>
          <w:tblCellSpacing w:w="15" w:type="dxa"/>
        </w:trPr>
        <w:tc>
          <w:tcPr>
            <w:tcW w:w="4968" w:type="pct"/>
            <w:gridSpan w:val="3"/>
            <w:vAlign w:val="center"/>
            <w:hideMark/>
          </w:tcPr>
          <w:p w:rsidR="00385F0D" w:rsidRPr="00427146" w:rsidRDefault="00385F0D" w:rsidP="00B657F2">
            <w:pPr>
              <w:spacing w:before="100" w:beforeAutospacing="1" w:after="100" w:afterAutospacing="1"/>
              <w:ind w:firstLine="346"/>
              <w:jc w:val="center"/>
              <w:rPr>
                <w:b/>
                <w:bCs/>
                <w:color w:val="000000"/>
              </w:rPr>
            </w:pPr>
            <w:r w:rsidRPr="00427146">
              <w:rPr>
                <w:color w:val="000000"/>
              </w:rPr>
              <w:t> </w:t>
            </w:r>
            <w:r w:rsidRPr="00427146">
              <w:rPr>
                <w:b/>
                <w:bCs/>
                <w:color w:val="000000"/>
              </w:rPr>
              <w:t>II. Tiesību akta projekta ietekme uz sabiedrību, tautsaimniecības attīstību un administratīvo slogu</w:t>
            </w:r>
          </w:p>
        </w:tc>
      </w:tr>
      <w:tr w:rsidR="00385F0D" w:rsidRPr="00427146" w:rsidTr="00A100BB">
        <w:trPr>
          <w:trHeight w:val="465"/>
          <w:tblCellSpacing w:w="15" w:type="dxa"/>
        </w:trPr>
        <w:tc>
          <w:tcPr>
            <w:tcW w:w="215" w:type="pct"/>
            <w:hideMark/>
          </w:tcPr>
          <w:p w:rsidR="00385F0D" w:rsidRPr="00427146" w:rsidRDefault="00385F0D">
            <w:pPr>
              <w:rPr>
                <w:color w:val="000000"/>
              </w:rPr>
            </w:pPr>
            <w:r w:rsidRPr="00427146">
              <w:rPr>
                <w:color w:val="000000"/>
              </w:rPr>
              <w:t>1.</w:t>
            </w:r>
          </w:p>
        </w:tc>
        <w:tc>
          <w:tcPr>
            <w:tcW w:w="1090" w:type="pct"/>
            <w:hideMark/>
          </w:tcPr>
          <w:p w:rsidR="00831EA8" w:rsidRPr="00427146" w:rsidRDefault="00385F0D" w:rsidP="00C50198">
            <w:pPr>
              <w:rPr>
                <w:color w:val="000000"/>
              </w:rPr>
            </w:pPr>
            <w:r w:rsidRPr="00427146">
              <w:rPr>
                <w:color w:val="000000"/>
              </w:rPr>
              <w:t xml:space="preserve">Sabiedrības mērķgrupas, kuras tiesiskais regulējums ietekmē </w:t>
            </w:r>
          </w:p>
        </w:tc>
        <w:tc>
          <w:tcPr>
            <w:tcW w:w="3632" w:type="pct"/>
            <w:hideMark/>
          </w:tcPr>
          <w:p w:rsidR="00190830" w:rsidRPr="00427146" w:rsidRDefault="00EE69DF" w:rsidP="00EE69DF">
            <w:pPr>
              <w:ind w:right="72"/>
              <w:jc w:val="both"/>
              <w:rPr>
                <w:color w:val="000000"/>
              </w:rPr>
            </w:pPr>
            <w:r w:rsidRPr="00877BB7">
              <w:rPr>
                <w:bCs/>
              </w:rPr>
              <w:t xml:space="preserve">2.2.1.1. pasākuma </w:t>
            </w:r>
            <w:r w:rsidR="00190830">
              <w:rPr>
                <w:color w:val="000000"/>
              </w:rPr>
              <w:t xml:space="preserve">projektu </w:t>
            </w:r>
            <w:r w:rsidR="008B4C23">
              <w:rPr>
                <w:color w:val="000000"/>
              </w:rPr>
              <w:t xml:space="preserve"> iesniegumu </w:t>
            </w:r>
            <w:r w:rsidR="00190830">
              <w:rPr>
                <w:color w:val="000000"/>
              </w:rPr>
              <w:t>iesniedzēji un to sadarbības partneri.</w:t>
            </w:r>
          </w:p>
        </w:tc>
      </w:tr>
      <w:tr w:rsidR="00385F0D" w:rsidRPr="00427146" w:rsidTr="00A100BB">
        <w:trPr>
          <w:trHeight w:val="510"/>
          <w:tblCellSpacing w:w="15" w:type="dxa"/>
        </w:trPr>
        <w:tc>
          <w:tcPr>
            <w:tcW w:w="215" w:type="pct"/>
            <w:hideMark/>
          </w:tcPr>
          <w:p w:rsidR="00385F0D" w:rsidRPr="00427146" w:rsidRDefault="00385F0D">
            <w:pPr>
              <w:rPr>
                <w:color w:val="000000"/>
              </w:rPr>
            </w:pPr>
            <w:r w:rsidRPr="00427146">
              <w:rPr>
                <w:color w:val="000000"/>
              </w:rPr>
              <w:t>2.</w:t>
            </w:r>
          </w:p>
        </w:tc>
        <w:tc>
          <w:tcPr>
            <w:tcW w:w="1090" w:type="pct"/>
            <w:hideMark/>
          </w:tcPr>
          <w:p w:rsidR="00831EA8" w:rsidRPr="00427146" w:rsidRDefault="00385F0D">
            <w:pPr>
              <w:rPr>
                <w:color w:val="000000"/>
              </w:rPr>
            </w:pPr>
            <w:r w:rsidRPr="00427146">
              <w:rPr>
                <w:color w:val="000000"/>
              </w:rPr>
              <w:t>Tiesiskā regulējuma ietekme uz tautsaimniecību un administratīvo slogu</w:t>
            </w:r>
          </w:p>
        </w:tc>
        <w:tc>
          <w:tcPr>
            <w:tcW w:w="3632" w:type="pct"/>
            <w:hideMark/>
          </w:tcPr>
          <w:p w:rsidR="003C289D" w:rsidRDefault="00632608" w:rsidP="001F7760">
            <w:pPr>
              <w:ind w:right="72"/>
              <w:jc w:val="both"/>
              <w:rPr>
                <w:color w:val="FF0000"/>
              </w:rPr>
            </w:pPr>
            <w:r w:rsidRPr="00427146">
              <w:rPr>
                <w:color w:val="000000"/>
              </w:rPr>
              <w:t>Sabiedrības grupām un institūcijām projekta tiesiskais regulējums nemaina tiesības un pienākumus</w:t>
            </w:r>
            <w:r w:rsidR="002C5C78">
              <w:rPr>
                <w:color w:val="000000"/>
              </w:rPr>
              <w:t xml:space="preserve">, </w:t>
            </w:r>
            <w:r w:rsidR="003C270C">
              <w:rPr>
                <w:color w:val="000000"/>
              </w:rPr>
              <w:t>kā arī veicamās darbības</w:t>
            </w:r>
            <w:r w:rsidR="002C5C78">
              <w:rPr>
                <w:color w:val="000000"/>
              </w:rPr>
              <w:t>.</w:t>
            </w:r>
            <w:r w:rsidR="00392FC9">
              <w:rPr>
                <w:color w:val="000000"/>
              </w:rPr>
              <w:t xml:space="preserve"> </w:t>
            </w:r>
            <w:r w:rsidR="008B4C23">
              <w:rPr>
                <w:color w:val="000000"/>
              </w:rPr>
              <w:t xml:space="preserve">Ierosinātais grozījums ir labvēlīgs </w:t>
            </w:r>
            <w:r w:rsidR="00EE69DF" w:rsidRPr="00877BB7">
              <w:rPr>
                <w:bCs/>
              </w:rPr>
              <w:t xml:space="preserve">2.2.1.1. pasākuma </w:t>
            </w:r>
            <w:r w:rsidR="008B4C23">
              <w:rPr>
                <w:color w:val="000000"/>
              </w:rPr>
              <w:t>projektu  iesniegumu iesniedzējiem un to sadarbības partneriem.</w:t>
            </w:r>
          </w:p>
          <w:p w:rsidR="00447E38" w:rsidRPr="00447E38" w:rsidRDefault="00447E38" w:rsidP="001F7760">
            <w:pPr>
              <w:ind w:right="72"/>
              <w:jc w:val="both"/>
              <w:rPr>
                <w:b/>
                <w:color w:val="000000"/>
              </w:rPr>
            </w:pPr>
          </w:p>
        </w:tc>
      </w:tr>
      <w:tr w:rsidR="00385F0D" w:rsidRPr="00427146" w:rsidTr="00A100BB">
        <w:trPr>
          <w:trHeight w:val="510"/>
          <w:tblCellSpacing w:w="15" w:type="dxa"/>
        </w:trPr>
        <w:tc>
          <w:tcPr>
            <w:tcW w:w="215" w:type="pct"/>
            <w:hideMark/>
          </w:tcPr>
          <w:p w:rsidR="00385F0D" w:rsidRPr="00427146" w:rsidRDefault="00385F0D">
            <w:pPr>
              <w:rPr>
                <w:color w:val="000000"/>
              </w:rPr>
            </w:pPr>
            <w:r w:rsidRPr="00427146">
              <w:rPr>
                <w:color w:val="000000"/>
              </w:rPr>
              <w:t>3.</w:t>
            </w:r>
          </w:p>
        </w:tc>
        <w:tc>
          <w:tcPr>
            <w:tcW w:w="1090" w:type="pct"/>
            <w:hideMark/>
          </w:tcPr>
          <w:p w:rsidR="00385F0D" w:rsidRPr="00427146" w:rsidRDefault="00385F0D">
            <w:pPr>
              <w:rPr>
                <w:color w:val="000000"/>
              </w:rPr>
            </w:pPr>
            <w:r w:rsidRPr="00427146">
              <w:rPr>
                <w:color w:val="000000"/>
              </w:rPr>
              <w:t>Administratīvo izmaksu monetārs novērtējums</w:t>
            </w:r>
          </w:p>
        </w:tc>
        <w:tc>
          <w:tcPr>
            <w:tcW w:w="3632" w:type="pct"/>
            <w:hideMark/>
          </w:tcPr>
          <w:p w:rsidR="00385F0D" w:rsidRPr="00427146" w:rsidRDefault="0031684F" w:rsidP="00190830">
            <w:pPr>
              <w:ind w:right="74"/>
              <w:jc w:val="both"/>
              <w:rPr>
                <w:color w:val="000000"/>
              </w:rPr>
            </w:pPr>
            <w:r w:rsidRPr="00D751FC">
              <w:t>Projekts šo jomu neskar</w:t>
            </w:r>
            <w:r w:rsidR="007C23FC" w:rsidRPr="00D751FC">
              <w:t>, jo projekta īstenotājam nerada papildu</w:t>
            </w:r>
            <w:r w:rsidR="002C5C78" w:rsidRPr="00D751FC">
              <w:t xml:space="preserve"> administratīvās</w:t>
            </w:r>
            <w:r w:rsidR="007C23FC" w:rsidRPr="00D751FC">
              <w:t xml:space="preserve"> </w:t>
            </w:r>
            <w:r w:rsidR="002C5C78" w:rsidRPr="00D751FC">
              <w:t>izmaksas</w:t>
            </w:r>
            <w:r w:rsidR="00392FC9" w:rsidRPr="00D751FC">
              <w:t xml:space="preserve">. </w:t>
            </w:r>
          </w:p>
        </w:tc>
      </w:tr>
      <w:tr w:rsidR="00385F0D" w:rsidRPr="00427146" w:rsidTr="00A100BB">
        <w:trPr>
          <w:trHeight w:val="345"/>
          <w:tblCellSpacing w:w="15" w:type="dxa"/>
        </w:trPr>
        <w:tc>
          <w:tcPr>
            <w:tcW w:w="215" w:type="pct"/>
            <w:hideMark/>
          </w:tcPr>
          <w:p w:rsidR="00385F0D" w:rsidRPr="00427146" w:rsidRDefault="00385F0D">
            <w:pPr>
              <w:rPr>
                <w:color w:val="000000"/>
              </w:rPr>
            </w:pPr>
            <w:r w:rsidRPr="00427146">
              <w:rPr>
                <w:color w:val="000000"/>
              </w:rPr>
              <w:t>4.</w:t>
            </w:r>
          </w:p>
        </w:tc>
        <w:tc>
          <w:tcPr>
            <w:tcW w:w="1090" w:type="pct"/>
            <w:hideMark/>
          </w:tcPr>
          <w:p w:rsidR="00385F0D" w:rsidRPr="00427146" w:rsidRDefault="00385F0D">
            <w:pPr>
              <w:rPr>
                <w:color w:val="000000"/>
              </w:rPr>
            </w:pPr>
            <w:r w:rsidRPr="00427146">
              <w:rPr>
                <w:color w:val="000000"/>
              </w:rPr>
              <w:t>Cita informācija</w:t>
            </w:r>
          </w:p>
        </w:tc>
        <w:tc>
          <w:tcPr>
            <w:tcW w:w="3632" w:type="pct"/>
            <w:hideMark/>
          </w:tcPr>
          <w:p w:rsidR="00385F0D" w:rsidRPr="00427146" w:rsidRDefault="00385F0D" w:rsidP="00F83515">
            <w:pPr>
              <w:ind w:right="72"/>
              <w:jc w:val="both"/>
              <w:rPr>
                <w:color w:val="000000"/>
              </w:rPr>
            </w:pPr>
            <w:r w:rsidRPr="00427146">
              <w:rPr>
                <w:color w:val="000000"/>
              </w:rPr>
              <w:t>Nav</w:t>
            </w:r>
          </w:p>
        </w:tc>
      </w:tr>
    </w:tbl>
    <w:p w:rsidR="00B239CC" w:rsidRPr="006B0B81" w:rsidRDefault="00B239CC" w:rsidP="00B239CC">
      <w:pPr>
        <w:ind w:left="425" w:hanging="79"/>
        <w:jc w:val="both"/>
        <w:rPr>
          <w:i/>
          <w:iCs/>
          <w:color w:val="000000"/>
          <w:sz w:val="16"/>
          <w:szCs w:val="16"/>
        </w:rPr>
      </w:pPr>
    </w:p>
    <w:p w:rsidR="0015395C" w:rsidRDefault="0006279B" w:rsidP="007A0A8F">
      <w:pPr>
        <w:spacing w:line="360" w:lineRule="auto"/>
        <w:ind w:firstLine="346"/>
        <w:rPr>
          <w:i/>
          <w:iCs/>
          <w:color w:val="000000"/>
        </w:rPr>
      </w:pPr>
      <w:r>
        <w:rPr>
          <w:i/>
          <w:iCs/>
          <w:color w:val="000000"/>
        </w:rPr>
        <w:t xml:space="preserve">Anotācijas </w:t>
      </w:r>
      <w:r w:rsidR="00F5726F">
        <w:rPr>
          <w:i/>
          <w:iCs/>
          <w:color w:val="000000"/>
        </w:rPr>
        <w:t>III</w:t>
      </w:r>
      <w:r>
        <w:rPr>
          <w:i/>
          <w:iCs/>
          <w:color w:val="000000"/>
        </w:rPr>
        <w:t>. – VI</w:t>
      </w:r>
      <w:r w:rsidR="00BE6E99">
        <w:rPr>
          <w:i/>
          <w:iCs/>
          <w:color w:val="000000"/>
        </w:rPr>
        <w:t>I</w:t>
      </w:r>
      <w:r w:rsidR="0015395C" w:rsidRPr="00427146">
        <w:rPr>
          <w:i/>
          <w:iCs/>
          <w:color w:val="000000"/>
        </w:rPr>
        <w:t>. sadaļa – projekts šīs jomas neskar.</w:t>
      </w:r>
    </w:p>
    <w:p w:rsidR="00EF338B" w:rsidRDefault="00EF338B" w:rsidP="00385A38">
      <w:pPr>
        <w:rPr>
          <w:color w:val="000000"/>
          <w:sz w:val="16"/>
          <w:szCs w:val="16"/>
        </w:rPr>
      </w:pPr>
    </w:p>
    <w:p w:rsidR="00385A38" w:rsidRPr="00427146" w:rsidRDefault="005B71D1" w:rsidP="00385A38">
      <w:pPr>
        <w:rPr>
          <w:color w:val="000000"/>
          <w:sz w:val="28"/>
          <w:szCs w:val="28"/>
        </w:rPr>
      </w:pPr>
      <w:r w:rsidRPr="00427146">
        <w:rPr>
          <w:color w:val="000000"/>
          <w:sz w:val="28"/>
          <w:szCs w:val="28"/>
        </w:rPr>
        <w:t>I</w:t>
      </w:r>
      <w:r w:rsidR="00C83C8B" w:rsidRPr="00427146">
        <w:rPr>
          <w:color w:val="000000"/>
          <w:sz w:val="28"/>
          <w:szCs w:val="28"/>
        </w:rPr>
        <w:t>esniedzējs:</w:t>
      </w:r>
    </w:p>
    <w:p w:rsidR="00BA0344" w:rsidRPr="00427146" w:rsidRDefault="00C33859" w:rsidP="00385A38">
      <w:pPr>
        <w:rPr>
          <w:color w:val="000000"/>
          <w:sz w:val="28"/>
          <w:szCs w:val="28"/>
        </w:rPr>
      </w:pPr>
      <w:r>
        <w:rPr>
          <w:color w:val="000000"/>
          <w:sz w:val="28"/>
          <w:szCs w:val="28"/>
        </w:rPr>
        <w:t>v</w:t>
      </w:r>
      <w:r w:rsidR="00BA0344" w:rsidRPr="00427146">
        <w:rPr>
          <w:color w:val="000000"/>
          <w:sz w:val="28"/>
          <w:szCs w:val="28"/>
        </w:rPr>
        <w:t xml:space="preserve">ides aizsardzības un </w:t>
      </w:r>
    </w:p>
    <w:p w:rsidR="00B4349E" w:rsidRDefault="00BA0344" w:rsidP="008841C6">
      <w:pPr>
        <w:rPr>
          <w:color w:val="000000"/>
          <w:sz w:val="28"/>
          <w:szCs w:val="28"/>
        </w:rPr>
      </w:pPr>
      <w:r w:rsidRPr="00427146">
        <w:rPr>
          <w:color w:val="000000"/>
          <w:sz w:val="28"/>
          <w:szCs w:val="28"/>
        </w:rPr>
        <w:t>reģionālās attīstības ministr</w:t>
      </w:r>
      <w:r w:rsidR="00901A03">
        <w:rPr>
          <w:color w:val="000000"/>
          <w:sz w:val="28"/>
          <w:szCs w:val="28"/>
        </w:rPr>
        <w:t>s</w:t>
      </w:r>
      <w:r w:rsidR="00901A03">
        <w:rPr>
          <w:color w:val="000000"/>
          <w:sz w:val="28"/>
          <w:szCs w:val="28"/>
        </w:rPr>
        <w:tab/>
      </w:r>
      <w:r w:rsidR="00901A03">
        <w:rPr>
          <w:color w:val="000000"/>
          <w:sz w:val="28"/>
          <w:szCs w:val="28"/>
        </w:rPr>
        <w:tab/>
      </w:r>
      <w:r w:rsidR="00901A03">
        <w:rPr>
          <w:color w:val="000000"/>
          <w:sz w:val="28"/>
          <w:szCs w:val="28"/>
        </w:rPr>
        <w:tab/>
      </w:r>
      <w:r w:rsidR="00901A03">
        <w:rPr>
          <w:color w:val="000000"/>
          <w:sz w:val="28"/>
          <w:szCs w:val="28"/>
        </w:rPr>
        <w:tab/>
      </w:r>
      <w:r w:rsidR="00901A03">
        <w:rPr>
          <w:color w:val="000000"/>
          <w:sz w:val="28"/>
          <w:szCs w:val="28"/>
        </w:rPr>
        <w:tab/>
      </w:r>
      <w:r w:rsidR="00901A03">
        <w:rPr>
          <w:color w:val="000000"/>
          <w:sz w:val="28"/>
          <w:szCs w:val="28"/>
        </w:rPr>
        <w:tab/>
      </w:r>
      <w:r w:rsidR="008841C6">
        <w:rPr>
          <w:color w:val="000000"/>
          <w:sz w:val="28"/>
          <w:szCs w:val="28"/>
        </w:rPr>
        <w:t xml:space="preserve"> </w:t>
      </w:r>
      <w:r w:rsidR="0052135E">
        <w:rPr>
          <w:color w:val="000000"/>
          <w:sz w:val="28"/>
          <w:szCs w:val="28"/>
        </w:rPr>
        <w:t xml:space="preserve">      </w:t>
      </w:r>
      <w:r w:rsidR="008841C6">
        <w:rPr>
          <w:color w:val="000000"/>
          <w:sz w:val="28"/>
          <w:szCs w:val="28"/>
        </w:rPr>
        <w:t>K. Gerhards</w:t>
      </w:r>
    </w:p>
    <w:p w:rsidR="00B4349E" w:rsidRDefault="00B4349E" w:rsidP="008841C6">
      <w:pPr>
        <w:rPr>
          <w:color w:val="000000"/>
          <w:sz w:val="28"/>
          <w:szCs w:val="28"/>
        </w:rPr>
      </w:pPr>
    </w:p>
    <w:p w:rsidR="00B4349E" w:rsidRPr="00B4349E" w:rsidRDefault="00B4349E" w:rsidP="00B4349E">
      <w:pPr>
        <w:tabs>
          <w:tab w:val="left" w:pos="6521"/>
        </w:tabs>
        <w:jc w:val="both"/>
        <w:rPr>
          <w:sz w:val="28"/>
          <w:szCs w:val="28"/>
        </w:rPr>
      </w:pPr>
      <w:r w:rsidRPr="00B4349E">
        <w:rPr>
          <w:sz w:val="28"/>
          <w:szCs w:val="28"/>
        </w:rPr>
        <w:t xml:space="preserve">Vīza: </w:t>
      </w:r>
    </w:p>
    <w:p w:rsidR="00B4349E" w:rsidRPr="00B4349E" w:rsidRDefault="00B4349E" w:rsidP="00B4349E">
      <w:pPr>
        <w:tabs>
          <w:tab w:val="left" w:pos="6521"/>
        </w:tabs>
        <w:rPr>
          <w:sz w:val="28"/>
          <w:szCs w:val="28"/>
        </w:rPr>
      </w:pPr>
      <w:r w:rsidRPr="00B4349E">
        <w:rPr>
          <w:sz w:val="28"/>
          <w:szCs w:val="28"/>
        </w:rPr>
        <w:t xml:space="preserve">valsts sekretārs </w:t>
      </w:r>
      <w:r w:rsidRPr="00B4349E">
        <w:rPr>
          <w:sz w:val="28"/>
          <w:szCs w:val="28"/>
        </w:rPr>
        <w:tab/>
      </w:r>
      <w:r w:rsidRPr="00B4349E">
        <w:rPr>
          <w:sz w:val="28"/>
          <w:szCs w:val="28"/>
        </w:rPr>
        <w:tab/>
      </w:r>
      <w:r w:rsidRPr="00B4349E">
        <w:rPr>
          <w:sz w:val="28"/>
          <w:szCs w:val="28"/>
        </w:rPr>
        <w:tab/>
        <w:t>R.Muciņš</w:t>
      </w:r>
    </w:p>
    <w:p w:rsidR="00831EA8" w:rsidRDefault="007754A9" w:rsidP="008841C6">
      <w:pPr>
        <w:rPr>
          <w:color w:val="000000"/>
          <w:sz w:val="28"/>
          <w:szCs w:val="28"/>
        </w:rPr>
      </w:pPr>
      <w:r>
        <w:rPr>
          <w:color w:val="000000"/>
          <w:sz w:val="28"/>
          <w:szCs w:val="28"/>
        </w:rPr>
        <w:t xml:space="preserve"> </w:t>
      </w:r>
    </w:p>
    <w:p w:rsidR="00C33859" w:rsidRDefault="00C33859" w:rsidP="009A45EA">
      <w:pPr>
        <w:rPr>
          <w:color w:val="000000"/>
          <w:sz w:val="28"/>
          <w:szCs w:val="28"/>
        </w:rPr>
      </w:pPr>
      <w:bookmarkStart w:id="0" w:name="_GoBack"/>
      <w:bookmarkEnd w:id="0"/>
    </w:p>
    <w:p w:rsidR="00C33859" w:rsidRDefault="00C33859" w:rsidP="009A45EA">
      <w:pPr>
        <w:rPr>
          <w:color w:val="000000"/>
          <w:sz w:val="28"/>
          <w:szCs w:val="28"/>
        </w:rPr>
      </w:pPr>
    </w:p>
    <w:p w:rsidR="00C33859" w:rsidRDefault="00C33859" w:rsidP="009A45EA">
      <w:pPr>
        <w:rPr>
          <w:color w:val="000000"/>
          <w:sz w:val="28"/>
          <w:szCs w:val="28"/>
        </w:rPr>
      </w:pPr>
    </w:p>
    <w:p w:rsidR="00C33859" w:rsidRDefault="00C33859" w:rsidP="009A45EA">
      <w:pPr>
        <w:rPr>
          <w:noProof/>
          <w:color w:val="000000"/>
        </w:rPr>
      </w:pPr>
    </w:p>
    <w:p w:rsidR="00F5726F" w:rsidRPr="00C30090" w:rsidRDefault="007C7E3D" w:rsidP="00F5726F">
      <w:pPr>
        <w:rPr>
          <w:sz w:val="20"/>
          <w:szCs w:val="20"/>
        </w:rPr>
      </w:pPr>
      <w:r>
        <w:rPr>
          <w:sz w:val="20"/>
        </w:rPr>
        <w:t>17</w:t>
      </w:r>
      <w:r w:rsidR="00D9003E" w:rsidRPr="00C30090">
        <w:rPr>
          <w:sz w:val="20"/>
        </w:rPr>
        <w:t>.05</w:t>
      </w:r>
      <w:r w:rsidR="00F5726F" w:rsidRPr="00C30090">
        <w:rPr>
          <w:sz w:val="20"/>
        </w:rPr>
        <w:t xml:space="preserve">.2016. </w:t>
      </w:r>
      <w:r w:rsidR="00546C54" w:rsidRPr="00C30090">
        <w:rPr>
          <w:sz w:val="20"/>
        </w:rPr>
        <w:t>1</w:t>
      </w:r>
      <w:r w:rsidR="00C33859">
        <w:rPr>
          <w:sz w:val="20"/>
        </w:rPr>
        <w:t>5</w:t>
      </w:r>
      <w:r w:rsidR="008B4C23" w:rsidRPr="00C30090">
        <w:rPr>
          <w:sz w:val="20"/>
        </w:rPr>
        <w:t>:</w:t>
      </w:r>
      <w:r w:rsidR="00546C54" w:rsidRPr="00C30090">
        <w:rPr>
          <w:sz w:val="20"/>
        </w:rPr>
        <w:t>2</w:t>
      </w:r>
      <w:r w:rsidR="003874C3" w:rsidRPr="00C30090">
        <w:rPr>
          <w:sz w:val="20"/>
        </w:rPr>
        <w:t>5</w:t>
      </w:r>
    </w:p>
    <w:p w:rsidR="00F5726F" w:rsidRPr="00CE18A5" w:rsidRDefault="00C30090" w:rsidP="00F5726F">
      <w:pPr>
        <w:rPr>
          <w:sz w:val="20"/>
          <w:szCs w:val="20"/>
        </w:rPr>
      </w:pPr>
      <w:r>
        <w:rPr>
          <w:sz w:val="20"/>
        </w:rPr>
        <w:t>2</w:t>
      </w:r>
      <w:r w:rsidR="008726AF">
        <w:rPr>
          <w:sz w:val="20"/>
        </w:rPr>
        <w:t>147</w:t>
      </w:r>
    </w:p>
    <w:p w:rsidR="004D1F0F" w:rsidRDefault="002C0577" w:rsidP="004D1F0F">
      <w:pPr>
        <w:rPr>
          <w:sz w:val="20"/>
        </w:rPr>
      </w:pPr>
      <w:r>
        <w:rPr>
          <w:sz w:val="20"/>
        </w:rPr>
        <w:t>I</w:t>
      </w:r>
      <w:r w:rsidR="00F5726F">
        <w:rPr>
          <w:sz w:val="20"/>
        </w:rPr>
        <w:t xml:space="preserve">. </w:t>
      </w:r>
      <w:r w:rsidR="00EE69DF">
        <w:rPr>
          <w:sz w:val="20"/>
        </w:rPr>
        <w:t>Briņķe</w:t>
      </w:r>
      <w:r w:rsidR="004D1F0F">
        <w:rPr>
          <w:sz w:val="20"/>
        </w:rPr>
        <w:t>, 660167</w:t>
      </w:r>
      <w:r w:rsidR="00EE69DF">
        <w:rPr>
          <w:sz w:val="20"/>
        </w:rPr>
        <w:t>16</w:t>
      </w:r>
    </w:p>
    <w:p w:rsidR="002C0577" w:rsidRDefault="00B25B2E" w:rsidP="002C0577">
      <w:pPr>
        <w:rPr>
          <w:color w:val="000000"/>
          <w:sz w:val="20"/>
        </w:rPr>
      </w:pPr>
      <w:hyperlink r:id="rId11" w:history="1">
        <w:r w:rsidR="00EE69DF" w:rsidRPr="00AB6D7F">
          <w:rPr>
            <w:rStyle w:val="Hyperlink"/>
            <w:sz w:val="20"/>
          </w:rPr>
          <w:t>ieva.brinke@varam.gov.lv</w:t>
        </w:r>
      </w:hyperlink>
    </w:p>
    <w:p w:rsidR="004D1F0F" w:rsidRDefault="004D1F0F" w:rsidP="004D1F0F">
      <w:pPr>
        <w:jc w:val="both"/>
        <w:rPr>
          <w:sz w:val="20"/>
          <w:szCs w:val="20"/>
        </w:rPr>
      </w:pPr>
    </w:p>
    <w:p w:rsidR="004D1F0F" w:rsidRPr="00427146" w:rsidRDefault="004D1F0F" w:rsidP="0057693B">
      <w:pPr>
        <w:rPr>
          <w:noProof/>
          <w:color w:val="000000"/>
        </w:rPr>
      </w:pPr>
    </w:p>
    <w:sectPr w:rsidR="004D1F0F" w:rsidRPr="00427146" w:rsidSect="006B0B81">
      <w:headerReference w:type="even" r:id="rId12"/>
      <w:headerReference w:type="default" r:id="rId13"/>
      <w:footerReference w:type="default" r:id="rId14"/>
      <w:footerReference w:type="first" r:id="rId15"/>
      <w:pgSz w:w="11906" w:h="16838"/>
      <w:pgMar w:top="1134" w:right="1134" w:bottom="1134" w:left="1701" w:header="709" w:footer="4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A2A" w:rsidRDefault="00A30A2A">
      <w:r>
        <w:separator/>
      </w:r>
    </w:p>
  </w:endnote>
  <w:endnote w:type="continuationSeparator" w:id="0">
    <w:p w:rsidR="00A30A2A" w:rsidRDefault="00A30A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2A" w:rsidRPr="009009DE" w:rsidRDefault="00A30A2A" w:rsidP="009009DE">
    <w:pPr>
      <w:jc w:val="both"/>
      <w:rPr>
        <w:sz w:val="20"/>
      </w:rPr>
    </w:pPr>
    <w:r w:rsidRPr="00D751FC">
      <w:rPr>
        <w:sz w:val="20"/>
        <w:szCs w:val="20"/>
      </w:rPr>
      <w:t>VARAMAnot</w:t>
    </w:r>
    <w:r w:rsidRPr="00D751FC">
      <w:rPr>
        <w:sz w:val="20"/>
      </w:rPr>
      <w:t>_</w:t>
    </w:r>
    <w:r w:rsidR="007C7E3D">
      <w:rPr>
        <w:sz w:val="20"/>
      </w:rPr>
      <w:t>17</w:t>
    </w:r>
    <w:r>
      <w:rPr>
        <w:sz w:val="20"/>
      </w:rPr>
      <w:t>0516</w:t>
    </w:r>
    <w:r w:rsidRPr="00D751FC">
      <w:rPr>
        <w:sz w:val="20"/>
      </w:rPr>
      <w:t>_groz</w:t>
    </w:r>
    <w:r>
      <w:rPr>
        <w:sz w:val="20"/>
      </w:rPr>
      <w:t>653</w:t>
    </w:r>
    <w:r w:rsidRPr="00D751FC">
      <w:rPr>
        <w:sz w:val="20"/>
      </w:rPr>
      <w:t xml:space="preserve">; </w:t>
    </w:r>
    <w:r>
      <w:rPr>
        <w:sz w:val="20"/>
      </w:rPr>
      <w:t>Ministru kabineta noteikumu projekta “</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Pr>
        <w:bCs/>
        <w:sz w:val="20"/>
        <w:szCs w:val="20"/>
      </w:rPr>
      <w:t xml:space="preserve"> </w:t>
    </w:r>
    <w:r w:rsidRPr="00D751FC">
      <w:rPr>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2A" w:rsidRPr="003874C3" w:rsidRDefault="00A30A2A" w:rsidP="003874C3">
    <w:pPr>
      <w:jc w:val="both"/>
      <w:rPr>
        <w:sz w:val="20"/>
      </w:rPr>
    </w:pPr>
    <w:r w:rsidRPr="00D751FC">
      <w:rPr>
        <w:sz w:val="20"/>
        <w:szCs w:val="20"/>
      </w:rPr>
      <w:t>VARAMAnot</w:t>
    </w:r>
    <w:r w:rsidRPr="00D751FC">
      <w:rPr>
        <w:sz w:val="20"/>
      </w:rPr>
      <w:t>_</w:t>
    </w:r>
    <w:r w:rsidR="007C7E3D">
      <w:rPr>
        <w:sz w:val="20"/>
      </w:rPr>
      <w:t>17</w:t>
    </w:r>
    <w:r>
      <w:rPr>
        <w:sz w:val="20"/>
      </w:rPr>
      <w:t>0516</w:t>
    </w:r>
    <w:r w:rsidRPr="00D751FC">
      <w:rPr>
        <w:sz w:val="20"/>
      </w:rPr>
      <w:t>_groz</w:t>
    </w:r>
    <w:r>
      <w:rPr>
        <w:sz w:val="20"/>
      </w:rPr>
      <w:t>653</w:t>
    </w:r>
    <w:r w:rsidRPr="00D751FC">
      <w:rPr>
        <w:sz w:val="20"/>
      </w:rPr>
      <w:t xml:space="preserve">; </w:t>
    </w:r>
    <w:r>
      <w:rPr>
        <w:sz w:val="20"/>
      </w:rPr>
      <w:t>Ministru kabineta noteikumu projekta “</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Pr>
        <w:bCs/>
        <w:sz w:val="20"/>
        <w:szCs w:val="20"/>
      </w:rPr>
      <w:t xml:space="preserve"> </w:t>
    </w:r>
    <w:r w:rsidRPr="00D751FC">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A2A" w:rsidRDefault="00A30A2A">
      <w:r>
        <w:separator/>
      </w:r>
    </w:p>
  </w:footnote>
  <w:footnote w:type="continuationSeparator" w:id="0">
    <w:p w:rsidR="00A30A2A" w:rsidRDefault="00A30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2A" w:rsidRDefault="00B25B2E" w:rsidP="002935F0">
    <w:pPr>
      <w:pStyle w:val="Header"/>
      <w:framePr w:wrap="around" w:vAnchor="text" w:hAnchor="margin" w:xAlign="center" w:y="1"/>
      <w:rPr>
        <w:rStyle w:val="PageNumber"/>
      </w:rPr>
    </w:pPr>
    <w:r>
      <w:rPr>
        <w:rStyle w:val="PageNumber"/>
      </w:rPr>
      <w:fldChar w:fldCharType="begin"/>
    </w:r>
    <w:r w:rsidR="00A30A2A">
      <w:rPr>
        <w:rStyle w:val="PageNumber"/>
      </w:rPr>
      <w:instrText xml:space="preserve">PAGE  </w:instrText>
    </w:r>
    <w:r>
      <w:rPr>
        <w:rStyle w:val="PageNumber"/>
      </w:rPr>
      <w:fldChar w:fldCharType="end"/>
    </w:r>
  </w:p>
  <w:p w:rsidR="00A30A2A" w:rsidRDefault="00A30A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2A" w:rsidRDefault="00B25B2E" w:rsidP="002935F0">
    <w:pPr>
      <w:pStyle w:val="Header"/>
      <w:framePr w:wrap="around" w:vAnchor="text" w:hAnchor="margin" w:xAlign="center" w:y="1"/>
      <w:rPr>
        <w:rStyle w:val="PageNumber"/>
      </w:rPr>
    </w:pPr>
    <w:r>
      <w:rPr>
        <w:rStyle w:val="PageNumber"/>
      </w:rPr>
      <w:fldChar w:fldCharType="begin"/>
    </w:r>
    <w:r w:rsidR="00A30A2A">
      <w:rPr>
        <w:rStyle w:val="PageNumber"/>
      </w:rPr>
      <w:instrText xml:space="preserve">PAGE  </w:instrText>
    </w:r>
    <w:r>
      <w:rPr>
        <w:rStyle w:val="PageNumber"/>
      </w:rPr>
      <w:fldChar w:fldCharType="separate"/>
    </w:r>
    <w:r w:rsidR="00D7532A">
      <w:rPr>
        <w:rStyle w:val="PageNumber"/>
        <w:noProof/>
      </w:rPr>
      <w:t>7</w:t>
    </w:r>
    <w:r>
      <w:rPr>
        <w:rStyle w:val="PageNumber"/>
      </w:rPr>
      <w:fldChar w:fldCharType="end"/>
    </w:r>
  </w:p>
  <w:p w:rsidR="00A30A2A" w:rsidRDefault="00A30A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C2F1B7C"/>
    <w:multiLevelType w:val="hybridMultilevel"/>
    <w:tmpl w:val="261A1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EB0C39"/>
    <w:multiLevelType w:val="hybridMultilevel"/>
    <w:tmpl w:val="9AB0D1F0"/>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13624FDA"/>
    <w:multiLevelType w:val="hybridMultilevel"/>
    <w:tmpl w:val="4620A466"/>
    <w:lvl w:ilvl="0" w:tplc="C0C85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
    <w:nsid w:val="160730AF"/>
    <w:multiLevelType w:val="hybridMultilevel"/>
    <w:tmpl w:val="B76C17D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8">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9">
    <w:nsid w:val="1D2D7E7F"/>
    <w:multiLevelType w:val="hybridMultilevel"/>
    <w:tmpl w:val="62364150"/>
    <w:lvl w:ilvl="0" w:tplc="0426000F">
      <w:start w:val="1"/>
      <w:numFmt w:val="decimal"/>
      <w:lvlText w:val="%1."/>
      <w:lvlJc w:val="left"/>
      <w:pPr>
        <w:ind w:left="777" w:hanging="360"/>
      </w:pPr>
    </w:lvl>
    <w:lvl w:ilvl="1" w:tplc="04260019">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0">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DEF173D"/>
    <w:multiLevelType w:val="hybridMultilevel"/>
    <w:tmpl w:val="9B64EB4A"/>
    <w:lvl w:ilvl="0" w:tplc="04260001">
      <w:start w:val="1"/>
      <w:numFmt w:val="bullet"/>
      <w:lvlText w:val=""/>
      <w:lvlJc w:val="left"/>
      <w:pPr>
        <w:ind w:left="801" w:hanging="360"/>
      </w:pPr>
      <w:rPr>
        <w:rFonts w:ascii="Symbol" w:hAnsi="Symbol"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12">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15">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7">
    <w:nsid w:val="2A041314"/>
    <w:multiLevelType w:val="hybridMultilevel"/>
    <w:tmpl w:val="38C672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A55306A"/>
    <w:multiLevelType w:val="hybridMultilevel"/>
    <w:tmpl w:val="3356D6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CE225C2"/>
    <w:multiLevelType w:val="hybridMultilevel"/>
    <w:tmpl w:val="8DB4AAC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210E35"/>
    <w:multiLevelType w:val="hybridMultilevel"/>
    <w:tmpl w:val="76867B0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52A5A0A"/>
    <w:multiLevelType w:val="hybridMultilevel"/>
    <w:tmpl w:val="F1E2F726"/>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25">
    <w:nsid w:val="35E2554D"/>
    <w:multiLevelType w:val="hybridMultilevel"/>
    <w:tmpl w:val="6486F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7">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0">
    <w:nsid w:val="3EED38E8"/>
    <w:multiLevelType w:val="hybridMultilevel"/>
    <w:tmpl w:val="B59808AE"/>
    <w:lvl w:ilvl="0" w:tplc="618E07B8">
      <w:start w:val="1"/>
      <w:numFmt w:val="decimal"/>
      <w:lvlText w:val="%1)"/>
      <w:lvlJc w:val="left"/>
      <w:pPr>
        <w:ind w:left="1066" w:hanging="360"/>
      </w:pPr>
      <w:rPr>
        <w:rFonts w:ascii="Times New Roman" w:eastAsia="Calibri" w:hAnsi="Times New Roman" w:cs="Times New Roman"/>
        <w:color w:val="auto"/>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31">
    <w:nsid w:val="400117DF"/>
    <w:multiLevelType w:val="hybridMultilevel"/>
    <w:tmpl w:val="1CE6F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4">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35">
    <w:nsid w:val="5403514F"/>
    <w:multiLevelType w:val="hybridMultilevel"/>
    <w:tmpl w:val="22849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38">
    <w:nsid w:val="594B4D03"/>
    <w:multiLevelType w:val="hybridMultilevel"/>
    <w:tmpl w:val="492A6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6872EA"/>
    <w:multiLevelType w:val="hybridMultilevel"/>
    <w:tmpl w:val="8B88819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42">
    <w:nsid w:val="6AFC1C1E"/>
    <w:multiLevelType w:val="hybridMultilevel"/>
    <w:tmpl w:val="E01A09BE"/>
    <w:lvl w:ilvl="0" w:tplc="0426000D">
      <w:start w:val="1"/>
      <w:numFmt w:val="bullet"/>
      <w:lvlText w:val=""/>
      <w:lvlJc w:val="left"/>
      <w:pPr>
        <w:ind w:left="1146" w:hanging="360"/>
      </w:pPr>
      <w:rPr>
        <w:rFonts w:ascii="Wingdings" w:hAnsi="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43">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nsid w:val="7248070D"/>
    <w:multiLevelType w:val="hybridMultilevel"/>
    <w:tmpl w:val="3A2AE6F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5">
    <w:nsid w:val="78C9166D"/>
    <w:multiLevelType w:val="hybridMultilevel"/>
    <w:tmpl w:val="FAEA66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3"/>
  </w:num>
  <w:num w:numId="2">
    <w:abstractNumId w:val="15"/>
  </w:num>
  <w:num w:numId="3">
    <w:abstractNumId w:val="8"/>
  </w:num>
  <w:num w:numId="4">
    <w:abstractNumId w:val="29"/>
  </w:num>
  <w:num w:numId="5">
    <w:abstractNumId w:val="10"/>
  </w:num>
  <w:num w:numId="6">
    <w:abstractNumId w:val="23"/>
  </w:num>
  <w:num w:numId="7">
    <w:abstractNumId w:val="32"/>
  </w:num>
  <w:num w:numId="8">
    <w:abstractNumId w:val="36"/>
  </w:num>
  <w:num w:numId="9">
    <w:abstractNumId w:val="19"/>
  </w:num>
  <w:num w:numId="10">
    <w:abstractNumId w:val="40"/>
  </w:num>
  <w:num w:numId="11">
    <w:abstractNumId w:val="21"/>
  </w:num>
  <w:num w:numId="12">
    <w:abstractNumId w:val="33"/>
  </w:num>
  <w:num w:numId="13">
    <w:abstractNumId w:val="6"/>
  </w:num>
  <w:num w:numId="14">
    <w:abstractNumId w:val="26"/>
  </w:num>
  <w:num w:numId="15">
    <w:abstractNumId w:val="34"/>
  </w:num>
  <w:num w:numId="16">
    <w:abstractNumId w:val="16"/>
  </w:num>
  <w:num w:numId="17">
    <w:abstractNumId w:val="12"/>
  </w:num>
  <w:num w:numId="18">
    <w:abstractNumId w:val="0"/>
  </w:num>
  <w:num w:numId="19">
    <w:abstractNumId w:val="14"/>
  </w:num>
  <w:num w:numId="20">
    <w:abstractNumId w:val="28"/>
  </w:num>
  <w:num w:numId="21">
    <w:abstractNumId w:val="1"/>
  </w:num>
  <w:num w:numId="22">
    <w:abstractNumId w:val="27"/>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6"/>
  </w:num>
  <w:num w:numId="26">
    <w:abstractNumId w:val="2"/>
  </w:num>
  <w:num w:numId="27">
    <w:abstractNumId w:val="37"/>
  </w:num>
  <w:num w:numId="28">
    <w:abstractNumId w:val="39"/>
  </w:num>
  <w:num w:numId="29">
    <w:abstractNumId w:val="41"/>
  </w:num>
  <w:num w:numId="30">
    <w:abstractNumId w:val="24"/>
  </w:num>
  <w:num w:numId="31">
    <w:abstractNumId w:val="7"/>
  </w:num>
  <w:num w:numId="32">
    <w:abstractNumId w:val="11"/>
  </w:num>
  <w:num w:numId="33">
    <w:abstractNumId w:val="31"/>
  </w:num>
  <w:num w:numId="34">
    <w:abstractNumId w:val="30"/>
  </w:num>
  <w:num w:numId="35">
    <w:abstractNumId w:val="25"/>
  </w:num>
  <w:num w:numId="36">
    <w:abstractNumId w:val="35"/>
  </w:num>
  <w:num w:numId="37">
    <w:abstractNumId w:val="3"/>
  </w:num>
  <w:num w:numId="38">
    <w:abstractNumId w:val="38"/>
  </w:num>
  <w:num w:numId="39">
    <w:abstractNumId w:val="17"/>
  </w:num>
  <w:num w:numId="40">
    <w:abstractNumId w:val="5"/>
  </w:num>
  <w:num w:numId="41">
    <w:abstractNumId w:val="22"/>
  </w:num>
  <w:num w:numId="42">
    <w:abstractNumId w:val="42"/>
  </w:num>
  <w:num w:numId="43">
    <w:abstractNumId w:val="44"/>
  </w:num>
  <w:num w:numId="44">
    <w:abstractNumId w:val="9"/>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5"/>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hideSpellingErrors/>
  <w:hideGrammaticalErrors/>
  <w:activeWritingStyle w:appName="MSWord" w:lang="lv-LV" w:vendorID="71" w:dllVersion="512" w:checkStyle="1"/>
  <w:stylePaneFormatFilter w:val="3F01"/>
  <w:defaultTabStop w:val="720"/>
  <w:doNotShadeFormData/>
  <w:characterSpacingControl w:val="doNotCompress"/>
  <w:footnotePr>
    <w:footnote w:id="-1"/>
    <w:footnote w:id="0"/>
  </w:footnotePr>
  <w:endnotePr>
    <w:endnote w:id="-1"/>
    <w:endnote w:id="0"/>
  </w:endnotePr>
  <w:compat/>
  <w:rsids>
    <w:rsidRoot w:val="00057A45"/>
    <w:rsid w:val="000003A5"/>
    <w:rsid w:val="00000F1E"/>
    <w:rsid w:val="00002571"/>
    <w:rsid w:val="00002ED1"/>
    <w:rsid w:val="00003293"/>
    <w:rsid w:val="00003C0E"/>
    <w:rsid w:val="00005285"/>
    <w:rsid w:val="0000586E"/>
    <w:rsid w:val="00005DFA"/>
    <w:rsid w:val="000065DC"/>
    <w:rsid w:val="00006EA8"/>
    <w:rsid w:val="00010B2E"/>
    <w:rsid w:val="00010F8D"/>
    <w:rsid w:val="00011FC2"/>
    <w:rsid w:val="00013173"/>
    <w:rsid w:val="000138F8"/>
    <w:rsid w:val="00014EFF"/>
    <w:rsid w:val="0001504A"/>
    <w:rsid w:val="00015BE4"/>
    <w:rsid w:val="00015EF9"/>
    <w:rsid w:val="00016057"/>
    <w:rsid w:val="0001649B"/>
    <w:rsid w:val="00016FEA"/>
    <w:rsid w:val="00017C6B"/>
    <w:rsid w:val="00020845"/>
    <w:rsid w:val="00022724"/>
    <w:rsid w:val="0002305A"/>
    <w:rsid w:val="00023621"/>
    <w:rsid w:val="00023887"/>
    <w:rsid w:val="00023C98"/>
    <w:rsid w:val="00024402"/>
    <w:rsid w:val="00024E2D"/>
    <w:rsid w:val="000267FA"/>
    <w:rsid w:val="00030818"/>
    <w:rsid w:val="00031D8D"/>
    <w:rsid w:val="000333FC"/>
    <w:rsid w:val="0003366F"/>
    <w:rsid w:val="00033DA5"/>
    <w:rsid w:val="00034141"/>
    <w:rsid w:val="000341CB"/>
    <w:rsid w:val="0003431E"/>
    <w:rsid w:val="000353DC"/>
    <w:rsid w:val="00035450"/>
    <w:rsid w:val="00035EDF"/>
    <w:rsid w:val="0004064A"/>
    <w:rsid w:val="00040CB0"/>
    <w:rsid w:val="00041D4B"/>
    <w:rsid w:val="000433F8"/>
    <w:rsid w:val="000433F9"/>
    <w:rsid w:val="000434BF"/>
    <w:rsid w:val="00044274"/>
    <w:rsid w:val="00044482"/>
    <w:rsid w:val="0004470C"/>
    <w:rsid w:val="00045656"/>
    <w:rsid w:val="0004660D"/>
    <w:rsid w:val="00046B05"/>
    <w:rsid w:val="000473CC"/>
    <w:rsid w:val="00047AF1"/>
    <w:rsid w:val="00047F28"/>
    <w:rsid w:val="0005008C"/>
    <w:rsid w:val="00050917"/>
    <w:rsid w:val="00051FC0"/>
    <w:rsid w:val="00052AC4"/>
    <w:rsid w:val="000543E3"/>
    <w:rsid w:val="00054ABA"/>
    <w:rsid w:val="00055287"/>
    <w:rsid w:val="00055A2E"/>
    <w:rsid w:val="0005783D"/>
    <w:rsid w:val="00057A45"/>
    <w:rsid w:val="0006003C"/>
    <w:rsid w:val="00060185"/>
    <w:rsid w:val="00060333"/>
    <w:rsid w:val="00060BC0"/>
    <w:rsid w:val="00061310"/>
    <w:rsid w:val="0006142A"/>
    <w:rsid w:val="00061741"/>
    <w:rsid w:val="00061EF7"/>
    <w:rsid w:val="0006259D"/>
    <w:rsid w:val="0006279B"/>
    <w:rsid w:val="00062D16"/>
    <w:rsid w:val="000638F0"/>
    <w:rsid w:val="00063AC1"/>
    <w:rsid w:val="00063EA7"/>
    <w:rsid w:val="00064202"/>
    <w:rsid w:val="000651DD"/>
    <w:rsid w:val="00066FF1"/>
    <w:rsid w:val="000700FE"/>
    <w:rsid w:val="00070C29"/>
    <w:rsid w:val="00071786"/>
    <w:rsid w:val="00072B7C"/>
    <w:rsid w:val="0007368C"/>
    <w:rsid w:val="000743A2"/>
    <w:rsid w:val="00074AA1"/>
    <w:rsid w:val="000755A1"/>
    <w:rsid w:val="000764DA"/>
    <w:rsid w:val="00076EF5"/>
    <w:rsid w:val="000778B6"/>
    <w:rsid w:val="00081812"/>
    <w:rsid w:val="00081BF2"/>
    <w:rsid w:val="000821FE"/>
    <w:rsid w:val="000831F6"/>
    <w:rsid w:val="00083DCD"/>
    <w:rsid w:val="00084EB5"/>
    <w:rsid w:val="000857C2"/>
    <w:rsid w:val="00085988"/>
    <w:rsid w:val="00086ED6"/>
    <w:rsid w:val="00087466"/>
    <w:rsid w:val="00087CCB"/>
    <w:rsid w:val="00091895"/>
    <w:rsid w:val="00092F7F"/>
    <w:rsid w:val="0009339C"/>
    <w:rsid w:val="00093AC8"/>
    <w:rsid w:val="00094339"/>
    <w:rsid w:val="000943E6"/>
    <w:rsid w:val="000947C0"/>
    <w:rsid w:val="00094944"/>
    <w:rsid w:val="00095BBC"/>
    <w:rsid w:val="00095C7A"/>
    <w:rsid w:val="00095DCB"/>
    <w:rsid w:val="00095E47"/>
    <w:rsid w:val="00095FEE"/>
    <w:rsid w:val="000960AE"/>
    <w:rsid w:val="000962C0"/>
    <w:rsid w:val="00096762"/>
    <w:rsid w:val="00096910"/>
    <w:rsid w:val="00096FC7"/>
    <w:rsid w:val="00097499"/>
    <w:rsid w:val="00097C91"/>
    <w:rsid w:val="000A00B4"/>
    <w:rsid w:val="000A1568"/>
    <w:rsid w:val="000A2217"/>
    <w:rsid w:val="000A2A93"/>
    <w:rsid w:val="000A3B85"/>
    <w:rsid w:val="000A4815"/>
    <w:rsid w:val="000A48C5"/>
    <w:rsid w:val="000A5BE0"/>
    <w:rsid w:val="000A68BF"/>
    <w:rsid w:val="000A6FA4"/>
    <w:rsid w:val="000A70A6"/>
    <w:rsid w:val="000A7140"/>
    <w:rsid w:val="000B03CD"/>
    <w:rsid w:val="000B2399"/>
    <w:rsid w:val="000B2927"/>
    <w:rsid w:val="000B2E5D"/>
    <w:rsid w:val="000B42D2"/>
    <w:rsid w:val="000B447B"/>
    <w:rsid w:val="000B63F0"/>
    <w:rsid w:val="000B664E"/>
    <w:rsid w:val="000B68AE"/>
    <w:rsid w:val="000B6E35"/>
    <w:rsid w:val="000B7227"/>
    <w:rsid w:val="000C08DF"/>
    <w:rsid w:val="000C0AD7"/>
    <w:rsid w:val="000C0D48"/>
    <w:rsid w:val="000C23E8"/>
    <w:rsid w:val="000C39C7"/>
    <w:rsid w:val="000C3CA9"/>
    <w:rsid w:val="000C4626"/>
    <w:rsid w:val="000C59B1"/>
    <w:rsid w:val="000C5DCA"/>
    <w:rsid w:val="000C6415"/>
    <w:rsid w:val="000C7AE9"/>
    <w:rsid w:val="000C7FB5"/>
    <w:rsid w:val="000D30FB"/>
    <w:rsid w:val="000D4CC0"/>
    <w:rsid w:val="000D5011"/>
    <w:rsid w:val="000D529E"/>
    <w:rsid w:val="000D5969"/>
    <w:rsid w:val="000D6357"/>
    <w:rsid w:val="000D7089"/>
    <w:rsid w:val="000D709F"/>
    <w:rsid w:val="000E075C"/>
    <w:rsid w:val="000E0DDB"/>
    <w:rsid w:val="000E14E9"/>
    <w:rsid w:val="000E5026"/>
    <w:rsid w:val="000E52AF"/>
    <w:rsid w:val="000E581B"/>
    <w:rsid w:val="000E64C6"/>
    <w:rsid w:val="000E6631"/>
    <w:rsid w:val="000E6CA2"/>
    <w:rsid w:val="000F1878"/>
    <w:rsid w:val="000F1E99"/>
    <w:rsid w:val="000F30B0"/>
    <w:rsid w:val="000F338A"/>
    <w:rsid w:val="000F386A"/>
    <w:rsid w:val="000F39E7"/>
    <w:rsid w:val="000F4452"/>
    <w:rsid w:val="000F4760"/>
    <w:rsid w:val="000F5AEB"/>
    <w:rsid w:val="000F5C65"/>
    <w:rsid w:val="000F5DFB"/>
    <w:rsid w:val="000F6083"/>
    <w:rsid w:val="000F66CF"/>
    <w:rsid w:val="000F77FE"/>
    <w:rsid w:val="000F7EEE"/>
    <w:rsid w:val="00102BD7"/>
    <w:rsid w:val="001035BD"/>
    <w:rsid w:val="00104374"/>
    <w:rsid w:val="00105667"/>
    <w:rsid w:val="00105CC0"/>
    <w:rsid w:val="00106022"/>
    <w:rsid w:val="00106273"/>
    <w:rsid w:val="00106A76"/>
    <w:rsid w:val="00107CE4"/>
    <w:rsid w:val="001106A6"/>
    <w:rsid w:val="001116A8"/>
    <w:rsid w:val="0011195C"/>
    <w:rsid w:val="001134EF"/>
    <w:rsid w:val="00113B2D"/>
    <w:rsid w:val="0011411C"/>
    <w:rsid w:val="00114E39"/>
    <w:rsid w:val="00116396"/>
    <w:rsid w:val="00117E8F"/>
    <w:rsid w:val="00120CFF"/>
    <w:rsid w:val="00120DC4"/>
    <w:rsid w:val="00121016"/>
    <w:rsid w:val="00122EC4"/>
    <w:rsid w:val="0012348D"/>
    <w:rsid w:val="00123BFA"/>
    <w:rsid w:val="0012459D"/>
    <w:rsid w:val="0012473C"/>
    <w:rsid w:val="00124882"/>
    <w:rsid w:val="00124BC0"/>
    <w:rsid w:val="001256C9"/>
    <w:rsid w:val="00125F63"/>
    <w:rsid w:val="00126108"/>
    <w:rsid w:val="00127E66"/>
    <w:rsid w:val="001300D5"/>
    <w:rsid w:val="001308AE"/>
    <w:rsid w:val="00130F08"/>
    <w:rsid w:val="001312F0"/>
    <w:rsid w:val="00131685"/>
    <w:rsid w:val="0013207A"/>
    <w:rsid w:val="00133868"/>
    <w:rsid w:val="00134842"/>
    <w:rsid w:val="001351F7"/>
    <w:rsid w:val="00135360"/>
    <w:rsid w:val="00135B04"/>
    <w:rsid w:val="00135B78"/>
    <w:rsid w:val="00136194"/>
    <w:rsid w:val="00140AEE"/>
    <w:rsid w:val="00140E02"/>
    <w:rsid w:val="001413BD"/>
    <w:rsid w:val="00142097"/>
    <w:rsid w:val="001420F4"/>
    <w:rsid w:val="00142BB8"/>
    <w:rsid w:val="00143676"/>
    <w:rsid w:val="001443D2"/>
    <w:rsid w:val="00144C7D"/>
    <w:rsid w:val="001459C7"/>
    <w:rsid w:val="00145E48"/>
    <w:rsid w:val="00146EE7"/>
    <w:rsid w:val="00147B63"/>
    <w:rsid w:val="00147FAC"/>
    <w:rsid w:val="0015122B"/>
    <w:rsid w:val="001512CC"/>
    <w:rsid w:val="00151E87"/>
    <w:rsid w:val="001529F6"/>
    <w:rsid w:val="0015395C"/>
    <w:rsid w:val="00154704"/>
    <w:rsid w:val="00154AD6"/>
    <w:rsid w:val="00154B2F"/>
    <w:rsid w:val="00155D56"/>
    <w:rsid w:val="0015629B"/>
    <w:rsid w:val="00156424"/>
    <w:rsid w:val="0015656B"/>
    <w:rsid w:val="001574BE"/>
    <w:rsid w:val="00157E57"/>
    <w:rsid w:val="0016187F"/>
    <w:rsid w:val="00165557"/>
    <w:rsid w:val="001659AD"/>
    <w:rsid w:val="001659F0"/>
    <w:rsid w:val="00165E97"/>
    <w:rsid w:val="001666A0"/>
    <w:rsid w:val="00171EBB"/>
    <w:rsid w:val="00172023"/>
    <w:rsid w:val="00172787"/>
    <w:rsid w:val="00173A11"/>
    <w:rsid w:val="00173D08"/>
    <w:rsid w:val="001749B8"/>
    <w:rsid w:val="001755A9"/>
    <w:rsid w:val="001758BA"/>
    <w:rsid w:val="00176455"/>
    <w:rsid w:val="00176719"/>
    <w:rsid w:val="00177B2B"/>
    <w:rsid w:val="001805C4"/>
    <w:rsid w:val="00182C66"/>
    <w:rsid w:val="00183013"/>
    <w:rsid w:val="001845DE"/>
    <w:rsid w:val="00185A3E"/>
    <w:rsid w:val="00186CCD"/>
    <w:rsid w:val="00190603"/>
    <w:rsid w:val="00190830"/>
    <w:rsid w:val="0019194A"/>
    <w:rsid w:val="001948E9"/>
    <w:rsid w:val="00194BE7"/>
    <w:rsid w:val="00194C17"/>
    <w:rsid w:val="0019509F"/>
    <w:rsid w:val="00196092"/>
    <w:rsid w:val="00196280"/>
    <w:rsid w:val="001966C0"/>
    <w:rsid w:val="001967AE"/>
    <w:rsid w:val="001978A2"/>
    <w:rsid w:val="001A0661"/>
    <w:rsid w:val="001A15B7"/>
    <w:rsid w:val="001A1E9B"/>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463D"/>
    <w:rsid w:val="001B6BE8"/>
    <w:rsid w:val="001C1363"/>
    <w:rsid w:val="001C1EE0"/>
    <w:rsid w:val="001C24CF"/>
    <w:rsid w:val="001C2582"/>
    <w:rsid w:val="001C3131"/>
    <w:rsid w:val="001C3946"/>
    <w:rsid w:val="001C3BF7"/>
    <w:rsid w:val="001C3E04"/>
    <w:rsid w:val="001C4673"/>
    <w:rsid w:val="001C48FA"/>
    <w:rsid w:val="001C5104"/>
    <w:rsid w:val="001C5849"/>
    <w:rsid w:val="001C5A1A"/>
    <w:rsid w:val="001C5EF1"/>
    <w:rsid w:val="001C69DF"/>
    <w:rsid w:val="001D0707"/>
    <w:rsid w:val="001D11D4"/>
    <w:rsid w:val="001D1494"/>
    <w:rsid w:val="001D1664"/>
    <w:rsid w:val="001D1CB4"/>
    <w:rsid w:val="001D1DB0"/>
    <w:rsid w:val="001D2100"/>
    <w:rsid w:val="001D273F"/>
    <w:rsid w:val="001D35CF"/>
    <w:rsid w:val="001D399A"/>
    <w:rsid w:val="001D5887"/>
    <w:rsid w:val="001D5B2E"/>
    <w:rsid w:val="001D5F9A"/>
    <w:rsid w:val="001D6C05"/>
    <w:rsid w:val="001D6D8B"/>
    <w:rsid w:val="001D77BE"/>
    <w:rsid w:val="001E0126"/>
    <w:rsid w:val="001E1A1F"/>
    <w:rsid w:val="001E21D1"/>
    <w:rsid w:val="001E2237"/>
    <w:rsid w:val="001E297E"/>
    <w:rsid w:val="001E3ACD"/>
    <w:rsid w:val="001E455A"/>
    <w:rsid w:val="001E6E6A"/>
    <w:rsid w:val="001E7ECF"/>
    <w:rsid w:val="001F0D19"/>
    <w:rsid w:val="001F194B"/>
    <w:rsid w:val="001F1D8B"/>
    <w:rsid w:val="001F218A"/>
    <w:rsid w:val="001F30CC"/>
    <w:rsid w:val="001F4193"/>
    <w:rsid w:val="001F4341"/>
    <w:rsid w:val="001F523F"/>
    <w:rsid w:val="001F554E"/>
    <w:rsid w:val="001F56B9"/>
    <w:rsid w:val="001F63D7"/>
    <w:rsid w:val="001F7760"/>
    <w:rsid w:val="001F7CC8"/>
    <w:rsid w:val="002008EB"/>
    <w:rsid w:val="00201278"/>
    <w:rsid w:val="002017C9"/>
    <w:rsid w:val="002019CB"/>
    <w:rsid w:val="00201D24"/>
    <w:rsid w:val="00201FAC"/>
    <w:rsid w:val="002031A2"/>
    <w:rsid w:val="002031B6"/>
    <w:rsid w:val="00204C30"/>
    <w:rsid w:val="00204E76"/>
    <w:rsid w:val="002078DB"/>
    <w:rsid w:val="00211CA6"/>
    <w:rsid w:val="002120B6"/>
    <w:rsid w:val="00213DA8"/>
    <w:rsid w:val="00214299"/>
    <w:rsid w:val="00214C14"/>
    <w:rsid w:val="00216DFB"/>
    <w:rsid w:val="00217C26"/>
    <w:rsid w:val="0022065F"/>
    <w:rsid w:val="00220D7E"/>
    <w:rsid w:val="00221ADE"/>
    <w:rsid w:val="002220C7"/>
    <w:rsid w:val="0022214D"/>
    <w:rsid w:val="00222714"/>
    <w:rsid w:val="0022301E"/>
    <w:rsid w:val="00223169"/>
    <w:rsid w:val="0022346E"/>
    <w:rsid w:val="00223B41"/>
    <w:rsid w:val="00225E9A"/>
    <w:rsid w:val="002262EF"/>
    <w:rsid w:val="002267D6"/>
    <w:rsid w:val="00226E63"/>
    <w:rsid w:val="00233204"/>
    <w:rsid w:val="00233263"/>
    <w:rsid w:val="0023355E"/>
    <w:rsid w:val="00235D47"/>
    <w:rsid w:val="00236FFC"/>
    <w:rsid w:val="002372B8"/>
    <w:rsid w:val="00237477"/>
    <w:rsid w:val="002412BB"/>
    <w:rsid w:val="0024151D"/>
    <w:rsid w:val="002417DD"/>
    <w:rsid w:val="0024256E"/>
    <w:rsid w:val="002434D6"/>
    <w:rsid w:val="0024392F"/>
    <w:rsid w:val="002452A5"/>
    <w:rsid w:val="00246C24"/>
    <w:rsid w:val="0024709F"/>
    <w:rsid w:val="00247189"/>
    <w:rsid w:val="00247D3A"/>
    <w:rsid w:val="00250912"/>
    <w:rsid w:val="00250C87"/>
    <w:rsid w:val="00251E53"/>
    <w:rsid w:val="00253B7F"/>
    <w:rsid w:val="00254284"/>
    <w:rsid w:val="002543F7"/>
    <w:rsid w:val="00255B7E"/>
    <w:rsid w:val="002563E1"/>
    <w:rsid w:val="002570E0"/>
    <w:rsid w:val="002572C6"/>
    <w:rsid w:val="00257806"/>
    <w:rsid w:val="002578A4"/>
    <w:rsid w:val="002603DE"/>
    <w:rsid w:val="002619AC"/>
    <w:rsid w:val="00262B8E"/>
    <w:rsid w:val="0026408E"/>
    <w:rsid w:val="00264888"/>
    <w:rsid w:val="00264B84"/>
    <w:rsid w:val="0026535F"/>
    <w:rsid w:val="00265C31"/>
    <w:rsid w:val="0026630A"/>
    <w:rsid w:val="00267734"/>
    <w:rsid w:val="00270472"/>
    <w:rsid w:val="00270817"/>
    <w:rsid w:val="0027179A"/>
    <w:rsid w:val="00271FE0"/>
    <w:rsid w:val="002728ED"/>
    <w:rsid w:val="00272AD4"/>
    <w:rsid w:val="0027304D"/>
    <w:rsid w:val="002734F5"/>
    <w:rsid w:val="00273A2F"/>
    <w:rsid w:val="00274871"/>
    <w:rsid w:val="00275586"/>
    <w:rsid w:val="0027629C"/>
    <w:rsid w:val="00280A79"/>
    <w:rsid w:val="002817C8"/>
    <w:rsid w:val="002824A5"/>
    <w:rsid w:val="00282986"/>
    <w:rsid w:val="00282A69"/>
    <w:rsid w:val="00282C82"/>
    <w:rsid w:val="00282EE9"/>
    <w:rsid w:val="002849BE"/>
    <w:rsid w:val="00284A74"/>
    <w:rsid w:val="00285B78"/>
    <w:rsid w:val="00285EFB"/>
    <w:rsid w:val="0028632C"/>
    <w:rsid w:val="002864B7"/>
    <w:rsid w:val="00287276"/>
    <w:rsid w:val="0028743D"/>
    <w:rsid w:val="002878B7"/>
    <w:rsid w:val="00287B3F"/>
    <w:rsid w:val="00287BEF"/>
    <w:rsid w:val="0029092A"/>
    <w:rsid w:val="00290A1A"/>
    <w:rsid w:val="00290B2D"/>
    <w:rsid w:val="00291C9A"/>
    <w:rsid w:val="002920DF"/>
    <w:rsid w:val="00292E26"/>
    <w:rsid w:val="002935F0"/>
    <w:rsid w:val="00295590"/>
    <w:rsid w:val="00296378"/>
    <w:rsid w:val="0029648B"/>
    <w:rsid w:val="002964D0"/>
    <w:rsid w:val="002969A7"/>
    <w:rsid w:val="00296B9D"/>
    <w:rsid w:val="00297F81"/>
    <w:rsid w:val="002A179C"/>
    <w:rsid w:val="002A3159"/>
    <w:rsid w:val="002A33C2"/>
    <w:rsid w:val="002A3CA8"/>
    <w:rsid w:val="002A42B3"/>
    <w:rsid w:val="002A4AD6"/>
    <w:rsid w:val="002A4CF3"/>
    <w:rsid w:val="002A537F"/>
    <w:rsid w:val="002A57F9"/>
    <w:rsid w:val="002A60C7"/>
    <w:rsid w:val="002B0A39"/>
    <w:rsid w:val="002B1874"/>
    <w:rsid w:val="002B3F8F"/>
    <w:rsid w:val="002B5960"/>
    <w:rsid w:val="002B6EB8"/>
    <w:rsid w:val="002B7B9C"/>
    <w:rsid w:val="002C0577"/>
    <w:rsid w:val="002C0FE8"/>
    <w:rsid w:val="002C2C2B"/>
    <w:rsid w:val="002C2C45"/>
    <w:rsid w:val="002C3184"/>
    <w:rsid w:val="002C3604"/>
    <w:rsid w:val="002C3A19"/>
    <w:rsid w:val="002C3C06"/>
    <w:rsid w:val="002C458D"/>
    <w:rsid w:val="002C5C78"/>
    <w:rsid w:val="002C6C0C"/>
    <w:rsid w:val="002C7A05"/>
    <w:rsid w:val="002D03B9"/>
    <w:rsid w:val="002D0FC2"/>
    <w:rsid w:val="002D1268"/>
    <w:rsid w:val="002D1AB6"/>
    <w:rsid w:val="002D2599"/>
    <w:rsid w:val="002D2BB5"/>
    <w:rsid w:val="002D45F6"/>
    <w:rsid w:val="002D567B"/>
    <w:rsid w:val="002D7F76"/>
    <w:rsid w:val="002E0AC0"/>
    <w:rsid w:val="002E176A"/>
    <w:rsid w:val="002E1DF3"/>
    <w:rsid w:val="002E2318"/>
    <w:rsid w:val="002E2319"/>
    <w:rsid w:val="002E29C3"/>
    <w:rsid w:val="002E2EF1"/>
    <w:rsid w:val="002E479A"/>
    <w:rsid w:val="002E4AD9"/>
    <w:rsid w:val="002E5D99"/>
    <w:rsid w:val="002E5EB4"/>
    <w:rsid w:val="002E68B5"/>
    <w:rsid w:val="002E752F"/>
    <w:rsid w:val="002E7BB3"/>
    <w:rsid w:val="002E7C61"/>
    <w:rsid w:val="002F0719"/>
    <w:rsid w:val="002F0E9F"/>
    <w:rsid w:val="002F1514"/>
    <w:rsid w:val="002F2521"/>
    <w:rsid w:val="002F2604"/>
    <w:rsid w:val="002F3D81"/>
    <w:rsid w:val="002F41F3"/>
    <w:rsid w:val="002F47A4"/>
    <w:rsid w:val="002F47BA"/>
    <w:rsid w:val="002F4C97"/>
    <w:rsid w:val="002F608C"/>
    <w:rsid w:val="002F6FE9"/>
    <w:rsid w:val="00301648"/>
    <w:rsid w:val="00301D6E"/>
    <w:rsid w:val="003028D9"/>
    <w:rsid w:val="003036B1"/>
    <w:rsid w:val="00303B31"/>
    <w:rsid w:val="00306191"/>
    <w:rsid w:val="00310936"/>
    <w:rsid w:val="00310E53"/>
    <w:rsid w:val="003119A3"/>
    <w:rsid w:val="003125D1"/>
    <w:rsid w:val="00313142"/>
    <w:rsid w:val="003146A8"/>
    <w:rsid w:val="00314E4E"/>
    <w:rsid w:val="00316096"/>
    <w:rsid w:val="0031684F"/>
    <w:rsid w:val="00316933"/>
    <w:rsid w:val="00316A16"/>
    <w:rsid w:val="003179DE"/>
    <w:rsid w:val="0032091E"/>
    <w:rsid w:val="00322702"/>
    <w:rsid w:val="00323454"/>
    <w:rsid w:val="003237A5"/>
    <w:rsid w:val="00326FAB"/>
    <w:rsid w:val="00327EBC"/>
    <w:rsid w:val="0033002D"/>
    <w:rsid w:val="00330DEE"/>
    <w:rsid w:val="00330E8C"/>
    <w:rsid w:val="0033121E"/>
    <w:rsid w:val="0033181F"/>
    <w:rsid w:val="00332109"/>
    <w:rsid w:val="00333147"/>
    <w:rsid w:val="00333AA7"/>
    <w:rsid w:val="00333C26"/>
    <w:rsid w:val="0033404F"/>
    <w:rsid w:val="003342DB"/>
    <w:rsid w:val="003360E9"/>
    <w:rsid w:val="0033636A"/>
    <w:rsid w:val="003366B8"/>
    <w:rsid w:val="00337133"/>
    <w:rsid w:val="003374F5"/>
    <w:rsid w:val="003374F7"/>
    <w:rsid w:val="00337B1A"/>
    <w:rsid w:val="00340727"/>
    <w:rsid w:val="003413BB"/>
    <w:rsid w:val="0034242C"/>
    <w:rsid w:val="00343453"/>
    <w:rsid w:val="00343492"/>
    <w:rsid w:val="003439CC"/>
    <w:rsid w:val="0034481C"/>
    <w:rsid w:val="003449FB"/>
    <w:rsid w:val="00344F1A"/>
    <w:rsid w:val="00345DD3"/>
    <w:rsid w:val="00345FC7"/>
    <w:rsid w:val="00346B87"/>
    <w:rsid w:val="00346DAF"/>
    <w:rsid w:val="00346E97"/>
    <w:rsid w:val="003472FC"/>
    <w:rsid w:val="00347398"/>
    <w:rsid w:val="00350322"/>
    <w:rsid w:val="00351A2C"/>
    <w:rsid w:val="00351EEA"/>
    <w:rsid w:val="00351EF6"/>
    <w:rsid w:val="00352CB6"/>
    <w:rsid w:val="00353BC0"/>
    <w:rsid w:val="00354310"/>
    <w:rsid w:val="00355B62"/>
    <w:rsid w:val="00355DAF"/>
    <w:rsid w:val="0035690D"/>
    <w:rsid w:val="003575FB"/>
    <w:rsid w:val="00360BB3"/>
    <w:rsid w:val="003623DB"/>
    <w:rsid w:val="00362B79"/>
    <w:rsid w:val="003630A9"/>
    <w:rsid w:val="003633FB"/>
    <w:rsid w:val="003636DA"/>
    <w:rsid w:val="00363AA8"/>
    <w:rsid w:val="00365EF3"/>
    <w:rsid w:val="00366C87"/>
    <w:rsid w:val="00367367"/>
    <w:rsid w:val="00370949"/>
    <w:rsid w:val="0037102C"/>
    <w:rsid w:val="00371078"/>
    <w:rsid w:val="00371EAD"/>
    <w:rsid w:val="00372694"/>
    <w:rsid w:val="00372B71"/>
    <w:rsid w:val="0037305E"/>
    <w:rsid w:val="00373A9B"/>
    <w:rsid w:val="00373E17"/>
    <w:rsid w:val="00373E80"/>
    <w:rsid w:val="003747BF"/>
    <w:rsid w:val="003758EC"/>
    <w:rsid w:val="0037697F"/>
    <w:rsid w:val="00377076"/>
    <w:rsid w:val="00377098"/>
    <w:rsid w:val="00377C24"/>
    <w:rsid w:val="00380C1F"/>
    <w:rsid w:val="00381E19"/>
    <w:rsid w:val="00382559"/>
    <w:rsid w:val="00383F73"/>
    <w:rsid w:val="0038492D"/>
    <w:rsid w:val="00385163"/>
    <w:rsid w:val="00385A38"/>
    <w:rsid w:val="00385F0D"/>
    <w:rsid w:val="003866E7"/>
    <w:rsid w:val="003869F4"/>
    <w:rsid w:val="003874C3"/>
    <w:rsid w:val="00391168"/>
    <w:rsid w:val="00391A41"/>
    <w:rsid w:val="00391DDE"/>
    <w:rsid w:val="003929C9"/>
    <w:rsid w:val="00392FC9"/>
    <w:rsid w:val="003933AA"/>
    <w:rsid w:val="00393424"/>
    <w:rsid w:val="0039373A"/>
    <w:rsid w:val="00393781"/>
    <w:rsid w:val="00394A3E"/>
    <w:rsid w:val="00397334"/>
    <w:rsid w:val="0039757C"/>
    <w:rsid w:val="003979C6"/>
    <w:rsid w:val="00397BF8"/>
    <w:rsid w:val="003A0287"/>
    <w:rsid w:val="003A0EF8"/>
    <w:rsid w:val="003A1092"/>
    <w:rsid w:val="003A3766"/>
    <w:rsid w:val="003A4617"/>
    <w:rsid w:val="003A59D4"/>
    <w:rsid w:val="003A5CB7"/>
    <w:rsid w:val="003A73E0"/>
    <w:rsid w:val="003B1D2A"/>
    <w:rsid w:val="003B31FC"/>
    <w:rsid w:val="003B3F67"/>
    <w:rsid w:val="003B47F9"/>
    <w:rsid w:val="003B4806"/>
    <w:rsid w:val="003B51F8"/>
    <w:rsid w:val="003B5865"/>
    <w:rsid w:val="003B6067"/>
    <w:rsid w:val="003B608B"/>
    <w:rsid w:val="003B6B74"/>
    <w:rsid w:val="003B7353"/>
    <w:rsid w:val="003B761D"/>
    <w:rsid w:val="003C0BFA"/>
    <w:rsid w:val="003C270C"/>
    <w:rsid w:val="003C289D"/>
    <w:rsid w:val="003C2F80"/>
    <w:rsid w:val="003C307D"/>
    <w:rsid w:val="003C3FD9"/>
    <w:rsid w:val="003C5158"/>
    <w:rsid w:val="003C7C8C"/>
    <w:rsid w:val="003D06D8"/>
    <w:rsid w:val="003D2A7D"/>
    <w:rsid w:val="003D4948"/>
    <w:rsid w:val="003D5A51"/>
    <w:rsid w:val="003D6037"/>
    <w:rsid w:val="003D60FD"/>
    <w:rsid w:val="003D6B5E"/>
    <w:rsid w:val="003D79A3"/>
    <w:rsid w:val="003D7A77"/>
    <w:rsid w:val="003D7CBC"/>
    <w:rsid w:val="003E0241"/>
    <w:rsid w:val="003E0526"/>
    <w:rsid w:val="003E2A4C"/>
    <w:rsid w:val="003E2B9F"/>
    <w:rsid w:val="003E2DA5"/>
    <w:rsid w:val="003E370C"/>
    <w:rsid w:val="003E52B6"/>
    <w:rsid w:val="003E559A"/>
    <w:rsid w:val="003E657B"/>
    <w:rsid w:val="003E7159"/>
    <w:rsid w:val="003E79DE"/>
    <w:rsid w:val="003E7B89"/>
    <w:rsid w:val="003F0D82"/>
    <w:rsid w:val="003F1F1E"/>
    <w:rsid w:val="003F2FB6"/>
    <w:rsid w:val="003F3652"/>
    <w:rsid w:val="003F3B6A"/>
    <w:rsid w:val="003F3E66"/>
    <w:rsid w:val="003F46D8"/>
    <w:rsid w:val="003F671B"/>
    <w:rsid w:val="003F7204"/>
    <w:rsid w:val="003F7208"/>
    <w:rsid w:val="003F779B"/>
    <w:rsid w:val="003F7FE3"/>
    <w:rsid w:val="00400152"/>
    <w:rsid w:val="00400DD1"/>
    <w:rsid w:val="00400EA0"/>
    <w:rsid w:val="00402ED5"/>
    <w:rsid w:val="00403183"/>
    <w:rsid w:val="004032FD"/>
    <w:rsid w:val="00403A5D"/>
    <w:rsid w:val="00403B8E"/>
    <w:rsid w:val="00404748"/>
    <w:rsid w:val="00405968"/>
    <w:rsid w:val="00405D1B"/>
    <w:rsid w:val="004063D1"/>
    <w:rsid w:val="00406AAB"/>
    <w:rsid w:val="00407053"/>
    <w:rsid w:val="00407591"/>
    <w:rsid w:val="004112B0"/>
    <w:rsid w:val="00411ECA"/>
    <w:rsid w:val="0041222E"/>
    <w:rsid w:val="00412B57"/>
    <w:rsid w:val="004139EB"/>
    <w:rsid w:val="00415B3D"/>
    <w:rsid w:val="00415C56"/>
    <w:rsid w:val="00415F0C"/>
    <w:rsid w:val="0041648C"/>
    <w:rsid w:val="00416E07"/>
    <w:rsid w:val="00417088"/>
    <w:rsid w:val="00417229"/>
    <w:rsid w:val="004173F7"/>
    <w:rsid w:val="00420788"/>
    <w:rsid w:val="00421411"/>
    <w:rsid w:val="004230B8"/>
    <w:rsid w:val="00423B3F"/>
    <w:rsid w:val="004247AB"/>
    <w:rsid w:val="004249A6"/>
    <w:rsid w:val="00424B13"/>
    <w:rsid w:val="004266A0"/>
    <w:rsid w:val="00426858"/>
    <w:rsid w:val="00426EC6"/>
    <w:rsid w:val="00427146"/>
    <w:rsid w:val="00427F5E"/>
    <w:rsid w:val="004304AA"/>
    <w:rsid w:val="00430C70"/>
    <w:rsid w:val="0043117C"/>
    <w:rsid w:val="00431381"/>
    <w:rsid w:val="00431666"/>
    <w:rsid w:val="0043194F"/>
    <w:rsid w:val="00432B1F"/>
    <w:rsid w:val="00432E7A"/>
    <w:rsid w:val="00433876"/>
    <w:rsid w:val="0043606D"/>
    <w:rsid w:val="004408D5"/>
    <w:rsid w:val="00440F4A"/>
    <w:rsid w:val="00443205"/>
    <w:rsid w:val="00443880"/>
    <w:rsid w:val="0044472C"/>
    <w:rsid w:val="004455EB"/>
    <w:rsid w:val="00445853"/>
    <w:rsid w:val="00446565"/>
    <w:rsid w:val="00447E38"/>
    <w:rsid w:val="00450B9F"/>
    <w:rsid w:val="00451EFC"/>
    <w:rsid w:val="00452A12"/>
    <w:rsid w:val="00453B00"/>
    <w:rsid w:val="0045427B"/>
    <w:rsid w:val="00454B96"/>
    <w:rsid w:val="0045534E"/>
    <w:rsid w:val="00456D3E"/>
    <w:rsid w:val="004600CF"/>
    <w:rsid w:val="00460803"/>
    <w:rsid w:val="00460AC8"/>
    <w:rsid w:val="00461408"/>
    <w:rsid w:val="0046143E"/>
    <w:rsid w:val="00461C4C"/>
    <w:rsid w:val="00462DBD"/>
    <w:rsid w:val="00462EC3"/>
    <w:rsid w:val="00463CB8"/>
    <w:rsid w:val="00464E65"/>
    <w:rsid w:val="00465521"/>
    <w:rsid w:val="0046567C"/>
    <w:rsid w:val="00466AC2"/>
    <w:rsid w:val="00466C97"/>
    <w:rsid w:val="00466D0C"/>
    <w:rsid w:val="00467C70"/>
    <w:rsid w:val="00467F17"/>
    <w:rsid w:val="004704F1"/>
    <w:rsid w:val="004706D1"/>
    <w:rsid w:val="00473C34"/>
    <w:rsid w:val="00477210"/>
    <w:rsid w:val="00481282"/>
    <w:rsid w:val="00481822"/>
    <w:rsid w:val="0048244C"/>
    <w:rsid w:val="00482B5D"/>
    <w:rsid w:val="00482DF9"/>
    <w:rsid w:val="004832B9"/>
    <w:rsid w:val="00483C9C"/>
    <w:rsid w:val="00483E75"/>
    <w:rsid w:val="004849C0"/>
    <w:rsid w:val="00486CD5"/>
    <w:rsid w:val="00487B3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1920"/>
    <w:rsid w:val="004A1D08"/>
    <w:rsid w:val="004A2341"/>
    <w:rsid w:val="004A290E"/>
    <w:rsid w:val="004A35C2"/>
    <w:rsid w:val="004A4144"/>
    <w:rsid w:val="004A4A98"/>
    <w:rsid w:val="004A5A7B"/>
    <w:rsid w:val="004A6206"/>
    <w:rsid w:val="004A656C"/>
    <w:rsid w:val="004A7F12"/>
    <w:rsid w:val="004B0088"/>
    <w:rsid w:val="004B05B5"/>
    <w:rsid w:val="004B0AA2"/>
    <w:rsid w:val="004B12D9"/>
    <w:rsid w:val="004B2918"/>
    <w:rsid w:val="004B515D"/>
    <w:rsid w:val="004B646C"/>
    <w:rsid w:val="004B76DB"/>
    <w:rsid w:val="004C00C5"/>
    <w:rsid w:val="004C02DF"/>
    <w:rsid w:val="004C0C8E"/>
    <w:rsid w:val="004C18DF"/>
    <w:rsid w:val="004C4E0E"/>
    <w:rsid w:val="004C55B1"/>
    <w:rsid w:val="004C59EB"/>
    <w:rsid w:val="004C69B4"/>
    <w:rsid w:val="004C7131"/>
    <w:rsid w:val="004D004B"/>
    <w:rsid w:val="004D0540"/>
    <w:rsid w:val="004D1B63"/>
    <w:rsid w:val="004D1F0F"/>
    <w:rsid w:val="004D3156"/>
    <w:rsid w:val="004D3906"/>
    <w:rsid w:val="004D4D2A"/>
    <w:rsid w:val="004D659D"/>
    <w:rsid w:val="004D677D"/>
    <w:rsid w:val="004D7360"/>
    <w:rsid w:val="004D7566"/>
    <w:rsid w:val="004E1121"/>
    <w:rsid w:val="004E1AAD"/>
    <w:rsid w:val="004E3532"/>
    <w:rsid w:val="004E35B5"/>
    <w:rsid w:val="004E3F23"/>
    <w:rsid w:val="004E54CB"/>
    <w:rsid w:val="004E6D36"/>
    <w:rsid w:val="004E791C"/>
    <w:rsid w:val="004F1BC0"/>
    <w:rsid w:val="004F1C1B"/>
    <w:rsid w:val="004F20D0"/>
    <w:rsid w:val="004F2D4D"/>
    <w:rsid w:val="004F34C2"/>
    <w:rsid w:val="004F40F3"/>
    <w:rsid w:val="004F419B"/>
    <w:rsid w:val="004F44C8"/>
    <w:rsid w:val="004F476B"/>
    <w:rsid w:val="004F4EAD"/>
    <w:rsid w:val="004F56BF"/>
    <w:rsid w:val="004F5A60"/>
    <w:rsid w:val="004F7B38"/>
    <w:rsid w:val="0050085D"/>
    <w:rsid w:val="00501029"/>
    <w:rsid w:val="00501A7D"/>
    <w:rsid w:val="00501E3D"/>
    <w:rsid w:val="0050332E"/>
    <w:rsid w:val="00503330"/>
    <w:rsid w:val="005034B3"/>
    <w:rsid w:val="00503730"/>
    <w:rsid w:val="00503D5F"/>
    <w:rsid w:val="00503FCB"/>
    <w:rsid w:val="00504020"/>
    <w:rsid w:val="00504C11"/>
    <w:rsid w:val="005051CD"/>
    <w:rsid w:val="00505776"/>
    <w:rsid w:val="00507697"/>
    <w:rsid w:val="0050793D"/>
    <w:rsid w:val="00507DCA"/>
    <w:rsid w:val="0051018D"/>
    <w:rsid w:val="005106F4"/>
    <w:rsid w:val="00512B4B"/>
    <w:rsid w:val="005137AE"/>
    <w:rsid w:val="005140DE"/>
    <w:rsid w:val="0051494F"/>
    <w:rsid w:val="005150B1"/>
    <w:rsid w:val="0051523F"/>
    <w:rsid w:val="00515F68"/>
    <w:rsid w:val="00516079"/>
    <w:rsid w:val="00516354"/>
    <w:rsid w:val="005177D9"/>
    <w:rsid w:val="0052135E"/>
    <w:rsid w:val="005214CD"/>
    <w:rsid w:val="00521B2E"/>
    <w:rsid w:val="00523325"/>
    <w:rsid w:val="005236E8"/>
    <w:rsid w:val="00523EAC"/>
    <w:rsid w:val="00524429"/>
    <w:rsid w:val="00524DED"/>
    <w:rsid w:val="00524FAB"/>
    <w:rsid w:val="005256A8"/>
    <w:rsid w:val="00525913"/>
    <w:rsid w:val="005268D3"/>
    <w:rsid w:val="00526CA3"/>
    <w:rsid w:val="00527A79"/>
    <w:rsid w:val="00527E44"/>
    <w:rsid w:val="005305CB"/>
    <w:rsid w:val="00530901"/>
    <w:rsid w:val="00530C60"/>
    <w:rsid w:val="00530DDA"/>
    <w:rsid w:val="00530E55"/>
    <w:rsid w:val="0053110F"/>
    <w:rsid w:val="005314A7"/>
    <w:rsid w:val="005316F0"/>
    <w:rsid w:val="0053290E"/>
    <w:rsid w:val="00532EA0"/>
    <w:rsid w:val="005333D0"/>
    <w:rsid w:val="00533FAB"/>
    <w:rsid w:val="00534946"/>
    <w:rsid w:val="00535390"/>
    <w:rsid w:val="005355B0"/>
    <w:rsid w:val="00536AB5"/>
    <w:rsid w:val="00540EBF"/>
    <w:rsid w:val="005415A8"/>
    <w:rsid w:val="005417C1"/>
    <w:rsid w:val="005417D0"/>
    <w:rsid w:val="005419CC"/>
    <w:rsid w:val="00541F62"/>
    <w:rsid w:val="00543119"/>
    <w:rsid w:val="005450C1"/>
    <w:rsid w:val="005454DA"/>
    <w:rsid w:val="00546C54"/>
    <w:rsid w:val="00546C82"/>
    <w:rsid w:val="0054723B"/>
    <w:rsid w:val="005517B0"/>
    <w:rsid w:val="005525F5"/>
    <w:rsid w:val="005539AA"/>
    <w:rsid w:val="00553E6B"/>
    <w:rsid w:val="00555137"/>
    <w:rsid w:val="00555427"/>
    <w:rsid w:val="0055774D"/>
    <w:rsid w:val="0055778A"/>
    <w:rsid w:val="00560215"/>
    <w:rsid w:val="00560D19"/>
    <w:rsid w:val="005615FD"/>
    <w:rsid w:val="005621A7"/>
    <w:rsid w:val="00562F1A"/>
    <w:rsid w:val="0056326B"/>
    <w:rsid w:val="005635FF"/>
    <w:rsid w:val="005640A5"/>
    <w:rsid w:val="005645CC"/>
    <w:rsid w:val="00564EDB"/>
    <w:rsid w:val="00566F9A"/>
    <w:rsid w:val="0056714C"/>
    <w:rsid w:val="00567C46"/>
    <w:rsid w:val="00572572"/>
    <w:rsid w:val="00573363"/>
    <w:rsid w:val="00573C15"/>
    <w:rsid w:val="00573D35"/>
    <w:rsid w:val="0057459A"/>
    <w:rsid w:val="00575D83"/>
    <w:rsid w:val="005766B0"/>
    <w:rsid w:val="0057693B"/>
    <w:rsid w:val="00576D6D"/>
    <w:rsid w:val="0058056C"/>
    <w:rsid w:val="00580D07"/>
    <w:rsid w:val="005810A5"/>
    <w:rsid w:val="00581146"/>
    <w:rsid w:val="00581426"/>
    <w:rsid w:val="005819A8"/>
    <w:rsid w:val="00583266"/>
    <w:rsid w:val="0058331A"/>
    <w:rsid w:val="00583E50"/>
    <w:rsid w:val="005842E6"/>
    <w:rsid w:val="0058438D"/>
    <w:rsid w:val="005844C6"/>
    <w:rsid w:val="0058469A"/>
    <w:rsid w:val="00584A85"/>
    <w:rsid w:val="005850EE"/>
    <w:rsid w:val="005869FB"/>
    <w:rsid w:val="00586AA1"/>
    <w:rsid w:val="00586C5F"/>
    <w:rsid w:val="005916D7"/>
    <w:rsid w:val="005935E3"/>
    <w:rsid w:val="00593735"/>
    <w:rsid w:val="00593C53"/>
    <w:rsid w:val="0059545C"/>
    <w:rsid w:val="00595F13"/>
    <w:rsid w:val="005973B6"/>
    <w:rsid w:val="005975AC"/>
    <w:rsid w:val="005A0EEA"/>
    <w:rsid w:val="005A15CD"/>
    <w:rsid w:val="005A16C1"/>
    <w:rsid w:val="005A3335"/>
    <w:rsid w:val="005A3967"/>
    <w:rsid w:val="005A4AFB"/>
    <w:rsid w:val="005A4BD8"/>
    <w:rsid w:val="005A52AD"/>
    <w:rsid w:val="005A56AE"/>
    <w:rsid w:val="005A69A2"/>
    <w:rsid w:val="005A6AB3"/>
    <w:rsid w:val="005A74C7"/>
    <w:rsid w:val="005A7740"/>
    <w:rsid w:val="005A78D3"/>
    <w:rsid w:val="005B038B"/>
    <w:rsid w:val="005B16C5"/>
    <w:rsid w:val="005B19A3"/>
    <w:rsid w:val="005B2103"/>
    <w:rsid w:val="005B238B"/>
    <w:rsid w:val="005B2D34"/>
    <w:rsid w:val="005B3146"/>
    <w:rsid w:val="005B3AAA"/>
    <w:rsid w:val="005B443E"/>
    <w:rsid w:val="005B67B4"/>
    <w:rsid w:val="005B71D1"/>
    <w:rsid w:val="005B7836"/>
    <w:rsid w:val="005C0283"/>
    <w:rsid w:val="005C1B7D"/>
    <w:rsid w:val="005C1E25"/>
    <w:rsid w:val="005C2ECF"/>
    <w:rsid w:val="005C3255"/>
    <w:rsid w:val="005C3707"/>
    <w:rsid w:val="005C3EFA"/>
    <w:rsid w:val="005C62ED"/>
    <w:rsid w:val="005C6885"/>
    <w:rsid w:val="005D1A9D"/>
    <w:rsid w:val="005D2C3C"/>
    <w:rsid w:val="005D2F2A"/>
    <w:rsid w:val="005D3635"/>
    <w:rsid w:val="005D51A6"/>
    <w:rsid w:val="005D57DF"/>
    <w:rsid w:val="005D59C3"/>
    <w:rsid w:val="005D7DA3"/>
    <w:rsid w:val="005E0609"/>
    <w:rsid w:val="005E0A9B"/>
    <w:rsid w:val="005E3060"/>
    <w:rsid w:val="005E479D"/>
    <w:rsid w:val="005E648B"/>
    <w:rsid w:val="005E6FA1"/>
    <w:rsid w:val="005E703F"/>
    <w:rsid w:val="005F01B4"/>
    <w:rsid w:val="005F0BB3"/>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D8A"/>
    <w:rsid w:val="00603E03"/>
    <w:rsid w:val="00604F60"/>
    <w:rsid w:val="00606A6A"/>
    <w:rsid w:val="00606CAB"/>
    <w:rsid w:val="00606DBB"/>
    <w:rsid w:val="00607F6E"/>
    <w:rsid w:val="00610087"/>
    <w:rsid w:val="006103B7"/>
    <w:rsid w:val="00610A65"/>
    <w:rsid w:val="00610A84"/>
    <w:rsid w:val="00611050"/>
    <w:rsid w:val="00611BC2"/>
    <w:rsid w:val="00612EA9"/>
    <w:rsid w:val="006146D3"/>
    <w:rsid w:val="00615D57"/>
    <w:rsid w:val="00616AFD"/>
    <w:rsid w:val="00617064"/>
    <w:rsid w:val="00617251"/>
    <w:rsid w:val="0062036A"/>
    <w:rsid w:val="00620ED1"/>
    <w:rsid w:val="00622403"/>
    <w:rsid w:val="00622D8D"/>
    <w:rsid w:val="006242DA"/>
    <w:rsid w:val="00624432"/>
    <w:rsid w:val="00624A7D"/>
    <w:rsid w:val="00624FA4"/>
    <w:rsid w:val="00625C32"/>
    <w:rsid w:val="00626B4C"/>
    <w:rsid w:val="0062716A"/>
    <w:rsid w:val="00627E1A"/>
    <w:rsid w:val="00630160"/>
    <w:rsid w:val="006317C3"/>
    <w:rsid w:val="00632205"/>
    <w:rsid w:val="00632608"/>
    <w:rsid w:val="006328BE"/>
    <w:rsid w:val="006330A8"/>
    <w:rsid w:val="00633261"/>
    <w:rsid w:val="00633C17"/>
    <w:rsid w:val="00633F12"/>
    <w:rsid w:val="0063432D"/>
    <w:rsid w:val="00634E2E"/>
    <w:rsid w:val="00635C36"/>
    <w:rsid w:val="0063613B"/>
    <w:rsid w:val="006364CF"/>
    <w:rsid w:val="00640890"/>
    <w:rsid w:val="00641AC8"/>
    <w:rsid w:val="00642E5E"/>
    <w:rsid w:val="00643550"/>
    <w:rsid w:val="006438EC"/>
    <w:rsid w:val="00644556"/>
    <w:rsid w:val="00644C7A"/>
    <w:rsid w:val="00646174"/>
    <w:rsid w:val="00646358"/>
    <w:rsid w:val="00646708"/>
    <w:rsid w:val="00647610"/>
    <w:rsid w:val="00647F7B"/>
    <w:rsid w:val="00650535"/>
    <w:rsid w:val="006508B7"/>
    <w:rsid w:val="00653074"/>
    <w:rsid w:val="0065378F"/>
    <w:rsid w:val="00653A79"/>
    <w:rsid w:val="006556B1"/>
    <w:rsid w:val="00657209"/>
    <w:rsid w:val="006613DE"/>
    <w:rsid w:val="00662A68"/>
    <w:rsid w:val="00662C14"/>
    <w:rsid w:val="0066300C"/>
    <w:rsid w:val="006630AE"/>
    <w:rsid w:val="006635F3"/>
    <w:rsid w:val="00664D0E"/>
    <w:rsid w:val="00664E30"/>
    <w:rsid w:val="0066534C"/>
    <w:rsid w:val="006679CF"/>
    <w:rsid w:val="00667EF5"/>
    <w:rsid w:val="0067038D"/>
    <w:rsid w:val="0067125B"/>
    <w:rsid w:val="00671D41"/>
    <w:rsid w:val="006734E7"/>
    <w:rsid w:val="00673859"/>
    <w:rsid w:val="0067509B"/>
    <w:rsid w:val="00676E95"/>
    <w:rsid w:val="006773BB"/>
    <w:rsid w:val="00677543"/>
    <w:rsid w:val="006778CD"/>
    <w:rsid w:val="00680038"/>
    <w:rsid w:val="00680A5B"/>
    <w:rsid w:val="00681CE4"/>
    <w:rsid w:val="006836F3"/>
    <w:rsid w:val="00683AA1"/>
    <w:rsid w:val="006862A5"/>
    <w:rsid w:val="006863FF"/>
    <w:rsid w:val="0068737D"/>
    <w:rsid w:val="0068760E"/>
    <w:rsid w:val="00687A01"/>
    <w:rsid w:val="00687DB4"/>
    <w:rsid w:val="00687F75"/>
    <w:rsid w:val="0069164E"/>
    <w:rsid w:val="006917EA"/>
    <w:rsid w:val="00691CE3"/>
    <w:rsid w:val="0069337A"/>
    <w:rsid w:val="00693FEE"/>
    <w:rsid w:val="006942E3"/>
    <w:rsid w:val="00694FF3"/>
    <w:rsid w:val="00695440"/>
    <w:rsid w:val="006964CA"/>
    <w:rsid w:val="006968D5"/>
    <w:rsid w:val="00696DB4"/>
    <w:rsid w:val="0069748A"/>
    <w:rsid w:val="006978EE"/>
    <w:rsid w:val="0069791F"/>
    <w:rsid w:val="006A028B"/>
    <w:rsid w:val="006A15D2"/>
    <w:rsid w:val="006A1792"/>
    <w:rsid w:val="006A19C5"/>
    <w:rsid w:val="006A1C7A"/>
    <w:rsid w:val="006A20B8"/>
    <w:rsid w:val="006A241F"/>
    <w:rsid w:val="006A4614"/>
    <w:rsid w:val="006A4961"/>
    <w:rsid w:val="006A5694"/>
    <w:rsid w:val="006A5C27"/>
    <w:rsid w:val="006B044B"/>
    <w:rsid w:val="006B0B81"/>
    <w:rsid w:val="006B0E8C"/>
    <w:rsid w:val="006B0FFD"/>
    <w:rsid w:val="006B14DA"/>
    <w:rsid w:val="006B1B47"/>
    <w:rsid w:val="006B2722"/>
    <w:rsid w:val="006B3AA3"/>
    <w:rsid w:val="006B7549"/>
    <w:rsid w:val="006C0F84"/>
    <w:rsid w:val="006C0FEE"/>
    <w:rsid w:val="006C21D3"/>
    <w:rsid w:val="006C2222"/>
    <w:rsid w:val="006C22C7"/>
    <w:rsid w:val="006C27E6"/>
    <w:rsid w:val="006C5847"/>
    <w:rsid w:val="006C6264"/>
    <w:rsid w:val="006C6651"/>
    <w:rsid w:val="006C739F"/>
    <w:rsid w:val="006D1793"/>
    <w:rsid w:val="006D17CE"/>
    <w:rsid w:val="006D1C17"/>
    <w:rsid w:val="006D1EDE"/>
    <w:rsid w:val="006D1F71"/>
    <w:rsid w:val="006D20FF"/>
    <w:rsid w:val="006D29EB"/>
    <w:rsid w:val="006D2EB2"/>
    <w:rsid w:val="006D2FBC"/>
    <w:rsid w:val="006D3CDB"/>
    <w:rsid w:val="006D4928"/>
    <w:rsid w:val="006D53CE"/>
    <w:rsid w:val="006D5B27"/>
    <w:rsid w:val="006D7C56"/>
    <w:rsid w:val="006D7CB0"/>
    <w:rsid w:val="006E0689"/>
    <w:rsid w:val="006E0702"/>
    <w:rsid w:val="006E0829"/>
    <w:rsid w:val="006E0A07"/>
    <w:rsid w:val="006E2110"/>
    <w:rsid w:val="006E2B18"/>
    <w:rsid w:val="006E39BF"/>
    <w:rsid w:val="006E61AD"/>
    <w:rsid w:val="006F05CC"/>
    <w:rsid w:val="006F2671"/>
    <w:rsid w:val="006F3FC1"/>
    <w:rsid w:val="006F40E8"/>
    <w:rsid w:val="006F674F"/>
    <w:rsid w:val="006F6BAF"/>
    <w:rsid w:val="006F78E5"/>
    <w:rsid w:val="00700459"/>
    <w:rsid w:val="007037D8"/>
    <w:rsid w:val="00703C06"/>
    <w:rsid w:val="00704C14"/>
    <w:rsid w:val="00705FE8"/>
    <w:rsid w:val="00705FFB"/>
    <w:rsid w:val="0070655C"/>
    <w:rsid w:val="0070717E"/>
    <w:rsid w:val="00711147"/>
    <w:rsid w:val="0071190F"/>
    <w:rsid w:val="007128C4"/>
    <w:rsid w:val="00712A56"/>
    <w:rsid w:val="00712DC2"/>
    <w:rsid w:val="00713776"/>
    <w:rsid w:val="00713DEE"/>
    <w:rsid w:val="007142AD"/>
    <w:rsid w:val="00714A19"/>
    <w:rsid w:val="00714B47"/>
    <w:rsid w:val="00714EF7"/>
    <w:rsid w:val="007155A2"/>
    <w:rsid w:val="00715E63"/>
    <w:rsid w:val="0072125D"/>
    <w:rsid w:val="007214D5"/>
    <w:rsid w:val="00721E8E"/>
    <w:rsid w:val="00722D0E"/>
    <w:rsid w:val="00722F0B"/>
    <w:rsid w:val="00724A61"/>
    <w:rsid w:val="00724F4C"/>
    <w:rsid w:val="00727541"/>
    <w:rsid w:val="00730062"/>
    <w:rsid w:val="0073069A"/>
    <w:rsid w:val="007312E6"/>
    <w:rsid w:val="007313F9"/>
    <w:rsid w:val="00733D02"/>
    <w:rsid w:val="00734853"/>
    <w:rsid w:val="007373FB"/>
    <w:rsid w:val="00737498"/>
    <w:rsid w:val="007376A3"/>
    <w:rsid w:val="0074071B"/>
    <w:rsid w:val="00740801"/>
    <w:rsid w:val="00740ED2"/>
    <w:rsid w:val="007417E2"/>
    <w:rsid w:val="00741C8D"/>
    <w:rsid w:val="00741FC8"/>
    <w:rsid w:val="00742346"/>
    <w:rsid w:val="00743111"/>
    <w:rsid w:val="00744121"/>
    <w:rsid w:val="007442C6"/>
    <w:rsid w:val="00744AC4"/>
    <w:rsid w:val="00745DBD"/>
    <w:rsid w:val="007461F7"/>
    <w:rsid w:val="007469B8"/>
    <w:rsid w:val="007469FD"/>
    <w:rsid w:val="00746A69"/>
    <w:rsid w:val="00746D3D"/>
    <w:rsid w:val="00747827"/>
    <w:rsid w:val="00750158"/>
    <w:rsid w:val="007510A9"/>
    <w:rsid w:val="00751DA0"/>
    <w:rsid w:val="00752676"/>
    <w:rsid w:val="00752B1D"/>
    <w:rsid w:val="00753326"/>
    <w:rsid w:val="00753469"/>
    <w:rsid w:val="00753D9D"/>
    <w:rsid w:val="007556B1"/>
    <w:rsid w:val="00756620"/>
    <w:rsid w:val="007566DF"/>
    <w:rsid w:val="0075695E"/>
    <w:rsid w:val="0075732E"/>
    <w:rsid w:val="0075767C"/>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0AE6"/>
    <w:rsid w:val="0077134E"/>
    <w:rsid w:val="00771779"/>
    <w:rsid w:val="00772101"/>
    <w:rsid w:val="00773E7F"/>
    <w:rsid w:val="007754A9"/>
    <w:rsid w:val="00775AD3"/>
    <w:rsid w:val="00776264"/>
    <w:rsid w:val="0078006C"/>
    <w:rsid w:val="0078204B"/>
    <w:rsid w:val="007823E5"/>
    <w:rsid w:val="00783474"/>
    <w:rsid w:val="0078366C"/>
    <w:rsid w:val="0078415D"/>
    <w:rsid w:val="007843B5"/>
    <w:rsid w:val="00784919"/>
    <w:rsid w:val="00784C05"/>
    <w:rsid w:val="007857FC"/>
    <w:rsid w:val="00785AB3"/>
    <w:rsid w:val="007909E8"/>
    <w:rsid w:val="00790DFE"/>
    <w:rsid w:val="00791001"/>
    <w:rsid w:val="007929F2"/>
    <w:rsid w:val="00792DAA"/>
    <w:rsid w:val="00794184"/>
    <w:rsid w:val="00794C2D"/>
    <w:rsid w:val="00794F34"/>
    <w:rsid w:val="007950B1"/>
    <w:rsid w:val="0079534B"/>
    <w:rsid w:val="007956B3"/>
    <w:rsid w:val="0079601D"/>
    <w:rsid w:val="00797783"/>
    <w:rsid w:val="007A066B"/>
    <w:rsid w:val="007A0A8F"/>
    <w:rsid w:val="007A14AD"/>
    <w:rsid w:val="007A1581"/>
    <w:rsid w:val="007A2A37"/>
    <w:rsid w:val="007A33A2"/>
    <w:rsid w:val="007A34D5"/>
    <w:rsid w:val="007A610C"/>
    <w:rsid w:val="007A629F"/>
    <w:rsid w:val="007B0A33"/>
    <w:rsid w:val="007B21B8"/>
    <w:rsid w:val="007B25FE"/>
    <w:rsid w:val="007B28F4"/>
    <w:rsid w:val="007B2938"/>
    <w:rsid w:val="007B32DA"/>
    <w:rsid w:val="007B4601"/>
    <w:rsid w:val="007B568F"/>
    <w:rsid w:val="007B5A00"/>
    <w:rsid w:val="007B66A6"/>
    <w:rsid w:val="007B6B72"/>
    <w:rsid w:val="007B6DE6"/>
    <w:rsid w:val="007B7D9D"/>
    <w:rsid w:val="007C06B2"/>
    <w:rsid w:val="007C08EA"/>
    <w:rsid w:val="007C1943"/>
    <w:rsid w:val="007C1DD1"/>
    <w:rsid w:val="007C23FC"/>
    <w:rsid w:val="007C3B68"/>
    <w:rsid w:val="007C4091"/>
    <w:rsid w:val="007C5288"/>
    <w:rsid w:val="007C68B0"/>
    <w:rsid w:val="007C6E84"/>
    <w:rsid w:val="007C7E3D"/>
    <w:rsid w:val="007D0086"/>
    <w:rsid w:val="007D145C"/>
    <w:rsid w:val="007D2589"/>
    <w:rsid w:val="007D35AD"/>
    <w:rsid w:val="007D433E"/>
    <w:rsid w:val="007D5814"/>
    <w:rsid w:val="007D6A73"/>
    <w:rsid w:val="007D7DDA"/>
    <w:rsid w:val="007E0B03"/>
    <w:rsid w:val="007E14C6"/>
    <w:rsid w:val="007E1737"/>
    <w:rsid w:val="007E2797"/>
    <w:rsid w:val="007E2D6E"/>
    <w:rsid w:val="007E3403"/>
    <w:rsid w:val="007E3871"/>
    <w:rsid w:val="007E4109"/>
    <w:rsid w:val="007E5E62"/>
    <w:rsid w:val="007E69C2"/>
    <w:rsid w:val="007F0882"/>
    <w:rsid w:val="007F1688"/>
    <w:rsid w:val="007F1E3D"/>
    <w:rsid w:val="007F22BA"/>
    <w:rsid w:val="007F22E6"/>
    <w:rsid w:val="007F270A"/>
    <w:rsid w:val="007F2ED7"/>
    <w:rsid w:val="007F3826"/>
    <w:rsid w:val="007F3B73"/>
    <w:rsid w:val="007F4187"/>
    <w:rsid w:val="007F459B"/>
    <w:rsid w:val="007F49D8"/>
    <w:rsid w:val="007F4AC9"/>
    <w:rsid w:val="007F61E3"/>
    <w:rsid w:val="007F6C0F"/>
    <w:rsid w:val="007F7388"/>
    <w:rsid w:val="007F7480"/>
    <w:rsid w:val="00800DF7"/>
    <w:rsid w:val="0080197A"/>
    <w:rsid w:val="00802288"/>
    <w:rsid w:val="008026C9"/>
    <w:rsid w:val="008028C3"/>
    <w:rsid w:val="008044A7"/>
    <w:rsid w:val="008046B2"/>
    <w:rsid w:val="008047B2"/>
    <w:rsid w:val="00805158"/>
    <w:rsid w:val="0080598C"/>
    <w:rsid w:val="0080641F"/>
    <w:rsid w:val="0080702E"/>
    <w:rsid w:val="0080745E"/>
    <w:rsid w:val="00807FD7"/>
    <w:rsid w:val="00811173"/>
    <w:rsid w:val="00811992"/>
    <w:rsid w:val="00812B18"/>
    <w:rsid w:val="00813BFA"/>
    <w:rsid w:val="00813F1C"/>
    <w:rsid w:val="008141EE"/>
    <w:rsid w:val="00814B3C"/>
    <w:rsid w:val="00814E18"/>
    <w:rsid w:val="00815F0B"/>
    <w:rsid w:val="00816510"/>
    <w:rsid w:val="0081680D"/>
    <w:rsid w:val="0081738B"/>
    <w:rsid w:val="00820628"/>
    <w:rsid w:val="00820719"/>
    <w:rsid w:val="00820826"/>
    <w:rsid w:val="008213F8"/>
    <w:rsid w:val="008229F3"/>
    <w:rsid w:val="00822E43"/>
    <w:rsid w:val="008242CB"/>
    <w:rsid w:val="008242F9"/>
    <w:rsid w:val="00824744"/>
    <w:rsid w:val="0082500A"/>
    <w:rsid w:val="00825B9C"/>
    <w:rsid w:val="00827DB5"/>
    <w:rsid w:val="00827E56"/>
    <w:rsid w:val="0083054E"/>
    <w:rsid w:val="00830687"/>
    <w:rsid w:val="0083069A"/>
    <w:rsid w:val="00830FE5"/>
    <w:rsid w:val="00831B68"/>
    <w:rsid w:val="00831EA8"/>
    <w:rsid w:val="00832487"/>
    <w:rsid w:val="0083293B"/>
    <w:rsid w:val="008330B5"/>
    <w:rsid w:val="008331F4"/>
    <w:rsid w:val="0083336E"/>
    <w:rsid w:val="0083349B"/>
    <w:rsid w:val="008340D0"/>
    <w:rsid w:val="00835514"/>
    <w:rsid w:val="008364C7"/>
    <w:rsid w:val="00836C42"/>
    <w:rsid w:val="008408E8"/>
    <w:rsid w:val="00841B37"/>
    <w:rsid w:val="008425D1"/>
    <w:rsid w:val="00842C2F"/>
    <w:rsid w:val="00842DC3"/>
    <w:rsid w:val="00843346"/>
    <w:rsid w:val="00843464"/>
    <w:rsid w:val="00843817"/>
    <w:rsid w:val="00843BCD"/>
    <w:rsid w:val="0084404D"/>
    <w:rsid w:val="008446C0"/>
    <w:rsid w:val="008450F6"/>
    <w:rsid w:val="008461CA"/>
    <w:rsid w:val="0084652D"/>
    <w:rsid w:val="00846A7A"/>
    <w:rsid w:val="00846E53"/>
    <w:rsid w:val="00847D78"/>
    <w:rsid w:val="008539C0"/>
    <w:rsid w:val="00853F9F"/>
    <w:rsid w:val="00854178"/>
    <w:rsid w:val="00854F44"/>
    <w:rsid w:val="00855105"/>
    <w:rsid w:val="008568FE"/>
    <w:rsid w:val="00856CB1"/>
    <w:rsid w:val="00857D3F"/>
    <w:rsid w:val="008612C3"/>
    <w:rsid w:val="0086144B"/>
    <w:rsid w:val="00861E99"/>
    <w:rsid w:val="00861EE3"/>
    <w:rsid w:val="008621EB"/>
    <w:rsid w:val="0086289C"/>
    <w:rsid w:val="00863672"/>
    <w:rsid w:val="00864610"/>
    <w:rsid w:val="0086498E"/>
    <w:rsid w:val="008650F6"/>
    <w:rsid w:val="008653C2"/>
    <w:rsid w:val="00865793"/>
    <w:rsid w:val="0086609D"/>
    <w:rsid w:val="00866431"/>
    <w:rsid w:val="00866445"/>
    <w:rsid w:val="00870D5B"/>
    <w:rsid w:val="008725D2"/>
    <w:rsid w:val="008726AF"/>
    <w:rsid w:val="00872730"/>
    <w:rsid w:val="008728D9"/>
    <w:rsid w:val="00874123"/>
    <w:rsid w:val="00874477"/>
    <w:rsid w:val="0087467A"/>
    <w:rsid w:val="00875CD1"/>
    <w:rsid w:val="00877087"/>
    <w:rsid w:val="00877784"/>
    <w:rsid w:val="00877BB7"/>
    <w:rsid w:val="00880DFE"/>
    <w:rsid w:val="008834D1"/>
    <w:rsid w:val="008841C6"/>
    <w:rsid w:val="00884A40"/>
    <w:rsid w:val="00884AE5"/>
    <w:rsid w:val="00884C5D"/>
    <w:rsid w:val="00885313"/>
    <w:rsid w:val="0088556E"/>
    <w:rsid w:val="00886BEA"/>
    <w:rsid w:val="00887B32"/>
    <w:rsid w:val="00887B43"/>
    <w:rsid w:val="00887DCA"/>
    <w:rsid w:val="008906FF"/>
    <w:rsid w:val="008908BE"/>
    <w:rsid w:val="00890D94"/>
    <w:rsid w:val="00890FA1"/>
    <w:rsid w:val="008910E1"/>
    <w:rsid w:val="00891226"/>
    <w:rsid w:val="00891335"/>
    <w:rsid w:val="0089342E"/>
    <w:rsid w:val="008934E5"/>
    <w:rsid w:val="00894A54"/>
    <w:rsid w:val="00894E64"/>
    <w:rsid w:val="00894F6E"/>
    <w:rsid w:val="00895B0C"/>
    <w:rsid w:val="00897203"/>
    <w:rsid w:val="008A0247"/>
    <w:rsid w:val="008A0CA2"/>
    <w:rsid w:val="008A1F46"/>
    <w:rsid w:val="008A36F0"/>
    <w:rsid w:val="008A37A5"/>
    <w:rsid w:val="008A381B"/>
    <w:rsid w:val="008A3927"/>
    <w:rsid w:val="008A506A"/>
    <w:rsid w:val="008A556A"/>
    <w:rsid w:val="008A5DBB"/>
    <w:rsid w:val="008A64CE"/>
    <w:rsid w:val="008B1233"/>
    <w:rsid w:val="008B149A"/>
    <w:rsid w:val="008B1968"/>
    <w:rsid w:val="008B1E9C"/>
    <w:rsid w:val="008B1FBD"/>
    <w:rsid w:val="008B26BC"/>
    <w:rsid w:val="008B29AF"/>
    <w:rsid w:val="008B423F"/>
    <w:rsid w:val="008B4C23"/>
    <w:rsid w:val="008B4D46"/>
    <w:rsid w:val="008B4E1C"/>
    <w:rsid w:val="008B56E6"/>
    <w:rsid w:val="008B6383"/>
    <w:rsid w:val="008B642C"/>
    <w:rsid w:val="008B6431"/>
    <w:rsid w:val="008B6CED"/>
    <w:rsid w:val="008B6F2D"/>
    <w:rsid w:val="008B72C5"/>
    <w:rsid w:val="008C0108"/>
    <w:rsid w:val="008C1628"/>
    <w:rsid w:val="008C5CBD"/>
    <w:rsid w:val="008C5E5D"/>
    <w:rsid w:val="008C6CA7"/>
    <w:rsid w:val="008C7223"/>
    <w:rsid w:val="008C7550"/>
    <w:rsid w:val="008C782C"/>
    <w:rsid w:val="008D1432"/>
    <w:rsid w:val="008D324E"/>
    <w:rsid w:val="008D35BC"/>
    <w:rsid w:val="008D35FC"/>
    <w:rsid w:val="008D3828"/>
    <w:rsid w:val="008D4845"/>
    <w:rsid w:val="008D4D07"/>
    <w:rsid w:val="008D57E4"/>
    <w:rsid w:val="008D58F8"/>
    <w:rsid w:val="008D5A3A"/>
    <w:rsid w:val="008D6004"/>
    <w:rsid w:val="008D62AE"/>
    <w:rsid w:val="008D730D"/>
    <w:rsid w:val="008D7883"/>
    <w:rsid w:val="008D7E51"/>
    <w:rsid w:val="008D7EAA"/>
    <w:rsid w:val="008E0918"/>
    <w:rsid w:val="008E0D9B"/>
    <w:rsid w:val="008E3144"/>
    <w:rsid w:val="008E5575"/>
    <w:rsid w:val="008E55CF"/>
    <w:rsid w:val="008E5B68"/>
    <w:rsid w:val="008E5FAC"/>
    <w:rsid w:val="008F068B"/>
    <w:rsid w:val="008F2882"/>
    <w:rsid w:val="008F34D9"/>
    <w:rsid w:val="008F3A9C"/>
    <w:rsid w:val="008F3F2D"/>
    <w:rsid w:val="008F4BD4"/>
    <w:rsid w:val="008F60D7"/>
    <w:rsid w:val="008F6BBA"/>
    <w:rsid w:val="008F6F31"/>
    <w:rsid w:val="008F71C7"/>
    <w:rsid w:val="008F7C1F"/>
    <w:rsid w:val="009005A7"/>
    <w:rsid w:val="009009DE"/>
    <w:rsid w:val="00901A03"/>
    <w:rsid w:val="00902655"/>
    <w:rsid w:val="0090568D"/>
    <w:rsid w:val="00905C16"/>
    <w:rsid w:val="00905F0F"/>
    <w:rsid w:val="00907316"/>
    <w:rsid w:val="009074DB"/>
    <w:rsid w:val="009077DF"/>
    <w:rsid w:val="00911108"/>
    <w:rsid w:val="009113D0"/>
    <w:rsid w:val="00911740"/>
    <w:rsid w:val="00911C0E"/>
    <w:rsid w:val="00911C37"/>
    <w:rsid w:val="0091273E"/>
    <w:rsid w:val="00913434"/>
    <w:rsid w:val="009134C6"/>
    <w:rsid w:val="009140C4"/>
    <w:rsid w:val="009148E9"/>
    <w:rsid w:val="00916C99"/>
    <w:rsid w:val="00916D86"/>
    <w:rsid w:val="00916ECC"/>
    <w:rsid w:val="009170B8"/>
    <w:rsid w:val="00917782"/>
    <w:rsid w:val="00920D0B"/>
    <w:rsid w:val="00921376"/>
    <w:rsid w:val="00923EA6"/>
    <w:rsid w:val="009244A7"/>
    <w:rsid w:val="009322C4"/>
    <w:rsid w:val="009323DA"/>
    <w:rsid w:val="0093255A"/>
    <w:rsid w:val="0093274C"/>
    <w:rsid w:val="0093312D"/>
    <w:rsid w:val="00933172"/>
    <w:rsid w:val="009341F8"/>
    <w:rsid w:val="0093455F"/>
    <w:rsid w:val="0093484B"/>
    <w:rsid w:val="00934B3E"/>
    <w:rsid w:val="009356B5"/>
    <w:rsid w:val="009363C3"/>
    <w:rsid w:val="00936F2D"/>
    <w:rsid w:val="00937C0C"/>
    <w:rsid w:val="009413AE"/>
    <w:rsid w:val="009419D6"/>
    <w:rsid w:val="00941D11"/>
    <w:rsid w:val="00942222"/>
    <w:rsid w:val="00942CBC"/>
    <w:rsid w:val="00943216"/>
    <w:rsid w:val="0094321D"/>
    <w:rsid w:val="00943A5B"/>
    <w:rsid w:val="00943C82"/>
    <w:rsid w:val="0094471C"/>
    <w:rsid w:val="00950138"/>
    <w:rsid w:val="00950E90"/>
    <w:rsid w:val="0095240A"/>
    <w:rsid w:val="009529CA"/>
    <w:rsid w:val="009534B6"/>
    <w:rsid w:val="00953739"/>
    <w:rsid w:val="00954D81"/>
    <w:rsid w:val="00954F7B"/>
    <w:rsid w:val="00955321"/>
    <w:rsid w:val="00955F6D"/>
    <w:rsid w:val="00955FB6"/>
    <w:rsid w:val="0095646B"/>
    <w:rsid w:val="00957DE7"/>
    <w:rsid w:val="00960BDA"/>
    <w:rsid w:val="00960C1A"/>
    <w:rsid w:val="009633D8"/>
    <w:rsid w:val="009635B7"/>
    <w:rsid w:val="00963AAB"/>
    <w:rsid w:val="00963F0D"/>
    <w:rsid w:val="00964D08"/>
    <w:rsid w:val="0096515E"/>
    <w:rsid w:val="0096682A"/>
    <w:rsid w:val="00967076"/>
    <w:rsid w:val="009672B1"/>
    <w:rsid w:val="00970402"/>
    <w:rsid w:val="00971180"/>
    <w:rsid w:val="009720B1"/>
    <w:rsid w:val="00972578"/>
    <w:rsid w:val="00974066"/>
    <w:rsid w:val="00976784"/>
    <w:rsid w:val="00977526"/>
    <w:rsid w:val="00980383"/>
    <w:rsid w:val="009811B9"/>
    <w:rsid w:val="009819A0"/>
    <w:rsid w:val="00982600"/>
    <w:rsid w:val="009831C6"/>
    <w:rsid w:val="00983D01"/>
    <w:rsid w:val="00983E9C"/>
    <w:rsid w:val="009844F2"/>
    <w:rsid w:val="00985838"/>
    <w:rsid w:val="00985CAD"/>
    <w:rsid w:val="00986A71"/>
    <w:rsid w:val="00987877"/>
    <w:rsid w:val="00990413"/>
    <w:rsid w:val="00990794"/>
    <w:rsid w:val="00990E0E"/>
    <w:rsid w:val="0099108C"/>
    <w:rsid w:val="00991DBB"/>
    <w:rsid w:val="00991F47"/>
    <w:rsid w:val="00993514"/>
    <w:rsid w:val="00993A72"/>
    <w:rsid w:val="00994106"/>
    <w:rsid w:val="00994A1E"/>
    <w:rsid w:val="00994D91"/>
    <w:rsid w:val="0099629F"/>
    <w:rsid w:val="0099701E"/>
    <w:rsid w:val="009A0212"/>
    <w:rsid w:val="009A1739"/>
    <w:rsid w:val="009A1FFD"/>
    <w:rsid w:val="009A2B40"/>
    <w:rsid w:val="009A354C"/>
    <w:rsid w:val="009A3C20"/>
    <w:rsid w:val="009A42F3"/>
    <w:rsid w:val="009A45EA"/>
    <w:rsid w:val="009A4622"/>
    <w:rsid w:val="009A5481"/>
    <w:rsid w:val="009A6EAC"/>
    <w:rsid w:val="009A71FE"/>
    <w:rsid w:val="009A750C"/>
    <w:rsid w:val="009A7C3F"/>
    <w:rsid w:val="009B003B"/>
    <w:rsid w:val="009B011C"/>
    <w:rsid w:val="009B06CC"/>
    <w:rsid w:val="009B1523"/>
    <w:rsid w:val="009B35B2"/>
    <w:rsid w:val="009B3FD5"/>
    <w:rsid w:val="009B4351"/>
    <w:rsid w:val="009B55A0"/>
    <w:rsid w:val="009B598B"/>
    <w:rsid w:val="009B5AFA"/>
    <w:rsid w:val="009B642C"/>
    <w:rsid w:val="009B649E"/>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3B39"/>
    <w:rsid w:val="009D41FA"/>
    <w:rsid w:val="009D5DFE"/>
    <w:rsid w:val="009D5E48"/>
    <w:rsid w:val="009D6201"/>
    <w:rsid w:val="009D62BA"/>
    <w:rsid w:val="009D657B"/>
    <w:rsid w:val="009D6D24"/>
    <w:rsid w:val="009D6EF1"/>
    <w:rsid w:val="009D72B1"/>
    <w:rsid w:val="009D7477"/>
    <w:rsid w:val="009E1961"/>
    <w:rsid w:val="009E22E4"/>
    <w:rsid w:val="009E276A"/>
    <w:rsid w:val="009E3037"/>
    <w:rsid w:val="009E37C7"/>
    <w:rsid w:val="009E37E4"/>
    <w:rsid w:val="009E41BA"/>
    <w:rsid w:val="009E5704"/>
    <w:rsid w:val="009E616D"/>
    <w:rsid w:val="009E66D5"/>
    <w:rsid w:val="009E7870"/>
    <w:rsid w:val="009F00FD"/>
    <w:rsid w:val="009F202B"/>
    <w:rsid w:val="009F34FF"/>
    <w:rsid w:val="009F3B8D"/>
    <w:rsid w:val="009F473E"/>
    <w:rsid w:val="009F703C"/>
    <w:rsid w:val="009F7598"/>
    <w:rsid w:val="009F788F"/>
    <w:rsid w:val="009F7AB6"/>
    <w:rsid w:val="009F7BD5"/>
    <w:rsid w:val="00A01AA1"/>
    <w:rsid w:val="00A01CCF"/>
    <w:rsid w:val="00A0416C"/>
    <w:rsid w:val="00A04539"/>
    <w:rsid w:val="00A05683"/>
    <w:rsid w:val="00A06749"/>
    <w:rsid w:val="00A100BB"/>
    <w:rsid w:val="00A1027C"/>
    <w:rsid w:val="00A11407"/>
    <w:rsid w:val="00A11859"/>
    <w:rsid w:val="00A12D3A"/>
    <w:rsid w:val="00A145F0"/>
    <w:rsid w:val="00A14B4B"/>
    <w:rsid w:val="00A14D41"/>
    <w:rsid w:val="00A15150"/>
    <w:rsid w:val="00A15D97"/>
    <w:rsid w:val="00A15E79"/>
    <w:rsid w:val="00A1601B"/>
    <w:rsid w:val="00A16490"/>
    <w:rsid w:val="00A167C4"/>
    <w:rsid w:val="00A179DF"/>
    <w:rsid w:val="00A17AB6"/>
    <w:rsid w:val="00A20426"/>
    <w:rsid w:val="00A205B9"/>
    <w:rsid w:val="00A20F94"/>
    <w:rsid w:val="00A216F9"/>
    <w:rsid w:val="00A22227"/>
    <w:rsid w:val="00A22CD5"/>
    <w:rsid w:val="00A24607"/>
    <w:rsid w:val="00A27954"/>
    <w:rsid w:val="00A279B7"/>
    <w:rsid w:val="00A3055A"/>
    <w:rsid w:val="00A30A2A"/>
    <w:rsid w:val="00A30C35"/>
    <w:rsid w:val="00A31434"/>
    <w:rsid w:val="00A32B15"/>
    <w:rsid w:val="00A32E2A"/>
    <w:rsid w:val="00A33C10"/>
    <w:rsid w:val="00A34456"/>
    <w:rsid w:val="00A344C2"/>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4D85"/>
    <w:rsid w:val="00A460AD"/>
    <w:rsid w:val="00A477E0"/>
    <w:rsid w:val="00A500FE"/>
    <w:rsid w:val="00A50281"/>
    <w:rsid w:val="00A513AD"/>
    <w:rsid w:val="00A523B9"/>
    <w:rsid w:val="00A525EA"/>
    <w:rsid w:val="00A53DA4"/>
    <w:rsid w:val="00A5410F"/>
    <w:rsid w:val="00A541BF"/>
    <w:rsid w:val="00A547B7"/>
    <w:rsid w:val="00A55CED"/>
    <w:rsid w:val="00A55DCB"/>
    <w:rsid w:val="00A5717C"/>
    <w:rsid w:val="00A572CB"/>
    <w:rsid w:val="00A57316"/>
    <w:rsid w:val="00A5747C"/>
    <w:rsid w:val="00A5748B"/>
    <w:rsid w:val="00A579CC"/>
    <w:rsid w:val="00A60479"/>
    <w:rsid w:val="00A618DB"/>
    <w:rsid w:val="00A634F3"/>
    <w:rsid w:val="00A63761"/>
    <w:rsid w:val="00A64491"/>
    <w:rsid w:val="00A64DF5"/>
    <w:rsid w:val="00A65475"/>
    <w:rsid w:val="00A65810"/>
    <w:rsid w:val="00A65960"/>
    <w:rsid w:val="00A65C36"/>
    <w:rsid w:val="00A663AD"/>
    <w:rsid w:val="00A66C4C"/>
    <w:rsid w:val="00A674F4"/>
    <w:rsid w:val="00A67842"/>
    <w:rsid w:val="00A711CD"/>
    <w:rsid w:val="00A71CED"/>
    <w:rsid w:val="00A72845"/>
    <w:rsid w:val="00A7293A"/>
    <w:rsid w:val="00A72B6B"/>
    <w:rsid w:val="00A7338B"/>
    <w:rsid w:val="00A737E5"/>
    <w:rsid w:val="00A74FEB"/>
    <w:rsid w:val="00A76AF4"/>
    <w:rsid w:val="00A7741F"/>
    <w:rsid w:val="00A77AD5"/>
    <w:rsid w:val="00A8108A"/>
    <w:rsid w:val="00A818B2"/>
    <w:rsid w:val="00A82509"/>
    <w:rsid w:val="00A82671"/>
    <w:rsid w:val="00A82E89"/>
    <w:rsid w:val="00A85067"/>
    <w:rsid w:val="00A8555A"/>
    <w:rsid w:val="00A8581E"/>
    <w:rsid w:val="00A859CC"/>
    <w:rsid w:val="00A85CDC"/>
    <w:rsid w:val="00A86D11"/>
    <w:rsid w:val="00A87387"/>
    <w:rsid w:val="00A878F6"/>
    <w:rsid w:val="00A91632"/>
    <w:rsid w:val="00A92393"/>
    <w:rsid w:val="00A92A39"/>
    <w:rsid w:val="00A933CF"/>
    <w:rsid w:val="00A9344C"/>
    <w:rsid w:val="00A94643"/>
    <w:rsid w:val="00A947A6"/>
    <w:rsid w:val="00A96183"/>
    <w:rsid w:val="00A963D4"/>
    <w:rsid w:val="00A979E7"/>
    <w:rsid w:val="00AA00A2"/>
    <w:rsid w:val="00AA054C"/>
    <w:rsid w:val="00AA09FA"/>
    <w:rsid w:val="00AA0C78"/>
    <w:rsid w:val="00AA2179"/>
    <w:rsid w:val="00AA2B9F"/>
    <w:rsid w:val="00AA2BA9"/>
    <w:rsid w:val="00AA3D36"/>
    <w:rsid w:val="00AA418C"/>
    <w:rsid w:val="00AA45BE"/>
    <w:rsid w:val="00AA583D"/>
    <w:rsid w:val="00AA5869"/>
    <w:rsid w:val="00AA5F0D"/>
    <w:rsid w:val="00AA6926"/>
    <w:rsid w:val="00AA73E8"/>
    <w:rsid w:val="00AA78CB"/>
    <w:rsid w:val="00AA7F54"/>
    <w:rsid w:val="00AB00F9"/>
    <w:rsid w:val="00AB02AB"/>
    <w:rsid w:val="00AB23F3"/>
    <w:rsid w:val="00AB2BFB"/>
    <w:rsid w:val="00AB2C02"/>
    <w:rsid w:val="00AB32BC"/>
    <w:rsid w:val="00AB343B"/>
    <w:rsid w:val="00AB4D5B"/>
    <w:rsid w:val="00AB5155"/>
    <w:rsid w:val="00AB55F1"/>
    <w:rsid w:val="00AB5EDC"/>
    <w:rsid w:val="00AB6C1A"/>
    <w:rsid w:val="00AB7622"/>
    <w:rsid w:val="00AB79EA"/>
    <w:rsid w:val="00AC0809"/>
    <w:rsid w:val="00AC1338"/>
    <w:rsid w:val="00AC16A6"/>
    <w:rsid w:val="00AC171D"/>
    <w:rsid w:val="00AC1786"/>
    <w:rsid w:val="00AC2BE2"/>
    <w:rsid w:val="00AC2C62"/>
    <w:rsid w:val="00AC34AE"/>
    <w:rsid w:val="00AC4772"/>
    <w:rsid w:val="00AC5155"/>
    <w:rsid w:val="00AC5791"/>
    <w:rsid w:val="00AC6523"/>
    <w:rsid w:val="00AC6782"/>
    <w:rsid w:val="00AC6B19"/>
    <w:rsid w:val="00AC6F43"/>
    <w:rsid w:val="00AC7A3F"/>
    <w:rsid w:val="00AD0BCC"/>
    <w:rsid w:val="00AD110D"/>
    <w:rsid w:val="00AD1552"/>
    <w:rsid w:val="00AD18A1"/>
    <w:rsid w:val="00AD2812"/>
    <w:rsid w:val="00AD3A88"/>
    <w:rsid w:val="00AD49CC"/>
    <w:rsid w:val="00AD4BA1"/>
    <w:rsid w:val="00AD5280"/>
    <w:rsid w:val="00AD54FE"/>
    <w:rsid w:val="00AD657F"/>
    <w:rsid w:val="00AD73EE"/>
    <w:rsid w:val="00AD770E"/>
    <w:rsid w:val="00AD786D"/>
    <w:rsid w:val="00AD7C3D"/>
    <w:rsid w:val="00AE18A1"/>
    <w:rsid w:val="00AE2DE9"/>
    <w:rsid w:val="00AE329C"/>
    <w:rsid w:val="00AE408A"/>
    <w:rsid w:val="00AE44BE"/>
    <w:rsid w:val="00AE4B1D"/>
    <w:rsid w:val="00AE4B5B"/>
    <w:rsid w:val="00AE60EB"/>
    <w:rsid w:val="00AE759D"/>
    <w:rsid w:val="00AF0EE2"/>
    <w:rsid w:val="00AF1F6D"/>
    <w:rsid w:val="00AF3453"/>
    <w:rsid w:val="00AF35B4"/>
    <w:rsid w:val="00AF4210"/>
    <w:rsid w:val="00AF6250"/>
    <w:rsid w:val="00B0093E"/>
    <w:rsid w:val="00B00B0B"/>
    <w:rsid w:val="00B01BAF"/>
    <w:rsid w:val="00B0219F"/>
    <w:rsid w:val="00B02555"/>
    <w:rsid w:val="00B02C00"/>
    <w:rsid w:val="00B035C4"/>
    <w:rsid w:val="00B036D3"/>
    <w:rsid w:val="00B066B8"/>
    <w:rsid w:val="00B076DB"/>
    <w:rsid w:val="00B07E3C"/>
    <w:rsid w:val="00B10671"/>
    <w:rsid w:val="00B12645"/>
    <w:rsid w:val="00B12C65"/>
    <w:rsid w:val="00B13339"/>
    <w:rsid w:val="00B134F6"/>
    <w:rsid w:val="00B1441D"/>
    <w:rsid w:val="00B14AE8"/>
    <w:rsid w:val="00B1524C"/>
    <w:rsid w:val="00B156A5"/>
    <w:rsid w:val="00B167D0"/>
    <w:rsid w:val="00B16D95"/>
    <w:rsid w:val="00B172CE"/>
    <w:rsid w:val="00B20C91"/>
    <w:rsid w:val="00B2136B"/>
    <w:rsid w:val="00B2148C"/>
    <w:rsid w:val="00B21C89"/>
    <w:rsid w:val="00B21D9C"/>
    <w:rsid w:val="00B224BC"/>
    <w:rsid w:val="00B22A60"/>
    <w:rsid w:val="00B22DCB"/>
    <w:rsid w:val="00B22FEF"/>
    <w:rsid w:val="00B239CC"/>
    <w:rsid w:val="00B24590"/>
    <w:rsid w:val="00B249F5"/>
    <w:rsid w:val="00B25B2E"/>
    <w:rsid w:val="00B25B2F"/>
    <w:rsid w:val="00B30EA9"/>
    <w:rsid w:val="00B30EB3"/>
    <w:rsid w:val="00B31329"/>
    <w:rsid w:val="00B31E22"/>
    <w:rsid w:val="00B32411"/>
    <w:rsid w:val="00B32D2D"/>
    <w:rsid w:val="00B34951"/>
    <w:rsid w:val="00B357EA"/>
    <w:rsid w:val="00B358D1"/>
    <w:rsid w:val="00B36B79"/>
    <w:rsid w:val="00B36E6B"/>
    <w:rsid w:val="00B36FD6"/>
    <w:rsid w:val="00B3719A"/>
    <w:rsid w:val="00B3762F"/>
    <w:rsid w:val="00B40F79"/>
    <w:rsid w:val="00B42F89"/>
    <w:rsid w:val="00B4349E"/>
    <w:rsid w:val="00B436BE"/>
    <w:rsid w:val="00B4435F"/>
    <w:rsid w:val="00B4513E"/>
    <w:rsid w:val="00B4543A"/>
    <w:rsid w:val="00B4720D"/>
    <w:rsid w:val="00B479F5"/>
    <w:rsid w:val="00B51A00"/>
    <w:rsid w:val="00B53986"/>
    <w:rsid w:val="00B53B2C"/>
    <w:rsid w:val="00B53CDD"/>
    <w:rsid w:val="00B57027"/>
    <w:rsid w:val="00B570E4"/>
    <w:rsid w:val="00B60235"/>
    <w:rsid w:val="00B61CB6"/>
    <w:rsid w:val="00B628F4"/>
    <w:rsid w:val="00B631C8"/>
    <w:rsid w:val="00B63FD8"/>
    <w:rsid w:val="00B64970"/>
    <w:rsid w:val="00B64F9A"/>
    <w:rsid w:val="00B657F2"/>
    <w:rsid w:val="00B664B0"/>
    <w:rsid w:val="00B665D6"/>
    <w:rsid w:val="00B66A5F"/>
    <w:rsid w:val="00B66F16"/>
    <w:rsid w:val="00B67B39"/>
    <w:rsid w:val="00B67CDB"/>
    <w:rsid w:val="00B67E18"/>
    <w:rsid w:val="00B70139"/>
    <w:rsid w:val="00B7219C"/>
    <w:rsid w:val="00B72891"/>
    <w:rsid w:val="00B72FE7"/>
    <w:rsid w:val="00B73122"/>
    <w:rsid w:val="00B73B0B"/>
    <w:rsid w:val="00B73E6F"/>
    <w:rsid w:val="00B744E3"/>
    <w:rsid w:val="00B753A5"/>
    <w:rsid w:val="00B761E0"/>
    <w:rsid w:val="00B769EB"/>
    <w:rsid w:val="00B77C59"/>
    <w:rsid w:val="00B82DD9"/>
    <w:rsid w:val="00B82EB3"/>
    <w:rsid w:val="00B857BC"/>
    <w:rsid w:val="00B85CE0"/>
    <w:rsid w:val="00B8619C"/>
    <w:rsid w:val="00B863C1"/>
    <w:rsid w:val="00B867E3"/>
    <w:rsid w:val="00B87466"/>
    <w:rsid w:val="00B90BA7"/>
    <w:rsid w:val="00B90EF9"/>
    <w:rsid w:val="00B9253C"/>
    <w:rsid w:val="00B92C96"/>
    <w:rsid w:val="00B93576"/>
    <w:rsid w:val="00B9399C"/>
    <w:rsid w:val="00B9407C"/>
    <w:rsid w:val="00B940A6"/>
    <w:rsid w:val="00B975A8"/>
    <w:rsid w:val="00BA0328"/>
    <w:rsid w:val="00BA0344"/>
    <w:rsid w:val="00BA1D5B"/>
    <w:rsid w:val="00BA1E7C"/>
    <w:rsid w:val="00BA3DA3"/>
    <w:rsid w:val="00BA5559"/>
    <w:rsid w:val="00BA5A7C"/>
    <w:rsid w:val="00BA5A92"/>
    <w:rsid w:val="00BA63B9"/>
    <w:rsid w:val="00BA6BC7"/>
    <w:rsid w:val="00BA77EC"/>
    <w:rsid w:val="00BA7B14"/>
    <w:rsid w:val="00BB01BD"/>
    <w:rsid w:val="00BB07F0"/>
    <w:rsid w:val="00BB114E"/>
    <w:rsid w:val="00BB145C"/>
    <w:rsid w:val="00BB1B46"/>
    <w:rsid w:val="00BB252A"/>
    <w:rsid w:val="00BB2DB8"/>
    <w:rsid w:val="00BB38D0"/>
    <w:rsid w:val="00BB3AC9"/>
    <w:rsid w:val="00BB44FA"/>
    <w:rsid w:val="00BB48F8"/>
    <w:rsid w:val="00BB5A25"/>
    <w:rsid w:val="00BB7ACB"/>
    <w:rsid w:val="00BB7B9F"/>
    <w:rsid w:val="00BC0B67"/>
    <w:rsid w:val="00BC1328"/>
    <w:rsid w:val="00BC253A"/>
    <w:rsid w:val="00BC2AAF"/>
    <w:rsid w:val="00BC35DD"/>
    <w:rsid w:val="00BC3CDB"/>
    <w:rsid w:val="00BC4C54"/>
    <w:rsid w:val="00BC51CB"/>
    <w:rsid w:val="00BC51D3"/>
    <w:rsid w:val="00BC530F"/>
    <w:rsid w:val="00BC5975"/>
    <w:rsid w:val="00BC6842"/>
    <w:rsid w:val="00BC6CCD"/>
    <w:rsid w:val="00BC7769"/>
    <w:rsid w:val="00BD01B2"/>
    <w:rsid w:val="00BD0303"/>
    <w:rsid w:val="00BD0D4F"/>
    <w:rsid w:val="00BD2957"/>
    <w:rsid w:val="00BD2CD1"/>
    <w:rsid w:val="00BD2EBB"/>
    <w:rsid w:val="00BD3074"/>
    <w:rsid w:val="00BD482C"/>
    <w:rsid w:val="00BD7AA4"/>
    <w:rsid w:val="00BD7F4E"/>
    <w:rsid w:val="00BE04B4"/>
    <w:rsid w:val="00BE050E"/>
    <w:rsid w:val="00BE0A96"/>
    <w:rsid w:val="00BE1501"/>
    <w:rsid w:val="00BE17DE"/>
    <w:rsid w:val="00BE2C8D"/>
    <w:rsid w:val="00BE4D75"/>
    <w:rsid w:val="00BE5015"/>
    <w:rsid w:val="00BE5825"/>
    <w:rsid w:val="00BE5CE7"/>
    <w:rsid w:val="00BE6BCE"/>
    <w:rsid w:val="00BE6E99"/>
    <w:rsid w:val="00BE7109"/>
    <w:rsid w:val="00BE793D"/>
    <w:rsid w:val="00BF00E5"/>
    <w:rsid w:val="00BF0A6F"/>
    <w:rsid w:val="00BF11F5"/>
    <w:rsid w:val="00BF27E4"/>
    <w:rsid w:val="00BF5B89"/>
    <w:rsid w:val="00BF5E25"/>
    <w:rsid w:val="00BF5EEB"/>
    <w:rsid w:val="00BF65A1"/>
    <w:rsid w:val="00BF7371"/>
    <w:rsid w:val="00BF771B"/>
    <w:rsid w:val="00C01BFF"/>
    <w:rsid w:val="00C0201D"/>
    <w:rsid w:val="00C02FE7"/>
    <w:rsid w:val="00C03540"/>
    <w:rsid w:val="00C036C3"/>
    <w:rsid w:val="00C03B88"/>
    <w:rsid w:val="00C0409D"/>
    <w:rsid w:val="00C0465E"/>
    <w:rsid w:val="00C06B67"/>
    <w:rsid w:val="00C06CB4"/>
    <w:rsid w:val="00C100BB"/>
    <w:rsid w:val="00C10C11"/>
    <w:rsid w:val="00C10DC1"/>
    <w:rsid w:val="00C13423"/>
    <w:rsid w:val="00C13E28"/>
    <w:rsid w:val="00C14BDE"/>
    <w:rsid w:val="00C14C40"/>
    <w:rsid w:val="00C14DCB"/>
    <w:rsid w:val="00C1502A"/>
    <w:rsid w:val="00C20A13"/>
    <w:rsid w:val="00C21AA0"/>
    <w:rsid w:val="00C21F5C"/>
    <w:rsid w:val="00C21F62"/>
    <w:rsid w:val="00C2272C"/>
    <w:rsid w:val="00C22F3D"/>
    <w:rsid w:val="00C2354E"/>
    <w:rsid w:val="00C23C8F"/>
    <w:rsid w:val="00C248B6"/>
    <w:rsid w:val="00C263DE"/>
    <w:rsid w:val="00C2667E"/>
    <w:rsid w:val="00C26A7C"/>
    <w:rsid w:val="00C30090"/>
    <w:rsid w:val="00C304EA"/>
    <w:rsid w:val="00C30C36"/>
    <w:rsid w:val="00C31D15"/>
    <w:rsid w:val="00C3214E"/>
    <w:rsid w:val="00C32913"/>
    <w:rsid w:val="00C33859"/>
    <w:rsid w:val="00C350A3"/>
    <w:rsid w:val="00C35EDC"/>
    <w:rsid w:val="00C36068"/>
    <w:rsid w:val="00C361F1"/>
    <w:rsid w:val="00C36591"/>
    <w:rsid w:val="00C3723D"/>
    <w:rsid w:val="00C40867"/>
    <w:rsid w:val="00C412A3"/>
    <w:rsid w:val="00C413CB"/>
    <w:rsid w:val="00C42955"/>
    <w:rsid w:val="00C42969"/>
    <w:rsid w:val="00C42C75"/>
    <w:rsid w:val="00C43516"/>
    <w:rsid w:val="00C43542"/>
    <w:rsid w:val="00C438E8"/>
    <w:rsid w:val="00C4427E"/>
    <w:rsid w:val="00C44385"/>
    <w:rsid w:val="00C44811"/>
    <w:rsid w:val="00C46494"/>
    <w:rsid w:val="00C46E3E"/>
    <w:rsid w:val="00C47256"/>
    <w:rsid w:val="00C47FE5"/>
    <w:rsid w:val="00C50198"/>
    <w:rsid w:val="00C509EB"/>
    <w:rsid w:val="00C518F2"/>
    <w:rsid w:val="00C51B80"/>
    <w:rsid w:val="00C51CDD"/>
    <w:rsid w:val="00C5263E"/>
    <w:rsid w:val="00C527B4"/>
    <w:rsid w:val="00C527E5"/>
    <w:rsid w:val="00C54ACB"/>
    <w:rsid w:val="00C55A90"/>
    <w:rsid w:val="00C55E7D"/>
    <w:rsid w:val="00C60199"/>
    <w:rsid w:val="00C60F64"/>
    <w:rsid w:val="00C61370"/>
    <w:rsid w:val="00C62F7C"/>
    <w:rsid w:val="00C63343"/>
    <w:rsid w:val="00C63AC6"/>
    <w:rsid w:val="00C65C59"/>
    <w:rsid w:val="00C6644F"/>
    <w:rsid w:val="00C66CBF"/>
    <w:rsid w:val="00C67243"/>
    <w:rsid w:val="00C71FB4"/>
    <w:rsid w:val="00C735D1"/>
    <w:rsid w:val="00C73AFF"/>
    <w:rsid w:val="00C73C88"/>
    <w:rsid w:val="00C75AB4"/>
    <w:rsid w:val="00C75BAB"/>
    <w:rsid w:val="00C762DB"/>
    <w:rsid w:val="00C77E10"/>
    <w:rsid w:val="00C807AC"/>
    <w:rsid w:val="00C809BE"/>
    <w:rsid w:val="00C80F19"/>
    <w:rsid w:val="00C8150D"/>
    <w:rsid w:val="00C81572"/>
    <w:rsid w:val="00C81781"/>
    <w:rsid w:val="00C8260E"/>
    <w:rsid w:val="00C830F9"/>
    <w:rsid w:val="00C83293"/>
    <w:rsid w:val="00C83C8B"/>
    <w:rsid w:val="00C83EDF"/>
    <w:rsid w:val="00C85C04"/>
    <w:rsid w:val="00C85DFA"/>
    <w:rsid w:val="00C85F19"/>
    <w:rsid w:val="00C86446"/>
    <w:rsid w:val="00C8644F"/>
    <w:rsid w:val="00C877B0"/>
    <w:rsid w:val="00C90E35"/>
    <w:rsid w:val="00C9138C"/>
    <w:rsid w:val="00C91F44"/>
    <w:rsid w:val="00C921E6"/>
    <w:rsid w:val="00C9385D"/>
    <w:rsid w:val="00C93FBA"/>
    <w:rsid w:val="00C94F96"/>
    <w:rsid w:val="00C9596E"/>
    <w:rsid w:val="00C960B5"/>
    <w:rsid w:val="00C96B35"/>
    <w:rsid w:val="00C97FD1"/>
    <w:rsid w:val="00CA00E8"/>
    <w:rsid w:val="00CA0A6B"/>
    <w:rsid w:val="00CA129B"/>
    <w:rsid w:val="00CA2570"/>
    <w:rsid w:val="00CA25D9"/>
    <w:rsid w:val="00CA3F8D"/>
    <w:rsid w:val="00CA47DF"/>
    <w:rsid w:val="00CA5057"/>
    <w:rsid w:val="00CA65F3"/>
    <w:rsid w:val="00CA68B5"/>
    <w:rsid w:val="00CB04E2"/>
    <w:rsid w:val="00CB27A1"/>
    <w:rsid w:val="00CB2D42"/>
    <w:rsid w:val="00CB5496"/>
    <w:rsid w:val="00CB5738"/>
    <w:rsid w:val="00CB7BC9"/>
    <w:rsid w:val="00CB7E35"/>
    <w:rsid w:val="00CC086A"/>
    <w:rsid w:val="00CC0C1F"/>
    <w:rsid w:val="00CC1040"/>
    <w:rsid w:val="00CC2A75"/>
    <w:rsid w:val="00CC425D"/>
    <w:rsid w:val="00CC44DE"/>
    <w:rsid w:val="00CC49FC"/>
    <w:rsid w:val="00CC4ED4"/>
    <w:rsid w:val="00CC58A2"/>
    <w:rsid w:val="00CC5F70"/>
    <w:rsid w:val="00CC5F83"/>
    <w:rsid w:val="00CC637B"/>
    <w:rsid w:val="00CC7EE1"/>
    <w:rsid w:val="00CD062E"/>
    <w:rsid w:val="00CD1192"/>
    <w:rsid w:val="00CD1DD1"/>
    <w:rsid w:val="00CD2F15"/>
    <w:rsid w:val="00CD3118"/>
    <w:rsid w:val="00CD37AA"/>
    <w:rsid w:val="00CD3817"/>
    <w:rsid w:val="00CD4742"/>
    <w:rsid w:val="00CD4AA4"/>
    <w:rsid w:val="00CD54A3"/>
    <w:rsid w:val="00CD5C68"/>
    <w:rsid w:val="00CD6194"/>
    <w:rsid w:val="00CD6705"/>
    <w:rsid w:val="00CE0D5B"/>
    <w:rsid w:val="00CE1164"/>
    <w:rsid w:val="00CE17B7"/>
    <w:rsid w:val="00CE1CFF"/>
    <w:rsid w:val="00CE2101"/>
    <w:rsid w:val="00CE2711"/>
    <w:rsid w:val="00CE43AE"/>
    <w:rsid w:val="00CE4B2A"/>
    <w:rsid w:val="00CE5044"/>
    <w:rsid w:val="00CE5B3E"/>
    <w:rsid w:val="00CE67A8"/>
    <w:rsid w:val="00CE6AD3"/>
    <w:rsid w:val="00CE73BB"/>
    <w:rsid w:val="00CE7A88"/>
    <w:rsid w:val="00CE7AF6"/>
    <w:rsid w:val="00CF011A"/>
    <w:rsid w:val="00CF0988"/>
    <w:rsid w:val="00CF4FFF"/>
    <w:rsid w:val="00CF5098"/>
    <w:rsid w:val="00CF526C"/>
    <w:rsid w:val="00CF535E"/>
    <w:rsid w:val="00CF5BB2"/>
    <w:rsid w:val="00CF5CF5"/>
    <w:rsid w:val="00CF72B4"/>
    <w:rsid w:val="00CF73DB"/>
    <w:rsid w:val="00CF7491"/>
    <w:rsid w:val="00D006A0"/>
    <w:rsid w:val="00D00DCD"/>
    <w:rsid w:val="00D01CC8"/>
    <w:rsid w:val="00D029C2"/>
    <w:rsid w:val="00D03AE8"/>
    <w:rsid w:val="00D03F23"/>
    <w:rsid w:val="00D0475C"/>
    <w:rsid w:val="00D0731D"/>
    <w:rsid w:val="00D1073B"/>
    <w:rsid w:val="00D11AC8"/>
    <w:rsid w:val="00D121A9"/>
    <w:rsid w:val="00D12C32"/>
    <w:rsid w:val="00D13DC6"/>
    <w:rsid w:val="00D15713"/>
    <w:rsid w:val="00D162E4"/>
    <w:rsid w:val="00D16346"/>
    <w:rsid w:val="00D16E78"/>
    <w:rsid w:val="00D1788F"/>
    <w:rsid w:val="00D17C4D"/>
    <w:rsid w:val="00D20386"/>
    <w:rsid w:val="00D2056A"/>
    <w:rsid w:val="00D21FE8"/>
    <w:rsid w:val="00D220D7"/>
    <w:rsid w:val="00D22495"/>
    <w:rsid w:val="00D22BD1"/>
    <w:rsid w:val="00D23862"/>
    <w:rsid w:val="00D24555"/>
    <w:rsid w:val="00D25F65"/>
    <w:rsid w:val="00D2612C"/>
    <w:rsid w:val="00D30BA5"/>
    <w:rsid w:val="00D31706"/>
    <w:rsid w:val="00D327A0"/>
    <w:rsid w:val="00D328C6"/>
    <w:rsid w:val="00D33792"/>
    <w:rsid w:val="00D34113"/>
    <w:rsid w:val="00D3489F"/>
    <w:rsid w:val="00D34D1A"/>
    <w:rsid w:val="00D35607"/>
    <w:rsid w:val="00D3616D"/>
    <w:rsid w:val="00D36862"/>
    <w:rsid w:val="00D36B75"/>
    <w:rsid w:val="00D37C65"/>
    <w:rsid w:val="00D42F4A"/>
    <w:rsid w:val="00D43A28"/>
    <w:rsid w:val="00D43F77"/>
    <w:rsid w:val="00D44187"/>
    <w:rsid w:val="00D4564D"/>
    <w:rsid w:val="00D457C4"/>
    <w:rsid w:val="00D45AB8"/>
    <w:rsid w:val="00D474C0"/>
    <w:rsid w:val="00D4760A"/>
    <w:rsid w:val="00D47BD6"/>
    <w:rsid w:val="00D507C7"/>
    <w:rsid w:val="00D50B30"/>
    <w:rsid w:val="00D51B2F"/>
    <w:rsid w:val="00D5219F"/>
    <w:rsid w:val="00D52515"/>
    <w:rsid w:val="00D52F87"/>
    <w:rsid w:val="00D54687"/>
    <w:rsid w:val="00D552BB"/>
    <w:rsid w:val="00D569FD"/>
    <w:rsid w:val="00D575D1"/>
    <w:rsid w:val="00D57EDA"/>
    <w:rsid w:val="00D60B47"/>
    <w:rsid w:val="00D621BD"/>
    <w:rsid w:val="00D63D04"/>
    <w:rsid w:val="00D641CC"/>
    <w:rsid w:val="00D64622"/>
    <w:rsid w:val="00D646D2"/>
    <w:rsid w:val="00D6478D"/>
    <w:rsid w:val="00D6520D"/>
    <w:rsid w:val="00D65B59"/>
    <w:rsid w:val="00D66BDD"/>
    <w:rsid w:val="00D67525"/>
    <w:rsid w:val="00D67FB2"/>
    <w:rsid w:val="00D70C29"/>
    <w:rsid w:val="00D70E11"/>
    <w:rsid w:val="00D70E51"/>
    <w:rsid w:val="00D71875"/>
    <w:rsid w:val="00D71DFC"/>
    <w:rsid w:val="00D73109"/>
    <w:rsid w:val="00D7316B"/>
    <w:rsid w:val="00D73F7F"/>
    <w:rsid w:val="00D7406D"/>
    <w:rsid w:val="00D751FC"/>
    <w:rsid w:val="00D7532A"/>
    <w:rsid w:val="00D7628C"/>
    <w:rsid w:val="00D767AF"/>
    <w:rsid w:val="00D77148"/>
    <w:rsid w:val="00D8282B"/>
    <w:rsid w:val="00D82A1F"/>
    <w:rsid w:val="00D83D05"/>
    <w:rsid w:val="00D8438C"/>
    <w:rsid w:val="00D84B39"/>
    <w:rsid w:val="00D86BD3"/>
    <w:rsid w:val="00D86E55"/>
    <w:rsid w:val="00D87D3E"/>
    <w:rsid w:val="00D9003E"/>
    <w:rsid w:val="00D901D7"/>
    <w:rsid w:val="00D9027B"/>
    <w:rsid w:val="00D904A1"/>
    <w:rsid w:val="00D91742"/>
    <w:rsid w:val="00D91DEE"/>
    <w:rsid w:val="00D92014"/>
    <w:rsid w:val="00D9462B"/>
    <w:rsid w:val="00D95B79"/>
    <w:rsid w:val="00D9755F"/>
    <w:rsid w:val="00DA0A87"/>
    <w:rsid w:val="00DA15BC"/>
    <w:rsid w:val="00DA2194"/>
    <w:rsid w:val="00DA35EE"/>
    <w:rsid w:val="00DA4198"/>
    <w:rsid w:val="00DA4DDB"/>
    <w:rsid w:val="00DA565B"/>
    <w:rsid w:val="00DA56BF"/>
    <w:rsid w:val="00DA7B19"/>
    <w:rsid w:val="00DB024B"/>
    <w:rsid w:val="00DB053A"/>
    <w:rsid w:val="00DB082D"/>
    <w:rsid w:val="00DB23F4"/>
    <w:rsid w:val="00DB30D6"/>
    <w:rsid w:val="00DB30F8"/>
    <w:rsid w:val="00DB37C4"/>
    <w:rsid w:val="00DB4ECD"/>
    <w:rsid w:val="00DB6086"/>
    <w:rsid w:val="00DB78BB"/>
    <w:rsid w:val="00DB7D80"/>
    <w:rsid w:val="00DB7FA6"/>
    <w:rsid w:val="00DC13C2"/>
    <w:rsid w:val="00DC1B67"/>
    <w:rsid w:val="00DC1F0F"/>
    <w:rsid w:val="00DC23C0"/>
    <w:rsid w:val="00DC2C36"/>
    <w:rsid w:val="00DC3136"/>
    <w:rsid w:val="00DC3191"/>
    <w:rsid w:val="00DC3252"/>
    <w:rsid w:val="00DC337E"/>
    <w:rsid w:val="00DC39C7"/>
    <w:rsid w:val="00DC4327"/>
    <w:rsid w:val="00DC6515"/>
    <w:rsid w:val="00DC6C01"/>
    <w:rsid w:val="00DC6C46"/>
    <w:rsid w:val="00DC7799"/>
    <w:rsid w:val="00DD0F99"/>
    <w:rsid w:val="00DD156A"/>
    <w:rsid w:val="00DD15EC"/>
    <w:rsid w:val="00DD3174"/>
    <w:rsid w:val="00DD32B2"/>
    <w:rsid w:val="00DD3D7B"/>
    <w:rsid w:val="00DD453D"/>
    <w:rsid w:val="00DD4AE6"/>
    <w:rsid w:val="00DD4E99"/>
    <w:rsid w:val="00DD4FE7"/>
    <w:rsid w:val="00DD5156"/>
    <w:rsid w:val="00DD5EB2"/>
    <w:rsid w:val="00DD6182"/>
    <w:rsid w:val="00DD62C3"/>
    <w:rsid w:val="00DD7094"/>
    <w:rsid w:val="00DE08B4"/>
    <w:rsid w:val="00DE0FA7"/>
    <w:rsid w:val="00DE183E"/>
    <w:rsid w:val="00DE1B6B"/>
    <w:rsid w:val="00DE2A72"/>
    <w:rsid w:val="00DE2AA1"/>
    <w:rsid w:val="00DE3C50"/>
    <w:rsid w:val="00DE4AC6"/>
    <w:rsid w:val="00DE4EF6"/>
    <w:rsid w:val="00DE5F08"/>
    <w:rsid w:val="00DE7070"/>
    <w:rsid w:val="00DE715D"/>
    <w:rsid w:val="00DE7BD5"/>
    <w:rsid w:val="00DE7C44"/>
    <w:rsid w:val="00DF208D"/>
    <w:rsid w:val="00DF2585"/>
    <w:rsid w:val="00DF295A"/>
    <w:rsid w:val="00DF2A59"/>
    <w:rsid w:val="00DF2C6A"/>
    <w:rsid w:val="00DF2EE1"/>
    <w:rsid w:val="00DF36D8"/>
    <w:rsid w:val="00DF3B2D"/>
    <w:rsid w:val="00DF5207"/>
    <w:rsid w:val="00DF5BBE"/>
    <w:rsid w:val="00DF5BD7"/>
    <w:rsid w:val="00DF60D0"/>
    <w:rsid w:val="00DF6293"/>
    <w:rsid w:val="00DF647D"/>
    <w:rsid w:val="00E0019D"/>
    <w:rsid w:val="00E004AE"/>
    <w:rsid w:val="00E00BBE"/>
    <w:rsid w:val="00E01583"/>
    <w:rsid w:val="00E0183D"/>
    <w:rsid w:val="00E01A67"/>
    <w:rsid w:val="00E01AE4"/>
    <w:rsid w:val="00E02090"/>
    <w:rsid w:val="00E02570"/>
    <w:rsid w:val="00E02A8D"/>
    <w:rsid w:val="00E03C22"/>
    <w:rsid w:val="00E03F9E"/>
    <w:rsid w:val="00E06602"/>
    <w:rsid w:val="00E07B54"/>
    <w:rsid w:val="00E107A6"/>
    <w:rsid w:val="00E1221A"/>
    <w:rsid w:val="00E1243F"/>
    <w:rsid w:val="00E12A5E"/>
    <w:rsid w:val="00E13550"/>
    <w:rsid w:val="00E1370C"/>
    <w:rsid w:val="00E13FED"/>
    <w:rsid w:val="00E14241"/>
    <w:rsid w:val="00E14872"/>
    <w:rsid w:val="00E149F4"/>
    <w:rsid w:val="00E14A44"/>
    <w:rsid w:val="00E14FDA"/>
    <w:rsid w:val="00E15F96"/>
    <w:rsid w:val="00E1600B"/>
    <w:rsid w:val="00E165BE"/>
    <w:rsid w:val="00E1681B"/>
    <w:rsid w:val="00E16CD7"/>
    <w:rsid w:val="00E16F89"/>
    <w:rsid w:val="00E20981"/>
    <w:rsid w:val="00E218DD"/>
    <w:rsid w:val="00E21EEC"/>
    <w:rsid w:val="00E221EE"/>
    <w:rsid w:val="00E225F4"/>
    <w:rsid w:val="00E22618"/>
    <w:rsid w:val="00E23463"/>
    <w:rsid w:val="00E236EB"/>
    <w:rsid w:val="00E23ADA"/>
    <w:rsid w:val="00E2479A"/>
    <w:rsid w:val="00E2496B"/>
    <w:rsid w:val="00E253E5"/>
    <w:rsid w:val="00E25BA8"/>
    <w:rsid w:val="00E266DA"/>
    <w:rsid w:val="00E2683C"/>
    <w:rsid w:val="00E27906"/>
    <w:rsid w:val="00E30B90"/>
    <w:rsid w:val="00E30D02"/>
    <w:rsid w:val="00E333DF"/>
    <w:rsid w:val="00E337D5"/>
    <w:rsid w:val="00E35FFA"/>
    <w:rsid w:val="00E36CCD"/>
    <w:rsid w:val="00E3778A"/>
    <w:rsid w:val="00E37A1B"/>
    <w:rsid w:val="00E37E85"/>
    <w:rsid w:val="00E40430"/>
    <w:rsid w:val="00E41321"/>
    <w:rsid w:val="00E42153"/>
    <w:rsid w:val="00E44340"/>
    <w:rsid w:val="00E44555"/>
    <w:rsid w:val="00E44B75"/>
    <w:rsid w:val="00E44CD2"/>
    <w:rsid w:val="00E4530A"/>
    <w:rsid w:val="00E45D63"/>
    <w:rsid w:val="00E46850"/>
    <w:rsid w:val="00E47163"/>
    <w:rsid w:val="00E4790E"/>
    <w:rsid w:val="00E50DF3"/>
    <w:rsid w:val="00E51DD3"/>
    <w:rsid w:val="00E53C6B"/>
    <w:rsid w:val="00E54AE9"/>
    <w:rsid w:val="00E568E2"/>
    <w:rsid w:val="00E61DBC"/>
    <w:rsid w:val="00E61E9B"/>
    <w:rsid w:val="00E62028"/>
    <w:rsid w:val="00E635D2"/>
    <w:rsid w:val="00E63B6A"/>
    <w:rsid w:val="00E646EE"/>
    <w:rsid w:val="00E64E73"/>
    <w:rsid w:val="00E6597E"/>
    <w:rsid w:val="00E66418"/>
    <w:rsid w:val="00E70CA3"/>
    <w:rsid w:val="00E70D44"/>
    <w:rsid w:val="00E711A2"/>
    <w:rsid w:val="00E721F4"/>
    <w:rsid w:val="00E7258F"/>
    <w:rsid w:val="00E7386B"/>
    <w:rsid w:val="00E74048"/>
    <w:rsid w:val="00E749AE"/>
    <w:rsid w:val="00E74E0F"/>
    <w:rsid w:val="00E76A9F"/>
    <w:rsid w:val="00E76D23"/>
    <w:rsid w:val="00E777AA"/>
    <w:rsid w:val="00E778BB"/>
    <w:rsid w:val="00E778C4"/>
    <w:rsid w:val="00E77BDD"/>
    <w:rsid w:val="00E77FBF"/>
    <w:rsid w:val="00E800B4"/>
    <w:rsid w:val="00E800EF"/>
    <w:rsid w:val="00E8140D"/>
    <w:rsid w:val="00E832CD"/>
    <w:rsid w:val="00E838E3"/>
    <w:rsid w:val="00E84517"/>
    <w:rsid w:val="00E855F7"/>
    <w:rsid w:val="00E863EA"/>
    <w:rsid w:val="00E878AA"/>
    <w:rsid w:val="00E91FFC"/>
    <w:rsid w:val="00E94C5C"/>
    <w:rsid w:val="00E94E1A"/>
    <w:rsid w:val="00E956CE"/>
    <w:rsid w:val="00E95C3B"/>
    <w:rsid w:val="00E960D6"/>
    <w:rsid w:val="00E9690C"/>
    <w:rsid w:val="00E96954"/>
    <w:rsid w:val="00E969B6"/>
    <w:rsid w:val="00E96DCA"/>
    <w:rsid w:val="00E96E8C"/>
    <w:rsid w:val="00EA0DA3"/>
    <w:rsid w:val="00EA1227"/>
    <w:rsid w:val="00EA1AC0"/>
    <w:rsid w:val="00EA3287"/>
    <w:rsid w:val="00EA588C"/>
    <w:rsid w:val="00EA5A4A"/>
    <w:rsid w:val="00EA5AB7"/>
    <w:rsid w:val="00EA6B96"/>
    <w:rsid w:val="00EB059E"/>
    <w:rsid w:val="00EB0EE3"/>
    <w:rsid w:val="00EB32FD"/>
    <w:rsid w:val="00EB3ADE"/>
    <w:rsid w:val="00EB50D5"/>
    <w:rsid w:val="00EB54A3"/>
    <w:rsid w:val="00EB66EF"/>
    <w:rsid w:val="00EB7156"/>
    <w:rsid w:val="00EC10B4"/>
    <w:rsid w:val="00EC1902"/>
    <w:rsid w:val="00EC1A2E"/>
    <w:rsid w:val="00EC1AB0"/>
    <w:rsid w:val="00EC2217"/>
    <w:rsid w:val="00EC32B8"/>
    <w:rsid w:val="00EC36F4"/>
    <w:rsid w:val="00EC3C71"/>
    <w:rsid w:val="00EC4701"/>
    <w:rsid w:val="00EC4A79"/>
    <w:rsid w:val="00EC60FA"/>
    <w:rsid w:val="00EC6FB5"/>
    <w:rsid w:val="00EC7A72"/>
    <w:rsid w:val="00ED186C"/>
    <w:rsid w:val="00ED1C49"/>
    <w:rsid w:val="00ED1F08"/>
    <w:rsid w:val="00ED2067"/>
    <w:rsid w:val="00ED2D71"/>
    <w:rsid w:val="00ED2D7A"/>
    <w:rsid w:val="00ED47C6"/>
    <w:rsid w:val="00ED47DC"/>
    <w:rsid w:val="00ED4CAF"/>
    <w:rsid w:val="00ED6460"/>
    <w:rsid w:val="00ED7714"/>
    <w:rsid w:val="00EE02EB"/>
    <w:rsid w:val="00EE0CAC"/>
    <w:rsid w:val="00EE1D5D"/>
    <w:rsid w:val="00EE21B0"/>
    <w:rsid w:val="00EE5BCE"/>
    <w:rsid w:val="00EE606B"/>
    <w:rsid w:val="00EE66FE"/>
    <w:rsid w:val="00EE69DF"/>
    <w:rsid w:val="00EE788C"/>
    <w:rsid w:val="00EE7B3B"/>
    <w:rsid w:val="00EF0898"/>
    <w:rsid w:val="00EF24D9"/>
    <w:rsid w:val="00EF287C"/>
    <w:rsid w:val="00EF311A"/>
    <w:rsid w:val="00EF338B"/>
    <w:rsid w:val="00EF377B"/>
    <w:rsid w:val="00EF40F4"/>
    <w:rsid w:val="00EF42D0"/>
    <w:rsid w:val="00EF453D"/>
    <w:rsid w:val="00EF4FF8"/>
    <w:rsid w:val="00EF64C4"/>
    <w:rsid w:val="00EF6A54"/>
    <w:rsid w:val="00EF7246"/>
    <w:rsid w:val="00F01454"/>
    <w:rsid w:val="00F01D9C"/>
    <w:rsid w:val="00F03A69"/>
    <w:rsid w:val="00F066EC"/>
    <w:rsid w:val="00F06ED7"/>
    <w:rsid w:val="00F077FB"/>
    <w:rsid w:val="00F106CF"/>
    <w:rsid w:val="00F10DF6"/>
    <w:rsid w:val="00F120A1"/>
    <w:rsid w:val="00F125D3"/>
    <w:rsid w:val="00F13D2E"/>
    <w:rsid w:val="00F162B2"/>
    <w:rsid w:val="00F17D86"/>
    <w:rsid w:val="00F202F0"/>
    <w:rsid w:val="00F241D3"/>
    <w:rsid w:val="00F242DF"/>
    <w:rsid w:val="00F24F53"/>
    <w:rsid w:val="00F26C66"/>
    <w:rsid w:val="00F26CD9"/>
    <w:rsid w:val="00F27664"/>
    <w:rsid w:val="00F27761"/>
    <w:rsid w:val="00F279B7"/>
    <w:rsid w:val="00F313C4"/>
    <w:rsid w:val="00F31F7E"/>
    <w:rsid w:val="00F3234B"/>
    <w:rsid w:val="00F32BB0"/>
    <w:rsid w:val="00F32C94"/>
    <w:rsid w:val="00F32E9D"/>
    <w:rsid w:val="00F34C18"/>
    <w:rsid w:val="00F34E0C"/>
    <w:rsid w:val="00F3590D"/>
    <w:rsid w:val="00F35E0C"/>
    <w:rsid w:val="00F36230"/>
    <w:rsid w:val="00F37D5A"/>
    <w:rsid w:val="00F40850"/>
    <w:rsid w:val="00F41949"/>
    <w:rsid w:val="00F41A48"/>
    <w:rsid w:val="00F41B55"/>
    <w:rsid w:val="00F41F4C"/>
    <w:rsid w:val="00F42C61"/>
    <w:rsid w:val="00F42F35"/>
    <w:rsid w:val="00F43922"/>
    <w:rsid w:val="00F443B0"/>
    <w:rsid w:val="00F44EB1"/>
    <w:rsid w:val="00F45376"/>
    <w:rsid w:val="00F47281"/>
    <w:rsid w:val="00F50128"/>
    <w:rsid w:val="00F52EA7"/>
    <w:rsid w:val="00F52F11"/>
    <w:rsid w:val="00F52FAF"/>
    <w:rsid w:val="00F5498A"/>
    <w:rsid w:val="00F55522"/>
    <w:rsid w:val="00F5568D"/>
    <w:rsid w:val="00F56608"/>
    <w:rsid w:val="00F56903"/>
    <w:rsid w:val="00F56DA3"/>
    <w:rsid w:val="00F5726F"/>
    <w:rsid w:val="00F578CE"/>
    <w:rsid w:val="00F57B67"/>
    <w:rsid w:val="00F611AC"/>
    <w:rsid w:val="00F62629"/>
    <w:rsid w:val="00F626FA"/>
    <w:rsid w:val="00F62712"/>
    <w:rsid w:val="00F62EBA"/>
    <w:rsid w:val="00F63B25"/>
    <w:rsid w:val="00F6490A"/>
    <w:rsid w:val="00F65F01"/>
    <w:rsid w:val="00F66072"/>
    <w:rsid w:val="00F712FF"/>
    <w:rsid w:val="00F715DF"/>
    <w:rsid w:val="00F722CE"/>
    <w:rsid w:val="00F72D30"/>
    <w:rsid w:val="00F72E36"/>
    <w:rsid w:val="00F73042"/>
    <w:rsid w:val="00F73F7E"/>
    <w:rsid w:val="00F745E5"/>
    <w:rsid w:val="00F7498F"/>
    <w:rsid w:val="00F75FC1"/>
    <w:rsid w:val="00F77587"/>
    <w:rsid w:val="00F776D2"/>
    <w:rsid w:val="00F80916"/>
    <w:rsid w:val="00F81F8F"/>
    <w:rsid w:val="00F8200F"/>
    <w:rsid w:val="00F824F3"/>
    <w:rsid w:val="00F8285A"/>
    <w:rsid w:val="00F83515"/>
    <w:rsid w:val="00F85A6D"/>
    <w:rsid w:val="00F85BDA"/>
    <w:rsid w:val="00F860A9"/>
    <w:rsid w:val="00F876D9"/>
    <w:rsid w:val="00F90CF5"/>
    <w:rsid w:val="00F90E2B"/>
    <w:rsid w:val="00F9124F"/>
    <w:rsid w:val="00F915A5"/>
    <w:rsid w:val="00F91CAC"/>
    <w:rsid w:val="00F925D3"/>
    <w:rsid w:val="00F928E9"/>
    <w:rsid w:val="00F928F0"/>
    <w:rsid w:val="00F92F38"/>
    <w:rsid w:val="00F931C1"/>
    <w:rsid w:val="00F93984"/>
    <w:rsid w:val="00F93BC3"/>
    <w:rsid w:val="00F94C0D"/>
    <w:rsid w:val="00F94DF5"/>
    <w:rsid w:val="00F96356"/>
    <w:rsid w:val="00F96FEC"/>
    <w:rsid w:val="00F970AD"/>
    <w:rsid w:val="00FA0BB1"/>
    <w:rsid w:val="00FA44A6"/>
    <w:rsid w:val="00FA623A"/>
    <w:rsid w:val="00FA6EA2"/>
    <w:rsid w:val="00FB07A8"/>
    <w:rsid w:val="00FB10BB"/>
    <w:rsid w:val="00FB1C87"/>
    <w:rsid w:val="00FB26DA"/>
    <w:rsid w:val="00FB319B"/>
    <w:rsid w:val="00FB32E1"/>
    <w:rsid w:val="00FB392C"/>
    <w:rsid w:val="00FB3D69"/>
    <w:rsid w:val="00FB58BC"/>
    <w:rsid w:val="00FB6109"/>
    <w:rsid w:val="00FB7BE3"/>
    <w:rsid w:val="00FC0C49"/>
    <w:rsid w:val="00FC174D"/>
    <w:rsid w:val="00FC17F6"/>
    <w:rsid w:val="00FC1F7B"/>
    <w:rsid w:val="00FC49C8"/>
    <w:rsid w:val="00FC54B9"/>
    <w:rsid w:val="00FC7E05"/>
    <w:rsid w:val="00FD1220"/>
    <w:rsid w:val="00FD1DB6"/>
    <w:rsid w:val="00FD1E39"/>
    <w:rsid w:val="00FD1E54"/>
    <w:rsid w:val="00FD1FF3"/>
    <w:rsid w:val="00FD2233"/>
    <w:rsid w:val="00FD33C4"/>
    <w:rsid w:val="00FD3686"/>
    <w:rsid w:val="00FD4A56"/>
    <w:rsid w:val="00FD5CB7"/>
    <w:rsid w:val="00FD5D9B"/>
    <w:rsid w:val="00FD62CD"/>
    <w:rsid w:val="00FD64B3"/>
    <w:rsid w:val="00FD6937"/>
    <w:rsid w:val="00FD7E77"/>
    <w:rsid w:val="00FE09C6"/>
    <w:rsid w:val="00FE14D3"/>
    <w:rsid w:val="00FE3955"/>
    <w:rsid w:val="00FE3B6D"/>
    <w:rsid w:val="00FE4B3E"/>
    <w:rsid w:val="00FE4EDB"/>
    <w:rsid w:val="00FE4EDF"/>
    <w:rsid w:val="00FE5198"/>
    <w:rsid w:val="00FE6368"/>
    <w:rsid w:val="00FE63AE"/>
    <w:rsid w:val="00FE7564"/>
    <w:rsid w:val="00FE7CBD"/>
    <w:rsid w:val="00FF08A8"/>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rsid w:val="0067509B"/>
    <w:rPr>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uiPriority w:val="99"/>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aliases w:val="2,Strip,H&amp;P List Paragraph"/>
    <w:basedOn w:val="Normal"/>
    <w:link w:val="ListParagraphChar"/>
    <w:uiPriority w:val="34"/>
    <w:qFormat/>
    <w:rsid w:val="00432B1F"/>
    <w:pPr>
      <w:ind w:left="720"/>
    </w:pPr>
  </w:style>
  <w:style w:type="table" w:styleId="TableGrid">
    <w:name w:val="Table Grid"/>
    <w:basedOn w:val="TableNormal"/>
    <w:rsid w:val="00A3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ListParagraphChar">
    <w:name w:val="List Paragraph Char"/>
    <w:aliases w:val="2 Char,Strip Char,H&amp;P List Paragraph Char"/>
    <w:link w:val="ListParagraph"/>
    <w:uiPriority w:val="34"/>
    <w:rsid w:val="00072B7C"/>
    <w:rPr>
      <w:sz w:val="24"/>
      <w:szCs w:val="24"/>
    </w:rPr>
  </w:style>
  <w:style w:type="paragraph" w:styleId="Revision">
    <w:name w:val="Revision"/>
    <w:hidden/>
    <w:uiPriority w:val="99"/>
    <w:semiHidden/>
    <w:rsid w:val="008B1FBD"/>
    <w:rPr>
      <w:sz w:val="24"/>
      <w:szCs w:val="24"/>
    </w:rPr>
  </w:style>
  <w:style w:type="character" w:customStyle="1" w:styleId="PlainTextChar">
    <w:name w:val="Plain Text Char"/>
    <w:basedOn w:val="DefaultParagraphFont"/>
    <w:link w:val="PlainText"/>
    <w:uiPriority w:val="99"/>
    <w:rsid w:val="00C3009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50876897">
      <w:bodyDiv w:val="1"/>
      <w:marLeft w:val="0"/>
      <w:marRight w:val="0"/>
      <w:marTop w:val="0"/>
      <w:marBottom w:val="0"/>
      <w:divBdr>
        <w:top w:val="none" w:sz="0" w:space="0" w:color="auto"/>
        <w:left w:val="none" w:sz="0" w:space="0" w:color="auto"/>
        <w:bottom w:val="none" w:sz="0" w:space="0" w:color="auto"/>
        <w:right w:val="none" w:sz="0" w:space="0" w:color="auto"/>
      </w:divBdr>
      <w:divsChild>
        <w:div w:id="1463380747">
          <w:marLeft w:val="0"/>
          <w:marRight w:val="0"/>
          <w:marTop w:val="480"/>
          <w:marBottom w:val="240"/>
          <w:divBdr>
            <w:top w:val="none" w:sz="0" w:space="0" w:color="auto"/>
            <w:left w:val="none" w:sz="0" w:space="0" w:color="auto"/>
            <w:bottom w:val="none" w:sz="0" w:space="0" w:color="auto"/>
            <w:right w:val="none" w:sz="0" w:space="0" w:color="auto"/>
          </w:divBdr>
        </w:div>
        <w:div w:id="1072585107">
          <w:marLeft w:val="0"/>
          <w:marRight w:val="0"/>
          <w:marTop w:val="0"/>
          <w:marBottom w:val="567"/>
          <w:divBdr>
            <w:top w:val="none" w:sz="0" w:space="0" w:color="auto"/>
            <w:left w:val="none" w:sz="0" w:space="0" w:color="auto"/>
            <w:bottom w:val="none" w:sz="0" w:space="0" w:color="auto"/>
            <w:right w:val="none" w:sz="0" w:space="0" w:color="auto"/>
          </w:divBdr>
        </w:div>
      </w:divsChild>
    </w:div>
    <w:div w:id="151795741">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257715608">
      <w:bodyDiv w:val="1"/>
      <w:marLeft w:val="0"/>
      <w:marRight w:val="0"/>
      <w:marTop w:val="0"/>
      <w:marBottom w:val="0"/>
      <w:divBdr>
        <w:top w:val="none" w:sz="0" w:space="0" w:color="auto"/>
        <w:left w:val="none" w:sz="0" w:space="0" w:color="auto"/>
        <w:bottom w:val="none" w:sz="0" w:space="0" w:color="auto"/>
        <w:right w:val="none" w:sz="0" w:space="0" w:color="auto"/>
      </w:divBdr>
    </w:div>
    <w:div w:id="263806257">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373776948">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25414358">
      <w:bodyDiv w:val="1"/>
      <w:marLeft w:val="0"/>
      <w:marRight w:val="0"/>
      <w:marTop w:val="0"/>
      <w:marBottom w:val="0"/>
      <w:divBdr>
        <w:top w:val="none" w:sz="0" w:space="0" w:color="auto"/>
        <w:left w:val="none" w:sz="0" w:space="0" w:color="auto"/>
        <w:bottom w:val="none" w:sz="0" w:space="0" w:color="auto"/>
        <w:right w:val="none" w:sz="0" w:space="0" w:color="auto"/>
      </w:divBdr>
    </w:div>
    <w:div w:id="59790488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090853833">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162282691">
      <w:bodyDiv w:val="1"/>
      <w:marLeft w:val="0"/>
      <w:marRight w:val="0"/>
      <w:marTop w:val="0"/>
      <w:marBottom w:val="0"/>
      <w:divBdr>
        <w:top w:val="none" w:sz="0" w:space="0" w:color="auto"/>
        <w:left w:val="none" w:sz="0" w:space="0" w:color="auto"/>
        <w:bottom w:val="none" w:sz="0" w:space="0" w:color="auto"/>
        <w:right w:val="none" w:sz="0" w:space="0" w:color="auto"/>
      </w:divBdr>
    </w:div>
    <w:div w:id="1260211957">
      <w:bodyDiv w:val="1"/>
      <w:marLeft w:val="0"/>
      <w:marRight w:val="0"/>
      <w:marTop w:val="0"/>
      <w:marBottom w:val="0"/>
      <w:divBdr>
        <w:top w:val="none" w:sz="0" w:space="0" w:color="auto"/>
        <w:left w:val="none" w:sz="0" w:space="0" w:color="auto"/>
        <w:bottom w:val="none" w:sz="0" w:space="0" w:color="auto"/>
        <w:right w:val="none" w:sz="0" w:space="0" w:color="auto"/>
      </w:divBdr>
    </w:div>
    <w:div w:id="1262840577">
      <w:bodyDiv w:val="1"/>
      <w:marLeft w:val="0"/>
      <w:marRight w:val="0"/>
      <w:marTop w:val="0"/>
      <w:marBottom w:val="0"/>
      <w:divBdr>
        <w:top w:val="none" w:sz="0" w:space="0" w:color="auto"/>
        <w:left w:val="none" w:sz="0" w:space="0" w:color="auto"/>
        <w:bottom w:val="none" w:sz="0" w:space="0" w:color="auto"/>
        <w:right w:val="none" w:sz="0" w:space="0" w:color="auto"/>
      </w:divBdr>
    </w:div>
    <w:div w:id="1332221948">
      <w:bodyDiv w:val="1"/>
      <w:marLeft w:val="0"/>
      <w:marRight w:val="0"/>
      <w:marTop w:val="0"/>
      <w:marBottom w:val="0"/>
      <w:divBdr>
        <w:top w:val="none" w:sz="0" w:space="0" w:color="auto"/>
        <w:left w:val="none" w:sz="0" w:space="0" w:color="auto"/>
        <w:bottom w:val="none" w:sz="0" w:space="0" w:color="auto"/>
        <w:right w:val="none" w:sz="0" w:space="0" w:color="auto"/>
      </w:divBdr>
    </w:div>
    <w:div w:id="1357538214">
      <w:bodyDiv w:val="1"/>
      <w:marLeft w:val="0"/>
      <w:marRight w:val="0"/>
      <w:marTop w:val="0"/>
      <w:marBottom w:val="0"/>
      <w:divBdr>
        <w:top w:val="none" w:sz="0" w:space="0" w:color="auto"/>
        <w:left w:val="none" w:sz="0" w:space="0" w:color="auto"/>
        <w:bottom w:val="none" w:sz="0" w:space="0" w:color="auto"/>
        <w:right w:val="none" w:sz="0" w:space="0" w:color="auto"/>
      </w:divBdr>
    </w:div>
    <w:div w:id="1376740089">
      <w:bodyDiv w:val="1"/>
      <w:marLeft w:val="0"/>
      <w:marRight w:val="0"/>
      <w:marTop w:val="0"/>
      <w:marBottom w:val="0"/>
      <w:divBdr>
        <w:top w:val="none" w:sz="0" w:space="0" w:color="auto"/>
        <w:left w:val="none" w:sz="0" w:space="0" w:color="auto"/>
        <w:bottom w:val="none" w:sz="0" w:space="0" w:color="auto"/>
        <w:right w:val="none" w:sz="0" w:space="0" w:color="auto"/>
      </w:divBdr>
    </w:div>
    <w:div w:id="1389720784">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14005797">
      <w:bodyDiv w:val="1"/>
      <w:marLeft w:val="0"/>
      <w:marRight w:val="0"/>
      <w:marTop w:val="0"/>
      <w:marBottom w:val="0"/>
      <w:divBdr>
        <w:top w:val="none" w:sz="0" w:space="0" w:color="auto"/>
        <w:left w:val="none" w:sz="0" w:space="0" w:color="auto"/>
        <w:bottom w:val="none" w:sz="0" w:space="0" w:color="auto"/>
        <w:right w:val="none" w:sz="0" w:space="0" w:color="auto"/>
      </w:divBdr>
    </w:div>
    <w:div w:id="1477181577">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488593472">
      <w:bodyDiv w:val="1"/>
      <w:marLeft w:val="0"/>
      <w:marRight w:val="0"/>
      <w:marTop w:val="0"/>
      <w:marBottom w:val="0"/>
      <w:divBdr>
        <w:top w:val="none" w:sz="0" w:space="0" w:color="auto"/>
        <w:left w:val="none" w:sz="0" w:space="0" w:color="auto"/>
        <w:bottom w:val="none" w:sz="0" w:space="0" w:color="auto"/>
        <w:right w:val="none" w:sz="0" w:space="0" w:color="auto"/>
      </w:divBdr>
    </w:div>
    <w:div w:id="1501197702">
      <w:bodyDiv w:val="1"/>
      <w:marLeft w:val="0"/>
      <w:marRight w:val="0"/>
      <w:marTop w:val="0"/>
      <w:marBottom w:val="0"/>
      <w:divBdr>
        <w:top w:val="none" w:sz="0" w:space="0" w:color="auto"/>
        <w:left w:val="none" w:sz="0" w:space="0" w:color="auto"/>
        <w:bottom w:val="none" w:sz="0" w:space="0" w:color="auto"/>
        <w:right w:val="none" w:sz="0" w:space="0" w:color="auto"/>
      </w:divBdr>
    </w:div>
    <w:div w:id="1512988392">
      <w:bodyDiv w:val="1"/>
      <w:marLeft w:val="0"/>
      <w:marRight w:val="0"/>
      <w:marTop w:val="0"/>
      <w:marBottom w:val="0"/>
      <w:divBdr>
        <w:top w:val="none" w:sz="0" w:space="0" w:color="auto"/>
        <w:left w:val="none" w:sz="0" w:space="0" w:color="auto"/>
        <w:bottom w:val="none" w:sz="0" w:space="0" w:color="auto"/>
        <w:right w:val="none" w:sz="0" w:space="0" w:color="auto"/>
      </w:divBdr>
      <w:divsChild>
        <w:div w:id="67117175">
          <w:marLeft w:val="0"/>
          <w:marRight w:val="0"/>
          <w:marTop w:val="480"/>
          <w:marBottom w:val="240"/>
          <w:divBdr>
            <w:top w:val="none" w:sz="0" w:space="0" w:color="auto"/>
            <w:left w:val="none" w:sz="0" w:space="0" w:color="auto"/>
            <w:bottom w:val="none" w:sz="0" w:space="0" w:color="auto"/>
            <w:right w:val="none" w:sz="0" w:space="0" w:color="auto"/>
          </w:divBdr>
        </w:div>
        <w:div w:id="193278509">
          <w:marLeft w:val="0"/>
          <w:marRight w:val="0"/>
          <w:marTop w:val="0"/>
          <w:marBottom w:val="567"/>
          <w:divBdr>
            <w:top w:val="none" w:sz="0" w:space="0" w:color="auto"/>
            <w:left w:val="none" w:sz="0" w:space="0" w:color="auto"/>
            <w:bottom w:val="none" w:sz="0" w:space="0" w:color="auto"/>
            <w:right w:val="none" w:sz="0" w:space="0" w:color="auto"/>
          </w:divBdr>
        </w:div>
        <w:div w:id="118229562">
          <w:marLeft w:val="0"/>
          <w:marRight w:val="0"/>
          <w:marTop w:val="0"/>
          <w:marBottom w:val="567"/>
          <w:divBdr>
            <w:top w:val="none" w:sz="0" w:space="0" w:color="auto"/>
            <w:left w:val="none" w:sz="0" w:space="0" w:color="auto"/>
            <w:bottom w:val="none" w:sz="0" w:space="0" w:color="auto"/>
            <w:right w:val="none" w:sz="0" w:space="0" w:color="auto"/>
          </w:divBdr>
        </w:div>
        <w:div w:id="1581522720">
          <w:marLeft w:val="0"/>
          <w:marRight w:val="0"/>
          <w:marTop w:val="400"/>
          <w:marBottom w:val="0"/>
          <w:divBdr>
            <w:top w:val="none" w:sz="0" w:space="0" w:color="auto"/>
            <w:left w:val="none" w:sz="0" w:space="0" w:color="auto"/>
            <w:bottom w:val="none" w:sz="0" w:space="0" w:color="auto"/>
            <w:right w:val="none" w:sz="0" w:space="0" w:color="auto"/>
          </w:divBdr>
        </w:div>
        <w:div w:id="224027153">
          <w:marLeft w:val="0"/>
          <w:marRight w:val="0"/>
          <w:marTop w:val="0"/>
          <w:marBottom w:val="0"/>
          <w:divBdr>
            <w:top w:val="none" w:sz="0" w:space="0" w:color="auto"/>
            <w:left w:val="none" w:sz="0" w:space="0" w:color="auto"/>
            <w:bottom w:val="none" w:sz="0" w:space="0" w:color="auto"/>
            <w:right w:val="none" w:sz="0" w:space="0" w:color="auto"/>
          </w:divBdr>
        </w:div>
      </w:divsChild>
    </w:div>
    <w:div w:id="1547647314">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65141931">
      <w:bodyDiv w:val="1"/>
      <w:marLeft w:val="0"/>
      <w:marRight w:val="0"/>
      <w:marTop w:val="0"/>
      <w:marBottom w:val="0"/>
      <w:divBdr>
        <w:top w:val="none" w:sz="0" w:space="0" w:color="auto"/>
        <w:left w:val="none" w:sz="0" w:space="0" w:color="auto"/>
        <w:bottom w:val="none" w:sz="0" w:space="0" w:color="auto"/>
        <w:right w:val="none" w:sz="0" w:space="0" w:color="auto"/>
      </w:divBdr>
    </w:div>
    <w:div w:id="1579897107">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711757184">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633203">
      <w:bodyDiv w:val="1"/>
      <w:marLeft w:val="0"/>
      <w:marRight w:val="0"/>
      <w:marTop w:val="0"/>
      <w:marBottom w:val="0"/>
      <w:divBdr>
        <w:top w:val="none" w:sz="0" w:space="0" w:color="auto"/>
        <w:left w:val="none" w:sz="0" w:space="0" w:color="auto"/>
        <w:bottom w:val="none" w:sz="0" w:space="0" w:color="auto"/>
        <w:right w:val="none" w:sz="0" w:space="0" w:color="auto"/>
      </w:divBdr>
      <w:divsChild>
        <w:div w:id="1107190627">
          <w:marLeft w:val="0"/>
          <w:marRight w:val="0"/>
          <w:marTop w:val="0"/>
          <w:marBottom w:val="0"/>
          <w:divBdr>
            <w:top w:val="none" w:sz="0" w:space="0" w:color="auto"/>
            <w:left w:val="none" w:sz="0" w:space="0" w:color="auto"/>
            <w:bottom w:val="none" w:sz="0" w:space="0" w:color="auto"/>
            <w:right w:val="none" w:sz="0" w:space="0" w:color="auto"/>
          </w:divBdr>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2324-valsts-informacijas-sistemu-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brink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lat/fondi/kohez/2014_2020/?doc=18634" TargetMode="External"/><Relationship Id="rId4" Type="http://schemas.openxmlformats.org/officeDocument/2006/relationships/settings" Target="settings.xml"/><Relationship Id="rId9" Type="http://schemas.openxmlformats.org/officeDocument/2006/relationships/hyperlink" Target="http://likumi.lv/ta/id/62324-valsts-informacijas-sistemu-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F39FF-1272-4FC2-A250-28216985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16198</Characters>
  <Application>Microsoft Office Word</Application>
  <DocSecurity>0</DocSecurity>
  <Lines>134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VARAM</Company>
  <LinksUpToDate>false</LinksUpToDate>
  <CharactersWithSpaces>18313</CharactersWithSpaces>
  <SharedDoc>false</SharedDoc>
  <HLinks>
    <vt:vector size="12" baseType="variant">
      <vt:variant>
        <vt:i4>4587622</vt:i4>
      </vt:variant>
      <vt:variant>
        <vt:i4>3</vt:i4>
      </vt:variant>
      <vt:variant>
        <vt:i4>0</vt:i4>
      </vt:variant>
      <vt:variant>
        <vt:i4>5</vt:i4>
      </vt:variant>
      <vt:variant>
        <vt:lpwstr>mailto:dana.heiberga@varam.gov.lv</vt:lpwstr>
      </vt:variant>
      <vt:variant>
        <vt:lpwstr/>
      </vt:variant>
      <vt:variant>
        <vt:i4>4522096</vt:i4>
      </vt:variant>
      <vt:variant>
        <vt:i4>0</vt:i4>
      </vt:variant>
      <vt:variant>
        <vt:i4>0</vt:i4>
      </vt:variant>
      <vt:variant>
        <vt:i4>5</vt:i4>
      </vt:variant>
      <vt:variant>
        <vt:lpwstr>mailto:austra.auzina@varam.gov.lv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projekta anotācija</dc:subject>
  <dc:creator>Austra Auzina</dc:creator>
  <cp:lastModifiedBy>larisat</cp:lastModifiedBy>
  <cp:revision>2</cp:revision>
  <cp:lastPrinted>2016-05-02T09:34:00Z</cp:lastPrinted>
  <dcterms:created xsi:type="dcterms:W3CDTF">2016-05-24T06:55:00Z</dcterms:created>
  <dcterms:modified xsi:type="dcterms:W3CDTF">2016-05-24T06:55:00Z</dcterms:modified>
  <cp:contentStatus/>
</cp:coreProperties>
</file>