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07" w:rsidRPr="00E328FA" w:rsidRDefault="0085423A" w:rsidP="00161A0A">
      <w:pPr>
        <w:spacing w:after="0" w:line="240" w:lineRule="auto"/>
        <w:ind w:right="-766"/>
        <w:jc w:val="center"/>
        <w:rPr>
          <w:rFonts w:ascii="Times New Roman" w:eastAsia="Times New Roman" w:hAnsi="Times New Roman"/>
          <w:b/>
          <w:bCs/>
          <w:sz w:val="24"/>
          <w:szCs w:val="24"/>
          <w:lang w:eastAsia="lv-LV"/>
        </w:rPr>
      </w:pPr>
      <w:r w:rsidRPr="00E328FA">
        <w:rPr>
          <w:rFonts w:ascii="Times New Roman" w:eastAsia="Times New Roman" w:hAnsi="Times New Roman"/>
          <w:b/>
          <w:bCs/>
          <w:sz w:val="24"/>
          <w:szCs w:val="24"/>
          <w:lang w:eastAsia="lv-LV"/>
        </w:rPr>
        <w:t>Ministru Kabineta noteikumu projekta</w:t>
      </w:r>
      <w:r w:rsidR="00027707" w:rsidRPr="00E328FA">
        <w:rPr>
          <w:rFonts w:ascii="Times New Roman" w:eastAsia="Times New Roman" w:hAnsi="Times New Roman"/>
          <w:b/>
          <w:bCs/>
          <w:sz w:val="24"/>
          <w:szCs w:val="24"/>
          <w:lang w:eastAsia="lv-LV"/>
        </w:rPr>
        <w:t xml:space="preserve"> </w:t>
      </w:r>
      <w:r w:rsidR="000B5C0A" w:rsidRPr="00E328FA">
        <w:rPr>
          <w:rFonts w:ascii="Times New Roman" w:eastAsia="Times New Roman" w:hAnsi="Times New Roman"/>
          <w:b/>
          <w:bCs/>
          <w:sz w:val="24"/>
          <w:szCs w:val="24"/>
          <w:lang w:eastAsia="lv-LV"/>
        </w:rPr>
        <w:t>„</w:t>
      </w:r>
      <w:r w:rsidR="0051504D" w:rsidRPr="00E328FA">
        <w:rPr>
          <w:rFonts w:ascii="Times New Roman" w:eastAsia="Times New Roman" w:hAnsi="Times New Roman"/>
          <w:b/>
          <w:bCs/>
          <w:sz w:val="24"/>
          <w:szCs w:val="24"/>
          <w:lang w:eastAsia="lv-LV"/>
        </w:rPr>
        <w:t>Grozījumi Ministru kabineta 2015.gada 10.marta noteikumos Nr. 124 “Kārtība, kādā tiek veikta Eiropas Strukturālo un investīciju fondu mērķa "Eiropas teritoriālā sadarbība" programmu finansēto projektu finanšu kontrole</w:t>
      </w:r>
      <w:r w:rsidR="001D59C8" w:rsidRPr="00E328FA">
        <w:rPr>
          <w:rFonts w:ascii="Times New Roman" w:eastAsia="Times New Roman" w:hAnsi="Times New Roman"/>
          <w:b/>
          <w:bCs/>
          <w:sz w:val="24"/>
          <w:szCs w:val="24"/>
          <w:lang w:eastAsia="lv-LV"/>
        </w:rPr>
        <w:t xml:space="preserve">” </w:t>
      </w:r>
      <w:r w:rsidR="00027707" w:rsidRPr="00E328FA">
        <w:rPr>
          <w:rFonts w:ascii="Times New Roman" w:eastAsia="Times New Roman" w:hAnsi="Times New Roman"/>
          <w:b/>
          <w:bCs/>
          <w:sz w:val="24"/>
          <w:szCs w:val="24"/>
          <w:lang w:eastAsia="lv-LV"/>
        </w:rPr>
        <w:t>sākotnējās ietekmes novērtējuma ziņojums (anotācija)</w:t>
      </w:r>
    </w:p>
    <w:p w:rsidR="00151C95" w:rsidRPr="00E328FA" w:rsidRDefault="00151C95" w:rsidP="00161A0A">
      <w:pPr>
        <w:spacing w:after="0" w:line="240" w:lineRule="auto"/>
        <w:ind w:right="-766"/>
        <w:jc w:val="center"/>
        <w:rPr>
          <w:rFonts w:ascii="Times New Roman" w:hAnsi="Times New Roman"/>
          <w:b/>
          <w:sz w:val="24"/>
          <w:szCs w:val="24"/>
        </w:rPr>
      </w:pPr>
    </w:p>
    <w:tbl>
      <w:tblPr>
        <w:tblW w:w="5284" w:type="pct"/>
        <w:tblCellSpacing w:w="15"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921"/>
        <w:gridCol w:w="2481"/>
        <w:gridCol w:w="5534"/>
      </w:tblGrid>
      <w:tr w:rsidR="004314FD" w:rsidRPr="00E328FA" w:rsidTr="00E6171D">
        <w:trPr>
          <w:trHeight w:val="405"/>
          <w:tblCellSpacing w:w="15" w:type="dxa"/>
        </w:trPr>
        <w:tc>
          <w:tcPr>
            <w:tcW w:w="4966" w:type="pct"/>
            <w:gridSpan w:val="3"/>
            <w:vAlign w:val="center"/>
            <w:hideMark/>
          </w:tcPr>
          <w:p w:rsidR="00027707" w:rsidRPr="00E328FA" w:rsidRDefault="00027707" w:rsidP="00161A0A">
            <w:pPr>
              <w:spacing w:after="0" w:line="240" w:lineRule="auto"/>
              <w:jc w:val="center"/>
              <w:rPr>
                <w:rFonts w:ascii="Times New Roman" w:eastAsia="Times New Roman" w:hAnsi="Times New Roman"/>
                <w:b/>
                <w:bCs/>
                <w:sz w:val="24"/>
                <w:szCs w:val="24"/>
                <w:lang w:eastAsia="lv-LV"/>
              </w:rPr>
            </w:pPr>
            <w:r w:rsidRPr="00E328FA">
              <w:rPr>
                <w:rFonts w:ascii="Times New Roman" w:eastAsia="Times New Roman" w:hAnsi="Times New Roman"/>
                <w:b/>
                <w:bCs/>
                <w:sz w:val="24"/>
                <w:szCs w:val="24"/>
                <w:lang w:eastAsia="lv-LV"/>
              </w:rPr>
              <w:t>I. Tiesību akta projekta izstrādes nepieciešamība</w:t>
            </w:r>
          </w:p>
        </w:tc>
      </w:tr>
      <w:tr w:rsidR="004314FD" w:rsidRPr="00E328FA" w:rsidTr="00E6171D">
        <w:trPr>
          <w:trHeight w:val="405"/>
          <w:tblCellSpacing w:w="15" w:type="dxa"/>
        </w:trPr>
        <w:tc>
          <w:tcPr>
            <w:tcW w:w="493" w:type="pct"/>
            <w:hideMark/>
          </w:tcPr>
          <w:p w:rsidR="00027707" w:rsidRPr="00E328FA" w:rsidRDefault="00027707"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1.</w:t>
            </w:r>
          </w:p>
        </w:tc>
        <w:tc>
          <w:tcPr>
            <w:tcW w:w="1381" w:type="pct"/>
            <w:hideMark/>
          </w:tcPr>
          <w:p w:rsidR="00027707" w:rsidRPr="00E328FA" w:rsidRDefault="00027707" w:rsidP="00161A0A">
            <w:pPr>
              <w:spacing w:after="0" w:line="240" w:lineRule="auto"/>
              <w:rPr>
                <w:rFonts w:ascii="Times New Roman" w:hAnsi="Times New Roman"/>
                <w:sz w:val="24"/>
                <w:szCs w:val="24"/>
              </w:rPr>
            </w:pPr>
            <w:r w:rsidRPr="00E328FA">
              <w:rPr>
                <w:rFonts w:ascii="Times New Roman" w:hAnsi="Times New Roman"/>
                <w:sz w:val="24"/>
                <w:szCs w:val="24"/>
              </w:rPr>
              <w:t>Pamatojums</w:t>
            </w:r>
          </w:p>
        </w:tc>
        <w:tc>
          <w:tcPr>
            <w:tcW w:w="3058" w:type="pct"/>
            <w:hideMark/>
          </w:tcPr>
          <w:p w:rsidR="00027707" w:rsidRPr="00E328FA" w:rsidRDefault="00B82A41" w:rsidP="005F44C3">
            <w:pPr>
              <w:spacing w:line="240" w:lineRule="auto"/>
              <w:jc w:val="both"/>
              <w:rPr>
                <w:rFonts w:ascii="Times New Roman" w:hAnsi="Times New Roman"/>
                <w:sz w:val="24"/>
                <w:szCs w:val="24"/>
              </w:rPr>
            </w:pPr>
            <w:r w:rsidRPr="00E328FA">
              <w:rPr>
                <w:rFonts w:ascii="Times New Roman" w:hAnsi="Times New Roman"/>
                <w:sz w:val="24"/>
                <w:szCs w:val="24"/>
              </w:rPr>
              <w:t>Ministru kabineta noteikumu projekts (turpmāk – MK noteikumu projekts) izstrādāts</w:t>
            </w:r>
            <w:r w:rsidR="001F52CF" w:rsidRPr="00E328FA">
              <w:rPr>
                <w:rFonts w:ascii="Times New Roman" w:hAnsi="Times New Roman"/>
                <w:sz w:val="24"/>
                <w:szCs w:val="24"/>
              </w:rPr>
              <w:t>,</w:t>
            </w:r>
            <w:r w:rsidRPr="00E328FA">
              <w:rPr>
                <w:rFonts w:ascii="Times New Roman" w:hAnsi="Times New Roman"/>
                <w:sz w:val="24"/>
                <w:szCs w:val="24"/>
              </w:rPr>
              <w:t xml:space="preserve"> pamatojoties uz </w:t>
            </w:r>
            <w:r w:rsidR="0051504D" w:rsidRPr="00E328FA">
              <w:rPr>
                <w:rFonts w:ascii="Times New Roman" w:hAnsi="Times New Roman"/>
                <w:sz w:val="24"/>
                <w:szCs w:val="24"/>
              </w:rPr>
              <w:t>Eiropas Kaimiņattiecību instrumenta ietvaros īstenojamo Eiropas Strukturālo un investīciju fondu mērķa “Eiropas teritoriālā sadarbība” programmu vadības likuma (turpmāk – E</w:t>
            </w:r>
            <w:r w:rsidR="005F44C3" w:rsidRPr="00E328FA">
              <w:rPr>
                <w:rFonts w:ascii="Times New Roman" w:hAnsi="Times New Roman"/>
                <w:sz w:val="24"/>
                <w:szCs w:val="24"/>
              </w:rPr>
              <w:t xml:space="preserve">KI likums) </w:t>
            </w:r>
            <w:r w:rsidR="0051504D" w:rsidRPr="00E328FA">
              <w:rPr>
                <w:rFonts w:ascii="Times New Roman" w:hAnsi="Times New Roman"/>
                <w:sz w:val="24"/>
                <w:szCs w:val="24"/>
              </w:rPr>
              <w:t>14.panta 5.punktu.</w:t>
            </w:r>
          </w:p>
        </w:tc>
      </w:tr>
      <w:tr w:rsidR="004314FD" w:rsidRPr="00E328FA" w:rsidTr="001B176F">
        <w:trPr>
          <w:trHeight w:val="465"/>
          <w:tblCellSpacing w:w="15" w:type="dxa"/>
        </w:trPr>
        <w:tc>
          <w:tcPr>
            <w:tcW w:w="493" w:type="pct"/>
            <w:hideMark/>
          </w:tcPr>
          <w:p w:rsidR="00027707" w:rsidRPr="00E328FA" w:rsidRDefault="00027707"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2.</w:t>
            </w:r>
          </w:p>
        </w:tc>
        <w:tc>
          <w:tcPr>
            <w:tcW w:w="1381" w:type="pct"/>
            <w:hideMark/>
          </w:tcPr>
          <w:p w:rsidR="00651674"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651674" w:rsidRPr="00E328FA" w:rsidRDefault="00651674" w:rsidP="00651674">
            <w:pPr>
              <w:rPr>
                <w:rFonts w:ascii="Times New Roman" w:eastAsia="Times New Roman" w:hAnsi="Times New Roman"/>
                <w:sz w:val="24"/>
                <w:szCs w:val="24"/>
                <w:lang w:eastAsia="lv-LV"/>
              </w:rPr>
            </w:pPr>
          </w:p>
          <w:p w:rsidR="00651674" w:rsidRPr="00E328FA" w:rsidRDefault="00651674" w:rsidP="00651674">
            <w:pPr>
              <w:rPr>
                <w:rFonts w:ascii="Times New Roman" w:eastAsia="Times New Roman" w:hAnsi="Times New Roman"/>
                <w:sz w:val="24"/>
                <w:szCs w:val="24"/>
                <w:lang w:eastAsia="lv-LV"/>
              </w:rPr>
            </w:pPr>
          </w:p>
          <w:p w:rsidR="00651674" w:rsidRPr="00E328FA" w:rsidRDefault="00651674" w:rsidP="00651674">
            <w:pPr>
              <w:rPr>
                <w:rFonts w:ascii="Times New Roman" w:eastAsia="Times New Roman" w:hAnsi="Times New Roman"/>
                <w:sz w:val="24"/>
                <w:szCs w:val="24"/>
                <w:lang w:eastAsia="lv-LV"/>
              </w:rPr>
            </w:pPr>
          </w:p>
          <w:p w:rsidR="00651674" w:rsidRPr="00E328FA" w:rsidRDefault="00651674" w:rsidP="00651674">
            <w:pPr>
              <w:rPr>
                <w:rFonts w:ascii="Times New Roman" w:eastAsia="Times New Roman" w:hAnsi="Times New Roman"/>
                <w:sz w:val="24"/>
                <w:szCs w:val="24"/>
                <w:lang w:eastAsia="lv-LV"/>
              </w:rPr>
            </w:pPr>
          </w:p>
          <w:p w:rsidR="00651674" w:rsidRPr="00E328FA" w:rsidRDefault="00651674" w:rsidP="00651674">
            <w:pPr>
              <w:rPr>
                <w:rFonts w:ascii="Times New Roman" w:eastAsia="Times New Roman" w:hAnsi="Times New Roman"/>
                <w:sz w:val="24"/>
                <w:szCs w:val="24"/>
                <w:lang w:eastAsia="lv-LV"/>
              </w:rPr>
            </w:pPr>
          </w:p>
          <w:p w:rsidR="00651674" w:rsidRPr="00E328FA" w:rsidRDefault="00651674" w:rsidP="00651674">
            <w:pPr>
              <w:rPr>
                <w:rFonts w:ascii="Times New Roman" w:eastAsia="Times New Roman" w:hAnsi="Times New Roman"/>
                <w:sz w:val="24"/>
                <w:szCs w:val="24"/>
                <w:lang w:eastAsia="lv-LV"/>
              </w:rPr>
            </w:pPr>
          </w:p>
          <w:p w:rsidR="00651674" w:rsidRPr="00E328FA" w:rsidRDefault="00651674" w:rsidP="00651674">
            <w:pPr>
              <w:rPr>
                <w:rFonts w:ascii="Times New Roman" w:eastAsia="Times New Roman" w:hAnsi="Times New Roman"/>
                <w:sz w:val="24"/>
                <w:szCs w:val="24"/>
                <w:lang w:eastAsia="lv-LV"/>
              </w:rPr>
            </w:pPr>
          </w:p>
          <w:p w:rsidR="00651674" w:rsidRPr="00E328FA" w:rsidRDefault="00651674" w:rsidP="00651674">
            <w:pPr>
              <w:rPr>
                <w:rFonts w:ascii="Times New Roman" w:eastAsia="Times New Roman" w:hAnsi="Times New Roman"/>
                <w:sz w:val="24"/>
                <w:szCs w:val="24"/>
                <w:lang w:eastAsia="lv-LV"/>
              </w:rPr>
            </w:pPr>
          </w:p>
          <w:p w:rsidR="00651674" w:rsidRPr="00E328FA" w:rsidRDefault="00651674" w:rsidP="00651674">
            <w:pPr>
              <w:rPr>
                <w:rFonts w:ascii="Times New Roman" w:eastAsia="Times New Roman" w:hAnsi="Times New Roman"/>
                <w:sz w:val="24"/>
                <w:szCs w:val="24"/>
                <w:lang w:eastAsia="lv-LV"/>
              </w:rPr>
            </w:pPr>
          </w:p>
          <w:p w:rsidR="00651674" w:rsidRPr="00E328FA" w:rsidRDefault="00651674" w:rsidP="00651674">
            <w:pPr>
              <w:rPr>
                <w:rFonts w:ascii="Times New Roman" w:eastAsia="Times New Roman" w:hAnsi="Times New Roman"/>
                <w:sz w:val="24"/>
                <w:szCs w:val="24"/>
                <w:lang w:eastAsia="lv-LV"/>
              </w:rPr>
            </w:pPr>
          </w:p>
          <w:p w:rsidR="00651674" w:rsidRPr="00E328FA" w:rsidRDefault="00651674" w:rsidP="00651674">
            <w:pPr>
              <w:rPr>
                <w:rFonts w:ascii="Times New Roman" w:eastAsia="Times New Roman" w:hAnsi="Times New Roman"/>
                <w:sz w:val="24"/>
                <w:szCs w:val="24"/>
                <w:lang w:eastAsia="lv-LV"/>
              </w:rPr>
            </w:pPr>
          </w:p>
          <w:p w:rsidR="00027707" w:rsidRPr="00E328FA" w:rsidRDefault="00027707" w:rsidP="00651674">
            <w:pPr>
              <w:rPr>
                <w:rFonts w:ascii="Times New Roman" w:eastAsia="Times New Roman" w:hAnsi="Times New Roman"/>
                <w:sz w:val="24"/>
                <w:szCs w:val="24"/>
                <w:lang w:eastAsia="lv-LV"/>
              </w:rPr>
            </w:pPr>
          </w:p>
        </w:tc>
        <w:tc>
          <w:tcPr>
            <w:tcW w:w="3058" w:type="pct"/>
            <w:shd w:val="clear" w:color="auto" w:fill="FFFFFF" w:themeFill="background1"/>
            <w:hideMark/>
          </w:tcPr>
          <w:p w:rsidR="00F147CB" w:rsidRPr="00E328FA" w:rsidRDefault="00F478BE" w:rsidP="004A1520">
            <w:pPr>
              <w:spacing w:after="0" w:line="240" w:lineRule="auto"/>
              <w:ind w:left="40" w:right="215"/>
              <w:jc w:val="both"/>
              <w:rPr>
                <w:rFonts w:ascii="Times New Roman" w:hAnsi="Times New Roman"/>
                <w:sz w:val="24"/>
                <w:szCs w:val="24"/>
              </w:rPr>
            </w:pPr>
            <w:r w:rsidRPr="00E328FA">
              <w:rPr>
                <w:rFonts w:ascii="Times New Roman" w:hAnsi="Times New Roman"/>
                <w:sz w:val="24"/>
                <w:szCs w:val="24"/>
              </w:rPr>
              <w:t xml:space="preserve">Saskaņā ar </w:t>
            </w:r>
            <w:r w:rsidR="00F147CB" w:rsidRPr="00E328FA">
              <w:rPr>
                <w:rFonts w:ascii="Times New Roman" w:hAnsi="Times New Roman"/>
                <w:sz w:val="24"/>
                <w:szCs w:val="24"/>
              </w:rPr>
              <w:t>Eiropas Parlamenta un Padomes 2014.gada 18.augusta Regula</w:t>
            </w:r>
            <w:r w:rsidR="007849A5" w:rsidRPr="00E328FA">
              <w:rPr>
                <w:rFonts w:ascii="Times New Roman" w:hAnsi="Times New Roman"/>
                <w:sz w:val="24"/>
                <w:szCs w:val="24"/>
              </w:rPr>
              <w:t>s</w:t>
            </w:r>
            <w:r w:rsidR="00F147CB" w:rsidRPr="00E328FA">
              <w:rPr>
                <w:rFonts w:ascii="Times New Roman" w:hAnsi="Times New Roman"/>
                <w:sz w:val="24"/>
                <w:szCs w:val="24"/>
              </w:rPr>
              <w:t xml:space="preserve"> (ES) Nr.897/2014, ar ko paredz īpašus noteikumus to pārrobežu sadarbības programmu īstenošanai, kuras finansē saskaņā ar Eiropas Parlamenta un Padomes regulu (ES) Nr.232/2014, ar ko izveido Eiropaskaimiņattiecību instrumentu </w:t>
            </w:r>
            <w:r w:rsidR="00B6059E" w:rsidRPr="00E328FA">
              <w:rPr>
                <w:rFonts w:ascii="Times New Roman" w:hAnsi="Times New Roman"/>
                <w:sz w:val="24"/>
                <w:szCs w:val="24"/>
              </w:rPr>
              <w:t xml:space="preserve">(turpmāk – Regula Nr.897/2014) </w:t>
            </w:r>
            <w:r w:rsidR="00525238" w:rsidRPr="00E328FA">
              <w:rPr>
                <w:rFonts w:ascii="Times New Roman" w:hAnsi="Times New Roman"/>
                <w:sz w:val="24"/>
                <w:szCs w:val="24"/>
              </w:rPr>
              <w:t xml:space="preserve">32.panta 1.punktu </w:t>
            </w:r>
            <w:r w:rsidR="005D55BB" w:rsidRPr="00E328FA">
              <w:rPr>
                <w:rFonts w:ascii="Times New Roman" w:hAnsi="Times New Roman"/>
                <w:sz w:val="24"/>
                <w:szCs w:val="24"/>
              </w:rPr>
              <w:t>“</w:t>
            </w:r>
            <w:r w:rsidR="005D55BB" w:rsidRPr="00E328FA">
              <w:rPr>
                <w:rFonts w:ascii="Times New Roman" w:hAnsi="Times New Roman"/>
                <w:i/>
                <w:sz w:val="24"/>
                <w:szCs w:val="24"/>
              </w:rPr>
              <w:t>i</w:t>
            </w:r>
            <w:r w:rsidR="00525238" w:rsidRPr="00E328FA">
              <w:rPr>
                <w:rFonts w:ascii="Times New Roman" w:hAnsi="Times New Roman"/>
                <w:i/>
                <w:sz w:val="24"/>
                <w:szCs w:val="24"/>
              </w:rPr>
              <w:t>zdevumus, ko atbalsta saņēmējs ir deklarējis, pamatojot maksājuma pieteikumu, pārbauda revidents vai kompete</w:t>
            </w:r>
            <w:r w:rsidR="005D55BB" w:rsidRPr="00E328FA">
              <w:rPr>
                <w:rFonts w:ascii="Times New Roman" w:hAnsi="Times New Roman"/>
                <w:i/>
                <w:sz w:val="24"/>
                <w:szCs w:val="24"/>
              </w:rPr>
              <w:t>nta valsts amatpersona</w:t>
            </w:r>
            <w:r w:rsidR="00525238" w:rsidRPr="00E328FA">
              <w:rPr>
                <w:rFonts w:ascii="Times New Roman" w:hAnsi="Times New Roman"/>
                <w:i/>
                <w:sz w:val="24"/>
                <w:szCs w:val="24"/>
              </w:rPr>
              <w:t xml:space="preserve">, kas ir neatkarīga no atbalsta saņēmēja. Revidents vai kompetentā valsts </w:t>
            </w:r>
            <w:r w:rsidR="005D55BB" w:rsidRPr="00E328FA">
              <w:rPr>
                <w:rFonts w:ascii="Times New Roman" w:hAnsi="Times New Roman"/>
                <w:i/>
                <w:sz w:val="24"/>
                <w:szCs w:val="24"/>
              </w:rPr>
              <w:t xml:space="preserve">amatpersona </w:t>
            </w:r>
            <w:r w:rsidR="00525238" w:rsidRPr="00E328FA">
              <w:rPr>
                <w:rFonts w:ascii="Times New Roman" w:hAnsi="Times New Roman"/>
                <w:i/>
                <w:sz w:val="24"/>
                <w:szCs w:val="24"/>
              </w:rPr>
              <w:t>pārbauda, vai atbalsta saņēmēja deklarētās izmaksas un projekta ieņēmumi ir reāli, precīzi reģis</w:t>
            </w:r>
            <w:r w:rsidR="005D55BB" w:rsidRPr="00E328FA">
              <w:rPr>
                <w:rFonts w:ascii="Times New Roman" w:hAnsi="Times New Roman"/>
                <w:i/>
                <w:sz w:val="24"/>
                <w:szCs w:val="24"/>
              </w:rPr>
              <w:t>trēti un attiecināmi saskaņā ar līgumu</w:t>
            </w:r>
            <w:r w:rsidR="00525238" w:rsidRPr="00E328FA">
              <w:rPr>
                <w:rFonts w:ascii="Times New Roman" w:hAnsi="Times New Roman"/>
                <w:sz w:val="24"/>
                <w:szCs w:val="24"/>
              </w:rPr>
              <w:t>.</w:t>
            </w:r>
            <w:r w:rsidR="004A1520" w:rsidRPr="00E328FA">
              <w:rPr>
                <w:rFonts w:ascii="Times New Roman" w:hAnsi="Times New Roman"/>
                <w:sz w:val="24"/>
                <w:szCs w:val="24"/>
              </w:rPr>
              <w:t xml:space="preserve"> </w:t>
            </w:r>
          </w:p>
          <w:p w:rsidR="00F147CB" w:rsidRPr="00E328FA" w:rsidRDefault="00F147CB" w:rsidP="0051504D">
            <w:pPr>
              <w:spacing w:after="0" w:line="240" w:lineRule="auto"/>
              <w:ind w:left="40" w:right="215"/>
              <w:jc w:val="both"/>
              <w:rPr>
                <w:rFonts w:ascii="Times New Roman" w:hAnsi="Times New Roman"/>
                <w:sz w:val="24"/>
                <w:szCs w:val="24"/>
              </w:rPr>
            </w:pPr>
          </w:p>
          <w:p w:rsidR="004A1520" w:rsidRPr="00594F42" w:rsidRDefault="005F44C3" w:rsidP="004A1520">
            <w:pPr>
              <w:spacing w:after="0" w:line="240" w:lineRule="auto"/>
              <w:ind w:left="40" w:right="215"/>
              <w:jc w:val="both"/>
              <w:rPr>
                <w:rFonts w:ascii="Times New Roman" w:eastAsia="Times New Roman" w:hAnsi="Times New Roman"/>
                <w:sz w:val="24"/>
                <w:szCs w:val="24"/>
                <w:lang w:eastAsia="lv-LV"/>
              </w:rPr>
            </w:pPr>
            <w:r w:rsidRPr="00E328FA">
              <w:rPr>
                <w:rFonts w:ascii="Times New Roman" w:hAnsi="Times New Roman"/>
                <w:sz w:val="24"/>
                <w:szCs w:val="24"/>
              </w:rPr>
              <w:t>Saskaņā ar EKI</w:t>
            </w:r>
            <w:r w:rsidR="00904440" w:rsidRPr="00E328FA">
              <w:rPr>
                <w:rFonts w:ascii="Times New Roman" w:hAnsi="Times New Roman"/>
                <w:sz w:val="24"/>
                <w:szCs w:val="24"/>
              </w:rPr>
              <w:t xml:space="preserve"> likuma 7.panta </w:t>
            </w:r>
            <w:r w:rsidR="007849A5" w:rsidRPr="00E328FA">
              <w:rPr>
                <w:rFonts w:ascii="Times New Roman" w:hAnsi="Times New Roman"/>
                <w:sz w:val="24"/>
                <w:szCs w:val="24"/>
              </w:rPr>
              <w:t xml:space="preserve">otrās daļas </w:t>
            </w:r>
            <w:r w:rsidR="003E3B36" w:rsidRPr="00E328FA">
              <w:rPr>
                <w:rFonts w:ascii="Times New Roman" w:hAnsi="Times New Roman"/>
                <w:sz w:val="24"/>
                <w:szCs w:val="24"/>
              </w:rPr>
              <w:t xml:space="preserve"> </w:t>
            </w:r>
            <w:r w:rsidR="00904440" w:rsidRPr="00E328FA">
              <w:rPr>
                <w:rFonts w:ascii="Times New Roman" w:hAnsi="Times New Roman"/>
                <w:sz w:val="24"/>
                <w:szCs w:val="24"/>
              </w:rPr>
              <w:t>10.apakšpunktu</w:t>
            </w:r>
            <w:r w:rsidR="00F478BE" w:rsidRPr="00E328FA">
              <w:rPr>
                <w:rFonts w:ascii="Times New Roman" w:hAnsi="Times New Roman"/>
                <w:sz w:val="24"/>
                <w:szCs w:val="24"/>
              </w:rPr>
              <w:t xml:space="preserve"> </w:t>
            </w:r>
            <w:r w:rsidR="00904440" w:rsidRPr="00E328FA">
              <w:rPr>
                <w:rFonts w:ascii="Times New Roman" w:hAnsi="Times New Roman"/>
                <w:sz w:val="24"/>
                <w:szCs w:val="24"/>
              </w:rPr>
              <w:t xml:space="preserve">Vides </w:t>
            </w:r>
            <w:r w:rsidR="00904440" w:rsidRPr="00594F42">
              <w:rPr>
                <w:rFonts w:ascii="Times New Roman" w:hAnsi="Times New Roman"/>
                <w:sz w:val="24"/>
                <w:szCs w:val="24"/>
              </w:rPr>
              <w:t>aizsardzības un reģionālās attīstības ministrijai</w:t>
            </w:r>
            <w:r w:rsidR="0057731B" w:rsidRPr="00594F42">
              <w:rPr>
                <w:rFonts w:ascii="Times New Roman" w:hAnsi="Times New Roman"/>
                <w:sz w:val="24"/>
                <w:szCs w:val="24"/>
              </w:rPr>
              <w:t xml:space="preserve"> </w:t>
            </w:r>
            <w:r w:rsidR="00B179E9" w:rsidRPr="00594F42">
              <w:rPr>
                <w:rFonts w:ascii="Times New Roman" w:eastAsia="Times New Roman" w:hAnsi="Times New Roman"/>
                <w:sz w:val="24"/>
                <w:szCs w:val="24"/>
                <w:lang w:eastAsia="lv-LV"/>
              </w:rPr>
              <w:t xml:space="preserve">(turpmāk – VARAM) </w:t>
            </w:r>
            <w:r w:rsidR="00904440" w:rsidRPr="00594F42">
              <w:rPr>
                <w:rFonts w:ascii="Times New Roman" w:hAnsi="Times New Roman"/>
                <w:sz w:val="24"/>
                <w:szCs w:val="24"/>
              </w:rPr>
              <w:t>kā Nacionāla</w:t>
            </w:r>
            <w:r w:rsidR="008D183F" w:rsidRPr="00594F42">
              <w:rPr>
                <w:rFonts w:ascii="Times New Roman" w:hAnsi="Times New Roman"/>
                <w:sz w:val="24"/>
                <w:szCs w:val="24"/>
              </w:rPr>
              <w:t>ja</w:t>
            </w:r>
            <w:r w:rsidR="00904440" w:rsidRPr="00594F42">
              <w:rPr>
                <w:rFonts w:ascii="Times New Roman" w:hAnsi="Times New Roman"/>
                <w:sz w:val="24"/>
                <w:szCs w:val="24"/>
              </w:rPr>
              <w:t>i</w:t>
            </w:r>
            <w:r w:rsidR="00F478BE" w:rsidRPr="00594F42">
              <w:rPr>
                <w:rFonts w:ascii="Times New Roman" w:hAnsi="Times New Roman"/>
                <w:sz w:val="24"/>
                <w:szCs w:val="24"/>
              </w:rPr>
              <w:t xml:space="preserve"> atbildīg</w:t>
            </w:r>
            <w:r w:rsidR="009A2F64" w:rsidRPr="00594F42">
              <w:rPr>
                <w:rFonts w:ascii="Times New Roman" w:hAnsi="Times New Roman"/>
                <w:sz w:val="24"/>
                <w:szCs w:val="24"/>
              </w:rPr>
              <w:t>a</w:t>
            </w:r>
            <w:r w:rsidR="008D183F" w:rsidRPr="00594F42">
              <w:rPr>
                <w:rFonts w:ascii="Times New Roman" w:hAnsi="Times New Roman"/>
                <w:sz w:val="24"/>
                <w:szCs w:val="24"/>
              </w:rPr>
              <w:t>ja</w:t>
            </w:r>
            <w:r w:rsidR="009A2F64" w:rsidRPr="00594F42">
              <w:rPr>
                <w:rFonts w:ascii="Times New Roman" w:hAnsi="Times New Roman"/>
                <w:sz w:val="24"/>
                <w:szCs w:val="24"/>
              </w:rPr>
              <w:t>i</w:t>
            </w:r>
            <w:r w:rsidR="00FA6DF4" w:rsidRPr="00594F42">
              <w:rPr>
                <w:rFonts w:ascii="Times New Roman" w:hAnsi="Times New Roman"/>
                <w:sz w:val="24"/>
                <w:szCs w:val="24"/>
              </w:rPr>
              <w:t xml:space="preserve"> </w:t>
            </w:r>
            <w:r w:rsidR="00F478BE" w:rsidRPr="00594F42">
              <w:rPr>
                <w:rFonts w:ascii="Times New Roman" w:hAnsi="Times New Roman"/>
                <w:sz w:val="24"/>
                <w:szCs w:val="24"/>
              </w:rPr>
              <w:t>iestāde</w:t>
            </w:r>
            <w:r w:rsidR="00904440" w:rsidRPr="00594F42">
              <w:rPr>
                <w:rFonts w:ascii="Times New Roman" w:hAnsi="Times New Roman"/>
                <w:sz w:val="24"/>
                <w:szCs w:val="24"/>
              </w:rPr>
              <w:t xml:space="preserve">i </w:t>
            </w:r>
            <w:r w:rsidR="004A1520" w:rsidRPr="00594F42">
              <w:rPr>
                <w:rFonts w:ascii="Times New Roman" w:hAnsi="Times New Roman"/>
                <w:sz w:val="24"/>
                <w:szCs w:val="24"/>
              </w:rPr>
              <w:t>jānosaka</w:t>
            </w:r>
            <w:r w:rsidR="004A1520" w:rsidRPr="00594F42">
              <w:rPr>
                <w:rFonts w:ascii="Times New Roman" w:eastAsia="Times New Roman" w:hAnsi="Times New Roman"/>
                <w:sz w:val="24"/>
                <w:szCs w:val="24"/>
                <w:lang w:eastAsia="lv-LV"/>
              </w:rPr>
              <w:t xml:space="preserve"> </w:t>
            </w:r>
            <w:r w:rsidR="004A1520" w:rsidRPr="00594F42">
              <w:rPr>
                <w:rFonts w:ascii="Times New Roman" w:eastAsia="Times New Roman" w:hAnsi="Times New Roman"/>
                <w:i/>
                <w:sz w:val="24"/>
                <w:szCs w:val="24"/>
                <w:lang w:eastAsia="lv-LV"/>
              </w:rPr>
              <w:t xml:space="preserve">institūcija, kura pilda finanšu kontroles funkcijas un veic izdevumu atbilstības pārbaudi Latvijā reģistrētiem programmas finansējuma saņēmējiem, kā arī </w:t>
            </w:r>
            <w:r w:rsidR="008D183F" w:rsidRPr="00594F42">
              <w:rPr>
                <w:rFonts w:ascii="Times New Roman" w:eastAsia="Times New Roman" w:hAnsi="Times New Roman"/>
                <w:i/>
                <w:sz w:val="24"/>
                <w:szCs w:val="24"/>
                <w:lang w:eastAsia="lv-LV"/>
              </w:rPr>
              <w:t>jānodrošina</w:t>
            </w:r>
            <w:r w:rsidR="004A1520" w:rsidRPr="00594F42">
              <w:rPr>
                <w:rFonts w:ascii="Times New Roman" w:eastAsia="Times New Roman" w:hAnsi="Times New Roman"/>
                <w:i/>
                <w:sz w:val="24"/>
                <w:szCs w:val="24"/>
                <w:lang w:eastAsia="lv-LV"/>
              </w:rPr>
              <w:t xml:space="preserve"> finanšu kontroles metodisko vadību saskaņā ar Regulas Nr. </w:t>
            </w:r>
            <w:hyperlink r:id="rId8" w:tgtFrame="_blank" w:history="1">
              <w:r w:rsidR="004A1520" w:rsidRPr="00594F42">
                <w:rPr>
                  <w:rFonts w:ascii="Times New Roman" w:eastAsia="Times New Roman" w:hAnsi="Times New Roman"/>
                  <w:i/>
                  <w:sz w:val="24"/>
                  <w:szCs w:val="24"/>
                  <w:lang w:eastAsia="lv-LV"/>
                </w:rPr>
                <w:t>897/2014</w:t>
              </w:r>
            </w:hyperlink>
            <w:r w:rsidR="004A1520" w:rsidRPr="00594F42">
              <w:rPr>
                <w:rFonts w:ascii="Times New Roman" w:eastAsia="Times New Roman" w:hAnsi="Times New Roman"/>
                <w:i/>
                <w:sz w:val="24"/>
                <w:szCs w:val="24"/>
                <w:lang w:eastAsia="lv-LV"/>
              </w:rPr>
              <w:t xml:space="preserve"> 20.panta 6.punkta "a" apakšpunktu</w:t>
            </w:r>
            <w:r w:rsidR="004A1520" w:rsidRPr="00594F42">
              <w:rPr>
                <w:rFonts w:ascii="Times New Roman" w:eastAsia="Times New Roman" w:hAnsi="Times New Roman"/>
                <w:sz w:val="24"/>
                <w:szCs w:val="24"/>
                <w:lang w:eastAsia="lv-LV"/>
              </w:rPr>
              <w:t>.</w:t>
            </w:r>
          </w:p>
          <w:p w:rsidR="005D55BB" w:rsidRPr="00594F42" w:rsidRDefault="005D55BB" w:rsidP="004A1520">
            <w:pPr>
              <w:spacing w:after="0" w:line="240" w:lineRule="auto"/>
              <w:ind w:left="40" w:right="215"/>
              <w:jc w:val="both"/>
              <w:rPr>
                <w:rFonts w:ascii="Times New Roman" w:eastAsia="Times New Roman" w:hAnsi="Times New Roman"/>
                <w:sz w:val="24"/>
                <w:szCs w:val="24"/>
                <w:lang w:eastAsia="lv-LV"/>
              </w:rPr>
            </w:pPr>
          </w:p>
          <w:p w:rsidR="004A1520" w:rsidRPr="00594F42" w:rsidRDefault="005F44C3" w:rsidP="004A1520">
            <w:pPr>
              <w:spacing w:after="0" w:line="240" w:lineRule="auto"/>
              <w:ind w:left="40" w:right="215"/>
              <w:jc w:val="both"/>
              <w:rPr>
                <w:rFonts w:ascii="Times New Roman" w:eastAsia="Times New Roman" w:hAnsi="Times New Roman"/>
                <w:sz w:val="24"/>
                <w:szCs w:val="24"/>
                <w:lang w:eastAsia="lv-LV"/>
              </w:rPr>
            </w:pPr>
            <w:r w:rsidRPr="00594F42">
              <w:rPr>
                <w:rFonts w:ascii="Times New Roman" w:hAnsi="Times New Roman"/>
                <w:sz w:val="24"/>
                <w:szCs w:val="24"/>
              </w:rPr>
              <w:t>Saskaņā ar EKI</w:t>
            </w:r>
            <w:r w:rsidR="004A1520" w:rsidRPr="00594F42">
              <w:rPr>
                <w:rFonts w:ascii="Times New Roman" w:hAnsi="Times New Roman"/>
                <w:sz w:val="24"/>
                <w:szCs w:val="24"/>
              </w:rPr>
              <w:t xml:space="preserve"> likuma 7.panta </w:t>
            </w:r>
            <w:r w:rsidR="007849A5" w:rsidRPr="00594F42">
              <w:rPr>
                <w:rFonts w:ascii="Times New Roman" w:hAnsi="Times New Roman"/>
                <w:sz w:val="24"/>
                <w:szCs w:val="24"/>
              </w:rPr>
              <w:t xml:space="preserve">otrās </w:t>
            </w:r>
            <w:r w:rsidR="004A1520" w:rsidRPr="00594F42">
              <w:rPr>
                <w:rFonts w:ascii="Times New Roman" w:hAnsi="Times New Roman"/>
                <w:sz w:val="24"/>
                <w:szCs w:val="24"/>
              </w:rPr>
              <w:t xml:space="preserve">daļas 11.apakšpunktu </w:t>
            </w:r>
            <w:r w:rsidR="005D55BB" w:rsidRPr="00594F42">
              <w:rPr>
                <w:rFonts w:ascii="Times New Roman" w:eastAsia="Times New Roman" w:hAnsi="Times New Roman"/>
                <w:sz w:val="24"/>
                <w:szCs w:val="24"/>
                <w:lang w:eastAsia="lv-LV"/>
              </w:rPr>
              <w:t>VARAM</w:t>
            </w:r>
            <w:r w:rsidR="004A1520" w:rsidRPr="00594F42">
              <w:rPr>
                <w:rFonts w:ascii="Times New Roman" w:eastAsia="Times New Roman" w:hAnsi="Times New Roman"/>
                <w:sz w:val="24"/>
                <w:szCs w:val="24"/>
                <w:lang w:eastAsia="lv-LV"/>
              </w:rPr>
              <w:t xml:space="preserve"> </w:t>
            </w:r>
            <w:r w:rsidR="004A1520" w:rsidRPr="00594F42">
              <w:rPr>
                <w:rFonts w:ascii="Times New Roman" w:hAnsi="Times New Roman"/>
                <w:sz w:val="24"/>
                <w:szCs w:val="24"/>
              </w:rPr>
              <w:t>kā Nacionālai atbildīgai iestādei jānosaka</w:t>
            </w:r>
            <w:r w:rsidR="004A1520" w:rsidRPr="00594F42">
              <w:rPr>
                <w:rFonts w:ascii="Times New Roman" w:eastAsia="Times New Roman" w:hAnsi="Times New Roman"/>
                <w:sz w:val="24"/>
                <w:szCs w:val="24"/>
                <w:lang w:eastAsia="lv-LV"/>
              </w:rPr>
              <w:t xml:space="preserve"> </w:t>
            </w:r>
            <w:r w:rsidR="004A1520" w:rsidRPr="00594F42">
              <w:rPr>
                <w:rFonts w:ascii="Times New Roman" w:eastAsia="Times New Roman" w:hAnsi="Times New Roman"/>
                <w:i/>
                <w:sz w:val="24"/>
                <w:szCs w:val="24"/>
                <w:lang w:eastAsia="lv-LV"/>
              </w:rPr>
              <w:t xml:space="preserve">“kontroles kontaktpunkta funkcijas izpildītāju saskaņā ar Regulas Nr. </w:t>
            </w:r>
            <w:hyperlink r:id="rId9" w:tgtFrame="_blank" w:history="1">
              <w:r w:rsidR="004A1520" w:rsidRPr="00594F42">
                <w:rPr>
                  <w:rFonts w:ascii="Times New Roman" w:eastAsia="Times New Roman" w:hAnsi="Times New Roman"/>
                  <w:i/>
                  <w:sz w:val="24"/>
                  <w:szCs w:val="24"/>
                  <w:lang w:eastAsia="lv-LV"/>
                </w:rPr>
                <w:t>897/2014</w:t>
              </w:r>
            </w:hyperlink>
            <w:r w:rsidR="004A1520" w:rsidRPr="00594F42">
              <w:rPr>
                <w:rFonts w:ascii="Times New Roman" w:eastAsia="Times New Roman" w:hAnsi="Times New Roman"/>
                <w:i/>
                <w:sz w:val="24"/>
                <w:szCs w:val="24"/>
                <w:lang w:eastAsia="lv-LV"/>
              </w:rPr>
              <w:t xml:space="preserve"> 20.panta 6.punkta "b" apakšpunktu”</w:t>
            </w:r>
            <w:r w:rsidR="004A1520" w:rsidRPr="00594F42">
              <w:rPr>
                <w:rFonts w:ascii="Times New Roman" w:eastAsia="Times New Roman" w:hAnsi="Times New Roman"/>
                <w:sz w:val="24"/>
                <w:szCs w:val="24"/>
                <w:lang w:eastAsia="lv-LV"/>
              </w:rPr>
              <w:t>.</w:t>
            </w:r>
          </w:p>
          <w:p w:rsidR="005D55BB" w:rsidRPr="00E328FA" w:rsidRDefault="005D55BB" w:rsidP="004A1520">
            <w:pPr>
              <w:spacing w:after="0" w:line="240" w:lineRule="auto"/>
              <w:ind w:left="40" w:right="215"/>
              <w:jc w:val="both"/>
              <w:rPr>
                <w:rFonts w:ascii="Times New Roman" w:hAnsi="Times New Roman"/>
                <w:sz w:val="24"/>
                <w:szCs w:val="24"/>
              </w:rPr>
            </w:pPr>
          </w:p>
          <w:p w:rsidR="009D1124" w:rsidRPr="00E328FA" w:rsidRDefault="009D1124" w:rsidP="004A1520">
            <w:pPr>
              <w:spacing w:after="0" w:line="240" w:lineRule="auto"/>
              <w:ind w:right="215"/>
              <w:jc w:val="both"/>
              <w:rPr>
                <w:rFonts w:ascii="Times New Roman" w:hAnsi="Times New Roman"/>
                <w:sz w:val="24"/>
                <w:szCs w:val="24"/>
              </w:rPr>
            </w:pPr>
            <w:r w:rsidRPr="00E328FA">
              <w:rPr>
                <w:rFonts w:ascii="Times New Roman" w:eastAsia="Times New Roman" w:hAnsi="Times New Roman"/>
                <w:sz w:val="24"/>
                <w:szCs w:val="24"/>
                <w:lang w:eastAsia="lv-LV"/>
              </w:rPr>
              <w:t>Saskaņā ar Ministru kabineta 2014.gada 28.okt</w:t>
            </w:r>
            <w:r w:rsidR="005D55BB" w:rsidRPr="00E328FA">
              <w:rPr>
                <w:rFonts w:ascii="Times New Roman" w:eastAsia="Times New Roman" w:hAnsi="Times New Roman"/>
                <w:sz w:val="24"/>
                <w:szCs w:val="24"/>
                <w:lang w:eastAsia="lv-LV"/>
              </w:rPr>
              <w:t>obra</w:t>
            </w:r>
            <w:r w:rsidR="007849A5" w:rsidRPr="00E328FA">
              <w:rPr>
                <w:rFonts w:ascii="Times New Roman" w:eastAsia="Times New Roman" w:hAnsi="Times New Roman"/>
                <w:sz w:val="24"/>
                <w:szCs w:val="24"/>
                <w:lang w:eastAsia="lv-LV"/>
              </w:rPr>
              <w:t xml:space="preserve"> sēdes protokolā Nr. </w:t>
            </w:r>
            <w:r w:rsidR="005D55BB" w:rsidRPr="00E328FA">
              <w:rPr>
                <w:rFonts w:ascii="Times New Roman" w:eastAsia="Times New Roman" w:hAnsi="Times New Roman"/>
                <w:sz w:val="24"/>
                <w:szCs w:val="24"/>
                <w:lang w:eastAsia="lv-LV"/>
              </w:rPr>
              <w:t xml:space="preserve"> 58.</w:t>
            </w:r>
            <w:r w:rsidR="007849A5" w:rsidRPr="00E328FA">
              <w:rPr>
                <w:rFonts w:ascii="Times New Roman" w:eastAsia="Times New Roman" w:hAnsi="Times New Roman"/>
                <w:sz w:val="24"/>
                <w:szCs w:val="24"/>
                <w:lang w:eastAsia="lv-LV"/>
              </w:rPr>
              <w:t>,</w:t>
            </w:r>
            <w:r w:rsidR="005D55BB" w:rsidRPr="00E328FA">
              <w:rPr>
                <w:rFonts w:ascii="Times New Roman" w:eastAsia="Times New Roman" w:hAnsi="Times New Roman"/>
                <w:sz w:val="24"/>
                <w:szCs w:val="24"/>
                <w:lang w:eastAsia="lv-LV"/>
              </w:rPr>
              <w:t xml:space="preserve"> 45.§ noteikto</w:t>
            </w:r>
            <w:r w:rsidR="000F1EC8" w:rsidRPr="00E328FA">
              <w:rPr>
                <w:rFonts w:ascii="Times New Roman" w:eastAsia="Times New Roman" w:hAnsi="Times New Roman"/>
                <w:sz w:val="24"/>
                <w:szCs w:val="24"/>
                <w:lang w:eastAsia="lv-LV"/>
              </w:rPr>
              <w:t xml:space="preserve"> </w:t>
            </w:r>
            <w:r w:rsidR="00B179E9" w:rsidRPr="00E328FA">
              <w:rPr>
                <w:rFonts w:ascii="Times New Roman" w:eastAsia="Times New Roman" w:hAnsi="Times New Roman"/>
                <w:sz w:val="24"/>
                <w:szCs w:val="24"/>
                <w:lang w:eastAsia="lv-LV"/>
              </w:rPr>
              <w:t>VARAM</w:t>
            </w:r>
            <w:r w:rsidRPr="00E328FA">
              <w:rPr>
                <w:rFonts w:ascii="Times New Roman" w:eastAsia="Times New Roman" w:hAnsi="Times New Roman"/>
                <w:sz w:val="24"/>
                <w:szCs w:val="24"/>
                <w:lang w:eastAsia="lv-LV"/>
              </w:rPr>
              <w:t xml:space="preserve"> </w:t>
            </w:r>
            <w:r w:rsidR="007849A5" w:rsidRPr="00E328FA">
              <w:rPr>
                <w:rFonts w:ascii="Times New Roman" w:eastAsia="Times New Roman" w:hAnsi="Times New Roman"/>
                <w:sz w:val="24"/>
                <w:szCs w:val="24"/>
                <w:lang w:eastAsia="lv-LV"/>
              </w:rPr>
              <w:t xml:space="preserve">ir pienākums </w:t>
            </w:r>
            <w:r w:rsidRPr="00E328FA">
              <w:rPr>
                <w:rFonts w:ascii="Times New Roman" w:eastAsia="Times New Roman" w:hAnsi="Times New Roman"/>
                <w:sz w:val="24"/>
                <w:szCs w:val="24"/>
                <w:lang w:eastAsia="lv-LV"/>
              </w:rPr>
              <w:t>nodrošinā</w:t>
            </w:r>
            <w:r w:rsidR="007849A5" w:rsidRPr="00E328FA">
              <w:rPr>
                <w:rFonts w:ascii="Times New Roman" w:eastAsia="Times New Roman" w:hAnsi="Times New Roman"/>
                <w:sz w:val="24"/>
                <w:szCs w:val="24"/>
                <w:lang w:eastAsia="lv-LV"/>
              </w:rPr>
              <w:t>t</w:t>
            </w:r>
            <w:r w:rsidRPr="00E328FA">
              <w:rPr>
                <w:rFonts w:ascii="Times New Roman" w:eastAsia="Times New Roman" w:hAnsi="Times New Roman"/>
                <w:sz w:val="24"/>
                <w:szCs w:val="24"/>
                <w:lang w:eastAsia="lv-LV"/>
              </w:rPr>
              <w:t xml:space="preserve"> centralizēto finanšu kontroli visās Ministru kabinetā apstiprinātajās Eiropas Komisijai iesniedzamajās 2014.-2020.gada plānošanas perioda Eiropas Strukturālo un investīciju fondu mērķa "Eiropas teritoriālā sadarbība" no Eiropas Reģionālā attīstības fonda līdzekļiem </w:t>
            </w:r>
            <w:r w:rsidR="004040ED" w:rsidRPr="00E328FA">
              <w:rPr>
                <w:rFonts w:ascii="Times New Roman" w:eastAsia="Times New Roman" w:hAnsi="Times New Roman"/>
                <w:sz w:val="24"/>
                <w:szCs w:val="24"/>
                <w:lang w:eastAsia="lv-LV"/>
              </w:rPr>
              <w:t xml:space="preserve">(turpmāk – ERAF programmas) </w:t>
            </w:r>
            <w:r w:rsidRPr="00E328FA">
              <w:rPr>
                <w:rFonts w:ascii="Times New Roman" w:eastAsia="Times New Roman" w:hAnsi="Times New Roman"/>
                <w:sz w:val="24"/>
                <w:szCs w:val="24"/>
                <w:lang w:eastAsia="lv-LV"/>
              </w:rPr>
              <w:t>un Eiropas Kaimiņattiecību instrumenta finansējamās programmās</w:t>
            </w:r>
            <w:r w:rsidR="004040ED" w:rsidRPr="00E328FA">
              <w:rPr>
                <w:rFonts w:ascii="Times New Roman" w:eastAsia="Times New Roman" w:hAnsi="Times New Roman"/>
                <w:sz w:val="24"/>
                <w:szCs w:val="24"/>
                <w:lang w:eastAsia="lv-LV"/>
              </w:rPr>
              <w:t xml:space="preserve"> (turpmāk – EKI programmas)</w:t>
            </w:r>
            <w:r w:rsidRPr="00E328FA">
              <w:rPr>
                <w:rFonts w:ascii="Times New Roman" w:eastAsia="Times New Roman" w:hAnsi="Times New Roman"/>
                <w:sz w:val="24"/>
                <w:szCs w:val="24"/>
                <w:lang w:eastAsia="lv-LV"/>
              </w:rPr>
              <w:t>, izņemot ESPON starpreģionu sadarbības programmu, tajā skaitā arī šo programmu tehniskās palīdzības finanšu kontroli.</w:t>
            </w:r>
          </w:p>
          <w:p w:rsidR="000F1EC8" w:rsidRPr="00E328FA" w:rsidRDefault="000F1EC8" w:rsidP="0051504D">
            <w:pPr>
              <w:spacing w:after="0" w:line="240" w:lineRule="auto"/>
              <w:ind w:left="40" w:right="215"/>
              <w:jc w:val="both"/>
              <w:rPr>
                <w:rFonts w:ascii="Times New Roman" w:hAnsi="Times New Roman"/>
                <w:sz w:val="24"/>
                <w:szCs w:val="24"/>
              </w:rPr>
            </w:pPr>
          </w:p>
          <w:p w:rsidR="00DF0E22" w:rsidRPr="00E328FA" w:rsidRDefault="004C6FF8" w:rsidP="0051504D">
            <w:pPr>
              <w:spacing w:after="0" w:line="240" w:lineRule="auto"/>
              <w:ind w:left="40" w:right="215"/>
              <w:jc w:val="both"/>
              <w:rPr>
                <w:rFonts w:ascii="Times New Roman" w:eastAsia="Times New Roman" w:hAnsi="Times New Roman"/>
                <w:sz w:val="24"/>
                <w:szCs w:val="24"/>
                <w:lang w:eastAsia="lv-LV"/>
              </w:rPr>
            </w:pPr>
            <w:r w:rsidRPr="00E328FA">
              <w:rPr>
                <w:rFonts w:ascii="Times New Roman" w:hAnsi="Times New Roman"/>
                <w:sz w:val="24"/>
                <w:szCs w:val="24"/>
              </w:rPr>
              <w:t xml:space="preserve">Ar MK noteikumu projektu </w:t>
            </w:r>
            <w:r w:rsidR="007849A5" w:rsidRPr="00E328FA">
              <w:rPr>
                <w:rFonts w:ascii="Times New Roman" w:hAnsi="Times New Roman"/>
                <w:sz w:val="24"/>
                <w:szCs w:val="24"/>
              </w:rPr>
              <w:t xml:space="preserve">ir </w:t>
            </w:r>
            <w:r w:rsidR="005D55BB" w:rsidRPr="00E328FA">
              <w:rPr>
                <w:rFonts w:ascii="Times New Roman" w:hAnsi="Times New Roman"/>
                <w:sz w:val="24"/>
                <w:szCs w:val="24"/>
              </w:rPr>
              <w:t xml:space="preserve">paredzēts noteikt, ka </w:t>
            </w:r>
            <w:r w:rsidR="005D55BB" w:rsidRPr="00E328FA">
              <w:rPr>
                <w:rFonts w:ascii="Times New Roman" w:eastAsia="Times New Roman" w:hAnsi="Times New Roman"/>
                <w:bCs/>
                <w:sz w:val="24"/>
                <w:szCs w:val="24"/>
                <w:lang w:eastAsia="lv-LV"/>
              </w:rPr>
              <w:t xml:space="preserve">Ministru kabineta 2015.gada 10.marta noteikumos Nr. 124 “Kārtība, kādā tiek veikta Eiropas Strukturālo un investīciju fondu mērķa "Eiropas teritoriālā sadarbība" programmu finansēto projektu finanšu kontrole” (turpmāk – MK noteikumi Nr. 124) noteiktā </w:t>
            </w:r>
            <w:r w:rsidR="0085423A" w:rsidRPr="00E328FA">
              <w:rPr>
                <w:rFonts w:ascii="Times New Roman" w:hAnsi="Times New Roman"/>
                <w:sz w:val="24"/>
                <w:szCs w:val="24"/>
              </w:rPr>
              <w:t>k</w:t>
            </w:r>
            <w:r w:rsidRPr="00E328FA">
              <w:rPr>
                <w:rFonts w:ascii="Times New Roman" w:hAnsi="Times New Roman"/>
                <w:sz w:val="24"/>
                <w:szCs w:val="24"/>
                <w:shd w:val="clear" w:color="auto" w:fill="FEFEFE"/>
              </w:rPr>
              <w:t>ārtīb</w:t>
            </w:r>
            <w:r w:rsidR="005D55BB" w:rsidRPr="00E328FA">
              <w:rPr>
                <w:rFonts w:ascii="Times New Roman" w:hAnsi="Times New Roman"/>
                <w:sz w:val="24"/>
                <w:szCs w:val="24"/>
                <w:shd w:val="clear" w:color="auto" w:fill="FEFEFE"/>
              </w:rPr>
              <w:t>a</w:t>
            </w:r>
            <w:r w:rsidR="0085423A" w:rsidRPr="00E328FA">
              <w:rPr>
                <w:rFonts w:ascii="Times New Roman" w:hAnsi="Times New Roman"/>
                <w:sz w:val="24"/>
                <w:szCs w:val="24"/>
                <w:shd w:val="clear" w:color="auto" w:fill="FEFEFE"/>
              </w:rPr>
              <w:t xml:space="preserve">, kādā </w:t>
            </w:r>
            <w:r w:rsidR="00426E5E" w:rsidRPr="00E328FA">
              <w:rPr>
                <w:rFonts w:ascii="Times New Roman" w:hAnsi="Times New Roman"/>
                <w:bCs/>
                <w:sz w:val="24"/>
                <w:szCs w:val="24"/>
              </w:rPr>
              <w:t>tiek veikta projektu finanšu kontrol</w:t>
            </w:r>
            <w:r w:rsidR="009D1124" w:rsidRPr="00E328FA">
              <w:rPr>
                <w:rFonts w:ascii="Times New Roman" w:hAnsi="Times New Roman"/>
                <w:bCs/>
                <w:sz w:val="24"/>
                <w:szCs w:val="24"/>
              </w:rPr>
              <w:t>e</w:t>
            </w:r>
            <w:r w:rsidR="005D55BB" w:rsidRPr="00E328FA">
              <w:rPr>
                <w:rFonts w:ascii="Times New Roman" w:hAnsi="Times New Roman"/>
                <w:bCs/>
                <w:sz w:val="24"/>
                <w:szCs w:val="24"/>
              </w:rPr>
              <w:t xml:space="preserve"> </w:t>
            </w:r>
            <w:r w:rsidR="004040ED" w:rsidRPr="00E328FA">
              <w:rPr>
                <w:rFonts w:ascii="Times New Roman" w:eastAsia="Times New Roman" w:hAnsi="Times New Roman"/>
                <w:sz w:val="24"/>
                <w:szCs w:val="24"/>
                <w:lang w:eastAsia="lv-LV"/>
              </w:rPr>
              <w:t>ERAF</w:t>
            </w:r>
            <w:r w:rsidR="005D55BB" w:rsidRPr="00E328FA">
              <w:rPr>
                <w:rFonts w:ascii="Times New Roman" w:eastAsia="Times New Roman" w:hAnsi="Times New Roman"/>
                <w:sz w:val="24"/>
                <w:szCs w:val="24"/>
                <w:lang w:eastAsia="lv-LV"/>
              </w:rPr>
              <w:t xml:space="preserve"> programmās</w:t>
            </w:r>
            <w:r w:rsidR="000F1EC8" w:rsidRPr="00E328FA">
              <w:rPr>
                <w:rFonts w:ascii="Times New Roman" w:hAnsi="Times New Roman"/>
                <w:sz w:val="24"/>
                <w:szCs w:val="24"/>
                <w:shd w:val="clear" w:color="auto" w:fill="FEFEFE"/>
              </w:rPr>
              <w:t>,</w:t>
            </w:r>
            <w:r w:rsidR="005D55BB" w:rsidRPr="00E328FA">
              <w:rPr>
                <w:rFonts w:ascii="Times New Roman" w:hAnsi="Times New Roman"/>
                <w:sz w:val="24"/>
                <w:szCs w:val="24"/>
                <w:shd w:val="clear" w:color="auto" w:fill="FEFEFE"/>
              </w:rPr>
              <w:t xml:space="preserve"> ir attiecināma arī uz </w:t>
            </w:r>
            <w:r w:rsidR="005D55BB" w:rsidRPr="00E328FA">
              <w:rPr>
                <w:rFonts w:ascii="Times New Roman" w:hAnsi="Times New Roman"/>
                <w:bCs/>
                <w:sz w:val="24"/>
                <w:szCs w:val="24"/>
              </w:rPr>
              <w:t>projektu finanšu kontrol</w:t>
            </w:r>
            <w:r w:rsidR="001F52CF" w:rsidRPr="00E328FA">
              <w:rPr>
                <w:rFonts w:ascii="Times New Roman" w:hAnsi="Times New Roman"/>
                <w:bCs/>
                <w:sz w:val="24"/>
                <w:szCs w:val="24"/>
              </w:rPr>
              <w:t>es veikšanu</w:t>
            </w:r>
            <w:r w:rsidR="005D55BB" w:rsidRPr="00E328FA">
              <w:rPr>
                <w:rFonts w:ascii="Times New Roman" w:hAnsi="Times New Roman"/>
                <w:bCs/>
                <w:sz w:val="24"/>
                <w:szCs w:val="24"/>
              </w:rPr>
              <w:t xml:space="preserve"> </w:t>
            </w:r>
            <w:r w:rsidR="004040ED" w:rsidRPr="00E328FA">
              <w:rPr>
                <w:rFonts w:ascii="Times New Roman" w:eastAsia="Times New Roman" w:hAnsi="Times New Roman"/>
                <w:sz w:val="24"/>
                <w:szCs w:val="24"/>
                <w:lang w:eastAsia="lv-LV"/>
              </w:rPr>
              <w:t>EKI</w:t>
            </w:r>
            <w:r w:rsidR="005D55BB" w:rsidRPr="00E328FA">
              <w:rPr>
                <w:rFonts w:ascii="Times New Roman" w:eastAsia="Times New Roman" w:hAnsi="Times New Roman"/>
                <w:sz w:val="24"/>
                <w:szCs w:val="24"/>
                <w:lang w:eastAsia="lv-LV"/>
              </w:rPr>
              <w:t xml:space="preserve"> programmās</w:t>
            </w:r>
            <w:r w:rsidR="004040ED" w:rsidRPr="00E328FA">
              <w:rPr>
                <w:rFonts w:ascii="Times New Roman" w:eastAsia="Times New Roman" w:hAnsi="Times New Roman"/>
                <w:sz w:val="24"/>
                <w:szCs w:val="24"/>
                <w:lang w:eastAsia="lv-LV"/>
              </w:rPr>
              <w:t>,</w:t>
            </w:r>
            <w:r w:rsidR="005D55BB" w:rsidRPr="00E328FA">
              <w:rPr>
                <w:rFonts w:ascii="Times New Roman" w:eastAsia="Times New Roman" w:hAnsi="Times New Roman"/>
                <w:sz w:val="24"/>
                <w:szCs w:val="24"/>
                <w:lang w:eastAsia="lv-LV"/>
              </w:rPr>
              <w:t xml:space="preserve"> attiecīgi precizējot MK noteikumu Nr. 124 </w:t>
            </w:r>
            <w:r w:rsidR="004040ED" w:rsidRPr="00E328FA">
              <w:rPr>
                <w:rFonts w:ascii="Times New Roman" w:eastAsia="Times New Roman" w:hAnsi="Times New Roman"/>
                <w:sz w:val="24"/>
                <w:szCs w:val="24"/>
                <w:lang w:eastAsia="lv-LV"/>
              </w:rPr>
              <w:t>izdošanas tiesisk</w:t>
            </w:r>
            <w:r w:rsidR="00DF0E22" w:rsidRPr="00E328FA">
              <w:rPr>
                <w:rFonts w:ascii="Times New Roman" w:eastAsia="Times New Roman" w:hAnsi="Times New Roman"/>
                <w:sz w:val="24"/>
                <w:szCs w:val="24"/>
                <w:lang w:eastAsia="lv-LV"/>
              </w:rPr>
              <w:t xml:space="preserve">o pamatu, kā arī 3.punktu, vienlaikus </w:t>
            </w:r>
            <w:r w:rsidR="00DF0E22" w:rsidRPr="00E328FA">
              <w:rPr>
                <w:rFonts w:ascii="Times New Roman" w:hAnsi="Times New Roman"/>
                <w:sz w:val="24"/>
                <w:szCs w:val="24"/>
              </w:rPr>
              <w:t xml:space="preserve">dzēšot 3.2.5. un 3.2.6.apakšpunktus, ņemot vērā, ka </w:t>
            </w:r>
            <w:r w:rsidR="008270CA" w:rsidRPr="00E328FA">
              <w:rPr>
                <w:rFonts w:ascii="Times New Roman" w:hAnsi="Times New Roman"/>
                <w:sz w:val="24"/>
                <w:szCs w:val="24"/>
              </w:rPr>
              <w:t xml:space="preserve">līdzīgi kā 2007.-2013.gada ES fondu plānošanas periodā arī </w:t>
            </w:r>
            <w:r w:rsidR="00DF0E22" w:rsidRPr="00E328FA">
              <w:rPr>
                <w:rFonts w:ascii="Times New Roman" w:hAnsi="Times New Roman"/>
                <w:sz w:val="24"/>
                <w:szCs w:val="24"/>
              </w:rPr>
              <w:t xml:space="preserve">2014.-2020.gada </w:t>
            </w:r>
            <w:r w:rsidR="008270CA" w:rsidRPr="00E328FA">
              <w:rPr>
                <w:rFonts w:ascii="Times New Roman" w:hAnsi="Times New Roman"/>
                <w:sz w:val="24"/>
                <w:szCs w:val="24"/>
              </w:rPr>
              <w:t xml:space="preserve">ES fondu plānošanas periodā </w:t>
            </w:r>
            <w:r w:rsidR="00DF0E22" w:rsidRPr="00E328FA">
              <w:rPr>
                <w:rFonts w:ascii="Times New Roman" w:hAnsi="Times New Roman"/>
                <w:sz w:val="24"/>
                <w:szCs w:val="24"/>
              </w:rPr>
              <w:t>Latvijai</w:t>
            </w:r>
            <w:r w:rsidR="008F564A" w:rsidRPr="00E328FA">
              <w:rPr>
                <w:rFonts w:ascii="Times New Roman" w:hAnsi="Times New Roman"/>
                <w:sz w:val="24"/>
                <w:szCs w:val="24"/>
              </w:rPr>
              <w:t xml:space="preserve"> nebūs pieejams tehniskās palīdzības finansējums</w:t>
            </w:r>
            <w:r w:rsidR="00DF0E22" w:rsidRPr="00E328FA">
              <w:rPr>
                <w:rFonts w:ascii="Times New Roman" w:hAnsi="Times New Roman"/>
                <w:sz w:val="24"/>
                <w:szCs w:val="24"/>
              </w:rPr>
              <w:t xml:space="preserve"> S</w:t>
            </w:r>
            <w:r w:rsidR="008F564A" w:rsidRPr="00E328FA">
              <w:rPr>
                <w:rFonts w:ascii="Times New Roman" w:hAnsi="Times New Roman"/>
                <w:sz w:val="24"/>
                <w:szCs w:val="24"/>
              </w:rPr>
              <w:t>tarpreģionu sadarbības programmu</w:t>
            </w:r>
            <w:r w:rsidR="00DF0E22" w:rsidRPr="00E328FA">
              <w:rPr>
                <w:rFonts w:ascii="Times New Roman" w:hAnsi="Times New Roman"/>
                <w:sz w:val="24"/>
                <w:szCs w:val="24"/>
              </w:rPr>
              <w:t xml:space="preserve"> URBACT III </w:t>
            </w:r>
            <w:r w:rsidR="008F564A" w:rsidRPr="00E328FA">
              <w:rPr>
                <w:rFonts w:ascii="Times New Roman" w:hAnsi="Times New Roman"/>
                <w:sz w:val="24"/>
                <w:szCs w:val="24"/>
              </w:rPr>
              <w:t xml:space="preserve">un </w:t>
            </w:r>
            <w:r w:rsidR="00DF0E22" w:rsidRPr="00E328FA">
              <w:rPr>
                <w:rFonts w:ascii="Times New Roman" w:hAnsi="Times New Roman"/>
                <w:sz w:val="24"/>
                <w:szCs w:val="24"/>
              </w:rPr>
              <w:t xml:space="preserve">INTERREG EUROPE </w:t>
            </w:r>
            <w:r w:rsidR="008F564A" w:rsidRPr="00E328FA">
              <w:rPr>
                <w:rFonts w:ascii="Times New Roman" w:hAnsi="Times New Roman"/>
                <w:sz w:val="24"/>
                <w:szCs w:val="24"/>
              </w:rPr>
              <w:t>i</w:t>
            </w:r>
            <w:r w:rsidR="008270CA" w:rsidRPr="00E328FA">
              <w:rPr>
                <w:rFonts w:ascii="Times New Roman" w:hAnsi="Times New Roman"/>
                <w:sz w:val="24"/>
                <w:szCs w:val="24"/>
              </w:rPr>
              <w:t>etvaros.</w:t>
            </w:r>
          </w:p>
          <w:p w:rsidR="004040ED" w:rsidRPr="00E328FA" w:rsidRDefault="004040ED" w:rsidP="0051504D">
            <w:pPr>
              <w:spacing w:after="0" w:line="240" w:lineRule="auto"/>
              <w:ind w:left="40" w:right="215"/>
              <w:jc w:val="both"/>
              <w:rPr>
                <w:rFonts w:ascii="Times New Roman" w:eastAsia="Times New Roman" w:hAnsi="Times New Roman"/>
                <w:sz w:val="24"/>
                <w:szCs w:val="24"/>
                <w:lang w:eastAsia="lv-LV"/>
              </w:rPr>
            </w:pPr>
          </w:p>
          <w:p w:rsidR="001E503B" w:rsidRPr="00E328FA" w:rsidRDefault="004040ED" w:rsidP="0051504D">
            <w:pPr>
              <w:spacing w:after="0" w:line="240" w:lineRule="auto"/>
              <w:ind w:left="40" w:right="215"/>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Ņemot vērā</w:t>
            </w:r>
            <w:r w:rsidR="007849A5" w:rsidRPr="00E328FA">
              <w:rPr>
                <w:rFonts w:ascii="Times New Roman" w:eastAsia="Times New Roman" w:hAnsi="Times New Roman"/>
                <w:sz w:val="24"/>
                <w:szCs w:val="24"/>
                <w:lang w:eastAsia="lv-LV"/>
              </w:rPr>
              <w:t xml:space="preserve"> to</w:t>
            </w:r>
            <w:r w:rsidRPr="00E328FA">
              <w:rPr>
                <w:rFonts w:ascii="Times New Roman" w:eastAsia="Times New Roman" w:hAnsi="Times New Roman"/>
                <w:sz w:val="24"/>
                <w:szCs w:val="24"/>
                <w:lang w:eastAsia="lv-LV"/>
              </w:rPr>
              <w:t xml:space="preserve">, ka ERAF programmu un EKI programmu </w:t>
            </w:r>
            <w:r w:rsidR="00720D0D" w:rsidRPr="00E328FA">
              <w:rPr>
                <w:rFonts w:ascii="Times New Roman" w:eastAsia="Times New Roman" w:hAnsi="Times New Roman"/>
                <w:sz w:val="24"/>
                <w:szCs w:val="24"/>
                <w:lang w:eastAsia="lv-LV"/>
              </w:rPr>
              <w:t xml:space="preserve">izveidi un </w:t>
            </w:r>
            <w:r w:rsidRPr="00E328FA">
              <w:rPr>
                <w:rFonts w:ascii="Times New Roman" w:eastAsia="Times New Roman" w:hAnsi="Times New Roman"/>
                <w:sz w:val="24"/>
                <w:szCs w:val="24"/>
                <w:lang w:eastAsia="lv-LV"/>
              </w:rPr>
              <w:t>ieviešanu nosaka atšķirīgas Eiropas Parlamenta un Padomes regulas, attiecīgi precizēts MK noteikumu Nr. 124 4.punkts, no</w:t>
            </w:r>
            <w:r w:rsidR="00720D0D" w:rsidRPr="00E328FA">
              <w:rPr>
                <w:rFonts w:ascii="Times New Roman" w:eastAsia="Times New Roman" w:hAnsi="Times New Roman"/>
                <w:sz w:val="24"/>
                <w:szCs w:val="24"/>
                <w:lang w:eastAsia="lv-LV"/>
              </w:rPr>
              <w:t>sakot atbilstoši kādiem normatīvajiem aktiem tiek veikta projektu finanšu kontrole.</w:t>
            </w:r>
            <w:r w:rsidRPr="00E328FA">
              <w:rPr>
                <w:rFonts w:ascii="Times New Roman" w:eastAsia="Times New Roman" w:hAnsi="Times New Roman"/>
                <w:sz w:val="24"/>
                <w:szCs w:val="24"/>
                <w:lang w:eastAsia="lv-LV"/>
              </w:rPr>
              <w:t xml:space="preserve"> </w:t>
            </w:r>
          </w:p>
          <w:p w:rsidR="00720D0D" w:rsidRPr="00E328FA" w:rsidRDefault="00720D0D" w:rsidP="0051504D">
            <w:pPr>
              <w:spacing w:after="0" w:line="240" w:lineRule="auto"/>
              <w:ind w:left="40" w:right="215"/>
              <w:jc w:val="both"/>
              <w:rPr>
                <w:rFonts w:ascii="Times New Roman" w:eastAsia="Times New Roman" w:hAnsi="Times New Roman"/>
                <w:sz w:val="24"/>
                <w:szCs w:val="24"/>
                <w:lang w:eastAsia="lv-LV"/>
              </w:rPr>
            </w:pPr>
          </w:p>
          <w:p w:rsidR="00720D0D" w:rsidRPr="00E328FA" w:rsidRDefault="00DF0E22" w:rsidP="0051504D">
            <w:pPr>
              <w:spacing w:after="0" w:line="240" w:lineRule="auto"/>
              <w:ind w:left="40" w:right="215"/>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Vienlaikus tiek precizēts MK n</w:t>
            </w:r>
            <w:r w:rsidR="00720D0D" w:rsidRPr="00E328FA">
              <w:rPr>
                <w:rFonts w:ascii="Times New Roman" w:eastAsia="Times New Roman" w:hAnsi="Times New Roman"/>
                <w:sz w:val="24"/>
                <w:szCs w:val="24"/>
                <w:lang w:eastAsia="lv-LV"/>
              </w:rPr>
              <w:t xml:space="preserve">oteikumu Nr. 124 11.punkts, nosakot, ka projektu </w:t>
            </w:r>
            <w:r w:rsidR="00AF78AF" w:rsidRPr="00E328FA">
              <w:rPr>
                <w:rFonts w:ascii="Times New Roman" w:eastAsia="Times New Roman" w:hAnsi="Times New Roman"/>
                <w:sz w:val="24"/>
                <w:szCs w:val="24"/>
                <w:lang w:eastAsia="lv-LV"/>
              </w:rPr>
              <w:t xml:space="preserve">risku noteikšana tiek veikta pēc projektu finansēšanas un iepirkuma plāna saņemšanas nevis pēc finansēšanas un projekta partnerības līguma saņemšanas. Projekta risku noteikšana projekta </w:t>
            </w:r>
            <w:r w:rsidR="001F52CF" w:rsidRPr="00E328FA">
              <w:rPr>
                <w:rFonts w:ascii="Times New Roman" w:eastAsia="Times New Roman" w:hAnsi="Times New Roman"/>
                <w:sz w:val="24"/>
                <w:szCs w:val="24"/>
                <w:lang w:eastAsia="lv-LV"/>
              </w:rPr>
              <w:t>ieviešanas</w:t>
            </w:r>
            <w:r w:rsidR="00AF78AF" w:rsidRPr="00E328FA">
              <w:rPr>
                <w:rFonts w:ascii="Times New Roman" w:eastAsia="Times New Roman" w:hAnsi="Times New Roman"/>
                <w:sz w:val="24"/>
                <w:szCs w:val="24"/>
                <w:lang w:eastAsia="lv-LV"/>
              </w:rPr>
              <w:t xml:space="preserve"> sākumā tiek veikta ar mērķi nodrošināt projektu ietvaros plānoto iepirkumu atlasi </w:t>
            </w:r>
            <w:r w:rsidR="001F52CF" w:rsidRPr="00E328FA">
              <w:rPr>
                <w:rFonts w:ascii="Times New Roman" w:eastAsia="Times New Roman" w:hAnsi="Times New Roman"/>
                <w:sz w:val="24"/>
                <w:szCs w:val="24"/>
                <w:lang w:eastAsia="lv-LV"/>
              </w:rPr>
              <w:t xml:space="preserve">iepirkumu </w:t>
            </w:r>
            <w:r w:rsidR="00AF78AF" w:rsidRPr="00E328FA">
              <w:rPr>
                <w:rFonts w:ascii="Times New Roman" w:eastAsia="Times New Roman" w:hAnsi="Times New Roman"/>
                <w:sz w:val="24"/>
                <w:szCs w:val="24"/>
                <w:lang w:eastAsia="lv-LV"/>
              </w:rPr>
              <w:t xml:space="preserve">pirmspārbaužu plānošanai un veikšanai. VARAM </w:t>
            </w:r>
            <w:r w:rsidR="001F52CF" w:rsidRPr="00E328FA">
              <w:rPr>
                <w:rFonts w:ascii="Times New Roman" w:eastAsia="Times New Roman" w:hAnsi="Times New Roman"/>
                <w:sz w:val="24"/>
                <w:szCs w:val="24"/>
                <w:lang w:eastAsia="lv-LV"/>
              </w:rPr>
              <w:t>k</w:t>
            </w:r>
            <w:r w:rsidR="00AF78AF" w:rsidRPr="00E328FA">
              <w:rPr>
                <w:rFonts w:ascii="Times New Roman" w:eastAsia="Times New Roman" w:hAnsi="Times New Roman"/>
                <w:sz w:val="24"/>
                <w:szCs w:val="24"/>
                <w:lang w:eastAsia="lv-LV"/>
              </w:rPr>
              <w:t>ā finanšu kontroles institūcijai nav nepieciešama partnerības līguma saņemšana sākotnējai projekta riska noteikšanai.</w:t>
            </w:r>
          </w:p>
          <w:p w:rsidR="00AF78AF" w:rsidRPr="00E328FA" w:rsidRDefault="00AF78AF" w:rsidP="0051504D">
            <w:pPr>
              <w:spacing w:after="0" w:line="240" w:lineRule="auto"/>
              <w:ind w:left="40" w:right="215"/>
              <w:jc w:val="both"/>
              <w:rPr>
                <w:rFonts w:ascii="Times New Roman" w:eastAsia="Times New Roman" w:hAnsi="Times New Roman"/>
                <w:sz w:val="24"/>
                <w:szCs w:val="24"/>
                <w:lang w:eastAsia="lv-LV"/>
              </w:rPr>
            </w:pPr>
          </w:p>
          <w:p w:rsidR="00AF78AF" w:rsidRPr="00E328FA" w:rsidRDefault="00AF78AF" w:rsidP="0051504D">
            <w:pPr>
              <w:spacing w:after="0" w:line="240" w:lineRule="auto"/>
              <w:ind w:left="40" w:right="215"/>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xml:space="preserve">Papildus MK noteikumu Nr. 124 11.punktā tiek noteikts, ka </w:t>
            </w:r>
            <w:r w:rsidR="00EB6D99" w:rsidRPr="00E328FA">
              <w:rPr>
                <w:rFonts w:ascii="Times New Roman" w:eastAsia="Times New Roman" w:hAnsi="Times New Roman"/>
                <w:sz w:val="24"/>
                <w:szCs w:val="24"/>
                <w:lang w:eastAsia="lv-LV"/>
              </w:rPr>
              <w:t>ERAF</w:t>
            </w:r>
            <w:r w:rsidRPr="00E328FA">
              <w:rPr>
                <w:rFonts w:ascii="Times New Roman" w:eastAsia="Times New Roman" w:hAnsi="Times New Roman"/>
                <w:sz w:val="24"/>
                <w:szCs w:val="24"/>
                <w:lang w:eastAsia="lv-LV"/>
              </w:rPr>
              <w:t xml:space="preserve"> un EKI </w:t>
            </w:r>
            <w:r w:rsidRPr="00E328FA">
              <w:rPr>
                <w:rFonts w:ascii="Times New Roman" w:hAnsi="Times New Roman"/>
                <w:sz w:val="24"/>
                <w:szCs w:val="24"/>
              </w:rPr>
              <w:t>programmu tehniskās palīdzības institūcijas projektiem visā projekta īstenošanas laikā tiek noteikts zems risks, ja vien projekta īstenošanas laikā riska pārvērtēšanas rezultātā netiek noteikts augsts risks.</w:t>
            </w:r>
          </w:p>
          <w:p w:rsidR="00720D0D" w:rsidRPr="001B176F" w:rsidRDefault="008E79DB" w:rsidP="001B176F">
            <w:pPr>
              <w:spacing w:after="0" w:line="240" w:lineRule="auto"/>
              <w:ind w:left="40" w:right="67"/>
              <w:jc w:val="both"/>
              <w:rPr>
                <w:rFonts w:ascii="Times New Roman" w:hAnsi="Times New Roman"/>
                <w:sz w:val="24"/>
                <w:szCs w:val="24"/>
              </w:rPr>
            </w:pPr>
            <w:r w:rsidRPr="00E328FA">
              <w:rPr>
                <w:rFonts w:ascii="Times New Roman" w:eastAsia="Times New Roman" w:hAnsi="Times New Roman"/>
                <w:sz w:val="24"/>
                <w:szCs w:val="24"/>
                <w:lang w:eastAsia="lv-LV"/>
              </w:rPr>
              <w:t xml:space="preserve">Zema riska noteikšana </w:t>
            </w:r>
            <w:r w:rsidRPr="00E328FA">
              <w:rPr>
                <w:rFonts w:ascii="Times New Roman" w:hAnsi="Times New Roman"/>
                <w:sz w:val="24"/>
                <w:szCs w:val="24"/>
              </w:rPr>
              <w:t xml:space="preserve">programmu tehniskās palīdzības institūcijas projektiem saistīta ar to, ka šo projektu finansējuma saņēmēji ir VARAM un Valsts reģionālā attīstības aģentūra, kas arī ES fondu 2007.-2013.gada plānošanas periodā </w:t>
            </w:r>
            <w:r w:rsidR="001F52CF" w:rsidRPr="00E328FA">
              <w:rPr>
                <w:rFonts w:ascii="Times New Roman" w:hAnsi="Times New Roman"/>
                <w:sz w:val="24"/>
                <w:szCs w:val="24"/>
              </w:rPr>
              <w:t xml:space="preserve">nodrošināja </w:t>
            </w:r>
            <w:r w:rsidRPr="00E328FA">
              <w:rPr>
                <w:rFonts w:ascii="Times New Roman" w:hAnsi="Times New Roman"/>
                <w:sz w:val="24"/>
                <w:szCs w:val="24"/>
              </w:rPr>
              <w:t xml:space="preserve">tehniskās palīdzības projektu ieviešanu saskaņā ar </w:t>
            </w:r>
            <w:r w:rsidR="00B87852" w:rsidRPr="00E328FA">
              <w:rPr>
                <w:rFonts w:ascii="Times New Roman" w:hAnsi="Times New Roman"/>
                <w:sz w:val="24"/>
                <w:szCs w:val="24"/>
              </w:rPr>
              <w:t>pareizas</w:t>
            </w:r>
            <w:r w:rsidRPr="00E328FA">
              <w:rPr>
                <w:rFonts w:ascii="Times New Roman" w:hAnsi="Times New Roman"/>
                <w:sz w:val="24"/>
                <w:szCs w:val="24"/>
              </w:rPr>
              <w:t xml:space="preserve"> finanšu pārvaldības principiem</w:t>
            </w:r>
            <w:r w:rsidR="00476DAA" w:rsidRPr="00E328FA">
              <w:rPr>
                <w:rFonts w:ascii="Times New Roman" w:hAnsi="Times New Roman"/>
                <w:sz w:val="24"/>
                <w:szCs w:val="24"/>
              </w:rPr>
              <w:t>.</w:t>
            </w:r>
            <w:r w:rsidR="00B87852" w:rsidRPr="00E328FA">
              <w:rPr>
                <w:rFonts w:ascii="Times New Roman" w:hAnsi="Times New Roman"/>
                <w:sz w:val="24"/>
                <w:szCs w:val="24"/>
              </w:rPr>
              <w:t xml:space="preserve"> </w:t>
            </w:r>
            <w:r w:rsidR="00476DAA" w:rsidRPr="00E328FA">
              <w:rPr>
                <w:rFonts w:ascii="Times New Roman" w:hAnsi="Times New Roman"/>
                <w:sz w:val="24"/>
                <w:szCs w:val="24"/>
              </w:rPr>
              <w:t>T</w:t>
            </w:r>
            <w:r w:rsidR="00B87852" w:rsidRPr="00E328FA">
              <w:rPr>
                <w:rFonts w:ascii="Times New Roman" w:hAnsi="Times New Roman"/>
                <w:sz w:val="24"/>
                <w:szCs w:val="24"/>
              </w:rPr>
              <w:t>ehnisk</w:t>
            </w:r>
            <w:r w:rsidR="00476DAA" w:rsidRPr="00E328FA">
              <w:rPr>
                <w:rFonts w:ascii="Times New Roman" w:hAnsi="Times New Roman"/>
                <w:sz w:val="24"/>
                <w:szCs w:val="24"/>
              </w:rPr>
              <w:t>ās</w:t>
            </w:r>
            <w:r w:rsidR="00B87852" w:rsidRPr="00E328FA">
              <w:rPr>
                <w:rFonts w:ascii="Times New Roman" w:hAnsi="Times New Roman"/>
                <w:sz w:val="24"/>
                <w:szCs w:val="24"/>
              </w:rPr>
              <w:t xml:space="preserve"> palīdzīb</w:t>
            </w:r>
            <w:r w:rsidR="00476DAA" w:rsidRPr="00E328FA">
              <w:rPr>
                <w:rFonts w:ascii="Times New Roman" w:hAnsi="Times New Roman"/>
                <w:sz w:val="24"/>
                <w:szCs w:val="24"/>
              </w:rPr>
              <w:t>as</w:t>
            </w:r>
            <w:r w:rsidR="00B87852" w:rsidRPr="00E328FA">
              <w:rPr>
                <w:rFonts w:ascii="Times New Roman" w:hAnsi="Times New Roman"/>
                <w:sz w:val="24"/>
                <w:szCs w:val="24"/>
              </w:rPr>
              <w:t xml:space="preserve"> projektu ieviešanā netika atklāti būtiski pārkāpumi, kas varētu ietekmēt finansējuma attiecināmību</w:t>
            </w:r>
            <w:r w:rsidRPr="00E328FA">
              <w:rPr>
                <w:rFonts w:ascii="Times New Roman" w:hAnsi="Times New Roman"/>
                <w:sz w:val="24"/>
                <w:szCs w:val="24"/>
              </w:rPr>
              <w:t>.</w:t>
            </w:r>
            <w:r w:rsidR="00B87852" w:rsidRPr="00E328FA">
              <w:rPr>
                <w:rFonts w:ascii="Times New Roman" w:hAnsi="Times New Roman"/>
                <w:sz w:val="24"/>
                <w:szCs w:val="24"/>
              </w:rPr>
              <w:t xml:space="preserve"> Tāpat arī jāmin, ka tehniskās palīdzības projekti pēc savas būtības nav tik kompleksi un sarežģīti kā programmu ietvaros īstenotie sadarbības projekti, kuru ieviešana tiek nodrošināta starptautiskas sadarbības rezultātā. Ņemot vērā iepriekš minēto, kā arī ievērojot administratīvā sloga mazināšanas principu, tiek ierosināts tehnisko palīdzību projektiem noteikt ze</w:t>
            </w:r>
            <w:r w:rsidR="001F52CF" w:rsidRPr="00E328FA">
              <w:rPr>
                <w:rFonts w:ascii="Times New Roman" w:hAnsi="Times New Roman"/>
                <w:sz w:val="24"/>
                <w:szCs w:val="24"/>
              </w:rPr>
              <w:t>mu risku</w:t>
            </w:r>
            <w:r w:rsidR="00B87852" w:rsidRPr="00E328FA">
              <w:rPr>
                <w:rFonts w:ascii="Times New Roman" w:hAnsi="Times New Roman"/>
                <w:sz w:val="24"/>
                <w:szCs w:val="24"/>
              </w:rPr>
              <w:t xml:space="preserve">, ja vien projektu īstenošanā tiem netiks noteikts augsts risks atbilstoši finanšu kontroles institūcijas izstrādātajai iekšējai kārtībai projektu risku noteikšanai. Tehniskās palīdzības projektam, piemēram, varētu tikt noteikts augsts risks, ja projektu ietvaros </w:t>
            </w:r>
            <w:r w:rsidR="00B87852" w:rsidRPr="001B176F">
              <w:rPr>
                <w:rFonts w:ascii="Times New Roman" w:hAnsi="Times New Roman"/>
                <w:sz w:val="24"/>
                <w:szCs w:val="24"/>
              </w:rPr>
              <w:t xml:space="preserve">veiktās finanšu kontroles rezultātā tiks samazinātas attiecināmās </w:t>
            </w:r>
            <w:r w:rsidR="00EB6D99" w:rsidRPr="001B176F">
              <w:rPr>
                <w:rFonts w:ascii="Times New Roman" w:hAnsi="Times New Roman"/>
                <w:sz w:val="24"/>
                <w:szCs w:val="24"/>
              </w:rPr>
              <w:t xml:space="preserve">projekta </w:t>
            </w:r>
            <w:r w:rsidR="00B87852" w:rsidRPr="001B176F">
              <w:rPr>
                <w:rFonts w:ascii="Times New Roman" w:hAnsi="Times New Roman"/>
                <w:sz w:val="24"/>
                <w:szCs w:val="24"/>
              </w:rPr>
              <w:t>izmaksas.</w:t>
            </w:r>
          </w:p>
          <w:p w:rsidR="001B176F" w:rsidRPr="001B176F" w:rsidRDefault="001B176F" w:rsidP="001B176F">
            <w:pPr>
              <w:tabs>
                <w:tab w:val="left" w:pos="5179"/>
              </w:tabs>
              <w:spacing w:after="0" w:line="240" w:lineRule="auto"/>
              <w:ind w:left="40" w:right="67"/>
              <w:jc w:val="both"/>
              <w:rPr>
                <w:rFonts w:ascii="Times New Roman" w:hAnsi="Times New Roman"/>
                <w:sz w:val="24"/>
                <w:szCs w:val="24"/>
              </w:rPr>
            </w:pPr>
          </w:p>
          <w:p w:rsidR="001B176F" w:rsidRPr="006C6474" w:rsidRDefault="001B176F" w:rsidP="006C6474">
            <w:pPr>
              <w:shd w:val="clear" w:color="auto" w:fill="FFFFFF" w:themeFill="background1"/>
              <w:tabs>
                <w:tab w:val="left" w:pos="5179"/>
              </w:tabs>
              <w:spacing w:after="0" w:line="240" w:lineRule="auto"/>
              <w:ind w:right="67"/>
              <w:jc w:val="both"/>
              <w:rPr>
                <w:rFonts w:ascii="Times New Roman" w:hAnsi="Times New Roman"/>
                <w:sz w:val="24"/>
                <w:szCs w:val="24"/>
              </w:rPr>
            </w:pPr>
            <w:r w:rsidRPr="006C6474">
              <w:rPr>
                <w:rFonts w:ascii="Times New Roman" w:hAnsi="Times New Roman"/>
                <w:sz w:val="24"/>
                <w:szCs w:val="24"/>
              </w:rPr>
              <w:t xml:space="preserve">Papildus </w:t>
            </w:r>
            <w:r w:rsidR="00D66FC9" w:rsidRPr="006C6474">
              <w:rPr>
                <w:rFonts w:ascii="Times New Roman" w:hAnsi="Times New Roman"/>
                <w:sz w:val="24"/>
                <w:szCs w:val="24"/>
              </w:rPr>
              <w:t>precizēts MK noteikumu Nr.</w:t>
            </w:r>
            <w:r w:rsidRPr="006C6474">
              <w:rPr>
                <w:rFonts w:ascii="Times New Roman" w:hAnsi="Times New Roman"/>
                <w:sz w:val="24"/>
                <w:szCs w:val="24"/>
              </w:rPr>
              <w:t>124 12.punkt</w:t>
            </w:r>
            <w:r w:rsidR="00D66FC9" w:rsidRPr="006C6474">
              <w:rPr>
                <w:rFonts w:ascii="Times New Roman" w:hAnsi="Times New Roman"/>
                <w:sz w:val="24"/>
                <w:szCs w:val="24"/>
              </w:rPr>
              <w:t>s</w:t>
            </w:r>
            <w:r w:rsidRPr="006C6474">
              <w:rPr>
                <w:rFonts w:ascii="Times New Roman" w:hAnsi="Times New Roman"/>
                <w:sz w:val="24"/>
                <w:szCs w:val="24"/>
              </w:rPr>
              <w:t>,</w:t>
            </w:r>
            <w:r w:rsidR="00D66FC9" w:rsidRPr="006C6474">
              <w:rPr>
                <w:rFonts w:ascii="Times New Roman" w:hAnsi="Times New Roman"/>
                <w:sz w:val="24"/>
                <w:szCs w:val="24"/>
              </w:rPr>
              <w:t xml:space="preserve"> </w:t>
            </w:r>
            <w:r w:rsidRPr="006C6474">
              <w:rPr>
                <w:rFonts w:ascii="Times New Roman" w:hAnsi="Times New Roman"/>
                <w:sz w:val="24"/>
                <w:szCs w:val="24"/>
              </w:rPr>
              <w:t>nosakot, ka finanšu kontroles institūcija samazina progresa pārskatā iekļautās attiecināmās izmaksas par summu, kas atbilst neatbilstoši veikto izmaksu apjomam, vai proporcionāli saskaņā ar ETS programmas vadlīnijām</w:t>
            </w:r>
            <w:r w:rsidR="00D66FC9" w:rsidRPr="006C6474">
              <w:rPr>
                <w:rFonts w:ascii="Times New Roman" w:hAnsi="Times New Roman"/>
                <w:sz w:val="24"/>
                <w:szCs w:val="24"/>
              </w:rPr>
              <w:t>,</w:t>
            </w:r>
            <w:r w:rsidRPr="006C6474">
              <w:rPr>
                <w:rFonts w:ascii="Times New Roman" w:hAnsi="Times New Roman"/>
                <w:sz w:val="24"/>
                <w:szCs w:val="24"/>
              </w:rPr>
              <w:t xml:space="preserve"> vai, ja nav ievēroti publiskā iepirkuma noteikumi, saskaņā ar Eiropas Komisijas apstiprinātām pamatnostādnēm par tādu finanšu korekciju noteikšanu, kuras publiskā iepirkuma noteikumu neievērošanas gadījumā veic attiecībā uz izdevumiem, ko finansē Eiropas Savienība saskaņā ar dalīto pārvaldību (COCOF), ja konstatē, ka neatbilstoši veikto izmaksu summu nav iespējams konkrēti noteikt vai būtu nesamērīgi samazināt projekta attiecināmo izmaksu summu. Ierosinātās izmaiņas</w:t>
            </w:r>
            <w:r w:rsidR="00D66FC9" w:rsidRPr="006C6474">
              <w:rPr>
                <w:rFonts w:ascii="Times New Roman" w:hAnsi="Times New Roman"/>
                <w:sz w:val="24"/>
                <w:szCs w:val="24"/>
              </w:rPr>
              <w:t xml:space="preserve"> saskaņo </w:t>
            </w:r>
            <w:r w:rsidRPr="006C6474">
              <w:rPr>
                <w:rFonts w:ascii="Times New Roman" w:hAnsi="Times New Roman"/>
                <w:sz w:val="24"/>
                <w:szCs w:val="24"/>
              </w:rPr>
              <w:t>MK noteikumu Nr. 124 12.punkt</w:t>
            </w:r>
            <w:r w:rsidR="00D66FC9" w:rsidRPr="006C6474">
              <w:rPr>
                <w:rFonts w:ascii="Times New Roman" w:hAnsi="Times New Roman"/>
                <w:sz w:val="24"/>
                <w:szCs w:val="24"/>
              </w:rPr>
              <w:t>u</w:t>
            </w:r>
            <w:r w:rsidRPr="006C6474">
              <w:rPr>
                <w:rFonts w:ascii="Times New Roman" w:hAnsi="Times New Roman"/>
                <w:sz w:val="24"/>
                <w:szCs w:val="24"/>
              </w:rPr>
              <w:t xml:space="preserve"> </w:t>
            </w:r>
            <w:r w:rsidR="00D66FC9" w:rsidRPr="006C6474">
              <w:rPr>
                <w:rFonts w:ascii="Times New Roman" w:hAnsi="Times New Roman"/>
                <w:sz w:val="24"/>
                <w:szCs w:val="24"/>
              </w:rPr>
              <w:t xml:space="preserve">ar </w:t>
            </w:r>
            <w:r w:rsidRPr="006C6474">
              <w:rPr>
                <w:rFonts w:ascii="Times New Roman" w:hAnsi="Times New Roman"/>
                <w:sz w:val="24"/>
                <w:szCs w:val="24"/>
              </w:rPr>
              <w:t xml:space="preserve"> Ministru kabineta 2015.gada 15.septembra noteikumu Nr.526 </w:t>
            </w:r>
            <w:hyperlink r:id="rId10" w:tgtFrame="_blank" w:history="1">
              <w:r w:rsidRPr="006C6474">
                <w:rPr>
                  <w:rFonts w:ascii="Times New Roman" w:hAnsi="Times New Roman"/>
                  <w:sz w:val="24"/>
                  <w:szCs w:val="24"/>
                </w:rPr>
                <w:t>„Kārtība, kādā sniedzami ziņojumi par konstatētajām neatbilstībām Eiropas Strukturālo un investīciju fondu mērķa "Eiropas teritoriālā sadarbība" programmu finansēto projektu ieviešanā un atgūstams programmas finansējums”</w:t>
              </w:r>
            </w:hyperlink>
            <w:r w:rsidRPr="006C6474">
              <w:rPr>
                <w:rFonts w:ascii="Times New Roman" w:hAnsi="Times New Roman"/>
                <w:sz w:val="24"/>
                <w:szCs w:val="24"/>
              </w:rPr>
              <w:t xml:space="preserve"> 7.punkt</w:t>
            </w:r>
            <w:r w:rsidR="00D66FC9" w:rsidRPr="006C6474">
              <w:rPr>
                <w:rFonts w:ascii="Times New Roman" w:hAnsi="Times New Roman"/>
                <w:sz w:val="24"/>
                <w:szCs w:val="24"/>
              </w:rPr>
              <w:t>u</w:t>
            </w:r>
            <w:r w:rsidRPr="006C6474">
              <w:rPr>
                <w:rFonts w:ascii="Times New Roman" w:hAnsi="Times New Roman"/>
                <w:sz w:val="24"/>
                <w:szCs w:val="24"/>
              </w:rPr>
              <w:t xml:space="preserve">, kurš paredz, ka lēmumu par </w:t>
            </w:r>
            <w:r w:rsidR="00D66FC9" w:rsidRPr="006C6474">
              <w:rPr>
                <w:rFonts w:ascii="Times New Roman" w:hAnsi="Times New Roman"/>
                <w:sz w:val="24"/>
                <w:szCs w:val="24"/>
              </w:rPr>
              <w:t xml:space="preserve">neatbilstības konstatēšanu </w:t>
            </w:r>
            <w:r w:rsidRPr="006C6474">
              <w:rPr>
                <w:rFonts w:ascii="Times New Roman" w:hAnsi="Times New Roman"/>
                <w:sz w:val="24"/>
                <w:szCs w:val="24"/>
              </w:rPr>
              <w:t xml:space="preserve"> pieņem vadošā iestāde</w:t>
            </w:r>
            <w:r w:rsidR="00D66FC9" w:rsidRPr="006C6474">
              <w:rPr>
                <w:rFonts w:ascii="Times New Roman" w:hAnsi="Times New Roman"/>
                <w:sz w:val="24"/>
                <w:szCs w:val="24"/>
              </w:rPr>
              <w:t>, nevis finanšu kontroles institūcija</w:t>
            </w:r>
            <w:r w:rsidRPr="006C6474">
              <w:rPr>
                <w:rFonts w:ascii="Times New Roman" w:hAnsi="Times New Roman"/>
                <w:sz w:val="24"/>
                <w:szCs w:val="24"/>
              </w:rPr>
              <w:t>.</w:t>
            </w:r>
          </w:p>
          <w:p w:rsidR="00720D0D" w:rsidRPr="001B176F" w:rsidRDefault="00720D0D" w:rsidP="001B176F">
            <w:pPr>
              <w:tabs>
                <w:tab w:val="left" w:pos="4907"/>
              </w:tabs>
              <w:spacing w:after="0" w:line="240" w:lineRule="auto"/>
              <w:ind w:left="87" w:right="67"/>
              <w:jc w:val="both"/>
              <w:rPr>
                <w:rFonts w:ascii="Times New Roman" w:hAnsi="Times New Roman"/>
                <w:sz w:val="24"/>
                <w:szCs w:val="24"/>
              </w:rPr>
            </w:pPr>
          </w:p>
          <w:p w:rsidR="00672403" w:rsidRPr="001B176F" w:rsidRDefault="00A139BD" w:rsidP="001B176F">
            <w:pPr>
              <w:tabs>
                <w:tab w:val="left" w:pos="4907"/>
              </w:tabs>
              <w:spacing w:after="0" w:line="240" w:lineRule="auto"/>
              <w:ind w:left="87" w:right="67"/>
              <w:jc w:val="both"/>
              <w:rPr>
                <w:rFonts w:ascii="Times New Roman" w:hAnsi="Times New Roman"/>
                <w:sz w:val="24"/>
                <w:szCs w:val="24"/>
              </w:rPr>
            </w:pPr>
            <w:r w:rsidRPr="001B176F">
              <w:rPr>
                <w:rFonts w:ascii="Times New Roman" w:hAnsi="Times New Roman"/>
                <w:sz w:val="24"/>
                <w:szCs w:val="24"/>
              </w:rPr>
              <w:t xml:space="preserve">Ierosinātie grozījumi MK noteikumos Nr. 124 citus </w:t>
            </w:r>
            <w:r w:rsidR="00166753" w:rsidRPr="001B176F">
              <w:rPr>
                <w:rFonts w:ascii="Times New Roman" w:hAnsi="Times New Roman"/>
                <w:sz w:val="24"/>
                <w:szCs w:val="24"/>
              </w:rPr>
              <w:t xml:space="preserve">MK noteikumu Nr. 124 </w:t>
            </w:r>
            <w:r w:rsidRPr="001B176F">
              <w:rPr>
                <w:rFonts w:ascii="Times New Roman" w:hAnsi="Times New Roman"/>
                <w:sz w:val="24"/>
                <w:szCs w:val="24"/>
              </w:rPr>
              <w:t xml:space="preserve">punktus neskar. </w:t>
            </w:r>
          </w:p>
          <w:p w:rsidR="00A139BD" w:rsidRPr="00E328FA" w:rsidRDefault="00A139BD" w:rsidP="001B176F">
            <w:pPr>
              <w:tabs>
                <w:tab w:val="left" w:pos="5179"/>
              </w:tabs>
              <w:spacing w:after="0" w:line="240" w:lineRule="auto"/>
              <w:ind w:left="40" w:right="209"/>
              <w:jc w:val="both"/>
              <w:rPr>
                <w:rFonts w:ascii="Times New Roman" w:eastAsia="Times New Roman" w:hAnsi="Times New Roman"/>
                <w:spacing w:val="-2"/>
                <w:sz w:val="24"/>
                <w:szCs w:val="24"/>
                <w:lang w:eastAsia="lv-LV"/>
              </w:rPr>
            </w:pPr>
          </w:p>
          <w:p w:rsidR="00FF7145" w:rsidRPr="00E328FA" w:rsidRDefault="00166753" w:rsidP="001B176F">
            <w:pPr>
              <w:tabs>
                <w:tab w:val="left" w:pos="4907"/>
              </w:tabs>
              <w:spacing w:after="0" w:line="240" w:lineRule="auto"/>
              <w:ind w:left="40" w:right="67"/>
              <w:jc w:val="both"/>
              <w:rPr>
                <w:rFonts w:ascii="Times New Roman" w:eastAsia="Times New Roman" w:hAnsi="Times New Roman"/>
                <w:spacing w:val="-2"/>
                <w:sz w:val="24"/>
                <w:szCs w:val="24"/>
                <w:lang w:eastAsia="lv-LV"/>
              </w:rPr>
            </w:pPr>
            <w:r w:rsidRPr="00E328FA">
              <w:rPr>
                <w:rFonts w:ascii="Times New Roman" w:eastAsia="Times New Roman" w:hAnsi="Times New Roman"/>
                <w:spacing w:val="-2"/>
                <w:sz w:val="24"/>
                <w:szCs w:val="24"/>
                <w:lang w:eastAsia="lv-LV"/>
              </w:rPr>
              <w:t>MK noteikumos Nr. 124 varētu tikt ierosināti papildu grozījumi</w:t>
            </w:r>
            <w:r w:rsidR="005F44C3" w:rsidRPr="00E328FA">
              <w:rPr>
                <w:rFonts w:ascii="Times New Roman" w:eastAsia="Times New Roman" w:hAnsi="Times New Roman"/>
                <w:spacing w:val="-2"/>
                <w:sz w:val="24"/>
                <w:szCs w:val="24"/>
                <w:lang w:eastAsia="lv-LV"/>
              </w:rPr>
              <w:t xml:space="preserve">, ja tāda nepieciešamība izrietēs saskaņā ar EKI likuma 11.panta </w:t>
            </w:r>
            <w:r w:rsidR="00425118" w:rsidRPr="00E328FA">
              <w:rPr>
                <w:rFonts w:ascii="Times New Roman" w:eastAsia="Times New Roman" w:hAnsi="Times New Roman"/>
                <w:spacing w:val="-2"/>
                <w:sz w:val="24"/>
                <w:szCs w:val="24"/>
                <w:lang w:eastAsia="lv-LV"/>
              </w:rPr>
              <w:t xml:space="preserve">otrajā daļā minētajām </w:t>
            </w:r>
            <w:r w:rsidR="005F44C3" w:rsidRPr="00E328FA">
              <w:rPr>
                <w:rFonts w:ascii="Times New Roman" w:eastAsia="Times New Roman" w:hAnsi="Times New Roman"/>
                <w:spacing w:val="-2"/>
                <w:sz w:val="24"/>
                <w:szCs w:val="24"/>
                <w:lang w:eastAsia="lv-LV"/>
              </w:rPr>
              <w:t xml:space="preserve"> </w:t>
            </w:r>
            <w:r w:rsidR="005F44C3" w:rsidRPr="00E328FA">
              <w:rPr>
                <w:rFonts w:ascii="Times New Roman" w:hAnsi="Times New Roman"/>
                <w:sz w:val="24"/>
                <w:szCs w:val="24"/>
              </w:rPr>
              <w:t>Apvienotās uzraudzības komitejas apstiprināt</w:t>
            </w:r>
            <w:r w:rsidR="001F52CF" w:rsidRPr="00E328FA">
              <w:rPr>
                <w:rFonts w:ascii="Times New Roman" w:hAnsi="Times New Roman"/>
                <w:sz w:val="24"/>
                <w:szCs w:val="24"/>
              </w:rPr>
              <w:t>ajām</w:t>
            </w:r>
            <w:r w:rsidR="005F44C3" w:rsidRPr="00E328FA">
              <w:rPr>
                <w:rFonts w:ascii="Times New Roman" w:hAnsi="Times New Roman"/>
                <w:sz w:val="24"/>
                <w:szCs w:val="24"/>
              </w:rPr>
              <w:t xml:space="preserve"> vadlīnijām par projektu sagatavošanu, iesniegšanu, atlasi (arī projektu iesniegumu atlases kritērijiem) un īstenošanu, programmas izmaksu attiecināmību, kas ir saistošas programmas vadībā iesaistītajām institūcijām, projektu iesniegumu iesniedzējiem un programmas finansējuma saņēmējiem</w:t>
            </w:r>
            <w:r w:rsidR="001F52CF" w:rsidRPr="00E328FA">
              <w:rPr>
                <w:rFonts w:ascii="Times New Roman" w:hAnsi="Times New Roman"/>
                <w:sz w:val="24"/>
                <w:szCs w:val="24"/>
              </w:rPr>
              <w:t xml:space="preserve"> (turpmāk – vadlīnijas)</w:t>
            </w:r>
            <w:r w:rsidR="005F44C3" w:rsidRPr="00E328FA">
              <w:rPr>
                <w:rFonts w:ascii="Times New Roman" w:eastAsia="Times New Roman" w:hAnsi="Times New Roman"/>
                <w:spacing w:val="-2"/>
                <w:sz w:val="24"/>
                <w:szCs w:val="24"/>
                <w:lang w:eastAsia="lv-LV"/>
              </w:rPr>
              <w:t>, piemērām, attiecībā uz EKI programmas ietvaros finansēto projektu attiecināmo un neattiecin</w:t>
            </w:r>
            <w:r w:rsidR="001F52CF" w:rsidRPr="00E328FA">
              <w:rPr>
                <w:rFonts w:ascii="Times New Roman" w:eastAsia="Times New Roman" w:hAnsi="Times New Roman"/>
                <w:spacing w:val="-2"/>
                <w:sz w:val="24"/>
                <w:szCs w:val="24"/>
                <w:lang w:eastAsia="lv-LV"/>
              </w:rPr>
              <w:t>āmo izmaksu finanšu kontroļu veikšanu</w:t>
            </w:r>
            <w:r w:rsidR="005F44C3" w:rsidRPr="00E328FA">
              <w:rPr>
                <w:rFonts w:ascii="Times New Roman" w:eastAsia="Times New Roman" w:hAnsi="Times New Roman"/>
                <w:spacing w:val="-2"/>
                <w:sz w:val="24"/>
                <w:szCs w:val="24"/>
                <w:lang w:eastAsia="lv-LV"/>
              </w:rPr>
              <w:t>.</w:t>
            </w:r>
            <w:r w:rsidR="001F52CF" w:rsidRPr="00E328FA">
              <w:rPr>
                <w:rFonts w:ascii="Times New Roman" w:eastAsia="Times New Roman" w:hAnsi="Times New Roman"/>
                <w:spacing w:val="-2"/>
                <w:sz w:val="24"/>
                <w:szCs w:val="24"/>
                <w:lang w:eastAsia="lv-LV"/>
              </w:rPr>
              <w:t xml:space="preserve"> Ņemot vērā, ka EKI programmu vadlījas nav izstrādātas grozījumu MK noteikumos Nr. 124 izstrādes laikā, nav iespējams pilnībā izvērtēt nepieciešamību papildu grozījumu veikšanai. </w:t>
            </w:r>
          </w:p>
        </w:tc>
      </w:tr>
      <w:tr w:rsidR="004314FD" w:rsidRPr="00E328FA" w:rsidTr="00E6171D">
        <w:trPr>
          <w:trHeight w:val="465"/>
          <w:tblCellSpacing w:w="15" w:type="dxa"/>
        </w:trPr>
        <w:tc>
          <w:tcPr>
            <w:tcW w:w="493" w:type="pct"/>
            <w:hideMark/>
          </w:tcPr>
          <w:p w:rsidR="00027707" w:rsidRPr="00E328FA" w:rsidRDefault="00027707"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3.</w:t>
            </w:r>
          </w:p>
        </w:tc>
        <w:tc>
          <w:tcPr>
            <w:tcW w:w="1381" w:type="pct"/>
            <w:hideMark/>
          </w:tcPr>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Projekta izstrādē iesaistītās institūcijas</w:t>
            </w:r>
          </w:p>
        </w:tc>
        <w:tc>
          <w:tcPr>
            <w:tcW w:w="3058" w:type="pct"/>
            <w:hideMark/>
          </w:tcPr>
          <w:p w:rsidR="00027707" w:rsidRPr="00E328FA" w:rsidRDefault="00B179E9" w:rsidP="00161A0A">
            <w:pPr>
              <w:spacing w:after="0" w:line="240" w:lineRule="auto"/>
              <w:ind w:left="98"/>
              <w:rPr>
                <w:rFonts w:ascii="Times New Roman" w:eastAsia="Times New Roman" w:hAnsi="Times New Roman"/>
                <w:sz w:val="24"/>
                <w:szCs w:val="24"/>
                <w:lang w:eastAsia="lv-LV"/>
              </w:rPr>
            </w:pPr>
            <w:r w:rsidRPr="00E328FA">
              <w:rPr>
                <w:rFonts w:ascii="Times New Roman" w:hAnsi="Times New Roman"/>
                <w:sz w:val="24"/>
                <w:szCs w:val="24"/>
              </w:rPr>
              <w:t>VARAM</w:t>
            </w:r>
          </w:p>
        </w:tc>
      </w:tr>
      <w:tr w:rsidR="004314FD" w:rsidRPr="00E328FA" w:rsidTr="00E6171D">
        <w:trPr>
          <w:trHeight w:val="20"/>
          <w:tblCellSpacing w:w="15" w:type="dxa"/>
        </w:trPr>
        <w:tc>
          <w:tcPr>
            <w:tcW w:w="493" w:type="pct"/>
            <w:hideMark/>
          </w:tcPr>
          <w:p w:rsidR="00027707" w:rsidRPr="00E328FA" w:rsidRDefault="00027707"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4.</w:t>
            </w:r>
          </w:p>
        </w:tc>
        <w:tc>
          <w:tcPr>
            <w:tcW w:w="1381" w:type="pct"/>
            <w:hideMark/>
          </w:tcPr>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Cita informācija</w:t>
            </w:r>
          </w:p>
        </w:tc>
        <w:tc>
          <w:tcPr>
            <w:tcW w:w="3058" w:type="pct"/>
            <w:hideMark/>
          </w:tcPr>
          <w:p w:rsidR="00027707" w:rsidRPr="00E328FA" w:rsidRDefault="00027707" w:rsidP="00161A0A">
            <w:pPr>
              <w:spacing w:after="0" w:line="240" w:lineRule="auto"/>
              <w:ind w:left="98"/>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Nav</w:t>
            </w:r>
          </w:p>
        </w:tc>
      </w:tr>
    </w:tbl>
    <w:p w:rsidR="00027707" w:rsidRPr="00E328FA" w:rsidRDefault="00027707" w:rsidP="00161A0A">
      <w:pPr>
        <w:spacing w:after="0" w:line="240" w:lineRule="auto"/>
        <w:rPr>
          <w:rFonts w:ascii="Times New Roman" w:eastAsia="Times New Roman" w:hAnsi="Times New Roman"/>
          <w:vanish/>
          <w:sz w:val="24"/>
          <w:szCs w:val="24"/>
          <w:lang w:eastAsia="lv-LV"/>
        </w:rPr>
      </w:pPr>
    </w:p>
    <w:tbl>
      <w:tblPr>
        <w:tblpPr w:leftFromText="180" w:rightFromText="180" w:vertAnchor="text" w:tblpXSpec="right" w:tblpY="1"/>
        <w:tblOverlap w:val="never"/>
        <w:tblW w:w="5404"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315"/>
        <w:gridCol w:w="2401"/>
        <w:gridCol w:w="6369"/>
        <w:gridCol w:w="54"/>
      </w:tblGrid>
      <w:tr w:rsidR="004314FD" w:rsidRPr="00E328FA" w:rsidTr="006C7D94">
        <w:trPr>
          <w:gridAfter w:val="1"/>
          <w:wAfter w:w="17" w:type="pct"/>
          <w:trHeight w:val="555"/>
          <w:tblCellSpacing w:w="15" w:type="dxa"/>
        </w:trPr>
        <w:tc>
          <w:tcPr>
            <w:tcW w:w="4933" w:type="pct"/>
            <w:gridSpan w:val="3"/>
            <w:vAlign w:val="center"/>
            <w:hideMark/>
          </w:tcPr>
          <w:p w:rsidR="00027707" w:rsidRPr="00E328FA" w:rsidRDefault="00027707" w:rsidP="000E4488">
            <w:pPr>
              <w:spacing w:after="0" w:line="240" w:lineRule="auto"/>
              <w:jc w:val="center"/>
              <w:rPr>
                <w:rFonts w:ascii="Times New Roman" w:eastAsia="Times New Roman" w:hAnsi="Times New Roman"/>
                <w:b/>
                <w:bCs/>
                <w:sz w:val="24"/>
                <w:szCs w:val="24"/>
                <w:lang w:eastAsia="lv-LV"/>
              </w:rPr>
            </w:pPr>
            <w:r w:rsidRPr="00E328FA">
              <w:rPr>
                <w:rFonts w:ascii="Times New Roman" w:eastAsia="Times New Roman" w:hAnsi="Times New Roman"/>
                <w:b/>
                <w:bCs/>
                <w:sz w:val="24"/>
                <w:szCs w:val="24"/>
                <w:lang w:eastAsia="lv-LV"/>
              </w:rPr>
              <w:t>II. Tiesību akta projekta ietekme uz sabiedrību, tautsaimniecības attīstību un administratīvo slogu</w:t>
            </w:r>
          </w:p>
        </w:tc>
      </w:tr>
      <w:tr w:rsidR="004314FD" w:rsidRPr="00E328FA" w:rsidTr="006C7D94">
        <w:trPr>
          <w:trHeight w:val="465"/>
          <w:tblCellSpacing w:w="15" w:type="dxa"/>
        </w:trPr>
        <w:tc>
          <w:tcPr>
            <w:tcW w:w="61" w:type="pct"/>
            <w:hideMark/>
          </w:tcPr>
          <w:p w:rsidR="00027707" w:rsidRPr="00E328FA" w:rsidRDefault="00027707" w:rsidP="000E4488">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1.</w:t>
            </w:r>
          </w:p>
        </w:tc>
        <w:tc>
          <w:tcPr>
            <w:tcW w:w="1344" w:type="pct"/>
            <w:hideMark/>
          </w:tcPr>
          <w:p w:rsidR="00027707" w:rsidRPr="00E328FA" w:rsidRDefault="00027707" w:rsidP="000E4488">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Sabiedrības mērķgrupas, kuras tiesiskais regulējums ietekmē vai varētu ietekmēt</w:t>
            </w:r>
          </w:p>
        </w:tc>
        <w:tc>
          <w:tcPr>
            <w:tcW w:w="3527" w:type="pct"/>
            <w:gridSpan w:val="2"/>
            <w:hideMark/>
          </w:tcPr>
          <w:p w:rsidR="00027707" w:rsidRPr="00E328FA" w:rsidRDefault="000E4488" w:rsidP="00AC7794">
            <w:pPr>
              <w:spacing w:after="0" w:line="240" w:lineRule="auto"/>
              <w:ind w:right="67"/>
              <w:jc w:val="both"/>
              <w:rPr>
                <w:rFonts w:ascii="Times New Roman" w:eastAsia="Times New Roman" w:hAnsi="Times New Roman"/>
                <w:sz w:val="24"/>
                <w:szCs w:val="24"/>
                <w:lang w:eastAsia="lv-LV"/>
              </w:rPr>
            </w:pPr>
            <w:r w:rsidRPr="00E328FA">
              <w:rPr>
                <w:rFonts w:ascii="Times New Roman" w:hAnsi="Times New Roman"/>
                <w:sz w:val="24"/>
                <w:szCs w:val="24"/>
              </w:rPr>
              <w:t xml:space="preserve">Šajā tiesību akta izstrādes posmā nav iespējams konkrēti noteikt, cik finansējuma saņēmējus (publisko un privāto tiesību juridiskās personas) noteikumu projekts ietekmēs. Pamatojoties uz 2007.-2013.gada </w:t>
            </w:r>
            <w:r w:rsidR="00B179E9" w:rsidRPr="00E328FA">
              <w:rPr>
                <w:rFonts w:ascii="Times New Roman" w:hAnsi="Times New Roman"/>
                <w:sz w:val="24"/>
                <w:szCs w:val="24"/>
              </w:rPr>
              <w:t>plānošanas perioda pieredzi, to skaits</w:t>
            </w:r>
            <w:r w:rsidRPr="00E328FA">
              <w:rPr>
                <w:rFonts w:ascii="Times New Roman" w:hAnsi="Times New Roman"/>
                <w:sz w:val="24"/>
                <w:szCs w:val="24"/>
              </w:rPr>
              <w:t xml:space="preserve"> var</w:t>
            </w:r>
            <w:r w:rsidR="00B179E9" w:rsidRPr="00E328FA">
              <w:rPr>
                <w:rFonts w:ascii="Times New Roman" w:hAnsi="Times New Roman"/>
                <w:sz w:val="24"/>
                <w:szCs w:val="24"/>
              </w:rPr>
              <w:t>ētu</w:t>
            </w:r>
            <w:r w:rsidRPr="00E328FA">
              <w:rPr>
                <w:rFonts w:ascii="Times New Roman" w:hAnsi="Times New Roman"/>
                <w:sz w:val="24"/>
                <w:szCs w:val="24"/>
              </w:rPr>
              <w:t xml:space="preserve"> būt ap </w:t>
            </w:r>
            <w:r w:rsidR="00511CF8" w:rsidRPr="00E328FA">
              <w:rPr>
                <w:rFonts w:ascii="Times New Roman" w:hAnsi="Times New Roman"/>
                <w:sz w:val="24"/>
                <w:szCs w:val="24"/>
              </w:rPr>
              <w:t>1</w:t>
            </w:r>
            <w:r w:rsidR="00AC7794" w:rsidRPr="00E328FA">
              <w:rPr>
                <w:rFonts w:ascii="Times New Roman" w:hAnsi="Times New Roman"/>
                <w:sz w:val="24"/>
                <w:szCs w:val="24"/>
              </w:rPr>
              <w:t>0</w:t>
            </w:r>
            <w:r w:rsidR="00511CF8" w:rsidRPr="00E328FA">
              <w:rPr>
                <w:rFonts w:ascii="Times New Roman" w:hAnsi="Times New Roman"/>
                <w:sz w:val="24"/>
                <w:szCs w:val="24"/>
              </w:rPr>
              <w:t>0</w:t>
            </w:r>
            <w:r w:rsidRPr="00E328FA">
              <w:rPr>
                <w:rFonts w:ascii="Times New Roman" w:hAnsi="Times New Roman"/>
                <w:sz w:val="24"/>
                <w:szCs w:val="24"/>
              </w:rPr>
              <w:t xml:space="preserve"> subjektiem</w:t>
            </w:r>
            <w:r w:rsidR="001F52CF" w:rsidRPr="00E328FA">
              <w:rPr>
                <w:rFonts w:ascii="Times New Roman" w:hAnsi="Times New Roman"/>
                <w:sz w:val="24"/>
                <w:szCs w:val="24"/>
              </w:rPr>
              <w:t xml:space="preserve"> EKI programmu ietvaros</w:t>
            </w:r>
            <w:r w:rsidRPr="00E328FA">
              <w:rPr>
                <w:rFonts w:ascii="Times New Roman" w:hAnsi="Times New Roman"/>
                <w:sz w:val="24"/>
                <w:szCs w:val="24"/>
              </w:rPr>
              <w:t>.</w:t>
            </w:r>
          </w:p>
        </w:tc>
      </w:tr>
      <w:tr w:rsidR="004314FD" w:rsidRPr="00E328FA" w:rsidTr="006C7D94">
        <w:trPr>
          <w:trHeight w:val="510"/>
          <w:tblCellSpacing w:w="15" w:type="dxa"/>
        </w:trPr>
        <w:tc>
          <w:tcPr>
            <w:tcW w:w="61" w:type="pct"/>
            <w:hideMark/>
          </w:tcPr>
          <w:p w:rsidR="00F72D37" w:rsidRPr="00E328FA" w:rsidRDefault="00F72D37" w:rsidP="000E4488">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2.</w:t>
            </w:r>
          </w:p>
        </w:tc>
        <w:tc>
          <w:tcPr>
            <w:tcW w:w="1344" w:type="pct"/>
            <w:hideMark/>
          </w:tcPr>
          <w:p w:rsidR="00F72D37" w:rsidRPr="00E328FA" w:rsidRDefault="00F72D37" w:rsidP="000E4488">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Tiesiskā regulējuma ietekme uz tautsaimniecību un administratīvo slogu</w:t>
            </w:r>
          </w:p>
        </w:tc>
        <w:tc>
          <w:tcPr>
            <w:tcW w:w="3527" w:type="pct"/>
            <w:gridSpan w:val="2"/>
            <w:hideMark/>
          </w:tcPr>
          <w:p w:rsidR="00F72D37" w:rsidRPr="00E328FA" w:rsidRDefault="00026C2C" w:rsidP="00AC7794">
            <w:pPr>
              <w:spacing w:after="0" w:line="240" w:lineRule="auto"/>
              <w:ind w:left="77"/>
              <w:jc w:val="both"/>
              <w:rPr>
                <w:rFonts w:ascii="Times New Roman" w:eastAsia="Times New Roman" w:hAnsi="Times New Roman"/>
                <w:sz w:val="24"/>
                <w:szCs w:val="24"/>
                <w:lang w:eastAsia="lv-LV"/>
              </w:rPr>
            </w:pPr>
            <w:r w:rsidRPr="00E328FA">
              <w:rPr>
                <w:rFonts w:ascii="Times New Roman" w:hAnsi="Times New Roman"/>
                <w:sz w:val="24"/>
                <w:szCs w:val="24"/>
                <w:lang w:eastAsia="lv-LV"/>
              </w:rPr>
              <w:t xml:space="preserve">Finansējuma saņēmēju institūcijām </w:t>
            </w:r>
            <w:r w:rsidR="00511CF8" w:rsidRPr="00E328FA">
              <w:rPr>
                <w:rFonts w:ascii="Times New Roman" w:hAnsi="Times New Roman"/>
                <w:sz w:val="24"/>
                <w:szCs w:val="24"/>
                <w:lang w:eastAsia="lv-LV"/>
              </w:rPr>
              <w:t>administratīvais slogs</w:t>
            </w:r>
            <w:r w:rsidR="00AC7794" w:rsidRPr="00E328FA">
              <w:rPr>
                <w:rFonts w:ascii="Times New Roman" w:hAnsi="Times New Roman"/>
                <w:sz w:val="24"/>
                <w:szCs w:val="24"/>
                <w:lang w:eastAsia="lv-LV"/>
              </w:rPr>
              <w:t xml:space="preserve"> nepalielinās. Ņemot vērā, ka bieži vien vieni un tie paši finansējuma saņēmēji </w:t>
            </w:r>
            <w:r w:rsidR="00AC7794" w:rsidRPr="00E328FA">
              <w:rPr>
                <w:rFonts w:ascii="Times New Roman" w:hAnsi="Times New Roman"/>
                <w:sz w:val="24"/>
                <w:szCs w:val="24"/>
              </w:rPr>
              <w:t>(publisko un privāto tiesību juridiskās personas) īsteno projektus gan E</w:t>
            </w:r>
            <w:r w:rsidR="00AC7794" w:rsidRPr="00E328FA">
              <w:rPr>
                <w:rFonts w:ascii="Times New Roman" w:hAnsi="Times New Roman"/>
                <w:sz w:val="24"/>
                <w:szCs w:val="24"/>
                <w:lang w:eastAsia="lv-LV"/>
              </w:rPr>
              <w:t xml:space="preserve">RAF, gan EKI programmu ietvaros, vienotas prasības un noteikumi projektu finanšu kontroļu veikšanai atvieglos </w:t>
            </w:r>
            <w:r w:rsidR="008270CA" w:rsidRPr="00E328FA">
              <w:rPr>
                <w:rFonts w:ascii="Times New Roman" w:hAnsi="Times New Roman"/>
                <w:sz w:val="24"/>
                <w:szCs w:val="24"/>
                <w:lang w:eastAsia="lv-LV"/>
              </w:rPr>
              <w:t xml:space="preserve">ne tikai </w:t>
            </w:r>
            <w:r w:rsidR="00AC7794" w:rsidRPr="00E328FA">
              <w:rPr>
                <w:rFonts w:ascii="Times New Roman" w:hAnsi="Times New Roman"/>
                <w:sz w:val="24"/>
                <w:szCs w:val="24"/>
                <w:lang w:eastAsia="lv-LV"/>
              </w:rPr>
              <w:t>finansējuma saņēmēju projektu īstenošanu un atskaitīšanos par projektu ietvaros veiktajiem izdevumiem</w:t>
            </w:r>
            <w:r w:rsidR="008270CA" w:rsidRPr="00E328FA">
              <w:rPr>
                <w:rFonts w:ascii="Times New Roman" w:hAnsi="Times New Roman"/>
                <w:sz w:val="24"/>
                <w:szCs w:val="24"/>
                <w:lang w:eastAsia="lv-LV"/>
              </w:rPr>
              <w:t>, bet arī finanšu kontroļu veikšanu ERAF un EKI programmās</w:t>
            </w:r>
            <w:r w:rsidR="00AC7794" w:rsidRPr="00E328FA">
              <w:rPr>
                <w:rFonts w:ascii="Times New Roman" w:hAnsi="Times New Roman"/>
                <w:sz w:val="24"/>
                <w:szCs w:val="24"/>
                <w:lang w:eastAsia="lv-LV"/>
              </w:rPr>
              <w:t xml:space="preserve">.  </w:t>
            </w:r>
          </w:p>
        </w:tc>
      </w:tr>
      <w:tr w:rsidR="004314FD" w:rsidRPr="00E328FA" w:rsidTr="006C7D94">
        <w:trPr>
          <w:trHeight w:val="510"/>
          <w:tblCellSpacing w:w="15" w:type="dxa"/>
        </w:trPr>
        <w:tc>
          <w:tcPr>
            <w:tcW w:w="61" w:type="pct"/>
            <w:hideMark/>
          </w:tcPr>
          <w:p w:rsidR="00F72D37" w:rsidRPr="00E328FA" w:rsidRDefault="00F72D37" w:rsidP="000E4488">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3.</w:t>
            </w:r>
          </w:p>
        </w:tc>
        <w:tc>
          <w:tcPr>
            <w:tcW w:w="1344" w:type="pct"/>
            <w:hideMark/>
          </w:tcPr>
          <w:p w:rsidR="00F72D37" w:rsidRPr="00E328FA" w:rsidRDefault="00F72D37" w:rsidP="000E4488">
            <w:pPr>
              <w:spacing w:after="0" w:line="240" w:lineRule="auto"/>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Administratīvo izmaksu monetārs novērtējums</w:t>
            </w:r>
          </w:p>
        </w:tc>
        <w:tc>
          <w:tcPr>
            <w:tcW w:w="3527" w:type="pct"/>
            <w:gridSpan w:val="2"/>
            <w:hideMark/>
          </w:tcPr>
          <w:p w:rsidR="008A135E" w:rsidRPr="00E328FA" w:rsidRDefault="00AC7794" w:rsidP="00971711">
            <w:pPr>
              <w:spacing w:after="0" w:line="240" w:lineRule="auto"/>
              <w:jc w:val="both"/>
              <w:rPr>
                <w:color w:val="000000" w:themeColor="text1"/>
              </w:rPr>
            </w:pPr>
            <w:r w:rsidRPr="00E328FA">
              <w:rPr>
                <w:rFonts w:ascii="Times New Roman" w:eastAsia="Times New Roman" w:hAnsi="Times New Roman"/>
                <w:sz w:val="24"/>
                <w:szCs w:val="24"/>
                <w:lang w:eastAsia="lv-LV"/>
              </w:rPr>
              <w:t>Administratīvo izmaksu monetārais novērtējums tika iekļauts MK noteikumu Nr.</w:t>
            </w:r>
            <w:r w:rsidR="001F52CF" w:rsidRPr="00E328FA">
              <w:rPr>
                <w:rFonts w:ascii="Times New Roman" w:eastAsia="Times New Roman" w:hAnsi="Times New Roman"/>
                <w:sz w:val="24"/>
                <w:szCs w:val="24"/>
                <w:lang w:eastAsia="lv-LV"/>
              </w:rPr>
              <w:t xml:space="preserve">124 </w:t>
            </w:r>
            <w:r w:rsidRPr="00E328FA">
              <w:rPr>
                <w:rFonts w:ascii="Times New Roman" w:eastAsia="Times New Roman" w:hAnsi="Times New Roman"/>
                <w:sz w:val="24"/>
                <w:szCs w:val="24"/>
                <w:lang w:eastAsia="lv-LV"/>
              </w:rPr>
              <w:t>sākotnējās ietekmes novērtējuma ziņojumā (anotācijā). Ierosinātie grozījumi MK noteikumos Nr.124 nerada papildu administratīvās izmaksas</w:t>
            </w:r>
            <w:r w:rsidR="009C40E4" w:rsidRPr="00E328FA">
              <w:rPr>
                <w:rFonts w:ascii="Times New Roman" w:eastAsia="Times New Roman" w:hAnsi="Times New Roman"/>
                <w:sz w:val="24"/>
                <w:szCs w:val="24"/>
                <w:lang w:eastAsia="lv-LV"/>
              </w:rPr>
              <w:t xml:space="preserve"> tām, kas jau minētas </w:t>
            </w:r>
            <w:r w:rsidR="0037477B" w:rsidRPr="00E328FA">
              <w:rPr>
                <w:rFonts w:ascii="Times New Roman" w:eastAsia="Times New Roman" w:hAnsi="Times New Roman"/>
                <w:sz w:val="24"/>
                <w:szCs w:val="24"/>
                <w:lang w:eastAsia="lv-LV"/>
              </w:rPr>
              <w:t xml:space="preserve"> Ministru kabinetā 2014.gada 28.oktobrī pieņemtajā informatīvajā ziņojumā „Par finansējumu Eiropas Savienības Strukturālo un investīciju fondu mērķa „Eiropas teritoriālā sadarbība” 2014.-2020.gada plānošanas periodam finanšu kontroles sistēmas darbības nodrošināšanai Latvijā” (turpmāk – informatīvais ziņojums)</w:t>
            </w:r>
            <w:r w:rsidR="0037477B">
              <w:rPr>
                <w:rFonts w:ascii="Times New Roman" w:eastAsia="Times New Roman" w:hAnsi="Times New Roman"/>
                <w:sz w:val="24"/>
                <w:szCs w:val="24"/>
                <w:lang w:eastAsia="lv-LV"/>
              </w:rPr>
              <w:t xml:space="preserve"> </w:t>
            </w:r>
            <w:r w:rsidR="009C40E4" w:rsidRPr="00E328FA">
              <w:rPr>
                <w:rFonts w:ascii="Times New Roman" w:eastAsia="Times New Roman" w:hAnsi="Times New Roman"/>
                <w:sz w:val="24"/>
                <w:szCs w:val="24"/>
                <w:lang w:eastAsia="lv-LV"/>
              </w:rPr>
              <w:t>un MK noteikumu Nr. 124 sākotnējās ietekmes novērtējuma ziņojumā (anotācijā), kas apstiprināts Ministru kabinetā 2015.gada 10.martā.</w:t>
            </w:r>
          </w:p>
        </w:tc>
      </w:tr>
      <w:tr w:rsidR="004314FD" w:rsidRPr="00E328FA" w:rsidTr="006C7D94">
        <w:trPr>
          <w:trHeight w:val="345"/>
          <w:tblCellSpacing w:w="15" w:type="dxa"/>
        </w:trPr>
        <w:tc>
          <w:tcPr>
            <w:tcW w:w="61" w:type="pct"/>
            <w:hideMark/>
          </w:tcPr>
          <w:p w:rsidR="00F72D37" w:rsidRPr="00E328FA" w:rsidRDefault="00F72D37" w:rsidP="000E4488">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4.</w:t>
            </w:r>
          </w:p>
        </w:tc>
        <w:tc>
          <w:tcPr>
            <w:tcW w:w="1344" w:type="pct"/>
            <w:hideMark/>
          </w:tcPr>
          <w:p w:rsidR="00F72D37" w:rsidRPr="00E328FA" w:rsidRDefault="00F72D37" w:rsidP="000E4488">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Cita informācija</w:t>
            </w:r>
          </w:p>
        </w:tc>
        <w:tc>
          <w:tcPr>
            <w:tcW w:w="3527" w:type="pct"/>
            <w:gridSpan w:val="2"/>
            <w:hideMark/>
          </w:tcPr>
          <w:p w:rsidR="00F72D37" w:rsidRPr="00E328FA" w:rsidRDefault="00F72D37" w:rsidP="000E4488">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Nav</w:t>
            </w:r>
          </w:p>
        </w:tc>
      </w:tr>
    </w:tbl>
    <w:p w:rsidR="00027707" w:rsidRPr="00E328FA" w:rsidRDefault="000E4488" w:rsidP="00161A0A">
      <w:pPr>
        <w:spacing w:after="0" w:line="240" w:lineRule="auto"/>
        <w:rPr>
          <w:rFonts w:ascii="Times New Roman" w:eastAsia="Times New Roman" w:hAnsi="Times New Roman"/>
          <w:vanish/>
          <w:sz w:val="24"/>
          <w:szCs w:val="24"/>
          <w:lang w:eastAsia="lv-LV"/>
        </w:rPr>
      </w:pPr>
      <w:r w:rsidRPr="00E328FA">
        <w:rPr>
          <w:rFonts w:ascii="Times New Roman" w:eastAsia="Times New Roman" w:hAnsi="Times New Roman"/>
          <w:vanish/>
          <w:sz w:val="24"/>
          <w:szCs w:val="24"/>
          <w:lang w:eastAsia="lv-LV"/>
        </w:rPr>
        <w:br w:type="textWrapping" w:clear="all"/>
      </w:r>
    </w:p>
    <w:tbl>
      <w:tblPr>
        <w:tblW w:w="5686"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52"/>
        <w:gridCol w:w="1286"/>
        <w:gridCol w:w="965"/>
        <w:gridCol w:w="1385"/>
        <w:gridCol w:w="1662"/>
        <w:gridCol w:w="1538"/>
        <w:gridCol w:w="2649"/>
        <w:gridCol w:w="79"/>
      </w:tblGrid>
      <w:tr w:rsidR="004314FD" w:rsidRPr="00E328FA" w:rsidTr="009C4044">
        <w:trPr>
          <w:gridAfter w:val="1"/>
          <w:wAfter w:w="18" w:type="pct"/>
          <w:trHeight w:val="360"/>
          <w:tblCellSpacing w:w="15" w:type="dxa"/>
        </w:trPr>
        <w:tc>
          <w:tcPr>
            <w:tcW w:w="4936" w:type="pct"/>
            <w:gridSpan w:val="7"/>
            <w:vAlign w:val="center"/>
            <w:hideMark/>
          </w:tcPr>
          <w:p w:rsidR="00940BB5" w:rsidRPr="00E328FA" w:rsidRDefault="00940BB5" w:rsidP="00161A0A">
            <w:pPr>
              <w:spacing w:after="0" w:line="240" w:lineRule="auto"/>
              <w:ind w:left="-353"/>
              <w:jc w:val="center"/>
              <w:rPr>
                <w:rFonts w:ascii="Times New Roman" w:eastAsia="Times New Roman" w:hAnsi="Times New Roman"/>
                <w:b/>
                <w:bCs/>
                <w:sz w:val="24"/>
                <w:szCs w:val="24"/>
                <w:lang w:eastAsia="lv-LV"/>
              </w:rPr>
            </w:pPr>
            <w:r w:rsidRPr="00E328FA">
              <w:rPr>
                <w:rFonts w:ascii="Times New Roman" w:eastAsia="Times New Roman" w:hAnsi="Times New Roman"/>
                <w:b/>
                <w:bCs/>
                <w:sz w:val="24"/>
                <w:szCs w:val="24"/>
                <w:lang w:eastAsia="lv-LV"/>
              </w:rPr>
              <w:t> III. Tiesību akta projekta ietekme uz valsts budžetu un pašvaldību budžetiem</w:t>
            </w:r>
          </w:p>
        </w:tc>
      </w:tr>
      <w:tr w:rsidR="004314FD" w:rsidRPr="00E328FA" w:rsidTr="009C4044">
        <w:tblPrEx>
          <w:jc w:val="center"/>
        </w:tblPrEx>
        <w:trPr>
          <w:gridBefore w:val="1"/>
          <w:wBefore w:w="4" w:type="pct"/>
          <w:tblCellSpacing w:w="15" w:type="dxa"/>
          <w:jc w:val="center"/>
        </w:trPr>
        <w:tc>
          <w:tcPr>
            <w:tcW w:w="666" w:type="pct"/>
            <w:vMerge w:val="restart"/>
            <w:vAlign w:val="center"/>
          </w:tcPr>
          <w:p w:rsidR="00940BB5" w:rsidRPr="00E328FA" w:rsidRDefault="00940BB5" w:rsidP="00161A0A">
            <w:pPr>
              <w:spacing w:after="0" w:line="240" w:lineRule="auto"/>
              <w:ind w:left="-499" w:firstLine="300"/>
              <w:jc w:val="center"/>
              <w:rPr>
                <w:rFonts w:ascii="Times New Roman" w:eastAsia="Times New Roman" w:hAnsi="Times New Roman"/>
                <w:b/>
                <w:bCs/>
                <w:sz w:val="24"/>
                <w:szCs w:val="24"/>
                <w:lang w:eastAsia="lv-LV"/>
              </w:rPr>
            </w:pPr>
            <w:r w:rsidRPr="00E328FA">
              <w:rPr>
                <w:rFonts w:ascii="Times New Roman" w:eastAsia="Times New Roman" w:hAnsi="Times New Roman"/>
                <w:b/>
                <w:bCs/>
                <w:sz w:val="24"/>
                <w:szCs w:val="24"/>
                <w:lang w:eastAsia="lv-LV"/>
              </w:rPr>
              <w:t>Rādītāji</w:t>
            </w:r>
          </w:p>
        </w:tc>
        <w:tc>
          <w:tcPr>
            <w:tcW w:w="1213" w:type="pct"/>
            <w:gridSpan w:val="2"/>
            <w:vMerge w:val="restart"/>
            <w:vAlign w:val="center"/>
          </w:tcPr>
          <w:p w:rsidR="00940BB5" w:rsidRPr="00E328FA" w:rsidRDefault="00940BB5" w:rsidP="00161A0A">
            <w:pPr>
              <w:spacing w:after="0" w:line="240" w:lineRule="auto"/>
              <w:ind w:firstLine="300"/>
              <w:jc w:val="center"/>
              <w:rPr>
                <w:rFonts w:ascii="Times New Roman" w:eastAsia="Times New Roman" w:hAnsi="Times New Roman"/>
                <w:b/>
                <w:bCs/>
                <w:sz w:val="24"/>
                <w:szCs w:val="24"/>
                <w:lang w:eastAsia="lv-LV"/>
              </w:rPr>
            </w:pPr>
            <w:r w:rsidRPr="00E328FA">
              <w:rPr>
                <w:rFonts w:ascii="Times New Roman" w:eastAsia="Times New Roman" w:hAnsi="Times New Roman"/>
                <w:b/>
                <w:bCs/>
                <w:sz w:val="24"/>
                <w:szCs w:val="24"/>
                <w:lang w:eastAsia="lv-LV"/>
              </w:rPr>
              <w:t>201</w:t>
            </w:r>
            <w:r w:rsidR="007C4223" w:rsidRPr="00E328FA">
              <w:rPr>
                <w:rFonts w:ascii="Times New Roman" w:eastAsia="Times New Roman" w:hAnsi="Times New Roman"/>
                <w:b/>
                <w:bCs/>
                <w:sz w:val="24"/>
                <w:szCs w:val="24"/>
                <w:lang w:eastAsia="lv-LV"/>
              </w:rPr>
              <w:t>6</w:t>
            </w:r>
            <w:r w:rsidRPr="00E328FA">
              <w:rPr>
                <w:rFonts w:ascii="Times New Roman" w:eastAsia="Times New Roman" w:hAnsi="Times New Roman"/>
                <w:b/>
                <w:bCs/>
                <w:sz w:val="24"/>
                <w:szCs w:val="24"/>
                <w:lang w:eastAsia="lv-LV"/>
              </w:rPr>
              <w:t>. gads</w:t>
            </w:r>
          </w:p>
        </w:tc>
        <w:tc>
          <w:tcPr>
            <w:tcW w:w="3039" w:type="pct"/>
            <w:gridSpan w:val="4"/>
            <w:vAlign w:val="center"/>
          </w:tcPr>
          <w:p w:rsidR="00940BB5" w:rsidRPr="00E328FA" w:rsidRDefault="00940BB5" w:rsidP="00161A0A">
            <w:pPr>
              <w:spacing w:after="0" w:line="240" w:lineRule="auto"/>
              <w:ind w:firstLine="300"/>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Turpmākie trīs gadi (</w:t>
            </w:r>
            <w:r w:rsidRPr="00E328FA">
              <w:rPr>
                <w:rFonts w:ascii="Times New Roman" w:eastAsia="Times New Roman" w:hAnsi="Times New Roman"/>
                <w:i/>
                <w:iCs/>
                <w:sz w:val="24"/>
                <w:szCs w:val="24"/>
                <w:lang w:eastAsia="lv-LV"/>
              </w:rPr>
              <w:t>euro</w:t>
            </w:r>
            <w:r w:rsidRPr="00E328FA">
              <w:rPr>
                <w:rFonts w:ascii="Times New Roman" w:eastAsia="Times New Roman" w:hAnsi="Times New Roman"/>
                <w:sz w:val="24"/>
                <w:szCs w:val="24"/>
                <w:lang w:eastAsia="lv-LV"/>
              </w:rPr>
              <w:t>)</w:t>
            </w:r>
          </w:p>
        </w:tc>
      </w:tr>
      <w:tr w:rsidR="004314FD" w:rsidRPr="00E328FA" w:rsidTr="009C4044">
        <w:tblPrEx>
          <w:jc w:val="center"/>
        </w:tblPrEx>
        <w:trPr>
          <w:gridBefore w:val="1"/>
          <w:wBefore w:w="4" w:type="pct"/>
          <w:tblCellSpacing w:w="15" w:type="dxa"/>
          <w:jc w:val="center"/>
        </w:trPr>
        <w:tc>
          <w:tcPr>
            <w:tcW w:w="666" w:type="pct"/>
            <w:vMerge/>
            <w:vAlign w:val="center"/>
          </w:tcPr>
          <w:p w:rsidR="00940BB5" w:rsidRPr="00E328FA" w:rsidRDefault="00940BB5" w:rsidP="00161A0A">
            <w:pPr>
              <w:spacing w:after="0" w:line="240" w:lineRule="auto"/>
              <w:rPr>
                <w:rFonts w:ascii="Times New Roman" w:eastAsia="Times New Roman" w:hAnsi="Times New Roman"/>
                <w:b/>
                <w:bCs/>
                <w:sz w:val="24"/>
                <w:szCs w:val="24"/>
                <w:lang w:eastAsia="lv-LV"/>
              </w:rPr>
            </w:pPr>
          </w:p>
        </w:tc>
        <w:tc>
          <w:tcPr>
            <w:tcW w:w="1213" w:type="pct"/>
            <w:gridSpan w:val="2"/>
            <w:vMerge/>
            <w:vAlign w:val="center"/>
          </w:tcPr>
          <w:p w:rsidR="00940BB5" w:rsidRPr="00E328FA" w:rsidRDefault="00940BB5" w:rsidP="00161A0A">
            <w:pPr>
              <w:spacing w:after="0" w:line="240" w:lineRule="auto"/>
              <w:rPr>
                <w:rFonts w:ascii="Times New Roman" w:eastAsia="Times New Roman" w:hAnsi="Times New Roman"/>
                <w:b/>
                <w:bCs/>
                <w:sz w:val="24"/>
                <w:szCs w:val="24"/>
                <w:lang w:eastAsia="lv-LV"/>
              </w:rPr>
            </w:pPr>
          </w:p>
        </w:tc>
        <w:tc>
          <w:tcPr>
            <w:tcW w:w="865" w:type="pct"/>
            <w:vAlign w:val="center"/>
          </w:tcPr>
          <w:p w:rsidR="00940BB5" w:rsidRPr="00E328FA" w:rsidRDefault="00940BB5" w:rsidP="00161A0A">
            <w:pPr>
              <w:spacing w:after="0" w:line="240" w:lineRule="auto"/>
              <w:jc w:val="center"/>
              <w:rPr>
                <w:rFonts w:ascii="Times New Roman" w:eastAsia="Times New Roman" w:hAnsi="Times New Roman"/>
                <w:b/>
                <w:bCs/>
                <w:sz w:val="24"/>
                <w:szCs w:val="24"/>
                <w:lang w:eastAsia="lv-LV"/>
              </w:rPr>
            </w:pPr>
            <w:r w:rsidRPr="00E328FA">
              <w:rPr>
                <w:rFonts w:ascii="Times New Roman" w:eastAsia="Times New Roman" w:hAnsi="Times New Roman"/>
                <w:b/>
                <w:bCs/>
                <w:sz w:val="24"/>
                <w:szCs w:val="24"/>
                <w:lang w:eastAsia="lv-LV"/>
              </w:rPr>
              <w:t>201</w:t>
            </w:r>
            <w:r w:rsidR="007C4223" w:rsidRPr="00E328FA">
              <w:rPr>
                <w:rFonts w:ascii="Times New Roman" w:eastAsia="Times New Roman" w:hAnsi="Times New Roman"/>
                <w:b/>
                <w:bCs/>
                <w:sz w:val="24"/>
                <w:szCs w:val="24"/>
                <w:lang w:eastAsia="lv-LV"/>
              </w:rPr>
              <w:t>7</w:t>
            </w:r>
          </w:p>
        </w:tc>
        <w:tc>
          <w:tcPr>
            <w:tcW w:w="800" w:type="pct"/>
            <w:vAlign w:val="center"/>
          </w:tcPr>
          <w:p w:rsidR="00940BB5" w:rsidRPr="00E328FA" w:rsidRDefault="00940BB5" w:rsidP="00161A0A">
            <w:pPr>
              <w:spacing w:after="0" w:line="240" w:lineRule="auto"/>
              <w:jc w:val="center"/>
              <w:rPr>
                <w:rFonts w:ascii="Times New Roman" w:eastAsia="Times New Roman" w:hAnsi="Times New Roman"/>
                <w:b/>
                <w:bCs/>
                <w:sz w:val="24"/>
                <w:szCs w:val="24"/>
                <w:lang w:eastAsia="lv-LV"/>
              </w:rPr>
            </w:pPr>
            <w:r w:rsidRPr="00E328FA">
              <w:rPr>
                <w:rFonts w:ascii="Times New Roman" w:eastAsia="Times New Roman" w:hAnsi="Times New Roman"/>
                <w:b/>
                <w:bCs/>
                <w:sz w:val="24"/>
                <w:szCs w:val="24"/>
                <w:lang w:eastAsia="lv-LV"/>
              </w:rPr>
              <w:t>201</w:t>
            </w:r>
            <w:r w:rsidR="007C4223" w:rsidRPr="00E328FA">
              <w:rPr>
                <w:rFonts w:ascii="Times New Roman" w:eastAsia="Times New Roman" w:hAnsi="Times New Roman"/>
                <w:b/>
                <w:bCs/>
                <w:sz w:val="24"/>
                <w:szCs w:val="24"/>
                <w:lang w:eastAsia="lv-LV"/>
              </w:rPr>
              <w:t>8</w:t>
            </w:r>
          </w:p>
        </w:tc>
        <w:tc>
          <w:tcPr>
            <w:tcW w:w="1343" w:type="pct"/>
            <w:gridSpan w:val="2"/>
            <w:vAlign w:val="center"/>
          </w:tcPr>
          <w:p w:rsidR="00940BB5" w:rsidRPr="00E328FA" w:rsidRDefault="00940BB5" w:rsidP="00161A0A">
            <w:pPr>
              <w:spacing w:after="0" w:line="240" w:lineRule="auto"/>
              <w:jc w:val="center"/>
              <w:rPr>
                <w:rFonts w:ascii="Times New Roman" w:eastAsia="Times New Roman" w:hAnsi="Times New Roman"/>
                <w:b/>
                <w:bCs/>
                <w:sz w:val="24"/>
                <w:szCs w:val="24"/>
                <w:lang w:eastAsia="lv-LV"/>
              </w:rPr>
            </w:pPr>
            <w:r w:rsidRPr="00E328FA">
              <w:rPr>
                <w:rFonts w:ascii="Times New Roman" w:eastAsia="Times New Roman" w:hAnsi="Times New Roman"/>
                <w:b/>
                <w:bCs/>
                <w:sz w:val="24"/>
                <w:szCs w:val="24"/>
                <w:lang w:eastAsia="lv-LV"/>
              </w:rPr>
              <w:t>201</w:t>
            </w:r>
            <w:r w:rsidR="007C4223" w:rsidRPr="00E328FA">
              <w:rPr>
                <w:rFonts w:ascii="Times New Roman" w:eastAsia="Times New Roman" w:hAnsi="Times New Roman"/>
                <w:b/>
                <w:bCs/>
                <w:sz w:val="24"/>
                <w:szCs w:val="24"/>
                <w:lang w:eastAsia="lv-LV"/>
              </w:rPr>
              <w:t>9</w:t>
            </w:r>
          </w:p>
        </w:tc>
      </w:tr>
      <w:tr w:rsidR="004314FD" w:rsidRPr="00E328FA" w:rsidTr="009C4044">
        <w:tblPrEx>
          <w:jc w:val="center"/>
        </w:tblPrEx>
        <w:trPr>
          <w:gridBefore w:val="1"/>
          <w:wBefore w:w="4" w:type="pct"/>
          <w:trHeight w:val="1375"/>
          <w:tblCellSpacing w:w="15" w:type="dxa"/>
          <w:jc w:val="center"/>
        </w:trPr>
        <w:tc>
          <w:tcPr>
            <w:tcW w:w="666" w:type="pct"/>
            <w:vMerge/>
            <w:vAlign w:val="center"/>
          </w:tcPr>
          <w:p w:rsidR="00940BB5" w:rsidRPr="00E328FA" w:rsidRDefault="00940BB5" w:rsidP="00161A0A">
            <w:pPr>
              <w:spacing w:after="0" w:line="240" w:lineRule="auto"/>
              <w:rPr>
                <w:rFonts w:ascii="Times New Roman" w:eastAsia="Times New Roman" w:hAnsi="Times New Roman"/>
                <w:b/>
                <w:bCs/>
                <w:sz w:val="24"/>
                <w:szCs w:val="24"/>
                <w:lang w:eastAsia="lv-LV"/>
              </w:rPr>
            </w:pPr>
          </w:p>
        </w:tc>
        <w:tc>
          <w:tcPr>
            <w:tcW w:w="495" w:type="pct"/>
            <w:vAlign w:val="center"/>
          </w:tcPr>
          <w:p w:rsidR="00940BB5" w:rsidRPr="00E328FA" w:rsidRDefault="00940BB5" w:rsidP="00161A0A">
            <w:pPr>
              <w:spacing w:after="0" w:line="240" w:lineRule="auto"/>
              <w:jc w:val="center"/>
              <w:rPr>
                <w:rFonts w:ascii="Times New Roman" w:eastAsia="Times New Roman" w:hAnsi="Times New Roman"/>
                <w:sz w:val="20"/>
                <w:szCs w:val="20"/>
                <w:lang w:eastAsia="lv-LV"/>
              </w:rPr>
            </w:pPr>
            <w:r w:rsidRPr="00E328FA">
              <w:rPr>
                <w:rFonts w:ascii="Times New Roman" w:eastAsia="Times New Roman" w:hAnsi="Times New Roman"/>
                <w:sz w:val="20"/>
                <w:szCs w:val="20"/>
                <w:lang w:eastAsia="lv-LV"/>
              </w:rPr>
              <w:t>saskaņā ar valsts budžetu kārtējam gadam</w:t>
            </w:r>
          </w:p>
        </w:tc>
        <w:tc>
          <w:tcPr>
            <w:tcW w:w="702" w:type="pct"/>
            <w:vAlign w:val="center"/>
          </w:tcPr>
          <w:p w:rsidR="00940BB5" w:rsidRPr="00E328FA" w:rsidRDefault="00940BB5" w:rsidP="00161A0A">
            <w:pPr>
              <w:spacing w:after="0" w:line="240" w:lineRule="auto"/>
              <w:jc w:val="center"/>
              <w:rPr>
                <w:rFonts w:ascii="Times New Roman" w:eastAsia="Times New Roman" w:hAnsi="Times New Roman"/>
                <w:sz w:val="20"/>
                <w:szCs w:val="20"/>
                <w:lang w:eastAsia="lv-LV"/>
              </w:rPr>
            </w:pPr>
            <w:r w:rsidRPr="00E328FA">
              <w:rPr>
                <w:rFonts w:ascii="Times New Roman" w:eastAsia="Times New Roman" w:hAnsi="Times New Roman"/>
                <w:sz w:val="20"/>
                <w:szCs w:val="20"/>
                <w:lang w:eastAsia="lv-LV"/>
              </w:rPr>
              <w:t>izmaiņas kārtējā gadā, salīdzinot ar valsts budžetu kārtējam gadam</w:t>
            </w:r>
          </w:p>
        </w:tc>
        <w:tc>
          <w:tcPr>
            <w:tcW w:w="865" w:type="pct"/>
            <w:vAlign w:val="center"/>
          </w:tcPr>
          <w:p w:rsidR="00940BB5" w:rsidRPr="00E328FA" w:rsidRDefault="00940BB5" w:rsidP="00161A0A">
            <w:pPr>
              <w:spacing w:after="0" w:line="240" w:lineRule="auto"/>
              <w:jc w:val="center"/>
              <w:rPr>
                <w:rFonts w:ascii="Times New Roman" w:eastAsia="Times New Roman" w:hAnsi="Times New Roman"/>
                <w:sz w:val="20"/>
                <w:szCs w:val="20"/>
                <w:lang w:eastAsia="lv-LV"/>
              </w:rPr>
            </w:pPr>
            <w:r w:rsidRPr="00E328FA">
              <w:rPr>
                <w:rFonts w:ascii="Times New Roman" w:eastAsia="Times New Roman" w:hAnsi="Times New Roman"/>
                <w:sz w:val="20"/>
                <w:szCs w:val="20"/>
                <w:lang w:eastAsia="lv-LV"/>
              </w:rPr>
              <w:t>izma</w:t>
            </w:r>
            <w:r w:rsidR="007C4223" w:rsidRPr="00E328FA">
              <w:rPr>
                <w:rFonts w:ascii="Times New Roman" w:eastAsia="Times New Roman" w:hAnsi="Times New Roman"/>
                <w:sz w:val="20"/>
                <w:szCs w:val="20"/>
                <w:lang w:eastAsia="lv-LV"/>
              </w:rPr>
              <w:t>iņas, salīdzinot ar kārtējo 2016</w:t>
            </w:r>
            <w:r w:rsidRPr="00E328FA">
              <w:rPr>
                <w:rFonts w:ascii="Times New Roman" w:eastAsia="Times New Roman" w:hAnsi="Times New Roman"/>
                <w:sz w:val="20"/>
                <w:szCs w:val="20"/>
                <w:lang w:eastAsia="lv-LV"/>
              </w:rPr>
              <w:t>. gadu</w:t>
            </w:r>
          </w:p>
        </w:tc>
        <w:tc>
          <w:tcPr>
            <w:tcW w:w="800" w:type="pct"/>
            <w:vAlign w:val="center"/>
          </w:tcPr>
          <w:p w:rsidR="00940BB5" w:rsidRPr="00E328FA" w:rsidRDefault="00940BB5" w:rsidP="007C4223">
            <w:pPr>
              <w:spacing w:after="0" w:line="240" w:lineRule="auto"/>
              <w:jc w:val="center"/>
              <w:rPr>
                <w:rFonts w:ascii="Times New Roman" w:eastAsia="Times New Roman" w:hAnsi="Times New Roman"/>
                <w:sz w:val="20"/>
                <w:szCs w:val="20"/>
                <w:lang w:eastAsia="lv-LV"/>
              </w:rPr>
            </w:pPr>
            <w:r w:rsidRPr="00E328FA">
              <w:rPr>
                <w:rFonts w:ascii="Times New Roman" w:eastAsia="Times New Roman" w:hAnsi="Times New Roman"/>
                <w:sz w:val="20"/>
                <w:szCs w:val="20"/>
                <w:lang w:eastAsia="lv-LV"/>
              </w:rPr>
              <w:t>izmaiņas, salīdzinot ar kārtējo 201</w:t>
            </w:r>
            <w:r w:rsidR="007C4223" w:rsidRPr="00E328FA">
              <w:rPr>
                <w:rFonts w:ascii="Times New Roman" w:eastAsia="Times New Roman" w:hAnsi="Times New Roman"/>
                <w:sz w:val="20"/>
                <w:szCs w:val="20"/>
                <w:lang w:eastAsia="lv-LV"/>
              </w:rPr>
              <w:t>6</w:t>
            </w:r>
            <w:r w:rsidRPr="00E328FA">
              <w:rPr>
                <w:rFonts w:ascii="Times New Roman" w:eastAsia="Times New Roman" w:hAnsi="Times New Roman"/>
                <w:sz w:val="20"/>
                <w:szCs w:val="20"/>
                <w:lang w:eastAsia="lv-LV"/>
              </w:rPr>
              <w:t>. gadu</w:t>
            </w:r>
          </w:p>
        </w:tc>
        <w:tc>
          <w:tcPr>
            <w:tcW w:w="1343" w:type="pct"/>
            <w:gridSpan w:val="2"/>
            <w:vAlign w:val="center"/>
          </w:tcPr>
          <w:p w:rsidR="00940BB5" w:rsidRPr="00E328FA" w:rsidRDefault="00940BB5" w:rsidP="00161A0A">
            <w:pPr>
              <w:spacing w:after="0" w:line="240" w:lineRule="auto"/>
              <w:jc w:val="center"/>
              <w:rPr>
                <w:rFonts w:ascii="Times New Roman" w:eastAsia="Times New Roman" w:hAnsi="Times New Roman"/>
                <w:sz w:val="20"/>
                <w:szCs w:val="20"/>
                <w:lang w:eastAsia="lv-LV"/>
              </w:rPr>
            </w:pPr>
            <w:r w:rsidRPr="00E328FA">
              <w:rPr>
                <w:rFonts w:ascii="Times New Roman" w:eastAsia="Times New Roman" w:hAnsi="Times New Roman"/>
                <w:sz w:val="20"/>
                <w:szCs w:val="20"/>
                <w:lang w:eastAsia="lv-LV"/>
              </w:rPr>
              <w:t>izma</w:t>
            </w:r>
            <w:r w:rsidR="007C4223" w:rsidRPr="00E328FA">
              <w:rPr>
                <w:rFonts w:ascii="Times New Roman" w:eastAsia="Times New Roman" w:hAnsi="Times New Roman"/>
                <w:sz w:val="20"/>
                <w:szCs w:val="20"/>
                <w:lang w:eastAsia="lv-LV"/>
              </w:rPr>
              <w:t>iņas, salīdzinot ar kārtējo 2016</w:t>
            </w:r>
            <w:r w:rsidRPr="00E328FA">
              <w:rPr>
                <w:rFonts w:ascii="Times New Roman" w:eastAsia="Times New Roman" w:hAnsi="Times New Roman"/>
                <w:sz w:val="20"/>
                <w:szCs w:val="20"/>
                <w:lang w:eastAsia="lv-LV"/>
              </w:rPr>
              <w:t>. gadu</w:t>
            </w:r>
          </w:p>
        </w:tc>
      </w:tr>
      <w:tr w:rsidR="004314FD" w:rsidRPr="00E328FA" w:rsidTr="009C4044">
        <w:tblPrEx>
          <w:jc w:val="center"/>
        </w:tblPrEx>
        <w:trPr>
          <w:gridBefore w:val="1"/>
          <w:wBefore w:w="4" w:type="pct"/>
          <w:tblCellSpacing w:w="15" w:type="dxa"/>
          <w:jc w:val="center"/>
        </w:trPr>
        <w:tc>
          <w:tcPr>
            <w:tcW w:w="666" w:type="pct"/>
            <w:vAlign w:val="center"/>
          </w:tcPr>
          <w:p w:rsidR="00940BB5" w:rsidRPr="00E328FA" w:rsidRDefault="00940BB5"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1</w:t>
            </w:r>
          </w:p>
        </w:tc>
        <w:tc>
          <w:tcPr>
            <w:tcW w:w="495" w:type="pct"/>
            <w:vAlign w:val="center"/>
          </w:tcPr>
          <w:p w:rsidR="00940BB5" w:rsidRPr="00E328FA" w:rsidRDefault="00940BB5"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2</w:t>
            </w:r>
          </w:p>
        </w:tc>
        <w:tc>
          <w:tcPr>
            <w:tcW w:w="702" w:type="pct"/>
            <w:vAlign w:val="center"/>
          </w:tcPr>
          <w:p w:rsidR="00940BB5" w:rsidRPr="00E328FA" w:rsidRDefault="00940BB5"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3</w:t>
            </w:r>
          </w:p>
        </w:tc>
        <w:tc>
          <w:tcPr>
            <w:tcW w:w="865" w:type="pct"/>
            <w:vAlign w:val="center"/>
          </w:tcPr>
          <w:p w:rsidR="00940BB5" w:rsidRPr="00E328FA" w:rsidRDefault="00940BB5"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4</w:t>
            </w:r>
          </w:p>
        </w:tc>
        <w:tc>
          <w:tcPr>
            <w:tcW w:w="800" w:type="pct"/>
            <w:vAlign w:val="center"/>
          </w:tcPr>
          <w:p w:rsidR="00940BB5" w:rsidRPr="00E328FA" w:rsidRDefault="00940BB5"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5</w:t>
            </w:r>
          </w:p>
        </w:tc>
        <w:tc>
          <w:tcPr>
            <w:tcW w:w="1343" w:type="pct"/>
            <w:gridSpan w:val="2"/>
            <w:vAlign w:val="center"/>
          </w:tcPr>
          <w:p w:rsidR="00940BB5" w:rsidRPr="00E328FA" w:rsidRDefault="00940BB5"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6</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1. Budžeta ieņēmumi:</w:t>
            </w:r>
          </w:p>
        </w:tc>
        <w:tc>
          <w:tcPr>
            <w:tcW w:w="495" w:type="pct"/>
          </w:tcPr>
          <w:p w:rsidR="008620D1" w:rsidRPr="00E328FA" w:rsidRDefault="009C4044" w:rsidP="009C404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0</w:t>
            </w:r>
          </w:p>
        </w:tc>
        <w:tc>
          <w:tcPr>
            <w:tcW w:w="800" w:type="pct"/>
          </w:tcPr>
          <w:p w:rsidR="008620D1" w:rsidRPr="00E328FA" w:rsidRDefault="008620D1" w:rsidP="00051B1D">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0</w:t>
            </w:r>
          </w:p>
        </w:tc>
        <w:tc>
          <w:tcPr>
            <w:tcW w:w="1343" w:type="pct"/>
            <w:gridSpan w:val="2"/>
          </w:tcPr>
          <w:p w:rsidR="008620D1" w:rsidRPr="00E328FA" w:rsidRDefault="008620D1" w:rsidP="008620D1">
            <w:pPr>
              <w:spacing w:after="0" w:line="240" w:lineRule="auto"/>
              <w:ind w:hanging="163"/>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00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1.1. valsts pamatbudžets, tai skaitā ieņēmumi no maksas pakalpojumiem un citi pašu ieņēmumi</w:t>
            </w:r>
          </w:p>
        </w:tc>
        <w:tc>
          <w:tcPr>
            <w:tcW w:w="495"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02" w:type="pct"/>
          </w:tcPr>
          <w:p w:rsidR="008620D1" w:rsidRPr="00E328FA" w:rsidRDefault="008620D1" w:rsidP="008620D1">
            <w:pPr>
              <w:spacing w:after="0" w:line="240" w:lineRule="auto"/>
              <w:ind w:left="44" w:firstLine="358"/>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0</w:t>
            </w:r>
          </w:p>
        </w:tc>
        <w:tc>
          <w:tcPr>
            <w:tcW w:w="800"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0</w:t>
            </w:r>
          </w:p>
        </w:tc>
        <w:tc>
          <w:tcPr>
            <w:tcW w:w="1343" w:type="pct"/>
            <w:gridSpan w:val="2"/>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1.2. valsts speciālais budžets</w:t>
            </w:r>
          </w:p>
        </w:tc>
        <w:tc>
          <w:tcPr>
            <w:tcW w:w="49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00"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1343" w:type="pct"/>
            <w:gridSpan w:val="2"/>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1.3. pašvaldību budžets</w:t>
            </w:r>
          </w:p>
        </w:tc>
        <w:tc>
          <w:tcPr>
            <w:tcW w:w="49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00"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0 </w:t>
            </w:r>
          </w:p>
        </w:tc>
        <w:tc>
          <w:tcPr>
            <w:tcW w:w="1343" w:type="pct"/>
            <w:gridSpan w:val="2"/>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0 </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2. Budžeta izdevumi:</w:t>
            </w:r>
          </w:p>
        </w:tc>
        <w:tc>
          <w:tcPr>
            <w:tcW w:w="495"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02"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65" w:type="pct"/>
            <w:shd w:val="clear" w:color="auto" w:fill="auto"/>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0"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343" w:type="pct"/>
            <w:gridSpan w:val="2"/>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2.1. valsts pamatbudžets</w:t>
            </w:r>
          </w:p>
        </w:tc>
        <w:tc>
          <w:tcPr>
            <w:tcW w:w="495"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02"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65" w:type="pct"/>
            <w:shd w:val="clear" w:color="auto" w:fill="auto"/>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0"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343" w:type="pct"/>
            <w:gridSpan w:val="2"/>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2.2. valsts speciālais budžets</w:t>
            </w:r>
          </w:p>
        </w:tc>
        <w:tc>
          <w:tcPr>
            <w:tcW w:w="49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w:t>
            </w:r>
            <w:r w:rsidR="00DF2DDD">
              <w:rPr>
                <w:rFonts w:ascii="Times New Roman" w:eastAsia="Times New Roman" w:hAnsi="Times New Roman"/>
                <w:sz w:val="24"/>
                <w:szCs w:val="24"/>
                <w:lang w:eastAsia="lv-LV"/>
              </w:rPr>
              <w:t>0</w:t>
            </w:r>
          </w:p>
        </w:tc>
        <w:tc>
          <w:tcPr>
            <w:tcW w:w="800" w:type="pct"/>
          </w:tcPr>
          <w:p w:rsidR="008620D1" w:rsidRPr="00E328FA" w:rsidRDefault="00DF2DDD"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008620D1" w:rsidRPr="00E328FA">
              <w:rPr>
                <w:rFonts w:ascii="Times New Roman" w:eastAsia="Times New Roman" w:hAnsi="Times New Roman"/>
                <w:sz w:val="24"/>
                <w:szCs w:val="24"/>
                <w:lang w:eastAsia="lv-LV"/>
              </w:rPr>
              <w:t> </w:t>
            </w:r>
          </w:p>
        </w:tc>
        <w:tc>
          <w:tcPr>
            <w:tcW w:w="1343" w:type="pct"/>
            <w:gridSpan w:val="2"/>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w:t>
            </w:r>
            <w:r w:rsidR="00DF2DDD">
              <w:rPr>
                <w:rFonts w:ascii="Times New Roman" w:eastAsia="Times New Roman" w:hAnsi="Times New Roman"/>
                <w:sz w:val="24"/>
                <w:szCs w:val="24"/>
                <w:lang w:eastAsia="lv-LV"/>
              </w:rPr>
              <w:t>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2.3. pašvaldību budžets</w:t>
            </w:r>
          </w:p>
        </w:tc>
        <w:tc>
          <w:tcPr>
            <w:tcW w:w="49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w:t>
            </w:r>
            <w:r w:rsidR="00DF2DDD">
              <w:rPr>
                <w:rFonts w:ascii="Times New Roman" w:eastAsia="Times New Roman" w:hAnsi="Times New Roman"/>
                <w:sz w:val="24"/>
                <w:szCs w:val="24"/>
                <w:lang w:eastAsia="lv-LV"/>
              </w:rPr>
              <w:t>0</w:t>
            </w:r>
          </w:p>
        </w:tc>
        <w:tc>
          <w:tcPr>
            <w:tcW w:w="800"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w:t>
            </w:r>
            <w:r w:rsidR="00DF2DDD">
              <w:rPr>
                <w:rFonts w:ascii="Times New Roman" w:eastAsia="Times New Roman" w:hAnsi="Times New Roman"/>
                <w:sz w:val="24"/>
                <w:szCs w:val="24"/>
                <w:lang w:eastAsia="lv-LV"/>
              </w:rPr>
              <w:t>0</w:t>
            </w:r>
          </w:p>
        </w:tc>
        <w:tc>
          <w:tcPr>
            <w:tcW w:w="1343" w:type="pct"/>
            <w:gridSpan w:val="2"/>
          </w:tcPr>
          <w:p w:rsidR="008620D1" w:rsidRPr="00E328FA" w:rsidRDefault="00DF2DDD"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3. Finansiālā ietekme:</w:t>
            </w:r>
          </w:p>
        </w:tc>
        <w:tc>
          <w:tcPr>
            <w:tcW w:w="495" w:type="pct"/>
            <w:vAlign w:val="center"/>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0"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343" w:type="pct"/>
            <w:gridSpan w:val="2"/>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3.1. valsts pamatbudžets</w:t>
            </w:r>
          </w:p>
        </w:tc>
        <w:tc>
          <w:tcPr>
            <w:tcW w:w="49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0</w:t>
            </w: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0"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343" w:type="pct"/>
            <w:gridSpan w:val="2"/>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3.2. speciālais budžets</w:t>
            </w:r>
          </w:p>
        </w:tc>
        <w:tc>
          <w:tcPr>
            <w:tcW w:w="49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00"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1343" w:type="pct"/>
            <w:gridSpan w:val="2"/>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3.3. pašvaldību budžets</w:t>
            </w:r>
          </w:p>
        </w:tc>
        <w:tc>
          <w:tcPr>
            <w:tcW w:w="49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00"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1343" w:type="pct"/>
            <w:gridSpan w:val="2"/>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r>
      <w:tr w:rsidR="008620D1" w:rsidRPr="00E328FA" w:rsidTr="009C4044">
        <w:tblPrEx>
          <w:jc w:val="center"/>
        </w:tblPrEx>
        <w:trPr>
          <w:gridBefore w:val="1"/>
          <w:wBefore w:w="4" w:type="pct"/>
          <w:tblCellSpacing w:w="15" w:type="dxa"/>
          <w:jc w:val="center"/>
        </w:trPr>
        <w:tc>
          <w:tcPr>
            <w:tcW w:w="666" w:type="pct"/>
            <w:vMerge w:val="restar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4. Finanšu līdzekļi papildu izdevumu finansēšanai (kompensējošu izdevumu samazinājumu norāda ar "+" zīmi)</w:t>
            </w:r>
          </w:p>
        </w:tc>
        <w:tc>
          <w:tcPr>
            <w:tcW w:w="495" w:type="pct"/>
            <w:vMerge w:val="restart"/>
          </w:tcPr>
          <w:p w:rsidR="008620D1" w:rsidRPr="00E328FA" w:rsidRDefault="008620D1" w:rsidP="008620D1">
            <w:pPr>
              <w:spacing w:after="0" w:line="240" w:lineRule="auto"/>
              <w:ind w:firstLine="300"/>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X</w:t>
            </w: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00"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1343" w:type="pct"/>
            <w:gridSpan w:val="2"/>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r>
      <w:tr w:rsidR="008620D1" w:rsidRPr="00E328FA" w:rsidTr="009C4044">
        <w:tblPrEx>
          <w:jc w:val="center"/>
        </w:tblPrEx>
        <w:trPr>
          <w:gridBefore w:val="1"/>
          <w:wBefore w:w="4" w:type="pct"/>
          <w:tblCellSpacing w:w="15" w:type="dxa"/>
          <w:jc w:val="center"/>
        </w:trPr>
        <w:tc>
          <w:tcPr>
            <w:tcW w:w="666" w:type="pct"/>
            <w:vMerge/>
            <w:vAlign w:val="center"/>
          </w:tcPr>
          <w:p w:rsidR="008620D1" w:rsidRPr="00E328FA" w:rsidRDefault="008620D1" w:rsidP="008620D1">
            <w:pPr>
              <w:spacing w:after="0" w:line="240" w:lineRule="auto"/>
              <w:rPr>
                <w:rFonts w:ascii="Times New Roman" w:eastAsia="Times New Roman" w:hAnsi="Times New Roman"/>
                <w:sz w:val="24"/>
                <w:szCs w:val="24"/>
                <w:lang w:eastAsia="lv-LV"/>
              </w:rPr>
            </w:pPr>
          </w:p>
        </w:tc>
        <w:tc>
          <w:tcPr>
            <w:tcW w:w="495" w:type="pct"/>
            <w:vMerge/>
            <w:vAlign w:val="center"/>
          </w:tcPr>
          <w:p w:rsidR="008620D1" w:rsidRPr="00E328FA" w:rsidRDefault="008620D1" w:rsidP="008620D1">
            <w:pPr>
              <w:spacing w:after="0" w:line="240" w:lineRule="auto"/>
              <w:rPr>
                <w:rFonts w:ascii="Times New Roman" w:eastAsia="Times New Roman" w:hAnsi="Times New Roman"/>
                <w:sz w:val="24"/>
                <w:szCs w:val="24"/>
                <w:lang w:eastAsia="lv-LV"/>
              </w:rPr>
            </w:pP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00"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1343" w:type="pct"/>
            <w:gridSpan w:val="2"/>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r>
      <w:tr w:rsidR="008620D1" w:rsidRPr="00E328FA" w:rsidTr="009C4044">
        <w:tblPrEx>
          <w:jc w:val="center"/>
        </w:tblPrEx>
        <w:trPr>
          <w:gridBefore w:val="1"/>
          <w:wBefore w:w="4" w:type="pct"/>
          <w:tblCellSpacing w:w="15" w:type="dxa"/>
          <w:jc w:val="center"/>
        </w:trPr>
        <w:tc>
          <w:tcPr>
            <w:tcW w:w="666" w:type="pct"/>
            <w:vMerge/>
            <w:vAlign w:val="center"/>
          </w:tcPr>
          <w:p w:rsidR="008620D1" w:rsidRPr="00E328FA" w:rsidRDefault="008620D1" w:rsidP="008620D1">
            <w:pPr>
              <w:spacing w:after="0" w:line="240" w:lineRule="auto"/>
              <w:rPr>
                <w:rFonts w:ascii="Times New Roman" w:eastAsia="Times New Roman" w:hAnsi="Times New Roman"/>
                <w:sz w:val="24"/>
                <w:szCs w:val="24"/>
                <w:lang w:eastAsia="lv-LV"/>
              </w:rPr>
            </w:pPr>
          </w:p>
        </w:tc>
        <w:tc>
          <w:tcPr>
            <w:tcW w:w="495" w:type="pct"/>
            <w:vMerge/>
            <w:vAlign w:val="center"/>
          </w:tcPr>
          <w:p w:rsidR="008620D1" w:rsidRPr="00E328FA" w:rsidRDefault="008620D1" w:rsidP="008620D1">
            <w:pPr>
              <w:spacing w:after="0" w:line="240" w:lineRule="auto"/>
              <w:rPr>
                <w:rFonts w:ascii="Times New Roman" w:eastAsia="Times New Roman" w:hAnsi="Times New Roman"/>
                <w:sz w:val="24"/>
                <w:szCs w:val="24"/>
                <w:lang w:eastAsia="lv-LV"/>
              </w:rPr>
            </w:pP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00"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1343" w:type="pct"/>
            <w:gridSpan w:val="2"/>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5. Precizēta finansiālā ietekme:</w:t>
            </w:r>
          </w:p>
        </w:tc>
        <w:tc>
          <w:tcPr>
            <w:tcW w:w="495" w:type="pct"/>
            <w:vMerge w:val="restart"/>
          </w:tcPr>
          <w:p w:rsidR="008620D1" w:rsidRPr="00E328FA" w:rsidRDefault="008620D1" w:rsidP="008620D1">
            <w:pPr>
              <w:spacing w:after="0" w:line="240" w:lineRule="auto"/>
              <w:ind w:firstLine="300"/>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X</w:t>
            </w: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0"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343" w:type="pct"/>
            <w:gridSpan w:val="2"/>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5.1. valsts pamatbudžets</w:t>
            </w:r>
          </w:p>
        </w:tc>
        <w:tc>
          <w:tcPr>
            <w:tcW w:w="495" w:type="pct"/>
            <w:vMerge/>
            <w:vAlign w:val="center"/>
          </w:tcPr>
          <w:p w:rsidR="008620D1" w:rsidRPr="00E328FA" w:rsidRDefault="008620D1" w:rsidP="008620D1">
            <w:pPr>
              <w:spacing w:after="0" w:line="240" w:lineRule="auto"/>
              <w:rPr>
                <w:rFonts w:ascii="Times New Roman" w:eastAsia="Times New Roman" w:hAnsi="Times New Roman"/>
                <w:sz w:val="24"/>
                <w:szCs w:val="24"/>
                <w:lang w:eastAsia="lv-LV"/>
              </w:rPr>
            </w:pP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0" w:type="pct"/>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343" w:type="pct"/>
            <w:gridSpan w:val="2"/>
          </w:tcPr>
          <w:p w:rsidR="008620D1" w:rsidRPr="00E328FA" w:rsidRDefault="009C4044" w:rsidP="008620D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5.2. speciālais budžets</w:t>
            </w:r>
          </w:p>
        </w:tc>
        <w:tc>
          <w:tcPr>
            <w:tcW w:w="495" w:type="pct"/>
            <w:vMerge/>
            <w:vAlign w:val="center"/>
          </w:tcPr>
          <w:p w:rsidR="008620D1" w:rsidRPr="00E328FA" w:rsidRDefault="008620D1" w:rsidP="008620D1">
            <w:pPr>
              <w:spacing w:after="0" w:line="240" w:lineRule="auto"/>
              <w:rPr>
                <w:rFonts w:ascii="Times New Roman" w:eastAsia="Times New Roman" w:hAnsi="Times New Roman"/>
                <w:sz w:val="24"/>
                <w:szCs w:val="24"/>
                <w:lang w:eastAsia="lv-LV"/>
              </w:rPr>
            </w:pP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00"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1343" w:type="pct"/>
            <w:gridSpan w:val="2"/>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5.3. pašvaldību budžets</w:t>
            </w:r>
          </w:p>
        </w:tc>
        <w:tc>
          <w:tcPr>
            <w:tcW w:w="495" w:type="pct"/>
            <w:vMerge/>
            <w:vAlign w:val="center"/>
          </w:tcPr>
          <w:p w:rsidR="008620D1" w:rsidRPr="00E328FA" w:rsidRDefault="008620D1" w:rsidP="008620D1">
            <w:pPr>
              <w:spacing w:after="0" w:line="240" w:lineRule="auto"/>
              <w:rPr>
                <w:rFonts w:ascii="Times New Roman" w:eastAsia="Times New Roman" w:hAnsi="Times New Roman"/>
                <w:sz w:val="24"/>
                <w:szCs w:val="24"/>
                <w:lang w:eastAsia="lv-LV"/>
              </w:rPr>
            </w:pPr>
          </w:p>
        </w:tc>
        <w:tc>
          <w:tcPr>
            <w:tcW w:w="702"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65"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800"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c>
          <w:tcPr>
            <w:tcW w:w="1343" w:type="pct"/>
            <w:gridSpan w:val="2"/>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0</w:t>
            </w: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267" w:type="pct"/>
            <w:gridSpan w:val="6"/>
            <w:vMerge w:val="restart"/>
          </w:tcPr>
          <w:p w:rsidR="00AC7794" w:rsidRPr="00E328FA" w:rsidRDefault="009C4044" w:rsidP="00AC7794">
            <w:pPr>
              <w:spacing w:after="0" w:line="240" w:lineRule="auto"/>
              <w:ind w:left="54" w:right="14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w:t>
            </w:r>
          </w:p>
          <w:p w:rsidR="00EB739A" w:rsidRPr="00E328FA" w:rsidRDefault="00EB739A" w:rsidP="00AC7794">
            <w:pPr>
              <w:spacing w:after="0" w:line="240" w:lineRule="auto"/>
              <w:ind w:right="149"/>
              <w:contextualSpacing/>
              <w:jc w:val="both"/>
              <w:rPr>
                <w:rFonts w:ascii="Times New Roman" w:hAnsi="Times New Roman"/>
                <w:sz w:val="24"/>
                <w:szCs w:val="24"/>
              </w:rPr>
            </w:pP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6.1. detalizēts ieņēmumu aprēķins</w:t>
            </w:r>
          </w:p>
        </w:tc>
        <w:tc>
          <w:tcPr>
            <w:tcW w:w="4267" w:type="pct"/>
            <w:gridSpan w:val="6"/>
            <w:vMerge/>
            <w:vAlign w:val="center"/>
          </w:tcPr>
          <w:p w:rsidR="008620D1" w:rsidRPr="00E328FA" w:rsidRDefault="008620D1" w:rsidP="008620D1">
            <w:pPr>
              <w:spacing w:after="0" w:line="240" w:lineRule="auto"/>
              <w:rPr>
                <w:rFonts w:ascii="Times New Roman" w:eastAsia="Times New Roman" w:hAnsi="Times New Roman"/>
                <w:sz w:val="24"/>
                <w:szCs w:val="24"/>
                <w:lang w:eastAsia="lv-LV"/>
              </w:rPr>
            </w:pPr>
          </w:p>
        </w:tc>
      </w:tr>
      <w:tr w:rsidR="008620D1" w:rsidRPr="00E328FA" w:rsidTr="009C4044">
        <w:tblPrEx>
          <w:jc w:val="center"/>
        </w:tblPrEx>
        <w:trPr>
          <w:gridBefore w:val="1"/>
          <w:wBefore w:w="4" w:type="pct"/>
          <w:tblCellSpacing w:w="15" w:type="dxa"/>
          <w:jc w:val="center"/>
        </w:trPr>
        <w:tc>
          <w:tcPr>
            <w:tcW w:w="666" w:type="pct"/>
          </w:tcPr>
          <w:p w:rsidR="008620D1" w:rsidRPr="00E328FA" w:rsidRDefault="008620D1" w:rsidP="008620D1">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6.2. detalizēts izdevumu aprēķins</w:t>
            </w:r>
          </w:p>
        </w:tc>
        <w:tc>
          <w:tcPr>
            <w:tcW w:w="4267" w:type="pct"/>
            <w:gridSpan w:val="6"/>
            <w:vMerge/>
            <w:vAlign w:val="center"/>
          </w:tcPr>
          <w:p w:rsidR="008620D1" w:rsidRPr="00E328FA" w:rsidRDefault="008620D1" w:rsidP="008620D1">
            <w:pPr>
              <w:spacing w:after="0" w:line="240" w:lineRule="auto"/>
              <w:rPr>
                <w:rFonts w:ascii="Times New Roman" w:eastAsia="Times New Roman" w:hAnsi="Times New Roman"/>
                <w:sz w:val="24"/>
                <w:szCs w:val="24"/>
                <w:lang w:eastAsia="lv-LV"/>
              </w:rPr>
            </w:pPr>
          </w:p>
        </w:tc>
      </w:tr>
      <w:tr w:rsidR="008620D1" w:rsidRPr="00E328FA" w:rsidTr="009C4044">
        <w:tblPrEx>
          <w:jc w:val="center"/>
        </w:tblPrEx>
        <w:trPr>
          <w:gridBefore w:val="1"/>
          <w:wBefore w:w="4" w:type="pct"/>
          <w:trHeight w:val="555"/>
          <w:tblCellSpacing w:w="15" w:type="dxa"/>
          <w:jc w:val="center"/>
        </w:trPr>
        <w:tc>
          <w:tcPr>
            <w:tcW w:w="666" w:type="pct"/>
          </w:tcPr>
          <w:p w:rsidR="008620D1" w:rsidRPr="0037477B" w:rsidRDefault="008620D1" w:rsidP="0037477B">
            <w:pPr>
              <w:spacing w:after="0" w:line="240" w:lineRule="auto"/>
              <w:jc w:val="both"/>
              <w:rPr>
                <w:rFonts w:ascii="Times New Roman" w:hAnsi="Times New Roman"/>
                <w:sz w:val="24"/>
                <w:szCs w:val="24"/>
              </w:rPr>
            </w:pPr>
            <w:r w:rsidRPr="0037477B">
              <w:rPr>
                <w:rFonts w:ascii="Times New Roman" w:hAnsi="Times New Roman"/>
                <w:sz w:val="24"/>
                <w:szCs w:val="24"/>
              </w:rPr>
              <w:t>7. Cita informācija</w:t>
            </w:r>
          </w:p>
        </w:tc>
        <w:tc>
          <w:tcPr>
            <w:tcW w:w="4267" w:type="pct"/>
            <w:gridSpan w:val="6"/>
          </w:tcPr>
          <w:p w:rsidR="008620D1" w:rsidRPr="0037477B" w:rsidRDefault="00594F42" w:rsidP="00594F42">
            <w:pPr>
              <w:spacing w:line="240" w:lineRule="auto"/>
              <w:jc w:val="both"/>
              <w:rPr>
                <w:rFonts w:ascii="Times New Roman" w:hAnsi="Times New Roman"/>
                <w:sz w:val="24"/>
                <w:szCs w:val="24"/>
              </w:rPr>
            </w:pPr>
            <w:r w:rsidRPr="00594F42">
              <w:rPr>
                <w:rFonts w:ascii="Times New Roman" w:hAnsi="Times New Roman"/>
                <w:sz w:val="24"/>
                <w:szCs w:val="24"/>
              </w:rPr>
              <w:t>Ierosinātie grozījumi MK noteikumos Nr.124 nerada papildu ieņēmumus un izdevumus tiem, kas jau minēti MK noteikumu Nr.124 sākotnējās ietekmes novērtējuma ziņojumā (anotācijā) un VARAM sagatavotajā un informatīvajā ziņojumā. Atbilstoši informatīvajam ziņojumam pievienotajam protokollēmumam Ministru kabinets ir atbalstījis centralizētu finanšu kontroļu veikšanu visās Eiropas Strukturālo un investīciju fondu mērķa “Eiropas teritoriālā sadarbība” programmās, tādējādi indikatīvi paredzot par 2,8 milj. EUR mazākas izmaksas, nekā gadījumā, ja finanšu kontrole tiktu īstenota decentralizēti, kā arī paredzot, ka jautājumu par valsts budžeta līdzekļu piešķiršanu, lai nodrošinātu nepieciešamo darbinieku skaitu un finansējumu finanšu kontroles funkcijas izpildei 2017.gadā un turpmākajos gados līdz attiecīgo programmu slēgšanai atbilstoši faktiski nepieciešamajam pārbaužu apjomam un noslodzei, skatīt Ministru kabinetā 2017.gada valsts budžeta projekta un 2017.-2019.gada vidēja termiņa budžeta ietvara projekta sagatavošanas procesā vienlaikus ar visu ministriju un citu centrālo valsts iestāžu jauno politikas iniciatīvu pieteikumiem, ievērojot valsts budžeta finansiālās iespējas.</w:t>
            </w:r>
          </w:p>
        </w:tc>
      </w:tr>
    </w:tbl>
    <w:p w:rsidR="00027707" w:rsidRPr="00E328FA" w:rsidRDefault="00027707" w:rsidP="00161A0A">
      <w:pPr>
        <w:spacing w:after="0" w:line="240" w:lineRule="auto"/>
        <w:rPr>
          <w:rFonts w:ascii="Times New Roman" w:eastAsia="Times New Roman" w:hAnsi="Times New Roman"/>
          <w:sz w:val="24"/>
          <w:szCs w:val="24"/>
          <w:lang w:eastAsia="lv-LV"/>
        </w:rPr>
      </w:pPr>
    </w:p>
    <w:p w:rsidR="00027707" w:rsidRPr="00E328FA" w:rsidRDefault="00027707" w:rsidP="00161A0A">
      <w:pPr>
        <w:spacing w:after="0" w:line="240" w:lineRule="auto"/>
        <w:jc w:val="both"/>
        <w:rPr>
          <w:rFonts w:ascii="Times New Roman" w:eastAsia="Times New Roman" w:hAnsi="Times New Roman"/>
          <w:sz w:val="24"/>
          <w:szCs w:val="24"/>
          <w:lang w:eastAsia="lv-LV"/>
        </w:rPr>
      </w:pPr>
    </w:p>
    <w:tbl>
      <w:tblPr>
        <w:tblW w:w="5867"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9"/>
        <w:gridCol w:w="2398"/>
        <w:gridCol w:w="6585"/>
      </w:tblGrid>
      <w:tr w:rsidR="004314FD" w:rsidRPr="00E328FA" w:rsidTr="00151C95">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027707" w:rsidRPr="00E328FA" w:rsidRDefault="00027707" w:rsidP="00161A0A">
            <w:pPr>
              <w:spacing w:after="0" w:line="240" w:lineRule="auto"/>
              <w:jc w:val="both"/>
              <w:rPr>
                <w:rFonts w:ascii="Times New Roman" w:eastAsia="Times New Roman" w:hAnsi="Times New Roman"/>
                <w:b/>
                <w:bCs/>
                <w:sz w:val="24"/>
                <w:szCs w:val="24"/>
                <w:lang w:eastAsia="lv-LV"/>
              </w:rPr>
            </w:pPr>
            <w:r w:rsidRPr="00E328FA">
              <w:rPr>
                <w:rFonts w:ascii="Times New Roman" w:eastAsia="Times New Roman" w:hAnsi="Times New Roman"/>
                <w:b/>
                <w:bCs/>
                <w:sz w:val="24"/>
                <w:szCs w:val="24"/>
                <w:lang w:eastAsia="lv-LV"/>
              </w:rPr>
              <w:t>V. Tiesību akta projekta atbilstība Latvijas Republikas starptautiskajām saistībām</w:t>
            </w:r>
          </w:p>
        </w:tc>
      </w:tr>
      <w:tr w:rsidR="004314FD" w:rsidRPr="00E328FA" w:rsidTr="00151C95">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1.</w:t>
            </w:r>
          </w:p>
        </w:tc>
        <w:tc>
          <w:tcPr>
            <w:tcW w:w="1201"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jc w:val="both"/>
              <w:rPr>
                <w:rFonts w:ascii="Times New Roman" w:eastAsia="Times New Roman" w:hAnsi="Times New Roman"/>
                <w:sz w:val="24"/>
                <w:szCs w:val="24"/>
                <w:lang w:eastAsia="lv-LV"/>
              </w:rPr>
            </w:pPr>
            <w:bookmarkStart w:id="0" w:name="OLE_LINK3"/>
            <w:bookmarkStart w:id="1" w:name="OLE_LINK4"/>
            <w:r w:rsidRPr="00E328FA">
              <w:rPr>
                <w:rFonts w:ascii="Times New Roman" w:eastAsia="Times New Roman" w:hAnsi="Times New Roman"/>
                <w:sz w:val="24"/>
                <w:szCs w:val="24"/>
                <w:lang w:eastAsia="lv-LV"/>
              </w:rPr>
              <w:t>Saistības pret Eiropas Savienību</w:t>
            </w:r>
            <w:bookmarkEnd w:id="0"/>
            <w:bookmarkEnd w:id="1"/>
          </w:p>
        </w:tc>
        <w:tc>
          <w:tcPr>
            <w:tcW w:w="3285" w:type="pct"/>
            <w:tcBorders>
              <w:top w:val="outset" w:sz="6" w:space="0" w:color="auto"/>
              <w:left w:val="outset" w:sz="6" w:space="0" w:color="auto"/>
              <w:bottom w:val="outset" w:sz="6" w:space="0" w:color="auto"/>
              <w:right w:val="outset" w:sz="6" w:space="0" w:color="auto"/>
            </w:tcBorders>
            <w:hideMark/>
          </w:tcPr>
          <w:p w:rsidR="0021744E" w:rsidRPr="00E328FA" w:rsidRDefault="009601B4" w:rsidP="00B6059E">
            <w:pPr>
              <w:spacing w:after="0" w:line="240" w:lineRule="auto"/>
              <w:jc w:val="both"/>
              <w:rPr>
                <w:rFonts w:ascii="Times New Roman" w:hAnsi="Times New Roman"/>
                <w:b/>
                <w:sz w:val="24"/>
                <w:szCs w:val="24"/>
              </w:rPr>
            </w:pPr>
            <w:r w:rsidRPr="00E328FA">
              <w:rPr>
                <w:rFonts w:ascii="Times New Roman" w:hAnsi="Times New Roman"/>
                <w:sz w:val="24"/>
                <w:szCs w:val="24"/>
              </w:rPr>
              <w:t>Ministru kabineta</w:t>
            </w:r>
            <w:r w:rsidR="00467B56" w:rsidRPr="00E328FA">
              <w:rPr>
                <w:rFonts w:ascii="Times New Roman" w:hAnsi="Times New Roman"/>
                <w:sz w:val="24"/>
                <w:szCs w:val="24"/>
              </w:rPr>
              <w:t xml:space="preserve"> noteikumu projekts nodrošina </w:t>
            </w:r>
            <w:r w:rsidR="007C4223" w:rsidRPr="00E328FA">
              <w:rPr>
                <w:rFonts w:ascii="Times New Roman" w:hAnsi="Times New Roman"/>
                <w:sz w:val="24"/>
                <w:szCs w:val="24"/>
              </w:rPr>
              <w:t>Regula</w:t>
            </w:r>
            <w:r w:rsidR="00B6059E" w:rsidRPr="00E328FA">
              <w:rPr>
                <w:rFonts w:ascii="Times New Roman" w:hAnsi="Times New Roman"/>
                <w:sz w:val="24"/>
                <w:szCs w:val="24"/>
              </w:rPr>
              <w:t>s 897/2014</w:t>
            </w:r>
            <w:r w:rsidR="007C4223" w:rsidRPr="00E328FA">
              <w:rPr>
                <w:rFonts w:ascii="Times New Roman" w:hAnsi="Times New Roman"/>
                <w:sz w:val="24"/>
                <w:szCs w:val="24"/>
              </w:rPr>
              <w:t xml:space="preserve"> 20.panta 6.punkta a) un b) apakšpunktos noteiktā izpildi.</w:t>
            </w:r>
          </w:p>
        </w:tc>
      </w:tr>
      <w:tr w:rsidR="004314FD" w:rsidRPr="00E328FA" w:rsidTr="00151C95">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2.</w:t>
            </w:r>
          </w:p>
        </w:tc>
        <w:tc>
          <w:tcPr>
            <w:tcW w:w="1201"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Citas starptautiskās saistības</w:t>
            </w:r>
          </w:p>
        </w:tc>
        <w:tc>
          <w:tcPr>
            <w:tcW w:w="3285" w:type="pct"/>
            <w:tcBorders>
              <w:top w:val="outset" w:sz="6" w:space="0" w:color="auto"/>
              <w:left w:val="outset" w:sz="6" w:space="0" w:color="auto"/>
              <w:bottom w:val="outset" w:sz="6" w:space="0" w:color="auto"/>
              <w:right w:val="outset" w:sz="6" w:space="0" w:color="auto"/>
            </w:tcBorders>
            <w:hideMark/>
          </w:tcPr>
          <w:p w:rsidR="00027707" w:rsidRPr="00E328FA" w:rsidRDefault="00ED7354" w:rsidP="00161A0A">
            <w:pPr>
              <w:spacing w:after="0" w:line="240" w:lineRule="auto"/>
              <w:ind w:left="102"/>
              <w:jc w:val="both"/>
              <w:rPr>
                <w:rFonts w:ascii="Times New Roman" w:eastAsia="Times New Roman" w:hAnsi="Times New Roman"/>
                <w:sz w:val="24"/>
                <w:szCs w:val="24"/>
                <w:lang w:eastAsia="lv-LV"/>
              </w:rPr>
            </w:pPr>
            <w:r w:rsidRPr="00E328FA">
              <w:rPr>
                <w:rFonts w:ascii="Times New Roman" w:hAnsi="Times New Roman"/>
                <w:sz w:val="24"/>
                <w:szCs w:val="24"/>
              </w:rPr>
              <w:t>Projekts šo jomu neskar</w:t>
            </w:r>
            <w:r w:rsidR="005A0525" w:rsidRPr="00E328FA">
              <w:rPr>
                <w:rFonts w:ascii="Times New Roman" w:hAnsi="Times New Roman"/>
                <w:sz w:val="24"/>
                <w:szCs w:val="24"/>
              </w:rPr>
              <w:t>.</w:t>
            </w:r>
          </w:p>
        </w:tc>
      </w:tr>
      <w:tr w:rsidR="004314FD" w:rsidRPr="00E328FA" w:rsidTr="00151C95">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3.</w:t>
            </w:r>
          </w:p>
        </w:tc>
        <w:tc>
          <w:tcPr>
            <w:tcW w:w="1201"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Cita informācija</w:t>
            </w:r>
          </w:p>
        </w:tc>
        <w:tc>
          <w:tcPr>
            <w:tcW w:w="3285" w:type="pct"/>
            <w:tcBorders>
              <w:top w:val="outset" w:sz="6" w:space="0" w:color="auto"/>
              <w:left w:val="outset" w:sz="6" w:space="0" w:color="auto"/>
              <w:bottom w:val="outset" w:sz="6" w:space="0" w:color="auto"/>
              <w:right w:val="outset" w:sz="6" w:space="0" w:color="auto"/>
            </w:tcBorders>
            <w:hideMark/>
          </w:tcPr>
          <w:p w:rsidR="00027707" w:rsidRPr="00E328FA" w:rsidRDefault="009663E0" w:rsidP="00161A0A">
            <w:pPr>
              <w:spacing w:after="0" w:line="240" w:lineRule="auto"/>
              <w:ind w:left="102"/>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Nav</w:t>
            </w:r>
          </w:p>
        </w:tc>
      </w:tr>
    </w:tbl>
    <w:p w:rsidR="00027707" w:rsidRPr="00E328FA" w:rsidRDefault="00027707" w:rsidP="00161A0A">
      <w:pPr>
        <w:spacing w:after="0" w:line="240" w:lineRule="auto"/>
        <w:rPr>
          <w:rFonts w:ascii="Times New Roman" w:eastAsia="Times New Roman" w:hAnsi="Times New Roman"/>
          <w:vanish/>
          <w:sz w:val="24"/>
          <w:szCs w:val="24"/>
          <w:lang w:eastAsia="lv-LV"/>
        </w:rPr>
      </w:pPr>
    </w:p>
    <w:tbl>
      <w:tblPr>
        <w:tblW w:w="5867"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38"/>
        <w:gridCol w:w="786"/>
        <w:gridCol w:w="980"/>
        <w:gridCol w:w="1372"/>
        <w:gridCol w:w="712"/>
        <w:gridCol w:w="4134"/>
      </w:tblGrid>
      <w:tr w:rsidR="004314FD" w:rsidRPr="00E328FA" w:rsidTr="00151C95">
        <w:trPr>
          <w:tblCellSpacing w:w="15" w:type="dxa"/>
        </w:trPr>
        <w:tc>
          <w:tcPr>
            <w:tcW w:w="4970" w:type="pct"/>
            <w:gridSpan w:val="6"/>
            <w:tcBorders>
              <w:top w:val="outset" w:sz="6" w:space="0" w:color="auto"/>
              <w:left w:val="outset" w:sz="6" w:space="0" w:color="auto"/>
              <w:bottom w:val="outset" w:sz="6" w:space="0" w:color="auto"/>
              <w:right w:val="outset" w:sz="6" w:space="0" w:color="auto"/>
            </w:tcBorders>
            <w:vAlign w:val="center"/>
            <w:hideMark/>
          </w:tcPr>
          <w:p w:rsidR="00027707" w:rsidRPr="00E328FA" w:rsidRDefault="00027707" w:rsidP="00161A0A">
            <w:pPr>
              <w:spacing w:after="0" w:line="240" w:lineRule="auto"/>
              <w:jc w:val="center"/>
              <w:rPr>
                <w:rFonts w:ascii="Times New Roman" w:eastAsia="Times New Roman" w:hAnsi="Times New Roman"/>
                <w:b/>
                <w:bCs/>
                <w:sz w:val="24"/>
                <w:szCs w:val="24"/>
                <w:lang w:eastAsia="lv-LV"/>
              </w:rPr>
            </w:pPr>
            <w:r w:rsidRPr="00E328FA">
              <w:rPr>
                <w:rFonts w:ascii="Times New Roman" w:eastAsia="Times New Roman" w:hAnsi="Times New Roman"/>
                <w:b/>
                <w:bCs/>
                <w:sz w:val="24"/>
                <w:szCs w:val="24"/>
                <w:lang w:eastAsia="lv-LV"/>
              </w:rPr>
              <w:t>1.tabula</w:t>
            </w:r>
            <w:r w:rsidRPr="00E328FA">
              <w:rPr>
                <w:rFonts w:ascii="Times New Roman" w:eastAsia="Times New Roman" w:hAnsi="Times New Roman"/>
                <w:b/>
                <w:bCs/>
                <w:sz w:val="24"/>
                <w:szCs w:val="24"/>
                <w:lang w:eastAsia="lv-LV"/>
              </w:rPr>
              <w:br/>
              <w:t>Tiesību akta projekta atbilstība ES tiesību aktiem</w:t>
            </w:r>
          </w:p>
        </w:tc>
      </w:tr>
      <w:tr w:rsidR="004314FD" w:rsidRPr="00E328FA" w:rsidTr="00467B56">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Attiecīgā ES tiesību akta datums, numurs un nosaukums</w:t>
            </w:r>
          </w:p>
        </w:tc>
        <w:tc>
          <w:tcPr>
            <w:tcW w:w="3986" w:type="pct"/>
            <w:gridSpan w:val="5"/>
            <w:tcBorders>
              <w:top w:val="outset" w:sz="6" w:space="0" w:color="auto"/>
              <w:left w:val="outset" w:sz="6" w:space="0" w:color="auto"/>
              <w:bottom w:val="outset" w:sz="6" w:space="0" w:color="auto"/>
              <w:right w:val="outset" w:sz="6" w:space="0" w:color="auto"/>
            </w:tcBorders>
            <w:hideMark/>
          </w:tcPr>
          <w:p w:rsidR="001E3771" w:rsidRPr="00E328FA" w:rsidRDefault="0021744E" w:rsidP="00161A0A">
            <w:pPr>
              <w:spacing w:after="0" w:line="240" w:lineRule="auto"/>
              <w:rPr>
                <w:rFonts w:ascii="Times New Roman" w:eastAsia="Times New Roman" w:hAnsi="Times New Roman"/>
                <w:sz w:val="24"/>
                <w:szCs w:val="24"/>
                <w:lang w:eastAsia="lv-LV"/>
              </w:rPr>
            </w:pPr>
            <w:r w:rsidRPr="00E328FA">
              <w:rPr>
                <w:rFonts w:ascii="Times New Roman" w:hAnsi="Times New Roman"/>
                <w:sz w:val="24"/>
                <w:szCs w:val="24"/>
              </w:rPr>
              <w:t>Projekts šo jomu neskar</w:t>
            </w:r>
            <w:r w:rsidR="005A0525" w:rsidRPr="00E328FA">
              <w:rPr>
                <w:rFonts w:ascii="Times New Roman" w:hAnsi="Times New Roman"/>
                <w:sz w:val="24"/>
                <w:szCs w:val="24"/>
              </w:rPr>
              <w:t>.</w:t>
            </w:r>
            <w:r w:rsidRPr="00E328FA">
              <w:rPr>
                <w:rFonts w:ascii="Times New Roman" w:eastAsia="Times New Roman" w:hAnsi="Times New Roman"/>
                <w:sz w:val="24"/>
                <w:szCs w:val="24"/>
                <w:lang w:eastAsia="lv-LV"/>
              </w:rPr>
              <w:t xml:space="preserve"> </w:t>
            </w:r>
          </w:p>
        </w:tc>
      </w:tr>
      <w:tr w:rsidR="004314FD" w:rsidRPr="00E328FA" w:rsidTr="00467B56">
        <w:trPr>
          <w:tblCellSpacing w:w="15" w:type="dxa"/>
        </w:trPr>
        <w:tc>
          <w:tcPr>
            <w:tcW w:w="969" w:type="pct"/>
            <w:tcBorders>
              <w:top w:val="outset" w:sz="6" w:space="0" w:color="auto"/>
              <w:left w:val="outset" w:sz="6" w:space="0" w:color="auto"/>
              <w:bottom w:val="outset" w:sz="6" w:space="0" w:color="auto"/>
              <w:right w:val="outset" w:sz="6" w:space="0" w:color="auto"/>
            </w:tcBorders>
            <w:vAlign w:val="center"/>
            <w:hideMark/>
          </w:tcPr>
          <w:p w:rsidR="00027707" w:rsidRPr="00E328FA" w:rsidRDefault="00027707"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A</w:t>
            </w:r>
          </w:p>
        </w:tc>
        <w:tc>
          <w:tcPr>
            <w:tcW w:w="873" w:type="pct"/>
            <w:gridSpan w:val="2"/>
            <w:tcBorders>
              <w:top w:val="outset" w:sz="6" w:space="0" w:color="auto"/>
              <w:left w:val="outset" w:sz="6" w:space="0" w:color="auto"/>
              <w:bottom w:val="outset" w:sz="6" w:space="0" w:color="auto"/>
              <w:right w:val="outset" w:sz="6" w:space="0" w:color="auto"/>
            </w:tcBorders>
            <w:vAlign w:val="center"/>
            <w:hideMark/>
          </w:tcPr>
          <w:p w:rsidR="00027707" w:rsidRPr="00E328FA" w:rsidRDefault="00027707"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B</w:t>
            </w:r>
          </w:p>
        </w:tc>
        <w:tc>
          <w:tcPr>
            <w:tcW w:w="1036" w:type="pct"/>
            <w:gridSpan w:val="2"/>
            <w:tcBorders>
              <w:top w:val="outset" w:sz="6" w:space="0" w:color="auto"/>
              <w:left w:val="outset" w:sz="6" w:space="0" w:color="auto"/>
              <w:bottom w:val="outset" w:sz="6" w:space="0" w:color="auto"/>
              <w:right w:val="outset" w:sz="6" w:space="0" w:color="auto"/>
            </w:tcBorders>
            <w:vAlign w:val="center"/>
            <w:hideMark/>
          </w:tcPr>
          <w:p w:rsidR="00027707" w:rsidRPr="00E328FA" w:rsidRDefault="00027707"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C</w:t>
            </w:r>
          </w:p>
        </w:tc>
        <w:tc>
          <w:tcPr>
            <w:tcW w:w="2047" w:type="pct"/>
            <w:tcBorders>
              <w:top w:val="outset" w:sz="6" w:space="0" w:color="auto"/>
              <w:left w:val="outset" w:sz="6" w:space="0" w:color="auto"/>
              <w:bottom w:val="outset" w:sz="6" w:space="0" w:color="auto"/>
              <w:right w:val="outset" w:sz="6" w:space="0" w:color="auto"/>
            </w:tcBorders>
            <w:vAlign w:val="center"/>
            <w:hideMark/>
          </w:tcPr>
          <w:p w:rsidR="00027707" w:rsidRPr="00E328FA" w:rsidRDefault="00027707"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D</w:t>
            </w:r>
          </w:p>
        </w:tc>
      </w:tr>
      <w:tr w:rsidR="004314FD" w:rsidRPr="00E328FA" w:rsidTr="00467B56">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Attiecīgā ES tiesību akta panta numurs (uzskaitot katru tiesību akta vienību - pantu, daļu, punktu, apakšpunktu)</w:t>
            </w:r>
            <w:r w:rsidR="005A0525" w:rsidRPr="00E328FA">
              <w:rPr>
                <w:rFonts w:ascii="Times New Roman" w:eastAsia="Times New Roman" w:hAnsi="Times New Roman"/>
                <w:sz w:val="24"/>
                <w:szCs w:val="24"/>
                <w:lang w:eastAsia="lv-LV"/>
              </w:rPr>
              <w:t>.</w:t>
            </w:r>
          </w:p>
        </w:tc>
        <w:tc>
          <w:tcPr>
            <w:tcW w:w="873" w:type="pct"/>
            <w:gridSpan w:val="2"/>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r w:rsidR="005A0525" w:rsidRPr="00E328FA">
              <w:rPr>
                <w:rFonts w:ascii="Times New Roman" w:eastAsia="Times New Roman" w:hAnsi="Times New Roman"/>
                <w:sz w:val="24"/>
                <w:szCs w:val="24"/>
                <w:lang w:eastAsia="lv-LV"/>
              </w:rPr>
              <w:t>.</w:t>
            </w:r>
          </w:p>
        </w:tc>
        <w:tc>
          <w:tcPr>
            <w:tcW w:w="1036" w:type="pct"/>
            <w:gridSpan w:val="2"/>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xml:space="preserve">Informācija par to, vai šīs tabulas A ailē minētās ES tiesību akta vienības tiek pārņemtas vai ieviestas pilnībā vai daļēji. </w:t>
            </w:r>
          </w:p>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Norāda institūciju, kas ir atbildīga par šo saistību izpildi pilnībā</w:t>
            </w:r>
            <w:r w:rsidR="005A0525" w:rsidRPr="00E328FA">
              <w:rPr>
                <w:rFonts w:ascii="Times New Roman" w:eastAsia="Times New Roman" w:hAnsi="Times New Roman"/>
                <w:sz w:val="24"/>
                <w:szCs w:val="24"/>
                <w:lang w:eastAsia="lv-LV"/>
              </w:rPr>
              <w:t>.</w:t>
            </w:r>
          </w:p>
        </w:tc>
        <w:tc>
          <w:tcPr>
            <w:tcW w:w="2047"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rsidR="00027707" w:rsidRPr="00E328FA" w:rsidRDefault="00027707" w:rsidP="00B94953">
            <w:pPr>
              <w:spacing w:after="0" w:line="240" w:lineRule="auto"/>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Ja projekts satur stingrākas prasības nekā attiecīgais ES tiesību akts, norāda pamatojumu un samērīgumu.</w:t>
            </w:r>
          </w:p>
          <w:p w:rsidR="00027707" w:rsidRPr="00E328FA" w:rsidRDefault="00027707" w:rsidP="00B94953">
            <w:pPr>
              <w:spacing w:after="0" w:line="240" w:lineRule="auto"/>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r w:rsidR="005A0525" w:rsidRPr="00E328FA">
              <w:rPr>
                <w:rFonts w:ascii="Times New Roman" w:eastAsia="Times New Roman" w:hAnsi="Times New Roman"/>
                <w:sz w:val="24"/>
                <w:szCs w:val="24"/>
                <w:lang w:eastAsia="lv-LV"/>
              </w:rPr>
              <w:t>.</w:t>
            </w:r>
          </w:p>
        </w:tc>
      </w:tr>
      <w:tr w:rsidR="004314FD" w:rsidRPr="00E328FA" w:rsidTr="00467B56">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rsidR="00467B56" w:rsidRPr="00E328FA" w:rsidRDefault="007C4223" w:rsidP="00161A0A">
            <w:pPr>
              <w:spacing w:after="0" w:line="240" w:lineRule="auto"/>
              <w:jc w:val="both"/>
              <w:rPr>
                <w:rFonts w:ascii="Times New Roman" w:eastAsia="Times New Roman" w:hAnsi="Times New Roman"/>
                <w:sz w:val="24"/>
                <w:szCs w:val="24"/>
                <w:lang w:eastAsia="lv-LV"/>
              </w:rPr>
            </w:pPr>
            <w:r w:rsidRPr="00E328FA">
              <w:rPr>
                <w:rFonts w:ascii="Times New Roman" w:hAnsi="Times New Roman"/>
                <w:sz w:val="24"/>
                <w:szCs w:val="24"/>
              </w:rPr>
              <w:t>Regulas 897/2014) 20.panta 6.punkta a) un b) apakšpunkti, kā arī 32.panta 1.punkts</w:t>
            </w:r>
          </w:p>
        </w:tc>
        <w:tc>
          <w:tcPr>
            <w:tcW w:w="873" w:type="pct"/>
            <w:gridSpan w:val="2"/>
            <w:tcBorders>
              <w:top w:val="outset" w:sz="6" w:space="0" w:color="auto"/>
              <w:left w:val="outset" w:sz="6" w:space="0" w:color="auto"/>
              <w:bottom w:val="outset" w:sz="6" w:space="0" w:color="auto"/>
              <w:right w:val="outset" w:sz="6" w:space="0" w:color="auto"/>
            </w:tcBorders>
            <w:hideMark/>
          </w:tcPr>
          <w:p w:rsidR="00467B56" w:rsidRPr="00E328FA" w:rsidRDefault="00467B56" w:rsidP="007C4223">
            <w:pPr>
              <w:spacing w:after="0" w:line="240" w:lineRule="auto"/>
              <w:jc w:val="both"/>
              <w:rPr>
                <w:rFonts w:ascii="Times New Roman" w:eastAsia="Times New Roman" w:hAnsi="Times New Roman"/>
                <w:sz w:val="24"/>
                <w:szCs w:val="24"/>
                <w:lang w:eastAsia="lv-LV"/>
              </w:rPr>
            </w:pPr>
            <w:r w:rsidRPr="00E328FA">
              <w:rPr>
                <w:rFonts w:ascii="Times New Roman" w:hAnsi="Times New Roman"/>
                <w:sz w:val="24"/>
                <w:szCs w:val="24"/>
              </w:rPr>
              <w:t xml:space="preserve">MK noteikumu </w:t>
            </w:r>
            <w:r w:rsidR="007C4223" w:rsidRPr="00E328FA">
              <w:rPr>
                <w:rFonts w:ascii="Times New Roman" w:hAnsi="Times New Roman"/>
                <w:sz w:val="24"/>
                <w:szCs w:val="24"/>
              </w:rPr>
              <w:t>3</w:t>
            </w:r>
            <w:r w:rsidRPr="00E328FA">
              <w:rPr>
                <w:rFonts w:ascii="Times New Roman" w:hAnsi="Times New Roman"/>
                <w:sz w:val="24"/>
                <w:szCs w:val="24"/>
              </w:rPr>
              <w:t>.punkts</w:t>
            </w:r>
            <w:r w:rsidR="007C4223" w:rsidRPr="00E328FA">
              <w:rPr>
                <w:rFonts w:ascii="Times New Roman" w:hAnsi="Times New Roman"/>
                <w:sz w:val="24"/>
                <w:szCs w:val="24"/>
              </w:rPr>
              <w:t xml:space="preserve"> un 4.punkts</w:t>
            </w:r>
          </w:p>
        </w:tc>
        <w:tc>
          <w:tcPr>
            <w:tcW w:w="1036" w:type="pct"/>
            <w:gridSpan w:val="2"/>
            <w:tcBorders>
              <w:top w:val="outset" w:sz="6" w:space="0" w:color="auto"/>
              <w:left w:val="outset" w:sz="6" w:space="0" w:color="auto"/>
              <w:bottom w:val="outset" w:sz="6" w:space="0" w:color="auto"/>
              <w:right w:val="outset" w:sz="6" w:space="0" w:color="auto"/>
            </w:tcBorders>
            <w:hideMark/>
          </w:tcPr>
          <w:p w:rsidR="00467B56" w:rsidRPr="00E328FA" w:rsidRDefault="00467B56" w:rsidP="00467B56">
            <w:pPr>
              <w:spacing w:before="100" w:beforeAutospacing="1" w:after="100" w:afterAutospacing="1"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Tiks ieviest</w:t>
            </w:r>
            <w:r w:rsidR="00EE334D" w:rsidRPr="00E328FA">
              <w:rPr>
                <w:rFonts w:ascii="Times New Roman" w:eastAsia="Times New Roman" w:hAnsi="Times New Roman"/>
                <w:sz w:val="24"/>
                <w:szCs w:val="24"/>
                <w:lang w:eastAsia="lv-LV"/>
              </w:rPr>
              <w:t>as</w:t>
            </w:r>
            <w:r w:rsidRPr="00E328FA">
              <w:rPr>
                <w:rFonts w:ascii="Times New Roman" w:eastAsia="Times New Roman" w:hAnsi="Times New Roman"/>
                <w:sz w:val="24"/>
                <w:szCs w:val="24"/>
                <w:lang w:eastAsia="lv-LV"/>
              </w:rPr>
              <w:t xml:space="preserve"> pilnībā.</w:t>
            </w:r>
          </w:p>
          <w:p w:rsidR="00467B56" w:rsidRPr="00E328FA" w:rsidRDefault="00467B56" w:rsidP="00161A0A">
            <w:pPr>
              <w:spacing w:after="0" w:line="240" w:lineRule="auto"/>
              <w:jc w:val="both"/>
              <w:rPr>
                <w:rFonts w:ascii="Times New Roman" w:eastAsia="Times New Roman" w:hAnsi="Times New Roman"/>
                <w:sz w:val="24"/>
                <w:szCs w:val="24"/>
                <w:lang w:eastAsia="lv-LV"/>
              </w:rPr>
            </w:pPr>
          </w:p>
        </w:tc>
        <w:tc>
          <w:tcPr>
            <w:tcW w:w="2047" w:type="pct"/>
            <w:tcBorders>
              <w:top w:val="outset" w:sz="6" w:space="0" w:color="auto"/>
              <w:left w:val="outset" w:sz="6" w:space="0" w:color="auto"/>
              <w:bottom w:val="outset" w:sz="6" w:space="0" w:color="auto"/>
              <w:right w:val="outset" w:sz="6" w:space="0" w:color="auto"/>
            </w:tcBorders>
            <w:hideMark/>
          </w:tcPr>
          <w:p w:rsidR="00467B56" w:rsidRPr="00E328FA" w:rsidRDefault="00467B56" w:rsidP="00EE334D">
            <w:pPr>
              <w:spacing w:after="0" w:line="240" w:lineRule="auto"/>
              <w:jc w:val="both"/>
              <w:rPr>
                <w:rFonts w:ascii="Times New Roman" w:eastAsia="Times New Roman" w:hAnsi="Times New Roman"/>
                <w:sz w:val="24"/>
                <w:szCs w:val="24"/>
                <w:lang w:eastAsia="lv-LV"/>
              </w:rPr>
            </w:pPr>
            <w:r w:rsidRPr="00E328FA">
              <w:rPr>
                <w:rFonts w:ascii="Times New Roman" w:hAnsi="Times New Roman"/>
                <w:sz w:val="24"/>
                <w:szCs w:val="24"/>
              </w:rPr>
              <w:t xml:space="preserve">Projekts </w:t>
            </w:r>
            <w:r w:rsidR="00EE334D" w:rsidRPr="00E328FA">
              <w:rPr>
                <w:rFonts w:ascii="Times New Roman" w:hAnsi="Times New Roman"/>
                <w:sz w:val="24"/>
                <w:szCs w:val="24"/>
              </w:rPr>
              <w:t>neparedz stingrāku regulējumu</w:t>
            </w:r>
            <w:r w:rsidR="00151284" w:rsidRPr="00E328FA">
              <w:rPr>
                <w:rFonts w:ascii="Times New Roman" w:hAnsi="Times New Roman"/>
                <w:sz w:val="24"/>
                <w:szCs w:val="24"/>
              </w:rPr>
              <w:t>.</w:t>
            </w:r>
          </w:p>
        </w:tc>
      </w:tr>
      <w:tr w:rsidR="004314FD" w:rsidRPr="00E328FA" w:rsidTr="00467B56">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ind w:left="57"/>
              <w:rPr>
                <w:rFonts w:ascii="Times New Roman" w:hAnsi="Times New Roman"/>
                <w:spacing w:val="-3"/>
                <w:sz w:val="24"/>
                <w:szCs w:val="24"/>
              </w:rPr>
            </w:pPr>
            <w:r w:rsidRPr="00E328FA">
              <w:rPr>
                <w:rFonts w:ascii="Times New Roman" w:hAnsi="Times New Roman"/>
                <w:spacing w:val="-3"/>
                <w:sz w:val="24"/>
                <w:szCs w:val="24"/>
              </w:rPr>
              <w:t>Kā ir izmantota ES tiesību aktā paredzētā rīcības brīvība dalīb</w:t>
            </w:r>
            <w:r w:rsidRPr="00E328FA">
              <w:rPr>
                <w:rFonts w:ascii="Times New Roman" w:hAnsi="Times New Roman"/>
                <w:spacing w:val="-3"/>
                <w:sz w:val="24"/>
                <w:szCs w:val="24"/>
              </w:rPr>
              <w:softHyphen/>
              <w:t>valstij pārņemt vai ieviest noteiktas ES tiesību akta normas?</w:t>
            </w:r>
          </w:p>
          <w:p w:rsidR="00ED7354" w:rsidRPr="00E328FA" w:rsidRDefault="00ED7354" w:rsidP="00161A0A">
            <w:pPr>
              <w:spacing w:after="0" w:line="240" w:lineRule="auto"/>
              <w:rPr>
                <w:rFonts w:ascii="Times New Roman" w:eastAsia="Times New Roman" w:hAnsi="Times New Roman"/>
                <w:sz w:val="24"/>
                <w:szCs w:val="24"/>
                <w:lang w:eastAsia="lv-LV"/>
              </w:rPr>
            </w:pPr>
            <w:r w:rsidRPr="00E328FA">
              <w:rPr>
                <w:rFonts w:ascii="Times New Roman" w:hAnsi="Times New Roman"/>
                <w:spacing w:val="-3"/>
                <w:sz w:val="24"/>
                <w:szCs w:val="24"/>
              </w:rPr>
              <w:t>Kādēļ?</w:t>
            </w:r>
          </w:p>
        </w:tc>
        <w:tc>
          <w:tcPr>
            <w:tcW w:w="3986" w:type="pct"/>
            <w:gridSpan w:val="5"/>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jc w:val="both"/>
              <w:rPr>
                <w:rFonts w:ascii="Times New Roman" w:eastAsia="Times New Roman" w:hAnsi="Times New Roman"/>
                <w:sz w:val="24"/>
                <w:szCs w:val="24"/>
                <w:lang w:eastAsia="lv-LV"/>
              </w:rPr>
            </w:pPr>
            <w:r w:rsidRPr="00E328FA">
              <w:rPr>
                <w:rFonts w:ascii="Times New Roman" w:hAnsi="Times New Roman"/>
                <w:sz w:val="24"/>
                <w:szCs w:val="24"/>
              </w:rPr>
              <w:t>Projekts šo jomu neskar</w:t>
            </w:r>
            <w:r w:rsidR="005A0525" w:rsidRPr="00E328FA">
              <w:rPr>
                <w:rFonts w:ascii="Times New Roman" w:hAnsi="Times New Roman"/>
                <w:sz w:val="24"/>
                <w:szCs w:val="24"/>
              </w:rPr>
              <w:t>.</w:t>
            </w:r>
          </w:p>
        </w:tc>
      </w:tr>
      <w:tr w:rsidR="004314FD" w:rsidRPr="00E328FA" w:rsidTr="00467B56">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86" w:type="pct"/>
            <w:gridSpan w:val="5"/>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jc w:val="both"/>
              <w:rPr>
                <w:rFonts w:ascii="Times New Roman" w:eastAsia="Times New Roman" w:hAnsi="Times New Roman"/>
                <w:sz w:val="24"/>
                <w:szCs w:val="24"/>
                <w:lang w:eastAsia="lv-LV"/>
              </w:rPr>
            </w:pPr>
            <w:r w:rsidRPr="00E328FA">
              <w:rPr>
                <w:rFonts w:ascii="Times New Roman" w:hAnsi="Times New Roman"/>
                <w:sz w:val="24"/>
                <w:szCs w:val="24"/>
              </w:rPr>
              <w:t>Projekts šo jomu neskar</w:t>
            </w:r>
            <w:r w:rsidR="005A0525" w:rsidRPr="00E328FA">
              <w:rPr>
                <w:rFonts w:ascii="Times New Roman" w:hAnsi="Times New Roman"/>
                <w:sz w:val="24"/>
                <w:szCs w:val="24"/>
              </w:rPr>
              <w:t>.</w:t>
            </w:r>
          </w:p>
        </w:tc>
      </w:tr>
      <w:tr w:rsidR="004314FD" w:rsidRPr="00E328FA" w:rsidTr="00467B56">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Cita informācija</w:t>
            </w:r>
          </w:p>
        </w:tc>
        <w:tc>
          <w:tcPr>
            <w:tcW w:w="3986" w:type="pct"/>
            <w:gridSpan w:val="5"/>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Nav</w:t>
            </w:r>
          </w:p>
        </w:tc>
      </w:tr>
      <w:tr w:rsidR="004314FD" w:rsidRPr="00E328FA" w:rsidTr="00151C95">
        <w:trPr>
          <w:tblCellSpacing w:w="15" w:type="dxa"/>
        </w:trPr>
        <w:tc>
          <w:tcPr>
            <w:tcW w:w="4970" w:type="pct"/>
            <w:gridSpan w:val="6"/>
            <w:tcBorders>
              <w:top w:val="outset" w:sz="6" w:space="0" w:color="auto"/>
              <w:left w:val="outset" w:sz="6" w:space="0" w:color="auto"/>
              <w:bottom w:val="outset" w:sz="6" w:space="0" w:color="auto"/>
              <w:right w:val="outset" w:sz="6" w:space="0" w:color="auto"/>
            </w:tcBorders>
            <w:vAlign w:val="center"/>
            <w:hideMark/>
          </w:tcPr>
          <w:p w:rsidR="00ED7354" w:rsidRPr="00E328FA" w:rsidRDefault="00ED7354" w:rsidP="00161A0A">
            <w:pPr>
              <w:spacing w:after="0" w:line="240" w:lineRule="auto"/>
              <w:jc w:val="center"/>
              <w:rPr>
                <w:rFonts w:ascii="Times New Roman" w:eastAsia="Times New Roman" w:hAnsi="Times New Roman"/>
                <w:b/>
                <w:bCs/>
                <w:sz w:val="24"/>
                <w:szCs w:val="24"/>
                <w:lang w:eastAsia="lv-LV"/>
              </w:rPr>
            </w:pPr>
            <w:r w:rsidRPr="00E328FA">
              <w:rPr>
                <w:rFonts w:ascii="Times New Roman" w:eastAsia="Times New Roman" w:hAnsi="Times New Roman"/>
                <w:b/>
                <w:bCs/>
                <w:sz w:val="24"/>
                <w:szCs w:val="24"/>
                <w:lang w:eastAsia="lv-LV"/>
              </w:rPr>
              <w:t>2.tabula</w:t>
            </w:r>
            <w:r w:rsidRPr="00E328FA">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E328FA">
              <w:rPr>
                <w:rFonts w:ascii="Times New Roman" w:eastAsia="Times New Roman" w:hAnsi="Times New Roman"/>
                <w:b/>
                <w:bCs/>
                <w:sz w:val="24"/>
                <w:szCs w:val="24"/>
                <w:lang w:eastAsia="lv-LV"/>
              </w:rPr>
              <w:br/>
              <w:t>Pasākumi šo saistību izpildei</w:t>
            </w:r>
          </w:p>
        </w:tc>
      </w:tr>
      <w:tr w:rsidR="004314FD" w:rsidRPr="00E328FA" w:rsidTr="00467B56">
        <w:trPr>
          <w:tblCellSpacing w:w="15" w:type="dxa"/>
        </w:trPr>
        <w:tc>
          <w:tcPr>
            <w:tcW w:w="1356" w:type="pct"/>
            <w:gridSpan w:val="2"/>
            <w:tcBorders>
              <w:top w:val="outset" w:sz="6" w:space="0" w:color="auto"/>
              <w:left w:val="outset" w:sz="6" w:space="0" w:color="auto"/>
              <w:bottom w:val="outset" w:sz="6" w:space="0" w:color="auto"/>
              <w:right w:val="outset" w:sz="6" w:space="0" w:color="auto"/>
            </w:tcBorders>
            <w:vAlign w:val="center"/>
            <w:hideMark/>
          </w:tcPr>
          <w:p w:rsidR="00ED7354" w:rsidRPr="00E328FA" w:rsidRDefault="00ED7354"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599" w:type="pct"/>
            <w:gridSpan w:val="4"/>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jc w:val="both"/>
              <w:rPr>
                <w:rFonts w:ascii="Times New Roman" w:eastAsia="Times New Roman" w:hAnsi="Times New Roman"/>
                <w:sz w:val="24"/>
                <w:szCs w:val="24"/>
                <w:lang w:eastAsia="lv-LV"/>
              </w:rPr>
            </w:pPr>
            <w:r w:rsidRPr="00E328FA">
              <w:rPr>
                <w:rFonts w:ascii="Times New Roman" w:hAnsi="Times New Roman"/>
                <w:sz w:val="24"/>
                <w:szCs w:val="24"/>
              </w:rPr>
              <w:t>Projekts šo jomu neskar</w:t>
            </w:r>
          </w:p>
        </w:tc>
      </w:tr>
      <w:tr w:rsidR="004314FD" w:rsidRPr="00E328FA" w:rsidTr="00467B56">
        <w:trPr>
          <w:tblCellSpacing w:w="15" w:type="dxa"/>
        </w:trPr>
        <w:tc>
          <w:tcPr>
            <w:tcW w:w="1356" w:type="pct"/>
            <w:gridSpan w:val="2"/>
            <w:tcBorders>
              <w:top w:val="outset" w:sz="6" w:space="0" w:color="auto"/>
              <w:left w:val="outset" w:sz="6" w:space="0" w:color="auto"/>
              <w:bottom w:val="outset" w:sz="6" w:space="0" w:color="auto"/>
              <w:right w:val="outset" w:sz="6" w:space="0" w:color="auto"/>
            </w:tcBorders>
            <w:vAlign w:val="center"/>
            <w:hideMark/>
          </w:tcPr>
          <w:p w:rsidR="00ED7354" w:rsidRPr="00E328FA" w:rsidRDefault="00ED7354"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A</w:t>
            </w:r>
          </w:p>
        </w:tc>
        <w:tc>
          <w:tcPr>
            <w:tcW w:w="1173" w:type="pct"/>
            <w:gridSpan w:val="2"/>
            <w:tcBorders>
              <w:top w:val="outset" w:sz="6" w:space="0" w:color="auto"/>
              <w:left w:val="outset" w:sz="6" w:space="0" w:color="auto"/>
              <w:bottom w:val="outset" w:sz="6" w:space="0" w:color="auto"/>
              <w:right w:val="outset" w:sz="6" w:space="0" w:color="auto"/>
            </w:tcBorders>
            <w:vAlign w:val="center"/>
            <w:hideMark/>
          </w:tcPr>
          <w:p w:rsidR="00ED7354" w:rsidRPr="00E328FA" w:rsidRDefault="00ED7354"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B</w:t>
            </w:r>
          </w:p>
        </w:tc>
        <w:tc>
          <w:tcPr>
            <w:tcW w:w="2411" w:type="pct"/>
            <w:gridSpan w:val="2"/>
            <w:tcBorders>
              <w:top w:val="outset" w:sz="6" w:space="0" w:color="auto"/>
              <w:left w:val="outset" w:sz="6" w:space="0" w:color="auto"/>
              <w:bottom w:val="outset" w:sz="6" w:space="0" w:color="auto"/>
              <w:right w:val="outset" w:sz="6" w:space="0" w:color="auto"/>
            </w:tcBorders>
            <w:vAlign w:val="center"/>
            <w:hideMark/>
          </w:tcPr>
          <w:p w:rsidR="00ED7354" w:rsidRPr="00E328FA" w:rsidRDefault="00ED7354" w:rsidP="00161A0A">
            <w:pPr>
              <w:spacing w:after="0" w:line="240" w:lineRule="auto"/>
              <w:jc w:val="center"/>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C</w:t>
            </w:r>
          </w:p>
        </w:tc>
      </w:tr>
      <w:tr w:rsidR="004314FD" w:rsidRPr="00E328FA" w:rsidTr="00467B56">
        <w:trPr>
          <w:tblCellSpacing w:w="15" w:type="dxa"/>
        </w:trPr>
        <w:tc>
          <w:tcPr>
            <w:tcW w:w="1356" w:type="pct"/>
            <w:gridSpan w:val="2"/>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xml:space="preserve">Starptautiskās saistības (pēc būtības), kas izriet no norādītā starptautiskā dokumenta. </w:t>
            </w:r>
          </w:p>
          <w:p w:rsidR="00ED7354" w:rsidRPr="00E328FA" w:rsidRDefault="00ED7354"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Konkrēti veicamie pasākumi vai uzdevumi, kas nepieciešami šo starptautisko saistību izpildei</w:t>
            </w:r>
          </w:p>
        </w:tc>
        <w:tc>
          <w:tcPr>
            <w:tcW w:w="1173" w:type="pct"/>
            <w:gridSpan w:val="2"/>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411" w:type="pct"/>
            <w:gridSpan w:val="2"/>
            <w:tcBorders>
              <w:top w:val="outset" w:sz="6" w:space="0" w:color="auto"/>
              <w:left w:val="outset" w:sz="6" w:space="0" w:color="auto"/>
              <w:bottom w:val="outset" w:sz="6" w:space="0" w:color="auto"/>
              <w:right w:val="outset" w:sz="6" w:space="0" w:color="auto"/>
            </w:tcBorders>
            <w:hideMark/>
          </w:tcPr>
          <w:p w:rsidR="00ED7354" w:rsidRPr="00E328FA" w:rsidRDefault="00ED7354" w:rsidP="00B94953">
            <w:pPr>
              <w:spacing w:after="0" w:line="240" w:lineRule="auto"/>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xml:space="preserve">Informācija par to, vai starptautiskās saistības, kas minētas šīs tabulas A ailē, tiek izpildītas pilnībā vai daļēji. </w:t>
            </w:r>
          </w:p>
          <w:p w:rsidR="00ED7354" w:rsidRPr="00E328FA" w:rsidRDefault="00ED7354" w:rsidP="00B94953">
            <w:pPr>
              <w:spacing w:after="0" w:line="240" w:lineRule="auto"/>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rsidR="00ED7354" w:rsidRPr="00E328FA" w:rsidRDefault="00ED7354" w:rsidP="00B94953">
            <w:pPr>
              <w:spacing w:after="0" w:line="240" w:lineRule="auto"/>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Norāda institūciju, kas ir atbildīga par šo saistību izpildi pilnībā</w:t>
            </w:r>
          </w:p>
        </w:tc>
      </w:tr>
      <w:tr w:rsidR="004314FD" w:rsidRPr="00E328FA" w:rsidTr="00467B56">
        <w:trPr>
          <w:tblCellSpacing w:w="15" w:type="dxa"/>
        </w:trPr>
        <w:tc>
          <w:tcPr>
            <w:tcW w:w="1356" w:type="pct"/>
            <w:gridSpan w:val="2"/>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jc w:val="both"/>
              <w:rPr>
                <w:rFonts w:ascii="Times New Roman" w:eastAsia="Times New Roman" w:hAnsi="Times New Roman"/>
                <w:sz w:val="24"/>
                <w:szCs w:val="24"/>
                <w:lang w:eastAsia="lv-LV"/>
              </w:rPr>
            </w:pPr>
            <w:r w:rsidRPr="00E328FA">
              <w:rPr>
                <w:rFonts w:ascii="Times New Roman" w:hAnsi="Times New Roman"/>
                <w:sz w:val="24"/>
                <w:szCs w:val="24"/>
              </w:rPr>
              <w:t>Projekts šo jomu neskar</w:t>
            </w:r>
          </w:p>
        </w:tc>
        <w:tc>
          <w:tcPr>
            <w:tcW w:w="1173" w:type="pct"/>
            <w:gridSpan w:val="2"/>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jc w:val="both"/>
              <w:rPr>
                <w:rFonts w:ascii="Times New Roman" w:eastAsia="Times New Roman" w:hAnsi="Times New Roman"/>
                <w:sz w:val="24"/>
                <w:szCs w:val="24"/>
                <w:lang w:eastAsia="lv-LV"/>
              </w:rPr>
            </w:pPr>
            <w:r w:rsidRPr="00E328FA">
              <w:rPr>
                <w:rFonts w:ascii="Times New Roman" w:hAnsi="Times New Roman"/>
                <w:sz w:val="24"/>
                <w:szCs w:val="24"/>
              </w:rPr>
              <w:t>Projekts šo jomu neskar</w:t>
            </w:r>
          </w:p>
        </w:tc>
        <w:tc>
          <w:tcPr>
            <w:tcW w:w="2411" w:type="pct"/>
            <w:gridSpan w:val="2"/>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jc w:val="both"/>
              <w:rPr>
                <w:rFonts w:ascii="Times New Roman" w:eastAsia="Times New Roman" w:hAnsi="Times New Roman"/>
                <w:sz w:val="24"/>
                <w:szCs w:val="24"/>
                <w:lang w:eastAsia="lv-LV"/>
              </w:rPr>
            </w:pPr>
            <w:r w:rsidRPr="00E328FA">
              <w:rPr>
                <w:rFonts w:ascii="Times New Roman" w:hAnsi="Times New Roman"/>
                <w:sz w:val="24"/>
                <w:szCs w:val="24"/>
              </w:rPr>
              <w:t>Projekts šo jomu neskar</w:t>
            </w:r>
          </w:p>
        </w:tc>
      </w:tr>
      <w:tr w:rsidR="004314FD" w:rsidRPr="00E328FA" w:rsidTr="00467B56">
        <w:trPr>
          <w:tblCellSpacing w:w="15" w:type="dxa"/>
        </w:trPr>
        <w:tc>
          <w:tcPr>
            <w:tcW w:w="1356" w:type="pct"/>
            <w:gridSpan w:val="2"/>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tc>
        <w:tc>
          <w:tcPr>
            <w:tcW w:w="3599" w:type="pct"/>
            <w:gridSpan w:val="4"/>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jc w:val="both"/>
              <w:rPr>
                <w:rFonts w:ascii="Times New Roman" w:eastAsia="Times New Roman" w:hAnsi="Times New Roman"/>
                <w:sz w:val="24"/>
                <w:szCs w:val="24"/>
                <w:lang w:eastAsia="lv-LV"/>
              </w:rPr>
            </w:pPr>
            <w:r w:rsidRPr="00E328FA">
              <w:rPr>
                <w:rFonts w:ascii="Times New Roman" w:hAnsi="Times New Roman"/>
                <w:sz w:val="24"/>
                <w:szCs w:val="24"/>
              </w:rPr>
              <w:t>Projekts šo jomu neskar</w:t>
            </w:r>
          </w:p>
        </w:tc>
      </w:tr>
      <w:tr w:rsidR="004314FD" w:rsidRPr="00E328FA" w:rsidTr="00467B56">
        <w:trPr>
          <w:tblCellSpacing w:w="15" w:type="dxa"/>
        </w:trPr>
        <w:tc>
          <w:tcPr>
            <w:tcW w:w="1356" w:type="pct"/>
            <w:gridSpan w:val="2"/>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Cita informācija</w:t>
            </w:r>
          </w:p>
        </w:tc>
        <w:tc>
          <w:tcPr>
            <w:tcW w:w="3599" w:type="pct"/>
            <w:gridSpan w:val="4"/>
            <w:tcBorders>
              <w:top w:val="outset" w:sz="6" w:space="0" w:color="auto"/>
              <w:left w:val="outset" w:sz="6" w:space="0" w:color="auto"/>
              <w:bottom w:val="outset" w:sz="6" w:space="0" w:color="auto"/>
              <w:right w:val="outset" w:sz="6" w:space="0" w:color="auto"/>
            </w:tcBorders>
            <w:hideMark/>
          </w:tcPr>
          <w:p w:rsidR="00ED7354" w:rsidRPr="00E328FA" w:rsidRDefault="00ED7354"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Nav</w:t>
            </w:r>
          </w:p>
        </w:tc>
      </w:tr>
    </w:tbl>
    <w:p w:rsidR="00027707" w:rsidRPr="00E328FA" w:rsidRDefault="00027707" w:rsidP="00161A0A">
      <w:pPr>
        <w:spacing w:after="0" w:line="240" w:lineRule="auto"/>
        <w:rPr>
          <w:rFonts w:ascii="Times New Roman" w:eastAsia="Times New Roman" w:hAnsi="Times New Roman"/>
          <w:sz w:val="24"/>
          <w:szCs w:val="24"/>
          <w:lang w:eastAsia="lv-LV"/>
        </w:rPr>
      </w:pPr>
    </w:p>
    <w:tbl>
      <w:tblPr>
        <w:tblW w:w="5867"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0"/>
        <w:gridCol w:w="2435"/>
        <w:gridCol w:w="6557"/>
      </w:tblGrid>
      <w:tr w:rsidR="004314FD" w:rsidRPr="00E328FA" w:rsidTr="00DE5704">
        <w:trPr>
          <w:trHeight w:val="42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027707" w:rsidRPr="00E328FA" w:rsidRDefault="00027707" w:rsidP="00161A0A">
            <w:pPr>
              <w:spacing w:after="0" w:line="240" w:lineRule="auto"/>
              <w:jc w:val="center"/>
              <w:rPr>
                <w:rFonts w:ascii="Times New Roman" w:eastAsia="Times New Roman" w:hAnsi="Times New Roman"/>
                <w:b/>
                <w:bCs/>
                <w:sz w:val="24"/>
                <w:szCs w:val="24"/>
                <w:lang w:eastAsia="lv-LV"/>
              </w:rPr>
            </w:pPr>
            <w:r w:rsidRPr="00E328FA">
              <w:rPr>
                <w:rFonts w:ascii="Times New Roman" w:eastAsia="Times New Roman" w:hAnsi="Times New Roman"/>
                <w:b/>
                <w:bCs/>
                <w:sz w:val="24"/>
                <w:szCs w:val="24"/>
                <w:lang w:eastAsia="lv-LV"/>
              </w:rPr>
              <w:t>VI. Sabiedrības līdzdalība un komunikācijas aktivitātes</w:t>
            </w:r>
          </w:p>
        </w:tc>
      </w:tr>
      <w:tr w:rsidR="00DE5704" w:rsidRPr="00E328FA" w:rsidTr="00DE5704">
        <w:trPr>
          <w:trHeight w:val="540"/>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DE5704" w:rsidRPr="00E328FA" w:rsidRDefault="00DE5704" w:rsidP="00DE5704">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1.</w:t>
            </w:r>
          </w:p>
        </w:tc>
        <w:tc>
          <w:tcPr>
            <w:tcW w:w="1219" w:type="pct"/>
            <w:tcBorders>
              <w:top w:val="outset" w:sz="6" w:space="0" w:color="auto"/>
              <w:left w:val="outset" w:sz="6" w:space="0" w:color="auto"/>
              <w:bottom w:val="outset" w:sz="6" w:space="0" w:color="auto"/>
              <w:right w:val="outset" w:sz="6" w:space="0" w:color="auto"/>
            </w:tcBorders>
            <w:hideMark/>
          </w:tcPr>
          <w:p w:rsidR="00DE5704" w:rsidRPr="00E328FA" w:rsidRDefault="00DE5704" w:rsidP="00DE5704">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Plānotās sabiedrības līdzdalības un komunikācijas aktivitātes saistībā ar projektu</w:t>
            </w:r>
          </w:p>
        </w:tc>
        <w:tc>
          <w:tcPr>
            <w:tcW w:w="3270" w:type="pct"/>
            <w:tcBorders>
              <w:top w:val="outset" w:sz="6" w:space="0" w:color="auto"/>
              <w:left w:val="outset" w:sz="6" w:space="0" w:color="auto"/>
              <w:bottom w:val="outset" w:sz="6" w:space="0" w:color="auto"/>
              <w:right w:val="outset" w:sz="6" w:space="0" w:color="auto"/>
            </w:tcBorders>
            <w:hideMark/>
          </w:tcPr>
          <w:p w:rsidR="00DE5704" w:rsidRPr="00E328FA" w:rsidRDefault="00DE5704" w:rsidP="00DE5704">
            <w:pPr>
              <w:pStyle w:val="naiskr"/>
              <w:spacing w:before="0" w:after="0"/>
              <w:ind w:left="57" w:right="57"/>
              <w:jc w:val="both"/>
            </w:pPr>
            <w:r w:rsidRPr="00E328FA">
              <w:t>Ministru kabineta noteikumu projekts no 2016.gada 1</w:t>
            </w:r>
            <w:r w:rsidR="00664DD1" w:rsidRPr="00E328FA">
              <w:t>7</w:t>
            </w:r>
            <w:r w:rsidRPr="00E328FA">
              <w:t xml:space="preserve">.februāra ir pieejams Vides aizsardzības un reģionālās attīstības ministrijas mājas lapā </w:t>
            </w:r>
            <w:hyperlink r:id="rId11" w:history="1">
              <w:r w:rsidRPr="00E328FA">
                <w:rPr>
                  <w:rStyle w:val="Hyperlink"/>
                  <w:rFonts w:eastAsia="Calibri"/>
                </w:rPr>
                <w:t>www.varam.gov.lv</w:t>
              </w:r>
            </w:hyperlink>
            <w:r w:rsidRPr="00E328FA">
              <w:t>, līdz ar to ieinteresētajām personām ir iespēja izteikt viedokli un sniegt priekšlikumus.</w:t>
            </w:r>
          </w:p>
        </w:tc>
      </w:tr>
      <w:tr w:rsidR="00DE5704" w:rsidRPr="00E328FA" w:rsidTr="00DE5704">
        <w:trPr>
          <w:trHeight w:val="330"/>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DE5704" w:rsidRPr="00E328FA" w:rsidRDefault="00DE5704" w:rsidP="00DE5704">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2.</w:t>
            </w:r>
          </w:p>
        </w:tc>
        <w:tc>
          <w:tcPr>
            <w:tcW w:w="1219" w:type="pct"/>
            <w:tcBorders>
              <w:top w:val="outset" w:sz="6" w:space="0" w:color="auto"/>
              <w:left w:val="outset" w:sz="6" w:space="0" w:color="auto"/>
              <w:bottom w:val="outset" w:sz="6" w:space="0" w:color="auto"/>
              <w:right w:val="outset" w:sz="6" w:space="0" w:color="auto"/>
            </w:tcBorders>
            <w:hideMark/>
          </w:tcPr>
          <w:p w:rsidR="00DE5704" w:rsidRPr="00E328FA" w:rsidRDefault="00DE5704" w:rsidP="00DE5704">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Sabiedrības līdzdalība projekta izstrādē</w:t>
            </w:r>
          </w:p>
        </w:tc>
        <w:tc>
          <w:tcPr>
            <w:tcW w:w="3270" w:type="pct"/>
            <w:tcBorders>
              <w:top w:val="outset" w:sz="6" w:space="0" w:color="auto"/>
              <w:left w:val="outset" w:sz="6" w:space="0" w:color="auto"/>
              <w:bottom w:val="outset" w:sz="6" w:space="0" w:color="auto"/>
              <w:right w:val="outset" w:sz="6" w:space="0" w:color="auto"/>
            </w:tcBorders>
            <w:hideMark/>
          </w:tcPr>
          <w:p w:rsidR="008270CA" w:rsidRPr="00E328FA" w:rsidRDefault="008270CA" w:rsidP="00DE5704">
            <w:pPr>
              <w:pStyle w:val="naiskr"/>
              <w:spacing w:before="0" w:after="0"/>
              <w:ind w:right="57"/>
              <w:jc w:val="both"/>
            </w:pPr>
            <w:r w:rsidRPr="00E328FA">
              <w:t>Nav saņemti sabiedrības priekšlikumi par izstrādāto MK noteikumu projektu.</w:t>
            </w:r>
          </w:p>
        </w:tc>
      </w:tr>
      <w:tr w:rsidR="00DE5704" w:rsidRPr="00E328FA" w:rsidTr="00DE5704">
        <w:trPr>
          <w:trHeight w:val="465"/>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DE5704" w:rsidRPr="00E328FA" w:rsidRDefault="00DE5704" w:rsidP="00DE5704">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3.</w:t>
            </w:r>
          </w:p>
        </w:tc>
        <w:tc>
          <w:tcPr>
            <w:tcW w:w="1219" w:type="pct"/>
            <w:tcBorders>
              <w:top w:val="outset" w:sz="6" w:space="0" w:color="auto"/>
              <w:left w:val="outset" w:sz="6" w:space="0" w:color="auto"/>
              <w:bottom w:val="outset" w:sz="6" w:space="0" w:color="auto"/>
              <w:right w:val="outset" w:sz="6" w:space="0" w:color="auto"/>
            </w:tcBorders>
            <w:hideMark/>
          </w:tcPr>
          <w:p w:rsidR="00DE5704" w:rsidRPr="00E328FA" w:rsidRDefault="00DE5704" w:rsidP="00DE5704">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Sabiedrības līdzdalības rezultāti</w:t>
            </w:r>
          </w:p>
        </w:tc>
        <w:tc>
          <w:tcPr>
            <w:tcW w:w="3270" w:type="pct"/>
            <w:tcBorders>
              <w:top w:val="outset" w:sz="6" w:space="0" w:color="auto"/>
              <w:left w:val="outset" w:sz="6" w:space="0" w:color="auto"/>
              <w:bottom w:val="outset" w:sz="6" w:space="0" w:color="auto"/>
              <w:right w:val="outset" w:sz="6" w:space="0" w:color="auto"/>
            </w:tcBorders>
            <w:hideMark/>
          </w:tcPr>
          <w:p w:rsidR="00DE5704" w:rsidRPr="00E328FA" w:rsidRDefault="008270CA" w:rsidP="00DE5704">
            <w:pPr>
              <w:pStyle w:val="naiskr"/>
              <w:spacing w:before="0" w:after="0"/>
              <w:ind w:right="57"/>
              <w:jc w:val="both"/>
            </w:pPr>
            <w:r w:rsidRPr="00E328FA">
              <w:t>Nav saņemti sabiedrības priekšlikumi par izstrādāto MK noteikumu projektu.</w:t>
            </w:r>
          </w:p>
        </w:tc>
      </w:tr>
      <w:tr w:rsidR="00DE5704" w:rsidRPr="00E328FA" w:rsidTr="00DE5704">
        <w:trPr>
          <w:trHeight w:val="465"/>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DE5704" w:rsidRPr="00E328FA" w:rsidRDefault="00DE5704" w:rsidP="00DE5704">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4.</w:t>
            </w:r>
          </w:p>
        </w:tc>
        <w:tc>
          <w:tcPr>
            <w:tcW w:w="1219" w:type="pct"/>
            <w:tcBorders>
              <w:top w:val="outset" w:sz="6" w:space="0" w:color="auto"/>
              <w:left w:val="outset" w:sz="6" w:space="0" w:color="auto"/>
              <w:bottom w:val="outset" w:sz="6" w:space="0" w:color="auto"/>
              <w:right w:val="outset" w:sz="6" w:space="0" w:color="auto"/>
            </w:tcBorders>
            <w:hideMark/>
          </w:tcPr>
          <w:p w:rsidR="00DE5704" w:rsidRPr="00E328FA" w:rsidRDefault="00DE5704" w:rsidP="00DE5704">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Cita informācija</w:t>
            </w:r>
          </w:p>
        </w:tc>
        <w:tc>
          <w:tcPr>
            <w:tcW w:w="3270" w:type="pct"/>
            <w:tcBorders>
              <w:top w:val="outset" w:sz="6" w:space="0" w:color="auto"/>
              <w:left w:val="outset" w:sz="6" w:space="0" w:color="auto"/>
              <w:bottom w:val="outset" w:sz="6" w:space="0" w:color="auto"/>
              <w:right w:val="outset" w:sz="6" w:space="0" w:color="auto"/>
            </w:tcBorders>
            <w:hideMark/>
          </w:tcPr>
          <w:p w:rsidR="00DE5704" w:rsidRPr="00E328FA" w:rsidRDefault="00DE5704" w:rsidP="00DE5704">
            <w:pPr>
              <w:pStyle w:val="naiskr"/>
              <w:spacing w:before="0" w:after="0"/>
              <w:ind w:right="57"/>
              <w:jc w:val="both"/>
            </w:pPr>
            <w:r w:rsidRPr="00E328FA">
              <w:t>Nav.</w:t>
            </w:r>
          </w:p>
        </w:tc>
      </w:tr>
    </w:tbl>
    <w:p w:rsidR="00027707" w:rsidRPr="00E328FA" w:rsidRDefault="00027707" w:rsidP="00161A0A">
      <w:pPr>
        <w:spacing w:after="0" w:line="240" w:lineRule="auto"/>
        <w:rPr>
          <w:rFonts w:ascii="Times New Roman" w:eastAsia="Times New Roman" w:hAnsi="Times New Roman"/>
          <w:sz w:val="24"/>
          <w:szCs w:val="24"/>
          <w:lang w:eastAsia="lv-LV"/>
        </w:rPr>
      </w:pPr>
    </w:p>
    <w:tbl>
      <w:tblPr>
        <w:tblW w:w="5867"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6"/>
        <w:gridCol w:w="3140"/>
        <w:gridCol w:w="5846"/>
      </w:tblGrid>
      <w:tr w:rsidR="004314FD" w:rsidRPr="00E328FA" w:rsidTr="00151C95">
        <w:trPr>
          <w:trHeight w:val="37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027707" w:rsidRPr="00E328FA" w:rsidRDefault="00027707" w:rsidP="00161A0A">
            <w:pPr>
              <w:spacing w:after="0" w:line="240" w:lineRule="auto"/>
              <w:jc w:val="center"/>
              <w:rPr>
                <w:rFonts w:ascii="Times New Roman" w:eastAsia="Times New Roman" w:hAnsi="Times New Roman"/>
                <w:b/>
                <w:bCs/>
                <w:sz w:val="24"/>
                <w:szCs w:val="24"/>
                <w:lang w:eastAsia="lv-LV"/>
              </w:rPr>
            </w:pPr>
            <w:r w:rsidRPr="00E328FA">
              <w:rPr>
                <w:rFonts w:ascii="Times New Roman" w:eastAsia="Times New Roman" w:hAnsi="Times New Roman"/>
                <w:b/>
                <w:bCs/>
                <w:sz w:val="24"/>
                <w:szCs w:val="24"/>
                <w:lang w:eastAsia="lv-LV"/>
              </w:rPr>
              <w:t>VII. Tiesību akta projekta izpildes nodrošināšana un tās ietekme uz institūcijām</w:t>
            </w:r>
          </w:p>
        </w:tc>
      </w:tr>
      <w:tr w:rsidR="004314FD" w:rsidRPr="00E328FA" w:rsidTr="00151C95">
        <w:trPr>
          <w:trHeight w:val="420"/>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1.</w:t>
            </w:r>
          </w:p>
        </w:tc>
        <w:tc>
          <w:tcPr>
            <w:tcW w:w="1577"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Projekta izpildē iesaistītās institūcijas</w:t>
            </w:r>
          </w:p>
        </w:tc>
        <w:tc>
          <w:tcPr>
            <w:tcW w:w="2910" w:type="pct"/>
            <w:tcBorders>
              <w:top w:val="outset" w:sz="6" w:space="0" w:color="auto"/>
              <w:left w:val="outset" w:sz="6" w:space="0" w:color="auto"/>
              <w:bottom w:val="outset" w:sz="6" w:space="0" w:color="auto"/>
              <w:right w:val="outset" w:sz="6" w:space="0" w:color="auto"/>
            </w:tcBorders>
            <w:hideMark/>
          </w:tcPr>
          <w:p w:rsidR="00D31DE3" w:rsidRPr="00E328FA" w:rsidRDefault="009663E0" w:rsidP="00C23FB4">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Vides aizsardzības un reģionālās attīstības ministrija</w:t>
            </w:r>
            <w:r w:rsidR="008F7DAD" w:rsidRPr="00E328FA">
              <w:rPr>
                <w:rFonts w:ascii="Times New Roman" w:eastAsia="Times New Roman" w:hAnsi="Times New Roman"/>
                <w:sz w:val="24"/>
                <w:szCs w:val="24"/>
                <w:lang w:eastAsia="lv-LV"/>
              </w:rPr>
              <w:t xml:space="preserve"> </w:t>
            </w:r>
          </w:p>
        </w:tc>
      </w:tr>
      <w:tr w:rsidR="004314FD" w:rsidRPr="00E328FA" w:rsidTr="00151C95">
        <w:trPr>
          <w:trHeight w:val="450"/>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2.</w:t>
            </w:r>
          </w:p>
        </w:tc>
        <w:tc>
          <w:tcPr>
            <w:tcW w:w="1577"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xml:space="preserve">Projekta izpildes ietekme uz pārvaldes funkcijām un institucionālo struktūru. </w:t>
            </w:r>
          </w:p>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910" w:type="pct"/>
            <w:tcBorders>
              <w:top w:val="outset" w:sz="6" w:space="0" w:color="auto"/>
              <w:left w:val="outset" w:sz="6" w:space="0" w:color="auto"/>
              <w:bottom w:val="outset" w:sz="6" w:space="0" w:color="auto"/>
              <w:right w:val="outset" w:sz="6" w:space="0" w:color="auto"/>
            </w:tcBorders>
            <w:hideMark/>
          </w:tcPr>
          <w:p w:rsidR="00027707" w:rsidRPr="00E328FA" w:rsidRDefault="00DE5704" w:rsidP="00AE15CC">
            <w:pPr>
              <w:spacing w:after="0" w:line="240" w:lineRule="auto"/>
              <w:jc w:val="both"/>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 xml:space="preserve">Detalizēta informācija sniegta VARAM sagatavotajā un Ministru kabinetā 2014.gada 28.oktobrī pieņemtajā informatīvajā ziņojumā "Par finansējumu Eiropas Savienības Strukturālo un investīciju fondu mērķa "Eiropas teritoriālā sadarbība" 2014.-2020.gada plānošanas periodam finanšu kontroles sistēmas darbības nodrošināšanai Latvijā" un MK noteikumu Nr. 124  sākotnējās ietekmes novērtējuma ziņojumā (anotācijā). </w:t>
            </w:r>
          </w:p>
        </w:tc>
      </w:tr>
      <w:tr w:rsidR="004314FD" w:rsidRPr="00E328FA" w:rsidTr="00151C95">
        <w:trPr>
          <w:trHeight w:val="390"/>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3.</w:t>
            </w:r>
          </w:p>
        </w:tc>
        <w:tc>
          <w:tcPr>
            <w:tcW w:w="1577" w:type="pct"/>
            <w:tcBorders>
              <w:top w:val="outset" w:sz="6" w:space="0" w:color="auto"/>
              <w:left w:val="outset" w:sz="6" w:space="0" w:color="auto"/>
              <w:bottom w:val="outset" w:sz="6" w:space="0" w:color="auto"/>
              <w:right w:val="outset" w:sz="6" w:space="0" w:color="auto"/>
            </w:tcBorders>
            <w:hideMark/>
          </w:tcPr>
          <w:p w:rsidR="00027707" w:rsidRPr="00E328FA" w:rsidRDefault="00027707"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Cita informācija</w:t>
            </w:r>
          </w:p>
        </w:tc>
        <w:tc>
          <w:tcPr>
            <w:tcW w:w="2910" w:type="pct"/>
            <w:tcBorders>
              <w:top w:val="outset" w:sz="6" w:space="0" w:color="auto"/>
              <w:left w:val="outset" w:sz="6" w:space="0" w:color="auto"/>
              <w:bottom w:val="outset" w:sz="6" w:space="0" w:color="auto"/>
              <w:right w:val="outset" w:sz="6" w:space="0" w:color="auto"/>
            </w:tcBorders>
            <w:hideMark/>
          </w:tcPr>
          <w:p w:rsidR="00027707" w:rsidRPr="00E328FA" w:rsidRDefault="009663E0" w:rsidP="00161A0A">
            <w:pPr>
              <w:spacing w:after="0" w:line="240" w:lineRule="auto"/>
              <w:rPr>
                <w:rFonts w:ascii="Times New Roman" w:eastAsia="Times New Roman" w:hAnsi="Times New Roman"/>
                <w:sz w:val="24"/>
                <w:szCs w:val="24"/>
                <w:lang w:eastAsia="lv-LV"/>
              </w:rPr>
            </w:pPr>
            <w:r w:rsidRPr="00E328FA">
              <w:rPr>
                <w:rFonts w:ascii="Times New Roman" w:eastAsia="Times New Roman" w:hAnsi="Times New Roman"/>
                <w:sz w:val="24"/>
                <w:szCs w:val="24"/>
                <w:lang w:eastAsia="lv-LV"/>
              </w:rPr>
              <w:t>Nav</w:t>
            </w:r>
          </w:p>
        </w:tc>
      </w:tr>
    </w:tbl>
    <w:p w:rsidR="00DD3402" w:rsidRPr="00E328FA" w:rsidRDefault="00DD3402" w:rsidP="00161A0A">
      <w:pPr>
        <w:spacing w:after="0" w:line="240" w:lineRule="auto"/>
      </w:pPr>
    </w:p>
    <w:p w:rsidR="00E6171D" w:rsidRPr="00E328FA" w:rsidRDefault="00E6171D" w:rsidP="00161A0A">
      <w:pPr>
        <w:spacing w:after="0" w:line="240" w:lineRule="auto"/>
        <w:rPr>
          <w:rFonts w:ascii="Times New Roman" w:hAnsi="Times New Roman"/>
          <w:sz w:val="24"/>
          <w:szCs w:val="24"/>
        </w:rPr>
      </w:pPr>
      <w:r w:rsidRPr="00E328FA">
        <w:rPr>
          <w:rFonts w:ascii="Times New Roman" w:hAnsi="Times New Roman"/>
          <w:sz w:val="24"/>
          <w:szCs w:val="24"/>
        </w:rPr>
        <w:t>Anotācijas IV sadaļa – projekts š</w:t>
      </w:r>
      <w:r w:rsidR="007C7504" w:rsidRPr="00E328FA">
        <w:rPr>
          <w:rFonts w:ascii="Times New Roman" w:hAnsi="Times New Roman"/>
          <w:sz w:val="24"/>
          <w:szCs w:val="24"/>
        </w:rPr>
        <w:t>o</w:t>
      </w:r>
      <w:r w:rsidRPr="00E328FA">
        <w:rPr>
          <w:rFonts w:ascii="Times New Roman" w:hAnsi="Times New Roman"/>
          <w:sz w:val="24"/>
          <w:szCs w:val="24"/>
        </w:rPr>
        <w:t xml:space="preserve"> jom</w:t>
      </w:r>
      <w:r w:rsidR="007C7504" w:rsidRPr="00E328FA">
        <w:rPr>
          <w:rFonts w:ascii="Times New Roman" w:hAnsi="Times New Roman"/>
          <w:sz w:val="24"/>
          <w:szCs w:val="24"/>
        </w:rPr>
        <w:t>u</w:t>
      </w:r>
      <w:r w:rsidRPr="00E328FA">
        <w:rPr>
          <w:rFonts w:ascii="Times New Roman" w:hAnsi="Times New Roman"/>
          <w:sz w:val="24"/>
          <w:szCs w:val="24"/>
        </w:rPr>
        <w:t xml:space="preserve"> neskar.</w:t>
      </w:r>
    </w:p>
    <w:p w:rsidR="00E6171D" w:rsidRPr="00E328FA" w:rsidRDefault="00E6171D" w:rsidP="00161A0A">
      <w:pPr>
        <w:spacing w:after="0" w:line="240" w:lineRule="auto"/>
      </w:pPr>
    </w:p>
    <w:p w:rsidR="000F7D08" w:rsidRDefault="000F7D08" w:rsidP="000F7D08">
      <w:pPr>
        <w:spacing w:after="0" w:line="240" w:lineRule="auto"/>
        <w:rPr>
          <w:rFonts w:ascii="Times New Roman" w:hAnsi="Times New Roman"/>
          <w:sz w:val="24"/>
          <w:szCs w:val="24"/>
        </w:rPr>
      </w:pPr>
      <w:bookmarkStart w:id="2" w:name="p2008"/>
      <w:bookmarkEnd w:id="2"/>
      <w:r>
        <w:rPr>
          <w:rFonts w:ascii="Times New Roman" w:hAnsi="Times New Roman"/>
          <w:sz w:val="24"/>
          <w:szCs w:val="24"/>
        </w:rPr>
        <w:t xml:space="preserve">Vides aizsardzības un reģionālās </w:t>
      </w:r>
    </w:p>
    <w:p w:rsidR="0004066A" w:rsidRPr="00E328FA" w:rsidRDefault="000F7D08" w:rsidP="000F7D08">
      <w:pPr>
        <w:spacing w:after="0" w:line="240" w:lineRule="auto"/>
        <w:rPr>
          <w:rFonts w:ascii="Times New Roman" w:hAnsi="Times New Roman"/>
        </w:rPr>
      </w:pPr>
      <w:r>
        <w:rPr>
          <w:rFonts w:ascii="Times New Roman" w:hAnsi="Times New Roman"/>
          <w:sz w:val="24"/>
          <w:szCs w:val="24"/>
        </w:rPr>
        <w:t xml:space="preserve">Attīstības ministrs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K.Gerhards</w:t>
      </w:r>
      <w:r w:rsidR="0004066A" w:rsidRPr="00E328FA">
        <w:rPr>
          <w:rFonts w:ascii="Times New Roman" w:hAnsi="Times New Roman"/>
          <w:sz w:val="24"/>
          <w:szCs w:val="24"/>
        </w:rPr>
        <w:tab/>
      </w:r>
      <w:r w:rsidR="0004066A" w:rsidRPr="00E328FA">
        <w:rPr>
          <w:rFonts w:ascii="Times New Roman" w:hAnsi="Times New Roman"/>
          <w:sz w:val="24"/>
          <w:szCs w:val="24"/>
        </w:rPr>
        <w:tab/>
      </w:r>
      <w:r w:rsidR="0004066A" w:rsidRPr="00E328FA">
        <w:rPr>
          <w:rFonts w:ascii="Times New Roman" w:hAnsi="Times New Roman"/>
          <w:sz w:val="24"/>
          <w:szCs w:val="24"/>
        </w:rPr>
        <w:tab/>
      </w:r>
      <w:r w:rsidR="0004066A" w:rsidRPr="00E328FA">
        <w:rPr>
          <w:rFonts w:ascii="Times New Roman" w:hAnsi="Times New Roman"/>
          <w:sz w:val="28"/>
          <w:szCs w:val="28"/>
        </w:rPr>
        <w:t xml:space="preserve">                                                  </w:t>
      </w:r>
      <w:r w:rsidR="0004066A" w:rsidRPr="00E328FA">
        <w:rPr>
          <w:rFonts w:ascii="Times New Roman" w:hAnsi="Times New Roman"/>
          <w:sz w:val="28"/>
          <w:szCs w:val="28"/>
        </w:rPr>
        <w:tab/>
        <w:t xml:space="preserve"> </w:t>
      </w:r>
    </w:p>
    <w:p w:rsidR="000F7D08" w:rsidRDefault="000F7D08" w:rsidP="0004066A">
      <w:pPr>
        <w:spacing w:after="0" w:line="240" w:lineRule="auto"/>
        <w:rPr>
          <w:rFonts w:ascii="Times New Roman" w:hAnsi="Times New Roman"/>
          <w:sz w:val="20"/>
          <w:szCs w:val="20"/>
        </w:rPr>
      </w:pPr>
    </w:p>
    <w:p w:rsidR="000F7D08" w:rsidRPr="000F7D08" w:rsidRDefault="000F7D08" w:rsidP="0004066A">
      <w:pPr>
        <w:spacing w:after="0" w:line="240" w:lineRule="auto"/>
        <w:rPr>
          <w:rFonts w:ascii="Times New Roman" w:hAnsi="Times New Roman"/>
          <w:sz w:val="24"/>
          <w:szCs w:val="24"/>
        </w:rPr>
      </w:pPr>
      <w:r w:rsidRPr="000F7D08">
        <w:rPr>
          <w:rFonts w:ascii="Times New Roman" w:hAnsi="Times New Roman"/>
          <w:sz w:val="24"/>
          <w:szCs w:val="24"/>
        </w:rPr>
        <w:t>Valsts sekretāra p.i.</w:t>
      </w:r>
    </w:p>
    <w:p w:rsidR="000F7D08" w:rsidRPr="000F7D08" w:rsidRDefault="000F7D08" w:rsidP="0004066A">
      <w:pPr>
        <w:spacing w:after="0" w:line="240" w:lineRule="auto"/>
        <w:rPr>
          <w:rFonts w:ascii="Times New Roman" w:hAnsi="Times New Roman"/>
          <w:sz w:val="24"/>
          <w:szCs w:val="24"/>
        </w:rPr>
      </w:pPr>
      <w:r w:rsidRPr="000F7D08">
        <w:rPr>
          <w:rFonts w:ascii="Times New Roman" w:hAnsi="Times New Roman"/>
          <w:sz w:val="24"/>
          <w:szCs w:val="24"/>
        </w:rPr>
        <w:t xml:space="preserve">Valsts sekretāra vietniece </w:t>
      </w:r>
    </w:p>
    <w:p w:rsidR="000F7D08" w:rsidRPr="000F7D08" w:rsidRDefault="000F7D08" w:rsidP="0004066A">
      <w:pPr>
        <w:spacing w:after="0" w:line="240" w:lineRule="auto"/>
        <w:rPr>
          <w:rFonts w:ascii="Times New Roman" w:hAnsi="Times New Roman"/>
          <w:sz w:val="24"/>
          <w:szCs w:val="24"/>
        </w:rPr>
      </w:pPr>
      <w:r w:rsidRPr="000F7D08">
        <w:rPr>
          <w:rFonts w:ascii="Times New Roman" w:hAnsi="Times New Roman"/>
          <w:sz w:val="24"/>
          <w:szCs w:val="24"/>
        </w:rPr>
        <w:t>vides aizsardzības jautājumos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A.Ozola</w:t>
      </w:r>
    </w:p>
    <w:p w:rsidR="000F7D08" w:rsidRDefault="000F7D08" w:rsidP="0004066A">
      <w:pPr>
        <w:spacing w:after="0" w:line="240" w:lineRule="auto"/>
        <w:rPr>
          <w:rFonts w:ascii="Times New Roman" w:hAnsi="Times New Roman"/>
          <w:sz w:val="20"/>
          <w:szCs w:val="20"/>
        </w:rPr>
      </w:pPr>
    </w:p>
    <w:p w:rsidR="000F7D08" w:rsidRDefault="000F7D08" w:rsidP="0004066A">
      <w:pPr>
        <w:spacing w:after="0" w:line="240" w:lineRule="auto"/>
        <w:rPr>
          <w:rFonts w:ascii="Times New Roman" w:hAnsi="Times New Roman"/>
          <w:sz w:val="20"/>
          <w:szCs w:val="20"/>
        </w:rPr>
      </w:pPr>
    </w:p>
    <w:p w:rsidR="000F7D08" w:rsidRDefault="000F7D08" w:rsidP="0004066A">
      <w:pPr>
        <w:spacing w:after="0" w:line="240" w:lineRule="auto"/>
        <w:rPr>
          <w:rFonts w:ascii="Times New Roman" w:hAnsi="Times New Roman"/>
          <w:sz w:val="20"/>
          <w:szCs w:val="20"/>
        </w:rPr>
      </w:pPr>
    </w:p>
    <w:p w:rsidR="0004066A" w:rsidRPr="00E328FA" w:rsidRDefault="000F7D08" w:rsidP="0004066A">
      <w:pPr>
        <w:spacing w:after="0" w:line="240" w:lineRule="auto"/>
        <w:rPr>
          <w:rFonts w:ascii="Times New Roman" w:hAnsi="Times New Roman"/>
          <w:sz w:val="20"/>
          <w:szCs w:val="20"/>
        </w:rPr>
      </w:pPr>
      <w:r>
        <w:rPr>
          <w:rFonts w:ascii="Times New Roman" w:hAnsi="Times New Roman"/>
          <w:sz w:val="20"/>
          <w:szCs w:val="20"/>
        </w:rPr>
        <w:t>10</w:t>
      </w:r>
      <w:r w:rsidR="0037477B">
        <w:rPr>
          <w:rFonts w:ascii="Times New Roman" w:hAnsi="Times New Roman"/>
          <w:sz w:val="20"/>
          <w:szCs w:val="20"/>
        </w:rPr>
        <w:t>.05</w:t>
      </w:r>
      <w:r w:rsidR="0004066A" w:rsidRPr="00E328FA">
        <w:rPr>
          <w:rFonts w:ascii="Times New Roman" w:hAnsi="Times New Roman"/>
          <w:sz w:val="20"/>
          <w:szCs w:val="20"/>
        </w:rPr>
        <w:t xml:space="preserve">.2016., </w:t>
      </w:r>
      <w:r w:rsidR="00D012C8" w:rsidRPr="00E328FA">
        <w:rPr>
          <w:rFonts w:ascii="Times New Roman" w:hAnsi="Times New Roman"/>
          <w:sz w:val="20"/>
          <w:szCs w:val="20"/>
        </w:rPr>
        <w:t>09</w:t>
      </w:r>
      <w:r w:rsidR="008D183F" w:rsidRPr="00E328FA">
        <w:rPr>
          <w:rFonts w:ascii="Times New Roman" w:hAnsi="Times New Roman"/>
          <w:sz w:val="20"/>
          <w:szCs w:val="20"/>
        </w:rPr>
        <w:t>:00</w:t>
      </w:r>
    </w:p>
    <w:p w:rsidR="0004066A" w:rsidRPr="00E328FA" w:rsidRDefault="001F52CF" w:rsidP="0004066A">
      <w:pPr>
        <w:tabs>
          <w:tab w:val="left" w:pos="3465"/>
        </w:tabs>
        <w:spacing w:after="0" w:line="240" w:lineRule="auto"/>
        <w:rPr>
          <w:rFonts w:ascii="Times New Roman" w:hAnsi="Times New Roman"/>
          <w:sz w:val="20"/>
          <w:szCs w:val="20"/>
        </w:rPr>
      </w:pPr>
      <w:r w:rsidRPr="00E328FA">
        <w:rPr>
          <w:rFonts w:ascii="Times New Roman" w:hAnsi="Times New Roman"/>
          <w:sz w:val="20"/>
          <w:szCs w:val="20"/>
        </w:rPr>
        <w:t>2</w:t>
      </w:r>
      <w:r w:rsidR="0037477B">
        <w:rPr>
          <w:rFonts w:ascii="Times New Roman" w:hAnsi="Times New Roman"/>
          <w:sz w:val="20"/>
          <w:szCs w:val="20"/>
        </w:rPr>
        <w:t>2</w:t>
      </w:r>
      <w:r w:rsidR="00594F42">
        <w:rPr>
          <w:rFonts w:ascii="Times New Roman" w:hAnsi="Times New Roman"/>
          <w:sz w:val="20"/>
          <w:szCs w:val="20"/>
        </w:rPr>
        <w:t>83</w:t>
      </w:r>
      <w:r w:rsidR="0004066A" w:rsidRPr="00E328FA">
        <w:rPr>
          <w:rFonts w:ascii="Times New Roman" w:hAnsi="Times New Roman"/>
          <w:sz w:val="20"/>
          <w:szCs w:val="20"/>
        </w:rPr>
        <w:tab/>
      </w:r>
    </w:p>
    <w:p w:rsidR="0031716D" w:rsidRPr="00E328FA" w:rsidRDefault="00DE5704" w:rsidP="0031716D">
      <w:pPr>
        <w:spacing w:after="0" w:line="240" w:lineRule="auto"/>
        <w:rPr>
          <w:rFonts w:ascii="Times New Roman" w:hAnsi="Times New Roman"/>
          <w:iCs/>
          <w:sz w:val="20"/>
          <w:szCs w:val="20"/>
        </w:rPr>
      </w:pPr>
      <w:r w:rsidRPr="00E328FA">
        <w:rPr>
          <w:rFonts w:ascii="Times New Roman" w:hAnsi="Times New Roman"/>
          <w:iCs/>
          <w:sz w:val="20"/>
          <w:szCs w:val="20"/>
        </w:rPr>
        <w:t>Līga Kalvāne</w:t>
      </w:r>
    </w:p>
    <w:p w:rsidR="0031716D" w:rsidRPr="00E328FA" w:rsidRDefault="0031716D" w:rsidP="0031716D">
      <w:pPr>
        <w:spacing w:after="0" w:line="240" w:lineRule="auto"/>
        <w:rPr>
          <w:rFonts w:ascii="Times New Roman" w:hAnsi="Times New Roman"/>
          <w:sz w:val="20"/>
          <w:szCs w:val="20"/>
        </w:rPr>
      </w:pPr>
      <w:r w:rsidRPr="00E328FA">
        <w:rPr>
          <w:rFonts w:ascii="Times New Roman" w:hAnsi="Times New Roman"/>
          <w:iCs/>
          <w:sz w:val="20"/>
          <w:szCs w:val="20"/>
        </w:rPr>
        <w:t>Vides aizsardzības un reģionālās attīstības ministrijas</w:t>
      </w:r>
    </w:p>
    <w:p w:rsidR="0031716D" w:rsidRPr="00E328FA" w:rsidRDefault="0031716D" w:rsidP="0031716D">
      <w:pPr>
        <w:spacing w:after="0" w:line="240" w:lineRule="auto"/>
        <w:rPr>
          <w:rFonts w:ascii="Times New Roman" w:hAnsi="Times New Roman"/>
          <w:iCs/>
          <w:sz w:val="20"/>
          <w:szCs w:val="20"/>
        </w:rPr>
      </w:pPr>
      <w:r w:rsidRPr="00E328FA">
        <w:rPr>
          <w:rFonts w:ascii="Times New Roman" w:hAnsi="Times New Roman"/>
          <w:iCs/>
          <w:sz w:val="20"/>
          <w:szCs w:val="20"/>
        </w:rPr>
        <w:t>Investīciju uzraudzības departamenta</w:t>
      </w:r>
    </w:p>
    <w:p w:rsidR="0031716D" w:rsidRPr="00E328FA" w:rsidRDefault="00DE5704" w:rsidP="0031716D">
      <w:pPr>
        <w:spacing w:after="0" w:line="240" w:lineRule="auto"/>
        <w:rPr>
          <w:rFonts w:ascii="Times New Roman" w:hAnsi="Times New Roman"/>
          <w:iCs/>
          <w:sz w:val="20"/>
          <w:szCs w:val="20"/>
        </w:rPr>
      </w:pPr>
      <w:r w:rsidRPr="00E328FA">
        <w:rPr>
          <w:rFonts w:ascii="Times New Roman" w:hAnsi="Times New Roman"/>
          <w:iCs/>
          <w:sz w:val="20"/>
          <w:szCs w:val="20"/>
        </w:rPr>
        <w:t xml:space="preserve">Teritoriālās sadarbības projektu kontroles </w:t>
      </w:r>
      <w:r w:rsidR="0031716D" w:rsidRPr="00E328FA">
        <w:rPr>
          <w:rFonts w:ascii="Times New Roman" w:hAnsi="Times New Roman"/>
          <w:iCs/>
          <w:sz w:val="20"/>
          <w:szCs w:val="20"/>
        </w:rPr>
        <w:t>nodaļas vadītāja</w:t>
      </w:r>
    </w:p>
    <w:p w:rsidR="0031716D" w:rsidRPr="00E328FA" w:rsidRDefault="0031716D" w:rsidP="0031716D">
      <w:pPr>
        <w:spacing w:after="0" w:line="240" w:lineRule="auto"/>
        <w:rPr>
          <w:rFonts w:ascii="Times New Roman" w:hAnsi="Times New Roman"/>
          <w:sz w:val="20"/>
          <w:szCs w:val="20"/>
        </w:rPr>
      </w:pPr>
      <w:r w:rsidRPr="00E328FA">
        <w:rPr>
          <w:rFonts w:ascii="Times New Roman" w:hAnsi="Times New Roman"/>
          <w:iCs/>
          <w:sz w:val="20"/>
          <w:szCs w:val="20"/>
        </w:rPr>
        <w:t xml:space="preserve"> tālr. </w:t>
      </w:r>
      <w:r w:rsidR="00DE5704" w:rsidRPr="00E328FA">
        <w:rPr>
          <w:rFonts w:ascii="Times New Roman" w:hAnsi="Times New Roman"/>
          <w:iCs/>
          <w:sz w:val="20"/>
          <w:szCs w:val="20"/>
        </w:rPr>
        <w:t>67026402</w:t>
      </w:r>
      <w:r w:rsidRPr="00E328FA">
        <w:rPr>
          <w:rFonts w:ascii="Times New Roman" w:hAnsi="Times New Roman"/>
          <w:iCs/>
          <w:sz w:val="20"/>
          <w:szCs w:val="20"/>
        </w:rPr>
        <w:t xml:space="preserve">, e-pasts: </w:t>
      </w:r>
      <w:hyperlink r:id="rId12" w:history="1">
        <w:r w:rsidR="00DE5704" w:rsidRPr="00E328FA">
          <w:rPr>
            <w:rStyle w:val="Hyperlink"/>
            <w:rFonts w:ascii="Times New Roman" w:hAnsi="Times New Roman"/>
            <w:iCs/>
            <w:sz w:val="20"/>
            <w:szCs w:val="20"/>
          </w:rPr>
          <w:t>Liga.Kalvane@varam.gov.lv</w:t>
        </w:r>
      </w:hyperlink>
      <w:r w:rsidRPr="00E328FA">
        <w:rPr>
          <w:rFonts w:ascii="Times New Roman" w:hAnsi="Times New Roman"/>
          <w:iCs/>
          <w:sz w:val="20"/>
          <w:szCs w:val="20"/>
        </w:rPr>
        <w:t xml:space="preserve">  </w:t>
      </w:r>
    </w:p>
    <w:p w:rsidR="0031716D" w:rsidRPr="00E328FA" w:rsidRDefault="0031716D" w:rsidP="0031716D">
      <w:pPr>
        <w:spacing w:after="0" w:line="240" w:lineRule="auto"/>
        <w:rPr>
          <w:rFonts w:ascii="Times New Roman" w:hAnsi="Times New Roman"/>
          <w:sz w:val="20"/>
          <w:szCs w:val="20"/>
        </w:rPr>
      </w:pPr>
      <w:r w:rsidRPr="00E328FA">
        <w:rPr>
          <w:rFonts w:ascii="Times New Roman" w:hAnsi="Times New Roman"/>
          <w:sz w:val="20"/>
          <w:szCs w:val="20"/>
        </w:rPr>
        <w:t> </w:t>
      </w:r>
    </w:p>
    <w:p w:rsidR="0031716D" w:rsidRPr="00E328FA" w:rsidRDefault="0031716D" w:rsidP="0031716D">
      <w:pPr>
        <w:spacing w:after="0" w:line="240" w:lineRule="auto"/>
        <w:jc w:val="both"/>
        <w:rPr>
          <w:rFonts w:ascii="Times New Roman" w:hAnsi="Times New Roman"/>
          <w:sz w:val="20"/>
          <w:szCs w:val="20"/>
        </w:rPr>
      </w:pPr>
    </w:p>
    <w:p w:rsidR="000109ED" w:rsidRPr="000109ED" w:rsidRDefault="000109ED" w:rsidP="000109ED">
      <w:pPr>
        <w:spacing w:after="0" w:line="240" w:lineRule="auto"/>
        <w:rPr>
          <w:rFonts w:ascii="Times New Roman" w:hAnsi="Times New Roman"/>
          <w:sz w:val="20"/>
          <w:szCs w:val="20"/>
        </w:rPr>
      </w:pPr>
      <w:bookmarkStart w:id="3" w:name="_GoBack"/>
      <w:bookmarkEnd w:id="3"/>
    </w:p>
    <w:p w:rsidR="000109ED" w:rsidRPr="000109ED" w:rsidRDefault="000109ED" w:rsidP="000109ED">
      <w:pPr>
        <w:spacing w:after="0" w:line="240" w:lineRule="auto"/>
        <w:rPr>
          <w:rFonts w:ascii="Times New Roman" w:hAnsi="Times New Roman"/>
          <w:sz w:val="20"/>
          <w:szCs w:val="20"/>
        </w:rPr>
      </w:pPr>
    </w:p>
    <w:p w:rsidR="000109ED" w:rsidRPr="000109ED" w:rsidRDefault="000109ED" w:rsidP="000109ED">
      <w:pPr>
        <w:spacing w:after="0" w:line="240" w:lineRule="auto"/>
        <w:rPr>
          <w:rFonts w:ascii="Times New Roman" w:hAnsi="Times New Roman"/>
          <w:sz w:val="20"/>
          <w:szCs w:val="20"/>
        </w:rPr>
      </w:pPr>
    </w:p>
    <w:p w:rsidR="000109ED" w:rsidRPr="000109ED" w:rsidRDefault="000109ED" w:rsidP="000109ED">
      <w:pPr>
        <w:spacing w:after="0" w:line="240" w:lineRule="auto"/>
        <w:rPr>
          <w:rFonts w:ascii="Times New Roman" w:hAnsi="Times New Roman"/>
          <w:sz w:val="20"/>
          <w:szCs w:val="20"/>
        </w:rPr>
      </w:pPr>
    </w:p>
    <w:p w:rsidR="00926C3E" w:rsidRPr="000109ED" w:rsidRDefault="00926C3E" w:rsidP="000109ED">
      <w:pPr>
        <w:spacing w:after="0" w:line="240" w:lineRule="auto"/>
        <w:rPr>
          <w:rFonts w:ascii="Times New Roman" w:hAnsi="Times New Roman"/>
          <w:sz w:val="20"/>
          <w:szCs w:val="20"/>
        </w:rPr>
      </w:pPr>
    </w:p>
    <w:sectPr w:rsidR="00926C3E" w:rsidRPr="000109ED" w:rsidSect="00AA30E2">
      <w:headerReference w:type="default" r:id="rId13"/>
      <w:footerReference w:type="default" r:id="rId14"/>
      <w:footerReference w:type="first" r:id="rId15"/>
      <w:pgSz w:w="11906" w:h="16838"/>
      <w:pgMar w:top="1440" w:right="1800" w:bottom="851" w:left="1800" w:header="39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006" w:rsidRDefault="00B17006" w:rsidP="00A72C6E">
      <w:pPr>
        <w:spacing w:after="0" w:line="240" w:lineRule="auto"/>
      </w:pPr>
      <w:r>
        <w:separator/>
      </w:r>
    </w:p>
  </w:endnote>
  <w:endnote w:type="continuationSeparator" w:id="0">
    <w:p w:rsidR="00B17006" w:rsidRDefault="00B17006" w:rsidP="00A7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79" w:rsidRPr="00151C95" w:rsidRDefault="008D183F" w:rsidP="00FC5D79">
    <w:pPr>
      <w:pStyle w:val="Footer"/>
      <w:spacing w:after="0" w:line="240" w:lineRule="auto"/>
      <w:jc w:val="both"/>
      <w:rPr>
        <w:rFonts w:ascii="Times New Roman" w:hAnsi="Times New Roman"/>
        <w:sz w:val="20"/>
        <w:szCs w:val="20"/>
      </w:rPr>
    </w:pPr>
    <w:r>
      <w:rPr>
        <w:rFonts w:ascii="Times New Roman" w:hAnsi="Times New Roman"/>
        <w:sz w:val="20"/>
        <w:szCs w:val="20"/>
      </w:rPr>
      <w:t>VARAMA</w:t>
    </w:r>
    <w:r w:rsidR="00FC5D79" w:rsidRPr="00151C95">
      <w:rPr>
        <w:rFonts w:ascii="Times New Roman" w:hAnsi="Times New Roman"/>
        <w:sz w:val="20"/>
        <w:szCs w:val="20"/>
      </w:rPr>
      <w:t>not_</w:t>
    </w:r>
    <w:r w:rsidR="00167517">
      <w:rPr>
        <w:rFonts w:ascii="Times New Roman" w:hAnsi="Times New Roman"/>
        <w:sz w:val="20"/>
        <w:szCs w:val="20"/>
      </w:rPr>
      <w:t>VSS-197_</w:t>
    </w:r>
    <w:r w:rsidR="00594F42">
      <w:rPr>
        <w:rFonts w:ascii="Times New Roman" w:hAnsi="Times New Roman"/>
        <w:sz w:val="20"/>
        <w:szCs w:val="20"/>
      </w:rPr>
      <w:t>0</w:t>
    </w:r>
    <w:r w:rsidR="00B97D49">
      <w:rPr>
        <w:rFonts w:ascii="Times New Roman" w:hAnsi="Times New Roman"/>
        <w:sz w:val="20"/>
        <w:szCs w:val="20"/>
      </w:rPr>
      <w:t>5</w:t>
    </w:r>
    <w:r w:rsidR="009C4044">
      <w:rPr>
        <w:rFonts w:ascii="Times New Roman" w:hAnsi="Times New Roman"/>
        <w:sz w:val="20"/>
        <w:szCs w:val="20"/>
      </w:rPr>
      <w:t>05</w:t>
    </w:r>
    <w:r w:rsidR="00FC5D79">
      <w:rPr>
        <w:rFonts w:ascii="Times New Roman" w:hAnsi="Times New Roman"/>
        <w:sz w:val="20"/>
        <w:szCs w:val="20"/>
      </w:rPr>
      <w:t>16_FK</w:t>
    </w:r>
    <w:r w:rsidR="00FC5D79" w:rsidRPr="00151C95">
      <w:rPr>
        <w:rFonts w:ascii="Times New Roman" w:hAnsi="Times New Roman"/>
        <w:sz w:val="20"/>
        <w:szCs w:val="20"/>
      </w:rPr>
      <w:t xml:space="preserve">; Ministru kabineta noteikumu projekta </w:t>
    </w:r>
    <w:r w:rsidR="00FC5D79" w:rsidRPr="00F7751D">
      <w:rPr>
        <w:rFonts w:ascii="Times New Roman" w:hAnsi="Times New Roman"/>
        <w:bCs/>
        <w:sz w:val="20"/>
        <w:szCs w:val="20"/>
      </w:rPr>
      <w:t xml:space="preserve">„Eiropas Savienības Strukturālo un investīciju fondu mērķa "Eiropas teritoriālā sadarbība" programmu finansēto projektu finanšu kontroles </w:t>
    </w:r>
    <w:r w:rsidR="00FC5D79">
      <w:rPr>
        <w:rFonts w:ascii="Times New Roman" w:hAnsi="Times New Roman"/>
        <w:bCs/>
        <w:sz w:val="20"/>
        <w:szCs w:val="20"/>
      </w:rPr>
      <w:t>kārtība</w:t>
    </w:r>
    <w:r w:rsidR="00FC5D79" w:rsidRPr="00151C95">
      <w:rPr>
        <w:rFonts w:ascii="Times New Roman" w:hAnsi="Times New Roman"/>
        <w:sz w:val="20"/>
        <w:szCs w:val="20"/>
      </w:rPr>
      <w:t xml:space="preserve">” sākotnējās ietekmes novērtējuma </w:t>
    </w:r>
    <w:smartTag w:uri="schemas-tilde-lv/tildestengine" w:element="veidnes">
      <w:smartTagPr>
        <w:attr w:name="text" w:val="ziņojums"/>
        <w:attr w:name="id" w:val="-1"/>
        <w:attr w:name="baseform" w:val="ziņojum|s"/>
      </w:smartTagPr>
      <w:r w:rsidR="00FC5D79" w:rsidRPr="00151C95">
        <w:rPr>
          <w:rFonts w:ascii="Times New Roman" w:hAnsi="Times New Roman"/>
          <w:sz w:val="20"/>
          <w:szCs w:val="20"/>
        </w:rPr>
        <w:t>ziņojums</w:t>
      </w:r>
    </w:smartTag>
    <w:r w:rsidR="00FC5D79" w:rsidRPr="00151C95">
      <w:rPr>
        <w:rFonts w:ascii="Times New Roman" w:hAnsi="Times New Roman"/>
        <w:sz w:val="20"/>
        <w:szCs w:val="20"/>
      </w:rPr>
      <w:t xml:space="preserve"> (anotācija)</w:t>
    </w:r>
    <w:r w:rsidR="00FC5D79">
      <w:rPr>
        <w:rFonts w:ascii="Times New Roman" w:hAnsi="Times New Roman"/>
        <w:sz w:val="20"/>
        <w:szCs w:val="20"/>
      </w:rPr>
      <w:t>.</w:t>
    </w:r>
  </w:p>
  <w:p w:rsidR="004040ED" w:rsidRPr="00A72C6E" w:rsidRDefault="004040ED">
    <w:pPr>
      <w:pStyle w:val="Footer"/>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ED" w:rsidRPr="00151C95" w:rsidRDefault="008D183F" w:rsidP="00AA30E2">
    <w:pPr>
      <w:pStyle w:val="Footer"/>
      <w:spacing w:after="0" w:line="240" w:lineRule="auto"/>
      <w:jc w:val="both"/>
      <w:rPr>
        <w:rFonts w:ascii="Times New Roman" w:hAnsi="Times New Roman"/>
        <w:sz w:val="20"/>
        <w:szCs w:val="20"/>
      </w:rPr>
    </w:pPr>
    <w:r>
      <w:rPr>
        <w:rFonts w:ascii="Times New Roman" w:hAnsi="Times New Roman"/>
        <w:sz w:val="20"/>
        <w:szCs w:val="20"/>
      </w:rPr>
      <w:t>VARAMA</w:t>
    </w:r>
    <w:r w:rsidR="004040ED" w:rsidRPr="00151C95">
      <w:rPr>
        <w:rFonts w:ascii="Times New Roman" w:hAnsi="Times New Roman"/>
        <w:sz w:val="20"/>
        <w:szCs w:val="20"/>
      </w:rPr>
      <w:t>not_</w:t>
    </w:r>
    <w:r w:rsidR="00167517">
      <w:rPr>
        <w:rFonts w:ascii="Times New Roman" w:hAnsi="Times New Roman"/>
        <w:sz w:val="20"/>
        <w:szCs w:val="20"/>
      </w:rPr>
      <w:t>VSS-197_</w:t>
    </w:r>
    <w:r w:rsidR="0037477B">
      <w:rPr>
        <w:rFonts w:ascii="Times New Roman" w:hAnsi="Times New Roman"/>
        <w:sz w:val="20"/>
        <w:szCs w:val="20"/>
      </w:rPr>
      <w:t>0</w:t>
    </w:r>
    <w:r w:rsidR="00B97D49">
      <w:rPr>
        <w:rFonts w:ascii="Times New Roman" w:hAnsi="Times New Roman"/>
        <w:sz w:val="20"/>
        <w:szCs w:val="20"/>
      </w:rPr>
      <w:t>5</w:t>
    </w:r>
    <w:r w:rsidR="009C4044">
      <w:rPr>
        <w:rFonts w:ascii="Times New Roman" w:hAnsi="Times New Roman"/>
        <w:sz w:val="20"/>
        <w:szCs w:val="20"/>
      </w:rPr>
      <w:t>05</w:t>
    </w:r>
    <w:r w:rsidR="00FC5D79">
      <w:rPr>
        <w:rFonts w:ascii="Times New Roman" w:hAnsi="Times New Roman"/>
        <w:sz w:val="20"/>
        <w:szCs w:val="20"/>
      </w:rPr>
      <w:t>16</w:t>
    </w:r>
    <w:r w:rsidR="00666AC8">
      <w:rPr>
        <w:rFonts w:ascii="Times New Roman" w:hAnsi="Times New Roman"/>
        <w:sz w:val="20"/>
        <w:szCs w:val="20"/>
      </w:rPr>
      <w:t>_FK</w:t>
    </w:r>
    <w:r w:rsidR="004040ED" w:rsidRPr="00151C95">
      <w:rPr>
        <w:rFonts w:ascii="Times New Roman" w:hAnsi="Times New Roman"/>
        <w:sz w:val="20"/>
        <w:szCs w:val="20"/>
      </w:rPr>
      <w:t xml:space="preserve">; Ministru kabineta noteikumu projekta </w:t>
    </w:r>
    <w:r w:rsidR="004040ED" w:rsidRPr="00F7751D">
      <w:rPr>
        <w:rFonts w:ascii="Times New Roman" w:hAnsi="Times New Roman"/>
        <w:bCs/>
        <w:sz w:val="20"/>
        <w:szCs w:val="20"/>
      </w:rPr>
      <w:t xml:space="preserve">„Eiropas Savienības Strukturālo un investīciju fondu mērķa "Eiropas teritoriālā sadarbība" programmu finansēto projektu finanšu kontroles </w:t>
    </w:r>
    <w:r w:rsidR="004040ED">
      <w:rPr>
        <w:rFonts w:ascii="Times New Roman" w:hAnsi="Times New Roman"/>
        <w:bCs/>
        <w:sz w:val="20"/>
        <w:szCs w:val="20"/>
      </w:rPr>
      <w:t>kārtība</w:t>
    </w:r>
    <w:r w:rsidR="004040ED" w:rsidRPr="00151C95">
      <w:rPr>
        <w:rFonts w:ascii="Times New Roman" w:hAnsi="Times New Roman"/>
        <w:sz w:val="20"/>
        <w:szCs w:val="20"/>
      </w:rPr>
      <w:t xml:space="preserve">” sākotnējās ietekmes novērtējuma </w:t>
    </w:r>
    <w:smartTag w:uri="schemas-tilde-lv/tildestengine" w:element="veidnes">
      <w:smartTagPr>
        <w:attr w:name="text" w:val="ziņojums"/>
        <w:attr w:name="id" w:val="-1"/>
        <w:attr w:name="baseform" w:val="ziņojum|s"/>
      </w:smartTagPr>
      <w:r w:rsidR="004040ED" w:rsidRPr="00151C95">
        <w:rPr>
          <w:rFonts w:ascii="Times New Roman" w:hAnsi="Times New Roman"/>
          <w:sz w:val="20"/>
          <w:szCs w:val="20"/>
        </w:rPr>
        <w:t>ziņojums</w:t>
      </w:r>
    </w:smartTag>
    <w:r w:rsidR="004040ED" w:rsidRPr="00151C95">
      <w:rPr>
        <w:rFonts w:ascii="Times New Roman" w:hAnsi="Times New Roman"/>
        <w:sz w:val="20"/>
        <w:szCs w:val="20"/>
      </w:rPr>
      <w:t xml:space="preserve"> (anotācija)</w:t>
    </w:r>
    <w:r w:rsidR="004040ED">
      <w:rPr>
        <w:rFonts w:ascii="Times New Roman" w:hAnsi="Times New Roman"/>
        <w:sz w:val="20"/>
        <w:szCs w:val="20"/>
      </w:rPr>
      <w:t>.</w:t>
    </w:r>
  </w:p>
  <w:p w:rsidR="004040ED" w:rsidRDefault="00404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006" w:rsidRDefault="00B17006" w:rsidP="00A72C6E">
      <w:pPr>
        <w:spacing w:after="0" w:line="240" w:lineRule="auto"/>
      </w:pPr>
      <w:r>
        <w:separator/>
      </w:r>
    </w:p>
  </w:footnote>
  <w:footnote w:type="continuationSeparator" w:id="0">
    <w:p w:rsidR="00B17006" w:rsidRDefault="00B17006" w:rsidP="00A72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867240"/>
      <w:docPartObj>
        <w:docPartGallery w:val="Page Numbers (Top of Page)"/>
        <w:docPartUnique/>
      </w:docPartObj>
    </w:sdtPr>
    <w:sdtEndPr>
      <w:rPr>
        <w:noProof/>
      </w:rPr>
    </w:sdtEndPr>
    <w:sdtContent>
      <w:p w:rsidR="007849A5" w:rsidRDefault="00D573DB">
        <w:pPr>
          <w:pStyle w:val="Header"/>
          <w:jc w:val="center"/>
        </w:pPr>
        <w:r>
          <w:fldChar w:fldCharType="begin"/>
        </w:r>
        <w:r w:rsidR="007849A5">
          <w:instrText xml:space="preserve"> PAGE   \* MERGEFORMAT </w:instrText>
        </w:r>
        <w:r>
          <w:fldChar w:fldCharType="separate"/>
        </w:r>
        <w:r w:rsidR="00131545">
          <w:rPr>
            <w:noProof/>
          </w:rPr>
          <w:t>10</w:t>
        </w:r>
        <w:r>
          <w:rPr>
            <w:noProof/>
          </w:rPr>
          <w:fldChar w:fldCharType="end"/>
        </w:r>
      </w:p>
    </w:sdtContent>
  </w:sdt>
  <w:p w:rsidR="004040ED" w:rsidRDefault="004040ED" w:rsidP="000E44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7AC6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E33BB"/>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2">
    <w:nsid w:val="02DF672A"/>
    <w:multiLevelType w:val="hybridMultilevel"/>
    <w:tmpl w:val="C46A91AC"/>
    <w:lvl w:ilvl="0" w:tplc="AA6EBCC0">
      <w:start w:val="1"/>
      <w:numFmt w:val="decimal"/>
      <w:lvlText w:val="%1)"/>
      <w:lvlJc w:val="left"/>
      <w:pPr>
        <w:ind w:left="529" w:hanging="360"/>
      </w:pPr>
      <w:rPr>
        <w:rFonts w:ascii="Times New Roman" w:hAnsi="Times New Roman" w:cs="Times New Roman" w:hint="default"/>
        <w:b w:val="0"/>
        <w:color w:val="auto"/>
        <w:sz w:val="24"/>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3">
    <w:nsid w:val="056C261F"/>
    <w:multiLevelType w:val="hybridMultilevel"/>
    <w:tmpl w:val="76B2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F5545"/>
    <w:multiLevelType w:val="multilevel"/>
    <w:tmpl w:val="2A0EC4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8">
    <w:nsid w:val="19726A72"/>
    <w:multiLevelType w:val="multilevel"/>
    <w:tmpl w:val="AB0E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A0291"/>
    <w:multiLevelType w:val="multilevel"/>
    <w:tmpl w:val="4CA49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960A04"/>
    <w:multiLevelType w:val="hybridMultilevel"/>
    <w:tmpl w:val="CEF64C5A"/>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2C069D8"/>
    <w:multiLevelType w:val="hybridMultilevel"/>
    <w:tmpl w:val="95DCC8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AC463FF"/>
    <w:multiLevelType w:val="hybridMultilevel"/>
    <w:tmpl w:val="191A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9026C"/>
    <w:multiLevelType w:val="hybridMultilevel"/>
    <w:tmpl w:val="18DAAB44"/>
    <w:lvl w:ilvl="0" w:tplc="227C449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19D1432"/>
    <w:multiLevelType w:val="hybridMultilevel"/>
    <w:tmpl w:val="1800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94EDB"/>
    <w:multiLevelType w:val="hybridMultilevel"/>
    <w:tmpl w:val="9D34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047DB"/>
    <w:multiLevelType w:val="hybridMultilevel"/>
    <w:tmpl w:val="D5522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4465B9"/>
    <w:multiLevelType w:val="hybridMultilevel"/>
    <w:tmpl w:val="6436C6B6"/>
    <w:lvl w:ilvl="0" w:tplc="E6E09FA0">
      <w:start w:val="1"/>
      <w:numFmt w:val="decimal"/>
      <w:lvlText w:val="(%1)"/>
      <w:lvlJc w:val="left"/>
      <w:pPr>
        <w:ind w:left="707" w:hanging="480"/>
      </w:pPr>
      <w:rPr>
        <w:rFonts w:hint="default"/>
      </w:rPr>
    </w:lvl>
    <w:lvl w:ilvl="1" w:tplc="E064F5C0">
      <w:start w:val="1"/>
      <w:numFmt w:val="decimal"/>
      <w:lvlText w:val="%2)"/>
      <w:lvlJc w:val="left"/>
      <w:pPr>
        <w:ind w:left="1160" w:hanging="450"/>
      </w:pPr>
      <w:rPr>
        <w:rFonts w:hint="default"/>
      </w:rPr>
    </w:lvl>
    <w:lvl w:ilvl="2" w:tplc="C4B032BE">
      <w:start w:val="1"/>
      <w:numFmt w:val="decimal"/>
      <w:lvlText w:val="%3."/>
      <w:lvlJc w:val="left"/>
      <w:pPr>
        <w:ind w:left="2207" w:hanging="360"/>
      </w:pPr>
      <w:rPr>
        <w:rFonts w:hint="default"/>
      </w:r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5">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2711A"/>
    <w:multiLevelType w:val="multilevel"/>
    <w:tmpl w:val="890AC10A"/>
    <w:lvl w:ilvl="0">
      <w:start w:val="8"/>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8">
    <w:nsid w:val="51E87D3E"/>
    <w:multiLevelType w:val="hybridMultilevel"/>
    <w:tmpl w:val="17BE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7363F"/>
    <w:multiLevelType w:val="hybridMultilevel"/>
    <w:tmpl w:val="DB3C3542"/>
    <w:lvl w:ilvl="0" w:tplc="F43C5722">
      <w:start w:val="1"/>
      <w:numFmt w:val="decimal"/>
      <w:lvlText w:val="%1)"/>
      <w:lvlJc w:val="left"/>
      <w:pPr>
        <w:ind w:left="720" w:hanging="360"/>
      </w:pPr>
      <w:rPr>
        <w:rFonts w:hint="default"/>
        <w:b/>
        <w:i/>
      </w:rPr>
    </w:lvl>
    <w:lvl w:ilvl="1" w:tplc="899E0450">
      <w:numFmt w:val="bullet"/>
      <w:lvlText w:val="•"/>
      <w:lvlJc w:val="left"/>
      <w:pPr>
        <w:ind w:left="1800" w:hanging="72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9461BE9"/>
    <w:multiLevelType w:val="multilevel"/>
    <w:tmpl w:val="96B08AF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1">
    <w:nsid w:val="59AE3342"/>
    <w:multiLevelType w:val="hybridMultilevel"/>
    <w:tmpl w:val="D76CDEEC"/>
    <w:lvl w:ilvl="0" w:tplc="E2E64394">
      <w:start w:val="1"/>
      <w:numFmt w:val="decimal"/>
      <w:lvlText w:val="%1)"/>
      <w:lvlJc w:val="left"/>
      <w:pPr>
        <w:ind w:left="458" w:hanging="360"/>
      </w:pPr>
      <w:rPr>
        <w:rFonts w:ascii="Times New Roman" w:hAnsi="Times New Roman" w:hint="default"/>
        <w:color w:val="000000" w:themeColor="text1"/>
        <w:sz w:val="24"/>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32">
    <w:nsid w:val="5C265CF5"/>
    <w:multiLevelType w:val="hybridMultilevel"/>
    <w:tmpl w:val="CA247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18D3539"/>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34">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5F53C7C"/>
    <w:multiLevelType w:val="hybridMultilevel"/>
    <w:tmpl w:val="515A5B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690219"/>
    <w:multiLevelType w:val="hybridMultilevel"/>
    <w:tmpl w:val="54B66460"/>
    <w:lvl w:ilvl="0" w:tplc="227C449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01E71D6"/>
    <w:multiLevelType w:val="hybridMultilevel"/>
    <w:tmpl w:val="28A8F9C2"/>
    <w:lvl w:ilvl="0" w:tplc="4EAC8F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22F3AA3"/>
    <w:multiLevelType w:val="hybridMultilevel"/>
    <w:tmpl w:val="594AD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3D924E5"/>
    <w:multiLevelType w:val="hybridMultilevel"/>
    <w:tmpl w:val="2BB2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25DBC"/>
    <w:multiLevelType w:val="hybridMultilevel"/>
    <w:tmpl w:val="622A4874"/>
    <w:lvl w:ilvl="0" w:tplc="A28EB64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AB9635A"/>
    <w:multiLevelType w:val="hybridMultilevel"/>
    <w:tmpl w:val="4DD41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nsid w:val="7C883DAC"/>
    <w:multiLevelType w:val="hybridMultilevel"/>
    <w:tmpl w:val="D25002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nsid w:val="7F360E4D"/>
    <w:multiLevelType w:val="hybridMultilevel"/>
    <w:tmpl w:val="972E56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27"/>
  </w:num>
  <w:num w:numId="3">
    <w:abstractNumId w:val="23"/>
  </w:num>
  <w:num w:numId="4">
    <w:abstractNumId w:val="25"/>
  </w:num>
  <w:num w:numId="5">
    <w:abstractNumId w:val="18"/>
  </w:num>
  <w:num w:numId="6">
    <w:abstractNumId w:val="20"/>
  </w:num>
  <w:num w:numId="7">
    <w:abstractNumId w:val="21"/>
  </w:num>
  <w:num w:numId="8">
    <w:abstractNumId w:val="36"/>
  </w:num>
  <w:num w:numId="9">
    <w:abstractNumId w:val="13"/>
  </w:num>
  <w:num w:numId="10">
    <w:abstractNumId w:val="19"/>
  </w:num>
  <w:num w:numId="11">
    <w:abstractNumId w:val="5"/>
  </w:num>
  <w:num w:numId="12">
    <w:abstractNumId w:val="10"/>
  </w:num>
  <w:num w:numId="13">
    <w:abstractNumId w:val="34"/>
  </w:num>
  <w:num w:numId="14">
    <w:abstractNumId w:val="6"/>
  </w:num>
  <w:num w:numId="15">
    <w:abstractNumId w:val="7"/>
  </w:num>
  <w:num w:numId="16">
    <w:abstractNumId w:val="24"/>
  </w:num>
  <w:num w:numId="17">
    <w:abstractNumId w:val="3"/>
  </w:num>
  <w:num w:numId="18">
    <w:abstractNumId w:val="31"/>
  </w:num>
  <w:num w:numId="19">
    <w:abstractNumId w:val="9"/>
  </w:num>
  <w:num w:numId="20">
    <w:abstractNumId w:val="11"/>
  </w:num>
  <w:num w:numId="21">
    <w:abstractNumId w:val="2"/>
  </w:num>
  <w:num w:numId="22">
    <w:abstractNumId w:val="16"/>
  </w:num>
  <w:num w:numId="23">
    <w:abstractNumId w:val="17"/>
  </w:num>
  <w:num w:numId="24">
    <w:abstractNumId w:val="28"/>
  </w:num>
  <w:num w:numId="25">
    <w:abstractNumId w:val="40"/>
  </w:num>
  <w:num w:numId="26">
    <w:abstractNumId w:val="14"/>
  </w:num>
  <w:num w:numId="27">
    <w:abstractNumId w:val="42"/>
  </w:num>
  <w:num w:numId="28">
    <w:abstractNumId w:val="33"/>
  </w:num>
  <w:num w:numId="29">
    <w:abstractNumId w:val="1"/>
  </w:num>
  <w:num w:numId="30">
    <w:abstractNumId w:val="0"/>
  </w:num>
  <w:num w:numId="31">
    <w:abstractNumId w:val="32"/>
  </w:num>
  <w:num w:numId="32">
    <w:abstractNumId w:val="29"/>
  </w:num>
  <w:num w:numId="33">
    <w:abstractNumId w:val="35"/>
  </w:num>
  <w:num w:numId="34">
    <w:abstractNumId w:val="4"/>
  </w:num>
  <w:num w:numId="35">
    <w:abstractNumId w:val="30"/>
  </w:num>
  <w:num w:numId="36">
    <w:abstractNumId w:val="26"/>
  </w:num>
  <w:num w:numId="37">
    <w:abstractNumId w:val="45"/>
  </w:num>
  <w:num w:numId="38">
    <w:abstractNumId w:val="37"/>
  </w:num>
  <w:num w:numId="39">
    <w:abstractNumId w:val="15"/>
  </w:num>
  <w:num w:numId="40">
    <w:abstractNumId w:val="41"/>
  </w:num>
  <w:num w:numId="41">
    <w:abstractNumId w:val="44"/>
  </w:num>
  <w:num w:numId="42">
    <w:abstractNumId w:val="39"/>
  </w:num>
  <w:num w:numId="43">
    <w:abstractNumId w:val="12"/>
  </w:num>
  <w:num w:numId="44">
    <w:abstractNumId w:val="38"/>
  </w:num>
  <w:num w:numId="45">
    <w:abstractNumId w:val="22"/>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rsids>
    <w:rsidRoot w:val="00027707"/>
    <w:rsid w:val="00004FC3"/>
    <w:rsid w:val="0000532D"/>
    <w:rsid w:val="0000759A"/>
    <w:rsid w:val="000076A5"/>
    <w:rsid w:val="000109ED"/>
    <w:rsid w:val="00010A6E"/>
    <w:rsid w:val="00013631"/>
    <w:rsid w:val="00013750"/>
    <w:rsid w:val="00014612"/>
    <w:rsid w:val="000177C5"/>
    <w:rsid w:val="0002345E"/>
    <w:rsid w:val="0002531F"/>
    <w:rsid w:val="00026C2C"/>
    <w:rsid w:val="00027707"/>
    <w:rsid w:val="0003059C"/>
    <w:rsid w:val="00030E21"/>
    <w:rsid w:val="0003251B"/>
    <w:rsid w:val="000372AF"/>
    <w:rsid w:val="0004066A"/>
    <w:rsid w:val="00047284"/>
    <w:rsid w:val="000479D6"/>
    <w:rsid w:val="00051B1D"/>
    <w:rsid w:val="00052BB7"/>
    <w:rsid w:val="00054523"/>
    <w:rsid w:val="00064404"/>
    <w:rsid w:val="0007081D"/>
    <w:rsid w:val="00073448"/>
    <w:rsid w:val="00074B72"/>
    <w:rsid w:val="00076F53"/>
    <w:rsid w:val="000814A6"/>
    <w:rsid w:val="00083EB2"/>
    <w:rsid w:val="00087AEF"/>
    <w:rsid w:val="00096B82"/>
    <w:rsid w:val="000A236A"/>
    <w:rsid w:val="000A31C0"/>
    <w:rsid w:val="000A348D"/>
    <w:rsid w:val="000A46AA"/>
    <w:rsid w:val="000A75F3"/>
    <w:rsid w:val="000B230B"/>
    <w:rsid w:val="000B3DBF"/>
    <w:rsid w:val="000B5C0A"/>
    <w:rsid w:val="000C1D13"/>
    <w:rsid w:val="000D047F"/>
    <w:rsid w:val="000D07A3"/>
    <w:rsid w:val="000D4D12"/>
    <w:rsid w:val="000D6622"/>
    <w:rsid w:val="000E2FAC"/>
    <w:rsid w:val="000E4252"/>
    <w:rsid w:val="000E4488"/>
    <w:rsid w:val="000E54B9"/>
    <w:rsid w:val="000F1606"/>
    <w:rsid w:val="000F1EC8"/>
    <w:rsid w:val="000F603F"/>
    <w:rsid w:val="000F67BA"/>
    <w:rsid w:val="000F758D"/>
    <w:rsid w:val="000F7D08"/>
    <w:rsid w:val="0010164A"/>
    <w:rsid w:val="00101E84"/>
    <w:rsid w:val="00110B44"/>
    <w:rsid w:val="00114C38"/>
    <w:rsid w:val="00115A80"/>
    <w:rsid w:val="00116F73"/>
    <w:rsid w:val="001174B0"/>
    <w:rsid w:val="00120968"/>
    <w:rsid w:val="00123407"/>
    <w:rsid w:val="00131545"/>
    <w:rsid w:val="00135084"/>
    <w:rsid w:val="0013769A"/>
    <w:rsid w:val="00140F2B"/>
    <w:rsid w:val="001417F3"/>
    <w:rsid w:val="00151284"/>
    <w:rsid w:val="00151C95"/>
    <w:rsid w:val="00153207"/>
    <w:rsid w:val="00161611"/>
    <w:rsid w:val="00161A0A"/>
    <w:rsid w:val="00166753"/>
    <w:rsid w:val="00167517"/>
    <w:rsid w:val="00171D16"/>
    <w:rsid w:val="00174787"/>
    <w:rsid w:val="00175CA9"/>
    <w:rsid w:val="00181255"/>
    <w:rsid w:val="0018162E"/>
    <w:rsid w:val="00183E7C"/>
    <w:rsid w:val="00183FDD"/>
    <w:rsid w:val="0018408D"/>
    <w:rsid w:val="00184D61"/>
    <w:rsid w:val="00186317"/>
    <w:rsid w:val="00196838"/>
    <w:rsid w:val="0019737A"/>
    <w:rsid w:val="001A5B7F"/>
    <w:rsid w:val="001B176F"/>
    <w:rsid w:val="001B63EE"/>
    <w:rsid w:val="001C2B24"/>
    <w:rsid w:val="001C6037"/>
    <w:rsid w:val="001D59C8"/>
    <w:rsid w:val="001D5DBB"/>
    <w:rsid w:val="001E3771"/>
    <w:rsid w:val="001E503B"/>
    <w:rsid w:val="001F52CF"/>
    <w:rsid w:val="002018D6"/>
    <w:rsid w:val="002038D9"/>
    <w:rsid w:val="00211B2B"/>
    <w:rsid w:val="002163B7"/>
    <w:rsid w:val="0021744E"/>
    <w:rsid w:val="00226D2B"/>
    <w:rsid w:val="002321D5"/>
    <w:rsid w:val="002459AE"/>
    <w:rsid w:val="00247BCD"/>
    <w:rsid w:val="00250EC9"/>
    <w:rsid w:val="00266971"/>
    <w:rsid w:val="0027055E"/>
    <w:rsid w:val="0027212B"/>
    <w:rsid w:val="0027220D"/>
    <w:rsid w:val="00280413"/>
    <w:rsid w:val="0028057E"/>
    <w:rsid w:val="00282F04"/>
    <w:rsid w:val="00290995"/>
    <w:rsid w:val="0029394B"/>
    <w:rsid w:val="00295BC4"/>
    <w:rsid w:val="002A3721"/>
    <w:rsid w:val="002A399D"/>
    <w:rsid w:val="002B0C7B"/>
    <w:rsid w:val="002B4424"/>
    <w:rsid w:val="002B453C"/>
    <w:rsid w:val="002B67BC"/>
    <w:rsid w:val="002B6D2F"/>
    <w:rsid w:val="002C2B6C"/>
    <w:rsid w:val="002D48F0"/>
    <w:rsid w:val="002D6360"/>
    <w:rsid w:val="002E1786"/>
    <w:rsid w:val="002E6854"/>
    <w:rsid w:val="002E70D1"/>
    <w:rsid w:val="002E78B1"/>
    <w:rsid w:val="002E7F9C"/>
    <w:rsid w:val="002F189F"/>
    <w:rsid w:val="00303F3F"/>
    <w:rsid w:val="00303F65"/>
    <w:rsid w:val="00304730"/>
    <w:rsid w:val="00306740"/>
    <w:rsid w:val="0030706B"/>
    <w:rsid w:val="0031716D"/>
    <w:rsid w:val="00321267"/>
    <w:rsid w:val="00322FCF"/>
    <w:rsid w:val="0032688D"/>
    <w:rsid w:val="0033514B"/>
    <w:rsid w:val="0034311E"/>
    <w:rsid w:val="0034517D"/>
    <w:rsid w:val="00345A1D"/>
    <w:rsid w:val="00350710"/>
    <w:rsid w:val="00353F48"/>
    <w:rsid w:val="0036220E"/>
    <w:rsid w:val="003711A8"/>
    <w:rsid w:val="0037477B"/>
    <w:rsid w:val="00374DC9"/>
    <w:rsid w:val="0038450C"/>
    <w:rsid w:val="00384E5E"/>
    <w:rsid w:val="00385F4E"/>
    <w:rsid w:val="00392A9D"/>
    <w:rsid w:val="003A188E"/>
    <w:rsid w:val="003A3541"/>
    <w:rsid w:val="003A6770"/>
    <w:rsid w:val="003B0BE2"/>
    <w:rsid w:val="003B3691"/>
    <w:rsid w:val="003C0880"/>
    <w:rsid w:val="003C33A4"/>
    <w:rsid w:val="003C3B08"/>
    <w:rsid w:val="003D5EFE"/>
    <w:rsid w:val="003D6D02"/>
    <w:rsid w:val="003E02DE"/>
    <w:rsid w:val="003E3B36"/>
    <w:rsid w:val="003E4392"/>
    <w:rsid w:val="003F662C"/>
    <w:rsid w:val="00401852"/>
    <w:rsid w:val="004040ED"/>
    <w:rsid w:val="00404CE0"/>
    <w:rsid w:val="00404E5D"/>
    <w:rsid w:val="0040780D"/>
    <w:rsid w:val="00410D72"/>
    <w:rsid w:val="00411EAE"/>
    <w:rsid w:val="0041690A"/>
    <w:rsid w:val="00416AF2"/>
    <w:rsid w:val="00420F30"/>
    <w:rsid w:val="004243F0"/>
    <w:rsid w:val="00425118"/>
    <w:rsid w:val="00426E5E"/>
    <w:rsid w:val="00427037"/>
    <w:rsid w:val="004314FD"/>
    <w:rsid w:val="0043269E"/>
    <w:rsid w:val="0044122D"/>
    <w:rsid w:val="004417FB"/>
    <w:rsid w:val="00441ABC"/>
    <w:rsid w:val="00445CB8"/>
    <w:rsid w:val="004509A5"/>
    <w:rsid w:val="00452B5C"/>
    <w:rsid w:val="00453F6E"/>
    <w:rsid w:val="0045503B"/>
    <w:rsid w:val="00460B29"/>
    <w:rsid w:val="004646A9"/>
    <w:rsid w:val="00467B56"/>
    <w:rsid w:val="004752F7"/>
    <w:rsid w:val="00476894"/>
    <w:rsid w:val="00476DAA"/>
    <w:rsid w:val="0048033D"/>
    <w:rsid w:val="00482BF4"/>
    <w:rsid w:val="0048651D"/>
    <w:rsid w:val="0049094C"/>
    <w:rsid w:val="00497900"/>
    <w:rsid w:val="00497BCD"/>
    <w:rsid w:val="004A0494"/>
    <w:rsid w:val="004A1520"/>
    <w:rsid w:val="004A6D98"/>
    <w:rsid w:val="004B3193"/>
    <w:rsid w:val="004B32EF"/>
    <w:rsid w:val="004B3C54"/>
    <w:rsid w:val="004B49F3"/>
    <w:rsid w:val="004C078C"/>
    <w:rsid w:val="004C47F8"/>
    <w:rsid w:val="004C6FF8"/>
    <w:rsid w:val="004D0BA4"/>
    <w:rsid w:val="004D2B9F"/>
    <w:rsid w:val="004D42EC"/>
    <w:rsid w:val="004D78A9"/>
    <w:rsid w:val="004D7A2C"/>
    <w:rsid w:val="004E26EF"/>
    <w:rsid w:val="004F4B51"/>
    <w:rsid w:val="0050034C"/>
    <w:rsid w:val="00500EC6"/>
    <w:rsid w:val="00504B4B"/>
    <w:rsid w:val="005063C4"/>
    <w:rsid w:val="005106D9"/>
    <w:rsid w:val="00511CF8"/>
    <w:rsid w:val="00513D59"/>
    <w:rsid w:val="0051504D"/>
    <w:rsid w:val="00515563"/>
    <w:rsid w:val="00515938"/>
    <w:rsid w:val="00515C24"/>
    <w:rsid w:val="00525238"/>
    <w:rsid w:val="0053204A"/>
    <w:rsid w:val="0053553F"/>
    <w:rsid w:val="00536899"/>
    <w:rsid w:val="0054658C"/>
    <w:rsid w:val="00554CA4"/>
    <w:rsid w:val="00555DEA"/>
    <w:rsid w:val="00555E63"/>
    <w:rsid w:val="00556465"/>
    <w:rsid w:val="00556AF7"/>
    <w:rsid w:val="005611D5"/>
    <w:rsid w:val="0056121C"/>
    <w:rsid w:val="00561A95"/>
    <w:rsid w:val="0056255A"/>
    <w:rsid w:val="00571614"/>
    <w:rsid w:val="005737AC"/>
    <w:rsid w:val="0057731B"/>
    <w:rsid w:val="0058075A"/>
    <w:rsid w:val="00592FC2"/>
    <w:rsid w:val="00593277"/>
    <w:rsid w:val="005938BD"/>
    <w:rsid w:val="00594F42"/>
    <w:rsid w:val="00597E02"/>
    <w:rsid w:val="005A0525"/>
    <w:rsid w:val="005B55C0"/>
    <w:rsid w:val="005B7A64"/>
    <w:rsid w:val="005C04AF"/>
    <w:rsid w:val="005C7E3D"/>
    <w:rsid w:val="005D2EEB"/>
    <w:rsid w:val="005D3101"/>
    <w:rsid w:val="005D3738"/>
    <w:rsid w:val="005D55BB"/>
    <w:rsid w:val="005E2972"/>
    <w:rsid w:val="005E2B70"/>
    <w:rsid w:val="005E5F6D"/>
    <w:rsid w:val="005F064E"/>
    <w:rsid w:val="005F44C3"/>
    <w:rsid w:val="00611D1A"/>
    <w:rsid w:val="00612DAC"/>
    <w:rsid w:val="00613126"/>
    <w:rsid w:val="00614A35"/>
    <w:rsid w:val="0062142B"/>
    <w:rsid w:val="00621D61"/>
    <w:rsid w:val="00621D99"/>
    <w:rsid w:val="00622BDB"/>
    <w:rsid w:val="00623B2A"/>
    <w:rsid w:val="00626027"/>
    <w:rsid w:val="006271EE"/>
    <w:rsid w:val="00627526"/>
    <w:rsid w:val="00633717"/>
    <w:rsid w:val="006364AD"/>
    <w:rsid w:val="006374DA"/>
    <w:rsid w:val="00637BFB"/>
    <w:rsid w:val="00642BD9"/>
    <w:rsid w:val="00647507"/>
    <w:rsid w:val="00651674"/>
    <w:rsid w:val="00652E1A"/>
    <w:rsid w:val="00656BFA"/>
    <w:rsid w:val="00662941"/>
    <w:rsid w:val="00664DD1"/>
    <w:rsid w:val="00666AC8"/>
    <w:rsid w:val="0066759A"/>
    <w:rsid w:val="00670E39"/>
    <w:rsid w:val="00672403"/>
    <w:rsid w:val="00672759"/>
    <w:rsid w:val="00676B8D"/>
    <w:rsid w:val="006842AF"/>
    <w:rsid w:val="00686942"/>
    <w:rsid w:val="006876D9"/>
    <w:rsid w:val="00693989"/>
    <w:rsid w:val="006967BC"/>
    <w:rsid w:val="006A7DE2"/>
    <w:rsid w:val="006B01C6"/>
    <w:rsid w:val="006B1D51"/>
    <w:rsid w:val="006B386E"/>
    <w:rsid w:val="006B5364"/>
    <w:rsid w:val="006C286B"/>
    <w:rsid w:val="006C6474"/>
    <w:rsid w:val="006C7D94"/>
    <w:rsid w:val="006D7934"/>
    <w:rsid w:val="006E1327"/>
    <w:rsid w:val="006E5060"/>
    <w:rsid w:val="006F413E"/>
    <w:rsid w:val="006F520C"/>
    <w:rsid w:val="007120DB"/>
    <w:rsid w:val="00712F4A"/>
    <w:rsid w:val="00720D0D"/>
    <w:rsid w:val="007219DE"/>
    <w:rsid w:val="00721F30"/>
    <w:rsid w:val="00725CC8"/>
    <w:rsid w:val="00727F33"/>
    <w:rsid w:val="0073179D"/>
    <w:rsid w:val="00732661"/>
    <w:rsid w:val="007440AA"/>
    <w:rsid w:val="00744DF0"/>
    <w:rsid w:val="007514F4"/>
    <w:rsid w:val="00754235"/>
    <w:rsid w:val="00755F3D"/>
    <w:rsid w:val="007600FC"/>
    <w:rsid w:val="00764983"/>
    <w:rsid w:val="0078326A"/>
    <w:rsid w:val="007849A5"/>
    <w:rsid w:val="00786333"/>
    <w:rsid w:val="00786BAA"/>
    <w:rsid w:val="00787988"/>
    <w:rsid w:val="007A10F8"/>
    <w:rsid w:val="007B0B09"/>
    <w:rsid w:val="007B50E5"/>
    <w:rsid w:val="007B65EF"/>
    <w:rsid w:val="007C0950"/>
    <w:rsid w:val="007C2865"/>
    <w:rsid w:val="007C4223"/>
    <w:rsid w:val="007C6EE9"/>
    <w:rsid w:val="007C7504"/>
    <w:rsid w:val="007D3CD1"/>
    <w:rsid w:val="007F45B2"/>
    <w:rsid w:val="007F58C5"/>
    <w:rsid w:val="007F739E"/>
    <w:rsid w:val="008017DC"/>
    <w:rsid w:val="00814509"/>
    <w:rsid w:val="00817EFF"/>
    <w:rsid w:val="0082121F"/>
    <w:rsid w:val="008230D4"/>
    <w:rsid w:val="0082341B"/>
    <w:rsid w:val="00823C4B"/>
    <w:rsid w:val="008244E6"/>
    <w:rsid w:val="008246F9"/>
    <w:rsid w:val="008270CA"/>
    <w:rsid w:val="00827760"/>
    <w:rsid w:val="00830993"/>
    <w:rsid w:val="00831EAF"/>
    <w:rsid w:val="008412DC"/>
    <w:rsid w:val="00841F6C"/>
    <w:rsid w:val="008444D7"/>
    <w:rsid w:val="00845643"/>
    <w:rsid w:val="008469ED"/>
    <w:rsid w:val="008475A7"/>
    <w:rsid w:val="00850241"/>
    <w:rsid w:val="008531CE"/>
    <w:rsid w:val="0085423A"/>
    <w:rsid w:val="008620D1"/>
    <w:rsid w:val="0086558B"/>
    <w:rsid w:val="00866465"/>
    <w:rsid w:val="00874EDE"/>
    <w:rsid w:val="008767F6"/>
    <w:rsid w:val="00887368"/>
    <w:rsid w:val="0089196E"/>
    <w:rsid w:val="00891F41"/>
    <w:rsid w:val="00894F4B"/>
    <w:rsid w:val="008A135E"/>
    <w:rsid w:val="008A16F7"/>
    <w:rsid w:val="008A4A9D"/>
    <w:rsid w:val="008A7B88"/>
    <w:rsid w:val="008B0E98"/>
    <w:rsid w:val="008B2540"/>
    <w:rsid w:val="008B28F1"/>
    <w:rsid w:val="008B3555"/>
    <w:rsid w:val="008B3CC4"/>
    <w:rsid w:val="008B5D55"/>
    <w:rsid w:val="008C07AE"/>
    <w:rsid w:val="008C7663"/>
    <w:rsid w:val="008D0D2F"/>
    <w:rsid w:val="008D183F"/>
    <w:rsid w:val="008D6007"/>
    <w:rsid w:val="008E15A4"/>
    <w:rsid w:val="008E3A62"/>
    <w:rsid w:val="008E448E"/>
    <w:rsid w:val="008E500B"/>
    <w:rsid w:val="008E79DB"/>
    <w:rsid w:val="008F0C46"/>
    <w:rsid w:val="008F564A"/>
    <w:rsid w:val="008F7DAD"/>
    <w:rsid w:val="00904440"/>
    <w:rsid w:val="00907443"/>
    <w:rsid w:val="00926C3E"/>
    <w:rsid w:val="00931062"/>
    <w:rsid w:val="009349B7"/>
    <w:rsid w:val="00937783"/>
    <w:rsid w:val="00940BB5"/>
    <w:rsid w:val="0094271F"/>
    <w:rsid w:val="00942FF3"/>
    <w:rsid w:val="00950AE8"/>
    <w:rsid w:val="009562A9"/>
    <w:rsid w:val="00956B78"/>
    <w:rsid w:val="009601B4"/>
    <w:rsid w:val="009663E0"/>
    <w:rsid w:val="00966A66"/>
    <w:rsid w:val="00971180"/>
    <w:rsid w:val="00971711"/>
    <w:rsid w:val="009730A7"/>
    <w:rsid w:val="009759E8"/>
    <w:rsid w:val="00975C63"/>
    <w:rsid w:val="0097673F"/>
    <w:rsid w:val="00976A1D"/>
    <w:rsid w:val="00977E80"/>
    <w:rsid w:val="00980FD9"/>
    <w:rsid w:val="00981984"/>
    <w:rsid w:val="00982671"/>
    <w:rsid w:val="00983253"/>
    <w:rsid w:val="00984D3F"/>
    <w:rsid w:val="009876AF"/>
    <w:rsid w:val="009931B3"/>
    <w:rsid w:val="00996869"/>
    <w:rsid w:val="009975B2"/>
    <w:rsid w:val="009A05BC"/>
    <w:rsid w:val="009A2F64"/>
    <w:rsid w:val="009B2408"/>
    <w:rsid w:val="009C0FE9"/>
    <w:rsid w:val="009C12ED"/>
    <w:rsid w:val="009C20AF"/>
    <w:rsid w:val="009C4044"/>
    <w:rsid w:val="009C40E4"/>
    <w:rsid w:val="009D1124"/>
    <w:rsid w:val="009D4E1B"/>
    <w:rsid w:val="009D5848"/>
    <w:rsid w:val="009D5E69"/>
    <w:rsid w:val="009D7C80"/>
    <w:rsid w:val="009E46D6"/>
    <w:rsid w:val="009E7F81"/>
    <w:rsid w:val="009F14E9"/>
    <w:rsid w:val="009F1C90"/>
    <w:rsid w:val="009F5AE2"/>
    <w:rsid w:val="00A00EBB"/>
    <w:rsid w:val="00A1208A"/>
    <w:rsid w:val="00A1391A"/>
    <w:rsid w:val="00A139BD"/>
    <w:rsid w:val="00A14B88"/>
    <w:rsid w:val="00A17EEA"/>
    <w:rsid w:val="00A202E4"/>
    <w:rsid w:val="00A21114"/>
    <w:rsid w:val="00A225F6"/>
    <w:rsid w:val="00A23F3D"/>
    <w:rsid w:val="00A24A10"/>
    <w:rsid w:val="00A3251B"/>
    <w:rsid w:val="00A446AF"/>
    <w:rsid w:val="00A44F3F"/>
    <w:rsid w:val="00A479EE"/>
    <w:rsid w:val="00A514D7"/>
    <w:rsid w:val="00A53AAD"/>
    <w:rsid w:val="00A547FB"/>
    <w:rsid w:val="00A602B2"/>
    <w:rsid w:val="00A65CD4"/>
    <w:rsid w:val="00A7187D"/>
    <w:rsid w:val="00A72C6E"/>
    <w:rsid w:val="00A74478"/>
    <w:rsid w:val="00A77E02"/>
    <w:rsid w:val="00A81A57"/>
    <w:rsid w:val="00A832E9"/>
    <w:rsid w:val="00A8568A"/>
    <w:rsid w:val="00A90771"/>
    <w:rsid w:val="00A91F6F"/>
    <w:rsid w:val="00A933F9"/>
    <w:rsid w:val="00AA3088"/>
    <w:rsid w:val="00AA30E2"/>
    <w:rsid w:val="00AA696A"/>
    <w:rsid w:val="00AA79C7"/>
    <w:rsid w:val="00AB1570"/>
    <w:rsid w:val="00AC7794"/>
    <w:rsid w:val="00AD5D54"/>
    <w:rsid w:val="00AD5D66"/>
    <w:rsid w:val="00AD786B"/>
    <w:rsid w:val="00AE015E"/>
    <w:rsid w:val="00AE0C54"/>
    <w:rsid w:val="00AE15CC"/>
    <w:rsid w:val="00AE1613"/>
    <w:rsid w:val="00AE28D6"/>
    <w:rsid w:val="00AE5177"/>
    <w:rsid w:val="00AF3A93"/>
    <w:rsid w:val="00AF3B01"/>
    <w:rsid w:val="00AF4AFF"/>
    <w:rsid w:val="00AF78AF"/>
    <w:rsid w:val="00AF794F"/>
    <w:rsid w:val="00B0341E"/>
    <w:rsid w:val="00B03DB8"/>
    <w:rsid w:val="00B10D42"/>
    <w:rsid w:val="00B17006"/>
    <w:rsid w:val="00B179E9"/>
    <w:rsid w:val="00B21EDD"/>
    <w:rsid w:val="00B33553"/>
    <w:rsid w:val="00B34A1D"/>
    <w:rsid w:val="00B46A4B"/>
    <w:rsid w:val="00B52266"/>
    <w:rsid w:val="00B6059E"/>
    <w:rsid w:val="00B712A0"/>
    <w:rsid w:val="00B71E3D"/>
    <w:rsid w:val="00B7575D"/>
    <w:rsid w:val="00B82A41"/>
    <w:rsid w:val="00B83A76"/>
    <w:rsid w:val="00B84AEF"/>
    <w:rsid w:val="00B84C20"/>
    <w:rsid w:val="00B84F5B"/>
    <w:rsid w:val="00B87852"/>
    <w:rsid w:val="00B94953"/>
    <w:rsid w:val="00B963CD"/>
    <w:rsid w:val="00B96985"/>
    <w:rsid w:val="00B973F7"/>
    <w:rsid w:val="00B97D49"/>
    <w:rsid w:val="00BA211D"/>
    <w:rsid w:val="00BA3232"/>
    <w:rsid w:val="00BA70EC"/>
    <w:rsid w:val="00BB103D"/>
    <w:rsid w:val="00BB6396"/>
    <w:rsid w:val="00BC16DC"/>
    <w:rsid w:val="00BC4503"/>
    <w:rsid w:val="00BC533C"/>
    <w:rsid w:val="00BC559C"/>
    <w:rsid w:val="00BD2F7F"/>
    <w:rsid w:val="00BE0B69"/>
    <w:rsid w:val="00BE4AF7"/>
    <w:rsid w:val="00BF1850"/>
    <w:rsid w:val="00C03FEA"/>
    <w:rsid w:val="00C07368"/>
    <w:rsid w:val="00C111E6"/>
    <w:rsid w:val="00C119A5"/>
    <w:rsid w:val="00C13B67"/>
    <w:rsid w:val="00C14BFE"/>
    <w:rsid w:val="00C23C77"/>
    <w:rsid w:val="00C23FB4"/>
    <w:rsid w:val="00C25185"/>
    <w:rsid w:val="00C34EB2"/>
    <w:rsid w:val="00C3519F"/>
    <w:rsid w:val="00C4231D"/>
    <w:rsid w:val="00C44EFF"/>
    <w:rsid w:val="00C52E20"/>
    <w:rsid w:val="00C5389B"/>
    <w:rsid w:val="00C61593"/>
    <w:rsid w:val="00C6673A"/>
    <w:rsid w:val="00C67C6E"/>
    <w:rsid w:val="00C749A5"/>
    <w:rsid w:val="00C7525F"/>
    <w:rsid w:val="00C75F74"/>
    <w:rsid w:val="00C909ED"/>
    <w:rsid w:val="00C963B7"/>
    <w:rsid w:val="00CA0C3F"/>
    <w:rsid w:val="00CA44A4"/>
    <w:rsid w:val="00CB0B7D"/>
    <w:rsid w:val="00CB215B"/>
    <w:rsid w:val="00CB455F"/>
    <w:rsid w:val="00CC5389"/>
    <w:rsid w:val="00CD18B3"/>
    <w:rsid w:val="00CD7162"/>
    <w:rsid w:val="00CE1E65"/>
    <w:rsid w:val="00CE6817"/>
    <w:rsid w:val="00CE7A58"/>
    <w:rsid w:val="00CF0508"/>
    <w:rsid w:val="00CF18CC"/>
    <w:rsid w:val="00CF32E3"/>
    <w:rsid w:val="00CF3CBD"/>
    <w:rsid w:val="00CF5FC7"/>
    <w:rsid w:val="00CF7496"/>
    <w:rsid w:val="00D007AB"/>
    <w:rsid w:val="00D012C8"/>
    <w:rsid w:val="00D029ED"/>
    <w:rsid w:val="00D044E1"/>
    <w:rsid w:val="00D06D36"/>
    <w:rsid w:val="00D07735"/>
    <w:rsid w:val="00D12D7D"/>
    <w:rsid w:val="00D13E24"/>
    <w:rsid w:val="00D16180"/>
    <w:rsid w:val="00D20621"/>
    <w:rsid w:val="00D20B4D"/>
    <w:rsid w:val="00D243C6"/>
    <w:rsid w:val="00D27700"/>
    <w:rsid w:val="00D303CF"/>
    <w:rsid w:val="00D31DE3"/>
    <w:rsid w:val="00D33FE0"/>
    <w:rsid w:val="00D41FA8"/>
    <w:rsid w:val="00D47820"/>
    <w:rsid w:val="00D51533"/>
    <w:rsid w:val="00D521C7"/>
    <w:rsid w:val="00D56BB1"/>
    <w:rsid w:val="00D573DB"/>
    <w:rsid w:val="00D6024A"/>
    <w:rsid w:val="00D6089B"/>
    <w:rsid w:val="00D64CCA"/>
    <w:rsid w:val="00D64FF2"/>
    <w:rsid w:val="00D66FC9"/>
    <w:rsid w:val="00D70A74"/>
    <w:rsid w:val="00D725AB"/>
    <w:rsid w:val="00D7299A"/>
    <w:rsid w:val="00D744A8"/>
    <w:rsid w:val="00D77E99"/>
    <w:rsid w:val="00D802B2"/>
    <w:rsid w:val="00D821C2"/>
    <w:rsid w:val="00D82A09"/>
    <w:rsid w:val="00D86A43"/>
    <w:rsid w:val="00DA2E1A"/>
    <w:rsid w:val="00DA4464"/>
    <w:rsid w:val="00DA522E"/>
    <w:rsid w:val="00DB5887"/>
    <w:rsid w:val="00DB6F36"/>
    <w:rsid w:val="00DC2289"/>
    <w:rsid w:val="00DC40A2"/>
    <w:rsid w:val="00DC52B9"/>
    <w:rsid w:val="00DC5B7C"/>
    <w:rsid w:val="00DC7546"/>
    <w:rsid w:val="00DC7812"/>
    <w:rsid w:val="00DD1549"/>
    <w:rsid w:val="00DD1795"/>
    <w:rsid w:val="00DD3402"/>
    <w:rsid w:val="00DE2765"/>
    <w:rsid w:val="00DE482F"/>
    <w:rsid w:val="00DE5704"/>
    <w:rsid w:val="00DE665B"/>
    <w:rsid w:val="00DF0E22"/>
    <w:rsid w:val="00DF2DDD"/>
    <w:rsid w:val="00DF42B6"/>
    <w:rsid w:val="00DF43E7"/>
    <w:rsid w:val="00DF6C29"/>
    <w:rsid w:val="00E0470A"/>
    <w:rsid w:val="00E12A36"/>
    <w:rsid w:val="00E17168"/>
    <w:rsid w:val="00E228BD"/>
    <w:rsid w:val="00E328FA"/>
    <w:rsid w:val="00E35B93"/>
    <w:rsid w:val="00E4185F"/>
    <w:rsid w:val="00E4281E"/>
    <w:rsid w:val="00E429DE"/>
    <w:rsid w:val="00E474BE"/>
    <w:rsid w:val="00E50A0B"/>
    <w:rsid w:val="00E55681"/>
    <w:rsid w:val="00E60417"/>
    <w:rsid w:val="00E6171D"/>
    <w:rsid w:val="00E624C9"/>
    <w:rsid w:val="00E63468"/>
    <w:rsid w:val="00E715AB"/>
    <w:rsid w:val="00E7459B"/>
    <w:rsid w:val="00E80C71"/>
    <w:rsid w:val="00E84E4E"/>
    <w:rsid w:val="00E855B2"/>
    <w:rsid w:val="00E92652"/>
    <w:rsid w:val="00E928E1"/>
    <w:rsid w:val="00E93C27"/>
    <w:rsid w:val="00E94D77"/>
    <w:rsid w:val="00E96AF7"/>
    <w:rsid w:val="00E96C46"/>
    <w:rsid w:val="00EB0C3B"/>
    <w:rsid w:val="00EB6D99"/>
    <w:rsid w:val="00EB739A"/>
    <w:rsid w:val="00EB7833"/>
    <w:rsid w:val="00EB7BB7"/>
    <w:rsid w:val="00EC0BD3"/>
    <w:rsid w:val="00EC5C70"/>
    <w:rsid w:val="00EC780E"/>
    <w:rsid w:val="00ED5566"/>
    <w:rsid w:val="00ED6022"/>
    <w:rsid w:val="00ED7354"/>
    <w:rsid w:val="00EE1B91"/>
    <w:rsid w:val="00EE334D"/>
    <w:rsid w:val="00EE4FBA"/>
    <w:rsid w:val="00EF1924"/>
    <w:rsid w:val="00F02EE2"/>
    <w:rsid w:val="00F13BC7"/>
    <w:rsid w:val="00F147CB"/>
    <w:rsid w:val="00F16D62"/>
    <w:rsid w:val="00F172B1"/>
    <w:rsid w:val="00F2045C"/>
    <w:rsid w:val="00F23C13"/>
    <w:rsid w:val="00F25E28"/>
    <w:rsid w:val="00F3302C"/>
    <w:rsid w:val="00F36D4B"/>
    <w:rsid w:val="00F37FBA"/>
    <w:rsid w:val="00F4324B"/>
    <w:rsid w:val="00F478BE"/>
    <w:rsid w:val="00F47A68"/>
    <w:rsid w:val="00F53CC7"/>
    <w:rsid w:val="00F559B4"/>
    <w:rsid w:val="00F56CA3"/>
    <w:rsid w:val="00F6359E"/>
    <w:rsid w:val="00F64A48"/>
    <w:rsid w:val="00F70AF2"/>
    <w:rsid w:val="00F70B37"/>
    <w:rsid w:val="00F71202"/>
    <w:rsid w:val="00F72D37"/>
    <w:rsid w:val="00F74C24"/>
    <w:rsid w:val="00F7751D"/>
    <w:rsid w:val="00F834D2"/>
    <w:rsid w:val="00F91718"/>
    <w:rsid w:val="00F91C80"/>
    <w:rsid w:val="00F93648"/>
    <w:rsid w:val="00F95716"/>
    <w:rsid w:val="00FA4E07"/>
    <w:rsid w:val="00FA6DF4"/>
    <w:rsid w:val="00FA760F"/>
    <w:rsid w:val="00FB13E6"/>
    <w:rsid w:val="00FB29A8"/>
    <w:rsid w:val="00FB45AD"/>
    <w:rsid w:val="00FB517C"/>
    <w:rsid w:val="00FB7984"/>
    <w:rsid w:val="00FC55F5"/>
    <w:rsid w:val="00FC5D79"/>
    <w:rsid w:val="00FC71D1"/>
    <w:rsid w:val="00FD2059"/>
    <w:rsid w:val="00FD64BF"/>
    <w:rsid w:val="00FE0E8E"/>
    <w:rsid w:val="00FE38AC"/>
    <w:rsid w:val="00FE6C56"/>
    <w:rsid w:val="00FF102E"/>
    <w:rsid w:val="00FF7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semiHidden/>
    <w:unhideWhenUsed/>
    <w:rsid w:val="00A933F9"/>
    <w:rPr>
      <w:sz w:val="16"/>
      <w:szCs w:val="16"/>
    </w:rPr>
  </w:style>
  <w:style w:type="paragraph" w:styleId="CommentText">
    <w:name w:val="annotation text"/>
    <w:basedOn w:val="Normal"/>
    <w:link w:val="CommentTextChar"/>
    <w:unhideWhenUsed/>
    <w:rsid w:val="00A933F9"/>
    <w:rPr>
      <w:sz w:val="20"/>
      <w:szCs w:val="20"/>
    </w:rPr>
  </w:style>
  <w:style w:type="character" w:customStyle="1" w:styleId="CommentTextChar">
    <w:name w:val="Comment Text Char"/>
    <w:link w:val="CommentText"/>
    <w:uiPriority w:val="99"/>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unhideWhenUsed/>
    <w:rsid w:val="00A72C6E"/>
    <w:pPr>
      <w:tabs>
        <w:tab w:val="center" w:pos="4153"/>
        <w:tab w:val="right" w:pos="8306"/>
      </w:tabs>
    </w:pPr>
  </w:style>
  <w:style w:type="character" w:customStyle="1" w:styleId="FooterChar">
    <w:name w:val="Footer Char"/>
    <w:basedOn w:val="DefaultParagraphFont"/>
    <w:link w:val="Footer"/>
    <w:uiPriority w:val="99"/>
    <w:rsid w:val="00A72C6E"/>
    <w:rPr>
      <w:sz w:val="22"/>
      <w:szCs w:val="22"/>
      <w:lang w:eastAsia="en-US"/>
    </w:rPr>
  </w:style>
  <w:style w:type="character" w:styleId="Hyperlink">
    <w:name w:val="Hyperlink"/>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paragraph" w:customStyle="1" w:styleId="naisf">
    <w:name w:val="naisf"/>
    <w:basedOn w:val="Normal"/>
    <w:rsid w:val="00DD1795"/>
    <w:pPr>
      <w:spacing w:before="75" w:after="75" w:line="240" w:lineRule="auto"/>
      <w:ind w:firstLine="375"/>
      <w:jc w:val="both"/>
    </w:pPr>
    <w:rPr>
      <w:rFonts w:ascii="Times New Roman" w:eastAsia="Times New Roman" w:hAnsi="Times New Roman"/>
      <w:sz w:val="24"/>
      <w:szCs w:val="24"/>
      <w:lang w:eastAsia="lv-LV"/>
    </w:rPr>
  </w:style>
  <w:style w:type="paragraph" w:styleId="BodyTextIndent3">
    <w:name w:val="Body Text Indent 3"/>
    <w:basedOn w:val="Normal"/>
    <w:link w:val="BodyTextIndent3Char"/>
    <w:uiPriority w:val="99"/>
    <w:semiHidden/>
    <w:unhideWhenUsed/>
    <w:rsid w:val="002163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63B7"/>
    <w:rPr>
      <w:sz w:val="16"/>
      <w:szCs w:val="16"/>
      <w:lang w:eastAsia="en-US"/>
    </w:rPr>
  </w:style>
  <w:style w:type="character" w:styleId="Strong">
    <w:name w:val="Strong"/>
    <w:basedOn w:val="DefaultParagraphFont"/>
    <w:uiPriority w:val="22"/>
    <w:qFormat/>
    <w:rsid w:val="00513D59"/>
    <w:rPr>
      <w:b/>
      <w:bCs/>
    </w:rPr>
  </w:style>
  <w:style w:type="character" w:customStyle="1" w:styleId="apple-converted-space">
    <w:name w:val="apple-converted-space"/>
    <w:basedOn w:val="DefaultParagraphFont"/>
    <w:rsid w:val="00950AE8"/>
  </w:style>
  <w:style w:type="paragraph" w:customStyle="1" w:styleId="tv213">
    <w:name w:val="tv213"/>
    <w:basedOn w:val="Normal"/>
    <w:uiPriority w:val="99"/>
    <w:rsid w:val="00A17EEA"/>
    <w:pPr>
      <w:spacing w:before="100" w:beforeAutospacing="1" w:after="100" w:afterAutospacing="1" w:line="240" w:lineRule="auto"/>
    </w:pPr>
    <w:rPr>
      <w:rFonts w:ascii="Times New Roman" w:eastAsia="Times New Roman" w:hAnsi="Times New Roman"/>
      <w:sz w:val="24"/>
      <w:szCs w:val="24"/>
      <w:lang w:eastAsia="lv-LV"/>
    </w:rPr>
  </w:style>
  <w:style w:type="paragraph" w:styleId="ListBullet">
    <w:name w:val="List Bullet"/>
    <w:basedOn w:val="Normal"/>
    <w:unhideWhenUsed/>
    <w:rsid w:val="00030E21"/>
    <w:pPr>
      <w:numPr>
        <w:numId w:val="30"/>
      </w:numPr>
      <w:spacing w:after="0" w:line="240" w:lineRule="auto"/>
      <w:contextualSpacing/>
      <w:jc w:val="both"/>
    </w:pPr>
    <w:rPr>
      <w:lang w:val="en-US"/>
    </w:rPr>
  </w:style>
  <w:style w:type="paragraph" w:customStyle="1" w:styleId="CM1">
    <w:name w:val="CM1"/>
    <w:basedOn w:val="Normal"/>
    <w:next w:val="Normal"/>
    <w:uiPriority w:val="99"/>
    <w:rsid w:val="00F74C24"/>
    <w:pPr>
      <w:autoSpaceDE w:val="0"/>
      <w:autoSpaceDN w:val="0"/>
      <w:adjustRightInd w:val="0"/>
      <w:spacing w:after="0" w:line="240" w:lineRule="auto"/>
    </w:pPr>
    <w:rPr>
      <w:rFonts w:ascii="EUAlbertina" w:hAnsi="EUAlbertina"/>
      <w:sz w:val="24"/>
      <w:szCs w:val="24"/>
      <w:lang w:eastAsia="lv-LV"/>
    </w:rPr>
  </w:style>
  <w:style w:type="paragraph" w:customStyle="1" w:styleId="CM3">
    <w:name w:val="CM3"/>
    <w:basedOn w:val="Normal"/>
    <w:next w:val="Normal"/>
    <w:uiPriority w:val="99"/>
    <w:rsid w:val="00F74C24"/>
    <w:pPr>
      <w:autoSpaceDE w:val="0"/>
      <w:autoSpaceDN w:val="0"/>
      <w:adjustRightInd w:val="0"/>
      <w:spacing w:after="0" w:line="240" w:lineRule="auto"/>
    </w:pPr>
    <w:rPr>
      <w:rFonts w:ascii="EUAlbertina" w:hAnsi="EUAlbertina"/>
      <w:sz w:val="24"/>
      <w:szCs w:val="24"/>
      <w:lang w:eastAsia="lv-LV"/>
    </w:rPr>
  </w:style>
  <w:style w:type="paragraph" w:customStyle="1" w:styleId="Char1CharCharChar">
    <w:name w:val="Char1 Char Char Char"/>
    <w:basedOn w:val="Normal"/>
    <w:rsid w:val="00385F4E"/>
    <w:pPr>
      <w:spacing w:after="160" w:line="240" w:lineRule="exact"/>
    </w:pPr>
    <w:rPr>
      <w:rFonts w:ascii="Tahoma" w:eastAsia="Times New Roman" w:hAnsi="Tahoma"/>
      <w:sz w:val="20"/>
      <w:szCs w:val="20"/>
      <w:lang w:val="en-US"/>
    </w:rPr>
  </w:style>
  <w:style w:type="paragraph" w:customStyle="1" w:styleId="tv90087921">
    <w:name w:val="tv900_87_921"/>
    <w:basedOn w:val="Normal"/>
    <w:rsid w:val="0051504D"/>
    <w:pPr>
      <w:spacing w:after="567" w:line="360" w:lineRule="auto"/>
      <w:ind w:firstLine="300"/>
      <w:jc w:val="right"/>
    </w:pPr>
    <w:rPr>
      <w:rFonts w:ascii="Verdana" w:eastAsia="Times New Roman" w:hAnsi="Verdana"/>
      <w:i/>
      <w:iCs/>
      <w:sz w:val="18"/>
      <w:szCs w:val="18"/>
      <w:lang w:eastAsia="lv-LV"/>
    </w:rPr>
  </w:style>
  <w:style w:type="paragraph" w:customStyle="1" w:styleId="tv2132">
    <w:name w:val="tv2132"/>
    <w:basedOn w:val="Normal"/>
    <w:rsid w:val="00F147CB"/>
    <w:pPr>
      <w:spacing w:after="0" w:line="360" w:lineRule="auto"/>
      <w:ind w:firstLine="300"/>
    </w:pPr>
    <w:rPr>
      <w:rFonts w:ascii="Times New Roman" w:eastAsia="Times New Roman" w:hAnsi="Times New Roman"/>
      <w:color w:val="414142"/>
      <w:sz w:val="20"/>
      <w:szCs w:val="20"/>
      <w:lang w:eastAsia="lv-LV"/>
    </w:rPr>
  </w:style>
  <w:style w:type="paragraph" w:customStyle="1" w:styleId="naiskr">
    <w:name w:val="naiskr"/>
    <w:basedOn w:val="Normal"/>
    <w:rsid w:val="00DE5704"/>
    <w:pPr>
      <w:spacing w:before="75" w:after="75" w:line="240" w:lineRule="auto"/>
    </w:pPr>
    <w:rPr>
      <w:rFonts w:ascii="Times New Roman" w:eastAsia="Times New Roman" w:hAnsi="Times New Roman"/>
      <w:sz w:val="24"/>
      <w:szCs w:val="24"/>
      <w:lang w:eastAsia="lv-LV"/>
    </w:rPr>
  </w:style>
  <w:style w:type="paragraph" w:customStyle="1" w:styleId="tv2161">
    <w:name w:val="tv2161"/>
    <w:basedOn w:val="Normal"/>
    <w:rsid w:val="0004066A"/>
    <w:pPr>
      <w:spacing w:before="240" w:after="0" w:line="360" w:lineRule="auto"/>
      <w:ind w:firstLine="259"/>
      <w:jc w:val="right"/>
    </w:pPr>
    <w:rPr>
      <w:rFonts w:ascii="Verdana" w:eastAsia="Times New Roman" w:hAnsi="Verdana"/>
      <w:sz w:val="16"/>
      <w:szCs w:val="16"/>
    </w:rPr>
  </w:style>
</w:styles>
</file>

<file path=word/webSettings.xml><?xml version="1.0" encoding="utf-8"?>
<w:webSettings xmlns:r="http://schemas.openxmlformats.org/officeDocument/2006/relationships" xmlns:w="http://schemas.openxmlformats.org/wordprocessingml/2006/main">
  <w:divs>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121505714">
      <w:bodyDiv w:val="1"/>
      <w:marLeft w:val="0"/>
      <w:marRight w:val="0"/>
      <w:marTop w:val="0"/>
      <w:marBottom w:val="0"/>
      <w:divBdr>
        <w:top w:val="none" w:sz="0" w:space="0" w:color="auto"/>
        <w:left w:val="none" w:sz="0" w:space="0" w:color="auto"/>
        <w:bottom w:val="none" w:sz="0" w:space="0" w:color="auto"/>
        <w:right w:val="none" w:sz="0" w:space="0" w:color="auto"/>
      </w:divBdr>
      <w:divsChild>
        <w:div w:id="816607050">
          <w:marLeft w:val="0"/>
          <w:marRight w:val="0"/>
          <w:marTop w:val="0"/>
          <w:marBottom w:val="0"/>
          <w:divBdr>
            <w:top w:val="none" w:sz="0" w:space="0" w:color="auto"/>
            <w:left w:val="none" w:sz="0" w:space="0" w:color="auto"/>
            <w:bottom w:val="none" w:sz="0" w:space="0" w:color="auto"/>
            <w:right w:val="none" w:sz="0" w:space="0" w:color="auto"/>
          </w:divBdr>
          <w:divsChild>
            <w:div w:id="1807972592">
              <w:marLeft w:val="0"/>
              <w:marRight w:val="0"/>
              <w:marTop w:val="0"/>
              <w:marBottom w:val="0"/>
              <w:divBdr>
                <w:top w:val="none" w:sz="0" w:space="0" w:color="auto"/>
                <w:left w:val="none" w:sz="0" w:space="0" w:color="auto"/>
                <w:bottom w:val="none" w:sz="0" w:space="0" w:color="auto"/>
                <w:right w:val="none" w:sz="0" w:space="0" w:color="auto"/>
              </w:divBdr>
              <w:divsChild>
                <w:div w:id="1608153863">
                  <w:marLeft w:val="0"/>
                  <w:marRight w:val="0"/>
                  <w:marTop w:val="0"/>
                  <w:marBottom w:val="0"/>
                  <w:divBdr>
                    <w:top w:val="none" w:sz="0" w:space="0" w:color="auto"/>
                    <w:left w:val="none" w:sz="0" w:space="0" w:color="auto"/>
                    <w:bottom w:val="none" w:sz="0" w:space="0" w:color="auto"/>
                    <w:right w:val="none" w:sz="0" w:space="0" w:color="auto"/>
                  </w:divBdr>
                  <w:divsChild>
                    <w:div w:id="963343404">
                      <w:marLeft w:val="0"/>
                      <w:marRight w:val="0"/>
                      <w:marTop w:val="0"/>
                      <w:marBottom w:val="0"/>
                      <w:divBdr>
                        <w:top w:val="none" w:sz="0" w:space="0" w:color="auto"/>
                        <w:left w:val="none" w:sz="0" w:space="0" w:color="auto"/>
                        <w:bottom w:val="none" w:sz="0" w:space="0" w:color="auto"/>
                        <w:right w:val="none" w:sz="0" w:space="0" w:color="auto"/>
                      </w:divBdr>
                      <w:divsChild>
                        <w:div w:id="136805874">
                          <w:marLeft w:val="0"/>
                          <w:marRight w:val="0"/>
                          <w:marTop w:val="0"/>
                          <w:marBottom w:val="0"/>
                          <w:divBdr>
                            <w:top w:val="none" w:sz="0" w:space="0" w:color="auto"/>
                            <w:left w:val="none" w:sz="0" w:space="0" w:color="auto"/>
                            <w:bottom w:val="none" w:sz="0" w:space="0" w:color="auto"/>
                            <w:right w:val="none" w:sz="0" w:space="0" w:color="auto"/>
                          </w:divBdr>
                          <w:divsChild>
                            <w:div w:id="1844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735612">
      <w:bodyDiv w:val="1"/>
      <w:marLeft w:val="0"/>
      <w:marRight w:val="0"/>
      <w:marTop w:val="0"/>
      <w:marBottom w:val="0"/>
      <w:divBdr>
        <w:top w:val="none" w:sz="0" w:space="0" w:color="auto"/>
        <w:left w:val="none" w:sz="0" w:space="0" w:color="auto"/>
        <w:bottom w:val="none" w:sz="0" w:space="0" w:color="auto"/>
        <w:right w:val="none" w:sz="0" w:space="0" w:color="auto"/>
      </w:divBdr>
    </w:div>
    <w:div w:id="441001510">
      <w:bodyDiv w:val="1"/>
      <w:marLeft w:val="0"/>
      <w:marRight w:val="0"/>
      <w:marTop w:val="0"/>
      <w:marBottom w:val="0"/>
      <w:divBdr>
        <w:top w:val="none" w:sz="0" w:space="0" w:color="auto"/>
        <w:left w:val="none" w:sz="0" w:space="0" w:color="auto"/>
        <w:bottom w:val="none" w:sz="0" w:space="0" w:color="auto"/>
        <w:right w:val="none" w:sz="0" w:space="0" w:color="auto"/>
      </w:divBdr>
    </w:div>
    <w:div w:id="520823481">
      <w:bodyDiv w:val="1"/>
      <w:marLeft w:val="0"/>
      <w:marRight w:val="0"/>
      <w:marTop w:val="0"/>
      <w:marBottom w:val="0"/>
      <w:divBdr>
        <w:top w:val="none" w:sz="0" w:space="0" w:color="auto"/>
        <w:left w:val="none" w:sz="0" w:space="0" w:color="auto"/>
        <w:bottom w:val="none" w:sz="0" w:space="0" w:color="auto"/>
        <w:right w:val="none" w:sz="0" w:space="0" w:color="auto"/>
      </w:divBdr>
    </w:div>
    <w:div w:id="557982463">
      <w:bodyDiv w:val="1"/>
      <w:marLeft w:val="0"/>
      <w:marRight w:val="0"/>
      <w:marTop w:val="0"/>
      <w:marBottom w:val="0"/>
      <w:divBdr>
        <w:top w:val="none" w:sz="0" w:space="0" w:color="auto"/>
        <w:left w:val="none" w:sz="0" w:space="0" w:color="auto"/>
        <w:bottom w:val="none" w:sz="0" w:space="0" w:color="auto"/>
        <w:right w:val="none" w:sz="0" w:space="0" w:color="auto"/>
      </w:divBdr>
    </w:div>
    <w:div w:id="595214065">
      <w:bodyDiv w:val="1"/>
      <w:marLeft w:val="0"/>
      <w:marRight w:val="0"/>
      <w:marTop w:val="0"/>
      <w:marBottom w:val="0"/>
      <w:divBdr>
        <w:top w:val="none" w:sz="0" w:space="0" w:color="auto"/>
        <w:left w:val="none" w:sz="0" w:space="0" w:color="auto"/>
        <w:bottom w:val="none" w:sz="0" w:space="0" w:color="auto"/>
        <w:right w:val="none" w:sz="0" w:space="0" w:color="auto"/>
      </w:divBdr>
    </w:div>
    <w:div w:id="1044594540">
      <w:bodyDiv w:val="1"/>
      <w:marLeft w:val="0"/>
      <w:marRight w:val="0"/>
      <w:marTop w:val="0"/>
      <w:marBottom w:val="0"/>
      <w:divBdr>
        <w:top w:val="none" w:sz="0" w:space="0" w:color="auto"/>
        <w:left w:val="none" w:sz="0" w:space="0" w:color="auto"/>
        <w:bottom w:val="none" w:sz="0" w:space="0" w:color="auto"/>
        <w:right w:val="none" w:sz="0" w:space="0" w:color="auto"/>
      </w:divBdr>
    </w:div>
    <w:div w:id="1185442408">
      <w:bodyDiv w:val="1"/>
      <w:marLeft w:val="0"/>
      <w:marRight w:val="0"/>
      <w:marTop w:val="0"/>
      <w:marBottom w:val="0"/>
      <w:divBdr>
        <w:top w:val="none" w:sz="0" w:space="0" w:color="auto"/>
        <w:left w:val="none" w:sz="0" w:space="0" w:color="auto"/>
        <w:bottom w:val="none" w:sz="0" w:space="0" w:color="auto"/>
        <w:right w:val="none" w:sz="0" w:space="0" w:color="auto"/>
      </w:divBdr>
    </w:div>
    <w:div w:id="1269971818">
      <w:bodyDiv w:val="1"/>
      <w:marLeft w:val="0"/>
      <w:marRight w:val="0"/>
      <w:marTop w:val="0"/>
      <w:marBottom w:val="0"/>
      <w:divBdr>
        <w:top w:val="none" w:sz="0" w:space="0" w:color="auto"/>
        <w:left w:val="none" w:sz="0" w:space="0" w:color="auto"/>
        <w:bottom w:val="none" w:sz="0" w:space="0" w:color="auto"/>
        <w:right w:val="none" w:sz="0" w:space="0" w:color="auto"/>
      </w:divBdr>
      <w:divsChild>
        <w:div w:id="791242865">
          <w:marLeft w:val="0"/>
          <w:marRight w:val="0"/>
          <w:marTop w:val="0"/>
          <w:marBottom w:val="0"/>
          <w:divBdr>
            <w:top w:val="none" w:sz="0" w:space="0" w:color="auto"/>
            <w:left w:val="none" w:sz="0" w:space="0" w:color="auto"/>
            <w:bottom w:val="none" w:sz="0" w:space="0" w:color="auto"/>
            <w:right w:val="none" w:sz="0" w:space="0" w:color="auto"/>
          </w:divBdr>
          <w:divsChild>
            <w:div w:id="2117409792">
              <w:marLeft w:val="0"/>
              <w:marRight w:val="0"/>
              <w:marTop w:val="0"/>
              <w:marBottom w:val="0"/>
              <w:divBdr>
                <w:top w:val="none" w:sz="0" w:space="0" w:color="auto"/>
                <w:left w:val="none" w:sz="0" w:space="0" w:color="auto"/>
                <w:bottom w:val="none" w:sz="0" w:space="0" w:color="auto"/>
                <w:right w:val="none" w:sz="0" w:space="0" w:color="auto"/>
              </w:divBdr>
              <w:divsChild>
                <w:div w:id="1772168361">
                  <w:marLeft w:val="0"/>
                  <w:marRight w:val="0"/>
                  <w:marTop w:val="0"/>
                  <w:marBottom w:val="0"/>
                  <w:divBdr>
                    <w:top w:val="none" w:sz="0" w:space="0" w:color="auto"/>
                    <w:left w:val="none" w:sz="0" w:space="0" w:color="auto"/>
                    <w:bottom w:val="none" w:sz="0" w:space="0" w:color="auto"/>
                    <w:right w:val="none" w:sz="0" w:space="0" w:color="auto"/>
                  </w:divBdr>
                  <w:divsChild>
                    <w:div w:id="31880543">
                      <w:marLeft w:val="0"/>
                      <w:marRight w:val="0"/>
                      <w:marTop w:val="0"/>
                      <w:marBottom w:val="0"/>
                      <w:divBdr>
                        <w:top w:val="none" w:sz="0" w:space="0" w:color="auto"/>
                        <w:left w:val="none" w:sz="0" w:space="0" w:color="auto"/>
                        <w:bottom w:val="none" w:sz="0" w:space="0" w:color="auto"/>
                        <w:right w:val="none" w:sz="0" w:space="0" w:color="auto"/>
                      </w:divBdr>
                      <w:divsChild>
                        <w:div w:id="868033376">
                          <w:marLeft w:val="0"/>
                          <w:marRight w:val="0"/>
                          <w:marTop w:val="0"/>
                          <w:marBottom w:val="0"/>
                          <w:divBdr>
                            <w:top w:val="none" w:sz="0" w:space="0" w:color="auto"/>
                            <w:left w:val="none" w:sz="0" w:space="0" w:color="auto"/>
                            <w:bottom w:val="none" w:sz="0" w:space="0" w:color="auto"/>
                            <w:right w:val="none" w:sz="0" w:space="0" w:color="auto"/>
                          </w:divBdr>
                          <w:divsChild>
                            <w:div w:id="3496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01175">
      <w:bodyDiv w:val="1"/>
      <w:marLeft w:val="0"/>
      <w:marRight w:val="0"/>
      <w:marTop w:val="0"/>
      <w:marBottom w:val="0"/>
      <w:divBdr>
        <w:top w:val="none" w:sz="0" w:space="0" w:color="auto"/>
        <w:left w:val="none" w:sz="0" w:space="0" w:color="auto"/>
        <w:bottom w:val="none" w:sz="0" w:space="0" w:color="auto"/>
        <w:right w:val="none" w:sz="0" w:space="0" w:color="auto"/>
      </w:divBdr>
    </w:div>
    <w:div w:id="1539706250">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 w:id="1583031036">
      <w:bodyDiv w:val="1"/>
      <w:marLeft w:val="0"/>
      <w:marRight w:val="0"/>
      <w:marTop w:val="0"/>
      <w:marBottom w:val="0"/>
      <w:divBdr>
        <w:top w:val="none" w:sz="0" w:space="0" w:color="auto"/>
        <w:left w:val="none" w:sz="0" w:space="0" w:color="auto"/>
        <w:bottom w:val="none" w:sz="0" w:space="0" w:color="auto"/>
        <w:right w:val="none" w:sz="0" w:space="0" w:color="auto"/>
      </w:divBdr>
    </w:div>
    <w:div w:id="1930382356">
      <w:bodyDiv w:val="1"/>
      <w:marLeft w:val="0"/>
      <w:marRight w:val="0"/>
      <w:marTop w:val="0"/>
      <w:marBottom w:val="0"/>
      <w:divBdr>
        <w:top w:val="none" w:sz="0" w:space="0" w:color="auto"/>
        <w:left w:val="none" w:sz="0" w:space="0" w:color="auto"/>
        <w:bottom w:val="none" w:sz="0" w:space="0" w:color="auto"/>
        <w:right w:val="none" w:sz="0" w:space="0" w:color="auto"/>
      </w:divBdr>
    </w:div>
    <w:div w:id="21317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897?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ga.Kalvane@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in_site/tools/download.php?file=files/text/Finansu_instrumenti/ETS//MK_noteikumi_Nr.526_neatbilstibas.pdf" TargetMode="External"/><Relationship Id="rId4" Type="http://schemas.openxmlformats.org/officeDocument/2006/relationships/settings" Target="settings.xml"/><Relationship Id="rId9" Type="http://schemas.openxmlformats.org/officeDocument/2006/relationships/hyperlink" Target="http://eur-lex.europa.eu/eli/reg/2014/897?loca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18271-79A7-4224-BAE7-D72B050D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Links>
    <vt:vector size="6" baseType="variant">
      <vt:variant>
        <vt:i4>5963878</vt:i4>
      </vt:variant>
      <vt:variant>
        <vt:i4>0</vt:i4>
      </vt:variant>
      <vt:variant>
        <vt:i4>0</vt:i4>
      </vt:variant>
      <vt:variant>
        <vt:i4>5</vt:i4>
      </vt:variant>
      <vt:variant>
        <vt:lpwstr>mailto:liga.djacenko@varam.gov.lv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larisat</cp:lastModifiedBy>
  <cp:revision>2</cp:revision>
  <cp:lastPrinted>2016-02-15T10:34:00Z</cp:lastPrinted>
  <dcterms:created xsi:type="dcterms:W3CDTF">2016-05-19T08:24:00Z</dcterms:created>
  <dcterms:modified xsi:type="dcterms:W3CDTF">2016-05-19T08:24:00Z</dcterms:modified>
  <cp:contentStatus/>
</cp:coreProperties>
</file>