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0F" w:rsidRPr="001A6BC6" w:rsidRDefault="000265E1" w:rsidP="00D85230">
      <w:pPr>
        <w:spacing w:after="240"/>
        <w:jc w:val="center"/>
        <w:rPr>
          <w:b/>
        </w:rPr>
      </w:pPr>
      <w:r>
        <w:rPr>
          <w:b/>
          <w:bCs/>
          <w:lang w:eastAsia="en-US"/>
        </w:rPr>
        <w:t>M</w:t>
      </w:r>
      <w:r w:rsidR="00677A0F" w:rsidRPr="001A6BC6">
        <w:rPr>
          <w:b/>
          <w:bCs/>
          <w:lang w:eastAsia="en-US"/>
        </w:rPr>
        <w:t>inistru kabineta noteikumu projekta</w:t>
      </w:r>
      <w:r w:rsidR="00677A0F" w:rsidRPr="001A6BC6">
        <w:rPr>
          <w:b/>
        </w:rPr>
        <w:t xml:space="preserve"> „</w:t>
      </w:r>
      <w:r w:rsidR="0004038D" w:rsidRPr="0004038D">
        <w:rPr>
          <w:b/>
        </w:rPr>
        <w:t>Valsts informācijas sistēmu savietotāja noteikumi</w:t>
      </w:r>
      <w:r w:rsidR="00677A0F" w:rsidRPr="001A6BC6">
        <w:rPr>
          <w:b/>
          <w:bCs/>
        </w:rPr>
        <w:t>”</w:t>
      </w:r>
      <w:r w:rsidR="00677A0F" w:rsidRPr="001A6BC6">
        <w:rPr>
          <w:b/>
        </w:rPr>
        <w:t xml:space="preserve"> </w:t>
      </w:r>
      <w:r w:rsidR="00677A0F" w:rsidRPr="001A6BC6">
        <w:rPr>
          <w:b/>
          <w:bCs/>
          <w:lang w:eastAsia="en-US"/>
        </w:rPr>
        <w:t>sākotnējās ietekmes novērtējuma ziņojums (anotācija)</w:t>
      </w:r>
    </w:p>
    <w:tbl>
      <w:tblPr>
        <w:tblW w:w="0" w:type="auto"/>
        <w:tblInd w:w="113"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454"/>
        <w:gridCol w:w="1956"/>
        <w:gridCol w:w="6662"/>
      </w:tblGrid>
      <w:tr w:rsidR="00D85230" w:rsidRPr="008D55BF" w:rsidTr="008C30FF">
        <w:trPr>
          <w:trHeight w:val="284"/>
        </w:trPr>
        <w:tc>
          <w:tcPr>
            <w:tcW w:w="9072" w:type="dxa"/>
            <w:gridSpan w:val="3"/>
            <w:tcBorders>
              <w:top w:val="single" w:sz="6" w:space="0" w:color="auto"/>
              <w:left w:val="single" w:sz="6" w:space="0" w:color="auto"/>
              <w:bottom w:val="outset" w:sz="6" w:space="0" w:color="000000"/>
              <w:right w:val="single" w:sz="6" w:space="0" w:color="auto"/>
            </w:tcBorders>
            <w:tcMar>
              <w:top w:w="0" w:type="dxa"/>
              <w:left w:w="113" w:type="dxa"/>
              <w:bottom w:w="0" w:type="dxa"/>
              <w:right w:w="113" w:type="dxa"/>
            </w:tcMar>
            <w:vAlign w:val="center"/>
          </w:tcPr>
          <w:p w:rsidR="00D85230" w:rsidRPr="008D55BF" w:rsidRDefault="00D85230" w:rsidP="00D85230">
            <w:pPr>
              <w:jc w:val="center"/>
              <w:rPr>
                <w:b/>
                <w:bCs/>
              </w:rPr>
            </w:pPr>
            <w:r w:rsidRPr="008D55BF">
              <w:rPr>
                <w:b/>
                <w:bCs/>
              </w:rPr>
              <w:t>I. Tiesību akta projekta izstrādes nepieciešamība</w:t>
            </w:r>
          </w:p>
        </w:tc>
      </w:tr>
      <w:tr w:rsidR="00D85230" w:rsidRPr="008D55BF" w:rsidTr="006F658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1.</w:t>
            </w:r>
          </w:p>
        </w:tc>
        <w:tc>
          <w:tcPr>
            <w:tcW w:w="1956"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rsidRPr="008D55BF">
              <w:t>Pamatojums</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rsidR="00D85230" w:rsidRPr="003D6225" w:rsidRDefault="00471C5E" w:rsidP="001F61A2">
            <w:pPr>
              <w:pStyle w:val="BodyText"/>
              <w:ind w:firstLine="170"/>
              <w:outlineLvl w:val="0"/>
              <w:rPr>
                <w:sz w:val="24"/>
                <w:szCs w:val="24"/>
                <w:lang w:val="lv-LV"/>
              </w:rPr>
            </w:pPr>
            <w:r w:rsidRPr="00471C5E">
              <w:rPr>
                <w:sz w:val="24"/>
                <w:szCs w:val="24"/>
                <w:lang w:val="lv-LV"/>
              </w:rPr>
              <w:t xml:space="preserve">Valsts informācijas sistēmu likuma </w:t>
            </w:r>
            <w:r w:rsidR="00E71173">
              <w:rPr>
                <w:sz w:val="24"/>
                <w:szCs w:val="24"/>
                <w:lang w:val="lv-LV"/>
              </w:rPr>
              <w:t>(turpmāk –</w:t>
            </w:r>
            <w:r w:rsidR="001F61A2">
              <w:rPr>
                <w:sz w:val="24"/>
                <w:szCs w:val="24"/>
                <w:lang w:val="lv-LV"/>
              </w:rPr>
              <w:t xml:space="preserve"> </w:t>
            </w:r>
            <w:r w:rsidR="00E71173">
              <w:rPr>
                <w:sz w:val="24"/>
                <w:szCs w:val="24"/>
                <w:lang w:val="lv-LV"/>
              </w:rPr>
              <w:t xml:space="preserve">likums) </w:t>
            </w:r>
            <w:r w:rsidRPr="00471C5E">
              <w:rPr>
                <w:sz w:val="24"/>
                <w:szCs w:val="24"/>
                <w:lang w:val="lv-LV"/>
              </w:rPr>
              <w:t>17.panta sestā daļa nosaka, ka kārtību, kādā nodrošina informācijas apriti, izmantojot valsts informācijas sistēmu savietotāju (turpmāk – savietotājs), kā arī izveido, attīsta un likvidē savietotāju, nosaka Ministru kabinets.</w:t>
            </w:r>
          </w:p>
        </w:tc>
      </w:tr>
      <w:tr w:rsidR="00D85230" w:rsidRPr="008D55BF" w:rsidTr="006F658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2.</w:t>
            </w:r>
          </w:p>
        </w:tc>
        <w:tc>
          <w:tcPr>
            <w:tcW w:w="1956"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D85230" w:rsidRPr="008D55BF" w:rsidRDefault="00D85230" w:rsidP="00D9025C">
            <w:r>
              <w:t>Pašreizējā situācija un problēmas, kuru risināšanai tiesību akta projekts izstrādāts, tiesiskā regulējuma mērķis</w:t>
            </w:r>
            <w:r w:rsidR="009F5056">
              <w:t xml:space="preserve"> </w:t>
            </w:r>
            <w:r>
              <w:t>un būtība</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rsidR="00F91602" w:rsidRDefault="009B1A54" w:rsidP="00B07E4A">
            <w:pPr>
              <w:ind w:firstLine="170"/>
              <w:jc w:val="both"/>
            </w:pPr>
            <w:r>
              <w:t xml:space="preserve">Saskaņā ar likuma </w:t>
            </w:r>
            <w:r w:rsidR="00E71173">
              <w:t xml:space="preserve">1.panta 8.punktu </w:t>
            </w:r>
            <w:r>
              <w:t xml:space="preserve">savietotājs </w:t>
            </w:r>
            <w:r w:rsidR="00E71173">
              <w:t xml:space="preserve">ir </w:t>
            </w:r>
            <w:r>
              <w:t>centralizēts informācijas tehnoloģiju kopums, ar kura palīdzību var</w:t>
            </w:r>
            <w:r w:rsidR="00E71173">
              <w:t xml:space="preserve"> </w:t>
            </w:r>
            <w:r>
              <w:t>nodrošināt informācijas apriti integrētas valsts informācijas sistēmas ietvaros, kā arī starp valsts informācijas sistēmām</w:t>
            </w:r>
            <w:r w:rsidR="00E71173">
              <w:t xml:space="preserve"> </w:t>
            </w:r>
            <w:r>
              <w:t>un citām informācijas sistēmām, kuras veido un uztur valsts vai pašvaldību institūcijas vai privātpersonas</w:t>
            </w:r>
            <w:r w:rsidR="00576C39">
              <w:t>.</w:t>
            </w:r>
          </w:p>
          <w:p w:rsidR="005E500D" w:rsidRDefault="00E71173" w:rsidP="00B07E4A">
            <w:pPr>
              <w:ind w:firstLine="170"/>
              <w:jc w:val="both"/>
            </w:pPr>
            <w:r>
              <w:t>Likuma 17.panta ceturtā daļa nosaka, ka lēmumu par informācijas aprites nodrošināšanu, izmantojot savietotāju, pieņem valsts informācijas sistēmu pārziņi, ievērojot likum</w:t>
            </w:r>
            <w:r w:rsidR="009377FE">
              <w:t>a 17.panta pirmajā daļā</w:t>
            </w:r>
            <w:r>
              <w:t xml:space="preserve"> </w:t>
            </w:r>
            <w:r w:rsidR="00A60A5B">
              <w:t xml:space="preserve">minētos </w:t>
            </w:r>
            <w:r w:rsidRPr="00E71173">
              <w:t>kritērijus</w:t>
            </w:r>
            <w:r w:rsidR="005E500D">
              <w:t>.</w:t>
            </w:r>
          </w:p>
          <w:p w:rsidR="005B64DD" w:rsidRDefault="005B64DD" w:rsidP="00B07E4A">
            <w:pPr>
              <w:ind w:firstLine="170"/>
              <w:jc w:val="both"/>
            </w:pPr>
            <w:r>
              <w:t>Valsts informācijas sistēmu pārziņi un valsts vai pašvaldību institūcijas vai privātpersonas, kuru pārziņā esošās informācijas sistēmas ir iesaistītas informācijas aprites nodrošināšanā ar valsts informācijas sistēmām (turpmāk – sistēmu pārziņi)</w:t>
            </w:r>
            <w:r w:rsidR="005B5868">
              <w:t>,</w:t>
            </w:r>
            <w:r>
              <w:t xml:space="preserve"> organizē attiecīgās informācijas apriti saskaņā ar normatīvajiem aktiem vai sistēmu pārziņu savstarpējo vienošanos.</w:t>
            </w:r>
          </w:p>
          <w:p w:rsidR="00692650" w:rsidRDefault="009377FE" w:rsidP="007B081C">
            <w:pPr>
              <w:ind w:firstLine="170"/>
              <w:jc w:val="both"/>
            </w:pPr>
            <w:r>
              <w:t>Savukārt</w:t>
            </w:r>
            <w:r w:rsidR="000734E5">
              <w:t xml:space="preserve"> </w:t>
            </w:r>
            <w:r w:rsidR="005B64DD">
              <w:t>likuma 17.panta piekt</w:t>
            </w:r>
            <w:r w:rsidR="001B236B">
              <w:t>ā</w:t>
            </w:r>
            <w:r w:rsidR="005B64DD">
              <w:t xml:space="preserve"> daļa </w:t>
            </w:r>
            <w:r w:rsidR="001B236B">
              <w:t xml:space="preserve">nosaka, ka </w:t>
            </w:r>
            <w:r w:rsidR="00B07E4A">
              <w:t xml:space="preserve">savietotāja pārzinis </w:t>
            </w:r>
            <w:r w:rsidR="00692650">
              <w:t>lemj par līguma slēgšanu ar sistēmu pārziņiem un var atteikt līguma slēgšanu, ja</w:t>
            </w:r>
            <w:r w:rsidR="007B081C">
              <w:t xml:space="preserve"> </w:t>
            </w:r>
            <w:r w:rsidR="00692650">
              <w:t>normatīvajos aktos noteiktie informācijas aprites nosacījumi ir pietiekami informācijas aprites nodrošināšanai, izmantojot savietotāju</w:t>
            </w:r>
            <w:r w:rsidR="00B07E4A">
              <w:t>.</w:t>
            </w:r>
          </w:p>
          <w:p w:rsidR="0098682C" w:rsidRDefault="001B236B" w:rsidP="007B081C">
            <w:pPr>
              <w:ind w:firstLine="170"/>
              <w:jc w:val="both"/>
              <w:rPr>
                <w:rStyle w:val="spelle"/>
              </w:rPr>
            </w:pPr>
            <w:r>
              <w:t>Vides aizsardzības un reģionālās attīstības ministrija (turpmāk – VARAM) uzskata, ka</w:t>
            </w:r>
            <w:r w:rsidR="0043078A">
              <w:t xml:space="preserve"> sistēmu pārziņu un savietotāja pārziņa savstarpējās sadarbības regulējuma</w:t>
            </w:r>
            <w:r w:rsidR="00FB6839">
              <w:t xml:space="preserve"> standartizēšana un unificēšana</w:t>
            </w:r>
            <w:r w:rsidR="00F062DB">
              <w:t>, iekļaujot šo regulējumu</w:t>
            </w:r>
            <w:r w:rsidR="00FB6839">
              <w:t xml:space="preserve"> normatīvajā aktā</w:t>
            </w:r>
            <w:r w:rsidR="00F062DB">
              <w:t>,</w:t>
            </w:r>
            <w:r w:rsidR="00FB6839">
              <w:t xml:space="preserve"> ļauj </w:t>
            </w:r>
            <w:r w:rsidR="009002CE">
              <w:t xml:space="preserve">samazināt vai novērst </w:t>
            </w:r>
            <w:r w:rsidR="00F062DB">
              <w:t xml:space="preserve">attiecīgās sadarbības regulēšanas </w:t>
            </w:r>
            <w:r w:rsidR="009002CE">
              <w:t xml:space="preserve">nepieciešamību </w:t>
            </w:r>
            <w:r w:rsidR="00842B22">
              <w:t xml:space="preserve">ar </w:t>
            </w:r>
            <w:r w:rsidR="00720F86">
              <w:t>līgum</w:t>
            </w:r>
            <w:r w:rsidR="00842B22">
              <w:t>u palīdzību</w:t>
            </w:r>
            <w:r w:rsidR="00E4168E">
              <w:t xml:space="preserve"> </w:t>
            </w:r>
            <w:r w:rsidR="00F062DB">
              <w:t xml:space="preserve">un, līdz ar to, arī </w:t>
            </w:r>
            <w:r w:rsidR="00E4168E">
              <w:t xml:space="preserve">administratīvo slogu, kas ir saistīts ar </w:t>
            </w:r>
            <w:r w:rsidR="00F062DB">
              <w:t xml:space="preserve">šo </w:t>
            </w:r>
            <w:r w:rsidR="00E4168E">
              <w:t>līgumu izstrādāšanu un uzturēšanu</w:t>
            </w:r>
            <w:r w:rsidR="009002CE">
              <w:t>.</w:t>
            </w:r>
            <w:r w:rsidR="00421721">
              <w:t xml:space="preserve"> Taču pašlaik nav normatīvā akta, kas regulē </w:t>
            </w:r>
            <w:r w:rsidR="00FB6839">
              <w:t>informācijas aprites nodrošināšanu, izmantojot savietotāju</w:t>
            </w:r>
            <w:r w:rsidR="00421721">
              <w:rPr>
                <w:rStyle w:val="spelle"/>
              </w:rPr>
              <w:t>.</w:t>
            </w:r>
          </w:p>
          <w:p w:rsidR="001B236B" w:rsidRDefault="002C67C8" w:rsidP="007B081C">
            <w:pPr>
              <w:ind w:firstLine="170"/>
              <w:jc w:val="both"/>
            </w:pPr>
            <w:r>
              <w:rPr>
                <w:rStyle w:val="spelle"/>
              </w:rPr>
              <w:t xml:space="preserve">Vienlaikus VARAM norāda, ka </w:t>
            </w:r>
            <w:r w:rsidR="0098682C">
              <w:rPr>
                <w:rStyle w:val="spelle"/>
              </w:rPr>
              <w:t xml:space="preserve">attiecīgajā </w:t>
            </w:r>
            <w:r>
              <w:rPr>
                <w:rStyle w:val="spelle"/>
              </w:rPr>
              <w:t xml:space="preserve">normatīvajā aktā ietvertās kārtības piemērošana neizslēdz iespēju </w:t>
            </w:r>
            <w:r>
              <w:t xml:space="preserve">sistēmu pārziņiem savstarpēji vienoties par tādas informācijas aprites nosacījumiem, kuru sistēmu pārziņi ir nolēmuši nodrošināt, izmantojot savietotāju, ja </w:t>
            </w:r>
            <w:r w:rsidR="0098682C">
              <w:t xml:space="preserve">normatīvajos aktos noteiktie informācijas aprites nosacījumi nav pietiekami </w:t>
            </w:r>
            <w:r w:rsidR="00FB2AA1">
              <w:t>informācijas aprites nodrošināšanai</w:t>
            </w:r>
            <w:r>
              <w:t>.</w:t>
            </w:r>
          </w:p>
          <w:p w:rsidR="00F10026" w:rsidRPr="000E620F" w:rsidRDefault="00F10026" w:rsidP="00907207">
            <w:pPr>
              <w:spacing w:before="120"/>
              <w:ind w:firstLine="170"/>
              <w:jc w:val="both"/>
              <w:rPr>
                <w:bCs/>
              </w:rPr>
            </w:pPr>
            <w:r w:rsidRPr="000E620F">
              <w:rPr>
                <w:bCs/>
              </w:rPr>
              <w:t xml:space="preserve">Savietotāja izmantošana veicina racionālu informācijas apriti, nodrošinot centralizētu piekļūšanu apritē esošajai informācijai un pēc iespējas novēršot nepieciešamību uzturēt informācijas apriti, kura ir nodrošināta, izmantojot tiešās saites starp </w:t>
            </w:r>
            <w:r w:rsidR="00907207">
              <w:rPr>
                <w:bCs/>
              </w:rPr>
              <w:t>valsts informācijas sistēmām un citām informācijas sistēmām</w:t>
            </w:r>
            <w:r w:rsidRPr="000E620F">
              <w:rPr>
                <w:bCs/>
              </w:rPr>
              <w:t>.</w:t>
            </w:r>
          </w:p>
          <w:p w:rsidR="00F10026" w:rsidRDefault="00660911" w:rsidP="00F10026">
            <w:pPr>
              <w:ind w:firstLine="170"/>
              <w:jc w:val="both"/>
              <w:rPr>
                <w:bCs/>
              </w:rPr>
            </w:pPr>
            <w:r>
              <w:rPr>
                <w:bCs/>
              </w:rPr>
              <w:t>Latvijas Pašvaldību savienība, izvērtējot iespējas, kuras sniedz savietotāja izmantošana, uzskata, ka s</w:t>
            </w:r>
            <w:r w:rsidR="005C60A7" w:rsidRPr="000E620F">
              <w:rPr>
                <w:bCs/>
              </w:rPr>
              <w:t xml:space="preserve">avietotājam jānodrošina </w:t>
            </w:r>
            <w:r w:rsidR="005C60A7" w:rsidRPr="000E620F">
              <w:rPr>
                <w:bCs/>
              </w:rPr>
              <w:lastRenderedPageBreak/>
              <w:t>investīcijas, lai radītu mūsdienām atbilstošu, tehnoloģiski spēcīgu vienību, kas nebūtu pārpilns sarežģītiem, novecojušiem instrumentiem, kas šobrīd draud pārvērst savietotāju par “pudeles kaklu” – datu apmaiņas šaurāko vietu.</w:t>
            </w:r>
            <w:r>
              <w:rPr>
                <w:bCs/>
              </w:rPr>
              <w:t xml:space="preserve"> </w:t>
            </w:r>
            <w:r w:rsidR="00F10026" w:rsidRPr="000E620F">
              <w:rPr>
                <w:bCs/>
              </w:rPr>
              <w:t>Lietderīgākai datu apmaiņai starp publiskām iestādēm savietotāja izmantošana būtu nosakāma kā obligāta un prioritāra, izņemot gadījumus, kad ir pierādīts, ka tiešie sistēmu savietojumi ir lētāki un efektīvāki.</w:t>
            </w:r>
          </w:p>
          <w:p w:rsidR="00EB50D2" w:rsidRDefault="00F03FF2" w:rsidP="00576AEA">
            <w:pPr>
              <w:ind w:firstLine="170"/>
              <w:jc w:val="both"/>
            </w:pPr>
            <w:r>
              <w:t xml:space="preserve">VARAM norāda, ka saskaņā ar </w:t>
            </w:r>
            <w:r w:rsidR="00660911">
              <w:t>l</w:t>
            </w:r>
            <w:r>
              <w:t>ikuma 17.panta otro daļu</w:t>
            </w:r>
            <w:r w:rsidR="00576AEA">
              <w:t xml:space="preserve"> </w:t>
            </w:r>
            <w:r w:rsidR="00576AEA" w:rsidRPr="00FB0D10">
              <w:t>savietotāja izveidošanas, attīstīšanas vai likvidēšanas lietderību izvērtē, ievērojot</w:t>
            </w:r>
            <w:r w:rsidR="00576AEA">
              <w:t xml:space="preserve"> likuma 17.panta pirmajā daļā noteiktos </w:t>
            </w:r>
            <w:r w:rsidR="00576AEA" w:rsidRPr="00E71173">
              <w:t>kritērijus</w:t>
            </w:r>
            <w:r w:rsidR="00EB50D2">
              <w:t>:</w:t>
            </w:r>
          </w:p>
          <w:p w:rsidR="00EB50D2" w:rsidRDefault="00EB50D2" w:rsidP="00EB50D2">
            <w:pPr>
              <w:ind w:firstLine="170"/>
              <w:jc w:val="both"/>
            </w:pPr>
            <w:r>
              <w:t>1) savietotāja darbība nedublē informācijas apriti, kuru var nodrošināt ar cita savietotāja palīdzību;</w:t>
            </w:r>
          </w:p>
          <w:p w:rsidR="00EB50D2" w:rsidRDefault="00EB50D2" w:rsidP="00EB50D2">
            <w:pPr>
              <w:ind w:firstLine="170"/>
              <w:jc w:val="both"/>
            </w:pPr>
            <w:r>
              <w:t>2) savietotāja darbība nodrošina pēc iespējas vienkāršu un vienveidīgu informācijas apriti;</w:t>
            </w:r>
          </w:p>
          <w:p w:rsidR="00EB50D2" w:rsidRDefault="00EB50D2" w:rsidP="00EB50D2">
            <w:pPr>
              <w:ind w:firstLine="170"/>
              <w:jc w:val="both"/>
            </w:pPr>
            <w:r>
              <w:t>3) savietotāja darbība nodrošina tādu informācijas aprites drošības līmeni, kas ir samērojams ar drošības līmeni, nodrošinot informācijas apriti bez savietotāja;</w:t>
            </w:r>
          </w:p>
          <w:p w:rsidR="00576AEA" w:rsidRDefault="00EB50D2" w:rsidP="00EB50D2">
            <w:pPr>
              <w:ind w:firstLine="170"/>
              <w:jc w:val="both"/>
            </w:pPr>
            <w:r>
              <w:t>4) savietotāja darbība nepalielina informācijas aprites izmaksas salīdzinājumā ar izmaksām, nodrošinot informācijas apriti bez savietotāja.</w:t>
            </w:r>
          </w:p>
          <w:p w:rsidR="005C60A7" w:rsidRDefault="005C60A7" w:rsidP="005C60A7">
            <w:pPr>
              <w:ind w:firstLine="170"/>
              <w:jc w:val="both"/>
            </w:pPr>
            <w:r>
              <w:t xml:space="preserve">Saskaņā ar </w:t>
            </w:r>
            <w:r w:rsidR="001F61A2">
              <w:t xml:space="preserve">likuma </w:t>
            </w:r>
            <w:r>
              <w:t>17.panta trešo daļu katra savietotāja izveidošanas, attīstīšanas vai likvidēšanas projektu izstrādā attiecīgā savietotāja pārzinis un saskaņo to ar VARAM.</w:t>
            </w:r>
          </w:p>
          <w:p w:rsidR="00487A55" w:rsidRDefault="00487A55" w:rsidP="005C60A7">
            <w:pPr>
              <w:ind w:firstLine="170"/>
              <w:jc w:val="both"/>
              <w:rPr>
                <w:rStyle w:val="spelle"/>
              </w:rPr>
            </w:pPr>
            <w:r>
              <w:rPr>
                <w:rStyle w:val="spelle"/>
              </w:rPr>
              <w:t>Lai nodrošinātu savietotāja izveidošan</w:t>
            </w:r>
            <w:r w:rsidR="0005368A">
              <w:rPr>
                <w:rStyle w:val="spelle"/>
              </w:rPr>
              <w:t xml:space="preserve">u, attīstīšanu un likvidēšanu atbilstoši likumā noteiktajām prasībām, </w:t>
            </w:r>
            <w:r>
              <w:rPr>
                <w:rStyle w:val="spelle"/>
              </w:rPr>
              <w:t xml:space="preserve">VARAM uzskata par </w:t>
            </w:r>
            <w:r w:rsidR="0005368A">
              <w:rPr>
                <w:rStyle w:val="spelle"/>
              </w:rPr>
              <w:t>nepieciešamu koordinēt savietotāja izveidošanu, attīstīšanu un likvidēšanu</w:t>
            </w:r>
            <w:r w:rsidR="009F3A27">
              <w:rPr>
                <w:rStyle w:val="spelle"/>
              </w:rPr>
              <w:t>, sadarbojoties ar savietotāja pārzini normatīvajos aktos notei</w:t>
            </w:r>
            <w:r w:rsidR="009270E7">
              <w:rPr>
                <w:rStyle w:val="spelle"/>
              </w:rPr>
              <w:t>ktajā kārtībā. VARAM un savietotāja pārziņa savstarpējā sadarbība ļautu</w:t>
            </w:r>
            <w:r w:rsidR="009F3A27">
              <w:rPr>
                <w:rStyle w:val="spelle"/>
              </w:rPr>
              <w:t xml:space="preserve"> </w:t>
            </w:r>
            <w:r w:rsidR="007B7FE7">
              <w:rPr>
                <w:rStyle w:val="spelle"/>
              </w:rPr>
              <w:t xml:space="preserve">objektīvāk </w:t>
            </w:r>
            <w:r w:rsidR="009F3A27">
              <w:rPr>
                <w:rStyle w:val="spelle"/>
              </w:rPr>
              <w:t xml:space="preserve">izvērtēt </w:t>
            </w:r>
            <w:r w:rsidR="009F3A27" w:rsidRPr="009F3A27">
              <w:rPr>
                <w:rStyle w:val="spelle"/>
              </w:rPr>
              <w:t>savietotāja izveidošanas, attīst</w:t>
            </w:r>
            <w:r w:rsidR="009F3A27">
              <w:rPr>
                <w:rStyle w:val="spelle"/>
              </w:rPr>
              <w:t>īšanas vai likvidēšanas projektā ietvertos pasākumus</w:t>
            </w:r>
            <w:r w:rsidR="00126152">
              <w:rPr>
                <w:rStyle w:val="spelle"/>
              </w:rPr>
              <w:t xml:space="preserve"> pirms projekta īstenošanas, kā arī izmaiņas projektā, ja to nepieciešamība rodas projekta īstenošanas gaitā, un novērst projektā iespējamos trūkumus</w:t>
            </w:r>
            <w:r w:rsidR="009270E7">
              <w:rPr>
                <w:rStyle w:val="spelle"/>
              </w:rPr>
              <w:t xml:space="preserve">. </w:t>
            </w:r>
            <w:r w:rsidR="004C05E4">
              <w:rPr>
                <w:rStyle w:val="spelle"/>
              </w:rPr>
              <w:t xml:space="preserve">VARAM uzskata par lietderīgu nodrošināt arī savietotāja pārziņa un sistēmu pārziņu savstarpējo sadarbību, kas ir saistīta ar </w:t>
            </w:r>
            <w:r w:rsidR="004C05E4" w:rsidRPr="009F3A27">
              <w:rPr>
                <w:rStyle w:val="spelle"/>
              </w:rPr>
              <w:t>savietotāja izveidošanas, attīst</w:t>
            </w:r>
            <w:r w:rsidR="004C05E4">
              <w:rPr>
                <w:rStyle w:val="spelle"/>
              </w:rPr>
              <w:t xml:space="preserve">īšanas vai likvidēšanas lietderības izvērtēšanu, kā arī attiecīgā projekta izstrādāšanu un īstenošanu. </w:t>
            </w:r>
            <w:r w:rsidR="007B7FE7">
              <w:t xml:space="preserve">Taču pašlaik nav normatīvā akta, kas regulē </w:t>
            </w:r>
            <w:r w:rsidR="002B0576">
              <w:rPr>
                <w:rStyle w:val="spelle"/>
              </w:rPr>
              <w:t>savietotāja izveidošanu, attīstīšanu un likvidēšanu.</w:t>
            </w:r>
          </w:p>
          <w:p w:rsidR="007D4840" w:rsidRDefault="00EB50D2" w:rsidP="00DA1E3B">
            <w:pPr>
              <w:spacing w:before="120"/>
              <w:ind w:firstLine="170"/>
              <w:jc w:val="both"/>
              <w:rPr>
                <w:rStyle w:val="spelle"/>
              </w:rPr>
            </w:pPr>
            <w:r>
              <w:rPr>
                <w:rStyle w:val="spelle"/>
              </w:rPr>
              <w:t xml:space="preserve">Ņemot vērā iepriekšminēto, </w:t>
            </w:r>
            <w:r w:rsidRPr="00EB50D2">
              <w:rPr>
                <w:rStyle w:val="spelle"/>
              </w:rPr>
              <w:t>noteikumu projekt</w:t>
            </w:r>
            <w:r>
              <w:rPr>
                <w:rStyle w:val="spelle"/>
              </w:rPr>
              <w:t>ā</w:t>
            </w:r>
            <w:r w:rsidR="0080609C">
              <w:rPr>
                <w:rStyle w:val="spelle"/>
              </w:rPr>
              <w:t xml:space="preserve"> ietvertā tiesiskā regulējuma mērķi</w:t>
            </w:r>
            <w:r w:rsidR="007D4840">
              <w:rPr>
                <w:rStyle w:val="spelle"/>
              </w:rPr>
              <w:t xml:space="preserve"> ir:</w:t>
            </w:r>
          </w:p>
          <w:p w:rsidR="00833121" w:rsidRDefault="007D4840" w:rsidP="005C60A7">
            <w:pPr>
              <w:ind w:firstLine="170"/>
              <w:jc w:val="both"/>
            </w:pPr>
            <w:r>
              <w:rPr>
                <w:rStyle w:val="spelle"/>
              </w:rPr>
              <w:t xml:space="preserve">1) </w:t>
            </w:r>
            <w:r w:rsidR="00672703">
              <w:rPr>
                <w:rStyle w:val="spelle"/>
              </w:rPr>
              <w:t xml:space="preserve">radīt informācijas aprites nodrošināšanā iesaistītajām pusēm (sistēmu pārziņiem un savietotāja pārzinim) vienotu priekšstatu par organizatoriskajām </w:t>
            </w:r>
            <w:r w:rsidR="00F03FF2">
              <w:rPr>
                <w:rStyle w:val="spelle"/>
              </w:rPr>
              <w:t>prasībām</w:t>
            </w:r>
            <w:r w:rsidR="00672703">
              <w:rPr>
                <w:rStyle w:val="spelle"/>
              </w:rPr>
              <w:t xml:space="preserve">, tehnoloģiskajām iespējām un atbildības sadalījumu, </w:t>
            </w:r>
            <w:r w:rsidR="00F03FF2">
              <w:rPr>
                <w:rStyle w:val="spelle"/>
              </w:rPr>
              <w:t>kā arī standartizēt un unificēt savstarpējās sadarbības regulējumu, kas ir saistīts ar informācijas aprites nodrošināšanu, izmantojot savietotāju</w:t>
            </w:r>
            <w:r w:rsidR="00833121">
              <w:t>;</w:t>
            </w:r>
          </w:p>
          <w:p w:rsidR="00833121" w:rsidRDefault="00833121" w:rsidP="005C60A7">
            <w:pPr>
              <w:ind w:firstLine="170"/>
              <w:jc w:val="both"/>
              <w:rPr>
                <w:rStyle w:val="spelle"/>
              </w:rPr>
            </w:pPr>
            <w:r>
              <w:rPr>
                <w:rStyle w:val="spelle"/>
              </w:rPr>
              <w:t xml:space="preserve">2) </w:t>
            </w:r>
            <w:r w:rsidR="009A0826">
              <w:rPr>
                <w:rStyle w:val="spelle"/>
              </w:rPr>
              <w:t xml:space="preserve">panākt efektīvāku </w:t>
            </w:r>
            <w:r>
              <w:rPr>
                <w:rStyle w:val="spelle"/>
              </w:rPr>
              <w:t>savietotāja izveidošan</w:t>
            </w:r>
            <w:r w:rsidR="009A0826">
              <w:rPr>
                <w:rStyle w:val="spelle"/>
              </w:rPr>
              <w:t>as</w:t>
            </w:r>
            <w:r>
              <w:rPr>
                <w:rStyle w:val="spelle"/>
              </w:rPr>
              <w:t>, attīstīšan</w:t>
            </w:r>
            <w:r w:rsidR="009A0826">
              <w:rPr>
                <w:rStyle w:val="spelle"/>
              </w:rPr>
              <w:t>as</w:t>
            </w:r>
            <w:r>
              <w:rPr>
                <w:rStyle w:val="spelle"/>
              </w:rPr>
              <w:t xml:space="preserve"> un likvidēšan</w:t>
            </w:r>
            <w:r w:rsidR="009A0826">
              <w:rPr>
                <w:rStyle w:val="spelle"/>
              </w:rPr>
              <w:t>as</w:t>
            </w:r>
            <w:r>
              <w:rPr>
                <w:rStyle w:val="spelle"/>
              </w:rPr>
              <w:t xml:space="preserve"> </w:t>
            </w:r>
            <w:r w:rsidR="009A0826">
              <w:rPr>
                <w:rStyle w:val="spelle"/>
              </w:rPr>
              <w:t>pasākumu īstenošanu</w:t>
            </w:r>
            <w:r w:rsidR="001D18A0">
              <w:rPr>
                <w:rStyle w:val="spelle"/>
              </w:rPr>
              <w:t xml:space="preserve">, </w:t>
            </w:r>
            <w:r w:rsidR="000C51E6">
              <w:rPr>
                <w:rStyle w:val="spelle"/>
              </w:rPr>
              <w:t xml:space="preserve">iesaistot </w:t>
            </w:r>
            <w:r w:rsidR="00AE0CAA">
              <w:rPr>
                <w:rStyle w:val="spelle"/>
              </w:rPr>
              <w:t xml:space="preserve">šo pasākumu izvērtēšanā </w:t>
            </w:r>
            <w:r w:rsidR="009A0826">
              <w:rPr>
                <w:rStyle w:val="spelle"/>
              </w:rPr>
              <w:t xml:space="preserve">VARAM </w:t>
            </w:r>
            <w:r w:rsidR="00C836FF">
              <w:rPr>
                <w:rStyle w:val="spelle"/>
              </w:rPr>
              <w:t>kā vadoš</w:t>
            </w:r>
            <w:r w:rsidR="00AE0CAA">
              <w:rPr>
                <w:rStyle w:val="spelle"/>
              </w:rPr>
              <w:t>o</w:t>
            </w:r>
            <w:r w:rsidR="00C836FF">
              <w:rPr>
                <w:rStyle w:val="spelle"/>
              </w:rPr>
              <w:t xml:space="preserve"> institūcij</w:t>
            </w:r>
            <w:r w:rsidR="00AE0CAA">
              <w:rPr>
                <w:rStyle w:val="spelle"/>
              </w:rPr>
              <w:t>u</w:t>
            </w:r>
            <w:r w:rsidR="009A0826">
              <w:rPr>
                <w:rStyle w:val="spelle"/>
              </w:rPr>
              <w:t xml:space="preserve"> valsts informācijas un komunikācijas tehnoloģiju jomā, </w:t>
            </w:r>
            <w:r w:rsidR="005B5868">
              <w:rPr>
                <w:rStyle w:val="spelle"/>
              </w:rPr>
              <w:t>un</w:t>
            </w:r>
            <w:r w:rsidR="00C836FF">
              <w:rPr>
                <w:rStyle w:val="spelle"/>
              </w:rPr>
              <w:t xml:space="preserve"> nodrošināt savietotāja pārziņa un sistēmu pārziņu savstarpējo sadarbību, kas ir saistīta ar </w:t>
            </w:r>
            <w:r w:rsidR="00C836FF" w:rsidRPr="009F3A27">
              <w:rPr>
                <w:rStyle w:val="spelle"/>
              </w:rPr>
              <w:t>savietotāja izveidošanas, attīst</w:t>
            </w:r>
            <w:r w:rsidR="00C836FF">
              <w:rPr>
                <w:rStyle w:val="spelle"/>
              </w:rPr>
              <w:t xml:space="preserve">īšanas vai likvidēšanas lietderības </w:t>
            </w:r>
            <w:r w:rsidR="00C836FF">
              <w:rPr>
                <w:rStyle w:val="spelle"/>
              </w:rPr>
              <w:lastRenderedPageBreak/>
              <w:t>izvērtēšanu, kā arī attiecīgā projekta izstrādāšanu un īstenošanu</w:t>
            </w:r>
            <w:r w:rsidR="009B3B68">
              <w:rPr>
                <w:rStyle w:val="spelle"/>
              </w:rPr>
              <w:t>.</w:t>
            </w:r>
          </w:p>
          <w:p w:rsidR="00DB1EBA" w:rsidRDefault="00386855" w:rsidP="00AE0CAA">
            <w:pPr>
              <w:ind w:firstLine="170"/>
              <w:jc w:val="both"/>
              <w:rPr>
                <w:rStyle w:val="spelle"/>
              </w:rPr>
            </w:pPr>
            <w:r>
              <w:rPr>
                <w:rStyle w:val="spelle"/>
              </w:rPr>
              <w:t>Noteikumu projektā ietvert</w:t>
            </w:r>
            <w:r w:rsidR="002A4390">
              <w:rPr>
                <w:rStyle w:val="spelle"/>
              </w:rPr>
              <w:t>ais</w:t>
            </w:r>
            <w:r>
              <w:rPr>
                <w:rStyle w:val="spelle"/>
              </w:rPr>
              <w:t xml:space="preserve"> tiesisk</w:t>
            </w:r>
            <w:r w:rsidR="002A4390">
              <w:rPr>
                <w:rStyle w:val="spelle"/>
              </w:rPr>
              <w:t>ais</w:t>
            </w:r>
            <w:r>
              <w:rPr>
                <w:rStyle w:val="spelle"/>
              </w:rPr>
              <w:t xml:space="preserve"> regul</w:t>
            </w:r>
            <w:r w:rsidR="002A4390">
              <w:rPr>
                <w:rStyle w:val="spelle"/>
              </w:rPr>
              <w:t xml:space="preserve">ējums satur </w:t>
            </w:r>
            <w:r>
              <w:rPr>
                <w:rStyle w:val="spelle"/>
              </w:rPr>
              <w:t>prasīb</w:t>
            </w:r>
            <w:r w:rsidR="002A4390">
              <w:rPr>
                <w:rStyle w:val="spelle"/>
              </w:rPr>
              <w:t>a</w:t>
            </w:r>
            <w:r>
              <w:rPr>
                <w:rStyle w:val="spelle"/>
              </w:rPr>
              <w:t>s</w:t>
            </w:r>
            <w:r w:rsidR="00DB1EBA">
              <w:rPr>
                <w:rStyle w:val="spelle"/>
              </w:rPr>
              <w:t xml:space="preserve"> un nosac</w:t>
            </w:r>
            <w:r w:rsidR="002A4390">
              <w:rPr>
                <w:rStyle w:val="spelle"/>
              </w:rPr>
              <w:t>ījumu</w:t>
            </w:r>
            <w:r w:rsidR="00DB1EBA">
              <w:rPr>
                <w:rStyle w:val="spelle"/>
              </w:rPr>
              <w:t xml:space="preserve">s, kurus </w:t>
            </w:r>
            <w:r w:rsidR="007B6CC8">
              <w:rPr>
                <w:rStyle w:val="spelle"/>
              </w:rPr>
              <w:t xml:space="preserve">ievērojot, </w:t>
            </w:r>
            <w:r w:rsidR="00D80CFA">
              <w:rPr>
                <w:rStyle w:val="spelle"/>
              </w:rPr>
              <w:t xml:space="preserve">savietotāja pārzinis un </w:t>
            </w:r>
            <w:r w:rsidR="00DB1EBA">
              <w:rPr>
                <w:rStyle w:val="spelle"/>
              </w:rPr>
              <w:t>sistēmu pārziņi</w:t>
            </w:r>
            <w:r w:rsidR="00D80CFA">
              <w:rPr>
                <w:rStyle w:val="spelle"/>
              </w:rPr>
              <w:t xml:space="preserve"> </w:t>
            </w:r>
            <w:r w:rsidR="005075AA">
              <w:rPr>
                <w:rStyle w:val="spelle"/>
              </w:rPr>
              <w:t xml:space="preserve">organizē un koordinē </w:t>
            </w:r>
            <w:r w:rsidR="00DB1EBA">
              <w:rPr>
                <w:rStyle w:val="spelle"/>
              </w:rPr>
              <w:t>savstarpējo sadarbību</w:t>
            </w:r>
            <w:r w:rsidR="00D80CFA">
              <w:rPr>
                <w:rStyle w:val="spelle"/>
              </w:rPr>
              <w:t>,</w:t>
            </w:r>
            <w:r w:rsidR="00A9536A">
              <w:rPr>
                <w:rStyle w:val="spelle"/>
              </w:rPr>
              <w:t xml:space="preserve"> nodrošinot </w:t>
            </w:r>
            <w:r w:rsidR="007B6CC8">
              <w:rPr>
                <w:rStyle w:val="spelle"/>
              </w:rPr>
              <w:t>inform</w:t>
            </w:r>
            <w:r w:rsidR="00A9536A">
              <w:rPr>
                <w:rStyle w:val="spelle"/>
              </w:rPr>
              <w:t xml:space="preserve">ācijas apriti ar </w:t>
            </w:r>
            <w:r w:rsidR="007B6CC8">
              <w:rPr>
                <w:rStyle w:val="spelle"/>
              </w:rPr>
              <w:t>savietot</w:t>
            </w:r>
            <w:r w:rsidR="00A9536A">
              <w:rPr>
                <w:rStyle w:val="spelle"/>
              </w:rPr>
              <w:t>āja palīdzību</w:t>
            </w:r>
            <w:r w:rsidR="00D80CFA">
              <w:rPr>
                <w:rStyle w:val="spelle"/>
              </w:rPr>
              <w:t xml:space="preserve">, kā arī </w:t>
            </w:r>
            <w:r w:rsidR="00EB583E">
              <w:rPr>
                <w:rStyle w:val="spelle"/>
              </w:rPr>
              <w:t>pārvald</w:t>
            </w:r>
            <w:r w:rsidR="00A9536A">
              <w:rPr>
                <w:rStyle w:val="spelle"/>
              </w:rPr>
              <w:t>a</w:t>
            </w:r>
            <w:r w:rsidR="00DB1EBA">
              <w:rPr>
                <w:rStyle w:val="spelle"/>
              </w:rPr>
              <w:t xml:space="preserve"> </w:t>
            </w:r>
            <w:r w:rsidR="00DB1EBA" w:rsidRPr="00DB1EBA">
              <w:rPr>
                <w:rStyle w:val="spelle"/>
              </w:rPr>
              <w:t>informācijas aprites nodrošināšanai nepieciešamo informā</w:t>
            </w:r>
            <w:r w:rsidR="00DB1EBA">
              <w:rPr>
                <w:rStyle w:val="spelle"/>
              </w:rPr>
              <w:t>cijas tehnoloģiju infrastruktūr</w:t>
            </w:r>
            <w:r w:rsidR="00EB583E">
              <w:rPr>
                <w:rStyle w:val="spelle"/>
              </w:rPr>
              <w:t>u un tās droš</w:t>
            </w:r>
            <w:r w:rsidR="00A9536A">
              <w:rPr>
                <w:rStyle w:val="spelle"/>
              </w:rPr>
              <w:t>ību.</w:t>
            </w:r>
          </w:p>
          <w:p w:rsidR="000336B5" w:rsidRDefault="00A9536A" w:rsidP="00A9536A">
            <w:pPr>
              <w:ind w:firstLine="170"/>
              <w:jc w:val="both"/>
              <w:rPr>
                <w:rStyle w:val="spelle"/>
              </w:rPr>
            </w:pPr>
            <w:r>
              <w:rPr>
                <w:rStyle w:val="spelle"/>
              </w:rPr>
              <w:t xml:space="preserve">Attiecīgās prasības un nosacījumi ir ietverti noteikumu projekta </w:t>
            </w:r>
            <w:r w:rsidR="00540953">
              <w:rPr>
                <w:rStyle w:val="spelle"/>
              </w:rPr>
              <w:t>2.</w:t>
            </w:r>
            <w:r>
              <w:rPr>
                <w:rStyle w:val="spelle"/>
              </w:rPr>
              <w:t xml:space="preserve">nodaļā. Savukārt noteikumu projekta </w:t>
            </w:r>
            <w:r w:rsidR="00540953">
              <w:rPr>
                <w:rStyle w:val="spelle"/>
              </w:rPr>
              <w:t>3.</w:t>
            </w:r>
            <w:r>
              <w:rPr>
                <w:rStyle w:val="spelle"/>
              </w:rPr>
              <w:t>nodaļā ir ietvert</w:t>
            </w:r>
            <w:r w:rsidR="000336B5">
              <w:rPr>
                <w:rStyle w:val="spelle"/>
              </w:rPr>
              <w:t>a</w:t>
            </w:r>
            <w:r>
              <w:rPr>
                <w:rStyle w:val="spelle"/>
              </w:rPr>
              <w:t xml:space="preserve">s </w:t>
            </w:r>
            <w:r w:rsidR="00D80CFA">
              <w:rPr>
                <w:rStyle w:val="spelle"/>
              </w:rPr>
              <w:t xml:space="preserve">prasības, kuras ievēro </w:t>
            </w:r>
            <w:r w:rsidR="000336B5">
              <w:rPr>
                <w:rStyle w:val="spelle"/>
              </w:rPr>
              <w:t>savietotāja pārzinis, īstenojot savietotāja izveidošanas, attīstīšanas vai likvidēšanas projektu (neatkarīgi no projekta finansēšanas avota)</w:t>
            </w:r>
            <w:r w:rsidR="00D80CFA">
              <w:rPr>
                <w:rStyle w:val="spelle"/>
              </w:rPr>
              <w:t xml:space="preserve">, un </w:t>
            </w:r>
            <w:r w:rsidR="000336B5">
              <w:rPr>
                <w:rStyle w:val="spelle"/>
              </w:rPr>
              <w:t>VARAM, izvērtējot savietotāja izveidošanas, attīstīšanas vai likvidēšanas projektu, kuru izstrādā un īsteno savietotāja pārzinis.</w:t>
            </w:r>
          </w:p>
          <w:p w:rsidR="00D85230" w:rsidRPr="00F92426" w:rsidRDefault="00066C04" w:rsidP="00E01AA8">
            <w:pPr>
              <w:ind w:firstLine="170"/>
              <w:jc w:val="both"/>
            </w:pPr>
            <w:r>
              <w:t xml:space="preserve">VARAM norāda, </w:t>
            </w:r>
            <w:r w:rsidR="009148BC">
              <w:t xml:space="preserve">ka pašlaik informācijas aprites nodrošināšanai ir pieejams savietotājs, </w:t>
            </w:r>
            <w:r>
              <w:t xml:space="preserve">kuru uztur </w:t>
            </w:r>
            <w:r w:rsidRPr="00066C04">
              <w:t>Valsts reģionālās attīstības aģentūra</w:t>
            </w:r>
            <w:r>
              <w:t xml:space="preserve"> (turpmāk – VRAA)</w:t>
            </w:r>
            <w:r w:rsidR="0046189C">
              <w:t>.</w:t>
            </w:r>
            <w:r w:rsidR="009148BC">
              <w:t xml:space="preserve"> Tāpēc noteikumu projekta </w:t>
            </w:r>
            <w:r w:rsidR="00405752">
              <w:t>2.</w:t>
            </w:r>
            <w:r w:rsidR="00E01AA8">
              <w:t>no</w:t>
            </w:r>
            <w:r w:rsidR="009148BC">
              <w:t>daļā ir ietverts arī tiesiskais regulējums, kas attiecas uz informācijas aprites nodrošināšanu, izmantojot VRAA pārziņā esošo savietotāju.</w:t>
            </w:r>
          </w:p>
        </w:tc>
      </w:tr>
      <w:tr w:rsidR="009343BC" w:rsidRPr="008D55BF" w:rsidTr="006F658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lastRenderedPageBreak/>
              <w:t>3.</w:t>
            </w:r>
          </w:p>
        </w:tc>
        <w:tc>
          <w:tcPr>
            <w:tcW w:w="1956"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rsidRPr="009343BC">
              <w:t>Projekta izstrādē iesaistītās institūcijas</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rsidR="009343BC" w:rsidRPr="00DB0BF5" w:rsidRDefault="003B2571" w:rsidP="00E16A97">
            <w:pPr>
              <w:ind w:firstLine="170"/>
              <w:jc w:val="both"/>
            </w:pPr>
            <w:r>
              <w:t>VARAM un VRAA.</w:t>
            </w:r>
          </w:p>
        </w:tc>
      </w:tr>
      <w:tr w:rsidR="009343BC" w:rsidRPr="008D55BF" w:rsidTr="006F6584">
        <w:trPr>
          <w:trHeight w:val="284"/>
        </w:trPr>
        <w:tc>
          <w:tcPr>
            <w:tcW w:w="454" w:type="dxa"/>
            <w:tcBorders>
              <w:top w:val="outset" w:sz="6" w:space="0" w:color="000000"/>
              <w:bottom w:val="outset" w:sz="6" w:space="0" w:color="000000"/>
              <w:right w:val="outset" w:sz="6" w:space="0" w:color="000000"/>
            </w:tcBorders>
            <w:tcMar>
              <w:top w:w="0" w:type="dxa"/>
              <w:left w:w="113" w:type="dxa"/>
              <w:bottom w:w="0" w:type="dxa"/>
              <w:right w:w="113" w:type="dxa"/>
            </w:tcMar>
          </w:tcPr>
          <w:p w:rsidR="009343BC" w:rsidRDefault="009343BC" w:rsidP="00D9025C">
            <w:r>
              <w:t>4.</w:t>
            </w:r>
          </w:p>
        </w:tc>
        <w:tc>
          <w:tcPr>
            <w:tcW w:w="1956" w:type="dxa"/>
            <w:tcBorders>
              <w:top w:val="outset" w:sz="6" w:space="0" w:color="000000"/>
              <w:left w:val="outset" w:sz="6" w:space="0" w:color="000000"/>
              <w:bottom w:val="outset" w:sz="6" w:space="0" w:color="000000"/>
              <w:right w:val="outset" w:sz="6" w:space="0" w:color="000000"/>
            </w:tcBorders>
            <w:tcMar>
              <w:top w:w="0" w:type="dxa"/>
              <w:left w:w="113" w:type="dxa"/>
              <w:bottom w:w="0" w:type="dxa"/>
              <w:right w:w="113" w:type="dxa"/>
            </w:tcMar>
          </w:tcPr>
          <w:p w:rsidR="009343BC" w:rsidRPr="009343BC" w:rsidRDefault="009343BC" w:rsidP="00D9025C">
            <w:r w:rsidRPr="009343BC">
              <w:t>Cita informācija</w:t>
            </w:r>
          </w:p>
        </w:tc>
        <w:tc>
          <w:tcPr>
            <w:tcW w:w="6662" w:type="dxa"/>
            <w:tcBorders>
              <w:top w:val="outset" w:sz="6" w:space="0" w:color="000000"/>
              <w:left w:val="outset" w:sz="6" w:space="0" w:color="000000"/>
              <w:bottom w:val="outset" w:sz="6" w:space="0" w:color="000000"/>
            </w:tcBorders>
            <w:tcMar>
              <w:top w:w="0" w:type="dxa"/>
              <w:left w:w="113" w:type="dxa"/>
              <w:bottom w:w="0" w:type="dxa"/>
              <w:right w:w="113" w:type="dxa"/>
            </w:tcMar>
          </w:tcPr>
          <w:p w:rsidR="003822A6" w:rsidRDefault="00D50BF4" w:rsidP="00D50BF4">
            <w:pPr>
              <w:ind w:firstLine="170"/>
              <w:jc w:val="both"/>
            </w:pPr>
            <w:r>
              <w:t xml:space="preserve">Noteikumu projekta 18. un 19.punktā ietvertās normas nosaka, ka </w:t>
            </w:r>
            <w:r w:rsidRPr="00405752">
              <w:t xml:space="preserve">sistēmas pārzinis, sadarbojoties ar savietotāja pārzini, veido un uztur </w:t>
            </w:r>
            <w:r w:rsidR="00696F7F">
              <w:t xml:space="preserve">informācijas aprites nodrošināšanai nepieciešamo </w:t>
            </w:r>
            <w:r w:rsidRPr="00405752">
              <w:t>saskarni</w:t>
            </w:r>
            <w:r w:rsidR="000C4073">
              <w:t xml:space="preserve"> starp savietojamo sistēmu un savietotāju (turpmāk – saskarne)</w:t>
            </w:r>
            <w:r w:rsidRPr="00405752">
              <w:t>.</w:t>
            </w:r>
          </w:p>
          <w:p w:rsidR="00FD3A0C" w:rsidRDefault="00FD3A0C" w:rsidP="00D50BF4">
            <w:pPr>
              <w:ind w:firstLine="170"/>
              <w:jc w:val="both"/>
              <w:rPr>
                <w:rFonts w:eastAsiaTheme="minorHAnsi"/>
              </w:rPr>
            </w:pPr>
            <w:r>
              <w:t>VARAM norāda, ka s</w:t>
            </w:r>
            <w:r w:rsidR="00D50BF4">
              <w:rPr>
                <w:rFonts w:eastAsiaTheme="minorHAnsi"/>
              </w:rPr>
              <w:t xml:space="preserve">istēmas pārziņa pienākums veidot un uzturēt saskarni </w:t>
            </w:r>
            <w:r>
              <w:t xml:space="preserve">noteikumu projektā ietvertā tiesiskā regulējuma izpratnē </w:t>
            </w:r>
            <w:r w:rsidR="00D50BF4">
              <w:rPr>
                <w:rFonts w:eastAsiaTheme="minorHAnsi"/>
              </w:rPr>
              <w:t xml:space="preserve">ir saistīts ar saskarnes </w:t>
            </w:r>
            <w:r w:rsidR="006515BB">
              <w:rPr>
                <w:rFonts w:eastAsiaTheme="minorHAnsi"/>
              </w:rPr>
              <w:t xml:space="preserve">funkcionalitātes </w:t>
            </w:r>
            <w:r w:rsidR="00D50BF4">
              <w:rPr>
                <w:rFonts w:eastAsiaTheme="minorHAnsi"/>
              </w:rPr>
              <w:t>nodrošināšanu atbilstoši normatīvaj</w:t>
            </w:r>
            <w:r w:rsidR="006515BB">
              <w:rPr>
                <w:rFonts w:eastAsiaTheme="minorHAnsi"/>
              </w:rPr>
              <w:t>iem aktiem</w:t>
            </w:r>
            <w:r w:rsidR="00D50BF4">
              <w:rPr>
                <w:rFonts w:eastAsiaTheme="minorHAnsi"/>
              </w:rPr>
              <w:t>,</w:t>
            </w:r>
            <w:r w:rsidR="006515BB">
              <w:t xml:space="preserve"> kuri regulē savietojamās sistēmas darbību</w:t>
            </w:r>
            <w:r>
              <w:t xml:space="preserve"> vai savietojamā sistēmā iekļaujamās informācijas apriti</w:t>
            </w:r>
            <w:r w:rsidR="006515BB">
              <w:t>,</w:t>
            </w:r>
            <w:r w:rsidR="00D50BF4">
              <w:rPr>
                <w:rFonts w:eastAsiaTheme="minorHAnsi"/>
              </w:rPr>
              <w:t xml:space="preserve"> kā arī sistēmas pārziņa noteikta</w:t>
            </w:r>
            <w:r>
              <w:rPr>
                <w:rFonts w:eastAsiaTheme="minorHAnsi"/>
              </w:rPr>
              <w:t>jai tehniskajai specifikācijai.</w:t>
            </w:r>
            <w:r w:rsidR="00490FE6">
              <w:rPr>
                <w:rFonts w:eastAsiaTheme="minorHAnsi"/>
              </w:rPr>
              <w:t xml:space="preserve"> </w:t>
            </w:r>
            <w:r w:rsidR="00C34F67">
              <w:t>Saskarnes</w:t>
            </w:r>
            <w:r w:rsidR="003C4EAF">
              <w:t xml:space="preserve"> (arī </w:t>
            </w:r>
            <w:r w:rsidR="003C4EAF">
              <w:rPr>
                <w:rFonts w:eastAsiaTheme="minorHAnsi"/>
              </w:rPr>
              <w:t>tās jauninājumu)</w:t>
            </w:r>
            <w:r w:rsidR="000C4073">
              <w:t xml:space="preserve"> izstrādāšanu</w:t>
            </w:r>
            <w:r w:rsidR="00C34F67">
              <w:t>, pielāgošanu</w:t>
            </w:r>
            <w:r w:rsidR="003C4EAF">
              <w:t xml:space="preserve"> vai </w:t>
            </w:r>
            <w:r w:rsidR="00C34F67">
              <w:rPr>
                <w:rFonts w:eastAsiaTheme="minorHAnsi"/>
              </w:rPr>
              <w:t>funkcionalitātes kļūdu labošanu nodrošina</w:t>
            </w:r>
            <w:r>
              <w:t xml:space="preserve"> sistēmas pārzinis</w:t>
            </w:r>
            <w:r w:rsidR="00490FE6">
              <w:t>, izmantojot savus līdzekļus. Vienlaikus VARAM norāda, ka</w:t>
            </w:r>
            <w:r w:rsidR="001067B2">
              <w:t xml:space="preserve">, ievērojot noteikumu projekta 24.punktā ietverto normu, </w:t>
            </w:r>
            <w:r w:rsidR="003C4EAF">
              <w:t>sistēmas pārzinis</w:t>
            </w:r>
            <w:r w:rsidR="003E46F5">
              <w:t xml:space="preserve"> </w:t>
            </w:r>
            <w:r w:rsidR="003C4EAF">
              <w:t xml:space="preserve">var </w:t>
            </w:r>
            <w:r w:rsidR="003E46F5" w:rsidRPr="00AC4D5B">
              <w:t>normatīvajos aktos noteiktajā kārtībā</w:t>
            </w:r>
            <w:r w:rsidR="003E46F5">
              <w:t xml:space="preserve"> noslēgt sadarbības līgumu ar </w:t>
            </w:r>
            <w:r w:rsidR="00490FE6">
              <w:t>savietotāja pārzini par saskarnes</w:t>
            </w:r>
            <w:r w:rsidR="003C4EAF">
              <w:t xml:space="preserve"> izstrādāšanu</w:t>
            </w:r>
            <w:r w:rsidR="003E46F5">
              <w:t xml:space="preserve"> investīciju projektā, kuru īsteno savietotāja pārzinis</w:t>
            </w:r>
            <w:r w:rsidR="003C1131">
              <w:t>, kā arī izstrādātās saskarnes uzturēšanu.</w:t>
            </w:r>
          </w:p>
          <w:p w:rsidR="008A02FD" w:rsidRDefault="008A02FD" w:rsidP="00D50BF4">
            <w:pPr>
              <w:ind w:firstLine="170"/>
              <w:jc w:val="both"/>
              <w:rPr>
                <w:rFonts w:eastAsiaTheme="minorHAnsi"/>
              </w:rPr>
            </w:pPr>
            <w:r>
              <w:rPr>
                <w:rFonts w:eastAsiaTheme="minorHAnsi"/>
              </w:rPr>
              <w:t>Veidojot un uzturot saskarni, sistēmas pārzinis atbild par:</w:t>
            </w:r>
          </w:p>
          <w:p w:rsidR="008A02FD" w:rsidRDefault="008A02FD" w:rsidP="00D50BF4">
            <w:pPr>
              <w:ind w:firstLine="170"/>
              <w:jc w:val="both"/>
              <w:rPr>
                <w:rFonts w:eastAsiaTheme="minorHAnsi"/>
              </w:rPr>
            </w:pPr>
            <w:r>
              <w:rPr>
                <w:rFonts w:eastAsiaTheme="minorHAnsi"/>
              </w:rPr>
              <w:t>1) s</w:t>
            </w:r>
            <w:r w:rsidR="00F5662B">
              <w:rPr>
                <w:rFonts w:eastAsiaTheme="minorHAnsi"/>
              </w:rPr>
              <w:t xml:space="preserve">askarnes izstrādi </w:t>
            </w:r>
            <w:r w:rsidRPr="008A02FD">
              <w:rPr>
                <w:rFonts w:eastAsiaTheme="minorHAnsi"/>
              </w:rPr>
              <w:t>atbilstoši savietotāja pārziņa noteiktajām vadlīnijām</w:t>
            </w:r>
            <w:r>
              <w:rPr>
                <w:rFonts w:eastAsiaTheme="minorHAnsi"/>
              </w:rPr>
              <w:t>;</w:t>
            </w:r>
          </w:p>
          <w:p w:rsidR="008A02FD" w:rsidRDefault="008A02FD" w:rsidP="00D50BF4">
            <w:pPr>
              <w:ind w:firstLine="170"/>
              <w:jc w:val="both"/>
            </w:pPr>
            <w:r>
              <w:rPr>
                <w:rFonts w:eastAsiaTheme="minorHAnsi"/>
              </w:rPr>
              <w:t xml:space="preserve">2) </w:t>
            </w:r>
            <w:r>
              <w:t xml:space="preserve">saskarnes programmatūras (arī kļūdu labojumu) un </w:t>
            </w:r>
            <w:r w:rsidR="00F5662B">
              <w:t xml:space="preserve">tās </w:t>
            </w:r>
            <w:r>
              <w:t>uzstādīšanas instrukcijas piegādi savietotāja pārzinim atbilstoši savietotāja pārziņa noteiktajai kārtībai;</w:t>
            </w:r>
          </w:p>
          <w:p w:rsidR="008A02FD" w:rsidRDefault="008A02FD" w:rsidP="008A02FD">
            <w:pPr>
              <w:ind w:firstLine="170"/>
              <w:jc w:val="both"/>
            </w:pPr>
            <w:r>
              <w:t>3) tehniskā savienojuma nodrošināšanu starp savietojamo sistēmu un savietotāju no savietojamās sistēmas puses atbilstoši savietotāja pārziņa noteiktajai kārtībai;</w:t>
            </w:r>
          </w:p>
          <w:p w:rsidR="005D3E52" w:rsidRDefault="008A02FD" w:rsidP="00F4288B">
            <w:pPr>
              <w:ind w:firstLine="170"/>
              <w:jc w:val="both"/>
            </w:pPr>
            <w:r>
              <w:t>4) saskarnes testēšanu un akcepttestēšanu</w:t>
            </w:r>
            <w:r w:rsidR="00F4288B">
              <w:t xml:space="preserve"> savietotāja testa vidē, kā arī l</w:t>
            </w:r>
            <w:r>
              <w:t xml:space="preserve">ēmuma pieņemšanu par saskarnes </w:t>
            </w:r>
            <w:r w:rsidR="00A12032">
              <w:t>publicēšanu</w:t>
            </w:r>
            <w:r w:rsidR="00F4288B">
              <w:t xml:space="preserve"> savietotāja </w:t>
            </w:r>
            <w:r w:rsidR="00F4288B">
              <w:lastRenderedPageBreak/>
              <w:t>produkcijas vidē</w:t>
            </w:r>
            <w:r w:rsidR="005D3E52">
              <w:t>.</w:t>
            </w:r>
          </w:p>
          <w:p w:rsidR="00FD3A0C" w:rsidRDefault="005D3E52" w:rsidP="00D50BF4">
            <w:pPr>
              <w:ind w:firstLine="170"/>
              <w:jc w:val="both"/>
            </w:pPr>
            <w:r>
              <w:t>Savukārt savietotāja pārzinis atbild par:</w:t>
            </w:r>
          </w:p>
          <w:p w:rsidR="005D3E52" w:rsidRPr="005D3E52" w:rsidRDefault="005D3E52" w:rsidP="005D3E52">
            <w:pPr>
              <w:ind w:firstLine="170"/>
              <w:jc w:val="both"/>
              <w:rPr>
                <w:rFonts w:eastAsiaTheme="minorHAnsi"/>
              </w:rPr>
            </w:pPr>
            <w:r>
              <w:rPr>
                <w:rFonts w:eastAsiaTheme="minorHAnsi"/>
              </w:rPr>
              <w:t>1) a</w:t>
            </w:r>
            <w:r w:rsidRPr="005D3E52">
              <w:rPr>
                <w:rFonts w:eastAsiaTheme="minorHAnsi"/>
              </w:rPr>
              <w:t xml:space="preserve">tbalsta sniegšanu sistēmas pārzinim </w:t>
            </w:r>
            <w:r>
              <w:rPr>
                <w:rFonts w:eastAsiaTheme="minorHAnsi"/>
              </w:rPr>
              <w:t xml:space="preserve">savietotāja pārziņa noteikto </w:t>
            </w:r>
            <w:r w:rsidRPr="005D3E52">
              <w:rPr>
                <w:rFonts w:eastAsiaTheme="minorHAnsi"/>
              </w:rPr>
              <w:t xml:space="preserve">vadlīniju pielietošanā, </w:t>
            </w:r>
            <w:r>
              <w:rPr>
                <w:rFonts w:eastAsiaTheme="minorHAnsi"/>
              </w:rPr>
              <w:t xml:space="preserve">kas ir saistīta ar </w:t>
            </w:r>
            <w:r w:rsidR="00F5662B">
              <w:rPr>
                <w:rFonts w:eastAsiaTheme="minorHAnsi"/>
              </w:rPr>
              <w:t>saskarnes izstrādi</w:t>
            </w:r>
            <w:r w:rsidRPr="005D3E52">
              <w:rPr>
                <w:rFonts w:eastAsiaTheme="minorHAnsi"/>
              </w:rPr>
              <w:t>;</w:t>
            </w:r>
          </w:p>
          <w:p w:rsidR="005D3E52" w:rsidRPr="005D3E52" w:rsidRDefault="005D3E52" w:rsidP="005D3E52">
            <w:pPr>
              <w:ind w:firstLine="170"/>
              <w:jc w:val="both"/>
              <w:rPr>
                <w:rFonts w:eastAsiaTheme="minorHAnsi"/>
              </w:rPr>
            </w:pPr>
            <w:r>
              <w:rPr>
                <w:rFonts w:eastAsiaTheme="minorHAnsi"/>
              </w:rPr>
              <w:t xml:space="preserve">2) </w:t>
            </w:r>
            <w:r w:rsidR="002B2491">
              <w:rPr>
                <w:rFonts w:eastAsiaTheme="minorHAnsi"/>
              </w:rPr>
              <w:t xml:space="preserve">sistēmas pārziņa </w:t>
            </w:r>
            <w:r>
              <w:rPr>
                <w:rFonts w:eastAsiaTheme="minorHAnsi"/>
              </w:rPr>
              <w:t>p</w:t>
            </w:r>
            <w:r w:rsidRPr="005D3E52">
              <w:rPr>
                <w:rFonts w:eastAsiaTheme="minorHAnsi"/>
              </w:rPr>
              <w:t xml:space="preserve">iegādātās saskarnes programmatūras (arī kļūdu labojumu) </w:t>
            </w:r>
            <w:r w:rsidR="002B2491">
              <w:rPr>
                <w:rFonts w:eastAsiaTheme="minorHAnsi"/>
              </w:rPr>
              <w:t>uzstādīšanu</w:t>
            </w:r>
            <w:r>
              <w:rPr>
                <w:rFonts w:eastAsiaTheme="minorHAnsi"/>
              </w:rPr>
              <w:t xml:space="preserve"> </w:t>
            </w:r>
            <w:r w:rsidRPr="005D3E52">
              <w:rPr>
                <w:rFonts w:eastAsiaTheme="minorHAnsi"/>
              </w:rPr>
              <w:t xml:space="preserve">savietotāja </w:t>
            </w:r>
            <w:r>
              <w:rPr>
                <w:rFonts w:eastAsiaTheme="minorHAnsi"/>
              </w:rPr>
              <w:t xml:space="preserve">pārziņa pārvaldībā esošajā </w:t>
            </w:r>
            <w:r w:rsidRPr="005D3E52">
              <w:rPr>
                <w:rFonts w:eastAsiaTheme="minorHAnsi"/>
              </w:rPr>
              <w:t>infrastruktūrā;</w:t>
            </w:r>
          </w:p>
          <w:p w:rsidR="005D3E52" w:rsidRPr="005D3E52" w:rsidRDefault="005D3E52" w:rsidP="005D3E52">
            <w:pPr>
              <w:ind w:firstLine="170"/>
              <w:jc w:val="both"/>
              <w:rPr>
                <w:rFonts w:eastAsiaTheme="minorHAnsi"/>
              </w:rPr>
            </w:pPr>
            <w:r>
              <w:rPr>
                <w:rFonts w:eastAsiaTheme="minorHAnsi"/>
              </w:rPr>
              <w:t>3) t</w:t>
            </w:r>
            <w:r w:rsidRPr="005D3E52">
              <w:rPr>
                <w:rFonts w:eastAsiaTheme="minorHAnsi"/>
              </w:rPr>
              <w:t>ehniskā s</w:t>
            </w:r>
            <w:r>
              <w:rPr>
                <w:rFonts w:eastAsiaTheme="minorHAnsi"/>
              </w:rPr>
              <w:t xml:space="preserve">avienojuma </w:t>
            </w:r>
            <w:r w:rsidRPr="005D3E52">
              <w:rPr>
                <w:rFonts w:eastAsiaTheme="minorHAnsi"/>
              </w:rPr>
              <w:t>nodrošināšanu starp savietotāju un savietojamo sistēmu no savietotāja</w:t>
            </w:r>
            <w:r>
              <w:rPr>
                <w:rFonts w:eastAsiaTheme="minorHAnsi"/>
              </w:rPr>
              <w:t xml:space="preserve"> puses</w:t>
            </w:r>
            <w:r w:rsidRPr="005D3E52">
              <w:rPr>
                <w:rFonts w:eastAsiaTheme="minorHAnsi"/>
              </w:rPr>
              <w:t>;</w:t>
            </w:r>
          </w:p>
          <w:p w:rsidR="005D3E52" w:rsidRDefault="005D3E52" w:rsidP="005D3E52">
            <w:pPr>
              <w:ind w:firstLine="170"/>
              <w:jc w:val="both"/>
              <w:rPr>
                <w:rFonts w:eastAsiaTheme="minorHAnsi"/>
              </w:rPr>
            </w:pPr>
            <w:r>
              <w:rPr>
                <w:rFonts w:eastAsiaTheme="minorHAnsi"/>
              </w:rPr>
              <w:t xml:space="preserve">4) </w:t>
            </w:r>
            <w:r w:rsidR="00A12032">
              <w:rPr>
                <w:rFonts w:eastAsiaTheme="minorHAnsi"/>
              </w:rPr>
              <w:t>s</w:t>
            </w:r>
            <w:r w:rsidRPr="005D3E52">
              <w:rPr>
                <w:rFonts w:eastAsiaTheme="minorHAnsi"/>
              </w:rPr>
              <w:t xml:space="preserve">askarnes publicēšanu </w:t>
            </w:r>
            <w:r w:rsidR="00A12032">
              <w:rPr>
                <w:rFonts w:eastAsiaTheme="minorHAnsi"/>
              </w:rPr>
              <w:t xml:space="preserve">savietotāja </w:t>
            </w:r>
            <w:r w:rsidRPr="005D3E52">
              <w:rPr>
                <w:rFonts w:eastAsiaTheme="minorHAnsi"/>
              </w:rPr>
              <w:t xml:space="preserve">produkcijas vidē atbilstoši sistēmas pārziņa </w:t>
            </w:r>
            <w:r w:rsidR="00A12032">
              <w:rPr>
                <w:rFonts w:eastAsiaTheme="minorHAnsi"/>
              </w:rPr>
              <w:t xml:space="preserve">pieņemtajam </w:t>
            </w:r>
            <w:r w:rsidRPr="005D3E52">
              <w:rPr>
                <w:rFonts w:eastAsiaTheme="minorHAnsi"/>
              </w:rPr>
              <w:t>lēmumam.</w:t>
            </w:r>
          </w:p>
          <w:p w:rsidR="001B5DC5" w:rsidRDefault="00D50BF4" w:rsidP="00D50BF4">
            <w:pPr>
              <w:ind w:firstLine="170"/>
              <w:jc w:val="both"/>
            </w:pPr>
            <w:r>
              <w:rPr>
                <w:rFonts w:eastAsiaTheme="minorHAnsi"/>
              </w:rPr>
              <w:t>Noteikumu projekta 34.punktā ietvertā norma nosaka, ka</w:t>
            </w:r>
            <w:r w:rsidR="00696F7F">
              <w:t xml:space="preserve"> </w:t>
            </w:r>
            <w:r>
              <w:rPr>
                <w:rFonts w:eastAsiaTheme="minorHAnsi"/>
              </w:rPr>
              <w:t xml:space="preserve">sistēmas </w:t>
            </w:r>
            <w:r w:rsidRPr="007B342D">
              <w:t xml:space="preserve">pārzinis izstrādā </w:t>
            </w:r>
            <w:r w:rsidR="00696F7F">
              <w:t xml:space="preserve">un uztur VRAA </w:t>
            </w:r>
            <w:r w:rsidR="00696F7F" w:rsidRPr="007B342D">
              <w:t>infrastruktūrā izmitināto</w:t>
            </w:r>
            <w:r w:rsidR="00696F7F">
              <w:t xml:space="preserve"> pakalpi vai lietojumu, kas ir nepieciešams informācijas aprites nodrošināšanai, </w:t>
            </w:r>
            <w:r w:rsidR="00696F7F" w:rsidRPr="007B342D">
              <w:t>ievērojot</w:t>
            </w:r>
            <w:r w:rsidR="00696F7F">
              <w:t xml:space="preserve"> iepriekšminētās normas par saskarnes veidošanu un uzturēšanu.</w:t>
            </w:r>
          </w:p>
          <w:p w:rsidR="003822A6" w:rsidRDefault="001067B2" w:rsidP="001357D2">
            <w:pPr>
              <w:ind w:firstLine="170"/>
              <w:jc w:val="both"/>
            </w:pPr>
            <w:r>
              <w:t xml:space="preserve">Izstrādājot un uzturot VRAA </w:t>
            </w:r>
            <w:r w:rsidRPr="007B342D">
              <w:t>infrastruktūrā izmitināto pakalpi</w:t>
            </w:r>
            <w:r>
              <w:t xml:space="preserve"> vai lietojumu, sistēmas pārzinis atbild par</w:t>
            </w:r>
            <w:r w:rsidR="000E4262">
              <w:t xml:space="preserve"> šīs pakalpes vai lietojuma (arī kļūdu labojumu </w:t>
            </w:r>
            <w:r w:rsidR="003C1131">
              <w:t>un izmaiņu pieprasījumu) un to u</w:t>
            </w:r>
            <w:r w:rsidR="000E4262">
              <w:t xml:space="preserve">zstādīšanas instrukcijas izstrādi un piegādi VRAA, </w:t>
            </w:r>
            <w:r w:rsidR="001357D2">
              <w:t xml:space="preserve">kura uzstāda attiecīgās piegādes savā infrastruktūrā. Sistēmas pārzinis izstrādā un piegādā pakalpi vai lietojumu, kuru ir paredzēts izmitināt VRAA infrastruktūrā, kā arī testē attiecīgās piegādes </w:t>
            </w:r>
            <w:r w:rsidR="000E4262">
              <w:t>savietotāja testa vidē</w:t>
            </w:r>
            <w:r w:rsidR="00C52F76">
              <w:t xml:space="preserve"> atbilstoši VRAA noteiktajai kārtībai</w:t>
            </w:r>
            <w:r w:rsidR="003822A6">
              <w:t>.</w:t>
            </w:r>
          </w:p>
          <w:p w:rsidR="009343BC" w:rsidRDefault="000E4262" w:rsidP="001357D2">
            <w:pPr>
              <w:ind w:firstLine="170"/>
              <w:jc w:val="both"/>
            </w:pPr>
            <w:r>
              <w:t xml:space="preserve">VARAM norāda, ka pakalpes vai lietojuma, kuru ir paredzēts izmitināt VRAA infrastruktūrā, izstrādes vidi nodrošina sistēmas pārzinis vai attiecīgās pakalpes vai lietojuma izstrādātājs vai uzturētājs. Savukārt VRAA </w:t>
            </w:r>
            <w:r w:rsidR="00C52F76">
              <w:t xml:space="preserve">nodrošina sistēmas pārzinim pakalpes vai lietojuma izstrādei nepieciešamās integrācijas dokumentācijas un programmatūras piemēru pieejamību, kā arī savietotāja testa vidi sistēmas pārziņa piegādātās pakalpes vai lietojuma testēšanai pirms </w:t>
            </w:r>
            <w:r w:rsidR="0039311B">
              <w:t>attiecīgo</w:t>
            </w:r>
            <w:r w:rsidR="00C52F76">
              <w:t xml:space="preserve"> piegāžu uzstādīšanas savietotāja produkcijas vidē.</w:t>
            </w:r>
            <w:r w:rsidR="00D50BF4">
              <w:rPr>
                <w:rFonts w:eastAsiaTheme="minorHAnsi"/>
              </w:rPr>
              <w:t xml:space="preserve"> Vienlaikus VARAM norāda, ka </w:t>
            </w:r>
            <w:r w:rsidR="005B3BE3">
              <w:rPr>
                <w:rFonts w:eastAsiaTheme="minorHAnsi"/>
              </w:rPr>
              <w:t xml:space="preserve">atbilstoši </w:t>
            </w:r>
            <w:r w:rsidR="00D50BF4">
              <w:t>notei</w:t>
            </w:r>
            <w:r w:rsidR="005B3BE3">
              <w:t>kumu projekta 35.punktā ietvertajai</w:t>
            </w:r>
            <w:r w:rsidR="00D50BF4">
              <w:t xml:space="preserve"> norma</w:t>
            </w:r>
            <w:r w:rsidR="005B3BE3">
              <w:t xml:space="preserve">i VRAA </w:t>
            </w:r>
            <w:r w:rsidR="005B3BE3" w:rsidRPr="004910AD">
              <w:t xml:space="preserve">izstrādā un uztur </w:t>
            </w:r>
            <w:r w:rsidR="005B3BE3">
              <w:t xml:space="preserve">savā </w:t>
            </w:r>
            <w:r w:rsidR="005B3BE3" w:rsidRPr="004910AD">
              <w:t xml:space="preserve">infrastruktūrā </w:t>
            </w:r>
            <w:r w:rsidR="005B3BE3">
              <w:t>informācijas aprites nodrošināšanai nepieciešamo pakalpi vai lietojumu</w:t>
            </w:r>
            <w:r w:rsidR="00D50BF4" w:rsidRPr="004910AD">
              <w:t xml:space="preserve">, ja tā organizē informācijas apriti starp savietojamām sistēmām vai atbild par pakalpojuma sniegšanu saskaņā ar normatīvajiem aktiem vai sistēmu pārziņu un </w:t>
            </w:r>
            <w:r w:rsidR="00D50BF4">
              <w:t>VRAA</w:t>
            </w:r>
            <w:r w:rsidR="00D50BF4" w:rsidRPr="004910AD">
              <w:t xml:space="preserve"> savstarpējo vienošanos</w:t>
            </w:r>
            <w:r w:rsidR="00D50BF4">
              <w:t>.</w:t>
            </w:r>
          </w:p>
          <w:p w:rsidR="00842FDF" w:rsidRDefault="004D3509" w:rsidP="006E370F">
            <w:pPr>
              <w:spacing w:before="120"/>
              <w:ind w:firstLine="170"/>
              <w:jc w:val="both"/>
            </w:pPr>
            <w:r>
              <w:rPr>
                <w:rFonts w:eastAsiaTheme="minorHAnsi"/>
              </w:rPr>
              <w:t xml:space="preserve">Noteikumu projekta 50.punktā </w:t>
            </w:r>
            <w:r w:rsidR="005014F5">
              <w:t>ietvertā norma nosaka, ka, i</w:t>
            </w:r>
            <w:r w:rsidR="005014F5" w:rsidRPr="005014F5">
              <w:t xml:space="preserve">zmantojot </w:t>
            </w:r>
            <w:r w:rsidR="005014F5">
              <w:t xml:space="preserve">VRAA </w:t>
            </w:r>
            <w:r w:rsidR="005014F5" w:rsidRPr="005014F5">
              <w:t xml:space="preserve">pārziņā esošo savietotāju, sistēmu pārziņi organizē informācijas apriti starp savietojamām sistēmām atbilstoši informācijas aprites nosacījumiem, kuri ir noteikti normatīvajos aktos vai norādīti </w:t>
            </w:r>
            <w:r w:rsidR="005014F5">
              <w:t xml:space="preserve">sistēmu pārziņu savstarpējās </w:t>
            </w:r>
            <w:r w:rsidR="005014F5" w:rsidRPr="005014F5">
              <w:t>vienošanās dokumentā</w:t>
            </w:r>
            <w:r w:rsidR="005014F5">
              <w:t xml:space="preserve">. VARAM uzskata par lietderīgu </w:t>
            </w:r>
            <w:r w:rsidR="00034E98">
              <w:t>radīt sistēmu pārziņiem</w:t>
            </w:r>
            <w:r w:rsidR="00EA1868">
              <w:t>, kas izmanto VRAA pārziņā esošo savietotāju,</w:t>
            </w:r>
            <w:r w:rsidR="00034E98">
              <w:t xml:space="preserve"> iespēju samazināt administratīvo slogu, kas ir saistīts ar </w:t>
            </w:r>
            <w:r w:rsidR="00EA1868">
              <w:t xml:space="preserve">nepieciešamību sistēmu pārziņiem savstarpēji vienoties par </w:t>
            </w:r>
            <w:r w:rsidR="00034E98">
              <w:t xml:space="preserve">informācijas aprites </w:t>
            </w:r>
            <w:r w:rsidR="00EA1868">
              <w:t xml:space="preserve">nosacījumiem. Ņemot to vērā, noteikumu projekta 51.punktā ir ietverta norma, kas nosaka, ka VRAA </w:t>
            </w:r>
            <w:r w:rsidR="00EA1868" w:rsidRPr="00EA1868">
              <w:t xml:space="preserve">nodrošina sistēmas pārzinim iespēju publicēt sistēmas pārziņa noteiktos informācijas aprites nosacījumus, kas attiecas uz tādā </w:t>
            </w:r>
            <w:r w:rsidR="00EA1868" w:rsidRPr="00EA1868">
              <w:lastRenderedPageBreak/>
              <w:t>savietojamā sistēmā pieejamo informāciju, kuras darbību organizē un vada sistēmas pārzinis, kā arī saņemt no cita</w:t>
            </w:r>
            <w:r w:rsidR="000F7EA1">
              <w:t>s</w:t>
            </w:r>
            <w:r w:rsidR="00EA1868" w:rsidRPr="00EA1868">
              <w:t xml:space="preserve"> sistēmas pārziņa, kas piesakās attiecīgās informācijas aprites nodrošināšanai ar savietotāja palīdzību, piekrišanu ievērot šos nosacījumus</w:t>
            </w:r>
            <w:r w:rsidR="00EA1868">
              <w:t>. Savukārt atbilstoši noteikumu projekta 52.punktam, j</w:t>
            </w:r>
            <w:r w:rsidR="00EA1868" w:rsidRPr="00EA1868">
              <w:t xml:space="preserve">a sistēmas pārzinis uzskata par nepieciešamu vienoties par tādas informācijas aprites nosacījumiem, kura ir nodrošināta, izmantojot savietotāju, ar citu sistēmu pārziņiem, tas var publicēt šos nosacījumus atbilstoši noteikumu </w:t>
            </w:r>
            <w:r w:rsidR="00EA1868">
              <w:t xml:space="preserve">projekta </w:t>
            </w:r>
            <w:r w:rsidR="00EA1868" w:rsidRPr="00EA1868">
              <w:t>51.punktam.</w:t>
            </w:r>
            <w:r w:rsidR="00EA1868">
              <w:t xml:space="preserve"> VARAM norāda, ka </w:t>
            </w:r>
            <w:r w:rsidR="008D5685">
              <w:t xml:space="preserve">iesniedzot VRAA atbilstoši noteikumu projekta 53.punktam pieteikumu </w:t>
            </w:r>
            <w:r w:rsidR="008D5685" w:rsidRPr="008D5685">
              <w:t xml:space="preserve">informācijas aprites nodrošināšanai ar </w:t>
            </w:r>
            <w:r w:rsidR="008D5685">
              <w:t>VRAA pārziņā esošā s</w:t>
            </w:r>
            <w:r w:rsidR="008D5685" w:rsidRPr="008D5685">
              <w:t>avietotāja palīdzību</w:t>
            </w:r>
            <w:r w:rsidR="000F6C33">
              <w:t xml:space="preserve"> (turpmāk – pieteikums)</w:t>
            </w:r>
            <w:r w:rsidR="008D5685">
              <w:t xml:space="preserve">, </w:t>
            </w:r>
            <w:r w:rsidR="008D5685" w:rsidRPr="008D5685">
              <w:t xml:space="preserve">sistēmas pārzinis piekrīt citas sistēmas pārziņa noteiktajiem informācijas aprites nosacījumiem, kas ir publicēti atbilstoši noteikumu </w:t>
            </w:r>
            <w:r w:rsidR="008D5685">
              <w:t xml:space="preserve">projekta </w:t>
            </w:r>
            <w:r w:rsidR="008D5685" w:rsidRPr="008D5685">
              <w:t>51.punktam, un apņemas tos ievērot, veicot attiecīgās informācijas apriti.</w:t>
            </w:r>
            <w:r w:rsidR="008D5685">
              <w:t xml:space="preserve"> Vienlaikus VARAM norāda, ka atbilstoši noteikumu projekta 54.punktam, j</w:t>
            </w:r>
            <w:r w:rsidR="008D5685" w:rsidRPr="008D5685">
              <w:t xml:space="preserve">a, izmantojot </w:t>
            </w:r>
            <w:r w:rsidR="008D5685">
              <w:t xml:space="preserve">VRAA </w:t>
            </w:r>
            <w:r w:rsidR="008D5685" w:rsidRPr="008D5685">
              <w:t xml:space="preserve">pārziņā esošo savietotāju, sistēmu pārziņi organizē savietojamās sistēmās pieejamās ģeotelpiskās informācijas apriti, tie var vienoties, ka, iesniedzot pieteikumu saskaņā ar noteikumu </w:t>
            </w:r>
            <w:r w:rsidR="000F6C33">
              <w:t xml:space="preserve">projekta </w:t>
            </w:r>
            <w:r w:rsidR="008D5685" w:rsidRPr="008D5685">
              <w:t>53.punktu, sistēmas pārzinis atbilstoši normatīvajiem aktiem ģeotelpiskās informācijas jomā apliecina, ka ievēros apritē esošo ģeotelpisko datu kopu izmantošanas noteikumus</w:t>
            </w:r>
            <w:r w:rsidR="000F6C33">
              <w:t>.</w:t>
            </w:r>
          </w:p>
          <w:p w:rsidR="000F6C33" w:rsidRPr="00E52331" w:rsidRDefault="000F6C33" w:rsidP="00AA1ECB">
            <w:pPr>
              <w:ind w:firstLine="170"/>
              <w:jc w:val="both"/>
              <w:rPr>
                <w:rFonts w:eastAsiaTheme="minorHAnsi"/>
              </w:rPr>
            </w:pPr>
            <w:r>
              <w:t xml:space="preserve">Noteikumu projekta 51., 52., 53. un 54.punktā ietvertā tiesiskā regulējuma piemērošana ļauj automatizēt sistēmu pārziņu savstarpējās vienošanās noslēgšanu par savietojamās sistēmās iekļaujamās informācijas aprites nosacījumiem, un, līdz ar to, samazināt ar attiecīgās vienošanās </w:t>
            </w:r>
            <w:r w:rsidR="00EC0721">
              <w:t xml:space="preserve">noslēgšanu saistīto administratīvo slogu. VARAM norāda, ka minētā tiesiskā regulējuma piemērošanai ir nepieciešams pārejas periods, kas ir saistīts ar sistēmu pārziņu savstarpējās vienošanās noslēgšanas automatizēšanas risinājuma izstrādi un ieviešanu. Ņemot to vērā, noteikumu projekta noslēgumā ir noteikts, ka </w:t>
            </w:r>
            <w:r w:rsidR="00EC0721" w:rsidRPr="00EC0721">
              <w:t xml:space="preserve">noteikumu </w:t>
            </w:r>
            <w:r w:rsidR="00EC0721">
              <w:t xml:space="preserve">projekta 51., 52., 53. un 54.punktā </w:t>
            </w:r>
            <w:r w:rsidR="00644871">
              <w:t>ietvertās normas</w:t>
            </w:r>
            <w:r w:rsidR="00EC0721" w:rsidRPr="00EC0721">
              <w:t xml:space="preserve"> stājas spēkā 2018.gada 2.jūlijā.</w:t>
            </w:r>
            <w:r w:rsidR="00644871">
              <w:t xml:space="preserve"> Vienlaikus VARAM norāda, ka </w:t>
            </w:r>
            <w:r w:rsidR="00AA1ECB">
              <w:t xml:space="preserve">gan </w:t>
            </w:r>
            <w:r w:rsidR="00644871">
              <w:t>pirms</w:t>
            </w:r>
            <w:r w:rsidR="00AA1ECB">
              <w:t xml:space="preserve">, gan </w:t>
            </w:r>
            <w:r w:rsidR="00644871">
              <w:t xml:space="preserve">pēc minētā pārejas perioda </w:t>
            </w:r>
            <w:r w:rsidR="00AA1ECB">
              <w:t xml:space="preserve">beigām </w:t>
            </w:r>
            <w:r w:rsidR="00644871">
              <w:t xml:space="preserve">sistēmu pārziņi </w:t>
            </w:r>
            <w:r w:rsidR="00644871" w:rsidRPr="00644871">
              <w:t>īsteno</w:t>
            </w:r>
            <w:r w:rsidR="00AA1ECB">
              <w:t>s</w:t>
            </w:r>
            <w:r w:rsidR="00644871" w:rsidRPr="00644871">
              <w:t xml:space="preserve"> informācijas aprites nodrošināšanai nepieciešamo savstarpējo sadarbību, ievērojot </w:t>
            </w:r>
            <w:r w:rsidR="00AA1ECB">
              <w:t>noteikumu projekta 50.punktā ietverto normu, savukārt pēc šī pārejas perioda beigām sistēmu pārziņiem tiks nodrošināta iespēja attiecīgās sadarbības īstenošanai izmantot savstarpējās vienošanās noslēgšanas automatizēšanas risinājumu.</w:t>
            </w:r>
          </w:p>
        </w:tc>
      </w:tr>
    </w:tbl>
    <w:p w:rsidR="00D85230" w:rsidRDefault="00D85230" w:rsidP="00D85230">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2221"/>
        <w:gridCol w:w="6396"/>
      </w:tblGrid>
      <w:tr w:rsidR="009343BC" w:rsidRPr="00EF1D76" w:rsidTr="008C30FF">
        <w:tc>
          <w:tcPr>
            <w:tcW w:w="9072" w:type="dxa"/>
            <w:gridSpan w:val="3"/>
          </w:tcPr>
          <w:p w:rsidR="009343BC" w:rsidRPr="00EF1D76" w:rsidRDefault="00EF56C7" w:rsidP="009343BC">
            <w:pPr>
              <w:keepNext/>
              <w:jc w:val="center"/>
              <w:rPr>
                <w:b/>
                <w:bCs/>
              </w:rPr>
            </w:pPr>
            <w:r w:rsidRPr="00EF56C7">
              <w:rPr>
                <w:b/>
                <w:bCs/>
              </w:rPr>
              <w:t>II. Tiesību akta projekta ietekme uz sabiedrību, tautsaimniecības attīstību un administratīvo slogu</w:t>
            </w:r>
          </w:p>
        </w:tc>
      </w:tr>
      <w:tr w:rsidR="009343BC" w:rsidRPr="00EF1D76" w:rsidTr="008C30FF">
        <w:tc>
          <w:tcPr>
            <w:tcW w:w="455" w:type="dxa"/>
          </w:tcPr>
          <w:p w:rsidR="009343BC" w:rsidRPr="00EF1D76" w:rsidRDefault="009343BC" w:rsidP="009343BC">
            <w:pPr>
              <w:outlineLvl w:val="0"/>
            </w:pPr>
            <w:r w:rsidRPr="00EF1D76">
              <w:t>1.</w:t>
            </w:r>
          </w:p>
        </w:tc>
        <w:tc>
          <w:tcPr>
            <w:tcW w:w="2221" w:type="dxa"/>
          </w:tcPr>
          <w:p w:rsidR="009343BC" w:rsidRPr="00EF1D76" w:rsidRDefault="00BA34AD" w:rsidP="009343BC">
            <w:pPr>
              <w:outlineLvl w:val="0"/>
            </w:pPr>
            <w:r w:rsidRPr="00BA34AD">
              <w:t>Sabiedrības mērķgrupas, kuras tiesiskais regulējums ietekmē vai varētu ietekmēt</w:t>
            </w:r>
          </w:p>
        </w:tc>
        <w:tc>
          <w:tcPr>
            <w:tcW w:w="6396" w:type="dxa"/>
            <w:shd w:val="clear" w:color="auto" w:fill="auto"/>
          </w:tcPr>
          <w:p w:rsidR="004A1C1D" w:rsidRDefault="004A1C1D" w:rsidP="001F61A2">
            <w:pPr>
              <w:pStyle w:val="naiskr"/>
              <w:spacing w:before="0" w:after="0"/>
              <w:ind w:firstLine="170"/>
              <w:jc w:val="both"/>
            </w:pPr>
            <w:r>
              <w:t xml:space="preserve">Noteikumu </w:t>
            </w:r>
            <w:r w:rsidR="00267EBA">
              <w:t>projektā ietvertais</w:t>
            </w:r>
            <w:r>
              <w:t xml:space="preserve"> tiesiskais regulējums tiešā veidā ir attiecināms uz šādām sabiedrības mērķgrupām:</w:t>
            </w:r>
          </w:p>
          <w:p w:rsidR="00DA60F9" w:rsidRDefault="00DA60F9" w:rsidP="001F61A2">
            <w:pPr>
              <w:pStyle w:val="naiskr"/>
              <w:spacing w:before="0" w:after="0"/>
              <w:ind w:firstLine="170"/>
              <w:jc w:val="both"/>
            </w:pPr>
            <w:r>
              <w:t>1</w:t>
            </w:r>
            <w:r w:rsidR="004A1C1D">
              <w:t>)</w:t>
            </w:r>
            <w:r w:rsidR="00151946">
              <w:t xml:space="preserve"> </w:t>
            </w:r>
            <w:r w:rsidR="00B82EB6">
              <w:t>valsts institūcijām</w:t>
            </w:r>
            <w:r>
              <w:t xml:space="preserve">, </w:t>
            </w:r>
            <w:r w:rsidR="00B82EB6">
              <w:t>kuras</w:t>
            </w:r>
            <w:r>
              <w:t xml:space="preserve"> organizē un vada </w:t>
            </w:r>
            <w:r w:rsidR="004A1C1D">
              <w:t xml:space="preserve">valsts informācijas sistēmu </w:t>
            </w:r>
            <w:r>
              <w:t>darbību</w:t>
            </w:r>
            <w:r w:rsidR="004A1C1D">
              <w:t xml:space="preserve"> </w:t>
            </w:r>
            <w:r w:rsidR="00151946">
              <w:t>(valsts informācijas sistēmu pārziņi</w:t>
            </w:r>
            <w:r w:rsidR="00092297">
              <w:t>em</w:t>
            </w:r>
            <w:r w:rsidR="00151946">
              <w:t xml:space="preserve">) </w:t>
            </w:r>
            <w:r w:rsidR="004A1C1D">
              <w:t xml:space="preserve">un </w:t>
            </w:r>
            <w:r w:rsidR="005E31BC">
              <w:t>saskaņā ar likuma 17.panta ceturto daļu</w:t>
            </w:r>
            <w:r w:rsidR="005E31BC" w:rsidRPr="004A1C1D">
              <w:t xml:space="preserve"> </w:t>
            </w:r>
            <w:r w:rsidR="00B82EB6" w:rsidRPr="004A1C1D">
              <w:t>ir pieņēm</w:t>
            </w:r>
            <w:r w:rsidR="00B82EB6">
              <w:t xml:space="preserve">ušas </w:t>
            </w:r>
            <w:r w:rsidR="00B82EB6" w:rsidRPr="004A1C1D">
              <w:t>lēmumu par informācijas aprites nodrošināšanu, izmantojot savietotāju</w:t>
            </w:r>
            <w:r w:rsidR="004A1C1D">
              <w:t>;</w:t>
            </w:r>
          </w:p>
          <w:p w:rsidR="00574A75" w:rsidRDefault="00B82EB6" w:rsidP="001F61A2">
            <w:pPr>
              <w:pStyle w:val="naiskr"/>
              <w:spacing w:before="0" w:after="0"/>
              <w:ind w:firstLine="170"/>
              <w:jc w:val="both"/>
            </w:pPr>
            <w:r>
              <w:t>2) institūcijām</w:t>
            </w:r>
            <w:r w:rsidR="001266B7">
              <w:t xml:space="preserve">, kas organizē un vada </w:t>
            </w:r>
            <w:r w:rsidR="00A629E0">
              <w:t>savietotāju darbību</w:t>
            </w:r>
            <w:r>
              <w:t xml:space="preserve"> </w:t>
            </w:r>
            <w:r>
              <w:lastRenderedPageBreak/>
              <w:t>(savietotāju pārziņi</w:t>
            </w:r>
            <w:r w:rsidR="00092297">
              <w:t>em</w:t>
            </w:r>
            <w:r>
              <w:t>)</w:t>
            </w:r>
            <w:r w:rsidR="00BD3993">
              <w:t>;</w:t>
            </w:r>
          </w:p>
          <w:p w:rsidR="00BD3993" w:rsidRDefault="003E4509" w:rsidP="001F61A2">
            <w:pPr>
              <w:pStyle w:val="naiskr"/>
              <w:spacing w:before="0" w:after="0"/>
              <w:ind w:firstLine="170"/>
              <w:jc w:val="both"/>
            </w:pPr>
            <w:r>
              <w:t>3) vadošo institūciju</w:t>
            </w:r>
            <w:r w:rsidR="00BD3993">
              <w:t xml:space="preserve"> </w:t>
            </w:r>
            <w:r w:rsidR="00BD3993">
              <w:rPr>
                <w:rStyle w:val="spelle"/>
              </w:rPr>
              <w:t>valsts informācijas un komunikācijas tehnoloģiju jomā (VARAM).</w:t>
            </w:r>
          </w:p>
          <w:p w:rsidR="00517233" w:rsidRDefault="00574A75" w:rsidP="001F61A2">
            <w:pPr>
              <w:pStyle w:val="naiskr"/>
              <w:spacing w:before="0" w:after="0"/>
              <w:ind w:firstLine="170"/>
              <w:jc w:val="both"/>
            </w:pPr>
            <w:r>
              <w:t xml:space="preserve">Noteikumu </w:t>
            </w:r>
            <w:r w:rsidR="00E34222">
              <w:t xml:space="preserve">projektā bez vispārējām normām </w:t>
            </w:r>
            <w:r>
              <w:t xml:space="preserve">par </w:t>
            </w:r>
            <w:r w:rsidR="00E34222">
              <w:t>inf</w:t>
            </w:r>
            <w:r>
              <w:t>ormācijas aprites nodrošināšanu</w:t>
            </w:r>
            <w:r w:rsidR="00E34222">
              <w:t xml:space="preserve">, izmantojot savietotāju, </w:t>
            </w:r>
            <w:r w:rsidR="00A629E0">
              <w:t xml:space="preserve">ir iekļautas </w:t>
            </w:r>
            <w:r w:rsidR="00E34222">
              <w:t xml:space="preserve">arī </w:t>
            </w:r>
            <w:r w:rsidR="00A629E0">
              <w:t xml:space="preserve">speciālās normas, kuras ir piemērojamas, ja informācijas aprites nodrošināšanai izmanto </w:t>
            </w:r>
            <w:r w:rsidR="00B82EB6">
              <w:t>VRAA</w:t>
            </w:r>
            <w:r w:rsidR="00E34222">
              <w:t xml:space="preserve"> </w:t>
            </w:r>
            <w:r w:rsidR="00A629E0">
              <w:t>pārziņā esošo savietotāju</w:t>
            </w:r>
            <w:r w:rsidR="00517233">
              <w:t>.</w:t>
            </w:r>
          </w:p>
          <w:p w:rsidR="00AF3D10" w:rsidRPr="00EF1D76" w:rsidRDefault="001266B7" w:rsidP="00685841">
            <w:pPr>
              <w:pStyle w:val="naiskr"/>
              <w:spacing w:before="120" w:after="0"/>
              <w:ind w:firstLine="170"/>
              <w:jc w:val="both"/>
            </w:pPr>
            <w:r>
              <w:t xml:space="preserve">Netiešā veidā noteikumu projekta tiesiskais regulējums ir attiecināms uz </w:t>
            </w:r>
            <w:r w:rsidR="00573BD1">
              <w:t xml:space="preserve">tām </w:t>
            </w:r>
            <w:r w:rsidR="00E34222">
              <w:t xml:space="preserve">valsts </w:t>
            </w:r>
            <w:r w:rsidR="00573BD1">
              <w:t xml:space="preserve">vai </w:t>
            </w:r>
            <w:r w:rsidR="00E34222">
              <w:t>pašvaldību institūcijām</w:t>
            </w:r>
            <w:r w:rsidR="001E0562">
              <w:t xml:space="preserve"> vai</w:t>
            </w:r>
            <w:r w:rsidR="00517233">
              <w:t xml:space="preserve"> privātpersonām, kur</w:t>
            </w:r>
            <w:r w:rsidR="001E0562">
              <w:t xml:space="preserve">u pārziņā esošās </w:t>
            </w:r>
            <w:r w:rsidR="00727861">
              <w:t>informācijas</w:t>
            </w:r>
            <w:r w:rsidR="001E0562">
              <w:t xml:space="preserve"> sistēmas </w:t>
            </w:r>
            <w:r w:rsidR="00727861">
              <w:t>ir iesaistītas informācijas aprites nodrošināšanā ar valsts informācijas sistēmām</w:t>
            </w:r>
            <w:r w:rsidR="00517233">
              <w:t>. Proti</w:t>
            </w:r>
            <w:r w:rsidR="00DA60F9">
              <w:t xml:space="preserve">, </w:t>
            </w:r>
            <w:r w:rsidR="00DE4F97">
              <w:t xml:space="preserve">lēmumu par minēto informācijas sistēmu iesaistīšanu informācijas aprites nodrošināšanā ar valsts informācijas sistēmu, izmantojot savietotāju, pieņem attiecīgās valsts informācijas sistēmas pārzinis atbilstoši </w:t>
            </w:r>
            <w:r w:rsidR="007F05E3">
              <w:t>likuma 17.panta ceturt</w:t>
            </w:r>
            <w:r w:rsidR="00DE4F97">
              <w:t>ajai</w:t>
            </w:r>
            <w:r w:rsidR="007F05E3">
              <w:t xml:space="preserve"> daļ</w:t>
            </w:r>
            <w:r w:rsidR="00DE4F97">
              <w:t>ai.</w:t>
            </w:r>
            <w:r w:rsidR="001E0562">
              <w:t xml:space="preserve"> Turklāt</w:t>
            </w:r>
            <w:r w:rsidR="001F61A2">
              <w:t xml:space="preserve"> </w:t>
            </w:r>
            <w:r w:rsidR="00E26A0E">
              <w:t>atbilstoši noteikumu projektā ietvertajam regulējumam valsts informācijas sistēmas</w:t>
            </w:r>
            <w:r w:rsidR="00E26A0E" w:rsidRPr="00E26A0E">
              <w:t xml:space="preserve"> pārzinis var iesaistīt informācijas aprites nodrošināšanā informācijas sistēmu, kuru veido un uztur valsts vai pašvaldības institūcija vai privātpersona, ja tā var, izmantojot savietotāju, nodrošināt informācijas apriti ar attiecīgo valsts informācijas sistēmu atbilstoši </w:t>
            </w:r>
            <w:r w:rsidR="00E26A0E">
              <w:t>noteikumu projektā</w:t>
            </w:r>
            <w:r w:rsidR="00E26A0E" w:rsidRPr="00E26A0E">
              <w:t xml:space="preserve"> noteiktajām prasībām, kuras attiecas uz </w:t>
            </w:r>
            <w:r w:rsidR="00E26A0E">
              <w:t>valsts informācijas sistēmas</w:t>
            </w:r>
            <w:r w:rsidR="00E26A0E" w:rsidRPr="00E26A0E">
              <w:t xml:space="preserve"> pārzini</w:t>
            </w:r>
            <w:r w:rsidR="001F61A2">
              <w:t>.</w:t>
            </w:r>
          </w:p>
        </w:tc>
      </w:tr>
      <w:tr w:rsidR="00BA34AD" w:rsidRPr="00EF1D76" w:rsidTr="008C30FF">
        <w:tc>
          <w:tcPr>
            <w:tcW w:w="455" w:type="dxa"/>
          </w:tcPr>
          <w:p w:rsidR="00BA34AD" w:rsidRPr="00EF1D76" w:rsidRDefault="00BA34AD" w:rsidP="009343BC">
            <w:pPr>
              <w:outlineLvl w:val="0"/>
            </w:pPr>
            <w:r>
              <w:lastRenderedPageBreak/>
              <w:t>2.</w:t>
            </w:r>
          </w:p>
        </w:tc>
        <w:tc>
          <w:tcPr>
            <w:tcW w:w="2221" w:type="dxa"/>
          </w:tcPr>
          <w:p w:rsidR="00BA34AD" w:rsidRPr="00EF1D76" w:rsidRDefault="00BA34AD" w:rsidP="009343BC">
            <w:pPr>
              <w:outlineLvl w:val="0"/>
            </w:pPr>
            <w:r w:rsidRPr="00BA34AD">
              <w:t>Tiesiskā regulējuma ietekme uz tautsaimniecību un administratīvo slogu</w:t>
            </w:r>
          </w:p>
        </w:tc>
        <w:tc>
          <w:tcPr>
            <w:tcW w:w="6396" w:type="dxa"/>
          </w:tcPr>
          <w:p w:rsidR="00BA34AD" w:rsidRPr="00EF1D76" w:rsidRDefault="00DE4373" w:rsidP="00666116">
            <w:pPr>
              <w:pStyle w:val="naiskr"/>
              <w:spacing w:before="0" w:after="0"/>
              <w:ind w:firstLine="170"/>
              <w:jc w:val="both"/>
            </w:pPr>
            <w:r>
              <w:t xml:space="preserve">Noteikumu projektā ietvertais tiesiskais regulējums ļauj standartizēt un unificēt </w:t>
            </w:r>
            <w:r w:rsidR="00AA7AED">
              <w:t xml:space="preserve">sistēmu pārziņu un </w:t>
            </w:r>
            <w:r>
              <w:t xml:space="preserve">savietotāja pārziņa savstarpējās sadarbības regulējumu, kā arī </w:t>
            </w:r>
            <w:r w:rsidR="00AA7AED">
              <w:t>samazināt vai novērst attiecīgās sadarbības regulēšanas nepieciešamību ar līgumu palīdzību un, līdz ar to, arī administratīvo slogu, kas ir saistīts ar šo līgumu</w:t>
            </w:r>
            <w:r w:rsidR="00B6195E">
              <w:t xml:space="preserve"> (arī grozījumu)</w:t>
            </w:r>
            <w:r w:rsidR="00AA7AED">
              <w:t xml:space="preserve"> izstrād</w:t>
            </w:r>
            <w:r w:rsidR="00666116">
              <w:t>i un saskaņošanu.</w:t>
            </w:r>
          </w:p>
        </w:tc>
      </w:tr>
      <w:tr w:rsidR="00BA34AD" w:rsidRPr="00EF1D76" w:rsidTr="008C30FF">
        <w:tc>
          <w:tcPr>
            <w:tcW w:w="455" w:type="dxa"/>
          </w:tcPr>
          <w:p w:rsidR="00BA34AD" w:rsidRDefault="003E19DE" w:rsidP="009343BC">
            <w:pPr>
              <w:outlineLvl w:val="0"/>
            </w:pPr>
            <w:r>
              <w:t>3.</w:t>
            </w:r>
          </w:p>
        </w:tc>
        <w:tc>
          <w:tcPr>
            <w:tcW w:w="2221" w:type="dxa"/>
          </w:tcPr>
          <w:p w:rsidR="00BA34AD" w:rsidRPr="00BA34AD" w:rsidRDefault="003E19DE" w:rsidP="009343BC">
            <w:pPr>
              <w:outlineLvl w:val="0"/>
            </w:pPr>
            <w:r w:rsidRPr="003E19DE">
              <w:t>Administratīvo izmaksu monetārais novērtējums</w:t>
            </w:r>
          </w:p>
        </w:tc>
        <w:tc>
          <w:tcPr>
            <w:tcW w:w="6396" w:type="dxa"/>
          </w:tcPr>
          <w:p w:rsidR="00F65A5A" w:rsidRDefault="00005ACC" w:rsidP="00D80992">
            <w:pPr>
              <w:pStyle w:val="naiskr"/>
              <w:spacing w:before="0" w:after="0"/>
              <w:ind w:firstLine="170"/>
              <w:jc w:val="both"/>
            </w:pPr>
            <w:r>
              <w:t>I</w:t>
            </w:r>
            <w:r w:rsidR="004A387E">
              <w:t xml:space="preserve">etekmi uz administratīvajām izmaksām rada noteikumu projekta 29., 30., 31. un 32.punktā </w:t>
            </w:r>
            <w:r w:rsidR="00525296">
              <w:t xml:space="preserve">ietvertais </w:t>
            </w:r>
            <w:r w:rsidR="004A387E">
              <w:t xml:space="preserve">tiesiskais regulējums, kas ir saistīts ar sistēmu pārziņu pienākumu iesniegt pieteikumu </w:t>
            </w:r>
            <w:r w:rsidR="000F6C33">
              <w:t xml:space="preserve">VRAA, kā arī </w:t>
            </w:r>
            <w:r w:rsidR="004A387E">
              <w:t xml:space="preserve">VRAA pienākumu izvērtēt pieteikumu un </w:t>
            </w:r>
            <w:r w:rsidR="008D2BC1">
              <w:t xml:space="preserve">paziņot </w:t>
            </w:r>
            <w:r w:rsidR="00375A3D">
              <w:t xml:space="preserve">attiecīgajam sistēmas pārzinim </w:t>
            </w:r>
            <w:r w:rsidR="008D2BC1">
              <w:t xml:space="preserve">par </w:t>
            </w:r>
            <w:r w:rsidR="00375A3D">
              <w:t>pieteikuma</w:t>
            </w:r>
            <w:r w:rsidR="008D2BC1">
              <w:t xml:space="preserve"> </w:t>
            </w:r>
            <w:r w:rsidR="007B5F16" w:rsidRPr="007B5F16">
              <w:t>apstiprināšanu vai noraidīšanu</w:t>
            </w:r>
            <w:r w:rsidR="008D2BC1">
              <w:t xml:space="preserve">, kā arī sistēmu pārziņu un VRAA pienākumu informēt par </w:t>
            </w:r>
            <w:r w:rsidR="00BD4C7C">
              <w:t xml:space="preserve">izmaiņām attālinātās saziņas līdzekļos, lai nodrošinātu savietotāja izmantošanai </w:t>
            </w:r>
            <w:r w:rsidR="00BD4C7C" w:rsidRPr="00BD4C7C">
              <w:t xml:space="preserve">nepieciešamo saziņu </w:t>
            </w:r>
            <w:r w:rsidR="00BD4C7C">
              <w:t>starp sistēmu pārziņiem un VRAA</w:t>
            </w:r>
            <w:r w:rsidR="005F68F5">
              <w:t xml:space="preserve"> (turpmāk – saziņas līdzekļi)</w:t>
            </w:r>
            <w:r w:rsidR="00BD4C7C">
              <w:t>.</w:t>
            </w:r>
          </w:p>
          <w:p w:rsidR="00162BB2" w:rsidRDefault="00AA6D5D" w:rsidP="00AA6D5D">
            <w:pPr>
              <w:pStyle w:val="naiskr"/>
              <w:spacing w:before="0" w:after="0"/>
              <w:ind w:firstLine="170"/>
              <w:jc w:val="both"/>
            </w:pPr>
            <w:r>
              <w:t>VARAM norāda, ka administratīvo izmaksu novērtējumā</w:t>
            </w:r>
            <w:r>
              <w:rPr>
                <w:rStyle w:val="FootnoteReference"/>
              </w:rPr>
              <w:footnoteReference w:id="1"/>
            </w:r>
            <w:r>
              <w:t xml:space="preserve"> ir izmantota </w:t>
            </w:r>
            <w:r w:rsidRPr="001E3608">
              <w:t>stundas samaksas likme</w:t>
            </w:r>
            <w:r>
              <w:t xml:space="preserve"> 5,18 </w:t>
            </w:r>
            <w:proofErr w:type="spellStart"/>
            <w:r>
              <w:t>euro</w:t>
            </w:r>
            <w:proofErr w:type="spellEnd"/>
            <w:r>
              <w:t xml:space="preserve"> apmērā (</w:t>
            </w:r>
            <w:r w:rsidRPr="001E3608">
              <w:t xml:space="preserve">sabiedriskajā sektorā strādājošo </w:t>
            </w:r>
            <w:r>
              <w:t>mēneša vidējā</w:t>
            </w:r>
            <w:r w:rsidRPr="001E3608">
              <w:t xml:space="preserve"> darba samaks</w:t>
            </w:r>
            <w:r>
              <w:t>a</w:t>
            </w:r>
            <w:r>
              <w:rPr>
                <w:rStyle w:val="FootnoteReference"/>
              </w:rPr>
              <w:footnoteReference w:id="2"/>
            </w:r>
            <w:r>
              <w:t xml:space="preserve">). </w:t>
            </w:r>
            <w:r w:rsidR="00A14308">
              <w:t xml:space="preserve">Ņemot vērā, ka </w:t>
            </w:r>
            <w:r w:rsidR="00FF099B">
              <w:t>minētā tiesiskā regulējuma subjektu (sistēmu pārziņu) skaits un šajā regulējumā paredzēto darbību biežums pašlaik nav nosakāms</w:t>
            </w:r>
            <w:r w:rsidR="00A14308">
              <w:t>,</w:t>
            </w:r>
            <w:r w:rsidR="00FF099B">
              <w:t xml:space="preserve"> vidējās administratīvās izmaksas </w:t>
            </w:r>
            <w:r w:rsidR="00E6441B">
              <w:t xml:space="preserve">attiecas </w:t>
            </w:r>
            <w:r w:rsidR="00FF099B">
              <w:t xml:space="preserve">uz vienu </w:t>
            </w:r>
            <w:r w:rsidR="00A14308">
              <w:t xml:space="preserve">tiesiskā </w:t>
            </w:r>
            <w:r w:rsidR="00FF099B">
              <w:t>regulējuma piemērošanas gadījumu</w:t>
            </w:r>
            <w:r w:rsidR="00E6441B">
              <w:t xml:space="preserve"> un </w:t>
            </w:r>
            <w:r w:rsidR="00FF099B">
              <w:t>ir šādas:</w:t>
            </w:r>
          </w:p>
          <w:p w:rsidR="00BD4C7C" w:rsidRDefault="00BD4C7C" w:rsidP="001E3608">
            <w:pPr>
              <w:pStyle w:val="naiskr"/>
              <w:spacing w:before="0" w:after="0"/>
              <w:ind w:firstLine="170"/>
              <w:jc w:val="both"/>
            </w:pPr>
            <w:r>
              <w:t>1</w:t>
            </w:r>
            <w:r w:rsidR="005F68F5">
              <w:t>) n</w:t>
            </w:r>
            <w:r>
              <w:t>oteikumu projekta 29.punkta izpilde</w:t>
            </w:r>
            <w:r w:rsidR="00383A00">
              <w:t>,</w:t>
            </w:r>
            <w:r>
              <w:t xml:space="preserve"> </w:t>
            </w:r>
            <w:r w:rsidR="00383A00" w:rsidRPr="00383A00">
              <w:t xml:space="preserve">kas </w:t>
            </w:r>
            <w:r w:rsidR="00383A00">
              <w:t>ir saistīta</w:t>
            </w:r>
            <w:r w:rsidR="00383A00" w:rsidRPr="00383A00">
              <w:t xml:space="preserve"> ar </w:t>
            </w:r>
            <w:r w:rsidR="00383A00">
              <w:lastRenderedPageBreak/>
              <w:t xml:space="preserve">sistēmu pārziņu pienākumu iesniegt </w:t>
            </w:r>
            <w:r w:rsidR="00383A00" w:rsidRPr="00383A00">
              <w:t>pieteikum</w:t>
            </w:r>
            <w:r w:rsidR="00383A00">
              <w:t xml:space="preserve">u </w:t>
            </w:r>
            <w:r w:rsidR="00383A00" w:rsidRPr="00383A00">
              <w:t>VRAA</w:t>
            </w:r>
            <w:r w:rsidR="00383A00">
              <w:t xml:space="preserve">, </w:t>
            </w:r>
            <w:r>
              <w:t xml:space="preserve">rada </w:t>
            </w:r>
            <w:r w:rsidR="00383A00" w:rsidRPr="00383A00">
              <w:t>administratīvās izmaksas</w:t>
            </w:r>
            <w:r w:rsidR="00383A00">
              <w:t xml:space="preserve"> </w:t>
            </w:r>
            <w:r w:rsidR="005D3D51">
              <w:t>5,18</w:t>
            </w:r>
            <w:r w:rsidR="00383A00">
              <w:t> </w:t>
            </w:r>
            <w:proofErr w:type="spellStart"/>
            <w:r w:rsidR="00383A00">
              <w:t>euro</w:t>
            </w:r>
            <w:proofErr w:type="spellEnd"/>
            <w:r w:rsidR="00383A00">
              <w:t xml:space="preserve"> apmērā</w:t>
            </w:r>
            <w:r w:rsidR="00AA6D5D">
              <w:t xml:space="preserve"> (</w:t>
            </w:r>
            <w:r w:rsidR="009C06E3">
              <w:t>laika patēriņš, kas nepieciešams sistēmas pārzinim, lai sagatavotu un iesniegtu pieteikumu</w:t>
            </w:r>
            <w:r w:rsidR="00AA6D5D">
              <w:t>, ir apmēram 1 stunda)</w:t>
            </w:r>
            <w:r w:rsidR="009C06E3">
              <w:t>;</w:t>
            </w:r>
          </w:p>
          <w:p w:rsidR="000A3444" w:rsidRDefault="005F68F5" w:rsidP="000A3444">
            <w:pPr>
              <w:pStyle w:val="naiskr"/>
              <w:spacing w:before="0" w:after="0"/>
              <w:ind w:firstLine="170"/>
              <w:jc w:val="both"/>
            </w:pPr>
            <w:r>
              <w:t xml:space="preserve">2) noteikumu projekta 30.punkta izpilde, </w:t>
            </w:r>
            <w:r w:rsidRPr="00383A00">
              <w:t xml:space="preserve">kas </w:t>
            </w:r>
            <w:r>
              <w:t>ir saistīta</w:t>
            </w:r>
            <w:r w:rsidRPr="00383A00">
              <w:t xml:space="preserve"> ar</w:t>
            </w:r>
            <w:r>
              <w:t xml:space="preserve"> VRAA </w:t>
            </w:r>
            <w:r w:rsidRPr="005F68F5">
              <w:t>pienākumu sniegt visiem sistēmu pārziņiem informāciju par izmaiņām saziņas līdzekļos</w:t>
            </w:r>
            <w:r w:rsidR="00717B25">
              <w:t xml:space="preserve">, rada </w:t>
            </w:r>
            <w:r w:rsidR="00717B25" w:rsidRPr="00383A00">
              <w:t>administratīvās izmaksas</w:t>
            </w:r>
            <w:r w:rsidR="00717B25">
              <w:t xml:space="preserve"> 5,18 </w:t>
            </w:r>
            <w:proofErr w:type="spellStart"/>
            <w:r w:rsidR="00717B25">
              <w:t>euro</w:t>
            </w:r>
            <w:proofErr w:type="spellEnd"/>
            <w:r w:rsidR="00717B25">
              <w:t xml:space="preserve"> apmērā</w:t>
            </w:r>
            <w:r w:rsidR="00AA6D5D">
              <w:t xml:space="preserve"> (laika patēriņš, kas nepieciešams </w:t>
            </w:r>
            <w:r w:rsidR="00637C1C">
              <w:t>VRAA</w:t>
            </w:r>
            <w:r w:rsidR="000A3444">
              <w:t xml:space="preserve">, lai sagatavotu un sniegtu </w:t>
            </w:r>
            <w:r w:rsidR="00637C1C">
              <w:t>visiem sistēmu pārziņiem, kas izmanto VRAA pārziņā esošo savietotāju, informāciju par izmaiņām saziņas līdzekļos</w:t>
            </w:r>
            <w:r w:rsidR="00AA6D5D">
              <w:t>, ir apmēram 1 stunda)</w:t>
            </w:r>
            <w:r w:rsidR="000A3444">
              <w:t>;</w:t>
            </w:r>
          </w:p>
          <w:p w:rsidR="004923EE" w:rsidRDefault="004923EE" w:rsidP="004923EE">
            <w:pPr>
              <w:pStyle w:val="naiskr"/>
              <w:spacing w:before="0" w:after="0"/>
              <w:ind w:firstLine="170"/>
              <w:jc w:val="both"/>
            </w:pPr>
            <w:r>
              <w:t xml:space="preserve">3) noteikumu projekta 31.punkta izpilde, </w:t>
            </w:r>
            <w:r w:rsidRPr="00383A00">
              <w:t xml:space="preserve">kas </w:t>
            </w:r>
            <w:r>
              <w:t>ir saistīta</w:t>
            </w:r>
            <w:r w:rsidRPr="00383A00">
              <w:t xml:space="preserve"> ar</w:t>
            </w:r>
            <w:r>
              <w:t xml:space="preserve"> sistēmu pārziņu </w:t>
            </w:r>
            <w:r w:rsidRPr="005F68F5">
              <w:t xml:space="preserve">pienākumu </w:t>
            </w:r>
            <w:r>
              <w:t>informēt VRAA</w:t>
            </w:r>
            <w:r w:rsidRPr="005F68F5">
              <w:t xml:space="preserve"> par izmaiņām saziņas līdzekļos</w:t>
            </w:r>
            <w:r>
              <w:t xml:space="preserve">, rada </w:t>
            </w:r>
            <w:r w:rsidRPr="00383A00">
              <w:t>administratīvās izmaksas</w:t>
            </w:r>
            <w:r>
              <w:t xml:space="preserve"> 5,18 </w:t>
            </w:r>
            <w:proofErr w:type="spellStart"/>
            <w:r>
              <w:t>euro</w:t>
            </w:r>
            <w:proofErr w:type="spellEnd"/>
            <w:r>
              <w:t xml:space="preserve"> apmērā</w:t>
            </w:r>
            <w:r w:rsidR="00AA6D5D">
              <w:t xml:space="preserve"> (laika patēriņš, kas nepieciešams</w:t>
            </w:r>
            <w:r>
              <w:t xml:space="preserve"> sistēmas pārzinim, lai sagatavotu un sniegtu VRAA informāciju par izmaiņām saziņas līdzekļos</w:t>
            </w:r>
            <w:r w:rsidR="00AA6D5D">
              <w:t>, ir apmēram 1 stunda);</w:t>
            </w:r>
          </w:p>
          <w:p w:rsidR="00375A3D" w:rsidRDefault="007B5F16" w:rsidP="00375A3D">
            <w:pPr>
              <w:pStyle w:val="naiskr"/>
              <w:spacing w:before="0" w:after="0"/>
              <w:ind w:firstLine="170"/>
              <w:jc w:val="both"/>
            </w:pPr>
            <w:r>
              <w:t>4</w:t>
            </w:r>
            <w:r w:rsidR="00EF5FB0">
              <w:t xml:space="preserve">) </w:t>
            </w:r>
            <w:r>
              <w:t xml:space="preserve">noteikumu projekta 32.punkta izpilde, </w:t>
            </w:r>
            <w:r w:rsidRPr="00383A00">
              <w:t xml:space="preserve">kas </w:t>
            </w:r>
            <w:r>
              <w:t>ir saistīta</w:t>
            </w:r>
            <w:r w:rsidRPr="00383A00">
              <w:t xml:space="preserve"> ar </w:t>
            </w:r>
            <w:r>
              <w:t>VRAA pienākumu izvērtēt pieteikumu</w:t>
            </w:r>
            <w:r w:rsidRPr="007B5F16">
              <w:t xml:space="preserve"> un paziņot sistēmas pārzinim par pieteikuma apstiprināšanu vai noraidīšanu</w:t>
            </w:r>
            <w:r>
              <w:t xml:space="preserve">, rada </w:t>
            </w:r>
            <w:r w:rsidRPr="00383A00">
              <w:t>administratīvās izmaksas</w:t>
            </w:r>
            <w:r>
              <w:t xml:space="preserve"> 20,72 </w:t>
            </w:r>
            <w:proofErr w:type="spellStart"/>
            <w:r>
              <w:t>euro</w:t>
            </w:r>
            <w:proofErr w:type="spellEnd"/>
            <w:r>
              <w:t xml:space="preserve"> apmērā</w:t>
            </w:r>
            <w:r w:rsidR="00AA6D5D">
              <w:t xml:space="preserve"> (laika patēriņš, kas nepieciešams </w:t>
            </w:r>
            <w:r w:rsidR="00375A3D">
              <w:t>VRAA, lai izvērtētu pieteikumu</w:t>
            </w:r>
            <w:r w:rsidR="00375A3D" w:rsidRPr="007B5F16">
              <w:t xml:space="preserve"> un paziņot</w:t>
            </w:r>
            <w:r w:rsidR="00375A3D">
              <w:t>u</w:t>
            </w:r>
            <w:r w:rsidR="00375A3D" w:rsidRPr="007B5F16">
              <w:t xml:space="preserve"> sistēmas pārzinim par pieteikuma apstiprināšanu vai noraidīšanu</w:t>
            </w:r>
            <w:r w:rsidR="00E6441B">
              <w:t>, ir apmēram 4 stundas)</w:t>
            </w:r>
            <w:r w:rsidR="00465BA1">
              <w:t>.</w:t>
            </w:r>
          </w:p>
          <w:p w:rsidR="007B5F16" w:rsidRDefault="00B6195E" w:rsidP="00971A5F">
            <w:pPr>
              <w:pStyle w:val="naiskr"/>
              <w:spacing w:before="0" w:after="0"/>
              <w:ind w:firstLine="170"/>
              <w:jc w:val="both"/>
            </w:pPr>
            <w:r>
              <w:t>Vienlaikus VARAM norāda, ka,</w:t>
            </w:r>
            <w:r w:rsidR="000F2485">
              <w:t xml:space="preserve"> ievērojot šīs noteikumu proje</w:t>
            </w:r>
            <w:r w:rsidR="001E45F7">
              <w:t>kta anotācijas II sadaļas 2.punk</w:t>
            </w:r>
            <w:r w:rsidR="000F2485">
              <w:t xml:space="preserve">tā sniegto informāciju, </w:t>
            </w:r>
            <w:r w:rsidR="001E45F7">
              <w:t>noteikumu projektā ietvertā tiesiskā regulējuma piemērošana kopumā var samazināt vai novērst nepieciešamību slēgt starp sistēmu pārziņiem un VRAA savstarpējos līgumus par informācijas aprites nodrošināšanu ar VRAA pārziņā esošā savietotāja palīdzību</w:t>
            </w:r>
            <w:r w:rsidR="00971A5F">
              <w:t xml:space="preserve">, un tādējādi </w:t>
            </w:r>
            <w:r w:rsidR="001E45F7">
              <w:t>samazin</w:t>
            </w:r>
            <w:r w:rsidR="00971A5F">
              <w:t>āt</w:t>
            </w:r>
            <w:r w:rsidR="001E45F7">
              <w:t xml:space="preserve"> </w:t>
            </w:r>
            <w:r w:rsidR="00971A5F">
              <w:t xml:space="preserve">vai novērst arī </w:t>
            </w:r>
            <w:r w:rsidR="001E45F7">
              <w:t>administratīvās izmaksas, kas ir saistīt</w:t>
            </w:r>
            <w:r w:rsidR="00666116">
              <w:t>a</w:t>
            </w:r>
            <w:r w:rsidR="001E45F7">
              <w:t xml:space="preserve">s ar šo </w:t>
            </w:r>
            <w:r w:rsidR="00666116">
              <w:t>līgumu (arī grozījumu) izstrādi un saskaņošanu.</w:t>
            </w:r>
          </w:p>
        </w:tc>
      </w:tr>
      <w:tr w:rsidR="003E19DE" w:rsidRPr="00EF1D76" w:rsidTr="008C30FF">
        <w:tc>
          <w:tcPr>
            <w:tcW w:w="455" w:type="dxa"/>
          </w:tcPr>
          <w:p w:rsidR="003E19DE" w:rsidRDefault="003E19DE" w:rsidP="009343BC">
            <w:pPr>
              <w:outlineLvl w:val="0"/>
            </w:pPr>
            <w:r>
              <w:lastRenderedPageBreak/>
              <w:t>4.</w:t>
            </w:r>
          </w:p>
        </w:tc>
        <w:tc>
          <w:tcPr>
            <w:tcW w:w="2221" w:type="dxa"/>
          </w:tcPr>
          <w:p w:rsidR="003E19DE" w:rsidRPr="003E19DE" w:rsidRDefault="003E19DE" w:rsidP="009343BC">
            <w:pPr>
              <w:outlineLvl w:val="0"/>
            </w:pPr>
            <w:r>
              <w:t>Cita informācija</w:t>
            </w:r>
          </w:p>
        </w:tc>
        <w:tc>
          <w:tcPr>
            <w:tcW w:w="6396" w:type="dxa"/>
          </w:tcPr>
          <w:p w:rsidR="003E19DE" w:rsidRDefault="003E19DE" w:rsidP="00BA34AD">
            <w:pPr>
              <w:pStyle w:val="naiskr"/>
              <w:spacing w:before="0" w:after="0"/>
              <w:ind w:firstLine="170"/>
              <w:jc w:val="both"/>
            </w:pPr>
            <w:r>
              <w:t>Nav</w:t>
            </w:r>
          </w:p>
        </w:tc>
      </w:tr>
    </w:tbl>
    <w:p w:rsidR="00677A0F" w:rsidRDefault="00677A0F" w:rsidP="00F47F43">
      <w:pPr>
        <w:rPr>
          <w:iCs/>
          <w:lang w:eastAsia="en-US"/>
        </w:rPr>
      </w:pPr>
    </w:p>
    <w:tbl>
      <w:tblPr>
        <w:tblStyle w:val="TableGrid"/>
        <w:tblW w:w="0" w:type="auto"/>
        <w:tblInd w:w="108" w:type="dxa"/>
        <w:tblLook w:val="04A0"/>
      </w:tblPr>
      <w:tblGrid>
        <w:gridCol w:w="9072"/>
      </w:tblGrid>
      <w:tr w:rsidR="00397AD8" w:rsidRPr="00BA65F4" w:rsidTr="002F23ED">
        <w:trPr>
          <w:trHeight w:val="227"/>
        </w:trPr>
        <w:tc>
          <w:tcPr>
            <w:tcW w:w="9072" w:type="dxa"/>
          </w:tcPr>
          <w:p w:rsidR="00397AD8" w:rsidRPr="00BA65F4" w:rsidRDefault="00397AD8" w:rsidP="00BA65F4">
            <w:pPr>
              <w:pStyle w:val="naisf"/>
              <w:keepNext/>
              <w:spacing w:before="0" w:after="0"/>
              <w:ind w:firstLine="374"/>
              <w:rPr>
                <w:b/>
                <w:bCs/>
                <w:i/>
                <w:iCs/>
                <w:sz w:val="24"/>
              </w:rPr>
            </w:pPr>
            <w:r w:rsidRPr="00BA65F4">
              <w:rPr>
                <w:b/>
                <w:bCs/>
                <w:iCs/>
                <w:sz w:val="24"/>
              </w:rPr>
              <w:br w:type="page"/>
              <w:t>III. Tiesību akta projekta ietekme uz valsts budžetu un pašvaldību budžetiem</w:t>
            </w:r>
          </w:p>
        </w:tc>
      </w:tr>
    </w:tbl>
    <w:p w:rsidR="001B521A" w:rsidRDefault="001B521A"/>
    <w:tbl>
      <w:tblPr>
        <w:tblStyle w:val="TableGrid"/>
        <w:tblW w:w="0" w:type="auto"/>
        <w:tblInd w:w="108" w:type="dxa"/>
        <w:tblLook w:val="04A0"/>
      </w:tblPr>
      <w:tblGrid>
        <w:gridCol w:w="1644"/>
        <w:gridCol w:w="1588"/>
        <w:gridCol w:w="1588"/>
        <w:gridCol w:w="1418"/>
        <w:gridCol w:w="1418"/>
        <w:gridCol w:w="1417"/>
      </w:tblGrid>
      <w:tr w:rsidR="008F4BA4" w:rsidRPr="00BA65F4" w:rsidTr="008F4BA4">
        <w:tc>
          <w:tcPr>
            <w:tcW w:w="1644" w:type="dxa"/>
            <w:vMerge w:val="restart"/>
            <w:vAlign w:val="center"/>
          </w:tcPr>
          <w:p w:rsidR="008F4BA4" w:rsidRPr="00BA65F4" w:rsidRDefault="008F4BA4" w:rsidP="008F4BA4">
            <w:pPr>
              <w:jc w:val="center"/>
              <w:rPr>
                <w:iCs/>
                <w:sz w:val="24"/>
                <w:lang w:eastAsia="en-US"/>
              </w:rPr>
            </w:pPr>
            <w:r w:rsidRPr="00BA65F4">
              <w:rPr>
                <w:iCs/>
                <w:sz w:val="24"/>
                <w:lang w:eastAsia="en-US"/>
              </w:rPr>
              <w:t>Rādītāji</w:t>
            </w:r>
          </w:p>
        </w:tc>
        <w:tc>
          <w:tcPr>
            <w:tcW w:w="3176" w:type="dxa"/>
            <w:gridSpan w:val="2"/>
            <w:vMerge w:val="restart"/>
            <w:vAlign w:val="center"/>
          </w:tcPr>
          <w:p w:rsidR="008F4BA4" w:rsidRPr="00BA65F4" w:rsidRDefault="006D1414" w:rsidP="00A36662">
            <w:pPr>
              <w:jc w:val="center"/>
              <w:rPr>
                <w:iCs/>
                <w:sz w:val="24"/>
                <w:lang w:eastAsia="en-US"/>
              </w:rPr>
            </w:pPr>
            <w:r>
              <w:rPr>
                <w:iCs/>
                <w:sz w:val="24"/>
                <w:lang w:eastAsia="en-US"/>
              </w:rPr>
              <w:t>2016</w:t>
            </w:r>
            <w:r w:rsidR="008F4BA4" w:rsidRPr="00BA65F4">
              <w:rPr>
                <w:iCs/>
                <w:sz w:val="24"/>
                <w:lang w:eastAsia="en-US"/>
              </w:rPr>
              <w:t>.gads</w:t>
            </w:r>
          </w:p>
        </w:tc>
        <w:tc>
          <w:tcPr>
            <w:tcW w:w="4253" w:type="dxa"/>
            <w:gridSpan w:val="3"/>
          </w:tcPr>
          <w:p w:rsidR="008F4BA4" w:rsidRPr="00BA65F4" w:rsidRDefault="008F4BA4" w:rsidP="002F23ED">
            <w:pPr>
              <w:jc w:val="center"/>
              <w:rPr>
                <w:iCs/>
                <w:sz w:val="24"/>
                <w:lang w:eastAsia="en-US"/>
              </w:rPr>
            </w:pPr>
            <w:r w:rsidRPr="00BA65F4">
              <w:rPr>
                <w:iCs/>
                <w:sz w:val="24"/>
                <w:lang w:eastAsia="en-US"/>
              </w:rPr>
              <w:t>Turpmākie trīs gadi (</w:t>
            </w:r>
            <w:proofErr w:type="spellStart"/>
            <w:r w:rsidRPr="00BA65F4">
              <w:rPr>
                <w:iCs/>
                <w:sz w:val="24"/>
                <w:lang w:eastAsia="en-US"/>
              </w:rPr>
              <w:t>euro</w:t>
            </w:r>
            <w:proofErr w:type="spellEnd"/>
            <w:r w:rsidRPr="00BA65F4">
              <w:rPr>
                <w:iCs/>
                <w:sz w:val="24"/>
                <w:lang w:eastAsia="en-US"/>
              </w:rPr>
              <w:t>)</w:t>
            </w:r>
          </w:p>
        </w:tc>
      </w:tr>
      <w:tr w:rsidR="008F4BA4" w:rsidRPr="00BA65F4" w:rsidTr="008F4BA4">
        <w:tc>
          <w:tcPr>
            <w:tcW w:w="1644" w:type="dxa"/>
            <w:vMerge/>
          </w:tcPr>
          <w:p w:rsidR="008F4BA4" w:rsidRPr="00BA65F4" w:rsidRDefault="008F4BA4" w:rsidP="002F23ED">
            <w:pPr>
              <w:jc w:val="center"/>
              <w:rPr>
                <w:iCs/>
                <w:sz w:val="24"/>
                <w:lang w:eastAsia="en-US"/>
              </w:rPr>
            </w:pPr>
          </w:p>
        </w:tc>
        <w:tc>
          <w:tcPr>
            <w:tcW w:w="3176" w:type="dxa"/>
            <w:gridSpan w:val="2"/>
            <w:vMerge/>
          </w:tcPr>
          <w:p w:rsidR="008F4BA4" w:rsidRPr="00BA65F4" w:rsidRDefault="008F4BA4" w:rsidP="002F23ED">
            <w:pPr>
              <w:jc w:val="center"/>
              <w:rPr>
                <w:iCs/>
                <w:sz w:val="24"/>
                <w:lang w:eastAsia="en-US"/>
              </w:rPr>
            </w:pPr>
          </w:p>
        </w:tc>
        <w:tc>
          <w:tcPr>
            <w:tcW w:w="1418" w:type="dxa"/>
          </w:tcPr>
          <w:p w:rsidR="008F4BA4" w:rsidRPr="00BA65F4" w:rsidRDefault="006D1414" w:rsidP="00A36662">
            <w:pPr>
              <w:jc w:val="center"/>
              <w:rPr>
                <w:iCs/>
                <w:sz w:val="24"/>
                <w:lang w:eastAsia="en-US"/>
              </w:rPr>
            </w:pPr>
            <w:r>
              <w:rPr>
                <w:iCs/>
                <w:sz w:val="24"/>
                <w:lang w:eastAsia="en-US"/>
              </w:rPr>
              <w:t>2017</w:t>
            </w:r>
            <w:r w:rsidR="008F4BA4" w:rsidRPr="00BA65F4">
              <w:rPr>
                <w:iCs/>
                <w:sz w:val="24"/>
                <w:lang w:eastAsia="en-US"/>
              </w:rPr>
              <w:t>.</w:t>
            </w:r>
          </w:p>
        </w:tc>
        <w:tc>
          <w:tcPr>
            <w:tcW w:w="1418" w:type="dxa"/>
          </w:tcPr>
          <w:p w:rsidR="008F4BA4" w:rsidRPr="00BA65F4" w:rsidRDefault="006D1414" w:rsidP="00A36662">
            <w:pPr>
              <w:jc w:val="center"/>
              <w:rPr>
                <w:iCs/>
                <w:sz w:val="24"/>
                <w:lang w:eastAsia="en-US"/>
              </w:rPr>
            </w:pPr>
            <w:r>
              <w:rPr>
                <w:iCs/>
                <w:sz w:val="24"/>
                <w:lang w:eastAsia="en-US"/>
              </w:rPr>
              <w:t>2018</w:t>
            </w:r>
            <w:r w:rsidR="008F4BA4" w:rsidRPr="00BA65F4">
              <w:rPr>
                <w:iCs/>
                <w:sz w:val="24"/>
                <w:lang w:eastAsia="en-US"/>
              </w:rPr>
              <w:t>.</w:t>
            </w:r>
          </w:p>
        </w:tc>
        <w:tc>
          <w:tcPr>
            <w:tcW w:w="1417" w:type="dxa"/>
          </w:tcPr>
          <w:p w:rsidR="008F4BA4" w:rsidRPr="00BA65F4" w:rsidRDefault="006D1414" w:rsidP="00A36662">
            <w:pPr>
              <w:jc w:val="center"/>
              <w:rPr>
                <w:iCs/>
                <w:sz w:val="24"/>
                <w:lang w:eastAsia="en-US"/>
              </w:rPr>
            </w:pPr>
            <w:r>
              <w:rPr>
                <w:iCs/>
                <w:sz w:val="24"/>
                <w:lang w:eastAsia="en-US"/>
              </w:rPr>
              <w:t>2019</w:t>
            </w:r>
            <w:r w:rsidR="008F4BA4" w:rsidRPr="00BA65F4">
              <w:rPr>
                <w:iCs/>
                <w:sz w:val="24"/>
                <w:lang w:eastAsia="en-US"/>
              </w:rPr>
              <w:t>.</w:t>
            </w:r>
          </w:p>
        </w:tc>
      </w:tr>
      <w:tr w:rsidR="001B521A" w:rsidRPr="00BA65F4" w:rsidTr="001B521A">
        <w:tc>
          <w:tcPr>
            <w:tcW w:w="1644" w:type="dxa"/>
          </w:tcPr>
          <w:p w:rsidR="001B521A" w:rsidRPr="00BA65F4" w:rsidRDefault="001B521A" w:rsidP="002F23ED">
            <w:pPr>
              <w:jc w:val="center"/>
              <w:rPr>
                <w:iCs/>
                <w:sz w:val="24"/>
                <w:lang w:eastAsia="en-US"/>
              </w:rPr>
            </w:pPr>
          </w:p>
        </w:tc>
        <w:tc>
          <w:tcPr>
            <w:tcW w:w="1588" w:type="dxa"/>
          </w:tcPr>
          <w:p w:rsidR="001B521A" w:rsidRPr="00BA65F4" w:rsidRDefault="001B521A" w:rsidP="002F23ED">
            <w:pPr>
              <w:jc w:val="center"/>
              <w:rPr>
                <w:iCs/>
                <w:sz w:val="24"/>
                <w:lang w:eastAsia="en-US"/>
              </w:rPr>
            </w:pPr>
            <w:r w:rsidRPr="00BA65F4">
              <w:rPr>
                <w:iCs/>
                <w:sz w:val="24"/>
                <w:lang w:eastAsia="en-US"/>
              </w:rPr>
              <w:t>saskaņā ar valsts budžetu kārtējam gadam</w:t>
            </w:r>
          </w:p>
        </w:tc>
        <w:tc>
          <w:tcPr>
            <w:tcW w:w="1588" w:type="dxa"/>
          </w:tcPr>
          <w:p w:rsidR="001B521A" w:rsidRPr="00BA65F4" w:rsidRDefault="001B521A" w:rsidP="002F23ED">
            <w:pPr>
              <w:jc w:val="center"/>
              <w:rPr>
                <w:iCs/>
                <w:sz w:val="24"/>
                <w:lang w:eastAsia="en-US"/>
              </w:rPr>
            </w:pPr>
            <w:r w:rsidRPr="00BA65F4">
              <w:rPr>
                <w:iCs/>
                <w:sz w:val="24"/>
                <w:lang w:eastAsia="en-US"/>
              </w:rPr>
              <w:t>izmaiņas kārtējā gadā, salīdzinot ar valsts budžetu kārtējam gadam</w:t>
            </w:r>
          </w:p>
        </w:tc>
        <w:tc>
          <w:tcPr>
            <w:tcW w:w="1418" w:type="dxa"/>
          </w:tcPr>
          <w:p w:rsidR="001B521A" w:rsidRPr="00BA65F4" w:rsidRDefault="001B521A" w:rsidP="001B521A">
            <w:pPr>
              <w:jc w:val="center"/>
              <w:rPr>
                <w:iCs/>
                <w:sz w:val="24"/>
                <w:lang w:eastAsia="en-US"/>
              </w:rPr>
            </w:pPr>
            <w:r w:rsidRPr="00BA65F4">
              <w:rPr>
                <w:iCs/>
                <w:sz w:val="24"/>
                <w:lang w:eastAsia="en-US"/>
              </w:rPr>
              <w:t>izmaiņas, salīdzinot ar kārtējo gadu</w:t>
            </w:r>
          </w:p>
        </w:tc>
        <w:tc>
          <w:tcPr>
            <w:tcW w:w="1418" w:type="dxa"/>
          </w:tcPr>
          <w:p w:rsidR="001B521A" w:rsidRPr="00BA65F4" w:rsidRDefault="001B521A" w:rsidP="001B521A">
            <w:pPr>
              <w:jc w:val="center"/>
              <w:rPr>
                <w:iCs/>
                <w:sz w:val="24"/>
                <w:lang w:eastAsia="en-US"/>
              </w:rPr>
            </w:pPr>
            <w:r w:rsidRPr="00BA65F4">
              <w:rPr>
                <w:iCs/>
                <w:sz w:val="24"/>
                <w:lang w:eastAsia="en-US"/>
              </w:rPr>
              <w:t>izmaiņas, salīdzinot ar kārtējo gadu</w:t>
            </w:r>
          </w:p>
        </w:tc>
        <w:tc>
          <w:tcPr>
            <w:tcW w:w="1417" w:type="dxa"/>
          </w:tcPr>
          <w:p w:rsidR="001B521A" w:rsidRPr="00BA65F4" w:rsidRDefault="001B521A" w:rsidP="001B521A">
            <w:pPr>
              <w:jc w:val="center"/>
              <w:rPr>
                <w:iCs/>
                <w:sz w:val="24"/>
                <w:lang w:eastAsia="en-US"/>
              </w:rPr>
            </w:pPr>
            <w:r w:rsidRPr="00BA65F4">
              <w:rPr>
                <w:iCs/>
                <w:sz w:val="24"/>
                <w:lang w:eastAsia="en-US"/>
              </w:rPr>
              <w:t>izmaiņas, salīdzinot ar kārtējo gadu</w:t>
            </w:r>
          </w:p>
        </w:tc>
      </w:tr>
    </w:tbl>
    <w:p w:rsidR="002F23ED" w:rsidRPr="002F23ED" w:rsidRDefault="002F23ED">
      <w:pPr>
        <w:rPr>
          <w:sz w:val="2"/>
          <w:szCs w:val="2"/>
        </w:rPr>
      </w:pPr>
    </w:p>
    <w:tbl>
      <w:tblPr>
        <w:tblStyle w:val="TableGrid"/>
        <w:tblW w:w="0" w:type="auto"/>
        <w:tblInd w:w="108" w:type="dxa"/>
        <w:tblLayout w:type="fixed"/>
        <w:tblLook w:val="04A0"/>
      </w:tblPr>
      <w:tblGrid>
        <w:gridCol w:w="1644"/>
        <w:gridCol w:w="1588"/>
        <w:gridCol w:w="1588"/>
        <w:gridCol w:w="1418"/>
        <w:gridCol w:w="1418"/>
        <w:gridCol w:w="1418"/>
      </w:tblGrid>
      <w:tr w:rsidR="002F23ED" w:rsidRPr="0052676F" w:rsidTr="0052676F">
        <w:trPr>
          <w:tblHeader/>
        </w:trPr>
        <w:tc>
          <w:tcPr>
            <w:tcW w:w="1644" w:type="dxa"/>
            <w:vAlign w:val="center"/>
          </w:tcPr>
          <w:p w:rsidR="00397AD8" w:rsidRPr="0052676F" w:rsidRDefault="002F23ED" w:rsidP="0052676F">
            <w:pPr>
              <w:jc w:val="center"/>
              <w:rPr>
                <w:iCs/>
                <w:sz w:val="20"/>
                <w:szCs w:val="20"/>
                <w:lang w:eastAsia="en-US"/>
              </w:rPr>
            </w:pPr>
            <w:r w:rsidRPr="0052676F">
              <w:rPr>
                <w:iCs/>
                <w:sz w:val="20"/>
                <w:szCs w:val="20"/>
                <w:lang w:eastAsia="en-US"/>
              </w:rPr>
              <w:t>1</w:t>
            </w:r>
          </w:p>
        </w:tc>
        <w:tc>
          <w:tcPr>
            <w:tcW w:w="1588" w:type="dxa"/>
            <w:vAlign w:val="center"/>
          </w:tcPr>
          <w:p w:rsidR="00397AD8" w:rsidRPr="0052676F" w:rsidRDefault="002F23ED" w:rsidP="0052676F">
            <w:pPr>
              <w:jc w:val="center"/>
              <w:rPr>
                <w:iCs/>
                <w:sz w:val="20"/>
                <w:szCs w:val="20"/>
                <w:lang w:eastAsia="en-US"/>
              </w:rPr>
            </w:pPr>
            <w:r w:rsidRPr="0052676F">
              <w:rPr>
                <w:iCs/>
                <w:sz w:val="20"/>
                <w:szCs w:val="20"/>
                <w:lang w:eastAsia="en-US"/>
              </w:rPr>
              <w:t>2</w:t>
            </w:r>
          </w:p>
        </w:tc>
        <w:tc>
          <w:tcPr>
            <w:tcW w:w="1588" w:type="dxa"/>
            <w:vAlign w:val="center"/>
          </w:tcPr>
          <w:p w:rsidR="00397AD8" w:rsidRPr="0052676F" w:rsidRDefault="002F23ED" w:rsidP="0052676F">
            <w:pPr>
              <w:jc w:val="center"/>
              <w:rPr>
                <w:iCs/>
                <w:sz w:val="20"/>
                <w:szCs w:val="20"/>
                <w:lang w:eastAsia="en-US"/>
              </w:rPr>
            </w:pPr>
            <w:r w:rsidRPr="0052676F">
              <w:rPr>
                <w:iCs/>
                <w:sz w:val="20"/>
                <w:szCs w:val="20"/>
                <w:lang w:eastAsia="en-US"/>
              </w:rPr>
              <w:t>3</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4</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5</w:t>
            </w:r>
          </w:p>
        </w:tc>
        <w:tc>
          <w:tcPr>
            <w:tcW w:w="1418" w:type="dxa"/>
            <w:vAlign w:val="center"/>
          </w:tcPr>
          <w:p w:rsidR="00397AD8" w:rsidRPr="0052676F" w:rsidRDefault="002F23ED" w:rsidP="0052676F">
            <w:pPr>
              <w:jc w:val="center"/>
              <w:rPr>
                <w:iCs/>
                <w:sz w:val="20"/>
                <w:szCs w:val="20"/>
                <w:lang w:eastAsia="en-US"/>
              </w:rPr>
            </w:pPr>
            <w:r w:rsidRPr="0052676F">
              <w:rPr>
                <w:iCs/>
                <w:sz w:val="20"/>
                <w:szCs w:val="20"/>
                <w:lang w:eastAsia="en-US"/>
              </w:rPr>
              <w:t>6</w:t>
            </w:r>
          </w:p>
        </w:tc>
      </w:tr>
      <w:tr w:rsidR="00397AD8" w:rsidRPr="00BA65F4" w:rsidTr="001B521A">
        <w:tc>
          <w:tcPr>
            <w:tcW w:w="1644" w:type="dxa"/>
          </w:tcPr>
          <w:p w:rsidR="00397AD8" w:rsidRPr="00BA65F4" w:rsidRDefault="002F23ED" w:rsidP="00F47F43">
            <w:pPr>
              <w:rPr>
                <w:iCs/>
                <w:sz w:val="24"/>
                <w:lang w:eastAsia="en-US"/>
              </w:rPr>
            </w:pPr>
            <w:r w:rsidRPr="00BA65F4">
              <w:rPr>
                <w:iCs/>
                <w:sz w:val="24"/>
                <w:lang w:eastAsia="en-US"/>
              </w:rPr>
              <w:t>1. Budžeta ieņēmumi:</w:t>
            </w:r>
          </w:p>
        </w:tc>
        <w:tc>
          <w:tcPr>
            <w:tcW w:w="1588" w:type="dxa"/>
          </w:tcPr>
          <w:p w:rsidR="00397AD8" w:rsidRPr="00BA65F4" w:rsidRDefault="002F23ED" w:rsidP="00F47F43">
            <w:pPr>
              <w:rPr>
                <w:iCs/>
                <w:sz w:val="24"/>
                <w:lang w:eastAsia="en-US"/>
              </w:rPr>
            </w:pPr>
            <w:r w:rsidRPr="00BA65F4">
              <w:rPr>
                <w:iCs/>
                <w:sz w:val="24"/>
                <w:lang w:eastAsia="en-US"/>
              </w:rPr>
              <w:t>0</w:t>
            </w:r>
          </w:p>
        </w:tc>
        <w:tc>
          <w:tcPr>
            <w:tcW w:w="1588" w:type="dxa"/>
          </w:tcPr>
          <w:p w:rsidR="00397AD8" w:rsidRPr="00BA65F4" w:rsidRDefault="002F23ED" w:rsidP="00F47F43">
            <w:pPr>
              <w:rPr>
                <w:iCs/>
                <w:sz w:val="24"/>
                <w:lang w:eastAsia="en-US"/>
              </w:rPr>
            </w:pPr>
            <w:r w:rsidRPr="00BA65F4">
              <w:rPr>
                <w:iCs/>
                <w:sz w:val="24"/>
                <w:lang w:eastAsia="en-US"/>
              </w:rPr>
              <w:t>0</w:t>
            </w:r>
          </w:p>
        </w:tc>
        <w:tc>
          <w:tcPr>
            <w:tcW w:w="1418" w:type="dxa"/>
          </w:tcPr>
          <w:p w:rsidR="00397AD8" w:rsidRPr="00BA65F4" w:rsidRDefault="002F23ED" w:rsidP="00F47F43">
            <w:pPr>
              <w:rPr>
                <w:iCs/>
                <w:sz w:val="24"/>
                <w:lang w:eastAsia="en-US"/>
              </w:rPr>
            </w:pPr>
            <w:r w:rsidRPr="00BA65F4">
              <w:rPr>
                <w:iCs/>
                <w:sz w:val="24"/>
                <w:lang w:eastAsia="en-US"/>
              </w:rPr>
              <w:t>0</w:t>
            </w:r>
          </w:p>
        </w:tc>
        <w:tc>
          <w:tcPr>
            <w:tcW w:w="1418" w:type="dxa"/>
          </w:tcPr>
          <w:p w:rsidR="00397AD8" w:rsidRPr="00BA65F4" w:rsidRDefault="002F23ED" w:rsidP="00F47F43">
            <w:pPr>
              <w:rPr>
                <w:iCs/>
                <w:sz w:val="24"/>
                <w:lang w:eastAsia="en-US"/>
              </w:rPr>
            </w:pPr>
            <w:r w:rsidRPr="00BA65F4">
              <w:rPr>
                <w:iCs/>
                <w:sz w:val="24"/>
                <w:lang w:eastAsia="en-US"/>
              </w:rPr>
              <w:t>0</w:t>
            </w:r>
          </w:p>
        </w:tc>
        <w:tc>
          <w:tcPr>
            <w:tcW w:w="1418" w:type="dxa"/>
          </w:tcPr>
          <w:p w:rsidR="00397AD8" w:rsidRPr="00BA65F4" w:rsidRDefault="002F23ED" w:rsidP="00F47F43">
            <w:pPr>
              <w:rPr>
                <w:iCs/>
                <w:sz w:val="24"/>
                <w:lang w:eastAsia="en-US"/>
              </w:rPr>
            </w:pPr>
            <w:r w:rsidRPr="00BA65F4">
              <w:rPr>
                <w:iCs/>
                <w:sz w:val="24"/>
                <w:lang w:eastAsia="en-US"/>
              </w:rPr>
              <w:t>0</w:t>
            </w:r>
          </w:p>
        </w:tc>
      </w:tr>
      <w:tr w:rsidR="002F23ED" w:rsidRPr="00BA65F4" w:rsidTr="001B521A">
        <w:tc>
          <w:tcPr>
            <w:tcW w:w="1644" w:type="dxa"/>
          </w:tcPr>
          <w:p w:rsidR="002F23ED" w:rsidRPr="00BA65F4" w:rsidRDefault="002F23ED" w:rsidP="00F47F43">
            <w:pPr>
              <w:rPr>
                <w:iCs/>
                <w:sz w:val="24"/>
                <w:lang w:eastAsia="en-US"/>
              </w:rPr>
            </w:pPr>
            <w:r w:rsidRPr="00BA65F4">
              <w:rPr>
                <w:iCs/>
                <w:sz w:val="24"/>
                <w:lang w:eastAsia="en-US"/>
              </w:rPr>
              <w:t>2. Budžeta izdevumi:</w:t>
            </w:r>
          </w:p>
        </w:tc>
        <w:tc>
          <w:tcPr>
            <w:tcW w:w="1588" w:type="dxa"/>
          </w:tcPr>
          <w:p w:rsidR="002F23ED" w:rsidRPr="00BA65F4" w:rsidRDefault="002F23ED" w:rsidP="00F47F43">
            <w:pPr>
              <w:rPr>
                <w:iCs/>
                <w:sz w:val="24"/>
                <w:lang w:eastAsia="en-US"/>
              </w:rPr>
            </w:pPr>
            <w:r w:rsidRPr="00BA65F4">
              <w:rPr>
                <w:iCs/>
                <w:sz w:val="24"/>
                <w:lang w:eastAsia="en-US"/>
              </w:rPr>
              <w:t>0</w:t>
            </w:r>
          </w:p>
        </w:tc>
        <w:tc>
          <w:tcPr>
            <w:tcW w:w="158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r>
      <w:tr w:rsidR="002F23ED" w:rsidRPr="00BA65F4" w:rsidTr="001B521A">
        <w:tc>
          <w:tcPr>
            <w:tcW w:w="1644" w:type="dxa"/>
          </w:tcPr>
          <w:p w:rsidR="002F23ED" w:rsidRPr="00BA65F4" w:rsidRDefault="002F23ED" w:rsidP="00F47F43">
            <w:pPr>
              <w:rPr>
                <w:iCs/>
                <w:sz w:val="24"/>
                <w:lang w:eastAsia="en-US"/>
              </w:rPr>
            </w:pPr>
            <w:r w:rsidRPr="00BA65F4">
              <w:rPr>
                <w:iCs/>
                <w:sz w:val="24"/>
                <w:lang w:eastAsia="en-US"/>
              </w:rPr>
              <w:t>3. Finansiālā ietekme:</w:t>
            </w:r>
          </w:p>
        </w:tc>
        <w:tc>
          <w:tcPr>
            <w:tcW w:w="1588" w:type="dxa"/>
          </w:tcPr>
          <w:p w:rsidR="002F23ED" w:rsidRPr="00BA65F4" w:rsidRDefault="002F23ED" w:rsidP="00F47F43">
            <w:pPr>
              <w:rPr>
                <w:iCs/>
                <w:sz w:val="24"/>
                <w:lang w:eastAsia="en-US"/>
              </w:rPr>
            </w:pPr>
            <w:r w:rsidRPr="00BA65F4">
              <w:rPr>
                <w:iCs/>
                <w:sz w:val="24"/>
                <w:lang w:eastAsia="en-US"/>
              </w:rPr>
              <w:t>0</w:t>
            </w:r>
          </w:p>
        </w:tc>
        <w:tc>
          <w:tcPr>
            <w:tcW w:w="158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r>
      <w:tr w:rsidR="002F23ED" w:rsidRPr="00BA65F4" w:rsidTr="001B521A">
        <w:tc>
          <w:tcPr>
            <w:tcW w:w="1644" w:type="dxa"/>
          </w:tcPr>
          <w:p w:rsidR="002F23ED" w:rsidRPr="00BA65F4" w:rsidRDefault="002F23ED" w:rsidP="002F23ED">
            <w:pPr>
              <w:rPr>
                <w:iCs/>
                <w:sz w:val="24"/>
                <w:lang w:eastAsia="en-US"/>
              </w:rPr>
            </w:pPr>
            <w:r w:rsidRPr="00BA65F4">
              <w:rPr>
                <w:iCs/>
                <w:sz w:val="24"/>
                <w:lang w:eastAsia="en-US"/>
              </w:rPr>
              <w:lastRenderedPageBreak/>
              <w:t>4. Finanšu līdzekļi papildu izdevumu</w:t>
            </w:r>
          </w:p>
          <w:p w:rsidR="002F23ED" w:rsidRPr="00BA65F4" w:rsidRDefault="002F23ED" w:rsidP="002F23ED">
            <w:pPr>
              <w:rPr>
                <w:iCs/>
                <w:sz w:val="24"/>
                <w:lang w:eastAsia="en-US"/>
              </w:rPr>
            </w:pPr>
            <w:r w:rsidRPr="00BA65F4">
              <w:rPr>
                <w:iCs/>
                <w:sz w:val="24"/>
                <w:lang w:eastAsia="en-US"/>
              </w:rPr>
              <w:t>finansēšanai (kompensējošu izdevumu</w:t>
            </w:r>
          </w:p>
          <w:p w:rsidR="002F23ED" w:rsidRPr="00BA65F4" w:rsidRDefault="002F23ED" w:rsidP="002F23ED">
            <w:pPr>
              <w:rPr>
                <w:iCs/>
                <w:sz w:val="24"/>
                <w:lang w:eastAsia="en-US"/>
              </w:rPr>
            </w:pPr>
            <w:r w:rsidRPr="00BA65F4">
              <w:rPr>
                <w:iCs/>
                <w:sz w:val="24"/>
                <w:lang w:eastAsia="en-US"/>
              </w:rPr>
              <w:t>samazinājumu norāda ar "+" zīmi)</w:t>
            </w:r>
          </w:p>
        </w:tc>
        <w:tc>
          <w:tcPr>
            <w:tcW w:w="1588" w:type="dxa"/>
          </w:tcPr>
          <w:p w:rsidR="002F23ED" w:rsidRPr="00BA65F4" w:rsidRDefault="002F23ED" w:rsidP="002F23ED">
            <w:pPr>
              <w:ind w:left="720" w:hanging="720"/>
              <w:jc w:val="center"/>
              <w:rPr>
                <w:iCs/>
                <w:sz w:val="24"/>
                <w:lang w:eastAsia="en-US"/>
              </w:rPr>
            </w:pPr>
            <w:r w:rsidRPr="00BA65F4">
              <w:rPr>
                <w:iCs/>
                <w:sz w:val="24"/>
                <w:lang w:eastAsia="en-US"/>
              </w:rPr>
              <w:t>X</w:t>
            </w:r>
          </w:p>
        </w:tc>
        <w:tc>
          <w:tcPr>
            <w:tcW w:w="158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r>
      <w:tr w:rsidR="002F23ED" w:rsidRPr="00BA65F4" w:rsidTr="001B521A">
        <w:tc>
          <w:tcPr>
            <w:tcW w:w="1644" w:type="dxa"/>
          </w:tcPr>
          <w:p w:rsidR="002F23ED" w:rsidRPr="00BA65F4" w:rsidRDefault="002F23ED" w:rsidP="002F23ED">
            <w:pPr>
              <w:rPr>
                <w:iCs/>
                <w:sz w:val="24"/>
                <w:lang w:eastAsia="en-US"/>
              </w:rPr>
            </w:pPr>
            <w:r w:rsidRPr="00BA65F4">
              <w:rPr>
                <w:iCs/>
                <w:sz w:val="24"/>
                <w:lang w:eastAsia="en-US"/>
              </w:rPr>
              <w:t>5. Precizēta finansiālā ietekme:</w:t>
            </w:r>
          </w:p>
        </w:tc>
        <w:tc>
          <w:tcPr>
            <w:tcW w:w="1588" w:type="dxa"/>
          </w:tcPr>
          <w:p w:rsidR="002F23ED" w:rsidRPr="00BA65F4" w:rsidRDefault="002F23ED" w:rsidP="002F23ED">
            <w:pPr>
              <w:ind w:left="720" w:hanging="720"/>
              <w:jc w:val="center"/>
              <w:rPr>
                <w:iCs/>
                <w:sz w:val="24"/>
                <w:lang w:eastAsia="en-US"/>
              </w:rPr>
            </w:pPr>
            <w:r w:rsidRPr="00BA65F4">
              <w:rPr>
                <w:iCs/>
                <w:sz w:val="24"/>
                <w:lang w:eastAsia="en-US"/>
              </w:rPr>
              <w:t>X</w:t>
            </w:r>
          </w:p>
        </w:tc>
        <w:tc>
          <w:tcPr>
            <w:tcW w:w="158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c>
          <w:tcPr>
            <w:tcW w:w="1418" w:type="dxa"/>
          </w:tcPr>
          <w:p w:rsidR="002F23ED" w:rsidRPr="00BA65F4" w:rsidRDefault="002F23ED" w:rsidP="00F47F43">
            <w:pPr>
              <w:rPr>
                <w:iCs/>
                <w:sz w:val="24"/>
                <w:lang w:eastAsia="en-US"/>
              </w:rPr>
            </w:pPr>
            <w:r w:rsidRPr="00BA65F4">
              <w:rPr>
                <w:iCs/>
                <w:sz w:val="24"/>
                <w:lang w:eastAsia="en-US"/>
              </w:rPr>
              <w:t>0</w:t>
            </w:r>
          </w:p>
        </w:tc>
      </w:tr>
      <w:tr w:rsidR="002F23ED" w:rsidRPr="00BA65F4" w:rsidTr="006D1414">
        <w:tc>
          <w:tcPr>
            <w:tcW w:w="1644" w:type="dxa"/>
          </w:tcPr>
          <w:p w:rsidR="002F23ED" w:rsidRPr="00BA65F4" w:rsidRDefault="002F23ED" w:rsidP="002F23ED">
            <w:pPr>
              <w:rPr>
                <w:iCs/>
                <w:sz w:val="24"/>
                <w:lang w:eastAsia="en-US"/>
              </w:rPr>
            </w:pPr>
            <w:r w:rsidRPr="00BA65F4">
              <w:rPr>
                <w:iCs/>
                <w:sz w:val="24"/>
                <w:lang w:eastAsia="en-US"/>
              </w:rPr>
              <w:t>6. Detalizēts ieņēmumu un izdevumu aprēķins (ja nepieciešams, detalizētu ieņēmumu un izdevumu aprēķinu var pievienot anotācijas pielikumā):</w:t>
            </w:r>
          </w:p>
        </w:tc>
        <w:tc>
          <w:tcPr>
            <w:tcW w:w="7428" w:type="dxa"/>
            <w:gridSpan w:val="5"/>
          </w:tcPr>
          <w:p w:rsidR="002F23ED" w:rsidRPr="00BA65F4" w:rsidRDefault="00884E2E" w:rsidP="00F47F43">
            <w:pPr>
              <w:rPr>
                <w:iCs/>
                <w:sz w:val="24"/>
                <w:lang w:eastAsia="en-US"/>
              </w:rPr>
            </w:pPr>
            <w:r w:rsidRPr="00BA65F4">
              <w:rPr>
                <w:iCs/>
                <w:sz w:val="24"/>
                <w:lang w:eastAsia="en-US"/>
              </w:rPr>
              <w:t>Nav</w:t>
            </w:r>
          </w:p>
        </w:tc>
      </w:tr>
      <w:tr w:rsidR="004D36DA" w:rsidRPr="00BA65F4" w:rsidTr="006D1414">
        <w:tc>
          <w:tcPr>
            <w:tcW w:w="1644" w:type="dxa"/>
          </w:tcPr>
          <w:p w:rsidR="004D36DA" w:rsidRPr="00BA65F4" w:rsidRDefault="004D36DA" w:rsidP="002F23ED">
            <w:pPr>
              <w:rPr>
                <w:iCs/>
                <w:sz w:val="24"/>
                <w:lang w:eastAsia="en-US"/>
              </w:rPr>
            </w:pPr>
            <w:r w:rsidRPr="00BA65F4">
              <w:rPr>
                <w:iCs/>
                <w:sz w:val="24"/>
                <w:lang w:eastAsia="en-US"/>
              </w:rPr>
              <w:t>7. Cita informācija</w:t>
            </w:r>
          </w:p>
        </w:tc>
        <w:tc>
          <w:tcPr>
            <w:tcW w:w="7428" w:type="dxa"/>
            <w:gridSpan w:val="5"/>
          </w:tcPr>
          <w:p w:rsidR="004D36DA" w:rsidRPr="00BA65F4" w:rsidRDefault="004D36DA" w:rsidP="00C40103">
            <w:pPr>
              <w:jc w:val="both"/>
              <w:rPr>
                <w:iCs/>
                <w:sz w:val="24"/>
                <w:lang w:eastAsia="en-US"/>
              </w:rPr>
            </w:pPr>
            <w:r w:rsidRPr="00BA65F4">
              <w:rPr>
                <w:iCs/>
                <w:sz w:val="24"/>
                <w:lang w:eastAsia="en-US"/>
              </w:rPr>
              <w:t>Noteikumu projektā ietverto prasību izpilde ir nodrošināma, izmantojot piešķirtā budžeta līdzekļus. Tiesiskais regulējums ir piemērojams, neradot papildu ietekmi uz valsts vai pašvaldību budžetiem.</w:t>
            </w:r>
          </w:p>
        </w:tc>
      </w:tr>
    </w:tbl>
    <w:p w:rsidR="00720629" w:rsidRDefault="00720629" w:rsidP="00720629">
      <w:pPr>
        <w:rPr>
          <w:lang w:eastAsia="en-US"/>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434"/>
        <w:gridCol w:w="6095"/>
      </w:tblGrid>
      <w:tr w:rsidR="00427060" w:rsidRPr="00EF1D76" w:rsidTr="00BA65F4">
        <w:tc>
          <w:tcPr>
            <w:tcW w:w="9067" w:type="dxa"/>
            <w:gridSpan w:val="3"/>
          </w:tcPr>
          <w:p w:rsidR="00427060" w:rsidRPr="00EF1D76" w:rsidRDefault="00427060" w:rsidP="00BA65F4">
            <w:pPr>
              <w:pStyle w:val="naisnod"/>
              <w:keepNext/>
              <w:spacing w:before="0" w:after="0"/>
            </w:pPr>
            <w:r w:rsidRPr="00EF1D76">
              <w:t>IV. Tiesību akta projekta ietekme uz spēkā esošo tiesību normu sistēmu</w:t>
            </w:r>
          </w:p>
        </w:tc>
      </w:tr>
      <w:tr w:rsidR="00427060" w:rsidRPr="00EF1D76" w:rsidTr="00BA65F4">
        <w:tc>
          <w:tcPr>
            <w:tcW w:w="538" w:type="dxa"/>
          </w:tcPr>
          <w:p w:rsidR="00427060" w:rsidRPr="00EF1D76" w:rsidRDefault="00427060" w:rsidP="00BA65F4">
            <w:pPr>
              <w:pStyle w:val="naiskr"/>
              <w:tabs>
                <w:tab w:val="left" w:pos="2628"/>
              </w:tabs>
              <w:spacing w:before="0" w:after="0"/>
              <w:jc w:val="center"/>
              <w:rPr>
                <w:iCs/>
              </w:rPr>
            </w:pPr>
            <w:r w:rsidRPr="00EF1D76">
              <w:rPr>
                <w:iCs/>
              </w:rPr>
              <w:t>1.</w:t>
            </w:r>
          </w:p>
        </w:tc>
        <w:tc>
          <w:tcPr>
            <w:tcW w:w="2434" w:type="dxa"/>
          </w:tcPr>
          <w:p w:rsidR="00427060" w:rsidRPr="00EF1D76" w:rsidRDefault="00427060" w:rsidP="00BA65F4">
            <w:pPr>
              <w:pStyle w:val="naiskr"/>
              <w:tabs>
                <w:tab w:val="left" w:pos="2628"/>
              </w:tabs>
              <w:spacing w:before="0" w:after="0"/>
              <w:rPr>
                <w:iCs/>
              </w:rPr>
            </w:pPr>
            <w:r w:rsidRPr="00EF1D76">
              <w:t>Nepieciešamie saistītie tiesību aktu projekti</w:t>
            </w:r>
          </w:p>
        </w:tc>
        <w:tc>
          <w:tcPr>
            <w:tcW w:w="6095" w:type="dxa"/>
          </w:tcPr>
          <w:p w:rsidR="00427060" w:rsidRPr="00EF1D76" w:rsidRDefault="00427060" w:rsidP="00BA65F4">
            <w:pPr>
              <w:pStyle w:val="naiskr"/>
              <w:tabs>
                <w:tab w:val="left" w:pos="2628"/>
              </w:tabs>
              <w:spacing w:before="0" w:after="0"/>
              <w:ind w:firstLine="175"/>
              <w:jc w:val="both"/>
              <w:rPr>
                <w:iCs/>
              </w:rPr>
            </w:pPr>
            <w:r>
              <w:rPr>
                <w:iCs/>
              </w:rPr>
              <w:t>Nav</w:t>
            </w:r>
          </w:p>
        </w:tc>
      </w:tr>
      <w:tr w:rsidR="00427060" w:rsidRPr="00EF1D76" w:rsidTr="00BA65F4">
        <w:tc>
          <w:tcPr>
            <w:tcW w:w="538" w:type="dxa"/>
          </w:tcPr>
          <w:p w:rsidR="00427060" w:rsidRPr="00EF1D76" w:rsidRDefault="00427060" w:rsidP="00BA65F4">
            <w:pPr>
              <w:pStyle w:val="naiskr"/>
              <w:tabs>
                <w:tab w:val="left" w:pos="2628"/>
              </w:tabs>
              <w:spacing w:before="0" w:after="0"/>
              <w:jc w:val="center"/>
              <w:rPr>
                <w:iCs/>
              </w:rPr>
            </w:pPr>
            <w:r>
              <w:rPr>
                <w:iCs/>
              </w:rPr>
              <w:t>2.</w:t>
            </w:r>
          </w:p>
        </w:tc>
        <w:tc>
          <w:tcPr>
            <w:tcW w:w="2434" w:type="dxa"/>
          </w:tcPr>
          <w:p w:rsidR="00427060" w:rsidRPr="00EF1D76" w:rsidRDefault="00427060" w:rsidP="00BA65F4">
            <w:pPr>
              <w:pStyle w:val="naiskr"/>
              <w:tabs>
                <w:tab w:val="left" w:pos="2628"/>
              </w:tabs>
              <w:spacing w:before="0" w:after="0"/>
            </w:pPr>
            <w:r w:rsidRPr="00427060">
              <w:t>Atbildīgā institūcija</w:t>
            </w:r>
          </w:p>
        </w:tc>
        <w:tc>
          <w:tcPr>
            <w:tcW w:w="6095" w:type="dxa"/>
          </w:tcPr>
          <w:p w:rsidR="00427060" w:rsidRDefault="00427060" w:rsidP="00BA65F4">
            <w:pPr>
              <w:pStyle w:val="naiskr"/>
              <w:tabs>
                <w:tab w:val="left" w:pos="2628"/>
              </w:tabs>
              <w:spacing w:before="0" w:after="0"/>
              <w:ind w:firstLine="175"/>
              <w:jc w:val="both"/>
              <w:rPr>
                <w:iCs/>
              </w:rPr>
            </w:pPr>
            <w:r>
              <w:rPr>
                <w:iCs/>
              </w:rPr>
              <w:t>Nav</w:t>
            </w:r>
          </w:p>
        </w:tc>
      </w:tr>
      <w:tr w:rsidR="00427060" w:rsidRPr="00EF1D76" w:rsidTr="00BA65F4">
        <w:tc>
          <w:tcPr>
            <w:tcW w:w="538" w:type="dxa"/>
          </w:tcPr>
          <w:p w:rsidR="00427060" w:rsidRDefault="00427060" w:rsidP="00BA65F4">
            <w:pPr>
              <w:pStyle w:val="naiskr"/>
              <w:tabs>
                <w:tab w:val="left" w:pos="2628"/>
              </w:tabs>
              <w:spacing w:before="0" w:after="0"/>
              <w:jc w:val="center"/>
              <w:rPr>
                <w:iCs/>
              </w:rPr>
            </w:pPr>
            <w:r>
              <w:rPr>
                <w:iCs/>
              </w:rPr>
              <w:t>3.</w:t>
            </w:r>
          </w:p>
        </w:tc>
        <w:tc>
          <w:tcPr>
            <w:tcW w:w="2434" w:type="dxa"/>
          </w:tcPr>
          <w:p w:rsidR="00427060" w:rsidRPr="00427060" w:rsidRDefault="00427060" w:rsidP="00BA65F4">
            <w:pPr>
              <w:pStyle w:val="naiskr"/>
              <w:tabs>
                <w:tab w:val="left" w:pos="2628"/>
              </w:tabs>
              <w:spacing w:before="0" w:after="0"/>
            </w:pPr>
            <w:r w:rsidRPr="00EF1D76">
              <w:t>Cita informācija</w:t>
            </w:r>
          </w:p>
        </w:tc>
        <w:tc>
          <w:tcPr>
            <w:tcW w:w="6095" w:type="dxa"/>
          </w:tcPr>
          <w:p w:rsidR="00427060" w:rsidRDefault="00427060" w:rsidP="00984184">
            <w:pPr>
              <w:pStyle w:val="naiskr"/>
              <w:tabs>
                <w:tab w:val="left" w:pos="2628"/>
              </w:tabs>
              <w:spacing w:before="0" w:after="0"/>
              <w:ind w:firstLine="175"/>
              <w:jc w:val="both"/>
              <w:rPr>
                <w:iCs/>
              </w:rPr>
            </w:pPr>
            <w:r>
              <w:rPr>
                <w:iCs/>
              </w:rPr>
              <w:t>S</w:t>
            </w:r>
            <w:r w:rsidRPr="00427060">
              <w:rPr>
                <w:iCs/>
              </w:rPr>
              <w:t>tājoties spēkā noteikumu projektam, grozījumi spēkā esošajos normatīvajos aktos</w:t>
            </w:r>
            <w:r w:rsidR="00984184">
              <w:rPr>
                <w:iCs/>
              </w:rPr>
              <w:t xml:space="preserve">, kas nosaka tādas informācijas aprites nosacījumus, kuru nodrošina, izmantojot </w:t>
            </w:r>
            <w:r w:rsidRPr="00427060">
              <w:rPr>
                <w:iCs/>
              </w:rPr>
              <w:t>savietotāj</w:t>
            </w:r>
            <w:r w:rsidR="00984184">
              <w:rPr>
                <w:iCs/>
              </w:rPr>
              <w:t>u,</w:t>
            </w:r>
            <w:r w:rsidRPr="00427060">
              <w:rPr>
                <w:iCs/>
              </w:rPr>
              <w:t xml:space="preserve"> piemēram, Ministru kabineta 2013.gada 19.novembra noteikumos Nr.1347 „Valsts informācijas sistēmu datu savietošanas kārtība nekustamā īpašuma nodokļa atvieglojumu piešķiršanai”</w:t>
            </w:r>
            <w:r w:rsidR="00984184">
              <w:rPr>
                <w:iCs/>
              </w:rPr>
              <w:t>, nav nepieciešami.</w:t>
            </w:r>
          </w:p>
        </w:tc>
      </w:tr>
    </w:tbl>
    <w:p w:rsidR="00427060" w:rsidRDefault="00427060" w:rsidP="00720629">
      <w:pPr>
        <w:rPr>
          <w:lang w:eastAsia="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57"/>
        <w:gridCol w:w="2237"/>
        <w:gridCol w:w="6378"/>
      </w:tblGrid>
      <w:tr w:rsidR="00720629" w:rsidRPr="00EF1D76" w:rsidTr="00BA65F4">
        <w:trPr>
          <w:trHeight w:val="227"/>
        </w:trPr>
        <w:tc>
          <w:tcPr>
            <w:tcW w:w="9072" w:type="dxa"/>
            <w:gridSpan w:val="3"/>
          </w:tcPr>
          <w:p w:rsidR="00720629" w:rsidRPr="00EF1D76" w:rsidRDefault="00720629" w:rsidP="00BA65F4">
            <w:pPr>
              <w:pStyle w:val="naisnod"/>
              <w:spacing w:before="0" w:after="0"/>
              <w:ind w:left="57" w:right="57"/>
            </w:pPr>
            <w:r w:rsidRPr="0034376F">
              <w:t>VI. Sabiedrības līdzdalība un komunikācijas aktivitātes</w:t>
            </w:r>
          </w:p>
        </w:tc>
      </w:tr>
      <w:tr w:rsidR="00720629" w:rsidRPr="00EF1D76" w:rsidTr="00BA65F4">
        <w:tblPrEx>
          <w:tblCellMar>
            <w:top w:w="0" w:type="dxa"/>
            <w:left w:w="108" w:type="dxa"/>
            <w:bottom w:w="0" w:type="dxa"/>
            <w:right w:w="108" w:type="dxa"/>
          </w:tblCellMar>
          <w:tblLook w:val="01E0"/>
        </w:tblPrEx>
        <w:tc>
          <w:tcPr>
            <w:tcW w:w="457" w:type="dxa"/>
          </w:tcPr>
          <w:p w:rsidR="00720629" w:rsidRPr="00EF1D76" w:rsidRDefault="00720629" w:rsidP="00BA65F4">
            <w:pPr>
              <w:outlineLvl w:val="0"/>
            </w:pPr>
            <w:r w:rsidRPr="00EF1D76">
              <w:t>1.</w:t>
            </w:r>
          </w:p>
        </w:tc>
        <w:tc>
          <w:tcPr>
            <w:tcW w:w="2237" w:type="dxa"/>
          </w:tcPr>
          <w:p w:rsidR="00720629" w:rsidRPr="00EF1D76" w:rsidRDefault="00720629" w:rsidP="00BA65F4">
            <w:pPr>
              <w:outlineLvl w:val="0"/>
            </w:pPr>
            <w:r w:rsidRPr="0034376F">
              <w:t>Plānotās sabiedrības līdzdalības un komunikācijas aktivitātes saistībā ar projektu</w:t>
            </w:r>
          </w:p>
        </w:tc>
        <w:tc>
          <w:tcPr>
            <w:tcW w:w="6378" w:type="dxa"/>
          </w:tcPr>
          <w:p w:rsidR="00720629" w:rsidRPr="00EF1D76" w:rsidRDefault="00965242" w:rsidP="0048330E">
            <w:pPr>
              <w:pStyle w:val="naiskr"/>
              <w:spacing w:before="0" w:after="0"/>
              <w:ind w:firstLine="170"/>
              <w:jc w:val="both"/>
            </w:pPr>
            <w:r>
              <w:t>Nav</w:t>
            </w:r>
          </w:p>
        </w:tc>
      </w:tr>
      <w:tr w:rsidR="00720629" w:rsidRPr="00EF1D76" w:rsidTr="00BA65F4">
        <w:tblPrEx>
          <w:tblCellMar>
            <w:top w:w="0" w:type="dxa"/>
            <w:left w:w="108" w:type="dxa"/>
            <w:bottom w:w="0" w:type="dxa"/>
            <w:right w:w="108" w:type="dxa"/>
          </w:tblCellMar>
          <w:tblLook w:val="01E0"/>
        </w:tblPrEx>
        <w:tc>
          <w:tcPr>
            <w:tcW w:w="457" w:type="dxa"/>
          </w:tcPr>
          <w:p w:rsidR="00720629" w:rsidRPr="00EF1D76" w:rsidRDefault="00720629" w:rsidP="00BA65F4">
            <w:pPr>
              <w:outlineLvl w:val="0"/>
            </w:pPr>
            <w:r>
              <w:t>2.</w:t>
            </w:r>
          </w:p>
        </w:tc>
        <w:tc>
          <w:tcPr>
            <w:tcW w:w="2237" w:type="dxa"/>
          </w:tcPr>
          <w:p w:rsidR="00720629" w:rsidRPr="0034376F" w:rsidRDefault="00720629" w:rsidP="00BA65F4">
            <w:pPr>
              <w:outlineLvl w:val="0"/>
            </w:pPr>
            <w:r w:rsidRPr="0034376F">
              <w:t>Sabiedrības līdzdalība projekta izstrādē</w:t>
            </w:r>
          </w:p>
        </w:tc>
        <w:tc>
          <w:tcPr>
            <w:tcW w:w="6378" w:type="dxa"/>
          </w:tcPr>
          <w:p w:rsidR="00720629" w:rsidRPr="0034376F" w:rsidRDefault="00720629" w:rsidP="00BA65F4">
            <w:pPr>
              <w:pStyle w:val="naiskr"/>
              <w:spacing w:before="0" w:after="0"/>
              <w:ind w:firstLine="170"/>
              <w:jc w:val="both"/>
            </w:pPr>
            <w:r>
              <w:t>Nav</w:t>
            </w:r>
          </w:p>
        </w:tc>
      </w:tr>
      <w:tr w:rsidR="00720629" w:rsidRPr="00EF1D76" w:rsidTr="00BA65F4">
        <w:tblPrEx>
          <w:tblCellMar>
            <w:top w:w="0" w:type="dxa"/>
            <w:left w:w="108" w:type="dxa"/>
            <w:bottom w:w="0" w:type="dxa"/>
            <w:right w:w="108" w:type="dxa"/>
          </w:tblCellMar>
          <w:tblLook w:val="01E0"/>
        </w:tblPrEx>
        <w:tc>
          <w:tcPr>
            <w:tcW w:w="457" w:type="dxa"/>
          </w:tcPr>
          <w:p w:rsidR="00720629" w:rsidRDefault="00720629" w:rsidP="00BA65F4">
            <w:pPr>
              <w:outlineLvl w:val="0"/>
            </w:pPr>
            <w:r>
              <w:lastRenderedPageBreak/>
              <w:t>3.</w:t>
            </w:r>
          </w:p>
        </w:tc>
        <w:tc>
          <w:tcPr>
            <w:tcW w:w="2237" w:type="dxa"/>
          </w:tcPr>
          <w:p w:rsidR="00720629" w:rsidRPr="0034376F" w:rsidRDefault="00720629" w:rsidP="00BA65F4">
            <w:pPr>
              <w:outlineLvl w:val="0"/>
            </w:pPr>
            <w:r w:rsidRPr="0034376F">
              <w:t>Sabiedrības līdzdalības rezultāti</w:t>
            </w:r>
          </w:p>
        </w:tc>
        <w:tc>
          <w:tcPr>
            <w:tcW w:w="6378" w:type="dxa"/>
          </w:tcPr>
          <w:p w:rsidR="00720629" w:rsidRDefault="00720629" w:rsidP="00BA65F4">
            <w:pPr>
              <w:pStyle w:val="naiskr"/>
              <w:spacing w:before="0" w:after="0"/>
              <w:ind w:firstLine="170"/>
              <w:jc w:val="both"/>
            </w:pPr>
            <w:r>
              <w:t>Nav</w:t>
            </w:r>
          </w:p>
        </w:tc>
      </w:tr>
      <w:tr w:rsidR="00720629" w:rsidRPr="00EF1D76" w:rsidTr="00BA65F4">
        <w:tblPrEx>
          <w:tblCellMar>
            <w:top w:w="0" w:type="dxa"/>
            <w:left w:w="108" w:type="dxa"/>
            <w:bottom w:w="0" w:type="dxa"/>
            <w:right w:w="108" w:type="dxa"/>
          </w:tblCellMar>
          <w:tblLook w:val="01E0"/>
        </w:tblPrEx>
        <w:tc>
          <w:tcPr>
            <w:tcW w:w="457" w:type="dxa"/>
          </w:tcPr>
          <w:p w:rsidR="00720629" w:rsidRDefault="00720629" w:rsidP="00BA65F4">
            <w:pPr>
              <w:outlineLvl w:val="0"/>
            </w:pPr>
            <w:r>
              <w:t>4.</w:t>
            </w:r>
          </w:p>
        </w:tc>
        <w:tc>
          <w:tcPr>
            <w:tcW w:w="2237" w:type="dxa"/>
          </w:tcPr>
          <w:p w:rsidR="00720629" w:rsidRPr="003E19DE" w:rsidRDefault="00720629" w:rsidP="00BA65F4">
            <w:pPr>
              <w:outlineLvl w:val="0"/>
            </w:pPr>
            <w:r>
              <w:t>Cita informācija</w:t>
            </w:r>
          </w:p>
        </w:tc>
        <w:tc>
          <w:tcPr>
            <w:tcW w:w="6378" w:type="dxa"/>
          </w:tcPr>
          <w:p w:rsidR="00720629" w:rsidRDefault="00965242" w:rsidP="00965242">
            <w:pPr>
              <w:pStyle w:val="naiskr"/>
              <w:spacing w:before="0" w:after="0"/>
              <w:ind w:firstLine="170"/>
              <w:jc w:val="both"/>
            </w:pPr>
            <w:r>
              <w:t>Noteikumu projekts nosaka</w:t>
            </w:r>
            <w:r w:rsidRPr="00965242">
              <w:t xml:space="preserve"> </w:t>
            </w:r>
            <w:r>
              <w:t>valsts informācijas sistēmu jomā</w:t>
            </w:r>
            <w:r w:rsidRPr="00965242">
              <w:t xml:space="preserve"> </w:t>
            </w:r>
            <w:r>
              <w:t>nepieciešamo</w:t>
            </w:r>
            <w:r w:rsidRPr="00965242">
              <w:t xml:space="preserve"> tiesisko regulējumu attiecībā </w:t>
            </w:r>
            <w:r>
              <w:t>uz informācijas aprites nodrošināšanu, izmantojot savietotāju, un ar to saistīto sadarbību starp sistēmu pārziņiem un savietotāja pārzini.</w:t>
            </w:r>
            <w:r w:rsidRPr="00965242">
              <w:t xml:space="preserve"> </w:t>
            </w:r>
            <w:r>
              <w:t>Šīs regulējums n</w:t>
            </w:r>
            <w:r w:rsidRPr="00965242">
              <w:t xml:space="preserve">eietekmē sabiedrības intereses, tāpēc nodrošināt sabiedrības līdzdalību </w:t>
            </w:r>
            <w:r>
              <w:t xml:space="preserve">šī noteikumu projekta izstrādē </w:t>
            </w:r>
            <w:r w:rsidRPr="00965242">
              <w:t>nav nepieciešams.</w:t>
            </w:r>
            <w:r w:rsidR="000548B2">
              <w:t xml:space="preserve"> Savukārt VARAM ir rīkojusi informatīvo sapulci ar valsts informācijas sistēmu pārziņiem, kuri izmanto VRAA pārziņā esošo savietotāju attiecīgajās valsts informācijas sistēmās iekļaujamās informācijas aprites nodrošināšanai, lai apspriestu </w:t>
            </w:r>
            <w:r w:rsidR="000548B2" w:rsidRPr="00EC3352">
              <w:t>darbīb</w:t>
            </w:r>
            <w:r w:rsidR="000548B2">
              <w:t>as</w:t>
            </w:r>
            <w:r w:rsidR="000548B2" w:rsidRPr="00EC3352">
              <w:t>, kas ir veicamas</w:t>
            </w:r>
            <w:r w:rsidR="000548B2">
              <w:t xml:space="preserve"> atbilstoši noteikumu projektā ietvertajam tiesiskajam regulējumam</w:t>
            </w:r>
            <w:r w:rsidR="000548B2" w:rsidRPr="00EC3352">
              <w:t xml:space="preserve">, lai uzsāktu </w:t>
            </w:r>
            <w:r w:rsidR="000548B2">
              <w:t>VRAA</w:t>
            </w:r>
            <w:r w:rsidR="000548B2" w:rsidRPr="00EC3352">
              <w:t xml:space="preserve"> pārziņā esošā savietotāja izmantošanu, kā arī informācijas apriti, kuru nodrošina, izmantojot šo savietotāju</w:t>
            </w:r>
            <w:r w:rsidR="000548B2">
              <w:t>.</w:t>
            </w:r>
          </w:p>
        </w:tc>
      </w:tr>
    </w:tbl>
    <w:p w:rsidR="00397AD8" w:rsidRDefault="00397AD8" w:rsidP="00F47F43">
      <w:pPr>
        <w:rPr>
          <w:iCs/>
          <w:lang w:eastAsia="en-U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57"/>
        <w:gridCol w:w="2237"/>
        <w:gridCol w:w="6378"/>
      </w:tblGrid>
      <w:tr w:rsidR="0034376F" w:rsidRPr="00EF1D76" w:rsidTr="008C30FF">
        <w:trPr>
          <w:trHeight w:val="227"/>
        </w:trPr>
        <w:tc>
          <w:tcPr>
            <w:tcW w:w="9072" w:type="dxa"/>
            <w:gridSpan w:val="3"/>
          </w:tcPr>
          <w:p w:rsidR="0034376F" w:rsidRPr="00EF1D76" w:rsidRDefault="0034376F" w:rsidP="00EC3352">
            <w:pPr>
              <w:pStyle w:val="naisnod"/>
              <w:keepNext/>
              <w:spacing w:before="0" w:after="0"/>
              <w:ind w:left="57" w:right="57"/>
            </w:pPr>
            <w:r w:rsidRPr="0034376F">
              <w:t>VII. Tiesību akta projekta izpildes nodrošināšana un tās ietekme uz institūcijām</w:t>
            </w:r>
          </w:p>
        </w:tc>
      </w:tr>
      <w:tr w:rsidR="0034376F" w:rsidRPr="00EF1D76" w:rsidTr="008C30FF">
        <w:tblPrEx>
          <w:tblCellMar>
            <w:top w:w="0" w:type="dxa"/>
            <w:left w:w="108" w:type="dxa"/>
            <w:bottom w:w="0" w:type="dxa"/>
            <w:right w:w="108" w:type="dxa"/>
          </w:tblCellMar>
          <w:tblLook w:val="01E0"/>
        </w:tblPrEx>
        <w:tc>
          <w:tcPr>
            <w:tcW w:w="457" w:type="dxa"/>
          </w:tcPr>
          <w:p w:rsidR="0034376F" w:rsidRPr="00EF1D76" w:rsidRDefault="0034376F" w:rsidP="0034376F">
            <w:pPr>
              <w:outlineLvl w:val="0"/>
            </w:pPr>
            <w:r w:rsidRPr="00EF1D76">
              <w:t>1.</w:t>
            </w:r>
          </w:p>
        </w:tc>
        <w:tc>
          <w:tcPr>
            <w:tcW w:w="2237" w:type="dxa"/>
          </w:tcPr>
          <w:p w:rsidR="0034376F" w:rsidRPr="00EF1D76" w:rsidRDefault="0034376F" w:rsidP="0034376F">
            <w:pPr>
              <w:outlineLvl w:val="0"/>
            </w:pPr>
            <w:r w:rsidRPr="0034376F">
              <w:t>Projekta izpildē iesaistītās institūcijas</w:t>
            </w:r>
          </w:p>
        </w:tc>
        <w:tc>
          <w:tcPr>
            <w:tcW w:w="6378" w:type="dxa"/>
          </w:tcPr>
          <w:p w:rsidR="0080586F" w:rsidRDefault="0080586F" w:rsidP="0080586F">
            <w:pPr>
              <w:pStyle w:val="naiskr"/>
              <w:spacing w:before="0" w:after="0"/>
              <w:ind w:firstLine="170"/>
              <w:jc w:val="both"/>
            </w:pPr>
            <w:r>
              <w:t>Valsts informācijas sistēmu pārziņi, kuri s</w:t>
            </w:r>
            <w:r w:rsidRPr="0080586F">
              <w:t>askaņā ar normatīvajiem aktiem par valsts i</w:t>
            </w:r>
            <w:r>
              <w:t>nformācijas sistēmām ir pieņēmuši</w:t>
            </w:r>
            <w:r w:rsidRPr="0080586F">
              <w:t xml:space="preserve"> lēmumu nodrošināt informācijas apriti ar savietotāja palīdzību</w:t>
            </w:r>
            <w:r>
              <w:t>.</w:t>
            </w:r>
          </w:p>
          <w:p w:rsidR="0080586F" w:rsidRDefault="0080586F" w:rsidP="0080586F">
            <w:pPr>
              <w:pStyle w:val="naiskr"/>
              <w:spacing w:before="0" w:after="0"/>
              <w:ind w:firstLine="170"/>
              <w:jc w:val="both"/>
            </w:pPr>
            <w:r w:rsidRPr="0080586F">
              <w:t xml:space="preserve">Savietotāja </w:t>
            </w:r>
            <w:r>
              <w:t>pārziņi</w:t>
            </w:r>
            <w:r w:rsidRPr="0080586F">
              <w:t xml:space="preserve"> neatkarīgi no savietotāja darbības jomas</w:t>
            </w:r>
            <w:r>
              <w:t xml:space="preserve"> (t.sk. VRAA).</w:t>
            </w:r>
          </w:p>
          <w:p w:rsidR="0034376F" w:rsidRPr="00EF1D76" w:rsidRDefault="0080586F" w:rsidP="0080586F">
            <w:pPr>
              <w:pStyle w:val="naiskr"/>
              <w:spacing w:before="0" w:after="0"/>
              <w:ind w:firstLine="170"/>
              <w:jc w:val="both"/>
            </w:pPr>
            <w:r>
              <w:t xml:space="preserve">Vadošā institūcija </w:t>
            </w:r>
            <w:r>
              <w:rPr>
                <w:rStyle w:val="spelle"/>
              </w:rPr>
              <w:t>valsts informācijas un komunikācijas tehnoloģiju jomā (VARAM).</w:t>
            </w:r>
          </w:p>
        </w:tc>
      </w:tr>
      <w:tr w:rsidR="00643002" w:rsidRPr="00EF1D76" w:rsidTr="008C30FF">
        <w:tblPrEx>
          <w:tblCellMar>
            <w:top w:w="0" w:type="dxa"/>
            <w:left w:w="108" w:type="dxa"/>
            <w:bottom w:w="0" w:type="dxa"/>
            <w:right w:w="108" w:type="dxa"/>
          </w:tblCellMar>
          <w:tblLook w:val="01E0"/>
        </w:tblPrEx>
        <w:tc>
          <w:tcPr>
            <w:tcW w:w="457" w:type="dxa"/>
          </w:tcPr>
          <w:p w:rsidR="00643002" w:rsidRPr="00EF1D76" w:rsidRDefault="00643002" w:rsidP="0034376F">
            <w:pPr>
              <w:outlineLvl w:val="0"/>
            </w:pPr>
            <w:r>
              <w:t>2.</w:t>
            </w:r>
          </w:p>
        </w:tc>
        <w:tc>
          <w:tcPr>
            <w:tcW w:w="2237" w:type="dxa"/>
          </w:tcPr>
          <w:p w:rsidR="00643002" w:rsidRPr="0034376F" w:rsidRDefault="00643002" w:rsidP="0034376F">
            <w:pPr>
              <w:outlineLvl w:val="0"/>
            </w:pPr>
            <w:r w:rsidRPr="00643002">
              <w:t>Projekta izpildes ietekme uz pārvaldes funkcijām un institucionālo struktūru</w:t>
            </w:r>
          </w:p>
        </w:tc>
        <w:tc>
          <w:tcPr>
            <w:tcW w:w="6378" w:type="dxa"/>
          </w:tcPr>
          <w:p w:rsidR="00643002" w:rsidRPr="00643002" w:rsidRDefault="00634963" w:rsidP="003C0CCD">
            <w:pPr>
              <w:pStyle w:val="naiskr"/>
              <w:spacing w:before="0" w:after="0"/>
              <w:ind w:firstLine="170"/>
              <w:jc w:val="both"/>
            </w:pPr>
            <w:r w:rsidRPr="00634963">
              <w:t xml:space="preserve">Noteikumu projekts tiks </w:t>
            </w:r>
            <w:r w:rsidR="003C0CCD">
              <w:t xml:space="preserve">izpildīts, izmantojot iesaistītajām institūcijām pieejamos </w:t>
            </w:r>
            <w:r w:rsidRPr="00634963">
              <w:t>cilvēkresursu</w:t>
            </w:r>
            <w:r w:rsidR="003C0CCD">
              <w:t>s.</w:t>
            </w:r>
          </w:p>
        </w:tc>
      </w:tr>
      <w:tr w:rsidR="00643002" w:rsidRPr="00EF1D76" w:rsidTr="008C30FF">
        <w:tblPrEx>
          <w:tblCellMar>
            <w:top w:w="0" w:type="dxa"/>
            <w:left w:w="108" w:type="dxa"/>
            <w:bottom w:w="0" w:type="dxa"/>
            <w:right w:w="108" w:type="dxa"/>
          </w:tblCellMar>
          <w:tblLook w:val="01E0"/>
        </w:tblPrEx>
        <w:tc>
          <w:tcPr>
            <w:tcW w:w="457" w:type="dxa"/>
          </w:tcPr>
          <w:p w:rsidR="00643002" w:rsidRDefault="00643002" w:rsidP="0034376F">
            <w:pPr>
              <w:outlineLvl w:val="0"/>
            </w:pPr>
            <w:r>
              <w:t>3.</w:t>
            </w:r>
          </w:p>
        </w:tc>
        <w:tc>
          <w:tcPr>
            <w:tcW w:w="2237" w:type="dxa"/>
          </w:tcPr>
          <w:p w:rsidR="00643002" w:rsidRPr="00643002" w:rsidRDefault="00643002" w:rsidP="0034376F">
            <w:pPr>
              <w:outlineLvl w:val="0"/>
            </w:pPr>
            <w:r>
              <w:t>Cita informācija</w:t>
            </w:r>
          </w:p>
        </w:tc>
        <w:tc>
          <w:tcPr>
            <w:tcW w:w="6378" w:type="dxa"/>
          </w:tcPr>
          <w:p w:rsidR="00643002" w:rsidRPr="00643002" w:rsidRDefault="00643002" w:rsidP="0034376F">
            <w:pPr>
              <w:pStyle w:val="naiskr"/>
              <w:spacing w:before="0" w:after="0"/>
              <w:ind w:firstLine="170"/>
              <w:jc w:val="both"/>
            </w:pPr>
            <w:r>
              <w:t>Nav</w:t>
            </w:r>
          </w:p>
        </w:tc>
      </w:tr>
    </w:tbl>
    <w:p w:rsidR="006D1414" w:rsidRDefault="006D1414" w:rsidP="006D1414">
      <w:pPr>
        <w:rPr>
          <w:iCs/>
          <w:lang w:eastAsia="en-US"/>
        </w:rPr>
      </w:pPr>
    </w:p>
    <w:p w:rsidR="006D1414" w:rsidRDefault="006D1414" w:rsidP="006D1414">
      <w:pPr>
        <w:ind w:firstLine="709"/>
        <w:jc w:val="both"/>
        <w:rPr>
          <w:iCs/>
          <w:lang w:eastAsia="en-US"/>
        </w:rPr>
      </w:pPr>
      <w:r>
        <w:rPr>
          <w:iCs/>
          <w:lang w:eastAsia="en-US"/>
        </w:rPr>
        <w:t>Anotācijas V </w:t>
      </w:r>
      <w:r w:rsidRPr="006D1414">
        <w:rPr>
          <w:iCs/>
          <w:lang w:eastAsia="en-US"/>
        </w:rPr>
        <w:t xml:space="preserve">sadaļa – </w:t>
      </w:r>
      <w:r w:rsidR="00A139BB">
        <w:rPr>
          <w:iCs/>
          <w:lang w:eastAsia="en-US"/>
        </w:rPr>
        <w:t xml:space="preserve">noteikumu </w:t>
      </w:r>
      <w:r w:rsidRPr="006D1414">
        <w:rPr>
          <w:iCs/>
          <w:lang w:eastAsia="en-US"/>
        </w:rPr>
        <w:t>projekts šo jomu neskar</w:t>
      </w:r>
      <w:r w:rsidR="00A139BB">
        <w:rPr>
          <w:iCs/>
          <w:lang w:eastAsia="en-US"/>
        </w:rPr>
        <w:t>.</w:t>
      </w:r>
    </w:p>
    <w:p w:rsidR="00643002" w:rsidRPr="004148CE" w:rsidRDefault="00643002" w:rsidP="00643002">
      <w:pPr>
        <w:pStyle w:val="naisf"/>
        <w:tabs>
          <w:tab w:val="left" w:pos="6840"/>
        </w:tabs>
        <w:spacing w:before="600" w:after="0"/>
        <w:ind w:left="720" w:firstLine="0"/>
        <w:jc w:val="left"/>
        <w:rPr>
          <w:szCs w:val="28"/>
        </w:rPr>
      </w:pPr>
      <w:r w:rsidRPr="004148CE">
        <w:rPr>
          <w:szCs w:val="28"/>
        </w:rPr>
        <w:t>Vides aizsardzības un reģionālās attīstības</w:t>
      </w:r>
      <w:r>
        <w:rPr>
          <w:szCs w:val="28"/>
        </w:rPr>
        <w:br/>
        <w:t>ministrs</w:t>
      </w:r>
      <w:r>
        <w:rPr>
          <w:szCs w:val="28"/>
        </w:rPr>
        <w:tab/>
      </w:r>
      <w:r w:rsidRPr="00643002">
        <w:rPr>
          <w:szCs w:val="28"/>
        </w:rPr>
        <w:t>K.Gerhards</w:t>
      </w:r>
    </w:p>
    <w:p w:rsidR="00643002" w:rsidRPr="004334D7" w:rsidRDefault="00643002" w:rsidP="002258AD">
      <w:pPr>
        <w:pStyle w:val="FootnoteText"/>
        <w:tabs>
          <w:tab w:val="left" w:pos="6840"/>
        </w:tabs>
        <w:spacing w:before="360"/>
        <w:ind w:left="720"/>
        <w:rPr>
          <w:bCs/>
          <w:sz w:val="24"/>
          <w:szCs w:val="24"/>
        </w:rPr>
      </w:pPr>
      <w:r w:rsidRPr="004334D7">
        <w:rPr>
          <w:sz w:val="24"/>
          <w:szCs w:val="24"/>
        </w:rPr>
        <w:t>Vizē:</w:t>
      </w:r>
      <w:r w:rsidRPr="004334D7">
        <w:rPr>
          <w:sz w:val="24"/>
          <w:szCs w:val="24"/>
        </w:rPr>
        <w:br/>
      </w:r>
      <w:r w:rsidRPr="004334D7">
        <w:rPr>
          <w:bCs/>
          <w:sz w:val="24"/>
          <w:szCs w:val="24"/>
        </w:rPr>
        <w:t>Vides aizsardzības un reģionālās attīstības</w:t>
      </w:r>
      <w:r w:rsidRPr="004334D7">
        <w:rPr>
          <w:bCs/>
          <w:sz w:val="24"/>
          <w:szCs w:val="24"/>
        </w:rPr>
        <w:br/>
        <w:t>ministrijas valsts sekretār</w:t>
      </w:r>
      <w:r w:rsidR="00465BA1">
        <w:rPr>
          <w:bCs/>
          <w:sz w:val="24"/>
          <w:szCs w:val="24"/>
        </w:rPr>
        <w:t xml:space="preserve">a </w:t>
      </w:r>
      <w:proofErr w:type="spellStart"/>
      <w:r w:rsidR="00465BA1">
        <w:rPr>
          <w:bCs/>
          <w:sz w:val="24"/>
          <w:szCs w:val="24"/>
        </w:rPr>
        <w:t>p.i</w:t>
      </w:r>
      <w:proofErr w:type="spellEnd"/>
      <w:r w:rsidR="00465BA1">
        <w:rPr>
          <w:bCs/>
          <w:sz w:val="24"/>
          <w:szCs w:val="24"/>
        </w:rPr>
        <w:t>. –</w:t>
      </w:r>
      <w:r w:rsidR="00465BA1">
        <w:rPr>
          <w:bCs/>
          <w:sz w:val="24"/>
          <w:szCs w:val="24"/>
        </w:rPr>
        <w:br/>
      </w:r>
      <w:r w:rsidR="00465BA1" w:rsidRPr="00465BA1">
        <w:rPr>
          <w:bCs/>
          <w:sz w:val="24"/>
          <w:szCs w:val="24"/>
        </w:rPr>
        <w:t>valsts sekretāra vietniece</w:t>
      </w:r>
      <w:r w:rsidRPr="004334D7">
        <w:rPr>
          <w:bCs/>
          <w:sz w:val="24"/>
          <w:szCs w:val="24"/>
        </w:rPr>
        <w:tab/>
      </w:r>
      <w:r w:rsidR="00465BA1">
        <w:rPr>
          <w:bCs/>
          <w:sz w:val="24"/>
          <w:szCs w:val="24"/>
        </w:rPr>
        <w:t>E.Turka</w:t>
      </w:r>
    </w:p>
    <w:p w:rsidR="00643002" w:rsidRPr="00297CC7" w:rsidRDefault="00E059FE" w:rsidP="002258AD">
      <w:pPr>
        <w:spacing w:before="840"/>
        <w:rPr>
          <w:sz w:val="22"/>
          <w:szCs w:val="22"/>
        </w:rPr>
      </w:pPr>
      <w:r w:rsidRPr="00297CC7">
        <w:rPr>
          <w:sz w:val="22"/>
          <w:szCs w:val="22"/>
        </w:rPr>
        <w:fldChar w:fldCharType="begin"/>
      </w:r>
      <w:r w:rsidR="00643002" w:rsidRPr="00297CC7">
        <w:rPr>
          <w:sz w:val="22"/>
          <w:szCs w:val="22"/>
        </w:rPr>
        <w:instrText xml:space="preserve"> SAVEDATE  \@ "dd.MM.yyyy. H:mm"  \* MERGEFORMAT </w:instrText>
      </w:r>
      <w:r w:rsidRPr="00297CC7">
        <w:rPr>
          <w:sz w:val="22"/>
          <w:szCs w:val="22"/>
        </w:rPr>
        <w:fldChar w:fldCharType="separate"/>
      </w:r>
      <w:r w:rsidR="000265E1">
        <w:rPr>
          <w:noProof/>
          <w:sz w:val="22"/>
          <w:szCs w:val="22"/>
        </w:rPr>
        <w:t>12.01.2016. 20:11</w:t>
      </w:r>
      <w:r w:rsidRPr="00297CC7">
        <w:rPr>
          <w:sz w:val="22"/>
          <w:szCs w:val="22"/>
        </w:rPr>
        <w:fldChar w:fldCharType="end"/>
      </w:r>
    </w:p>
    <w:p w:rsidR="00643002" w:rsidRPr="00297CC7" w:rsidRDefault="00E059FE" w:rsidP="00643002">
      <w:pPr>
        <w:rPr>
          <w:sz w:val="22"/>
          <w:szCs w:val="22"/>
        </w:rPr>
      </w:pPr>
      <w:r w:rsidRPr="00297CC7">
        <w:rPr>
          <w:sz w:val="22"/>
          <w:szCs w:val="22"/>
        </w:rPr>
        <w:fldChar w:fldCharType="begin"/>
      </w:r>
      <w:r w:rsidR="00643002" w:rsidRPr="00297CC7">
        <w:rPr>
          <w:sz w:val="22"/>
          <w:szCs w:val="22"/>
        </w:rPr>
        <w:instrText xml:space="preserve"> NUMWORDS  \# "0"  \* MERGEFORMAT </w:instrText>
      </w:r>
      <w:r w:rsidRPr="00297CC7">
        <w:rPr>
          <w:sz w:val="22"/>
          <w:szCs w:val="22"/>
        </w:rPr>
        <w:fldChar w:fldCharType="separate"/>
      </w:r>
      <w:r w:rsidR="0077452B">
        <w:rPr>
          <w:noProof/>
          <w:sz w:val="22"/>
          <w:szCs w:val="22"/>
        </w:rPr>
        <w:t>2826</w:t>
      </w:r>
      <w:r w:rsidRPr="00297CC7">
        <w:rPr>
          <w:sz w:val="22"/>
          <w:szCs w:val="22"/>
        </w:rPr>
        <w:fldChar w:fldCharType="end"/>
      </w:r>
    </w:p>
    <w:p w:rsidR="00643002" w:rsidRDefault="00643002" w:rsidP="00643002">
      <w:pPr>
        <w:jc w:val="both"/>
        <w:outlineLvl w:val="0"/>
        <w:rPr>
          <w:sz w:val="22"/>
          <w:szCs w:val="22"/>
        </w:rPr>
      </w:pPr>
      <w:bookmarkStart w:id="0" w:name="OLE_LINK1"/>
      <w:bookmarkStart w:id="1" w:name="OLE_LINK2"/>
      <w:bookmarkStart w:id="2" w:name="OLE_LINK3"/>
      <w:r w:rsidRPr="00297CC7">
        <w:rPr>
          <w:sz w:val="22"/>
          <w:szCs w:val="22"/>
        </w:rPr>
        <w:t>Ķeņģis</w:t>
      </w:r>
      <w:r w:rsidR="00103240">
        <w:rPr>
          <w:sz w:val="22"/>
          <w:szCs w:val="22"/>
        </w:rPr>
        <w:t>,</w:t>
      </w:r>
      <w:r w:rsidRPr="00297CC7">
        <w:rPr>
          <w:sz w:val="22"/>
          <w:szCs w:val="22"/>
        </w:rPr>
        <w:t xml:space="preserve"> </w:t>
      </w:r>
      <w:r w:rsidR="00980C9C">
        <w:rPr>
          <w:sz w:val="22"/>
          <w:szCs w:val="22"/>
        </w:rPr>
        <w:t>67026929</w:t>
      </w:r>
      <w:r w:rsidR="00912C28">
        <w:rPr>
          <w:sz w:val="22"/>
          <w:szCs w:val="22"/>
        </w:rPr>
        <w:t>,</w:t>
      </w:r>
    </w:p>
    <w:p w:rsidR="00643002" w:rsidRPr="00297CC7" w:rsidRDefault="00643002" w:rsidP="00643002">
      <w:pPr>
        <w:jc w:val="both"/>
        <w:outlineLvl w:val="0"/>
        <w:rPr>
          <w:sz w:val="22"/>
          <w:szCs w:val="22"/>
        </w:rPr>
      </w:pPr>
      <w:r w:rsidRPr="00297CC7">
        <w:rPr>
          <w:sz w:val="22"/>
          <w:szCs w:val="22"/>
        </w:rPr>
        <w:t>vitalijs.kengis@varam.gov.lv</w:t>
      </w:r>
      <w:bookmarkEnd w:id="0"/>
      <w:bookmarkEnd w:id="1"/>
      <w:bookmarkEnd w:id="2"/>
    </w:p>
    <w:sectPr w:rsidR="00643002" w:rsidRPr="00297CC7" w:rsidSect="00465BA1">
      <w:headerReference w:type="default" r:id="rId8"/>
      <w:footerReference w:type="default" r:id="rId9"/>
      <w:footerReference w:type="first" r:id="rId10"/>
      <w:pgSz w:w="11907" w:h="16839" w:code="9"/>
      <w:pgMar w:top="1134" w:right="1134" w:bottom="1134" w:left="1701"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1D" w:rsidRDefault="003F0E1D" w:rsidP="00677A0F">
      <w:r>
        <w:separator/>
      </w:r>
    </w:p>
  </w:endnote>
  <w:endnote w:type="continuationSeparator" w:id="0">
    <w:p w:rsidR="003F0E1D" w:rsidRDefault="003F0E1D" w:rsidP="00677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2B" w:rsidRPr="00465BA1" w:rsidRDefault="00E059FE" w:rsidP="00EF6E5D">
    <w:pPr>
      <w:jc w:val="both"/>
      <w:rPr>
        <w:sz w:val="20"/>
        <w:szCs w:val="22"/>
      </w:rPr>
    </w:pPr>
    <w:fldSimple w:instr=" FILENAME   \* MERGEFORMAT ">
      <w:r w:rsidR="0077452B" w:rsidRPr="00555001">
        <w:rPr>
          <w:noProof/>
          <w:sz w:val="20"/>
          <w:szCs w:val="22"/>
        </w:rPr>
        <w:t>VARAManot_120116_VISS</w:t>
      </w:r>
    </w:fldSimple>
    <w:r w:rsidR="0077452B" w:rsidRPr="00465BA1">
      <w:rPr>
        <w:sz w:val="20"/>
        <w:szCs w:val="22"/>
      </w:rPr>
      <w:t>; Ministru kabineta noteikumu projekta „Valsts informācijas sistēmu savietotāja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2B" w:rsidRPr="00465BA1" w:rsidRDefault="00E059FE" w:rsidP="00664C43">
    <w:pPr>
      <w:jc w:val="both"/>
      <w:rPr>
        <w:sz w:val="20"/>
        <w:szCs w:val="22"/>
      </w:rPr>
    </w:pPr>
    <w:fldSimple w:instr=" FILENAME   \* MERGEFORMAT ">
      <w:r w:rsidR="0077452B" w:rsidRPr="00555001">
        <w:rPr>
          <w:noProof/>
          <w:sz w:val="20"/>
          <w:szCs w:val="22"/>
        </w:rPr>
        <w:t>VARAManot_120116_VISS</w:t>
      </w:r>
    </w:fldSimple>
    <w:r w:rsidR="0077452B" w:rsidRPr="00465BA1">
      <w:rPr>
        <w:sz w:val="20"/>
        <w:szCs w:val="22"/>
      </w:rPr>
      <w:t>; Ministru kabineta noteikumu projekta „Valsts informācijas sistēmu savietotāja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1D" w:rsidRDefault="003F0E1D" w:rsidP="00677A0F">
      <w:r>
        <w:separator/>
      </w:r>
    </w:p>
  </w:footnote>
  <w:footnote w:type="continuationSeparator" w:id="0">
    <w:p w:rsidR="003F0E1D" w:rsidRDefault="003F0E1D" w:rsidP="00677A0F">
      <w:r>
        <w:continuationSeparator/>
      </w:r>
    </w:p>
  </w:footnote>
  <w:footnote w:id="1">
    <w:p w:rsidR="0077452B" w:rsidRDefault="0077452B" w:rsidP="00AA6D5D">
      <w:pPr>
        <w:pStyle w:val="FootnoteText"/>
        <w:jc w:val="both"/>
      </w:pPr>
      <w:r>
        <w:rPr>
          <w:rStyle w:val="FootnoteReference"/>
        </w:rPr>
        <w:footnoteRef/>
      </w:r>
      <w:r>
        <w:t xml:space="preserve"> administratīvo izmaksu novērtējums ir iegūts, izmantojot </w:t>
      </w:r>
      <w:r w:rsidRPr="00A14308">
        <w:t>Ministru kabineta 2009.gada 15.decembra instrukcijas Nr.19 „Tiesību akta projekta sākotnējās ietekmes izvērtēšanas kārtība” 24.punktā noteikto formulu</w:t>
      </w:r>
      <w:r>
        <w:t>;</w:t>
      </w:r>
    </w:p>
  </w:footnote>
  <w:footnote w:id="2">
    <w:p w:rsidR="0077452B" w:rsidRDefault="0077452B" w:rsidP="00AA6D5D">
      <w:pPr>
        <w:pStyle w:val="FootnoteText"/>
      </w:pPr>
      <w:r>
        <w:rPr>
          <w:rStyle w:val="FootnoteReference"/>
        </w:rPr>
        <w:footnoteRef/>
      </w:r>
      <w:hyperlink r:id="rId1" w:history="1">
        <w:r w:rsidRPr="00DD2C38">
          <w:rPr>
            <w:rStyle w:val="Hyperlink"/>
          </w:rPr>
          <w:t>http://www.csb.gov.lv/statistikas-temas/darba-samaksa-galvenie-raditaji-30270.html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2B" w:rsidRPr="00465BA1" w:rsidRDefault="00E059FE">
    <w:pPr>
      <w:pStyle w:val="Header"/>
      <w:jc w:val="center"/>
      <w:rPr>
        <w:sz w:val="20"/>
        <w:szCs w:val="20"/>
      </w:rPr>
    </w:pPr>
    <w:r w:rsidRPr="00465BA1">
      <w:rPr>
        <w:sz w:val="20"/>
        <w:szCs w:val="20"/>
      </w:rPr>
      <w:fldChar w:fldCharType="begin"/>
    </w:r>
    <w:r w:rsidR="0077452B" w:rsidRPr="00465BA1">
      <w:rPr>
        <w:sz w:val="20"/>
        <w:szCs w:val="20"/>
      </w:rPr>
      <w:instrText xml:space="preserve"> PAGE   \* MERGEFORMAT </w:instrText>
    </w:r>
    <w:r w:rsidRPr="00465BA1">
      <w:rPr>
        <w:sz w:val="20"/>
        <w:szCs w:val="20"/>
      </w:rPr>
      <w:fldChar w:fldCharType="separate"/>
    </w:r>
    <w:r w:rsidR="000265E1">
      <w:rPr>
        <w:noProof/>
        <w:sz w:val="20"/>
        <w:szCs w:val="20"/>
      </w:rPr>
      <w:t>9</w:t>
    </w:r>
    <w:r w:rsidRPr="00465BA1">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4B2"/>
    <w:multiLevelType w:val="hybridMultilevel"/>
    <w:tmpl w:val="7B667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7A0F"/>
    <w:rsid w:val="00002B76"/>
    <w:rsid w:val="00004628"/>
    <w:rsid w:val="00004EE2"/>
    <w:rsid w:val="00005ACC"/>
    <w:rsid w:val="00013FE8"/>
    <w:rsid w:val="000265E1"/>
    <w:rsid w:val="00027CE1"/>
    <w:rsid w:val="000303E2"/>
    <w:rsid w:val="00031DE7"/>
    <w:rsid w:val="000336B5"/>
    <w:rsid w:val="00034E98"/>
    <w:rsid w:val="00037288"/>
    <w:rsid w:val="000378E0"/>
    <w:rsid w:val="0004038D"/>
    <w:rsid w:val="00047ACA"/>
    <w:rsid w:val="00050B47"/>
    <w:rsid w:val="00050D70"/>
    <w:rsid w:val="00053239"/>
    <w:rsid w:val="0005368A"/>
    <w:rsid w:val="000548B2"/>
    <w:rsid w:val="00062312"/>
    <w:rsid w:val="00063019"/>
    <w:rsid w:val="00063876"/>
    <w:rsid w:val="00066C04"/>
    <w:rsid w:val="000734E5"/>
    <w:rsid w:val="00080806"/>
    <w:rsid w:val="00092297"/>
    <w:rsid w:val="00095A74"/>
    <w:rsid w:val="000A3444"/>
    <w:rsid w:val="000A45EB"/>
    <w:rsid w:val="000B733B"/>
    <w:rsid w:val="000B7F63"/>
    <w:rsid w:val="000C09C3"/>
    <w:rsid w:val="000C4073"/>
    <w:rsid w:val="000C51E6"/>
    <w:rsid w:val="000C770E"/>
    <w:rsid w:val="000D1982"/>
    <w:rsid w:val="000D379A"/>
    <w:rsid w:val="000E04B3"/>
    <w:rsid w:val="000E1694"/>
    <w:rsid w:val="000E4262"/>
    <w:rsid w:val="000E620F"/>
    <w:rsid w:val="000F1524"/>
    <w:rsid w:val="000F1FA5"/>
    <w:rsid w:val="000F2485"/>
    <w:rsid w:val="000F6C33"/>
    <w:rsid w:val="000F7EA1"/>
    <w:rsid w:val="001009C8"/>
    <w:rsid w:val="00100ADD"/>
    <w:rsid w:val="00101D24"/>
    <w:rsid w:val="00103240"/>
    <w:rsid w:val="001067B2"/>
    <w:rsid w:val="0011206D"/>
    <w:rsid w:val="00113B57"/>
    <w:rsid w:val="00125CDF"/>
    <w:rsid w:val="00126152"/>
    <w:rsid w:val="001266B7"/>
    <w:rsid w:val="00127D39"/>
    <w:rsid w:val="001357D2"/>
    <w:rsid w:val="00140F3E"/>
    <w:rsid w:val="00151946"/>
    <w:rsid w:val="00155881"/>
    <w:rsid w:val="0015717A"/>
    <w:rsid w:val="00162BB2"/>
    <w:rsid w:val="00163CAF"/>
    <w:rsid w:val="00181A0C"/>
    <w:rsid w:val="00181FF2"/>
    <w:rsid w:val="0018322F"/>
    <w:rsid w:val="001878AC"/>
    <w:rsid w:val="00187C10"/>
    <w:rsid w:val="001A0A18"/>
    <w:rsid w:val="001A0CF7"/>
    <w:rsid w:val="001B0500"/>
    <w:rsid w:val="001B0905"/>
    <w:rsid w:val="001B199A"/>
    <w:rsid w:val="001B236B"/>
    <w:rsid w:val="001B521A"/>
    <w:rsid w:val="001B595D"/>
    <w:rsid w:val="001B5DC5"/>
    <w:rsid w:val="001C2E5A"/>
    <w:rsid w:val="001C429B"/>
    <w:rsid w:val="001C4DDC"/>
    <w:rsid w:val="001C5B61"/>
    <w:rsid w:val="001D18A0"/>
    <w:rsid w:val="001D4FB8"/>
    <w:rsid w:val="001E0562"/>
    <w:rsid w:val="001E084A"/>
    <w:rsid w:val="001E3608"/>
    <w:rsid w:val="001E45F7"/>
    <w:rsid w:val="001F61A2"/>
    <w:rsid w:val="001F6ED2"/>
    <w:rsid w:val="002012C6"/>
    <w:rsid w:val="002019F1"/>
    <w:rsid w:val="00207E5A"/>
    <w:rsid w:val="002107E5"/>
    <w:rsid w:val="00211450"/>
    <w:rsid w:val="00216161"/>
    <w:rsid w:val="0022382D"/>
    <w:rsid w:val="002258AD"/>
    <w:rsid w:val="002520BA"/>
    <w:rsid w:val="002561E9"/>
    <w:rsid w:val="00257570"/>
    <w:rsid w:val="00267EBA"/>
    <w:rsid w:val="00274809"/>
    <w:rsid w:val="00281345"/>
    <w:rsid w:val="00294050"/>
    <w:rsid w:val="00295703"/>
    <w:rsid w:val="002A0E29"/>
    <w:rsid w:val="002A4390"/>
    <w:rsid w:val="002B0576"/>
    <w:rsid w:val="002B2491"/>
    <w:rsid w:val="002B2E71"/>
    <w:rsid w:val="002B3C9A"/>
    <w:rsid w:val="002C1511"/>
    <w:rsid w:val="002C67C8"/>
    <w:rsid w:val="002D1D0C"/>
    <w:rsid w:val="002E4FF3"/>
    <w:rsid w:val="002F23ED"/>
    <w:rsid w:val="002F28F7"/>
    <w:rsid w:val="0031718C"/>
    <w:rsid w:val="00325AC4"/>
    <w:rsid w:val="0034376F"/>
    <w:rsid w:val="003446BB"/>
    <w:rsid w:val="003547D3"/>
    <w:rsid w:val="00354A68"/>
    <w:rsid w:val="0036103B"/>
    <w:rsid w:val="00362F25"/>
    <w:rsid w:val="00375A3D"/>
    <w:rsid w:val="003822A6"/>
    <w:rsid w:val="00383A00"/>
    <w:rsid w:val="00386855"/>
    <w:rsid w:val="0039311B"/>
    <w:rsid w:val="00397AD8"/>
    <w:rsid w:val="003A1DB8"/>
    <w:rsid w:val="003A62DD"/>
    <w:rsid w:val="003B2571"/>
    <w:rsid w:val="003B41B3"/>
    <w:rsid w:val="003C0CCD"/>
    <w:rsid w:val="003C110A"/>
    <w:rsid w:val="003C1131"/>
    <w:rsid w:val="003C3CE0"/>
    <w:rsid w:val="003C43C6"/>
    <w:rsid w:val="003C4EAF"/>
    <w:rsid w:val="003D59C6"/>
    <w:rsid w:val="003D74A8"/>
    <w:rsid w:val="003E19DE"/>
    <w:rsid w:val="003E4509"/>
    <w:rsid w:val="003E46F5"/>
    <w:rsid w:val="003F0E1D"/>
    <w:rsid w:val="003F326E"/>
    <w:rsid w:val="00402752"/>
    <w:rsid w:val="00405752"/>
    <w:rsid w:val="004202D2"/>
    <w:rsid w:val="00421721"/>
    <w:rsid w:val="004243E5"/>
    <w:rsid w:val="00427060"/>
    <w:rsid w:val="0043078A"/>
    <w:rsid w:val="00444791"/>
    <w:rsid w:val="00450660"/>
    <w:rsid w:val="004526CD"/>
    <w:rsid w:val="00456C68"/>
    <w:rsid w:val="00460787"/>
    <w:rsid w:val="0046189C"/>
    <w:rsid w:val="004642B2"/>
    <w:rsid w:val="00465BA1"/>
    <w:rsid w:val="00471C5E"/>
    <w:rsid w:val="00472501"/>
    <w:rsid w:val="00474DA4"/>
    <w:rsid w:val="00476469"/>
    <w:rsid w:val="00477417"/>
    <w:rsid w:val="00482C86"/>
    <w:rsid w:val="0048330E"/>
    <w:rsid w:val="00487A55"/>
    <w:rsid w:val="00490FE6"/>
    <w:rsid w:val="004923EE"/>
    <w:rsid w:val="00497BC1"/>
    <w:rsid w:val="004A1C1D"/>
    <w:rsid w:val="004A387E"/>
    <w:rsid w:val="004A7206"/>
    <w:rsid w:val="004C05E4"/>
    <w:rsid w:val="004D254A"/>
    <w:rsid w:val="004D3509"/>
    <w:rsid w:val="004D36DA"/>
    <w:rsid w:val="004E0656"/>
    <w:rsid w:val="004E2DCC"/>
    <w:rsid w:val="004F4D0D"/>
    <w:rsid w:val="004F51E5"/>
    <w:rsid w:val="004F740C"/>
    <w:rsid w:val="004F773D"/>
    <w:rsid w:val="005014F5"/>
    <w:rsid w:val="00503C00"/>
    <w:rsid w:val="005075AA"/>
    <w:rsid w:val="0051482F"/>
    <w:rsid w:val="00517233"/>
    <w:rsid w:val="00525296"/>
    <w:rsid w:val="0052676F"/>
    <w:rsid w:val="00535092"/>
    <w:rsid w:val="00540953"/>
    <w:rsid w:val="005419AC"/>
    <w:rsid w:val="0055037A"/>
    <w:rsid w:val="00555001"/>
    <w:rsid w:val="00570E40"/>
    <w:rsid w:val="00573BD1"/>
    <w:rsid w:val="00574A75"/>
    <w:rsid w:val="00576AEA"/>
    <w:rsid w:val="00576C39"/>
    <w:rsid w:val="00580F06"/>
    <w:rsid w:val="0059097F"/>
    <w:rsid w:val="00594ECB"/>
    <w:rsid w:val="00596EB0"/>
    <w:rsid w:val="005A0DBB"/>
    <w:rsid w:val="005A13BC"/>
    <w:rsid w:val="005A1AED"/>
    <w:rsid w:val="005B2063"/>
    <w:rsid w:val="005B3BE3"/>
    <w:rsid w:val="005B5868"/>
    <w:rsid w:val="005B64DD"/>
    <w:rsid w:val="005C60A7"/>
    <w:rsid w:val="005D0CF0"/>
    <w:rsid w:val="005D3D51"/>
    <w:rsid w:val="005D3E52"/>
    <w:rsid w:val="005E1A1F"/>
    <w:rsid w:val="005E31BC"/>
    <w:rsid w:val="005E3C79"/>
    <w:rsid w:val="005E500D"/>
    <w:rsid w:val="005F4153"/>
    <w:rsid w:val="005F68F5"/>
    <w:rsid w:val="006043A4"/>
    <w:rsid w:val="0060477D"/>
    <w:rsid w:val="006132C7"/>
    <w:rsid w:val="00613EE2"/>
    <w:rsid w:val="00616420"/>
    <w:rsid w:val="006224BD"/>
    <w:rsid w:val="006268A8"/>
    <w:rsid w:val="00627CAA"/>
    <w:rsid w:val="00631CAF"/>
    <w:rsid w:val="006324EC"/>
    <w:rsid w:val="00632D97"/>
    <w:rsid w:val="0063355D"/>
    <w:rsid w:val="00634963"/>
    <w:rsid w:val="00637C1C"/>
    <w:rsid w:val="006410B1"/>
    <w:rsid w:val="00643002"/>
    <w:rsid w:val="00644871"/>
    <w:rsid w:val="00645243"/>
    <w:rsid w:val="006515BB"/>
    <w:rsid w:val="00652349"/>
    <w:rsid w:val="00660911"/>
    <w:rsid w:val="00661740"/>
    <w:rsid w:val="00664C43"/>
    <w:rsid w:val="00664F41"/>
    <w:rsid w:val="00666116"/>
    <w:rsid w:val="0067029C"/>
    <w:rsid w:val="00672703"/>
    <w:rsid w:val="00675566"/>
    <w:rsid w:val="006758A6"/>
    <w:rsid w:val="00677A0F"/>
    <w:rsid w:val="00683834"/>
    <w:rsid w:val="006848F8"/>
    <w:rsid w:val="00685841"/>
    <w:rsid w:val="00690630"/>
    <w:rsid w:val="00691BBB"/>
    <w:rsid w:val="00692650"/>
    <w:rsid w:val="00696F7F"/>
    <w:rsid w:val="006A0AB8"/>
    <w:rsid w:val="006A1D9A"/>
    <w:rsid w:val="006A450D"/>
    <w:rsid w:val="006A4BE8"/>
    <w:rsid w:val="006B4281"/>
    <w:rsid w:val="006C19F3"/>
    <w:rsid w:val="006C58FD"/>
    <w:rsid w:val="006D1414"/>
    <w:rsid w:val="006E370F"/>
    <w:rsid w:val="006F6584"/>
    <w:rsid w:val="00717B25"/>
    <w:rsid w:val="00720629"/>
    <w:rsid w:val="00720F4E"/>
    <w:rsid w:val="00720F86"/>
    <w:rsid w:val="00725684"/>
    <w:rsid w:val="00727861"/>
    <w:rsid w:val="007439B8"/>
    <w:rsid w:val="007478F7"/>
    <w:rsid w:val="007624F5"/>
    <w:rsid w:val="00770753"/>
    <w:rsid w:val="0077452B"/>
    <w:rsid w:val="007763C0"/>
    <w:rsid w:val="00777B8E"/>
    <w:rsid w:val="007905FB"/>
    <w:rsid w:val="007A3841"/>
    <w:rsid w:val="007B081C"/>
    <w:rsid w:val="007B5F16"/>
    <w:rsid w:val="007B6CC8"/>
    <w:rsid w:val="007B7FE7"/>
    <w:rsid w:val="007C21FF"/>
    <w:rsid w:val="007C328D"/>
    <w:rsid w:val="007D4840"/>
    <w:rsid w:val="007E62FA"/>
    <w:rsid w:val="007E661F"/>
    <w:rsid w:val="007F05E3"/>
    <w:rsid w:val="007F1034"/>
    <w:rsid w:val="00800CBA"/>
    <w:rsid w:val="00801FC5"/>
    <w:rsid w:val="00802C47"/>
    <w:rsid w:val="0080586F"/>
    <w:rsid w:val="00805EA0"/>
    <w:rsid w:val="0080609C"/>
    <w:rsid w:val="00813B47"/>
    <w:rsid w:val="00825EE4"/>
    <w:rsid w:val="00833121"/>
    <w:rsid w:val="00834644"/>
    <w:rsid w:val="00840C08"/>
    <w:rsid w:val="00842B22"/>
    <w:rsid w:val="00842FDF"/>
    <w:rsid w:val="00861049"/>
    <w:rsid w:val="00867541"/>
    <w:rsid w:val="00884E2E"/>
    <w:rsid w:val="00890DE0"/>
    <w:rsid w:val="00897D74"/>
    <w:rsid w:val="008A02FD"/>
    <w:rsid w:val="008B0F90"/>
    <w:rsid w:val="008B4A4C"/>
    <w:rsid w:val="008B4B90"/>
    <w:rsid w:val="008B7B82"/>
    <w:rsid w:val="008C30FF"/>
    <w:rsid w:val="008D1181"/>
    <w:rsid w:val="008D18D5"/>
    <w:rsid w:val="008D2BC1"/>
    <w:rsid w:val="008D5685"/>
    <w:rsid w:val="008E72D8"/>
    <w:rsid w:val="008F4BA4"/>
    <w:rsid w:val="009002CE"/>
    <w:rsid w:val="00901CD7"/>
    <w:rsid w:val="009046B8"/>
    <w:rsid w:val="00904D38"/>
    <w:rsid w:val="00907207"/>
    <w:rsid w:val="00912C28"/>
    <w:rsid w:val="00913A5B"/>
    <w:rsid w:val="009148BC"/>
    <w:rsid w:val="009270E7"/>
    <w:rsid w:val="009322CC"/>
    <w:rsid w:val="009343BC"/>
    <w:rsid w:val="009367E0"/>
    <w:rsid w:val="009377FE"/>
    <w:rsid w:val="00940208"/>
    <w:rsid w:val="00941C14"/>
    <w:rsid w:val="0094466D"/>
    <w:rsid w:val="00965242"/>
    <w:rsid w:val="009719CD"/>
    <w:rsid w:val="00971A5F"/>
    <w:rsid w:val="00980C9C"/>
    <w:rsid w:val="00984184"/>
    <w:rsid w:val="0098682C"/>
    <w:rsid w:val="00986901"/>
    <w:rsid w:val="009930E6"/>
    <w:rsid w:val="009A0826"/>
    <w:rsid w:val="009B0346"/>
    <w:rsid w:val="009B1A54"/>
    <w:rsid w:val="009B3B68"/>
    <w:rsid w:val="009C06E3"/>
    <w:rsid w:val="009E06B5"/>
    <w:rsid w:val="009E67AA"/>
    <w:rsid w:val="009F3A27"/>
    <w:rsid w:val="009F5056"/>
    <w:rsid w:val="009F5CA1"/>
    <w:rsid w:val="00A05761"/>
    <w:rsid w:val="00A10974"/>
    <w:rsid w:val="00A12032"/>
    <w:rsid w:val="00A139BB"/>
    <w:rsid w:val="00A14308"/>
    <w:rsid w:val="00A25105"/>
    <w:rsid w:val="00A30833"/>
    <w:rsid w:val="00A3505A"/>
    <w:rsid w:val="00A36662"/>
    <w:rsid w:val="00A36782"/>
    <w:rsid w:val="00A36D2C"/>
    <w:rsid w:val="00A47E77"/>
    <w:rsid w:val="00A54D31"/>
    <w:rsid w:val="00A60A5B"/>
    <w:rsid w:val="00A6119C"/>
    <w:rsid w:val="00A612CC"/>
    <w:rsid w:val="00A61BD4"/>
    <w:rsid w:val="00A629E0"/>
    <w:rsid w:val="00A62B08"/>
    <w:rsid w:val="00A71A0A"/>
    <w:rsid w:val="00A72FE6"/>
    <w:rsid w:val="00A74349"/>
    <w:rsid w:val="00A87A74"/>
    <w:rsid w:val="00A9125E"/>
    <w:rsid w:val="00A9507F"/>
    <w:rsid w:val="00A9536A"/>
    <w:rsid w:val="00AA1ECB"/>
    <w:rsid w:val="00AA6D5D"/>
    <w:rsid w:val="00AA7AED"/>
    <w:rsid w:val="00AC4962"/>
    <w:rsid w:val="00AD3172"/>
    <w:rsid w:val="00AE0CAA"/>
    <w:rsid w:val="00AE114F"/>
    <w:rsid w:val="00AE16C1"/>
    <w:rsid w:val="00AF3D10"/>
    <w:rsid w:val="00B03B37"/>
    <w:rsid w:val="00B07E4A"/>
    <w:rsid w:val="00B12022"/>
    <w:rsid w:val="00B17DBB"/>
    <w:rsid w:val="00B2348D"/>
    <w:rsid w:val="00B3626B"/>
    <w:rsid w:val="00B45C95"/>
    <w:rsid w:val="00B46BCA"/>
    <w:rsid w:val="00B60312"/>
    <w:rsid w:val="00B6195E"/>
    <w:rsid w:val="00B71B5F"/>
    <w:rsid w:val="00B7475E"/>
    <w:rsid w:val="00B82EB6"/>
    <w:rsid w:val="00B91693"/>
    <w:rsid w:val="00BA1B16"/>
    <w:rsid w:val="00BA34AD"/>
    <w:rsid w:val="00BA65F4"/>
    <w:rsid w:val="00BA780C"/>
    <w:rsid w:val="00BC3636"/>
    <w:rsid w:val="00BD3993"/>
    <w:rsid w:val="00BD4C7C"/>
    <w:rsid w:val="00BE4658"/>
    <w:rsid w:val="00BF1749"/>
    <w:rsid w:val="00BF4977"/>
    <w:rsid w:val="00C03657"/>
    <w:rsid w:val="00C123EA"/>
    <w:rsid w:val="00C166AD"/>
    <w:rsid w:val="00C2128D"/>
    <w:rsid w:val="00C2696C"/>
    <w:rsid w:val="00C27A23"/>
    <w:rsid w:val="00C3188B"/>
    <w:rsid w:val="00C344DC"/>
    <w:rsid w:val="00C34F67"/>
    <w:rsid w:val="00C357DC"/>
    <w:rsid w:val="00C40103"/>
    <w:rsid w:val="00C52F76"/>
    <w:rsid w:val="00C53A8A"/>
    <w:rsid w:val="00C669F5"/>
    <w:rsid w:val="00C76A13"/>
    <w:rsid w:val="00C836FF"/>
    <w:rsid w:val="00C878C6"/>
    <w:rsid w:val="00C92DCA"/>
    <w:rsid w:val="00C97BCE"/>
    <w:rsid w:val="00CA2B7F"/>
    <w:rsid w:val="00CA6EFF"/>
    <w:rsid w:val="00CC1064"/>
    <w:rsid w:val="00CC6264"/>
    <w:rsid w:val="00CC7FC0"/>
    <w:rsid w:val="00CD20E7"/>
    <w:rsid w:val="00CE3F26"/>
    <w:rsid w:val="00CE75A6"/>
    <w:rsid w:val="00D10A42"/>
    <w:rsid w:val="00D12BDB"/>
    <w:rsid w:val="00D16B1E"/>
    <w:rsid w:val="00D2684F"/>
    <w:rsid w:val="00D47BCA"/>
    <w:rsid w:val="00D50BF4"/>
    <w:rsid w:val="00D50DF3"/>
    <w:rsid w:val="00D6038F"/>
    <w:rsid w:val="00D61F0C"/>
    <w:rsid w:val="00D62B2D"/>
    <w:rsid w:val="00D67E8E"/>
    <w:rsid w:val="00D72E04"/>
    <w:rsid w:val="00D77896"/>
    <w:rsid w:val="00D80772"/>
    <w:rsid w:val="00D80992"/>
    <w:rsid w:val="00D80CFA"/>
    <w:rsid w:val="00D85230"/>
    <w:rsid w:val="00D86F3F"/>
    <w:rsid w:val="00D9025C"/>
    <w:rsid w:val="00D9395C"/>
    <w:rsid w:val="00D953B5"/>
    <w:rsid w:val="00D96849"/>
    <w:rsid w:val="00DA1E3B"/>
    <w:rsid w:val="00DA60F9"/>
    <w:rsid w:val="00DA7C8A"/>
    <w:rsid w:val="00DB0BF5"/>
    <w:rsid w:val="00DB11DA"/>
    <w:rsid w:val="00DB1EBA"/>
    <w:rsid w:val="00DC06D7"/>
    <w:rsid w:val="00DC29BE"/>
    <w:rsid w:val="00DD3B01"/>
    <w:rsid w:val="00DE4373"/>
    <w:rsid w:val="00DE47DF"/>
    <w:rsid w:val="00DE4F97"/>
    <w:rsid w:val="00DE6306"/>
    <w:rsid w:val="00DF1AFD"/>
    <w:rsid w:val="00E01AA8"/>
    <w:rsid w:val="00E059FE"/>
    <w:rsid w:val="00E07210"/>
    <w:rsid w:val="00E10D63"/>
    <w:rsid w:val="00E14AEA"/>
    <w:rsid w:val="00E16A97"/>
    <w:rsid w:val="00E1710D"/>
    <w:rsid w:val="00E26A0E"/>
    <w:rsid w:val="00E27CEB"/>
    <w:rsid w:val="00E3064C"/>
    <w:rsid w:val="00E31F6C"/>
    <w:rsid w:val="00E34222"/>
    <w:rsid w:val="00E4168E"/>
    <w:rsid w:val="00E42FFE"/>
    <w:rsid w:val="00E464A8"/>
    <w:rsid w:val="00E52331"/>
    <w:rsid w:val="00E60E0A"/>
    <w:rsid w:val="00E62E88"/>
    <w:rsid w:val="00E6441B"/>
    <w:rsid w:val="00E71173"/>
    <w:rsid w:val="00E75398"/>
    <w:rsid w:val="00E86B91"/>
    <w:rsid w:val="00E93162"/>
    <w:rsid w:val="00E9331A"/>
    <w:rsid w:val="00E952F6"/>
    <w:rsid w:val="00EA1868"/>
    <w:rsid w:val="00EA2FE8"/>
    <w:rsid w:val="00EA5AE9"/>
    <w:rsid w:val="00EA7737"/>
    <w:rsid w:val="00EB50D2"/>
    <w:rsid w:val="00EB583E"/>
    <w:rsid w:val="00EC0721"/>
    <w:rsid w:val="00EC1D35"/>
    <w:rsid w:val="00EC3352"/>
    <w:rsid w:val="00EC620B"/>
    <w:rsid w:val="00ED6A8B"/>
    <w:rsid w:val="00ED78B2"/>
    <w:rsid w:val="00EF56C7"/>
    <w:rsid w:val="00EF5FB0"/>
    <w:rsid w:val="00EF6E5D"/>
    <w:rsid w:val="00EF6F69"/>
    <w:rsid w:val="00F03FF2"/>
    <w:rsid w:val="00F048B9"/>
    <w:rsid w:val="00F062DB"/>
    <w:rsid w:val="00F10026"/>
    <w:rsid w:val="00F15DB7"/>
    <w:rsid w:val="00F21B8F"/>
    <w:rsid w:val="00F26FBC"/>
    <w:rsid w:val="00F34A4C"/>
    <w:rsid w:val="00F4288B"/>
    <w:rsid w:val="00F4444D"/>
    <w:rsid w:val="00F47F43"/>
    <w:rsid w:val="00F5662B"/>
    <w:rsid w:val="00F65A5A"/>
    <w:rsid w:val="00F65E31"/>
    <w:rsid w:val="00F737CD"/>
    <w:rsid w:val="00F82141"/>
    <w:rsid w:val="00F91602"/>
    <w:rsid w:val="00F92426"/>
    <w:rsid w:val="00FA1CEF"/>
    <w:rsid w:val="00FB0D10"/>
    <w:rsid w:val="00FB2AA1"/>
    <w:rsid w:val="00FB6839"/>
    <w:rsid w:val="00FC2892"/>
    <w:rsid w:val="00FD399F"/>
    <w:rsid w:val="00FD3A0C"/>
    <w:rsid w:val="00FE7995"/>
    <w:rsid w:val="00FF099B"/>
    <w:rsid w:val="00FF5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0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77A0F"/>
    <w:pPr>
      <w:spacing w:before="75" w:after="75"/>
      <w:ind w:firstLine="375"/>
      <w:jc w:val="both"/>
    </w:pPr>
  </w:style>
  <w:style w:type="paragraph" w:customStyle="1" w:styleId="naisnod">
    <w:name w:val="naisnod"/>
    <w:basedOn w:val="Normal"/>
    <w:rsid w:val="00677A0F"/>
    <w:pPr>
      <w:spacing w:before="150" w:after="150"/>
      <w:jc w:val="center"/>
    </w:pPr>
    <w:rPr>
      <w:b/>
      <w:bCs/>
    </w:rPr>
  </w:style>
  <w:style w:type="paragraph" w:customStyle="1" w:styleId="naiskr">
    <w:name w:val="naiskr"/>
    <w:basedOn w:val="Normal"/>
    <w:rsid w:val="00677A0F"/>
    <w:pPr>
      <w:spacing w:before="75" w:after="75"/>
    </w:pPr>
  </w:style>
  <w:style w:type="character" w:styleId="Hyperlink">
    <w:name w:val="Hyperlink"/>
    <w:uiPriority w:val="99"/>
    <w:unhideWhenUsed/>
    <w:rsid w:val="00677A0F"/>
    <w:rPr>
      <w:color w:val="0000FF"/>
      <w:u w:val="single"/>
    </w:rPr>
  </w:style>
  <w:style w:type="paragraph" w:styleId="Header">
    <w:name w:val="header"/>
    <w:basedOn w:val="Normal"/>
    <w:link w:val="HeaderChar"/>
    <w:uiPriority w:val="99"/>
    <w:unhideWhenUsed/>
    <w:rsid w:val="00677A0F"/>
    <w:pPr>
      <w:tabs>
        <w:tab w:val="center" w:pos="4320"/>
        <w:tab w:val="right" w:pos="8640"/>
      </w:tabs>
    </w:pPr>
  </w:style>
  <w:style w:type="character" w:customStyle="1" w:styleId="HeaderChar">
    <w:name w:val="Header Char"/>
    <w:basedOn w:val="DefaultParagraphFont"/>
    <w:link w:val="Header"/>
    <w:uiPriority w:val="99"/>
    <w:rsid w:val="00677A0F"/>
    <w:rPr>
      <w:rFonts w:ascii="Times New Roman" w:eastAsia="Times New Roman" w:hAnsi="Times New Roman" w:cs="Times New Roman"/>
      <w:sz w:val="24"/>
      <w:szCs w:val="24"/>
      <w:lang w:eastAsia="lv-LV"/>
    </w:rPr>
  </w:style>
  <w:style w:type="paragraph" w:styleId="Footer">
    <w:name w:val="footer"/>
    <w:basedOn w:val="Normal"/>
    <w:link w:val="FooterChar1"/>
    <w:uiPriority w:val="99"/>
    <w:unhideWhenUsed/>
    <w:rsid w:val="00677A0F"/>
    <w:pPr>
      <w:tabs>
        <w:tab w:val="center" w:pos="4320"/>
        <w:tab w:val="right" w:pos="8640"/>
      </w:tabs>
    </w:pPr>
  </w:style>
  <w:style w:type="character" w:customStyle="1" w:styleId="FooterChar">
    <w:name w:val="Footer Char"/>
    <w:basedOn w:val="DefaultParagraphFont"/>
    <w:uiPriority w:val="99"/>
    <w:semiHidden/>
    <w:rsid w:val="00677A0F"/>
    <w:rPr>
      <w:rFonts w:ascii="Times New Roman" w:eastAsia="Times New Roman" w:hAnsi="Times New Roman" w:cs="Times New Roman"/>
      <w:sz w:val="24"/>
      <w:szCs w:val="24"/>
      <w:lang w:eastAsia="lv-LV"/>
    </w:rPr>
  </w:style>
  <w:style w:type="character" w:customStyle="1" w:styleId="FooterChar1">
    <w:name w:val="Footer Char1"/>
    <w:link w:val="Footer"/>
    <w:uiPriority w:val="99"/>
    <w:rsid w:val="00677A0F"/>
    <w:rPr>
      <w:rFonts w:ascii="Times New Roman" w:eastAsia="Times New Roman" w:hAnsi="Times New Roman" w:cs="Times New Roman"/>
      <w:sz w:val="24"/>
      <w:szCs w:val="24"/>
      <w:lang w:eastAsia="lv-LV"/>
    </w:rPr>
  </w:style>
  <w:style w:type="paragraph" w:styleId="NormalWeb">
    <w:name w:val="Normal (Web)"/>
    <w:basedOn w:val="Normal"/>
    <w:rsid w:val="00677A0F"/>
    <w:pPr>
      <w:spacing w:before="100" w:after="100"/>
    </w:pPr>
    <w:rPr>
      <w:szCs w:val="20"/>
      <w:lang w:val="en-GB" w:eastAsia="en-US"/>
    </w:rPr>
  </w:style>
  <w:style w:type="character" w:styleId="Strong">
    <w:name w:val="Strong"/>
    <w:uiPriority w:val="22"/>
    <w:qFormat/>
    <w:rsid w:val="00677A0F"/>
    <w:rPr>
      <w:b/>
      <w:bCs/>
    </w:rPr>
  </w:style>
  <w:style w:type="paragraph" w:customStyle="1" w:styleId="tvhtmlmktable">
    <w:name w:val="tv_html mk_table"/>
    <w:basedOn w:val="Normal"/>
    <w:rsid w:val="00677A0F"/>
    <w:pPr>
      <w:spacing w:before="100" w:beforeAutospacing="1" w:after="100" w:afterAutospacing="1"/>
    </w:pPr>
    <w:rPr>
      <w:rFonts w:ascii="Verdana" w:hAnsi="Verdana"/>
      <w:sz w:val="18"/>
      <w:szCs w:val="18"/>
    </w:rPr>
  </w:style>
  <w:style w:type="paragraph" w:styleId="ListParagraph">
    <w:name w:val="List Paragraph"/>
    <w:basedOn w:val="Normal"/>
    <w:uiPriority w:val="34"/>
    <w:qFormat/>
    <w:rsid w:val="00677A0F"/>
    <w:pPr>
      <w:ind w:left="720"/>
      <w:contextualSpacing/>
    </w:pPr>
    <w:rPr>
      <w:lang w:eastAsia="en-US"/>
    </w:rPr>
  </w:style>
  <w:style w:type="character" w:customStyle="1" w:styleId="apple-converted-space">
    <w:name w:val="apple-converted-space"/>
    <w:rsid w:val="00677A0F"/>
  </w:style>
  <w:style w:type="character" w:styleId="Emphasis">
    <w:name w:val="Emphasis"/>
    <w:uiPriority w:val="20"/>
    <w:qFormat/>
    <w:rsid w:val="00677A0F"/>
    <w:rPr>
      <w:i/>
      <w:iCs/>
    </w:rPr>
  </w:style>
  <w:style w:type="paragraph" w:styleId="BalloonText">
    <w:name w:val="Balloon Text"/>
    <w:basedOn w:val="Normal"/>
    <w:link w:val="BalloonTextChar"/>
    <w:uiPriority w:val="99"/>
    <w:semiHidden/>
    <w:unhideWhenUsed/>
    <w:rsid w:val="00664C43"/>
    <w:rPr>
      <w:rFonts w:ascii="Tahoma" w:hAnsi="Tahoma" w:cs="Tahoma"/>
      <w:sz w:val="16"/>
      <w:szCs w:val="16"/>
    </w:rPr>
  </w:style>
  <w:style w:type="character" w:customStyle="1" w:styleId="BalloonTextChar">
    <w:name w:val="Balloon Text Char"/>
    <w:basedOn w:val="DefaultParagraphFont"/>
    <w:link w:val="BalloonText"/>
    <w:uiPriority w:val="99"/>
    <w:semiHidden/>
    <w:rsid w:val="00664C4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CE75A6"/>
    <w:rPr>
      <w:sz w:val="16"/>
      <w:szCs w:val="16"/>
    </w:rPr>
  </w:style>
  <w:style w:type="paragraph" w:styleId="CommentText">
    <w:name w:val="annotation text"/>
    <w:basedOn w:val="Normal"/>
    <w:link w:val="CommentTextChar"/>
    <w:uiPriority w:val="99"/>
    <w:semiHidden/>
    <w:unhideWhenUsed/>
    <w:rsid w:val="00CE75A6"/>
    <w:rPr>
      <w:sz w:val="20"/>
      <w:szCs w:val="20"/>
    </w:rPr>
  </w:style>
  <w:style w:type="character" w:customStyle="1" w:styleId="CommentTextChar">
    <w:name w:val="Comment Text Char"/>
    <w:basedOn w:val="DefaultParagraphFont"/>
    <w:link w:val="CommentText"/>
    <w:uiPriority w:val="99"/>
    <w:semiHidden/>
    <w:rsid w:val="00CE75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E75A6"/>
    <w:rPr>
      <w:b/>
      <w:bCs/>
    </w:rPr>
  </w:style>
  <w:style w:type="character" w:customStyle="1" w:styleId="CommentSubjectChar">
    <w:name w:val="Comment Subject Char"/>
    <w:basedOn w:val="CommentTextChar"/>
    <w:link w:val="CommentSubject"/>
    <w:uiPriority w:val="99"/>
    <w:semiHidden/>
    <w:rsid w:val="00CE75A6"/>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D85230"/>
    <w:pPr>
      <w:jc w:val="both"/>
    </w:pPr>
    <w:rPr>
      <w:rFonts w:eastAsia="Calibri"/>
      <w:sz w:val="28"/>
      <w:szCs w:val="28"/>
      <w:lang w:val="en-AU" w:eastAsia="en-US"/>
    </w:rPr>
  </w:style>
  <w:style w:type="character" w:customStyle="1" w:styleId="BodyTextChar">
    <w:name w:val="Body Text Char"/>
    <w:basedOn w:val="DefaultParagraphFont"/>
    <w:link w:val="BodyText"/>
    <w:rsid w:val="00D85230"/>
    <w:rPr>
      <w:rFonts w:ascii="Times New Roman" w:eastAsia="Calibri" w:hAnsi="Times New Roman" w:cs="Times New Roman"/>
      <w:sz w:val="28"/>
      <w:szCs w:val="28"/>
      <w:lang w:val="en-AU"/>
    </w:rPr>
  </w:style>
  <w:style w:type="character" w:customStyle="1" w:styleId="spelle">
    <w:name w:val="spelle"/>
    <w:basedOn w:val="DefaultParagraphFont"/>
    <w:rsid w:val="009343BC"/>
    <w:rPr>
      <w:rFonts w:cs="Times New Roman"/>
    </w:rPr>
  </w:style>
  <w:style w:type="paragraph" w:styleId="FootnoteText">
    <w:name w:val="footnote text"/>
    <w:basedOn w:val="Normal"/>
    <w:link w:val="FootnoteTextChar"/>
    <w:unhideWhenUsed/>
    <w:rsid w:val="00643002"/>
    <w:rPr>
      <w:rFonts w:eastAsia="Calibri"/>
      <w:sz w:val="20"/>
      <w:szCs w:val="20"/>
    </w:rPr>
  </w:style>
  <w:style w:type="character" w:customStyle="1" w:styleId="FootnoteTextChar">
    <w:name w:val="Footnote Text Char"/>
    <w:basedOn w:val="DefaultParagraphFont"/>
    <w:link w:val="FootnoteText"/>
    <w:rsid w:val="00643002"/>
    <w:rPr>
      <w:rFonts w:ascii="Times New Roman" w:eastAsia="Calibri" w:hAnsi="Times New Roman" w:cs="Times New Roman"/>
      <w:sz w:val="20"/>
      <w:szCs w:val="20"/>
      <w:lang w:eastAsia="lv-LV"/>
    </w:rPr>
  </w:style>
  <w:style w:type="table" w:styleId="TableGrid">
    <w:name w:val="Table Grid"/>
    <w:basedOn w:val="TableNormal"/>
    <w:uiPriority w:val="39"/>
    <w:rsid w:val="00397A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9367E0"/>
    <w:rPr>
      <w:vertAlign w:val="superscript"/>
    </w:rPr>
  </w:style>
  <w:style w:type="character" w:styleId="FollowedHyperlink">
    <w:name w:val="FollowedHyperlink"/>
    <w:basedOn w:val="DefaultParagraphFont"/>
    <w:uiPriority w:val="99"/>
    <w:semiHidden/>
    <w:unhideWhenUsed/>
    <w:rsid w:val="0029405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sb.gov.lv/statistikas-temas/darba-samaksa-galvenie-raditaji-3027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3A59-DD14-48B9-9713-D76F0B12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9</Pages>
  <Words>3540</Words>
  <Characters>20184</Characters>
  <Application>Microsoft Office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„Valsts informācijas sistēmu savietotāja noteikumi” sākotnējās ietekmes novērtējuma ziņojums (anotācija)</vt:lpstr>
      <vt:lpstr>Ministru kabineta noteikumu projekta „Valsts informācijas sistēmu savietotāja noteikumi” sākotnējās ietekmes novērtējuma ziņojums (anotācija)</vt:lpstr>
    </vt:vector>
  </TitlesOfParts>
  <Company>Vides aizsardzības un reģionālās attīstības ministrija</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informācijas sistēmu savietotāja noteikumi” sākotnējās ietekmes novērtējuma ziņojums (anotācija)</dc:title>
  <dc:subject>noteikumu projekta anotācija (VSS-525)</dc:subject>
  <dc:creator>Vitālijs Ķeņģis</dc:creator>
  <dc:description>Ķeņģis, 67026929,
vitalijs.kengis@varam.gov.lv</dc:description>
  <cp:lastModifiedBy>larisat</cp:lastModifiedBy>
  <cp:revision>126</cp:revision>
  <dcterms:created xsi:type="dcterms:W3CDTF">2015-09-23T05:50:00Z</dcterms:created>
  <dcterms:modified xsi:type="dcterms:W3CDTF">2016-02-03T09:48:00Z</dcterms:modified>
</cp:coreProperties>
</file>