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D7" w:rsidRPr="00C80455" w:rsidRDefault="00C414D7" w:rsidP="002A029A">
      <w:pPr>
        <w:pStyle w:val="Heading2"/>
        <w:spacing w:before="0"/>
        <w:jc w:val="center"/>
        <w:rPr>
          <w:color w:val="auto"/>
          <w:sz w:val="26"/>
          <w:lang w:val="lv-LV"/>
        </w:rPr>
      </w:pPr>
      <w:bookmarkStart w:id="0" w:name="_Toc393906554"/>
      <w:r w:rsidRPr="00C80455">
        <w:rPr>
          <w:color w:val="auto"/>
          <w:sz w:val="26"/>
          <w:lang w:val="lv-LV"/>
        </w:rPr>
        <w:t xml:space="preserve">Ministru kabineta noteikumu projekta </w:t>
      </w:r>
    </w:p>
    <w:p w:rsidR="00C414D7" w:rsidRPr="00C80455" w:rsidRDefault="00C414D7" w:rsidP="002A029A">
      <w:pPr>
        <w:pStyle w:val="Heading2"/>
        <w:spacing w:before="0"/>
        <w:jc w:val="center"/>
        <w:rPr>
          <w:color w:val="auto"/>
          <w:sz w:val="26"/>
          <w:lang w:val="lv-LV"/>
        </w:rPr>
      </w:pPr>
      <w:r w:rsidRPr="00C80455">
        <w:rPr>
          <w:color w:val="auto"/>
          <w:sz w:val="26"/>
          <w:lang w:val="lv-LV"/>
        </w:rPr>
        <w:t xml:space="preserve">“Grozījumi Ministru kabineta 2009.gada 10.marta noteikumos Nr.221 “Noteikumi par elektroenerģijas ražošanu un cenu noteikšanu, ražojot elektroenerģiju koģenerācijā”” </w:t>
      </w:r>
    </w:p>
    <w:p w:rsidR="00C414D7" w:rsidRPr="00C80455" w:rsidRDefault="00C414D7" w:rsidP="002A029A">
      <w:pPr>
        <w:pStyle w:val="Heading2"/>
        <w:spacing w:before="0"/>
        <w:jc w:val="center"/>
        <w:rPr>
          <w:color w:val="auto"/>
          <w:sz w:val="26"/>
          <w:lang w:val="lv-LV"/>
        </w:rPr>
      </w:pPr>
      <w:r w:rsidRPr="00C80455">
        <w:rPr>
          <w:color w:val="auto"/>
          <w:sz w:val="26"/>
          <w:lang w:val="lv-LV"/>
        </w:rPr>
        <w:t xml:space="preserve">atbilstības izvērtējums attiecībā pret </w:t>
      </w:r>
    </w:p>
    <w:p w:rsidR="00C414D7" w:rsidRPr="00C80455" w:rsidRDefault="00C414D7" w:rsidP="002A029A">
      <w:pPr>
        <w:pStyle w:val="Heading2"/>
        <w:spacing w:before="0"/>
        <w:jc w:val="center"/>
        <w:rPr>
          <w:color w:val="auto"/>
          <w:sz w:val="26"/>
          <w:lang w:val="lv-LV"/>
        </w:rPr>
      </w:pPr>
      <w:r w:rsidRPr="00C80455">
        <w:rPr>
          <w:color w:val="auto"/>
          <w:sz w:val="26"/>
          <w:lang w:val="lv-LV"/>
        </w:rPr>
        <w:t xml:space="preserve">Eiropas Komisijas paziņojumu </w:t>
      </w:r>
      <w:r w:rsidRPr="00C80455">
        <w:rPr>
          <w:color w:val="000000" w:themeColor="text1"/>
          <w:sz w:val="26"/>
          <w:lang w:val="lv-LV"/>
        </w:rPr>
        <w:t>“Kopienas pamatnostādnes par valsts atbalstu vides aizsardzībai”</w:t>
      </w:r>
      <w:r w:rsidRPr="00C80455">
        <w:rPr>
          <w:rStyle w:val="FootnoteReference"/>
          <w:color w:val="000000" w:themeColor="text1"/>
          <w:sz w:val="26"/>
          <w:lang w:val="lv-LV"/>
        </w:rPr>
        <w:footnoteReference w:id="1"/>
      </w:r>
    </w:p>
    <w:p w:rsidR="00057DA7" w:rsidRPr="00C80455" w:rsidRDefault="00057DA7" w:rsidP="002A029A">
      <w:pPr>
        <w:jc w:val="both"/>
        <w:rPr>
          <w:sz w:val="26"/>
          <w:szCs w:val="26"/>
          <w:lang w:val="lv-LV"/>
        </w:rPr>
      </w:pPr>
      <w:bookmarkStart w:id="1" w:name="OLE_LINK10"/>
      <w:bookmarkStart w:id="2" w:name="OLE_LINK11"/>
      <w:bookmarkEnd w:id="0"/>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812"/>
      </w:tblGrid>
      <w:tr w:rsidR="00C80455" w:rsidRPr="00C80455" w:rsidTr="00D51A27">
        <w:trPr>
          <w:trHeight w:val="132"/>
        </w:trPr>
        <w:tc>
          <w:tcPr>
            <w:tcW w:w="2547" w:type="dxa"/>
            <w:tcBorders>
              <w:top w:val="single" w:sz="4" w:space="0" w:color="auto"/>
              <w:left w:val="single" w:sz="4" w:space="0" w:color="auto"/>
              <w:bottom w:val="single" w:sz="4" w:space="0" w:color="auto"/>
              <w:right w:val="single" w:sz="4" w:space="0" w:color="auto"/>
            </w:tcBorders>
          </w:tcPr>
          <w:bookmarkEnd w:id="1"/>
          <w:bookmarkEnd w:id="2"/>
          <w:p w:rsidR="00C80455" w:rsidRPr="00C80455" w:rsidRDefault="00C80455" w:rsidP="00D51A27">
            <w:pPr>
              <w:jc w:val="center"/>
              <w:rPr>
                <w:b/>
                <w:sz w:val="26"/>
                <w:szCs w:val="26"/>
                <w:lang w:val="lv-LV"/>
              </w:rPr>
            </w:pPr>
            <w:r w:rsidRPr="00C80455">
              <w:rPr>
                <w:b/>
                <w:color w:val="000000" w:themeColor="text1"/>
                <w:sz w:val="26"/>
                <w:szCs w:val="26"/>
                <w:lang w:val="lv-LV"/>
              </w:rPr>
              <w:t>“Kopienas pamatnostādnes par valsts atbalstu vides aizsardzībai” konkrētais punkts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80455" w:rsidRPr="00C80455" w:rsidRDefault="00C80455" w:rsidP="00D51A27">
            <w:pPr>
              <w:jc w:val="center"/>
              <w:rPr>
                <w:b/>
                <w:sz w:val="26"/>
                <w:szCs w:val="26"/>
                <w:lang w:val="lv-LV"/>
              </w:rPr>
            </w:pPr>
            <w:r w:rsidRPr="00C80455">
              <w:rPr>
                <w:b/>
                <w:sz w:val="26"/>
                <w:szCs w:val="26"/>
                <w:lang w:val="lv-LV"/>
              </w:rPr>
              <w:t>Atbilstības izvērtējums</w:t>
            </w:r>
          </w:p>
        </w:tc>
      </w:tr>
      <w:tr w:rsidR="00C80455" w:rsidRPr="00A56A07" w:rsidTr="00D51A27">
        <w:trPr>
          <w:trHeight w:val="591"/>
        </w:trPr>
        <w:tc>
          <w:tcPr>
            <w:tcW w:w="2547" w:type="dxa"/>
          </w:tcPr>
          <w:p w:rsidR="00C80455" w:rsidRPr="00C80455" w:rsidRDefault="00C80455" w:rsidP="00D51A27">
            <w:pPr>
              <w:jc w:val="both"/>
              <w:rPr>
                <w:sz w:val="26"/>
                <w:szCs w:val="26"/>
                <w:lang w:val="lv-LV"/>
              </w:rPr>
            </w:pPr>
            <w:r w:rsidRPr="00C80455">
              <w:rPr>
                <w:sz w:val="26"/>
                <w:szCs w:val="26"/>
                <w:lang w:val="lv-LV"/>
              </w:rPr>
              <w:t>101.punkts</w:t>
            </w:r>
          </w:p>
        </w:tc>
        <w:tc>
          <w:tcPr>
            <w:tcW w:w="5812" w:type="dxa"/>
            <w:shd w:val="clear" w:color="auto" w:fill="auto"/>
          </w:tcPr>
          <w:p w:rsidR="00C80455" w:rsidRPr="00C80455" w:rsidRDefault="00C80455" w:rsidP="00D51A27">
            <w:pPr>
              <w:jc w:val="both"/>
              <w:rPr>
                <w:b/>
                <w:sz w:val="26"/>
                <w:szCs w:val="26"/>
                <w:lang w:val="lv-LV"/>
              </w:rPr>
            </w:pPr>
            <w:r w:rsidRPr="00C80455">
              <w:rPr>
                <w:b/>
                <w:sz w:val="26"/>
                <w:szCs w:val="26"/>
                <w:lang w:val="lv-LV"/>
              </w:rPr>
              <w:t>Atbilst.</w:t>
            </w:r>
          </w:p>
          <w:p w:rsidR="00C80455" w:rsidRPr="00C80455" w:rsidRDefault="00C80455" w:rsidP="00D51A27">
            <w:pPr>
              <w:jc w:val="both"/>
              <w:rPr>
                <w:sz w:val="26"/>
                <w:szCs w:val="26"/>
                <w:lang w:val="lv-LV"/>
              </w:rPr>
            </w:pPr>
            <w:r w:rsidRPr="00C80455">
              <w:rPr>
                <w:sz w:val="26"/>
                <w:szCs w:val="26"/>
                <w:lang w:val="lv-LV"/>
              </w:rPr>
              <w:t>Obligātā iepirkuma tiesības vai tiesības saņemt garantēto maksu par uzstādīto elektrisko jaudu komersantiem tika piešķirtas konkursa kārtību saskaņā ar Ministru kabineta noteikto kārtību</w:t>
            </w:r>
            <w:r w:rsidRPr="00C80455">
              <w:rPr>
                <w:rStyle w:val="FootnoteReference"/>
                <w:sz w:val="26"/>
                <w:szCs w:val="26"/>
                <w:lang w:val="lv-LV"/>
              </w:rPr>
              <w:footnoteReference w:id="2"/>
            </w:r>
            <w:r w:rsidRPr="00C80455">
              <w:rPr>
                <w:sz w:val="26"/>
                <w:szCs w:val="26"/>
                <w:lang w:val="lv-LV"/>
              </w:rPr>
              <w:t>, tai skaitā attiecībā uz cenas noteikšanas kārtību elektroenerģijas, kas ražota no atjaunojamiem energoresursiem.</w:t>
            </w:r>
          </w:p>
          <w:p w:rsidR="00C80455" w:rsidRPr="00C80455" w:rsidRDefault="00C80455" w:rsidP="00D51A27">
            <w:pPr>
              <w:jc w:val="both"/>
              <w:rPr>
                <w:sz w:val="26"/>
                <w:szCs w:val="26"/>
                <w:lang w:val="lv-LV"/>
              </w:rPr>
            </w:pPr>
            <w:r w:rsidRPr="00C80455">
              <w:rPr>
                <w:sz w:val="26"/>
                <w:szCs w:val="26"/>
                <w:lang w:val="lv-LV"/>
              </w:rPr>
              <w:t>Ņemot vērā, ka daļa no komersantiem, kas saņemt obligāto iepirkumu vai garantēto maksu par uzstādīto elektrisko jaudu, ir saņēmuši arī investīciju atbalstu no valsts budžeta, tad lai nodrošinātu samērīgu atbalsta intensitāti un ievērotu attaisnotās izmaksa</w:t>
            </w:r>
            <w:r w:rsidR="003B4A39">
              <w:rPr>
                <w:sz w:val="26"/>
                <w:szCs w:val="26"/>
                <w:lang w:val="lv-LV"/>
              </w:rPr>
              <w:t>s, noteikumu projekta 13.punkts un 20</w:t>
            </w:r>
            <w:r w:rsidRPr="00C80455">
              <w:rPr>
                <w:sz w:val="26"/>
                <w:szCs w:val="26"/>
                <w:lang w:val="lv-LV"/>
              </w:rPr>
              <w:t xml:space="preserve">.punkts paredz kopējo kapitālieguldījumu iekšējās peļņas noteikšanas kārtību, nosakot iekšējās peļņas apmēru 9% apmērā, kā arī iekšējās peļņas normas aprēķināšanu, izmantojot </w:t>
            </w:r>
            <w:proofErr w:type="spellStart"/>
            <w:r w:rsidRPr="00C80455">
              <w:rPr>
                <w:sz w:val="26"/>
                <w:szCs w:val="26"/>
                <w:lang w:val="lv-LV"/>
              </w:rPr>
              <w:t>līmeņatzīmes</w:t>
            </w:r>
            <w:proofErr w:type="spellEnd"/>
            <w:r w:rsidRPr="00C80455">
              <w:rPr>
                <w:sz w:val="26"/>
                <w:szCs w:val="26"/>
                <w:lang w:val="lv-LV"/>
              </w:rPr>
              <w:t xml:space="preserve"> dažādām tehnoloģijām.</w:t>
            </w:r>
          </w:p>
          <w:p w:rsidR="00C80455" w:rsidRPr="00C80455" w:rsidRDefault="00C80455" w:rsidP="00D51A27">
            <w:pPr>
              <w:jc w:val="both"/>
              <w:rPr>
                <w:b/>
                <w:sz w:val="26"/>
                <w:szCs w:val="26"/>
                <w:lang w:val="lv-LV"/>
              </w:rPr>
            </w:pPr>
          </w:p>
        </w:tc>
      </w:tr>
      <w:tr w:rsidR="00C80455" w:rsidRPr="00A56A07" w:rsidTr="00D51A27">
        <w:trPr>
          <w:trHeight w:val="591"/>
        </w:trPr>
        <w:tc>
          <w:tcPr>
            <w:tcW w:w="2547" w:type="dxa"/>
          </w:tcPr>
          <w:p w:rsidR="00C80455" w:rsidRPr="00C80455" w:rsidRDefault="00C80455" w:rsidP="00D51A27">
            <w:pPr>
              <w:jc w:val="both"/>
              <w:rPr>
                <w:sz w:val="26"/>
                <w:szCs w:val="26"/>
                <w:lang w:val="lv-LV"/>
              </w:rPr>
            </w:pPr>
            <w:r w:rsidRPr="00C80455">
              <w:rPr>
                <w:sz w:val="26"/>
                <w:szCs w:val="26"/>
                <w:lang w:val="lv-LV"/>
              </w:rPr>
              <w:t>107.punkts.</w:t>
            </w:r>
          </w:p>
        </w:tc>
        <w:tc>
          <w:tcPr>
            <w:tcW w:w="5812" w:type="dxa"/>
            <w:shd w:val="clear" w:color="auto" w:fill="auto"/>
          </w:tcPr>
          <w:p w:rsidR="00C80455" w:rsidRPr="00C80455" w:rsidRDefault="00C80455" w:rsidP="00D51A27">
            <w:pPr>
              <w:jc w:val="both"/>
              <w:rPr>
                <w:b/>
                <w:sz w:val="26"/>
                <w:szCs w:val="26"/>
                <w:lang w:val="lv-LV"/>
              </w:rPr>
            </w:pPr>
            <w:r w:rsidRPr="00C80455">
              <w:rPr>
                <w:b/>
                <w:sz w:val="26"/>
                <w:szCs w:val="26"/>
                <w:lang w:val="lv-LV"/>
              </w:rPr>
              <w:t>Atbilst.</w:t>
            </w:r>
          </w:p>
          <w:p w:rsidR="00C80455" w:rsidRPr="00C80455" w:rsidRDefault="00C80455" w:rsidP="00D51A27">
            <w:pPr>
              <w:jc w:val="both"/>
              <w:rPr>
                <w:sz w:val="26"/>
                <w:szCs w:val="26"/>
                <w:lang w:val="lv-LV"/>
              </w:rPr>
            </w:pPr>
            <w:r w:rsidRPr="00C80455">
              <w:rPr>
                <w:sz w:val="26"/>
                <w:szCs w:val="26"/>
                <w:lang w:val="lv-LV"/>
              </w:rPr>
              <w:t xml:space="preserve">Lai nodrošinātu atbalstu elektroenerģijas ražošanai no atjaunojamiem energoresursiem vai augstas efektivitātes koģenerācijā, komersantiem tiek piešķirtas obligātā iepirkuma tiesības vai tiesības saņemt garantēto maksu par uzstādīto elektrisko jaudu. Ņemot vērā, ka atsevišķi komersanti papildus darbības atbalstam ir saņēmuši arī investīciju atbalstu no valsts budžeta līdzekļiem, ir sagatavots </w:t>
            </w:r>
            <w:proofErr w:type="spellStart"/>
            <w:r w:rsidRPr="00C80455">
              <w:rPr>
                <w:sz w:val="26"/>
                <w:szCs w:val="26"/>
                <w:lang w:val="lv-LV"/>
              </w:rPr>
              <w:lastRenderedPageBreak/>
              <w:t>pārkompensācijas</w:t>
            </w:r>
            <w:proofErr w:type="spellEnd"/>
            <w:r w:rsidRPr="00C80455">
              <w:rPr>
                <w:sz w:val="26"/>
                <w:szCs w:val="26"/>
                <w:lang w:val="lv-LV"/>
              </w:rPr>
              <w:t xml:space="preserve"> novēršanas mehānisms, aprēķinot kopējo kapitālieguldījumu iekšējās peļņas normu, kas saskaņā ar note</w:t>
            </w:r>
            <w:r w:rsidR="003B4A39">
              <w:rPr>
                <w:sz w:val="26"/>
                <w:szCs w:val="26"/>
                <w:lang w:val="lv-LV"/>
              </w:rPr>
              <w:t>ikumu projekta 13</w:t>
            </w:r>
            <w:r w:rsidRPr="00C80455">
              <w:rPr>
                <w:sz w:val="26"/>
                <w:szCs w:val="26"/>
                <w:lang w:val="lv-LV"/>
              </w:rPr>
              <w:t>.punktu ir noteikta 9% apmērā. Konstatējot, ka komersantam šī iekšējā peļņas norma pārsniedz 9% un lai nodrošinātu samērīgu atbalstu, tiks pielietots cenas diferenciācijas koeficients ar mērķi visā atbalsta periodā nodrošināt 9% iekšējās peļņas normu.</w:t>
            </w:r>
          </w:p>
          <w:p w:rsidR="00C80455" w:rsidRPr="00C80455" w:rsidRDefault="00C80455" w:rsidP="00D51A27">
            <w:pPr>
              <w:jc w:val="both"/>
              <w:rPr>
                <w:sz w:val="26"/>
                <w:szCs w:val="26"/>
                <w:lang w:val="lv-LV"/>
              </w:rPr>
            </w:pPr>
          </w:p>
        </w:tc>
      </w:tr>
      <w:tr w:rsidR="00C80455" w:rsidRPr="00A56A07" w:rsidTr="00D51A27">
        <w:trPr>
          <w:trHeight w:val="591"/>
        </w:trPr>
        <w:tc>
          <w:tcPr>
            <w:tcW w:w="2547" w:type="dxa"/>
          </w:tcPr>
          <w:p w:rsidR="00C80455" w:rsidRPr="00C80455" w:rsidRDefault="00C80455" w:rsidP="00D51A27">
            <w:pPr>
              <w:jc w:val="both"/>
              <w:rPr>
                <w:sz w:val="26"/>
                <w:szCs w:val="26"/>
                <w:lang w:val="lv-LV"/>
              </w:rPr>
            </w:pPr>
            <w:r w:rsidRPr="00C80455">
              <w:rPr>
                <w:sz w:val="26"/>
                <w:szCs w:val="26"/>
                <w:lang w:val="lv-LV"/>
              </w:rPr>
              <w:lastRenderedPageBreak/>
              <w:t>109.punkts</w:t>
            </w:r>
          </w:p>
        </w:tc>
        <w:tc>
          <w:tcPr>
            <w:tcW w:w="5812" w:type="dxa"/>
            <w:shd w:val="clear" w:color="auto" w:fill="auto"/>
          </w:tcPr>
          <w:p w:rsidR="00C80455" w:rsidRPr="00C80455" w:rsidRDefault="00C80455" w:rsidP="00D51A27">
            <w:pPr>
              <w:jc w:val="both"/>
              <w:rPr>
                <w:b/>
                <w:sz w:val="26"/>
                <w:szCs w:val="26"/>
                <w:lang w:val="lv-LV"/>
              </w:rPr>
            </w:pPr>
            <w:r w:rsidRPr="00C80455">
              <w:rPr>
                <w:b/>
                <w:sz w:val="26"/>
                <w:szCs w:val="26"/>
                <w:lang w:val="lv-LV"/>
              </w:rPr>
              <w:t>Atbilst.</w:t>
            </w:r>
          </w:p>
          <w:p w:rsidR="00C80455" w:rsidRPr="00C80455" w:rsidRDefault="00C80455" w:rsidP="00D51A27">
            <w:pPr>
              <w:jc w:val="both"/>
              <w:rPr>
                <w:sz w:val="26"/>
                <w:szCs w:val="26"/>
                <w:lang w:val="lv-LV"/>
              </w:rPr>
            </w:pPr>
            <w:r w:rsidRPr="00C80455">
              <w:rPr>
                <w:sz w:val="26"/>
                <w:szCs w:val="26"/>
                <w:lang w:val="lv-LV"/>
              </w:rPr>
              <w:t xml:space="preserve">Esošais atbalsts obligātā iepirkuma vai garantētās maksas par uzstādīto elektrisko jaudu tiek sniegts gan komersantiem, kas elektroenerģijas ražošanai izmanto atjaunojamos energoresursus, vai augstas efektivitātes koģenerācijā. Saskaņā ar </w:t>
            </w:r>
            <w:r w:rsidR="003B4A39" w:rsidRPr="003B4A39">
              <w:rPr>
                <w:sz w:val="26"/>
                <w:szCs w:val="26"/>
                <w:lang w:val="lv-LV"/>
              </w:rPr>
              <w:t>Ministru kabine</w:t>
            </w:r>
            <w:r w:rsidR="003B4A39">
              <w:rPr>
                <w:sz w:val="26"/>
                <w:szCs w:val="26"/>
                <w:lang w:val="lv-LV"/>
              </w:rPr>
              <w:t>ta 2009.gada 10.marta noteikumiem</w:t>
            </w:r>
            <w:r w:rsidR="003B4A39" w:rsidRPr="003B4A39">
              <w:rPr>
                <w:sz w:val="26"/>
                <w:szCs w:val="26"/>
                <w:lang w:val="lv-LV"/>
              </w:rPr>
              <w:t xml:space="preserve"> Nr.221 “Noteikumi par elektroenerģijas ražošanu un cenu noteikšanu, ražojot elektroenerģiju koģenerācijā”</w:t>
            </w:r>
            <w:r w:rsidR="003B4A39">
              <w:rPr>
                <w:sz w:val="20"/>
                <w:szCs w:val="20"/>
                <w:lang w:val="lv-LV"/>
              </w:rPr>
              <w:t xml:space="preserve"> </w:t>
            </w:r>
            <w:r w:rsidRPr="00C80455">
              <w:rPr>
                <w:sz w:val="26"/>
                <w:szCs w:val="26"/>
                <w:lang w:val="lv-LV"/>
              </w:rPr>
              <w:t>atbal</w:t>
            </w:r>
            <w:r w:rsidR="003B4A39">
              <w:rPr>
                <w:sz w:val="26"/>
                <w:szCs w:val="26"/>
                <w:lang w:val="lv-LV"/>
              </w:rPr>
              <w:t>sts komersantiem tiek sniegts 10 vai 15</w:t>
            </w:r>
            <w:r w:rsidRPr="00C80455">
              <w:rPr>
                <w:sz w:val="26"/>
                <w:szCs w:val="26"/>
                <w:lang w:val="lv-LV"/>
              </w:rPr>
              <w:t xml:space="preserve"> </w:t>
            </w:r>
            <w:r w:rsidR="003B4A39">
              <w:rPr>
                <w:sz w:val="26"/>
                <w:szCs w:val="26"/>
                <w:lang w:val="lv-LV"/>
              </w:rPr>
              <w:t>gadus</w:t>
            </w:r>
            <w:r w:rsidRPr="00C80455">
              <w:rPr>
                <w:sz w:val="26"/>
                <w:szCs w:val="26"/>
                <w:lang w:val="lv-LV"/>
              </w:rPr>
              <w:t>.</w:t>
            </w:r>
          </w:p>
          <w:p w:rsidR="00C80455" w:rsidRPr="00C80455" w:rsidRDefault="00C80455" w:rsidP="00D51A27">
            <w:pPr>
              <w:jc w:val="both"/>
              <w:rPr>
                <w:sz w:val="26"/>
                <w:szCs w:val="26"/>
                <w:lang w:val="lv-LV"/>
              </w:rPr>
            </w:pPr>
            <w:r w:rsidRPr="00C80455">
              <w:rPr>
                <w:sz w:val="26"/>
                <w:szCs w:val="26"/>
                <w:lang w:val="lv-LV"/>
              </w:rPr>
              <w:t xml:space="preserve">Obligātais iepirkums vai garantētā maksa par uzstādīto elektrisko jaudu ir operacionālais atbalsts. Savukārt, atsevišķas elektrostacijas ir saņēmušas arī investīciju atbalstu elektrostacijas būvniecībai vai renovācijai. Lai nodrošinātu samērīgu darbības atbalstu, noteikumu projekta 28.punkts paredz ieviest </w:t>
            </w:r>
            <w:proofErr w:type="spellStart"/>
            <w:r w:rsidRPr="00C80455">
              <w:rPr>
                <w:sz w:val="26"/>
                <w:szCs w:val="26"/>
                <w:lang w:val="lv-LV"/>
              </w:rPr>
              <w:t>pārkompensācijas</w:t>
            </w:r>
            <w:proofErr w:type="spellEnd"/>
            <w:r w:rsidRPr="00C80455">
              <w:rPr>
                <w:sz w:val="26"/>
                <w:szCs w:val="26"/>
                <w:lang w:val="lv-LV"/>
              </w:rPr>
              <w:t xml:space="preserve"> konstatēšanas un novēršanas mehānismu tām elektrostacijām, kurām, veicot kopējo kapitālieguldījumu iekšējās peļņas normas aprēķinu, tiks konstatēta peļņas norma virs 9%. </w:t>
            </w:r>
          </w:p>
          <w:p w:rsidR="00C80455" w:rsidRPr="00C80455" w:rsidRDefault="00C80455" w:rsidP="00D51A27">
            <w:pPr>
              <w:jc w:val="both"/>
              <w:rPr>
                <w:sz w:val="26"/>
                <w:szCs w:val="26"/>
                <w:lang w:val="lv-LV"/>
              </w:rPr>
            </w:pPr>
          </w:p>
        </w:tc>
      </w:tr>
      <w:tr w:rsidR="00C80455" w:rsidRPr="00A56A07" w:rsidTr="00D51A27">
        <w:trPr>
          <w:trHeight w:val="591"/>
        </w:trPr>
        <w:tc>
          <w:tcPr>
            <w:tcW w:w="2547" w:type="dxa"/>
          </w:tcPr>
          <w:p w:rsidR="00C80455" w:rsidRPr="00C80455" w:rsidRDefault="00C80455" w:rsidP="00D51A27">
            <w:pPr>
              <w:jc w:val="both"/>
              <w:rPr>
                <w:sz w:val="26"/>
                <w:szCs w:val="26"/>
                <w:lang w:val="lv-LV"/>
              </w:rPr>
            </w:pPr>
            <w:r w:rsidRPr="00C80455">
              <w:rPr>
                <w:sz w:val="26"/>
                <w:szCs w:val="26"/>
                <w:lang w:val="lv-LV"/>
              </w:rPr>
              <w:t>189.punkts</w:t>
            </w:r>
          </w:p>
        </w:tc>
        <w:tc>
          <w:tcPr>
            <w:tcW w:w="5812" w:type="dxa"/>
            <w:shd w:val="clear" w:color="auto" w:fill="auto"/>
          </w:tcPr>
          <w:p w:rsidR="00C80455" w:rsidRPr="00C80455" w:rsidRDefault="00C80455" w:rsidP="00D51A27">
            <w:pPr>
              <w:jc w:val="both"/>
              <w:rPr>
                <w:b/>
                <w:sz w:val="26"/>
                <w:szCs w:val="26"/>
                <w:lang w:val="lv-LV"/>
              </w:rPr>
            </w:pPr>
            <w:r w:rsidRPr="00C80455">
              <w:rPr>
                <w:b/>
                <w:sz w:val="26"/>
                <w:szCs w:val="26"/>
                <w:lang w:val="lv-LV"/>
              </w:rPr>
              <w:t>Atbilst.</w:t>
            </w:r>
          </w:p>
          <w:p w:rsidR="00C80455" w:rsidRPr="00C80455" w:rsidRDefault="00C80455" w:rsidP="00D51A27">
            <w:pPr>
              <w:jc w:val="both"/>
              <w:rPr>
                <w:sz w:val="26"/>
                <w:szCs w:val="26"/>
                <w:lang w:val="lv-LV"/>
              </w:rPr>
            </w:pPr>
            <w:r w:rsidRPr="00C80455">
              <w:rPr>
                <w:sz w:val="26"/>
                <w:szCs w:val="26"/>
                <w:lang w:val="lv-LV"/>
              </w:rPr>
              <w:t xml:space="preserve">Atbalsts komersantiem, kas ražo elektroenerģiju no atjaunojamiem energoresursiem vai augstas efektivitātes koģenerācijā, tiek piešķirts obligātā iepirkuma vai garantētās maksas par uzstādīto elektrisko jaudu veidā. Papildus tam atsevišķiem projektiem tika piešķirts investīciju atbalsts no Eiropas Savienības budžeta instrumentiem vai valsts budžeta instrumentiem (piemēram, Klimata politikas finanšu instrumenta). Lai nodrošinātu, ka komersantiem tiek piešķirts maksimālais atbalsta apjoms, kas var veidoties </w:t>
            </w:r>
            <w:proofErr w:type="spellStart"/>
            <w:r w:rsidRPr="00C80455">
              <w:rPr>
                <w:sz w:val="26"/>
                <w:szCs w:val="26"/>
                <w:lang w:val="lv-LV"/>
              </w:rPr>
              <w:t>kumulējoties</w:t>
            </w:r>
            <w:proofErr w:type="spellEnd"/>
            <w:r w:rsidRPr="00C80455">
              <w:rPr>
                <w:sz w:val="26"/>
                <w:szCs w:val="26"/>
                <w:lang w:val="lv-LV"/>
              </w:rPr>
              <w:t xml:space="preserve"> operacionālajam un investīciju </w:t>
            </w:r>
            <w:r w:rsidR="003B4A39">
              <w:rPr>
                <w:sz w:val="26"/>
                <w:szCs w:val="26"/>
                <w:lang w:val="lv-LV"/>
              </w:rPr>
              <w:t>atbalstam, noteikumu projekts 13</w:t>
            </w:r>
            <w:r w:rsidRPr="00C80455">
              <w:rPr>
                <w:sz w:val="26"/>
                <w:szCs w:val="26"/>
                <w:lang w:val="lv-LV"/>
              </w:rPr>
              <w:t xml:space="preserve">.punkts paredz izveidot </w:t>
            </w:r>
            <w:proofErr w:type="spellStart"/>
            <w:r w:rsidRPr="00C80455">
              <w:rPr>
                <w:sz w:val="26"/>
                <w:szCs w:val="26"/>
                <w:lang w:val="lv-LV"/>
              </w:rPr>
              <w:t>pārkompensācijas</w:t>
            </w:r>
            <w:proofErr w:type="spellEnd"/>
            <w:r w:rsidRPr="00C80455">
              <w:rPr>
                <w:sz w:val="26"/>
                <w:szCs w:val="26"/>
                <w:lang w:val="lv-LV"/>
              </w:rPr>
              <w:t xml:space="preserve"> izvērtēšanas un novērtēšanas mehānismu. Noteikumu </w:t>
            </w:r>
            <w:r w:rsidRPr="00C80455">
              <w:rPr>
                <w:sz w:val="26"/>
                <w:szCs w:val="26"/>
                <w:lang w:val="lv-LV"/>
              </w:rPr>
              <w:lastRenderedPageBreak/>
              <w:t>projekts paredz noteikt kopējo kapitālieguldījumu iekšējās peļņas normu 9% apmērā visā atbalsta periodā. Ja kādam no komersantiem iekšējā peļņas norma būs virs 9%, tiks piemērots cenas diferencēšanas koeficients, tādejādi samazinot nākotnes elektroenerģijas iepirkuma cenu.</w:t>
            </w:r>
          </w:p>
          <w:p w:rsidR="00C80455" w:rsidRPr="00C80455" w:rsidRDefault="00C80455" w:rsidP="00D51A27">
            <w:pPr>
              <w:jc w:val="both"/>
              <w:rPr>
                <w:sz w:val="26"/>
                <w:szCs w:val="26"/>
                <w:lang w:val="lv-LV"/>
              </w:rPr>
            </w:pPr>
          </w:p>
        </w:tc>
      </w:tr>
      <w:tr w:rsidR="00C80455" w:rsidRPr="00A56A07" w:rsidTr="00D51A27">
        <w:trPr>
          <w:trHeight w:val="591"/>
        </w:trPr>
        <w:tc>
          <w:tcPr>
            <w:tcW w:w="2547" w:type="dxa"/>
          </w:tcPr>
          <w:p w:rsidR="00C80455" w:rsidRPr="00C80455" w:rsidRDefault="00C80455" w:rsidP="00D51A27">
            <w:pPr>
              <w:jc w:val="both"/>
              <w:rPr>
                <w:sz w:val="26"/>
                <w:szCs w:val="26"/>
                <w:lang w:val="lv-LV"/>
              </w:rPr>
            </w:pPr>
            <w:r w:rsidRPr="00C80455">
              <w:rPr>
                <w:sz w:val="26"/>
                <w:szCs w:val="26"/>
                <w:lang w:val="lv-LV"/>
              </w:rPr>
              <w:lastRenderedPageBreak/>
              <w:t>190.punkts</w:t>
            </w:r>
          </w:p>
        </w:tc>
        <w:tc>
          <w:tcPr>
            <w:tcW w:w="5812" w:type="dxa"/>
            <w:shd w:val="clear" w:color="auto" w:fill="auto"/>
          </w:tcPr>
          <w:p w:rsidR="00C80455" w:rsidRPr="00C80455" w:rsidRDefault="00C80455" w:rsidP="00D51A27">
            <w:pPr>
              <w:jc w:val="both"/>
              <w:rPr>
                <w:b/>
                <w:sz w:val="26"/>
                <w:szCs w:val="26"/>
                <w:lang w:val="lv-LV"/>
              </w:rPr>
            </w:pPr>
            <w:r w:rsidRPr="00C80455">
              <w:rPr>
                <w:b/>
                <w:sz w:val="26"/>
                <w:szCs w:val="26"/>
                <w:lang w:val="lv-LV"/>
              </w:rPr>
              <w:t>Atbilst.</w:t>
            </w:r>
          </w:p>
          <w:p w:rsidR="00C80455" w:rsidRPr="00C80455" w:rsidRDefault="00C80455" w:rsidP="00D51A27">
            <w:pPr>
              <w:jc w:val="both"/>
              <w:rPr>
                <w:sz w:val="26"/>
                <w:szCs w:val="26"/>
                <w:lang w:val="lv-LV"/>
              </w:rPr>
            </w:pPr>
            <w:r w:rsidRPr="00C80455">
              <w:rPr>
                <w:sz w:val="26"/>
                <w:szCs w:val="26"/>
                <w:lang w:val="lv-LV"/>
              </w:rPr>
              <w:t>Ņemot vērā, ka līdz šim Latvijā tika pieļauta dažādu atbalsta veidu</w:t>
            </w:r>
            <w:r w:rsidR="00A56A07">
              <w:rPr>
                <w:sz w:val="26"/>
                <w:szCs w:val="26"/>
                <w:lang w:val="lv-LV"/>
              </w:rPr>
              <w:t xml:space="preserve"> kumulācija</w:t>
            </w:r>
            <w:r w:rsidRPr="00C80455">
              <w:rPr>
                <w:sz w:val="26"/>
                <w:szCs w:val="26"/>
                <w:lang w:val="lv-LV"/>
              </w:rPr>
              <w:t xml:space="preserve">, tai skaitā, no Eiropas Savienības budžeta instrumentiem (Eiropas Savienības struktūrfondiem un Kohēzijas fonda un Kopējās lauksaimniecības politikas instrumentiem), ir izstrādāts potenciālās </w:t>
            </w:r>
            <w:proofErr w:type="spellStart"/>
            <w:r w:rsidRPr="00C80455">
              <w:rPr>
                <w:sz w:val="26"/>
                <w:szCs w:val="26"/>
                <w:lang w:val="lv-LV"/>
              </w:rPr>
              <w:t>pārkompensācijas</w:t>
            </w:r>
            <w:proofErr w:type="spellEnd"/>
            <w:r w:rsidRPr="00C80455">
              <w:rPr>
                <w:sz w:val="26"/>
                <w:szCs w:val="26"/>
                <w:lang w:val="lv-LV"/>
              </w:rPr>
              <w:t xml:space="preserve"> novēršanas mehānisms. Tās mērķis ir nodrošināt, ka komersantiem, kuru projektiem kopējo kapitālieguldījumu iekšējā peļņas normas likme visā atbalsta periodā pārsniegs 9%, tiks piemērots cenas diferencēšanas koeficients, lai nodrošinātu visizdevīgāko maksimālo atbalsta likmi, kādu pieļauj attiecīgie nosacījumi un valsts atbalsta normas.</w:t>
            </w:r>
          </w:p>
          <w:p w:rsidR="00C80455" w:rsidRPr="00C80455" w:rsidRDefault="00C80455" w:rsidP="00D51A27">
            <w:pPr>
              <w:jc w:val="both"/>
              <w:rPr>
                <w:sz w:val="26"/>
                <w:szCs w:val="26"/>
                <w:lang w:val="lv-LV"/>
              </w:rPr>
            </w:pPr>
          </w:p>
        </w:tc>
      </w:tr>
    </w:tbl>
    <w:p w:rsidR="00871EC1" w:rsidRPr="00C80455" w:rsidRDefault="00871EC1" w:rsidP="002A029A">
      <w:pPr>
        <w:pStyle w:val="Header"/>
        <w:tabs>
          <w:tab w:val="clear" w:pos="4153"/>
          <w:tab w:val="clear" w:pos="8306"/>
        </w:tabs>
        <w:rPr>
          <w:sz w:val="26"/>
          <w:szCs w:val="26"/>
          <w:lang w:val="lv-LV"/>
        </w:rPr>
      </w:pPr>
    </w:p>
    <w:p w:rsidR="00281A6D" w:rsidRPr="00C80455" w:rsidRDefault="00281A6D" w:rsidP="002A029A">
      <w:pPr>
        <w:pStyle w:val="Header"/>
        <w:tabs>
          <w:tab w:val="clear" w:pos="4153"/>
          <w:tab w:val="clear" w:pos="8306"/>
        </w:tabs>
        <w:rPr>
          <w:sz w:val="26"/>
          <w:szCs w:val="26"/>
          <w:lang w:val="lv-LV"/>
        </w:rPr>
      </w:pPr>
    </w:p>
    <w:p w:rsidR="00281A6D" w:rsidRPr="00C80455" w:rsidRDefault="00281A6D" w:rsidP="00281A6D">
      <w:pPr>
        <w:rPr>
          <w:rFonts w:eastAsia="Times New Roman"/>
          <w:bCs/>
          <w:sz w:val="26"/>
          <w:szCs w:val="26"/>
          <w:lang w:val="lv-LV"/>
        </w:rPr>
      </w:pPr>
      <w:r w:rsidRPr="00C80455">
        <w:rPr>
          <w:bCs/>
          <w:sz w:val="26"/>
          <w:szCs w:val="26"/>
          <w:lang w:val="lv-LV"/>
        </w:rPr>
        <w:t>Ministru prezidenta biedrs,</w:t>
      </w:r>
    </w:p>
    <w:p w:rsidR="00281A6D" w:rsidRPr="00C80455" w:rsidRDefault="00281A6D" w:rsidP="00281A6D">
      <w:pPr>
        <w:rPr>
          <w:bCs/>
          <w:sz w:val="26"/>
          <w:szCs w:val="26"/>
          <w:lang w:val="lv-LV"/>
        </w:rPr>
      </w:pPr>
      <w:r w:rsidRPr="00C80455">
        <w:rPr>
          <w:bCs/>
          <w:sz w:val="26"/>
          <w:szCs w:val="26"/>
          <w:lang w:val="lv-LV"/>
        </w:rPr>
        <w:t>ekonomikas ministrs</w:t>
      </w:r>
      <w:r w:rsidRPr="00C80455">
        <w:rPr>
          <w:bCs/>
          <w:sz w:val="26"/>
          <w:szCs w:val="26"/>
          <w:lang w:val="lv-LV"/>
        </w:rPr>
        <w:tab/>
      </w:r>
      <w:r w:rsidRPr="00C80455">
        <w:rPr>
          <w:bCs/>
          <w:sz w:val="26"/>
          <w:szCs w:val="26"/>
          <w:lang w:val="lv-LV"/>
        </w:rPr>
        <w:tab/>
      </w:r>
      <w:r w:rsidRPr="00C80455">
        <w:rPr>
          <w:bCs/>
          <w:sz w:val="26"/>
          <w:szCs w:val="26"/>
          <w:lang w:val="lv-LV"/>
        </w:rPr>
        <w:tab/>
      </w:r>
      <w:r w:rsidRPr="00C80455">
        <w:rPr>
          <w:bCs/>
          <w:sz w:val="26"/>
          <w:szCs w:val="26"/>
          <w:lang w:val="lv-LV"/>
        </w:rPr>
        <w:tab/>
      </w:r>
      <w:r w:rsidRPr="00C80455">
        <w:rPr>
          <w:bCs/>
          <w:sz w:val="26"/>
          <w:szCs w:val="26"/>
          <w:lang w:val="lv-LV"/>
        </w:rPr>
        <w:tab/>
      </w:r>
      <w:r w:rsidRPr="00C80455">
        <w:rPr>
          <w:bCs/>
          <w:sz w:val="26"/>
          <w:szCs w:val="26"/>
          <w:lang w:val="lv-LV"/>
        </w:rPr>
        <w:tab/>
      </w:r>
      <w:r w:rsidRPr="00C80455">
        <w:rPr>
          <w:bCs/>
          <w:sz w:val="26"/>
          <w:szCs w:val="26"/>
          <w:lang w:val="lv-LV"/>
        </w:rPr>
        <w:tab/>
      </w:r>
      <w:proofErr w:type="spellStart"/>
      <w:r w:rsidRPr="00C80455">
        <w:rPr>
          <w:bCs/>
          <w:sz w:val="26"/>
          <w:szCs w:val="26"/>
          <w:lang w:val="lv-LV"/>
        </w:rPr>
        <w:t>A.Ašeradens</w:t>
      </w:r>
      <w:proofErr w:type="spellEnd"/>
    </w:p>
    <w:p w:rsidR="00281A6D" w:rsidRPr="00C80455" w:rsidRDefault="00281A6D" w:rsidP="00281A6D">
      <w:pPr>
        <w:pStyle w:val="naisf"/>
        <w:spacing w:before="0" w:beforeAutospacing="0" w:after="0" w:afterAutospacing="0"/>
        <w:rPr>
          <w:bCs/>
          <w:color w:val="000000"/>
          <w:sz w:val="26"/>
          <w:szCs w:val="26"/>
        </w:rPr>
      </w:pPr>
    </w:p>
    <w:p w:rsidR="00281A6D" w:rsidRPr="00C80455" w:rsidRDefault="00281A6D" w:rsidP="00281A6D">
      <w:pPr>
        <w:pStyle w:val="naisf"/>
        <w:spacing w:before="0" w:beforeAutospacing="0" w:after="0" w:afterAutospacing="0"/>
        <w:rPr>
          <w:bCs/>
          <w:color w:val="000000"/>
          <w:sz w:val="26"/>
          <w:szCs w:val="26"/>
        </w:rPr>
      </w:pPr>
    </w:p>
    <w:p w:rsidR="00281A6D" w:rsidRPr="00C80455" w:rsidRDefault="00281A6D" w:rsidP="00281A6D">
      <w:pPr>
        <w:pStyle w:val="naisf"/>
        <w:spacing w:before="0" w:beforeAutospacing="0" w:after="0" w:afterAutospacing="0"/>
        <w:rPr>
          <w:bCs/>
          <w:color w:val="000000"/>
          <w:sz w:val="26"/>
          <w:szCs w:val="26"/>
        </w:rPr>
      </w:pPr>
    </w:p>
    <w:p w:rsidR="00281A6D" w:rsidRPr="00C80455" w:rsidRDefault="00281A6D" w:rsidP="00281A6D">
      <w:pPr>
        <w:pStyle w:val="naisf"/>
        <w:spacing w:before="0" w:beforeAutospacing="0" w:after="0" w:afterAutospacing="0"/>
        <w:rPr>
          <w:bCs/>
          <w:color w:val="000000"/>
          <w:sz w:val="26"/>
          <w:szCs w:val="26"/>
        </w:rPr>
      </w:pPr>
      <w:r w:rsidRPr="00C80455">
        <w:rPr>
          <w:bCs/>
          <w:color w:val="000000"/>
          <w:sz w:val="26"/>
          <w:szCs w:val="26"/>
        </w:rPr>
        <w:t>Vīza:</w:t>
      </w:r>
    </w:p>
    <w:p w:rsidR="00281A6D" w:rsidRPr="00C80455" w:rsidRDefault="00281A6D" w:rsidP="00281A6D">
      <w:pPr>
        <w:pStyle w:val="naisf"/>
        <w:spacing w:before="0" w:beforeAutospacing="0" w:after="0" w:afterAutospacing="0"/>
        <w:rPr>
          <w:b/>
          <w:bCs/>
          <w:color w:val="000000"/>
          <w:sz w:val="26"/>
          <w:szCs w:val="26"/>
        </w:rPr>
      </w:pPr>
    </w:p>
    <w:p w:rsidR="00281A6D" w:rsidRPr="00C80455" w:rsidRDefault="00281A6D" w:rsidP="00281A6D">
      <w:pPr>
        <w:jc w:val="both"/>
        <w:rPr>
          <w:color w:val="000000"/>
          <w:sz w:val="26"/>
          <w:szCs w:val="26"/>
          <w:lang w:val="lv-LV"/>
        </w:rPr>
      </w:pPr>
      <w:r w:rsidRPr="00C80455">
        <w:rPr>
          <w:color w:val="000000"/>
          <w:sz w:val="26"/>
          <w:szCs w:val="26"/>
          <w:lang w:val="lv-LV"/>
        </w:rPr>
        <w:t>valsts sekretārs</w:t>
      </w:r>
      <w:r w:rsidRPr="00C80455">
        <w:rPr>
          <w:color w:val="000000"/>
          <w:sz w:val="26"/>
          <w:szCs w:val="26"/>
          <w:lang w:val="lv-LV"/>
        </w:rPr>
        <w:tab/>
      </w:r>
      <w:r w:rsidRPr="00C80455">
        <w:rPr>
          <w:color w:val="000000"/>
          <w:sz w:val="26"/>
          <w:szCs w:val="26"/>
          <w:lang w:val="lv-LV"/>
        </w:rPr>
        <w:tab/>
      </w:r>
      <w:r w:rsidRPr="00C80455">
        <w:rPr>
          <w:color w:val="000000"/>
          <w:sz w:val="26"/>
          <w:szCs w:val="26"/>
          <w:lang w:val="lv-LV"/>
        </w:rPr>
        <w:tab/>
      </w:r>
      <w:r w:rsidRPr="00C80455">
        <w:rPr>
          <w:color w:val="000000"/>
          <w:sz w:val="26"/>
          <w:szCs w:val="26"/>
          <w:lang w:val="lv-LV"/>
        </w:rPr>
        <w:tab/>
      </w:r>
      <w:r w:rsidRPr="00C80455">
        <w:rPr>
          <w:color w:val="000000"/>
          <w:sz w:val="26"/>
          <w:szCs w:val="26"/>
          <w:lang w:val="lv-LV"/>
        </w:rPr>
        <w:tab/>
      </w:r>
      <w:r w:rsidRPr="00C80455">
        <w:rPr>
          <w:color w:val="000000"/>
          <w:sz w:val="26"/>
          <w:szCs w:val="26"/>
          <w:lang w:val="lv-LV"/>
        </w:rPr>
        <w:tab/>
      </w:r>
      <w:r w:rsidRPr="00C80455">
        <w:rPr>
          <w:color w:val="000000"/>
          <w:sz w:val="26"/>
          <w:szCs w:val="26"/>
          <w:lang w:val="lv-LV"/>
        </w:rPr>
        <w:tab/>
      </w:r>
      <w:r w:rsidRPr="00C80455">
        <w:rPr>
          <w:color w:val="000000"/>
          <w:sz w:val="26"/>
          <w:szCs w:val="26"/>
          <w:lang w:val="lv-LV"/>
        </w:rPr>
        <w:tab/>
      </w:r>
      <w:proofErr w:type="spellStart"/>
      <w:r w:rsidRPr="00C80455">
        <w:rPr>
          <w:color w:val="000000"/>
          <w:sz w:val="26"/>
          <w:szCs w:val="26"/>
          <w:lang w:val="lv-LV"/>
        </w:rPr>
        <w:t>J.Stinka</w:t>
      </w:r>
      <w:proofErr w:type="spellEnd"/>
    </w:p>
    <w:p w:rsidR="00281A6D" w:rsidRPr="00C80455" w:rsidRDefault="00281A6D" w:rsidP="00281A6D">
      <w:pPr>
        <w:pStyle w:val="Header"/>
        <w:tabs>
          <w:tab w:val="left" w:pos="720"/>
        </w:tabs>
        <w:rPr>
          <w:color w:val="000000" w:themeColor="text1"/>
          <w:lang w:val="lv-LV"/>
        </w:rPr>
      </w:pPr>
    </w:p>
    <w:p w:rsidR="00281A6D" w:rsidRPr="00C80455" w:rsidRDefault="00281A6D" w:rsidP="00281A6D">
      <w:pPr>
        <w:pStyle w:val="Header"/>
        <w:tabs>
          <w:tab w:val="left" w:pos="720"/>
        </w:tabs>
        <w:rPr>
          <w:color w:val="000000" w:themeColor="text1"/>
          <w:sz w:val="20"/>
          <w:szCs w:val="20"/>
          <w:lang w:val="lv-LV"/>
        </w:rPr>
      </w:pPr>
    </w:p>
    <w:p w:rsidR="00281A6D" w:rsidRPr="00C80455" w:rsidRDefault="00281A6D" w:rsidP="00281A6D">
      <w:pPr>
        <w:pStyle w:val="Header"/>
        <w:tabs>
          <w:tab w:val="left" w:pos="720"/>
        </w:tabs>
        <w:rPr>
          <w:color w:val="000000" w:themeColor="text1"/>
          <w:sz w:val="20"/>
          <w:szCs w:val="20"/>
          <w:lang w:val="lv-LV"/>
        </w:rPr>
      </w:pPr>
    </w:p>
    <w:p w:rsidR="00281A6D" w:rsidRPr="00C80455" w:rsidRDefault="00281A6D" w:rsidP="00281A6D">
      <w:pPr>
        <w:pStyle w:val="Header"/>
        <w:tabs>
          <w:tab w:val="left" w:pos="720"/>
        </w:tabs>
        <w:rPr>
          <w:color w:val="000000" w:themeColor="text1"/>
          <w:sz w:val="20"/>
          <w:szCs w:val="20"/>
          <w:lang w:val="lv-LV"/>
        </w:rPr>
      </w:pPr>
    </w:p>
    <w:p w:rsidR="00E9203A" w:rsidRDefault="003B4A39" w:rsidP="00281A6D">
      <w:pPr>
        <w:pStyle w:val="Header"/>
        <w:tabs>
          <w:tab w:val="left" w:pos="720"/>
        </w:tabs>
        <w:rPr>
          <w:color w:val="000000" w:themeColor="text1"/>
          <w:sz w:val="20"/>
          <w:szCs w:val="20"/>
          <w:lang w:val="lv-LV"/>
        </w:rPr>
      </w:pPr>
      <w:r>
        <w:rPr>
          <w:color w:val="000000" w:themeColor="text1"/>
          <w:sz w:val="20"/>
          <w:szCs w:val="20"/>
          <w:lang w:val="lv-LV"/>
        </w:rPr>
        <w:t>2</w:t>
      </w:r>
      <w:r w:rsidR="00A56A07">
        <w:rPr>
          <w:color w:val="000000" w:themeColor="text1"/>
          <w:sz w:val="20"/>
          <w:szCs w:val="20"/>
          <w:lang w:val="lv-LV"/>
        </w:rPr>
        <w:t>9</w:t>
      </w:r>
      <w:r w:rsidR="00C80455">
        <w:rPr>
          <w:color w:val="000000" w:themeColor="text1"/>
          <w:sz w:val="20"/>
          <w:szCs w:val="20"/>
          <w:lang w:val="lv-LV"/>
        </w:rPr>
        <w:t>.06</w:t>
      </w:r>
      <w:r w:rsidR="00281A6D" w:rsidRPr="00C80455">
        <w:rPr>
          <w:color w:val="000000" w:themeColor="text1"/>
          <w:sz w:val="20"/>
          <w:szCs w:val="20"/>
          <w:lang w:val="lv-LV"/>
        </w:rPr>
        <w:t xml:space="preserve">.2016. </w:t>
      </w:r>
      <w:r w:rsidR="0023588A">
        <w:rPr>
          <w:color w:val="000000" w:themeColor="text1"/>
          <w:sz w:val="20"/>
          <w:szCs w:val="20"/>
          <w:lang w:val="lv-LV"/>
        </w:rPr>
        <w:t>16:58</w:t>
      </w:r>
      <w:bookmarkStart w:id="3" w:name="_GoBack"/>
      <w:bookmarkEnd w:id="3"/>
    </w:p>
    <w:p w:rsidR="00281A6D" w:rsidRPr="00C80455" w:rsidRDefault="003B4A39" w:rsidP="00281A6D">
      <w:pPr>
        <w:pStyle w:val="Header"/>
        <w:tabs>
          <w:tab w:val="left" w:pos="720"/>
        </w:tabs>
        <w:rPr>
          <w:color w:val="000000" w:themeColor="text1"/>
          <w:sz w:val="20"/>
          <w:szCs w:val="20"/>
          <w:lang w:val="lv-LV"/>
        </w:rPr>
      </w:pPr>
      <w:r>
        <w:rPr>
          <w:color w:val="000000" w:themeColor="text1"/>
          <w:sz w:val="20"/>
          <w:szCs w:val="20"/>
          <w:lang w:val="lv-LV"/>
        </w:rPr>
        <w:t>57</w:t>
      </w:r>
      <w:r w:rsidR="00A56A07">
        <w:rPr>
          <w:color w:val="000000" w:themeColor="text1"/>
          <w:sz w:val="20"/>
          <w:szCs w:val="20"/>
          <w:lang w:val="lv-LV"/>
        </w:rPr>
        <w:t>7</w:t>
      </w:r>
    </w:p>
    <w:p w:rsidR="00281A6D" w:rsidRPr="00C80455" w:rsidRDefault="00281A6D" w:rsidP="00281A6D">
      <w:pPr>
        <w:pStyle w:val="Header"/>
        <w:tabs>
          <w:tab w:val="left" w:pos="720"/>
        </w:tabs>
        <w:rPr>
          <w:color w:val="000000" w:themeColor="text1"/>
          <w:sz w:val="20"/>
          <w:szCs w:val="20"/>
          <w:lang w:val="lv-LV"/>
        </w:rPr>
      </w:pPr>
      <w:proofErr w:type="spellStart"/>
      <w:r w:rsidRPr="00C80455">
        <w:rPr>
          <w:color w:val="000000" w:themeColor="text1"/>
          <w:sz w:val="20"/>
          <w:szCs w:val="20"/>
          <w:lang w:val="lv-LV"/>
        </w:rPr>
        <w:t>A.Timofejeva</w:t>
      </w:r>
      <w:proofErr w:type="spellEnd"/>
      <w:r w:rsidRPr="00C80455">
        <w:rPr>
          <w:color w:val="000000" w:themeColor="text1"/>
          <w:sz w:val="20"/>
          <w:szCs w:val="20"/>
          <w:lang w:val="lv-LV"/>
        </w:rPr>
        <w:t xml:space="preserve">, </w:t>
      </w:r>
    </w:p>
    <w:p w:rsidR="00281A6D" w:rsidRPr="00C80455" w:rsidRDefault="00281A6D" w:rsidP="00281A6D">
      <w:pPr>
        <w:pStyle w:val="Header"/>
        <w:tabs>
          <w:tab w:val="left" w:pos="720"/>
        </w:tabs>
        <w:rPr>
          <w:color w:val="000000" w:themeColor="text1"/>
          <w:sz w:val="20"/>
          <w:szCs w:val="20"/>
          <w:lang w:val="lv-LV"/>
        </w:rPr>
      </w:pPr>
      <w:r w:rsidRPr="00C80455">
        <w:rPr>
          <w:color w:val="000000" w:themeColor="text1"/>
          <w:sz w:val="20"/>
          <w:szCs w:val="20"/>
          <w:lang w:val="lv-LV"/>
        </w:rPr>
        <w:t>67013227</w:t>
      </w:r>
    </w:p>
    <w:p w:rsidR="00281A6D" w:rsidRPr="00C80455" w:rsidRDefault="0023588A" w:rsidP="00281A6D">
      <w:pPr>
        <w:pStyle w:val="Header"/>
        <w:tabs>
          <w:tab w:val="left" w:pos="720"/>
        </w:tabs>
        <w:rPr>
          <w:color w:val="000000" w:themeColor="text1"/>
          <w:sz w:val="20"/>
          <w:szCs w:val="20"/>
          <w:lang w:val="lv-LV"/>
        </w:rPr>
      </w:pPr>
      <w:hyperlink r:id="rId8" w:history="1">
        <w:r w:rsidR="00281A6D" w:rsidRPr="00C80455">
          <w:rPr>
            <w:rStyle w:val="Hyperlink"/>
            <w:sz w:val="20"/>
            <w:szCs w:val="20"/>
            <w:lang w:val="lv-LV"/>
          </w:rPr>
          <w:t>Aija.Timofejeva@em.gov.lv</w:t>
        </w:r>
      </w:hyperlink>
      <w:r w:rsidR="00281A6D" w:rsidRPr="00C80455">
        <w:rPr>
          <w:sz w:val="20"/>
          <w:szCs w:val="20"/>
          <w:lang w:val="lv-LV"/>
        </w:rPr>
        <w:t xml:space="preserve"> </w:t>
      </w:r>
      <w:r w:rsidR="00281A6D" w:rsidRPr="00C80455">
        <w:rPr>
          <w:color w:val="000000" w:themeColor="text1"/>
          <w:sz w:val="20"/>
          <w:szCs w:val="20"/>
          <w:lang w:val="lv-LV"/>
        </w:rPr>
        <w:t xml:space="preserve"> </w:t>
      </w:r>
    </w:p>
    <w:p w:rsidR="00762FEF" w:rsidRPr="00C80455" w:rsidRDefault="00762FEF" w:rsidP="00762FEF">
      <w:pPr>
        <w:rPr>
          <w:lang w:val="lv-LV"/>
        </w:rPr>
      </w:pPr>
    </w:p>
    <w:p w:rsidR="00281A6D" w:rsidRPr="00C80455" w:rsidRDefault="00281A6D" w:rsidP="00762FEF">
      <w:pPr>
        <w:tabs>
          <w:tab w:val="left" w:pos="2895"/>
        </w:tabs>
        <w:rPr>
          <w:lang w:val="lv-LV"/>
        </w:rPr>
      </w:pPr>
    </w:p>
    <w:sectPr w:rsidR="00281A6D" w:rsidRPr="00C80455" w:rsidSect="00AC18B7">
      <w:headerReference w:type="default" r:id="rId9"/>
      <w:footerReference w:type="default" r:id="rId10"/>
      <w:headerReference w:type="first" r:id="rId11"/>
      <w:footerReference w:type="first" r:id="rId12"/>
      <w:pgSz w:w="11906" w:h="16838"/>
      <w:pgMar w:top="1440" w:right="1800" w:bottom="1135"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97" w:rsidRDefault="003C4597" w:rsidP="00FD0EB9">
      <w:r>
        <w:separator/>
      </w:r>
    </w:p>
  </w:endnote>
  <w:endnote w:type="continuationSeparator" w:id="0">
    <w:p w:rsidR="003C4597" w:rsidRDefault="003C4597" w:rsidP="00FD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6148"/>
      <w:docPartObj>
        <w:docPartGallery w:val="Page Numbers (Bottom of Page)"/>
        <w:docPartUnique/>
      </w:docPartObj>
    </w:sdtPr>
    <w:sdtEndPr>
      <w:rPr>
        <w:noProof/>
      </w:rPr>
    </w:sdtEndPr>
    <w:sdtContent>
      <w:p w:rsidR="004504AA" w:rsidRPr="00FF5EB4" w:rsidRDefault="00FF5EB4" w:rsidP="00FF5EB4">
        <w:pPr>
          <w:contextualSpacing/>
          <w:jc w:val="both"/>
          <w:outlineLvl w:val="0"/>
          <w:rPr>
            <w:sz w:val="20"/>
            <w:szCs w:val="20"/>
          </w:rPr>
        </w:pPr>
        <w:r w:rsidRPr="00515F9D">
          <w:rPr>
            <w:sz w:val="20"/>
            <w:szCs w:val="20"/>
          </w:rPr>
          <w:t>E</w:t>
        </w:r>
        <w:r w:rsidR="00E9203A">
          <w:rPr>
            <w:sz w:val="20"/>
            <w:szCs w:val="20"/>
          </w:rPr>
          <w:t>MAnot_2</w:t>
        </w:r>
        <w:r w:rsidR="0023588A">
          <w:rPr>
            <w:sz w:val="20"/>
            <w:szCs w:val="20"/>
          </w:rPr>
          <w:t>9</w:t>
        </w:r>
        <w:r w:rsidR="00C80455">
          <w:rPr>
            <w:sz w:val="20"/>
            <w:szCs w:val="20"/>
          </w:rPr>
          <w:t>06</w:t>
        </w:r>
        <w:r w:rsidRPr="00515F9D">
          <w:rPr>
            <w:sz w:val="20"/>
            <w:szCs w:val="20"/>
          </w:rPr>
          <w:t>16_MK221</w:t>
        </w:r>
        <w:r>
          <w:rPr>
            <w:sz w:val="20"/>
            <w:szCs w:val="20"/>
          </w:rPr>
          <w:t>_pielikums</w:t>
        </w:r>
        <w:r w:rsidRPr="00515F9D">
          <w:rPr>
            <w:sz w:val="20"/>
            <w:szCs w:val="20"/>
          </w:rPr>
          <w:t xml:space="preserve">; </w:t>
        </w:r>
        <w:proofErr w:type="spellStart"/>
        <w:r w:rsidRPr="00515F9D">
          <w:rPr>
            <w:color w:val="000000"/>
            <w:sz w:val="20"/>
            <w:szCs w:val="20"/>
          </w:rPr>
          <w:t>Mini</w:t>
        </w:r>
        <w:r>
          <w:rPr>
            <w:color w:val="000000"/>
            <w:sz w:val="20"/>
            <w:szCs w:val="20"/>
          </w:rPr>
          <w:t>stru</w:t>
        </w:r>
        <w:proofErr w:type="spellEnd"/>
        <w:r>
          <w:rPr>
            <w:color w:val="000000"/>
            <w:sz w:val="20"/>
            <w:szCs w:val="20"/>
          </w:rPr>
          <w:t xml:space="preserve"> </w:t>
        </w:r>
        <w:proofErr w:type="spellStart"/>
        <w:r>
          <w:rPr>
            <w:color w:val="000000"/>
            <w:sz w:val="20"/>
            <w:szCs w:val="20"/>
          </w:rPr>
          <w:t>kabineta</w:t>
        </w:r>
        <w:proofErr w:type="spellEnd"/>
        <w:r>
          <w:rPr>
            <w:color w:val="000000"/>
            <w:sz w:val="20"/>
            <w:szCs w:val="20"/>
          </w:rPr>
          <w:t xml:space="preserve"> </w:t>
        </w:r>
        <w:proofErr w:type="spellStart"/>
        <w:r>
          <w:rPr>
            <w:color w:val="000000"/>
            <w:sz w:val="20"/>
            <w:szCs w:val="20"/>
          </w:rPr>
          <w:t>noteikumu</w:t>
        </w:r>
        <w:proofErr w:type="spellEnd"/>
        <w:r>
          <w:rPr>
            <w:color w:val="000000"/>
            <w:sz w:val="20"/>
            <w:szCs w:val="20"/>
          </w:rPr>
          <w:t xml:space="preserve"> </w:t>
        </w:r>
        <w:proofErr w:type="spellStart"/>
        <w:r>
          <w:rPr>
            <w:color w:val="000000"/>
            <w:sz w:val="20"/>
            <w:szCs w:val="20"/>
          </w:rPr>
          <w:t>projekta</w:t>
        </w:r>
        <w:proofErr w:type="spellEnd"/>
        <w:r w:rsidRPr="00515F9D">
          <w:rPr>
            <w:color w:val="000000"/>
            <w:sz w:val="20"/>
            <w:szCs w:val="20"/>
          </w:rPr>
          <w:t xml:space="preserve"> </w:t>
        </w:r>
        <w:r w:rsidRPr="00515F9D">
          <w:rPr>
            <w:bCs/>
            <w:sz w:val="20"/>
            <w:szCs w:val="20"/>
          </w:rPr>
          <w:t>“</w:t>
        </w:r>
        <w:proofErr w:type="spellStart"/>
        <w:r w:rsidRPr="00515F9D">
          <w:rPr>
            <w:bCs/>
            <w:sz w:val="20"/>
            <w:szCs w:val="20"/>
          </w:rPr>
          <w:t>Grozījumi</w:t>
        </w:r>
        <w:proofErr w:type="spellEnd"/>
        <w:r w:rsidRPr="00515F9D">
          <w:rPr>
            <w:bCs/>
            <w:sz w:val="20"/>
            <w:szCs w:val="20"/>
          </w:rPr>
          <w:t xml:space="preserve"> </w:t>
        </w:r>
        <w:proofErr w:type="spellStart"/>
        <w:r w:rsidRPr="00515F9D">
          <w:rPr>
            <w:color w:val="000000"/>
            <w:sz w:val="20"/>
            <w:szCs w:val="20"/>
          </w:rPr>
          <w:t>Ministru</w:t>
        </w:r>
        <w:proofErr w:type="spellEnd"/>
        <w:r w:rsidRPr="00515F9D">
          <w:rPr>
            <w:color w:val="000000"/>
            <w:sz w:val="20"/>
            <w:szCs w:val="20"/>
          </w:rPr>
          <w:t xml:space="preserve"> </w:t>
        </w:r>
        <w:proofErr w:type="spellStart"/>
        <w:r w:rsidRPr="00515F9D">
          <w:rPr>
            <w:color w:val="000000"/>
            <w:sz w:val="20"/>
            <w:szCs w:val="20"/>
          </w:rPr>
          <w:t>kabineta</w:t>
        </w:r>
        <w:proofErr w:type="spellEnd"/>
        <w:r w:rsidRPr="00515F9D">
          <w:rPr>
            <w:color w:val="000000"/>
            <w:sz w:val="20"/>
            <w:szCs w:val="20"/>
          </w:rPr>
          <w:t xml:space="preserve"> 2009. </w:t>
        </w:r>
        <w:proofErr w:type="spellStart"/>
        <w:proofErr w:type="gramStart"/>
        <w:r w:rsidRPr="00515F9D">
          <w:rPr>
            <w:color w:val="000000"/>
            <w:sz w:val="20"/>
            <w:szCs w:val="20"/>
          </w:rPr>
          <w:t>gada</w:t>
        </w:r>
        <w:proofErr w:type="spellEnd"/>
        <w:proofErr w:type="gramEnd"/>
        <w:r w:rsidRPr="00515F9D">
          <w:rPr>
            <w:color w:val="000000"/>
            <w:sz w:val="20"/>
            <w:szCs w:val="20"/>
          </w:rPr>
          <w:t xml:space="preserve"> 10. </w:t>
        </w:r>
        <w:proofErr w:type="spellStart"/>
        <w:proofErr w:type="gramStart"/>
        <w:r w:rsidRPr="00515F9D">
          <w:rPr>
            <w:color w:val="000000"/>
            <w:sz w:val="20"/>
            <w:szCs w:val="20"/>
          </w:rPr>
          <w:t>marta</w:t>
        </w:r>
        <w:proofErr w:type="spellEnd"/>
        <w:proofErr w:type="gramEnd"/>
        <w:r w:rsidRPr="00515F9D">
          <w:rPr>
            <w:color w:val="000000"/>
            <w:sz w:val="20"/>
            <w:szCs w:val="20"/>
          </w:rPr>
          <w:t xml:space="preserve"> </w:t>
        </w:r>
        <w:proofErr w:type="spellStart"/>
        <w:r w:rsidRPr="00515F9D">
          <w:rPr>
            <w:color w:val="000000"/>
            <w:sz w:val="20"/>
            <w:szCs w:val="20"/>
          </w:rPr>
          <w:t>noteikumos</w:t>
        </w:r>
        <w:proofErr w:type="spellEnd"/>
        <w:r w:rsidRPr="00515F9D">
          <w:rPr>
            <w:color w:val="000000"/>
            <w:sz w:val="20"/>
            <w:szCs w:val="20"/>
          </w:rPr>
          <w:t xml:space="preserve"> Nr.221 “</w:t>
        </w:r>
        <w:proofErr w:type="spellStart"/>
        <w:r w:rsidRPr="00515F9D">
          <w:rPr>
            <w:color w:val="000000"/>
            <w:sz w:val="20"/>
            <w:szCs w:val="20"/>
          </w:rPr>
          <w:t>Noteikumi</w:t>
        </w:r>
        <w:proofErr w:type="spellEnd"/>
        <w:r w:rsidRPr="00515F9D">
          <w:rPr>
            <w:color w:val="000000"/>
            <w:sz w:val="20"/>
            <w:szCs w:val="20"/>
          </w:rPr>
          <w:t xml:space="preserve"> par </w:t>
        </w:r>
        <w:proofErr w:type="spellStart"/>
        <w:r w:rsidRPr="00515F9D">
          <w:rPr>
            <w:color w:val="000000"/>
            <w:sz w:val="20"/>
            <w:szCs w:val="20"/>
          </w:rPr>
          <w:t>elektroenerģijas</w:t>
        </w:r>
        <w:proofErr w:type="spellEnd"/>
        <w:r w:rsidRPr="00515F9D">
          <w:rPr>
            <w:color w:val="000000"/>
            <w:sz w:val="20"/>
            <w:szCs w:val="20"/>
          </w:rPr>
          <w:t xml:space="preserve"> </w:t>
        </w:r>
        <w:proofErr w:type="spellStart"/>
        <w:r w:rsidRPr="00515F9D">
          <w:rPr>
            <w:color w:val="000000"/>
            <w:sz w:val="20"/>
            <w:szCs w:val="20"/>
          </w:rPr>
          <w:t>ražošanu</w:t>
        </w:r>
        <w:proofErr w:type="spellEnd"/>
        <w:r w:rsidRPr="00515F9D">
          <w:rPr>
            <w:color w:val="000000"/>
            <w:sz w:val="20"/>
            <w:szCs w:val="20"/>
          </w:rPr>
          <w:t xml:space="preserve"> un </w:t>
        </w:r>
        <w:proofErr w:type="spellStart"/>
        <w:r w:rsidRPr="00515F9D">
          <w:rPr>
            <w:color w:val="000000"/>
            <w:sz w:val="20"/>
            <w:szCs w:val="20"/>
          </w:rPr>
          <w:t>cenu</w:t>
        </w:r>
        <w:proofErr w:type="spellEnd"/>
        <w:r w:rsidRPr="00515F9D">
          <w:rPr>
            <w:color w:val="000000"/>
            <w:sz w:val="20"/>
            <w:szCs w:val="20"/>
          </w:rPr>
          <w:t xml:space="preserve"> </w:t>
        </w:r>
        <w:proofErr w:type="spellStart"/>
        <w:r w:rsidRPr="00515F9D">
          <w:rPr>
            <w:color w:val="000000"/>
            <w:sz w:val="20"/>
            <w:szCs w:val="20"/>
          </w:rPr>
          <w:t>noteikšanu</w:t>
        </w:r>
        <w:proofErr w:type="spellEnd"/>
        <w:r w:rsidRPr="00515F9D">
          <w:rPr>
            <w:color w:val="000000"/>
            <w:sz w:val="20"/>
            <w:szCs w:val="20"/>
          </w:rPr>
          <w:t xml:space="preserve">, </w:t>
        </w:r>
        <w:proofErr w:type="spellStart"/>
        <w:r w:rsidRPr="00515F9D">
          <w:rPr>
            <w:color w:val="000000"/>
            <w:sz w:val="20"/>
            <w:szCs w:val="20"/>
          </w:rPr>
          <w:t>ražojot</w:t>
        </w:r>
        <w:proofErr w:type="spellEnd"/>
        <w:r w:rsidRPr="00515F9D">
          <w:rPr>
            <w:color w:val="000000"/>
            <w:sz w:val="20"/>
            <w:szCs w:val="20"/>
          </w:rPr>
          <w:t xml:space="preserve"> </w:t>
        </w:r>
        <w:proofErr w:type="spellStart"/>
        <w:r w:rsidRPr="00515F9D">
          <w:rPr>
            <w:color w:val="000000"/>
            <w:sz w:val="20"/>
            <w:szCs w:val="20"/>
          </w:rPr>
          <w:t>elektroenerģiju</w:t>
        </w:r>
        <w:proofErr w:type="spellEnd"/>
        <w:r w:rsidRPr="00515F9D">
          <w:rPr>
            <w:color w:val="000000"/>
            <w:sz w:val="20"/>
            <w:szCs w:val="20"/>
          </w:rPr>
          <w:t xml:space="preserve"> </w:t>
        </w:r>
        <w:proofErr w:type="spellStart"/>
        <w:r w:rsidRPr="00515F9D">
          <w:rPr>
            <w:color w:val="000000"/>
            <w:sz w:val="20"/>
            <w:szCs w:val="20"/>
          </w:rPr>
          <w:t>koģenerācijā</w:t>
        </w:r>
        <w:proofErr w:type="spellEnd"/>
        <w:r w:rsidRPr="00515F9D">
          <w:rPr>
            <w:color w:val="000000"/>
            <w:sz w:val="20"/>
            <w:szCs w:val="20"/>
          </w:rPr>
          <w:t>”</w:t>
        </w:r>
        <w:r w:rsidRPr="00515F9D">
          <w:rPr>
            <w:bCs/>
            <w:sz w:val="20"/>
            <w:szCs w:val="20"/>
          </w:rPr>
          <w:t>”</w:t>
        </w:r>
        <w:r>
          <w:rPr>
            <w:bCs/>
            <w:sz w:val="20"/>
            <w:szCs w:val="20"/>
          </w:rPr>
          <w:t xml:space="preserve"> </w:t>
        </w:r>
        <w:proofErr w:type="spellStart"/>
        <w:r w:rsidRPr="00515F9D">
          <w:rPr>
            <w:bCs/>
            <w:sz w:val="20"/>
            <w:szCs w:val="20"/>
          </w:rPr>
          <w:t>sākotnēj</w:t>
        </w:r>
        <w:r w:rsidR="00762FEF">
          <w:rPr>
            <w:bCs/>
            <w:sz w:val="20"/>
            <w:szCs w:val="20"/>
          </w:rPr>
          <w:t>ās</w:t>
        </w:r>
        <w:proofErr w:type="spellEnd"/>
        <w:r w:rsidR="00762FEF">
          <w:rPr>
            <w:bCs/>
            <w:sz w:val="20"/>
            <w:szCs w:val="20"/>
          </w:rPr>
          <w:t xml:space="preserve"> </w:t>
        </w:r>
        <w:proofErr w:type="spellStart"/>
        <w:r w:rsidR="00762FEF">
          <w:rPr>
            <w:bCs/>
            <w:sz w:val="20"/>
            <w:szCs w:val="20"/>
          </w:rPr>
          <w:t>ietekmes</w:t>
        </w:r>
        <w:proofErr w:type="spellEnd"/>
        <w:r w:rsidR="00762FEF">
          <w:rPr>
            <w:bCs/>
            <w:sz w:val="20"/>
            <w:szCs w:val="20"/>
          </w:rPr>
          <w:t xml:space="preserve"> </w:t>
        </w:r>
        <w:proofErr w:type="spellStart"/>
        <w:r w:rsidR="00762FEF">
          <w:rPr>
            <w:bCs/>
            <w:sz w:val="20"/>
            <w:szCs w:val="20"/>
          </w:rPr>
          <w:t>novērtējuma</w:t>
        </w:r>
        <w:proofErr w:type="spellEnd"/>
        <w:r w:rsidR="00762FEF">
          <w:rPr>
            <w:bCs/>
            <w:sz w:val="20"/>
            <w:szCs w:val="20"/>
          </w:rPr>
          <w:t xml:space="preserve"> </w:t>
        </w:r>
        <w:proofErr w:type="spellStart"/>
        <w:r w:rsidR="00762FEF">
          <w:rPr>
            <w:bCs/>
            <w:sz w:val="20"/>
            <w:szCs w:val="20"/>
          </w:rPr>
          <w:t>ziņojuma</w:t>
        </w:r>
        <w:proofErr w:type="spellEnd"/>
        <w:r w:rsidRPr="00515F9D">
          <w:rPr>
            <w:bCs/>
            <w:sz w:val="20"/>
            <w:szCs w:val="20"/>
          </w:rPr>
          <w:t xml:space="preserve"> (</w:t>
        </w:r>
        <w:proofErr w:type="spellStart"/>
        <w:r w:rsidRPr="00515F9D">
          <w:rPr>
            <w:bCs/>
            <w:sz w:val="20"/>
            <w:szCs w:val="20"/>
          </w:rPr>
          <w:t>anotācija</w:t>
        </w:r>
        <w:r w:rsidR="00762FEF">
          <w:rPr>
            <w:bCs/>
            <w:sz w:val="20"/>
            <w:szCs w:val="20"/>
          </w:rPr>
          <w:t>s</w:t>
        </w:r>
        <w:proofErr w:type="spellEnd"/>
        <w:r w:rsidRPr="00515F9D">
          <w:rPr>
            <w:bCs/>
            <w:sz w:val="20"/>
            <w:szCs w:val="20"/>
          </w:rPr>
          <w:t>)</w:t>
        </w:r>
        <w:r w:rsidR="00762FEF">
          <w:rPr>
            <w:bCs/>
            <w:sz w:val="20"/>
            <w:szCs w:val="20"/>
          </w:rPr>
          <w:t xml:space="preserve"> </w:t>
        </w:r>
        <w:proofErr w:type="spellStart"/>
        <w:r w:rsidR="00762FEF">
          <w:rPr>
            <w:bCs/>
            <w:sz w:val="20"/>
            <w:szCs w:val="20"/>
          </w:rPr>
          <w:t>pielikums</w:t>
        </w:r>
        <w:proofErr w:type="spellEnd"/>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AA" w:rsidRPr="00FF5EB4" w:rsidRDefault="00FF5EB4" w:rsidP="00FF5EB4">
    <w:pPr>
      <w:contextualSpacing/>
      <w:jc w:val="both"/>
      <w:outlineLvl w:val="0"/>
      <w:rPr>
        <w:sz w:val="20"/>
        <w:szCs w:val="20"/>
      </w:rPr>
    </w:pPr>
    <w:r w:rsidRPr="00515F9D">
      <w:rPr>
        <w:sz w:val="20"/>
        <w:szCs w:val="20"/>
      </w:rPr>
      <w:t>E</w:t>
    </w:r>
    <w:r w:rsidR="0023588A">
      <w:rPr>
        <w:sz w:val="20"/>
        <w:szCs w:val="20"/>
      </w:rPr>
      <w:t>MAnot_29</w:t>
    </w:r>
    <w:r w:rsidR="00C80455">
      <w:rPr>
        <w:sz w:val="20"/>
        <w:szCs w:val="20"/>
      </w:rPr>
      <w:t>06</w:t>
    </w:r>
    <w:r w:rsidRPr="00515F9D">
      <w:rPr>
        <w:sz w:val="20"/>
        <w:szCs w:val="20"/>
      </w:rPr>
      <w:t>16_MK221</w:t>
    </w:r>
    <w:r>
      <w:rPr>
        <w:sz w:val="20"/>
        <w:szCs w:val="20"/>
      </w:rPr>
      <w:t>_pielikums</w:t>
    </w:r>
    <w:r w:rsidRPr="00515F9D">
      <w:rPr>
        <w:sz w:val="20"/>
        <w:szCs w:val="20"/>
      </w:rPr>
      <w:t xml:space="preserve">; </w:t>
    </w:r>
    <w:proofErr w:type="spellStart"/>
    <w:r w:rsidRPr="00515F9D">
      <w:rPr>
        <w:color w:val="000000"/>
        <w:sz w:val="20"/>
        <w:szCs w:val="20"/>
      </w:rPr>
      <w:t>Mini</w:t>
    </w:r>
    <w:r>
      <w:rPr>
        <w:color w:val="000000"/>
        <w:sz w:val="20"/>
        <w:szCs w:val="20"/>
      </w:rPr>
      <w:t>stru</w:t>
    </w:r>
    <w:proofErr w:type="spellEnd"/>
    <w:r>
      <w:rPr>
        <w:color w:val="000000"/>
        <w:sz w:val="20"/>
        <w:szCs w:val="20"/>
      </w:rPr>
      <w:t xml:space="preserve"> </w:t>
    </w:r>
    <w:proofErr w:type="spellStart"/>
    <w:r>
      <w:rPr>
        <w:color w:val="000000"/>
        <w:sz w:val="20"/>
        <w:szCs w:val="20"/>
      </w:rPr>
      <w:t>kabineta</w:t>
    </w:r>
    <w:proofErr w:type="spellEnd"/>
    <w:r>
      <w:rPr>
        <w:color w:val="000000"/>
        <w:sz w:val="20"/>
        <w:szCs w:val="20"/>
      </w:rPr>
      <w:t xml:space="preserve"> </w:t>
    </w:r>
    <w:proofErr w:type="spellStart"/>
    <w:r>
      <w:rPr>
        <w:color w:val="000000"/>
        <w:sz w:val="20"/>
        <w:szCs w:val="20"/>
      </w:rPr>
      <w:t>noteikumu</w:t>
    </w:r>
    <w:proofErr w:type="spellEnd"/>
    <w:r>
      <w:rPr>
        <w:color w:val="000000"/>
        <w:sz w:val="20"/>
        <w:szCs w:val="20"/>
      </w:rPr>
      <w:t xml:space="preserve"> </w:t>
    </w:r>
    <w:proofErr w:type="spellStart"/>
    <w:r>
      <w:rPr>
        <w:color w:val="000000"/>
        <w:sz w:val="20"/>
        <w:szCs w:val="20"/>
      </w:rPr>
      <w:t>projekta</w:t>
    </w:r>
    <w:proofErr w:type="spellEnd"/>
    <w:r w:rsidRPr="00515F9D">
      <w:rPr>
        <w:color w:val="000000"/>
        <w:sz w:val="20"/>
        <w:szCs w:val="20"/>
      </w:rPr>
      <w:t xml:space="preserve"> </w:t>
    </w:r>
    <w:r w:rsidRPr="00515F9D">
      <w:rPr>
        <w:bCs/>
        <w:sz w:val="20"/>
        <w:szCs w:val="20"/>
      </w:rPr>
      <w:t>“</w:t>
    </w:r>
    <w:proofErr w:type="spellStart"/>
    <w:r w:rsidRPr="00515F9D">
      <w:rPr>
        <w:bCs/>
        <w:sz w:val="20"/>
        <w:szCs w:val="20"/>
      </w:rPr>
      <w:t>Grozījumi</w:t>
    </w:r>
    <w:proofErr w:type="spellEnd"/>
    <w:r w:rsidRPr="00515F9D">
      <w:rPr>
        <w:bCs/>
        <w:sz w:val="20"/>
        <w:szCs w:val="20"/>
      </w:rPr>
      <w:t xml:space="preserve"> </w:t>
    </w:r>
    <w:proofErr w:type="spellStart"/>
    <w:r w:rsidRPr="00515F9D">
      <w:rPr>
        <w:color w:val="000000"/>
        <w:sz w:val="20"/>
        <w:szCs w:val="20"/>
      </w:rPr>
      <w:t>Ministru</w:t>
    </w:r>
    <w:proofErr w:type="spellEnd"/>
    <w:r w:rsidRPr="00515F9D">
      <w:rPr>
        <w:color w:val="000000"/>
        <w:sz w:val="20"/>
        <w:szCs w:val="20"/>
      </w:rPr>
      <w:t xml:space="preserve"> </w:t>
    </w:r>
    <w:proofErr w:type="spellStart"/>
    <w:r w:rsidRPr="00515F9D">
      <w:rPr>
        <w:color w:val="000000"/>
        <w:sz w:val="20"/>
        <w:szCs w:val="20"/>
      </w:rPr>
      <w:t>kabineta</w:t>
    </w:r>
    <w:proofErr w:type="spellEnd"/>
    <w:r w:rsidRPr="00515F9D">
      <w:rPr>
        <w:color w:val="000000"/>
        <w:sz w:val="20"/>
        <w:szCs w:val="20"/>
      </w:rPr>
      <w:t xml:space="preserve"> 2009. </w:t>
    </w:r>
    <w:proofErr w:type="spellStart"/>
    <w:proofErr w:type="gramStart"/>
    <w:r w:rsidRPr="00515F9D">
      <w:rPr>
        <w:color w:val="000000"/>
        <w:sz w:val="20"/>
        <w:szCs w:val="20"/>
      </w:rPr>
      <w:t>gada</w:t>
    </w:r>
    <w:proofErr w:type="spellEnd"/>
    <w:proofErr w:type="gramEnd"/>
    <w:r w:rsidRPr="00515F9D">
      <w:rPr>
        <w:color w:val="000000"/>
        <w:sz w:val="20"/>
        <w:szCs w:val="20"/>
      </w:rPr>
      <w:t xml:space="preserve"> 10. </w:t>
    </w:r>
    <w:proofErr w:type="spellStart"/>
    <w:proofErr w:type="gramStart"/>
    <w:r w:rsidRPr="00515F9D">
      <w:rPr>
        <w:color w:val="000000"/>
        <w:sz w:val="20"/>
        <w:szCs w:val="20"/>
      </w:rPr>
      <w:t>marta</w:t>
    </w:r>
    <w:proofErr w:type="spellEnd"/>
    <w:proofErr w:type="gramEnd"/>
    <w:r w:rsidRPr="00515F9D">
      <w:rPr>
        <w:color w:val="000000"/>
        <w:sz w:val="20"/>
        <w:szCs w:val="20"/>
      </w:rPr>
      <w:t xml:space="preserve"> </w:t>
    </w:r>
    <w:proofErr w:type="spellStart"/>
    <w:r w:rsidRPr="00515F9D">
      <w:rPr>
        <w:color w:val="000000"/>
        <w:sz w:val="20"/>
        <w:szCs w:val="20"/>
      </w:rPr>
      <w:t>noteikumos</w:t>
    </w:r>
    <w:proofErr w:type="spellEnd"/>
    <w:r w:rsidRPr="00515F9D">
      <w:rPr>
        <w:color w:val="000000"/>
        <w:sz w:val="20"/>
        <w:szCs w:val="20"/>
      </w:rPr>
      <w:t xml:space="preserve"> Nr.221 “</w:t>
    </w:r>
    <w:proofErr w:type="spellStart"/>
    <w:r w:rsidRPr="00515F9D">
      <w:rPr>
        <w:color w:val="000000"/>
        <w:sz w:val="20"/>
        <w:szCs w:val="20"/>
      </w:rPr>
      <w:t>Noteikumi</w:t>
    </w:r>
    <w:proofErr w:type="spellEnd"/>
    <w:r w:rsidRPr="00515F9D">
      <w:rPr>
        <w:color w:val="000000"/>
        <w:sz w:val="20"/>
        <w:szCs w:val="20"/>
      </w:rPr>
      <w:t xml:space="preserve"> par </w:t>
    </w:r>
    <w:proofErr w:type="spellStart"/>
    <w:r w:rsidRPr="00515F9D">
      <w:rPr>
        <w:color w:val="000000"/>
        <w:sz w:val="20"/>
        <w:szCs w:val="20"/>
      </w:rPr>
      <w:t>elektroenerģijas</w:t>
    </w:r>
    <w:proofErr w:type="spellEnd"/>
    <w:r w:rsidRPr="00515F9D">
      <w:rPr>
        <w:color w:val="000000"/>
        <w:sz w:val="20"/>
        <w:szCs w:val="20"/>
      </w:rPr>
      <w:t xml:space="preserve"> </w:t>
    </w:r>
    <w:proofErr w:type="spellStart"/>
    <w:r w:rsidRPr="00515F9D">
      <w:rPr>
        <w:color w:val="000000"/>
        <w:sz w:val="20"/>
        <w:szCs w:val="20"/>
      </w:rPr>
      <w:t>ražošanu</w:t>
    </w:r>
    <w:proofErr w:type="spellEnd"/>
    <w:r w:rsidRPr="00515F9D">
      <w:rPr>
        <w:color w:val="000000"/>
        <w:sz w:val="20"/>
        <w:szCs w:val="20"/>
      </w:rPr>
      <w:t xml:space="preserve"> un </w:t>
    </w:r>
    <w:proofErr w:type="spellStart"/>
    <w:r w:rsidRPr="00515F9D">
      <w:rPr>
        <w:color w:val="000000"/>
        <w:sz w:val="20"/>
        <w:szCs w:val="20"/>
      </w:rPr>
      <w:t>cenu</w:t>
    </w:r>
    <w:proofErr w:type="spellEnd"/>
    <w:r w:rsidRPr="00515F9D">
      <w:rPr>
        <w:color w:val="000000"/>
        <w:sz w:val="20"/>
        <w:szCs w:val="20"/>
      </w:rPr>
      <w:t xml:space="preserve"> </w:t>
    </w:r>
    <w:proofErr w:type="spellStart"/>
    <w:r w:rsidRPr="00515F9D">
      <w:rPr>
        <w:color w:val="000000"/>
        <w:sz w:val="20"/>
        <w:szCs w:val="20"/>
      </w:rPr>
      <w:t>noteikšanu</w:t>
    </w:r>
    <w:proofErr w:type="spellEnd"/>
    <w:r w:rsidRPr="00515F9D">
      <w:rPr>
        <w:color w:val="000000"/>
        <w:sz w:val="20"/>
        <w:szCs w:val="20"/>
      </w:rPr>
      <w:t xml:space="preserve">, </w:t>
    </w:r>
    <w:proofErr w:type="spellStart"/>
    <w:r w:rsidRPr="00515F9D">
      <w:rPr>
        <w:color w:val="000000"/>
        <w:sz w:val="20"/>
        <w:szCs w:val="20"/>
      </w:rPr>
      <w:t>ražojot</w:t>
    </w:r>
    <w:proofErr w:type="spellEnd"/>
    <w:r w:rsidRPr="00515F9D">
      <w:rPr>
        <w:color w:val="000000"/>
        <w:sz w:val="20"/>
        <w:szCs w:val="20"/>
      </w:rPr>
      <w:t xml:space="preserve"> </w:t>
    </w:r>
    <w:proofErr w:type="spellStart"/>
    <w:r w:rsidRPr="00515F9D">
      <w:rPr>
        <w:color w:val="000000"/>
        <w:sz w:val="20"/>
        <w:szCs w:val="20"/>
      </w:rPr>
      <w:t>elektroenerģiju</w:t>
    </w:r>
    <w:proofErr w:type="spellEnd"/>
    <w:r w:rsidRPr="00515F9D">
      <w:rPr>
        <w:color w:val="000000"/>
        <w:sz w:val="20"/>
        <w:szCs w:val="20"/>
      </w:rPr>
      <w:t xml:space="preserve"> </w:t>
    </w:r>
    <w:proofErr w:type="spellStart"/>
    <w:r w:rsidRPr="00515F9D">
      <w:rPr>
        <w:color w:val="000000"/>
        <w:sz w:val="20"/>
        <w:szCs w:val="20"/>
      </w:rPr>
      <w:t>koģenerācijā</w:t>
    </w:r>
    <w:proofErr w:type="spellEnd"/>
    <w:r w:rsidRPr="00515F9D">
      <w:rPr>
        <w:color w:val="000000"/>
        <w:sz w:val="20"/>
        <w:szCs w:val="20"/>
      </w:rPr>
      <w:t>”</w:t>
    </w:r>
    <w:r w:rsidRPr="00515F9D">
      <w:rPr>
        <w:bCs/>
        <w:sz w:val="20"/>
        <w:szCs w:val="20"/>
      </w:rPr>
      <w:t>”</w:t>
    </w:r>
    <w:r>
      <w:rPr>
        <w:bCs/>
        <w:sz w:val="20"/>
        <w:szCs w:val="20"/>
      </w:rPr>
      <w:t xml:space="preserve"> </w:t>
    </w:r>
    <w:proofErr w:type="spellStart"/>
    <w:r w:rsidRPr="00515F9D">
      <w:rPr>
        <w:bCs/>
        <w:sz w:val="20"/>
        <w:szCs w:val="20"/>
      </w:rPr>
      <w:t>sākotnējās</w:t>
    </w:r>
    <w:proofErr w:type="spellEnd"/>
    <w:r w:rsidRPr="00515F9D">
      <w:rPr>
        <w:bCs/>
        <w:sz w:val="20"/>
        <w:szCs w:val="20"/>
      </w:rPr>
      <w:t xml:space="preserve"> </w:t>
    </w:r>
    <w:proofErr w:type="spellStart"/>
    <w:r w:rsidRPr="00515F9D">
      <w:rPr>
        <w:bCs/>
        <w:sz w:val="20"/>
        <w:szCs w:val="20"/>
      </w:rPr>
      <w:t>ietekmes</w:t>
    </w:r>
    <w:proofErr w:type="spellEnd"/>
    <w:r w:rsidRPr="00515F9D">
      <w:rPr>
        <w:bCs/>
        <w:sz w:val="20"/>
        <w:szCs w:val="20"/>
      </w:rPr>
      <w:t xml:space="preserve"> </w:t>
    </w:r>
    <w:proofErr w:type="spellStart"/>
    <w:r w:rsidRPr="00515F9D">
      <w:rPr>
        <w:bCs/>
        <w:sz w:val="20"/>
        <w:szCs w:val="20"/>
      </w:rPr>
      <w:t>novērtējuma</w:t>
    </w:r>
    <w:proofErr w:type="spellEnd"/>
    <w:r w:rsidRPr="00515F9D">
      <w:rPr>
        <w:bCs/>
        <w:sz w:val="20"/>
        <w:szCs w:val="20"/>
      </w:rPr>
      <w:t xml:space="preserve"> </w:t>
    </w:r>
    <w:proofErr w:type="spellStart"/>
    <w:r w:rsidRPr="00515F9D">
      <w:rPr>
        <w:bCs/>
        <w:sz w:val="20"/>
        <w:szCs w:val="20"/>
      </w:rPr>
      <w:t>ziņojum</w:t>
    </w:r>
    <w:r w:rsidR="00BE5E8E">
      <w:rPr>
        <w:bCs/>
        <w:sz w:val="20"/>
        <w:szCs w:val="20"/>
      </w:rPr>
      <w:t>a</w:t>
    </w:r>
    <w:proofErr w:type="spellEnd"/>
    <w:r w:rsidRPr="00515F9D">
      <w:rPr>
        <w:bCs/>
        <w:sz w:val="20"/>
        <w:szCs w:val="20"/>
      </w:rPr>
      <w:t xml:space="preserve"> (</w:t>
    </w:r>
    <w:proofErr w:type="spellStart"/>
    <w:r w:rsidRPr="00515F9D">
      <w:rPr>
        <w:bCs/>
        <w:sz w:val="20"/>
        <w:szCs w:val="20"/>
      </w:rPr>
      <w:t>anotācija</w:t>
    </w:r>
    <w:r w:rsidR="00BE5E8E">
      <w:rPr>
        <w:bCs/>
        <w:sz w:val="20"/>
        <w:szCs w:val="20"/>
      </w:rPr>
      <w:t>s</w:t>
    </w:r>
    <w:proofErr w:type="spellEnd"/>
    <w:r w:rsidRPr="00515F9D">
      <w:rPr>
        <w:bCs/>
        <w:sz w:val="20"/>
        <w:szCs w:val="20"/>
      </w:rPr>
      <w:t>)</w:t>
    </w:r>
    <w:r w:rsidR="00BE5E8E">
      <w:rPr>
        <w:bCs/>
        <w:sz w:val="20"/>
        <w:szCs w:val="20"/>
      </w:rPr>
      <w:t xml:space="preserve"> </w:t>
    </w:r>
    <w:proofErr w:type="spellStart"/>
    <w:r w:rsidR="00BE5E8E">
      <w:rPr>
        <w:bCs/>
        <w:sz w:val="20"/>
        <w:szCs w:val="20"/>
      </w:rPr>
      <w:t>pielikums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97" w:rsidRDefault="003C4597" w:rsidP="00FD0EB9">
      <w:r>
        <w:separator/>
      </w:r>
    </w:p>
  </w:footnote>
  <w:footnote w:type="continuationSeparator" w:id="0">
    <w:p w:rsidR="003C4597" w:rsidRDefault="003C4597" w:rsidP="00FD0EB9">
      <w:r>
        <w:continuationSeparator/>
      </w:r>
    </w:p>
  </w:footnote>
  <w:footnote w:id="1">
    <w:p w:rsidR="00C414D7" w:rsidRPr="00C414D7" w:rsidRDefault="00C414D7">
      <w:pPr>
        <w:pStyle w:val="FootnoteText"/>
        <w:rPr>
          <w:lang w:val="lv-LV"/>
        </w:rPr>
      </w:pPr>
      <w:r>
        <w:rPr>
          <w:rStyle w:val="FootnoteReference"/>
        </w:rPr>
        <w:footnoteRef/>
      </w:r>
      <w:r>
        <w:t xml:space="preserve"> </w:t>
      </w:r>
      <w:r w:rsidRPr="00C414D7">
        <w:rPr>
          <w:color w:val="000000" w:themeColor="text1"/>
          <w:lang w:val="lv-LV"/>
        </w:rPr>
        <w:t>ES OV C/82, 01.04.2008.</w:t>
      </w:r>
    </w:p>
  </w:footnote>
  <w:footnote w:id="2">
    <w:p w:rsidR="00C80455" w:rsidRPr="0072407A" w:rsidRDefault="00C80455" w:rsidP="00C80455">
      <w:pPr>
        <w:pStyle w:val="FootnoteText"/>
        <w:rPr>
          <w:lang w:val="lv-LV"/>
        </w:rPr>
      </w:pPr>
      <w:r>
        <w:rPr>
          <w:rStyle w:val="FootnoteReference"/>
        </w:rPr>
        <w:footnoteRef/>
      </w:r>
      <w:r>
        <w:t xml:space="preserve"> </w:t>
      </w:r>
      <w:r w:rsidR="003B4A39" w:rsidRPr="003B4A39">
        <w:rPr>
          <w:lang w:val="lv-LV"/>
        </w:rPr>
        <w:t>Ministru kabine</w:t>
      </w:r>
      <w:r w:rsidR="003B4A39">
        <w:rPr>
          <w:lang w:val="lv-LV"/>
        </w:rPr>
        <w:t>ta 2009.gada 10.marta noteikumu</w:t>
      </w:r>
      <w:r w:rsidR="003B4A39" w:rsidRPr="003B4A39">
        <w:rPr>
          <w:lang w:val="lv-LV"/>
        </w:rPr>
        <w:t xml:space="preserve"> Nr.221 “Noteikumi par elektroenerģijas ražošanu un cenu noteikšanu, ražojot elektroenerģiju koģenerācijā”</w:t>
      </w:r>
      <w:r w:rsidR="003B4A39">
        <w:rPr>
          <w:lang w:val="lv-LV"/>
        </w:rPr>
        <w:t xml:space="preserve"> 3. - 23</w:t>
      </w:r>
      <w:r w:rsidRPr="003B4A39">
        <w:rPr>
          <w:lang w:val="lv-LV"/>
        </w:rPr>
        <w:t>.punkts.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78102"/>
      <w:docPartObj>
        <w:docPartGallery w:val="Page Numbers (Top of Page)"/>
        <w:docPartUnique/>
      </w:docPartObj>
    </w:sdtPr>
    <w:sdtEndPr>
      <w:rPr>
        <w:noProof/>
      </w:rPr>
    </w:sdtEndPr>
    <w:sdtContent>
      <w:p w:rsidR="00FF5EB4" w:rsidRDefault="00FF5EB4" w:rsidP="00FF5EB4">
        <w:pPr>
          <w:pStyle w:val="Header"/>
          <w:jc w:val="right"/>
          <w:rPr>
            <w:noProof/>
          </w:rPr>
        </w:pPr>
        <w:r>
          <w:fldChar w:fldCharType="begin"/>
        </w:r>
        <w:r>
          <w:instrText xml:space="preserve"> PAGE   \* MERGEFORMAT </w:instrText>
        </w:r>
        <w:r>
          <w:fldChar w:fldCharType="separate"/>
        </w:r>
        <w:r w:rsidR="0023588A">
          <w:rPr>
            <w:noProof/>
          </w:rPr>
          <w:t>2</w:t>
        </w:r>
        <w:r>
          <w:rPr>
            <w:noProof/>
          </w:rPr>
          <w:fldChar w:fldCharType="end"/>
        </w:r>
      </w:p>
      <w:p w:rsidR="00FF5EB4" w:rsidRDefault="00FF5EB4" w:rsidP="00FF5EB4">
        <w:pPr>
          <w:pStyle w:val="Header"/>
          <w:jc w:val="right"/>
        </w:pPr>
        <w:r>
          <w:rPr>
            <w:i/>
            <w:noProof/>
          </w:rPr>
          <w:t>Pielikums</w:t>
        </w:r>
      </w:p>
    </w:sdtContent>
  </w:sdt>
  <w:p w:rsidR="004504AA" w:rsidRDefault="00450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473150"/>
      <w:docPartObj>
        <w:docPartGallery w:val="Page Numbers (Top of Page)"/>
        <w:docPartUnique/>
      </w:docPartObj>
    </w:sdtPr>
    <w:sdtEndPr>
      <w:rPr>
        <w:noProof/>
      </w:rPr>
    </w:sdtEndPr>
    <w:sdtContent>
      <w:p w:rsidR="00FF5EB4" w:rsidRDefault="00FF5EB4" w:rsidP="00FF5EB4">
        <w:pPr>
          <w:pStyle w:val="Header"/>
          <w:jc w:val="right"/>
          <w:rPr>
            <w:noProof/>
          </w:rPr>
        </w:pPr>
        <w:r>
          <w:fldChar w:fldCharType="begin"/>
        </w:r>
        <w:r>
          <w:instrText xml:space="preserve"> PAGE   \* MERGEFORMAT </w:instrText>
        </w:r>
        <w:r>
          <w:fldChar w:fldCharType="separate"/>
        </w:r>
        <w:r w:rsidR="0023588A">
          <w:rPr>
            <w:noProof/>
          </w:rPr>
          <w:t>1</w:t>
        </w:r>
        <w:r>
          <w:rPr>
            <w:noProof/>
          </w:rPr>
          <w:fldChar w:fldCharType="end"/>
        </w:r>
      </w:p>
      <w:p w:rsidR="00FF5EB4" w:rsidRDefault="00FF5EB4" w:rsidP="00FF5EB4">
        <w:pPr>
          <w:pStyle w:val="Header"/>
          <w:jc w:val="right"/>
        </w:pPr>
        <w:r>
          <w:rPr>
            <w:i/>
            <w:noProof/>
          </w:rPr>
          <w:t>Pielikums</w:t>
        </w:r>
      </w:p>
    </w:sdtContent>
  </w:sdt>
  <w:p w:rsidR="00457DE0" w:rsidRPr="00457DE0" w:rsidRDefault="00457DE0" w:rsidP="00457DE0">
    <w:pPr>
      <w:pStyle w:val="Header"/>
      <w:jc w:val="right"/>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A0B05E"/>
    <w:multiLevelType w:val="hybridMultilevel"/>
    <w:tmpl w:val="9F53B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07F420"/>
    <w:multiLevelType w:val="hybridMultilevel"/>
    <w:tmpl w:val="CC00A6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17CA9A"/>
    <w:multiLevelType w:val="hybridMultilevel"/>
    <w:tmpl w:val="6CE66A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7C935A"/>
    <w:multiLevelType w:val="hybridMultilevel"/>
    <w:tmpl w:val="D27A9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DE056F"/>
    <w:multiLevelType w:val="hybridMultilevel"/>
    <w:tmpl w:val="7D5F55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7F0D97"/>
    <w:multiLevelType w:val="hybridMultilevel"/>
    <w:tmpl w:val="9088A2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C56AA5"/>
    <w:multiLevelType w:val="hybridMultilevel"/>
    <w:tmpl w:val="66F447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C27E94"/>
    <w:multiLevelType w:val="hybridMultilevel"/>
    <w:tmpl w:val="C72FE7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57E16B"/>
    <w:multiLevelType w:val="hybridMultilevel"/>
    <w:tmpl w:val="F8BFDC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66B9C5"/>
    <w:multiLevelType w:val="hybridMultilevel"/>
    <w:tmpl w:val="8A4B72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8BB640"/>
    <w:multiLevelType w:val="hybridMultilevel"/>
    <w:tmpl w:val="BB9764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E5F3A4"/>
    <w:multiLevelType w:val="hybridMultilevel"/>
    <w:tmpl w:val="632962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2E2092"/>
    <w:multiLevelType w:val="hybridMultilevel"/>
    <w:tmpl w:val="11FA63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AB3EB2"/>
    <w:multiLevelType w:val="hybridMultilevel"/>
    <w:tmpl w:val="539A99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D6E35F"/>
    <w:multiLevelType w:val="hybridMultilevel"/>
    <w:tmpl w:val="60C236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F585E9"/>
    <w:multiLevelType w:val="hybridMultilevel"/>
    <w:tmpl w:val="843D6F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344515"/>
    <w:multiLevelType w:val="hybridMultilevel"/>
    <w:tmpl w:val="68C02A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9F0BF2"/>
    <w:multiLevelType w:val="hybridMultilevel"/>
    <w:tmpl w:val="A8787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CE8C41"/>
    <w:multiLevelType w:val="hybridMultilevel"/>
    <w:tmpl w:val="D53AD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8AFDDC"/>
    <w:multiLevelType w:val="hybridMultilevel"/>
    <w:tmpl w:val="B91BB8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72AFAE1"/>
    <w:multiLevelType w:val="hybridMultilevel"/>
    <w:tmpl w:val="A49D8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A352159"/>
    <w:multiLevelType w:val="hybridMultilevel"/>
    <w:tmpl w:val="8D4AB6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13"/>
  </w:num>
  <w:num w:numId="5">
    <w:abstractNumId w:val="18"/>
  </w:num>
  <w:num w:numId="6">
    <w:abstractNumId w:val="8"/>
  </w:num>
  <w:num w:numId="7">
    <w:abstractNumId w:val="6"/>
  </w:num>
  <w:num w:numId="8">
    <w:abstractNumId w:val="17"/>
  </w:num>
  <w:num w:numId="9">
    <w:abstractNumId w:val="19"/>
  </w:num>
  <w:num w:numId="10">
    <w:abstractNumId w:val="2"/>
  </w:num>
  <w:num w:numId="11">
    <w:abstractNumId w:val="1"/>
  </w:num>
  <w:num w:numId="12">
    <w:abstractNumId w:val="14"/>
  </w:num>
  <w:num w:numId="13">
    <w:abstractNumId w:val="20"/>
  </w:num>
  <w:num w:numId="14">
    <w:abstractNumId w:val="15"/>
  </w:num>
  <w:num w:numId="15">
    <w:abstractNumId w:val="10"/>
  </w:num>
  <w:num w:numId="16">
    <w:abstractNumId w:val="7"/>
  </w:num>
  <w:num w:numId="17">
    <w:abstractNumId w:val="4"/>
  </w:num>
  <w:num w:numId="18">
    <w:abstractNumId w:val="16"/>
  </w:num>
  <w:num w:numId="19">
    <w:abstractNumId w:val="5"/>
  </w:num>
  <w:num w:numId="20">
    <w:abstractNumId w:val="11"/>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9"/>
    <w:rsid w:val="00057DA7"/>
    <w:rsid w:val="000907E5"/>
    <w:rsid w:val="000C0E23"/>
    <w:rsid w:val="000D6885"/>
    <w:rsid w:val="000D6E88"/>
    <w:rsid w:val="001647F1"/>
    <w:rsid w:val="00174DA9"/>
    <w:rsid w:val="002060B6"/>
    <w:rsid w:val="002315FB"/>
    <w:rsid w:val="00233E29"/>
    <w:rsid w:val="00233F5A"/>
    <w:rsid w:val="0023588A"/>
    <w:rsid w:val="00251E83"/>
    <w:rsid w:val="00281A6D"/>
    <w:rsid w:val="00283684"/>
    <w:rsid w:val="002A029A"/>
    <w:rsid w:val="002A19FD"/>
    <w:rsid w:val="002F098B"/>
    <w:rsid w:val="00300C97"/>
    <w:rsid w:val="00310458"/>
    <w:rsid w:val="003621BE"/>
    <w:rsid w:val="00372C06"/>
    <w:rsid w:val="0038561D"/>
    <w:rsid w:val="003A28B6"/>
    <w:rsid w:val="003B4A39"/>
    <w:rsid w:val="003C4597"/>
    <w:rsid w:val="003C69AC"/>
    <w:rsid w:val="003F5F81"/>
    <w:rsid w:val="004504AA"/>
    <w:rsid w:val="00457DE0"/>
    <w:rsid w:val="004B5274"/>
    <w:rsid w:val="004C6B2A"/>
    <w:rsid w:val="00502ED1"/>
    <w:rsid w:val="00512C4E"/>
    <w:rsid w:val="005224E4"/>
    <w:rsid w:val="00531C7B"/>
    <w:rsid w:val="00536A11"/>
    <w:rsid w:val="00537014"/>
    <w:rsid w:val="00547714"/>
    <w:rsid w:val="00553BE5"/>
    <w:rsid w:val="00562F4A"/>
    <w:rsid w:val="005B5888"/>
    <w:rsid w:val="005C7176"/>
    <w:rsid w:val="005F550C"/>
    <w:rsid w:val="006005D7"/>
    <w:rsid w:val="00657BA4"/>
    <w:rsid w:val="00692D03"/>
    <w:rsid w:val="006F1FAB"/>
    <w:rsid w:val="007224ED"/>
    <w:rsid w:val="007369B8"/>
    <w:rsid w:val="00762FEF"/>
    <w:rsid w:val="00797152"/>
    <w:rsid w:val="00833ECE"/>
    <w:rsid w:val="00871EC1"/>
    <w:rsid w:val="008A643E"/>
    <w:rsid w:val="008C77FA"/>
    <w:rsid w:val="008D1E1A"/>
    <w:rsid w:val="008E7FF8"/>
    <w:rsid w:val="009261CA"/>
    <w:rsid w:val="009611E0"/>
    <w:rsid w:val="009A205C"/>
    <w:rsid w:val="00A107BC"/>
    <w:rsid w:val="00A15190"/>
    <w:rsid w:val="00A20006"/>
    <w:rsid w:val="00A558DE"/>
    <w:rsid w:val="00A56075"/>
    <w:rsid w:val="00A56A07"/>
    <w:rsid w:val="00A83563"/>
    <w:rsid w:val="00AA1035"/>
    <w:rsid w:val="00AC18B7"/>
    <w:rsid w:val="00AF5E52"/>
    <w:rsid w:val="00B11A73"/>
    <w:rsid w:val="00B57E4F"/>
    <w:rsid w:val="00B6320A"/>
    <w:rsid w:val="00BB2849"/>
    <w:rsid w:val="00BE5E8E"/>
    <w:rsid w:val="00C348E0"/>
    <w:rsid w:val="00C366AF"/>
    <w:rsid w:val="00C414D7"/>
    <w:rsid w:val="00C80455"/>
    <w:rsid w:val="00C87F57"/>
    <w:rsid w:val="00CB4B78"/>
    <w:rsid w:val="00CE301D"/>
    <w:rsid w:val="00CF3BB5"/>
    <w:rsid w:val="00D6302B"/>
    <w:rsid w:val="00D7340E"/>
    <w:rsid w:val="00D956ED"/>
    <w:rsid w:val="00E03BC5"/>
    <w:rsid w:val="00E34DDD"/>
    <w:rsid w:val="00E9203A"/>
    <w:rsid w:val="00EA4E51"/>
    <w:rsid w:val="00EB3633"/>
    <w:rsid w:val="00EC4D34"/>
    <w:rsid w:val="00EE074F"/>
    <w:rsid w:val="00EF5363"/>
    <w:rsid w:val="00F0301D"/>
    <w:rsid w:val="00F478EE"/>
    <w:rsid w:val="00F51348"/>
    <w:rsid w:val="00F759F3"/>
    <w:rsid w:val="00FD0EB9"/>
    <w:rsid w:val="00FF5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AF9DF4-E627-4A30-B1F6-02EF7B33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B9"/>
    <w:pPr>
      <w:spacing w:after="0" w:line="240" w:lineRule="auto"/>
    </w:pPr>
    <w:rPr>
      <w:rFonts w:ascii="Times New Roman" w:eastAsia="Calibri" w:hAnsi="Times New Roman" w:cs="Times New Roman"/>
      <w:sz w:val="28"/>
      <w:lang w:val="en-GB"/>
    </w:rPr>
  </w:style>
  <w:style w:type="paragraph" w:styleId="Heading2">
    <w:name w:val="heading 2"/>
    <w:basedOn w:val="Normal"/>
    <w:next w:val="Normal"/>
    <w:link w:val="Heading2Char"/>
    <w:uiPriority w:val="9"/>
    <w:unhideWhenUsed/>
    <w:qFormat/>
    <w:rsid w:val="0038561D"/>
    <w:pPr>
      <w:keepNext/>
      <w:keepLines/>
      <w:spacing w:before="200"/>
      <w:outlineLvl w:val="1"/>
    </w:pPr>
    <w:rPr>
      <w:rFonts w:eastAsia="Times New Roman"/>
      <w:b/>
      <w:bCs/>
      <w:color w:val="4F81BD"/>
      <w:sz w:val="20"/>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FD0EB9"/>
    <w:rPr>
      <w:rFonts w:eastAsia="Times New Roman"/>
      <w:sz w:val="20"/>
      <w:szCs w:val="20"/>
      <w:lang w:eastAsia="lv-LV"/>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FD0EB9"/>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SUPERS"/>
    <w:uiPriority w:val="99"/>
    <w:rsid w:val="00FD0EB9"/>
    <w:rPr>
      <w:vertAlign w:val="superscript"/>
      <w:lang w:val="en-GB"/>
    </w:rPr>
  </w:style>
  <w:style w:type="character" w:styleId="Hyperlink">
    <w:name w:val="Hyperlink"/>
    <w:uiPriority w:val="99"/>
    <w:rsid w:val="00FD0EB9"/>
    <w:rPr>
      <w:color w:val="0000FF"/>
      <w:u w:val="single"/>
      <w:lang w:val="en-GB"/>
    </w:rPr>
  </w:style>
  <w:style w:type="paragraph" w:styleId="Header">
    <w:name w:val="header"/>
    <w:basedOn w:val="Normal"/>
    <w:link w:val="HeaderChar"/>
    <w:uiPriority w:val="99"/>
    <w:unhideWhenUsed/>
    <w:rsid w:val="00833ECE"/>
    <w:pPr>
      <w:tabs>
        <w:tab w:val="center" w:pos="4153"/>
        <w:tab w:val="right" w:pos="8306"/>
      </w:tabs>
    </w:pPr>
  </w:style>
  <w:style w:type="character" w:customStyle="1" w:styleId="HeaderChar">
    <w:name w:val="Header Char"/>
    <w:basedOn w:val="DefaultParagraphFont"/>
    <w:link w:val="Header"/>
    <w:uiPriority w:val="99"/>
    <w:rsid w:val="00833ECE"/>
    <w:rPr>
      <w:rFonts w:ascii="Times New Roman" w:eastAsia="Calibri" w:hAnsi="Times New Roman" w:cs="Times New Roman"/>
      <w:sz w:val="28"/>
      <w:lang w:val="en-GB"/>
    </w:rPr>
  </w:style>
  <w:style w:type="paragraph" w:styleId="Footer">
    <w:name w:val="footer"/>
    <w:basedOn w:val="Normal"/>
    <w:link w:val="FooterChar"/>
    <w:uiPriority w:val="99"/>
    <w:unhideWhenUsed/>
    <w:rsid w:val="00833ECE"/>
    <w:pPr>
      <w:tabs>
        <w:tab w:val="center" w:pos="4153"/>
        <w:tab w:val="right" w:pos="8306"/>
      </w:tabs>
    </w:pPr>
  </w:style>
  <w:style w:type="character" w:customStyle="1" w:styleId="FooterChar">
    <w:name w:val="Footer Char"/>
    <w:basedOn w:val="DefaultParagraphFont"/>
    <w:link w:val="Footer"/>
    <w:uiPriority w:val="99"/>
    <w:rsid w:val="00833ECE"/>
    <w:rPr>
      <w:rFonts w:ascii="Times New Roman" w:eastAsia="Calibri" w:hAnsi="Times New Roman" w:cs="Times New Roman"/>
      <w:sz w:val="28"/>
      <w:lang w:val="en-GB"/>
    </w:rPr>
  </w:style>
  <w:style w:type="character" w:styleId="Emphasis">
    <w:name w:val="Emphasis"/>
    <w:basedOn w:val="DefaultParagraphFont"/>
    <w:uiPriority w:val="20"/>
    <w:qFormat/>
    <w:rsid w:val="00833ECE"/>
    <w:rPr>
      <w:i/>
      <w:iCs/>
    </w:rPr>
  </w:style>
  <w:style w:type="character" w:customStyle="1" w:styleId="apple-converted-space">
    <w:name w:val="apple-converted-space"/>
    <w:basedOn w:val="DefaultParagraphFont"/>
    <w:rsid w:val="00833ECE"/>
  </w:style>
  <w:style w:type="paragraph" w:customStyle="1" w:styleId="naisf">
    <w:name w:val="naisf"/>
    <w:basedOn w:val="Normal"/>
    <w:link w:val="naisfChar"/>
    <w:rsid w:val="00562F4A"/>
    <w:pPr>
      <w:spacing w:before="100" w:beforeAutospacing="1" w:after="100" w:afterAutospacing="1"/>
    </w:pPr>
    <w:rPr>
      <w:rFonts w:eastAsia="Times New Roman"/>
      <w:sz w:val="24"/>
      <w:szCs w:val="24"/>
      <w:lang w:val="lv-LV" w:eastAsia="lv-LV"/>
    </w:rPr>
  </w:style>
  <w:style w:type="character" w:customStyle="1" w:styleId="naisfChar">
    <w:name w:val="naisf Char"/>
    <w:link w:val="naisf"/>
    <w:locked/>
    <w:rsid w:val="00562F4A"/>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8561D"/>
    <w:rPr>
      <w:rFonts w:ascii="Times New Roman" w:eastAsia="Times New Roman" w:hAnsi="Times New Roman" w:cs="Times New Roman"/>
      <w:b/>
      <w:bCs/>
      <w:color w:val="4F81BD"/>
      <w:sz w:val="20"/>
      <w:szCs w:val="26"/>
      <w:lang w:val="en-GB" w:eastAsia="x-none"/>
    </w:rPr>
  </w:style>
  <w:style w:type="paragraph" w:customStyle="1" w:styleId="Default">
    <w:name w:val="Default"/>
    <w:rsid w:val="00692D03"/>
    <w:pPr>
      <w:autoSpaceDE w:val="0"/>
      <w:autoSpaceDN w:val="0"/>
      <w:adjustRightInd w:val="0"/>
      <w:spacing w:after="0" w:line="240" w:lineRule="auto"/>
    </w:pPr>
    <w:rPr>
      <w:rFonts w:ascii="EUAlbertina" w:hAnsi="EUAlbertina" w:cs="EUAlbertina"/>
      <w:color w:val="000000"/>
      <w:sz w:val="24"/>
      <w:szCs w:val="24"/>
    </w:rPr>
  </w:style>
  <w:style w:type="character" w:customStyle="1" w:styleId="hps">
    <w:name w:val="hps"/>
    <w:basedOn w:val="DefaultParagraphFont"/>
    <w:rsid w:val="008C77FA"/>
  </w:style>
  <w:style w:type="paragraph" w:styleId="ListParagraph">
    <w:name w:val="List Paragraph"/>
    <w:basedOn w:val="Normal"/>
    <w:uiPriority w:val="34"/>
    <w:qFormat/>
    <w:rsid w:val="000907E5"/>
    <w:pPr>
      <w:ind w:left="720"/>
      <w:contextualSpacing/>
    </w:pPr>
  </w:style>
  <w:style w:type="character" w:styleId="Strong">
    <w:name w:val="Strong"/>
    <w:basedOn w:val="DefaultParagraphFont"/>
    <w:uiPriority w:val="22"/>
    <w:qFormat/>
    <w:rsid w:val="003A28B6"/>
    <w:rPr>
      <w:b/>
      <w:bCs/>
    </w:rPr>
  </w:style>
  <w:style w:type="character" w:customStyle="1" w:styleId="atn">
    <w:name w:val="atn"/>
    <w:basedOn w:val="DefaultParagraphFont"/>
    <w:rsid w:val="003A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Timofejev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D5C6-2D49-448C-A21E-2E6A3745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3124</Words>
  <Characters>1781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Timofejeva</dc:creator>
  <cp:lastModifiedBy>Inga Iļjina</cp:lastModifiedBy>
  <cp:revision>5</cp:revision>
  <dcterms:created xsi:type="dcterms:W3CDTF">2016-06-27T06:49:00Z</dcterms:created>
  <dcterms:modified xsi:type="dcterms:W3CDTF">2016-06-29T13:58:00Z</dcterms:modified>
</cp:coreProperties>
</file>