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2C" w:rsidRDefault="0049772C" w:rsidP="00880DF3">
      <w:pPr>
        <w:pStyle w:val="naisf"/>
        <w:spacing w:before="0" w:beforeAutospacing="0" w:after="0" w:afterAutospacing="0"/>
        <w:jc w:val="right"/>
        <w:rPr>
          <w:rFonts w:eastAsia="Calibri"/>
          <w:bCs/>
          <w:sz w:val="28"/>
          <w:szCs w:val="28"/>
          <w:lang w:eastAsia="x-none"/>
        </w:rPr>
      </w:pPr>
      <w:r w:rsidRPr="005528BE">
        <w:rPr>
          <w:rFonts w:eastAsia="Calibri"/>
          <w:bCs/>
          <w:sz w:val="28"/>
          <w:szCs w:val="28"/>
          <w:lang w:eastAsia="x-none"/>
        </w:rPr>
        <w:t>Projekts</w:t>
      </w:r>
    </w:p>
    <w:p w:rsidR="00B04C4F" w:rsidRPr="005528BE" w:rsidRDefault="00B04C4F" w:rsidP="0049772C">
      <w:pPr>
        <w:pStyle w:val="naisf"/>
        <w:spacing w:before="0" w:beforeAutospacing="0" w:after="0" w:afterAutospacing="0"/>
        <w:jc w:val="right"/>
        <w:rPr>
          <w:rFonts w:eastAsia="Calibri"/>
          <w:bCs/>
          <w:sz w:val="28"/>
          <w:szCs w:val="28"/>
          <w:lang w:eastAsia="x-none"/>
        </w:rPr>
      </w:pPr>
    </w:p>
    <w:p w:rsidR="0030306F" w:rsidRPr="00880DF3" w:rsidRDefault="00880DF3" w:rsidP="00880DF3">
      <w:pPr>
        <w:spacing w:after="120"/>
        <w:ind w:right="-1"/>
        <w:jc w:val="center"/>
        <w:rPr>
          <w:rFonts w:ascii="Times New Roman" w:hAnsi="Times New Roman"/>
          <w:b/>
          <w:bCs/>
          <w:sz w:val="28"/>
          <w:szCs w:val="28"/>
          <w:lang w:eastAsia="x-none"/>
        </w:rPr>
      </w:pPr>
      <w:r w:rsidRPr="00880DF3">
        <w:rPr>
          <w:rFonts w:ascii="Times New Roman" w:hAnsi="Times New Roman"/>
          <w:b/>
          <w:sz w:val="28"/>
          <w:szCs w:val="28"/>
        </w:rPr>
        <w:t>Ministru kabineta noteikumu projekt</w:t>
      </w:r>
      <w:r w:rsidR="00361858">
        <w:rPr>
          <w:rFonts w:ascii="Times New Roman" w:hAnsi="Times New Roman"/>
          <w:b/>
          <w:sz w:val="28"/>
          <w:szCs w:val="28"/>
        </w:rPr>
        <w:t>a</w:t>
      </w:r>
      <w:r w:rsidRPr="00880DF3">
        <w:rPr>
          <w:rFonts w:ascii="Times New Roman" w:hAnsi="Times New Roman"/>
          <w:b/>
          <w:sz w:val="28"/>
          <w:szCs w:val="28"/>
        </w:rPr>
        <w:t xml:space="preserve"> “Noteikumi par sabiedrību sagatavoto finanšu pārskatu vai konsolidēto finanšu pārskatu elektroniskā noraksta formu” </w:t>
      </w:r>
      <w:r w:rsidR="0030306F" w:rsidRPr="00880DF3">
        <w:rPr>
          <w:rFonts w:ascii="Times New Roman" w:hAnsi="Times New Roman"/>
          <w:b/>
          <w:bCs/>
          <w:sz w:val="28"/>
          <w:szCs w:val="28"/>
          <w:lang w:eastAsia="x-none"/>
        </w:rPr>
        <w:t>sākotnējās ietekmes novērtējuma ziņojums (anotācija)</w:t>
      </w:r>
    </w:p>
    <w:p w:rsidR="0030306F" w:rsidRPr="00214707" w:rsidRDefault="0030306F" w:rsidP="00880DF3">
      <w:pPr>
        <w:pStyle w:val="naisf"/>
        <w:spacing w:before="0" w:beforeAutospacing="0" w:after="0" w:afterAutospacing="0"/>
        <w:jc w:val="center"/>
        <w:rPr>
          <w:b/>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258"/>
        <w:gridCol w:w="6944"/>
      </w:tblGrid>
      <w:tr w:rsidR="0030306F" w:rsidRPr="005528BE" w:rsidTr="00A37618">
        <w:trPr>
          <w:trHeight w:val="419"/>
        </w:trPr>
        <w:tc>
          <w:tcPr>
            <w:tcW w:w="5000" w:type="pct"/>
            <w:gridSpan w:val="3"/>
            <w:vAlign w:val="center"/>
          </w:tcPr>
          <w:p w:rsidR="0030306F" w:rsidRPr="009F6788" w:rsidRDefault="0030306F" w:rsidP="00E55447">
            <w:pPr>
              <w:pStyle w:val="naisnod"/>
              <w:spacing w:before="0" w:beforeAutospacing="0" w:after="0" w:afterAutospacing="0"/>
              <w:ind w:right="57"/>
              <w:jc w:val="center"/>
              <w:rPr>
                <w:b/>
                <w:sz w:val="26"/>
                <w:szCs w:val="26"/>
              </w:rPr>
            </w:pPr>
            <w:r w:rsidRPr="009F6788">
              <w:rPr>
                <w:b/>
                <w:sz w:val="26"/>
                <w:szCs w:val="26"/>
              </w:rPr>
              <w:t>I. Tiesību akta projekta izstrādes nepieciešamība</w:t>
            </w:r>
          </w:p>
        </w:tc>
      </w:tr>
      <w:tr w:rsidR="0030306F" w:rsidRPr="005528BE" w:rsidTr="007E77AF">
        <w:trPr>
          <w:trHeight w:val="415"/>
        </w:trPr>
        <w:tc>
          <w:tcPr>
            <w:tcW w:w="224" w:type="pct"/>
          </w:tcPr>
          <w:p w:rsidR="0030306F" w:rsidRPr="00756214" w:rsidRDefault="0030306F" w:rsidP="00E55447">
            <w:pPr>
              <w:pStyle w:val="naiskr"/>
              <w:spacing w:before="0" w:beforeAutospacing="0" w:after="0" w:afterAutospacing="0"/>
              <w:ind w:right="57"/>
              <w:jc w:val="center"/>
            </w:pPr>
            <w:r w:rsidRPr="00756214">
              <w:t>1.</w:t>
            </w:r>
          </w:p>
        </w:tc>
        <w:tc>
          <w:tcPr>
            <w:tcW w:w="1172" w:type="pct"/>
          </w:tcPr>
          <w:p w:rsidR="0030306F" w:rsidRDefault="0030306F" w:rsidP="00E55447">
            <w:pPr>
              <w:pStyle w:val="naiskr"/>
              <w:spacing w:before="0" w:beforeAutospacing="0" w:after="0" w:afterAutospacing="0"/>
              <w:ind w:right="57"/>
              <w:jc w:val="both"/>
            </w:pPr>
            <w:r w:rsidRPr="00756214">
              <w:t>Pamatojums</w:t>
            </w:r>
          </w:p>
          <w:p w:rsidR="0030306F" w:rsidRPr="005528BE" w:rsidRDefault="0030306F" w:rsidP="00E55447">
            <w:pPr>
              <w:jc w:val="center"/>
              <w:rPr>
                <w:lang w:eastAsia="lv-LV"/>
              </w:rPr>
            </w:pPr>
          </w:p>
        </w:tc>
        <w:tc>
          <w:tcPr>
            <w:tcW w:w="3604" w:type="pct"/>
          </w:tcPr>
          <w:p w:rsidR="007E77AF" w:rsidRPr="00CB3663" w:rsidRDefault="007E77AF" w:rsidP="007E77AF">
            <w:pPr>
              <w:pStyle w:val="naislab"/>
              <w:jc w:val="both"/>
            </w:pPr>
            <w:r w:rsidRPr="00CB3663">
              <w:t xml:space="preserve">     </w:t>
            </w:r>
            <w:r w:rsidR="000D0630" w:rsidRPr="00CB3663">
              <w:t xml:space="preserve">Atbilstoši </w:t>
            </w:r>
            <w:r w:rsidRPr="00CB3663">
              <w:t xml:space="preserve">Gada pārskatu un konsolidēto gada pārskatu likuma </w:t>
            </w:r>
            <w:r w:rsidR="007340C7" w:rsidRPr="00CB3663">
              <w:t xml:space="preserve">(turpmāk – likums) </w:t>
            </w:r>
            <w:r w:rsidRPr="00CB3663">
              <w:t>15.panta treš</w:t>
            </w:r>
            <w:r w:rsidR="000D0630" w:rsidRPr="00CB3663">
              <w:t>ajai</w:t>
            </w:r>
            <w:r w:rsidRPr="00CB3663">
              <w:t xml:space="preserve"> daļ</w:t>
            </w:r>
            <w:r w:rsidR="000D0630" w:rsidRPr="00CB3663">
              <w:t xml:space="preserve">ai, </w:t>
            </w:r>
            <w:r w:rsidRPr="00CB3663">
              <w:t xml:space="preserve"> Ministru kabinets izdod noteikumus par iekļaušanai Valsts ieņēmumu dienesta Elektroniskajā deklarēšanas sistēmā</w:t>
            </w:r>
            <w:r w:rsidR="000916B6" w:rsidRPr="00CB3663">
              <w:t xml:space="preserve"> </w:t>
            </w:r>
            <w:r w:rsidRPr="00CB3663">
              <w:t>sabiedrību sagatavoto finanšu pārskatu vai konsolidēto finanšu pārskatu (ja tāds ir) elektroniskā norakst</w:t>
            </w:r>
            <w:r w:rsidR="000D0630" w:rsidRPr="00CB3663">
              <w:t>a</w:t>
            </w:r>
            <w:r w:rsidRPr="00CB3663">
              <w:t xml:space="preserve"> formu</w:t>
            </w:r>
            <w:r w:rsidR="00A804E2" w:rsidRPr="00CB3663">
              <w:t xml:space="preserve"> (VK 2015.gada 17.novembra uzdevums Nr.12/2015-JUR-145)</w:t>
            </w:r>
            <w:r w:rsidRPr="00CB3663">
              <w:t xml:space="preserve">. </w:t>
            </w:r>
          </w:p>
          <w:p w:rsidR="00252461" w:rsidRPr="00CB3663" w:rsidRDefault="00252461" w:rsidP="007E77AF">
            <w:pPr>
              <w:pStyle w:val="naislab"/>
              <w:jc w:val="both"/>
            </w:pPr>
            <w:r w:rsidRPr="00CB3663">
              <w:t xml:space="preserve">    </w:t>
            </w:r>
            <w:r w:rsidR="0071557A" w:rsidRPr="00CB3663">
              <w:t>Saskaņā ar likuma pārejas noteikumu 6.punktu, noteikumus Ministru kabinets izdod ne vēlāk kā līdz 2016.gada 1.jūlijam.</w:t>
            </w:r>
          </w:p>
          <w:p w:rsidR="00050325" w:rsidRPr="00CB3663" w:rsidRDefault="00050325" w:rsidP="006F18B6">
            <w:pPr>
              <w:spacing w:after="0" w:line="240" w:lineRule="auto"/>
              <w:ind w:right="130" w:firstLine="284"/>
              <w:contextualSpacing/>
              <w:jc w:val="both"/>
              <w:rPr>
                <w:rFonts w:ascii="Times New Roman" w:hAnsi="Times New Roman"/>
                <w:sz w:val="24"/>
                <w:szCs w:val="24"/>
                <w:lang w:eastAsia="lv-LV"/>
              </w:rPr>
            </w:pPr>
          </w:p>
        </w:tc>
      </w:tr>
      <w:tr w:rsidR="0030306F" w:rsidRPr="005528BE" w:rsidTr="007E77AF">
        <w:trPr>
          <w:trHeight w:val="2542"/>
        </w:trPr>
        <w:tc>
          <w:tcPr>
            <w:tcW w:w="224" w:type="pct"/>
          </w:tcPr>
          <w:p w:rsidR="0030306F" w:rsidRPr="00756214" w:rsidRDefault="0030306F" w:rsidP="00E55447">
            <w:pPr>
              <w:pStyle w:val="naiskr"/>
              <w:spacing w:before="0" w:beforeAutospacing="0" w:after="0" w:afterAutospacing="0"/>
              <w:ind w:right="57"/>
              <w:jc w:val="center"/>
            </w:pPr>
            <w:r w:rsidRPr="00756214">
              <w:t>2.</w:t>
            </w:r>
          </w:p>
        </w:tc>
        <w:tc>
          <w:tcPr>
            <w:tcW w:w="1172" w:type="pct"/>
          </w:tcPr>
          <w:p w:rsidR="00F74954" w:rsidRDefault="0030306F" w:rsidP="00E55447">
            <w:pPr>
              <w:pStyle w:val="naiskr"/>
              <w:tabs>
                <w:tab w:val="left" w:pos="170"/>
              </w:tabs>
              <w:spacing w:before="0" w:beforeAutospacing="0" w:after="0" w:afterAutospacing="0"/>
              <w:ind w:right="57"/>
            </w:pPr>
            <w:r w:rsidRPr="00756214">
              <w:t>Pašreizējā situācija un problēmas, kuru risināšanai tiesību akta projekts izstrādāts, tiesiskā regulējuma mērķis un būtība</w:t>
            </w:r>
          </w:p>
          <w:p w:rsidR="0030306F" w:rsidRPr="005528BE" w:rsidRDefault="0030306F" w:rsidP="00F74954">
            <w:pPr>
              <w:ind w:firstLine="720"/>
              <w:rPr>
                <w:lang w:eastAsia="lv-LV"/>
              </w:rPr>
            </w:pPr>
          </w:p>
        </w:tc>
        <w:tc>
          <w:tcPr>
            <w:tcW w:w="3604" w:type="pct"/>
          </w:tcPr>
          <w:p w:rsidR="00410B44" w:rsidRPr="00CB3663" w:rsidRDefault="00BA232D" w:rsidP="00BA232D">
            <w:pPr>
              <w:pStyle w:val="NormalWeb"/>
              <w:spacing w:before="0" w:beforeAutospacing="0" w:after="0" w:afterAutospacing="0"/>
              <w:ind w:firstLine="281"/>
              <w:contextualSpacing/>
              <w:jc w:val="both"/>
            </w:pPr>
            <w:bookmarkStart w:id="0" w:name="p-571840"/>
            <w:bookmarkStart w:id="1" w:name="p1"/>
            <w:bookmarkEnd w:id="0"/>
            <w:bookmarkEnd w:id="1"/>
            <w:r w:rsidRPr="00CB3663">
              <w:t>Š</w:t>
            </w:r>
            <w:r w:rsidR="007E77AF" w:rsidRPr="00CB3663">
              <w:t>obrīd sabiedrības</w:t>
            </w:r>
            <w:r w:rsidR="00B329BD" w:rsidRPr="00CB3663">
              <w:t xml:space="preserve"> - Latvijas republikā reģistrētas komercsabiedrības, kooperatīvās sabiedrības, Latvijas Republikā reģistrētas Eiropas ekonomisko interešu grupas, Eiropas kooperatīvās sabiedrības, Eiropas komercsabiedrības un individuālie uzņēmumi, zemnieku un zvejnieku saimniecības, ja to apgrozījums (ieņēmumi) no saimnieciskajiem darījumiem iepriekšējā pārskata gadā nepārsniedz 300 000 </w:t>
            </w:r>
            <w:proofErr w:type="spellStart"/>
            <w:r w:rsidR="00B329BD" w:rsidRPr="00CB3663">
              <w:rPr>
                <w:i/>
              </w:rPr>
              <w:t>euro</w:t>
            </w:r>
            <w:proofErr w:type="spellEnd"/>
            <w:r w:rsidR="00B329BD" w:rsidRPr="00CB3663">
              <w:t xml:space="preserve">  (turpmāk - sabiedrība) </w:t>
            </w:r>
            <w:r w:rsidR="007E77AF" w:rsidRPr="00CB3663">
              <w:t xml:space="preserve"> savu</w:t>
            </w:r>
            <w:r w:rsidR="006B12EA" w:rsidRPr="00CB3663">
              <w:t>s</w:t>
            </w:r>
            <w:r w:rsidR="007E77AF" w:rsidRPr="00CB3663">
              <w:t xml:space="preserve"> sagatavoto</w:t>
            </w:r>
            <w:r w:rsidR="006B12EA" w:rsidRPr="00CB3663">
              <w:t>s</w:t>
            </w:r>
            <w:r w:rsidR="007E77AF" w:rsidRPr="00CB3663">
              <w:t xml:space="preserve"> finanšu pārskatu</w:t>
            </w:r>
            <w:r w:rsidR="006B12EA" w:rsidRPr="00CB3663">
              <w:t>s</w:t>
            </w:r>
            <w:r w:rsidR="007E77AF" w:rsidRPr="00CB3663">
              <w:t xml:space="preserve"> vai konsolidēto</w:t>
            </w:r>
            <w:r w:rsidR="006B12EA" w:rsidRPr="00CB3663">
              <w:t>s</w:t>
            </w:r>
            <w:r w:rsidR="007E77AF" w:rsidRPr="00CB3663">
              <w:t xml:space="preserve"> finanšu pārskatu</w:t>
            </w:r>
            <w:r w:rsidR="006B12EA" w:rsidRPr="00CB3663">
              <w:t>s</w:t>
            </w:r>
            <w:r w:rsidR="007E77AF" w:rsidRPr="00CB3663">
              <w:t xml:space="preserve"> (ja tād</w:t>
            </w:r>
            <w:r w:rsidR="000D0630" w:rsidRPr="00CB3663">
              <w:t>i</w:t>
            </w:r>
            <w:r w:rsidR="007E77AF" w:rsidRPr="00CB3663">
              <w:t xml:space="preserve"> ir) iesniedz Valsts ieņēmumu dienesta Elektroniskajā deklarēšanas sistēmā (turpmāk – EDS)</w:t>
            </w:r>
            <w:r w:rsidR="007340C7" w:rsidRPr="00CB3663">
              <w:t xml:space="preserve"> pamatojoties uz Gada pārskatu likuma</w:t>
            </w:r>
            <w:r w:rsidR="00EC2995" w:rsidRPr="00CB3663">
              <w:t xml:space="preserve"> un Konsolidēto gada pārskatu likuma normām</w:t>
            </w:r>
            <w:r w:rsidR="007340C7" w:rsidRPr="00CB3663">
              <w:t>, kas zaudē</w:t>
            </w:r>
            <w:r w:rsidR="000D0630" w:rsidRPr="00CB3663">
              <w:t>jušas</w:t>
            </w:r>
            <w:r w:rsidR="007340C7" w:rsidRPr="00CB3663">
              <w:t xml:space="preserve"> spēku</w:t>
            </w:r>
            <w:r w:rsidR="00EC2995" w:rsidRPr="00CB3663">
              <w:t xml:space="preserve"> ar</w:t>
            </w:r>
            <w:r w:rsidR="009C7795" w:rsidRPr="00CB3663">
              <w:t xml:space="preserve"> </w:t>
            </w:r>
            <w:r w:rsidR="007340C7" w:rsidRPr="00CB3663">
              <w:t xml:space="preserve">2016.gada 1.janvāri, bet </w:t>
            </w:r>
            <w:r w:rsidR="000D0630" w:rsidRPr="00CB3663">
              <w:t xml:space="preserve">ir </w:t>
            </w:r>
            <w:r w:rsidR="007340C7" w:rsidRPr="00CB3663">
              <w:t>attiecinām</w:t>
            </w:r>
            <w:r w:rsidR="000D0630" w:rsidRPr="00CB3663">
              <w:t>as</w:t>
            </w:r>
            <w:r w:rsidR="007340C7" w:rsidRPr="00CB3663">
              <w:t xml:space="preserve"> vēl uz gada pārskatiem, kuri sagatavoti par 2015.gadu</w:t>
            </w:r>
            <w:r w:rsidR="007E77AF" w:rsidRPr="00CB3663">
              <w:t xml:space="preserve">. EDS ir </w:t>
            </w:r>
            <w:r w:rsidR="001B0CED" w:rsidRPr="00CB3663">
              <w:t>izveidota</w:t>
            </w:r>
            <w:r w:rsidR="007E77AF" w:rsidRPr="00CB3663">
              <w:t xml:space="preserve"> atsevišķa </w:t>
            </w:r>
            <w:r w:rsidR="001B0CED" w:rsidRPr="00CB3663">
              <w:t>shēma</w:t>
            </w:r>
            <w:r w:rsidR="007E77AF" w:rsidRPr="00CB3663">
              <w:t xml:space="preserve"> bilancei, peļņas vai zaudējumu aprēķinam, naudas plūsmas pārskatam un pašu kapitāla izmaiņu pārskatam</w:t>
            </w:r>
            <w:r w:rsidR="007340C7" w:rsidRPr="00CB3663">
              <w:t xml:space="preserve"> saskaņā ar Gada pārskatu likum</w:t>
            </w:r>
            <w:r w:rsidR="00410B44" w:rsidRPr="00CB3663">
              <w:t>a</w:t>
            </w:r>
            <w:r w:rsidR="007340C7" w:rsidRPr="00CB3663">
              <w:t xml:space="preserve"> </w:t>
            </w:r>
            <w:r w:rsidR="00EC2995" w:rsidRPr="00CB3663">
              <w:t>un Konsolidēto gada pārskatu likuma normām</w:t>
            </w:r>
            <w:r w:rsidR="00410B44" w:rsidRPr="00CB3663">
              <w:t>.</w:t>
            </w:r>
          </w:p>
          <w:p w:rsidR="00C204E5" w:rsidRPr="00CB3663" w:rsidRDefault="007340C7" w:rsidP="00BA232D">
            <w:pPr>
              <w:pStyle w:val="NormalWeb"/>
              <w:spacing w:before="0" w:beforeAutospacing="0" w:after="0" w:afterAutospacing="0"/>
              <w:ind w:firstLine="281"/>
              <w:contextualSpacing/>
              <w:jc w:val="both"/>
            </w:pPr>
            <w:r w:rsidRPr="00CB3663">
              <w:t xml:space="preserve">Savukārt </w:t>
            </w:r>
            <w:r w:rsidR="00E56A1A" w:rsidRPr="00CB3663">
              <w:t>f</w:t>
            </w:r>
            <w:r w:rsidR="007E77AF" w:rsidRPr="00CB3663">
              <w:t xml:space="preserve">inanšu pārskata pielikumu un vadības ziņojumu EDS iesniedz papīra </w:t>
            </w:r>
            <w:r w:rsidR="000D0630" w:rsidRPr="00CB3663">
              <w:t xml:space="preserve">formā </w:t>
            </w:r>
            <w:r w:rsidR="007E77AF" w:rsidRPr="00CB3663">
              <w:t>sagatavotu elektronisku kopiju.</w:t>
            </w:r>
            <w:r w:rsidR="00BA232D" w:rsidRPr="00CB3663">
              <w:t xml:space="preserve">  Līdz šim EDS iesniedzot bilanci, peļņas vai zaudējumu aprēķinu, naudas plūsmas pārskatu un pašu kapitāla izmaiņu pārskatu elektroniskā noraksta formā,  sabiedrības varēja attiecīgās shēmas papildināt ar papildus posteņiem</w:t>
            </w:r>
            <w:r w:rsidRPr="00CB3663">
              <w:t>, posteņus  sadalīt sīkāk un apvienot</w:t>
            </w:r>
            <w:r w:rsidR="00410B44" w:rsidRPr="00CB3663">
              <w:t>.</w:t>
            </w:r>
          </w:p>
          <w:p w:rsidR="007340C7" w:rsidRPr="00CB3663" w:rsidRDefault="007340C7" w:rsidP="00BA232D">
            <w:pPr>
              <w:pStyle w:val="NormalWeb"/>
              <w:spacing w:before="0" w:beforeAutospacing="0" w:after="0" w:afterAutospacing="0"/>
              <w:ind w:firstLine="281"/>
              <w:contextualSpacing/>
              <w:jc w:val="both"/>
            </w:pPr>
            <w:r w:rsidRPr="00CB3663">
              <w:t>Likum</w:t>
            </w:r>
            <w:r w:rsidR="00410B44" w:rsidRPr="00CB3663">
              <w:t>ā</w:t>
            </w:r>
            <w:r w:rsidRPr="00CB3663">
              <w:t>, kas stājas spēkā 2016.gada 1.janvārī un</w:t>
            </w:r>
            <w:r w:rsidR="000D0630" w:rsidRPr="00CB3663">
              <w:t xml:space="preserve">, kura normas ir </w:t>
            </w:r>
            <w:r w:rsidRPr="00CB3663">
              <w:t xml:space="preserve"> piemērojam</w:t>
            </w:r>
            <w:r w:rsidR="000D0630" w:rsidRPr="00CB3663">
              <w:t>as</w:t>
            </w:r>
            <w:r w:rsidRPr="00CB3663">
              <w:t xml:space="preserve"> gada pārskatiem un konsolidētajiem gada pārskatiem, sākot ar 2016. p</w:t>
            </w:r>
            <w:r w:rsidR="00EC2995" w:rsidRPr="00CB3663">
              <w:t>ārskata gadu</w:t>
            </w:r>
            <w:r w:rsidRPr="00CB3663">
              <w:t>,</w:t>
            </w:r>
            <w:r w:rsidR="00EC2995" w:rsidRPr="00CB3663">
              <w:t xml:space="preserve"> </w:t>
            </w:r>
            <w:r w:rsidRPr="00CB3663">
              <w:t xml:space="preserve">noteikts, ka iesniegšanai </w:t>
            </w:r>
            <w:r w:rsidR="000D0630" w:rsidRPr="00CB3663">
              <w:t>EDS</w:t>
            </w:r>
            <w:r w:rsidRPr="00CB3663">
              <w:t xml:space="preserve"> finanšu pārskata vai konsolidētā finanšu pārskata atvasinājumu elektroniskajā formā sagatavo saskaņā ar Ministru kabineta apstiprinātu formu.</w:t>
            </w:r>
          </w:p>
          <w:p w:rsidR="00BA232D" w:rsidRPr="00CB3663" w:rsidRDefault="007340C7" w:rsidP="00BA232D">
            <w:pPr>
              <w:pStyle w:val="NormalWeb"/>
              <w:spacing w:before="0" w:beforeAutospacing="0" w:after="0" w:afterAutospacing="0"/>
              <w:ind w:firstLine="281"/>
              <w:contextualSpacing/>
              <w:jc w:val="both"/>
            </w:pPr>
            <w:r w:rsidRPr="00CB3663">
              <w:t xml:space="preserve">Jaunais </w:t>
            </w:r>
            <w:r w:rsidR="00BA232D" w:rsidRPr="00CB3663">
              <w:t>Ministru kabineta noteikumu projekts “Noteikumi par sabiedrību sagatavoto finanšu pārskatu vai konsolidēto finanšu pārskatu elektroniskā noraksta formu” (turpmāk – noteikumu projekts) paredz, ka</w:t>
            </w:r>
            <w:r w:rsidR="002935EA" w:rsidRPr="00CB3663">
              <w:t>:</w:t>
            </w:r>
          </w:p>
          <w:p w:rsidR="00B27F45" w:rsidRPr="00CB3663" w:rsidRDefault="000520DE" w:rsidP="002935EA">
            <w:pPr>
              <w:pStyle w:val="NormalWeb"/>
              <w:numPr>
                <w:ilvl w:val="0"/>
                <w:numId w:val="4"/>
              </w:numPr>
              <w:spacing w:before="0" w:beforeAutospacing="0" w:after="0" w:afterAutospacing="0"/>
              <w:ind w:left="0" w:firstLine="360"/>
              <w:contextualSpacing/>
              <w:jc w:val="both"/>
            </w:pPr>
            <w:r w:rsidRPr="00CB3663">
              <w:lastRenderedPageBreak/>
              <w:t xml:space="preserve">sabiedrība </w:t>
            </w:r>
            <w:r w:rsidR="00BA232D" w:rsidRPr="00CB3663">
              <w:t>savu sagatavoto finanšu pārskatu vai konsolidēto finanšu pārskatu (ja tāds ir) iesniedz EDS noteiktā sagatavotā formā</w:t>
            </w:r>
            <w:r w:rsidR="00A81A6E" w:rsidRPr="00CB3663">
              <w:t xml:space="preserve">. </w:t>
            </w:r>
            <w:r w:rsidR="009D1ABB" w:rsidRPr="00CB3663">
              <w:t xml:space="preserve">Noteikumu projektā ir </w:t>
            </w:r>
            <w:r w:rsidR="00EC2995" w:rsidRPr="00CB3663">
              <w:t>noteikt</w:t>
            </w:r>
            <w:r w:rsidR="00410B44" w:rsidRPr="00CB3663">
              <w:t>a</w:t>
            </w:r>
            <w:r w:rsidR="00CB3663">
              <w:t xml:space="preserve"> </w:t>
            </w:r>
            <w:r w:rsidR="00A81A6E" w:rsidRPr="00CB3663">
              <w:t xml:space="preserve">bilances, divas peļņas vai zaudējumu aprēķina, naudas plūsmas pārskata un pašu kapitāla izmaiņu pārskata </w:t>
            </w:r>
            <w:r w:rsidR="00B329BD" w:rsidRPr="00CB3663">
              <w:t xml:space="preserve">EDS </w:t>
            </w:r>
            <w:r w:rsidR="00EC2995" w:rsidRPr="00CB3663">
              <w:t xml:space="preserve">elektronisko norakstu </w:t>
            </w:r>
            <w:r w:rsidR="00B329BD" w:rsidRPr="00CB3663">
              <w:t>formas</w:t>
            </w:r>
            <w:r w:rsidR="00EC2995" w:rsidRPr="00CB3663">
              <w:t xml:space="preserve"> </w:t>
            </w:r>
            <w:r w:rsidR="00B329BD" w:rsidRPr="00CB3663">
              <w:t>atbilstība</w:t>
            </w:r>
            <w:r w:rsidR="00EC2995" w:rsidRPr="00CB3663">
              <w:t>, pamatojoties uz likuma pielikumā noteiktajām shēmām,</w:t>
            </w:r>
            <w:r w:rsidR="00A81A6E" w:rsidRPr="00CB3663">
              <w:t xml:space="preserve"> kur</w:t>
            </w:r>
            <w:r w:rsidR="006B12EA" w:rsidRPr="00CB3663">
              <w:t>a</w:t>
            </w:r>
            <w:r w:rsidR="00A81A6E" w:rsidRPr="00CB3663">
              <w:t>s sabiedrība vairs nevarēs papildināt ar jauniem posteņiem</w:t>
            </w:r>
            <w:r w:rsidR="00EC2995" w:rsidRPr="00CB3663">
              <w:t xml:space="preserve"> un sadalīt sīkāk</w:t>
            </w:r>
            <w:r w:rsidR="00B27F45" w:rsidRPr="00CB3663">
              <w:t>.</w:t>
            </w:r>
          </w:p>
          <w:p w:rsidR="00AE2FF5" w:rsidRPr="00CB3663" w:rsidRDefault="00B27F45" w:rsidP="00AE2FF5">
            <w:pPr>
              <w:spacing w:after="0" w:line="240" w:lineRule="auto"/>
              <w:jc w:val="both"/>
              <w:rPr>
                <w:rFonts w:ascii="Times New Roman" w:hAnsi="Times New Roman"/>
                <w:sz w:val="24"/>
                <w:szCs w:val="24"/>
              </w:rPr>
            </w:pPr>
            <w:r w:rsidRPr="00CB3663">
              <w:t xml:space="preserve"> </w:t>
            </w:r>
            <w:r w:rsidR="00AE2FF5" w:rsidRPr="00CB3663">
              <w:t xml:space="preserve">     </w:t>
            </w:r>
            <w:r w:rsidRPr="00CB3663">
              <w:rPr>
                <w:rFonts w:ascii="Times New Roman" w:hAnsi="Times New Roman"/>
                <w:sz w:val="24"/>
                <w:szCs w:val="24"/>
              </w:rPr>
              <w:t>EDS sistēmā elektroniskā noraksta forma atbildīs jau likumā noteiktajām shēmā</w:t>
            </w:r>
            <w:r w:rsidR="00B329BD" w:rsidRPr="00CB3663">
              <w:rPr>
                <w:rFonts w:ascii="Times New Roman" w:hAnsi="Times New Roman"/>
                <w:sz w:val="24"/>
                <w:szCs w:val="24"/>
              </w:rPr>
              <w:t>m</w:t>
            </w:r>
            <w:r w:rsidRPr="00CB3663">
              <w:rPr>
                <w:rFonts w:ascii="Times New Roman" w:hAnsi="Times New Roman"/>
                <w:sz w:val="24"/>
                <w:szCs w:val="24"/>
              </w:rPr>
              <w:t xml:space="preserve">, līdz ar to noteikumu projektā </w:t>
            </w:r>
            <w:r w:rsidR="00AE2FF5" w:rsidRPr="00CB3663">
              <w:rPr>
                <w:rFonts w:ascii="Times New Roman" w:hAnsi="Times New Roman"/>
                <w:sz w:val="24"/>
                <w:szCs w:val="24"/>
              </w:rPr>
              <w:t xml:space="preserve"> ir </w:t>
            </w:r>
            <w:r w:rsidR="00B329BD" w:rsidRPr="00CB3663">
              <w:rPr>
                <w:rFonts w:ascii="Times New Roman" w:hAnsi="Times New Roman"/>
                <w:sz w:val="24"/>
                <w:szCs w:val="24"/>
              </w:rPr>
              <w:t xml:space="preserve">tikai </w:t>
            </w:r>
            <w:r w:rsidR="00AE2FF5" w:rsidRPr="00CB3663">
              <w:rPr>
                <w:rFonts w:ascii="Times New Roman" w:hAnsi="Times New Roman"/>
                <w:sz w:val="24"/>
                <w:szCs w:val="24"/>
              </w:rPr>
              <w:t>atsauce</w:t>
            </w:r>
            <w:r w:rsidRPr="00CB3663">
              <w:rPr>
                <w:rFonts w:ascii="Times New Roman" w:hAnsi="Times New Roman"/>
                <w:sz w:val="24"/>
                <w:szCs w:val="24"/>
              </w:rPr>
              <w:t xml:space="preserve"> uz likumu</w:t>
            </w:r>
            <w:r w:rsidR="00AE2FF5" w:rsidRPr="00CB3663">
              <w:rPr>
                <w:rFonts w:ascii="Times New Roman" w:hAnsi="Times New Roman"/>
                <w:sz w:val="24"/>
                <w:szCs w:val="24"/>
              </w:rPr>
              <w:t xml:space="preserve">;   </w:t>
            </w:r>
          </w:p>
          <w:p w:rsidR="00AE2FF5" w:rsidRPr="00CB3663" w:rsidRDefault="00AE2FF5" w:rsidP="00AE2FF5">
            <w:pPr>
              <w:pStyle w:val="NormalWeb"/>
              <w:numPr>
                <w:ilvl w:val="0"/>
                <w:numId w:val="4"/>
              </w:numPr>
              <w:spacing w:before="0" w:beforeAutospacing="0" w:after="0" w:afterAutospacing="0"/>
              <w:ind w:left="0" w:firstLine="0"/>
              <w:contextualSpacing/>
              <w:jc w:val="both"/>
              <w:rPr>
                <w:rFonts w:eastAsia="Calibri"/>
              </w:rPr>
            </w:pPr>
            <w:r w:rsidRPr="00CB3663">
              <w:t>t</w:t>
            </w:r>
            <w:r w:rsidRPr="00CB3663">
              <w:rPr>
                <w:rFonts w:eastAsia="Calibri"/>
              </w:rPr>
              <w:t xml:space="preserve">ā kā likumā nav noteikta shēma par finanšu </w:t>
            </w:r>
            <w:r w:rsidR="00B329BD" w:rsidRPr="00CB3663">
              <w:rPr>
                <w:rFonts w:eastAsia="Calibri"/>
              </w:rPr>
              <w:t>pārskata pielikumu</w:t>
            </w:r>
            <w:r w:rsidRPr="00CB3663">
              <w:rPr>
                <w:rFonts w:eastAsia="Calibri"/>
              </w:rPr>
              <w:t xml:space="preserve">, tad noteikumu projekta pielikumā tiek noteikta vienīgi elektroniskā noraksta forma par finanšu </w:t>
            </w:r>
            <w:r w:rsidR="00B329BD" w:rsidRPr="00CB3663">
              <w:rPr>
                <w:rFonts w:eastAsia="Calibri"/>
              </w:rPr>
              <w:t>pārskata pielikum</w:t>
            </w:r>
            <w:r w:rsidR="009B1FC5" w:rsidRPr="00CB3663">
              <w:rPr>
                <w:rFonts w:eastAsia="Calibri"/>
              </w:rPr>
              <w:t xml:space="preserve">ā </w:t>
            </w:r>
            <w:r w:rsidR="00B329BD" w:rsidRPr="00CB3663">
              <w:rPr>
                <w:rFonts w:eastAsia="Calibri"/>
              </w:rPr>
              <w:t xml:space="preserve"> </w:t>
            </w:r>
            <w:r w:rsidR="009B1FC5" w:rsidRPr="00CB3663">
              <w:rPr>
                <w:rFonts w:eastAsia="Calibri"/>
              </w:rPr>
              <w:t xml:space="preserve">uzrādāmo </w:t>
            </w:r>
            <w:r w:rsidRPr="00CB3663">
              <w:rPr>
                <w:rFonts w:eastAsia="Calibri"/>
              </w:rPr>
              <w:t>informāciju</w:t>
            </w:r>
            <w:r w:rsidRPr="00CB3663">
              <w:t xml:space="preserve"> </w:t>
            </w:r>
            <w:r w:rsidR="00B75B97" w:rsidRPr="00CB3663">
              <w:t>u</w:t>
            </w:r>
            <w:r w:rsidRPr="00CB3663">
              <w:t>n turpmāk arī finanšu pārskata pielikums EDS būs jāiesniedz strukturizētā veidā</w:t>
            </w:r>
            <w:r w:rsidR="00B75B97" w:rsidRPr="00CB3663">
              <w:t>,</w:t>
            </w:r>
            <w:r w:rsidRPr="00CB3663">
              <w:t xml:space="preserve"> pamatojoties uz noteikumu projekta pielikumā noteikto shēmu;</w:t>
            </w:r>
          </w:p>
          <w:p w:rsidR="00B00DC6" w:rsidRPr="00CB3663" w:rsidRDefault="00D373A2" w:rsidP="00FF3723">
            <w:pPr>
              <w:pStyle w:val="ListParagraph"/>
              <w:numPr>
                <w:ilvl w:val="0"/>
                <w:numId w:val="4"/>
              </w:numPr>
              <w:spacing w:after="0" w:line="240" w:lineRule="auto"/>
              <w:ind w:left="0" w:firstLine="0"/>
              <w:jc w:val="both"/>
              <w:rPr>
                <w:rFonts w:ascii="Times New Roman" w:hAnsi="Times New Roman"/>
                <w:sz w:val="24"/>
                <w:szCs w:val="24"/>
              </w:rPr>
            </w:pPr>
            <w:r w:rsidRPr="00CB3663">
              <w:rPr>
                <w:rFonts w:ascii="Times New Roman" w:hAnsi="Times New Roman"/>
                <w:sz w:val="24"/>
                <w:szCs w:val="24"/>
              </w:rPr>
              <w:t>sabiedrībām</w:t>
            </w:r>
            <w:r w:rsidR="001B0CED" w:rsidRPr="00CB3663">
              <w:rPr>
                <w:rFonts w:ascii="Times New Roman" w:hAnsi="Times New Roman"/>
                <w:sz w:val="24"/>
                <w:szCs w:val="24"/>
              </w:rPr>
              <w:t>, kur</w:t>
            </w:r>
            <w:r w:rsidRPr="00CB3663">
              <w:rPr>
                <w:rFonts w:ascii="Times New Roman" w:hAnsi="Times New Roman"/>
                <w:sz w:val="24"/>
                <w:szCs w:val="24"/>
              </w:rPr>
              <w:t>ā</w:t>
            </w:r>
            <w:r w:rsidR="001B0CED" w:rsidRPr="00CB3663">
              <w:rPr>
                <w:rFonts w:ascii="Times New Roman" w:hAnsi="Times New Roman"/>
                <w:sz w:val="24"/>
                <w:szCs w:val="24"/>
              </w:rPr>
              <w:t>m atļauts</w:t>
            </w:r>
            <w:r w:rsidR="00B75B97" w:rsidRPr="00CB3663">
              <w:rPr>
                <w:rFonts w:ascii="Times New Roman" w:hAnsi="Times New Roman"/>
                <w:sz w:val="24"/>
                <w:szCs w:val="24"/>
              </w:rPr>
              <w:t xml:space="preserve"> (piemēram, valsts kapitālsabiedrība</w:t>
            </w:r>
            <w:r w:rsidR="009B1FC5" w:rsidRPr="00CB3663">
              <w:rPr>
                <w:rFonts w:ascii="Times New Roman" w:hAnsi="Times New Roman"/>
                <w:sz w:val="24"/>
                <w:szCs w:val="24"/>
              </w:rPr>
              <w:t>, kura atbilst lielas kapitālsabiedrības nosacījumiem</w:t>
            </w:r>
            <w:r w:rsidR="00B75B97" w:rsidRPr="00CB3663">
              <w:rPr>
                <w:rFonts w:ascii="Times New Roman" w:hAnsi="Times New Roman"/>
                <w:sz w:val="24"/>
                <w:szCs w:val="24"/>
              </w:rPr>
              <w:t>)</w:t>
            </w:r>
            <w:r w:rsidR="001B0CED" w:rsidRPr="00CB3663">
              <w:rPr>
                <w:rFonts w:ascii="Times New Roman" w:hAnsi="Times New Roman"/>
                <w:sz w:val="24"/>
                <w:szCs w:val="24"/>
              </w:rPr>
              <w:t xml:space="preserve"> sagatavot gada pārskatu vai konsolidēto gada pārskatu atbilstoši starptautiskajiem grāmatvedības standartiem, gada pārskatā vai konsolidētajā gada pārskatā norādāmos datus </w:t>
            </w:r>
            <w:r w:rsidR="00EC2995" w:rsidRPr="00CB3663">
              <w:rPr>
                <w:rFonts w:ascii="Times New Roman" w:hAnsi="Times New Roman"/>
                <w:sz w:val="24"/>
                <w:szCs w:val="24"/>
              </w:rPr>
              <w:t>būs jā</w:t>
            </w:r>
            <w:r w:rsidR="001B0CED" w:rsidRPr="00CB3663">
              <w:rPr>
                <w:rFonts w:ascii="Times New Roman" w:hAnsi="Times New Roman"/>
                <w:sz w:val="24"/>
                <w:szCs w:val="24"/>
              </w:rPr>
              <w:t xml:space="preserve">uzrāda EDS izmantojot </w:t>
            </w:r>
            <w:r w:rsidRPr="00CB3663">
              <w:rPr>
                <w:rFonts w:ascii="Times New Roman" w:hAnsi="Times New Roman"/>
                <w:sz w:val="24"/>
                <w:szCs w:val="24"/>
              </w:rPr>
              <w:t xml:space="preserve">noteikumu projektā </w:t>
            </w:r>
            <w:r w:rsidR="001B0CED" w:rsidRPr="00CB3663">
              <w:rPr>
                <w:rFonts w:ascii="Times New Roman" w:hAnsi="Times New Roman"/>
                <w:sz w:val="24"/>
                <w:szCs w:val="24"/>
              </w:rPr>
              <w:t>noteiktās shēmas</w:t>
            </w:r>
            <w:r w:rsidR="009B1FC5" w:rsidRPr="00CB3663">
              <w:rPr>
                <w:rFonts w:ascii="Times New Roman" w:hAnsi="Times New Roman"/>
                <w:sz w:val="24"/>
                <w:szCs w:val="24"/>
              </w:rPr>
              <w:t>, kas atbilst likumā noteiktajam</w:t>
            </w:r>
            <w:r w:rsidR="00AD7532">
              <w:rPr>
                <w:rFonts w:ascii="Times New Roman" w:hAnsi="Times New Roman"/>
                <w:sz w:val="24"/>
                <w:szCs w:val="24"/>
              </w:rPr>
              <w:t>.</w:t>
            </w:r>
            <w:r w:rsidR="001B0CED" w:rsidRPr="00CB3663">
              <w:rPr>
                <w:rFonts w:ascii="Times New Roman" w:hAnsi="Times New Roman"/>
                <w:sz w:val="24"/>
                <w:szCs w:val="24"/>
              </w:rPr>
              <w:t xml:space="preserve"> </w:t>
            </w:r>
            <w:r w:rsidR="009B1FC5" w:rsidRPr="00CB3663">
              <w:rPr>
                <w:rFonts w:ascii="Times New Roman" w:hAnsi="Times New Roman"/>
                <w:sz w:val="24"/>
                <w:szCs w:val="24"/>
              </w:rPr>
              <w:t xml:space="preserve">Taču šādām </w:t>
            </w:r>
            <w:r w:rsidRPr="00CB3663">
              <w:rPr>
                <w:rFonts w:ascii="Times New Roman" w:hAnsi="Times New Roman"/>
                <w:sz w:val="24"/>
                <w:szCs w:val="24"/>
              </w:rPr>
              <w:t>sabiedrībām</w:t>
            </w:r>
            <w:r w:rsidR="001B0CED" w:rsidRPr="00CB3663">
              <w:rPr>
                <w:rFonts w:ascii="Times New Roman" w:hAnsi="Times New Roman"/>
                <w:sz w:val="24"/>
                <w:szCs w:val="24"/>
              </w:rPr>
              <w:t xml:space="preserve"> </w:t>
            </w:r>
            <w:r w:rsidRPr="00CB3663">
              <w:rPr>
                <w:rFonts w:ascii="Times New Roman" w:hAnsi="Times New Roman"/>
                <w:sz w:val="24"/>
                <w:szCs w:val="24"/>
              </w:rPr>
              <w:t xml:space="preserve">ir dota </w:t>
            </w:r>
            <w:r w:rsidR="003E3B50" w:rsidRPr="00CB3663">
              <w:rPr>
                <w:rFonts w:ascii="Times New Roman" w:hAnsi="Times New Roman"/>
                <w:sz w:val="24"/>
                <w:szCs w:val="24"/>
              </w:rPr>
              <w:t xml:space="preserve">izvēles </w:t>
            </w:r>
            <w:r w:rsidRPr="00CB3663">
              <w:rPr>
                <w:rFonts w:ascii="Times New Roman" w:hAnsi="Times New Roman"/>
                <w:sz w:val="24"/>
                <w:szCs w:val="24"/>
              </w:rPr>
              <w:t xml:space="preserve">iespēja sagatavoto finanšu </w:t>
            </w:r>
            <w:r w:rsidR="001B0CED" w:rsidRPr="00CB3663">
              <w:rPr>
                <w:rFonts w:ascii="Times New Roman" w:hAnsi="Times New Roman"/>
                <w:sz w:val="24"/>
                <w:szCs w:val="24"/>
              </w:rPr>
              <w:t xml:space="preserve">pārskata pielikumu </w:t>
            </w:r>
            <w:r w:rsidRPr="00CB3663">
              <w:rPr>
                <w:rFonts w:ascii="Times New Roman" w:hAnsi="Times New Roman"/>
                <w:sz w:val="24"/>
                <w:szCs w:val="24"/>
              </w:rPr>
              <w:t>atbilstoši starptautiskajiem grāmatvedības standartiem iesniegt</w:t>
            </w:r>
            <w:r w:rsidR="001B0CED" w:rsidRPr="00CB3663">
              <w:rPr>
                <w:rFonts w:ascii="Times New Roman" w:hAnsi="Times New Roman"/>
                <w:sz w:val="24"/>
                <w:szCs w:val="24"/>
              </w:rPr>
              <w:t xml:space="preserve"> EDS izmantojot šo noteikumu</w:t>
            </w:r>
            <w:r w:rsidR="003E3B50" w:rsidRPr="00CB3663">
              <w:rPr>
                <w:rFonts w:ascii="Times New Roman" w:hAnsi="Times New Roman"/>
                <w:sz w:val="24"/>
                <w:szCs w:val="24"/>
              </w:rPr>
              <w:t xml:space="preserve"> projekta</w:t>
            </w:r>
            <w:r w:rsidR="001B0CED" w:rsidRPr="00CB3663">
              <w:rPr>
                <w:rFonts w:ascii="Times New Roman" w:hAnsi="Times New Roman"/>
                <w:sz w:val="24"/>
                <w:szCs w:val="24"/>
              </w:rPr>
              <w:t xml:space="preserve"> pielikumā noteikto shēmu vai papīra veidā sagatavotā finanšu pārskata pielikuma informācijas elektronisku kopiju.</w:t>
            </w:r>
            <w:r w:rsidR="0071557A" w:rsidRPr="00CB3663">
              <w:rPr>
                <w:rFonts w:ascii="Times New Roman" w:hAnsi="Times New Roman"/>
                <w:sz w:val="24"/>
                <w:szCs w:val="24"/>
              </w:rPr>
              <w:t xml:space="preserve"> </w:t>
            </w:r>
          </w:p>
          <w:p w:rsidR="00BD6953" w:rsidRPr="00CB3663" w:rsidRDefault="00FF3723" w:rsidP="00FF3723">
            <w:pPr>
              <w:pStyle w:val="ListParagraph"/>
              <w:spacing w:after="0" w:line="240" w:lineRule="auto"/>
              <w:ind w:left="0"/>
              <w:jc w:val="both"/>
              <w:rPr>
                <w:rFonts w:ascii="Times New Roman" w:hAnsi="Times New Roman"/>
                <w:sz w:val="24"/>
                <w:szCs w:val="24"/>
              </w:rPr>
            </w:pPr>
            <w:r w:rsidRPr="00CB3663">
              <w:rPr>
                <w:rFonts w:ascii="Times New Roman" w:hAnsi="Times New Roman"/>
                <w:sz w:val="24"/>
                <w:szCs w:val="24"/>
              </w:rPr>
              <w:t xml:space="preserve">        </w:t>
            </w:r>
            <w:r w:rsidR="009B1FC5" w:rsidRPr="00CB3663">
              <w:rPr>
                <w:rFonts w:ascii="Times New Roman" w:hAnsi="Times New Roman"/>
                <w:sz w:val="24"/>
                <w:szCs w:val="24"/>
              </w:rPr>
              <w:t>Sabiedrības, kurām atļauts sagatavot gada pārskatus atbilstoši  starptautiskajiem grāmatvedības standartiem ir</w:t>
            </w:r>
            <w:r w:rsidR="00BD6953" w:rsidRPr="00CB3663">
              <w:rPr>
                <w:rFonts w:ascii="Times New Roman" w:hAnsi="Times New Roman"/>
                <w:sz w:val="24"/>
                <w:szCs w:val="24"/>
              </w:rPr>
              <w:t>:</w:t>
            </w:r>
          </w:p>
          <w:p w:rsidR="00BD6953" w:rsidRPr="00CB3663" w:rsidRDefault="009B1FC5" w:rsidP="001821CE">
            <w:pPr>
              <w:pStyle w:val="ListParagraph"/>
              <w:numPr>
                <w:ilvl w:val="0"/>
                <w:numId w:val="4"/>
              </w:numPr>
              <w:spacing w:after="0" w:line="240" w:lineRule="auto"/>
              <w:ind w:left="-1" w:firstLine="1"/>
              <w:jc w:val="both"/>
              <w:rPr>
                <w:rFonts w:ascii="Times New Roman" w:hAnsi="Times New Roman"/>
                <w:sz w:val="24"/>
                <w:szCs w:val="24"/>
              </w:rPr>
            </w:pPr>
            <w:r w:rsidRPr="00CB3663">
              <w:rPr>
                <w:rFonts w:ascii="Times New Roman" w:hAnsi="Times New Roman"/>
                <w:sz w:val="24"/>
                <w:szCs w:val="24"/>
              </w:rPr>
              <w:t xml:space="preserve">saskaņā </w:t>
            </w:r>
            <w:r w:rsidR="00B00DC6" w:rsidRPr="00CB3663">
              <w:rPr>
                <w:rFonts w:ascii="Times New Roman" w:hAnsi="Times New Roman"/>
                <w:sz w:val="24"/>
                <w:szCs w:val="24"/>
              </w:rPr>
              <w:t>ar likuma 3.panta septīto daļu valsts kapitālsabiedrība</w:t>
            </w:r>
            <w:r w:rsidR="00BD6953" w:rsidRPr="00CB3663">
              <w:rPr>
                <w:rFonts w:ascii="Times New Roman" w:hAnsi="Times New Roman"/>
                <w:sz w:val="24"/>
                <w:szCs w:val="24"/>
              </w:rPr>
              <w:t>s</w:t>
            </w:r>
            <w:r w:rsidR="00B00DC6" w:rsidRPr="00CB3663">
              <w:rPr>
                <w:rFonts w:ascii="Times New Roman" w:hAnsi="Times New Roman"/>
                <w:sz w:val="24"/>
                <w:szCs w:val="24"/>
              </w:rPr>
              <w:t>, kura</w:t>
            </w:r>
            <w:r w:rsidR="00BD6953" w:rsidRPr="00CB3663">
              <w:rPr>
                <w:rFonts w:ascii="Times New Roman" w:hAnsi="Times New Roman"/>
                <w:sz w:val="24"/>
                <w:szCs w:val="24"/>
              </w:rPr>
              <w:t>s</w:t>
            </w:r>
            <w:r w:rsidR="00B00DC6" w:rsidRPr="00CB3663">
              <w:rPr>
                <w:rFonts w:ascii="Times New Roman" w:hAnsi="Times New Roman"/>
                <w:sz w:val="24"/>
                <w:szCs w:val="24"/>
              </w:rPr>
              <w:t xml:space="preserve"> atbilsti liela</w:t>
            </w:r>
            <w:r w:rsidR="00BD6953" w:rsidRPr="00CB3663">
              <w:rPr>
                <w:rFonts w:ascii="Times New Roman" w:hAnsi="Times New Roman"/>
                <w:sz w:val="24"/>
                <w:szCs w:val="24"/>
              </w:rPr>
              <w:t>s</w:t>
            </w:r>
            <w:r w:rsidR="00B00DC6" w:rsidRPr="00CB3663">
              <w:rPr>
                <w:rFonts w:ascii="Times New Roman" w:hAnsi="Times New Roman"/>
                <w:sz w:val="24"/>
                <w:szCs w:val="24"/>
              </w:rPr>
              <w:t xml:space="preserve"> kapitālsabiedrība</w:t>
            </w:r>
            <w:r w:rsidR="00BD6953" w:rsidRPr="00CB3663">
              <w:rPr>
                <w:rFonts w:ascii="Times New Roman" w:hAnsi="Times New Roman"/>
                <w:sz w:val="24"/>
                <w:szCs w:val="24"/>
              </w:rPr>
              <w:t>s</w:t>
            </w:r>
            <w:r w:rsidR="00B00DC6" w:rsidRPr="00CB3663">
              <w:rPr>
                <w:rFonts w:ascii="Times New Roman" w:hAnsi="Times New Roman"/>
                <w:sz w:val="24"/>
                <w:szCs w:val="24"/>
              </w:rPr>
              <w:t xml:space="preserve"> </w:t>
            </w:r>
            <w:r w:rsidR="00BD6953" w:rsidRPr="00CB3663">
              <w:rPr>
                <w:rFonts w:ascii="Times New Roman" w:hAnsi="Times New Roman"/>
                <w:sz w:val="24"/>
                <w:szCs w:val="24"/>
              </w:rPr>
              <w:t>kritērijiem</w:t>
            </w:r>
            <w:r w:rsidR="000520DE" w:rsidRPr="00CB3663">
              <w:rPr>
                <w:rFonts w:ascii="Times New Roman" w:hAnsi="Times New Roman"/>
                <w:sz w:val="24"/>
                <w:szCs w:val="24"/>
              </w:rPr>
              <w:t>:</w:t>
            </w:r>
          </w:p>
          <w:p w:rsidR="00BD6953" w:rsidRPr="00CB3663" w:rsidRDefault="00BD6953" w:rsidP="00A8662E">
            <w:pPr>
              <w:pStyle w:val="ListParagraph"/>
              <w:numPr>
                <w:ilvl w:val="0"/>
                <w:numId w:val="4"/>
              </w:numPr>
              <w:spacing w:after="0" w:line="240" w:lineRule="auto"/>
              <w:ind w:left="0" w:firstLine="0"/>
              <w:jc w:val="both"/>
              <w:rPr>
                <w:rFonts w:ascii="Times New Roman" w:hAnsi="Times New Roman"/>
                <w:sz w:val="24"/>
                <w:szCs w:val="24"/>
              </w:rPr>
            </w:pPr>
            <w:r w:rsidRPr="00CB3663">
              <w:rPr>
                <w:rFonts w:ascii="Times New Roman" w:hAnsi="Times New Roman"/>
                <w:sz w:val="24"/>
                <w:szCs w:val="24"/>
              </w:rPr>
              <w:t>komercsabiedrības, kurām saskaņā ar likuma 3.panta  piekto daļu, pamatojoties uz Finanšu instrumentu tirgus likumu, jāsagatavo gada pārskati, t.i. tā</w:t>
            </w:r>
            <w:r w:rsidR="000520DE" w:rsidRPr="00CB3663">
              <w:rPr>
                <w:rFonts w:ascii="Times New Roman" w:hAnsi="Times New Roman"/>
                <w:sz w:val="24"/>
                <w:szCs w:val="24"/>
              </w:rPr>
              <w:t>d</w:t>
            </w:r>
            <w:r w:rsidRPr="00CB3663">
              <w:rPr>
                <w:rFonts w:ascii="Times New Roman" w:hAnsi="Times New Roman"/>
                <w:sz w:val="24"/>
                <w:szCs w:val="24"/>
              </w:rPr>
              <w:t>as sabiedrības, kuras pārvedami vērtspapīri ir iekļauti regulētajā tirgū.</w:t>
            </w:r>
          </w:p>
          <w:p w:rsidR="00BD6953" w:rsidRPr="00CB3663" w:rsidRDefault="00BD6953" w:rsidP="00FF3723">
            <w:pPr>
              <w:pStyle w:val="ListParagraph"/>
              <w:spacing w:after="0" w:line="240" w:lineRule="auto"/>
              <w:ind w:left="0"/>
              <w:jc w:val="both"/>
              <w:rPr>
                <w:rFonts w:ascii="Times New Roman" w:hAnsi="Times New Roman"/>
                <w:sz w:val="24"/>
                <w:szCs w:val="24"/>
              </w:rPr>
            </w:pPr>
          </w:p>
          <w:p w:rsidR="001B0CED" w:rsidRPr="00CB3663" w:rsidRDefault="00B00DC6" w:rsidP="00BD63DE">
            <w:pPr>
              <w:pStyle w:val="ListParagraph"/>
              <w:spacing w:after="0" w:line="240" w:lineRule="auto"/>
              <w:ind w:left="0"/>
              <w:jc w:val="both"/>
            </w:pPr>
            <w:r w:rsidRPr="00CB3663">
              <w:rPr>
                <w:rFonts w:ascii="Times New Roman" w:hAnsi="Times New Roman"/>
                <w:sz w:val="24"/>
                <w:szCs w:val="24"/>
              </w:rPr>
              <w:t xml:space="preserve"> </w:t>
            </w:r>
            <w:r w:rsidR="001821CE">
              <w:rPr>
                <w:rFonts w:ascii="Times New Roman" w:hAnsi="Times New Roman"/>
                <w:sz w:val="24"/>
                <w:szCs w:val="24"/>
              </w:rPr>
              <w:t xml:space="preserve">      </w:t>
            </w:r>
            <w:r w:rsidR="00FF3723" w:rsidRPr="00CB3663">
              <w:rPr>
                <w:rFonts w:ascii="Times New Roman" w:hAnsi="Times New Roman"/>
                <w:sz w:val="24"/>
                <w:szCs w:val="24"/>
              </w:rPr>
              <w:t>Līdz ar to,</w:t>
            </w:r>
            <w:r w:rsidR="00AE2FF5" w:rsidRPr="00CB3663">
              <w:rPr>
                <w:rFonts w:ascii="Times New Roman" w:hAnsi="Times New Roman"/>
                <w:sz w:val="24"/>
                <w:szCs w:val="24"/>
              </w:rPr>
              <w:t xml:space="preserve"> </w:t>
            </w:r>
            <w:r w:rsidR="00BD6953" w:rsidRPr="00CB3663">
              <w:rPr>
                <w:rFonts w:ascii="Times New Roman" w:hAnsi="Times New Roman"/>
                <w:sz w:val="24"/>
                <w:szCs w:val="24"/>
              </w:rPr>
              <w:t xml:space="preserve">sabiedrībām, </w:t>
            </w:r>
            <w:r w:rsidR="00FF3723" w:rsidRPr="00CB3663">
              <w:rPr>
                <w:rFonts w:ascii="Times New Roman" w:hAnsi="Times New Roman"/>
                <w:sz w:val="24"/>
                <w:szCs w:val="24"/>
              </w:rPr>
              <w:t>sagatavot</w:t>
            </w:r>
            <w:r w:rsidR="00BD6953" w:rsidRPr="00CB3663">
              <w:rPr>
                <w:rFonts w:ascii="Times New Roman" w:hAnsi="Times New Roman"/>
                <w:sz w:val="24"/>
                <w:szCs w:val="24"/>
              </w:rPr>
              <w:t>os</w:t>
            </w:r>
            <w:r w:rsidR="00FF3723" w:rsidRPr="00CB3663">
              <w:rPr>
                <w:rFonts w:ascii="Times New Roman" w:hAnsi="Times New Roman"/>
                <w:sz w:val="24"/>
                <w:szCs w:val="24"/>
              </w:rPr>
              <w:t xml:space="preserve"> gada pārskatu</w:t>
            </w:r>
            <w:r w:rsidR="00BD6953" w:rsidRPr="00CB3663">
              <w:rPr>
                <w:rFonts w:ascii="Times New Roman" w:hAnsi="Times New Roman"/>
                <w:sz w:val="24"/>
                <w:szCs w:val="24"/>
              </w:rPr>
              <w:t>s</w:t>
            </w:r>
            <w:r w:rsidR="00FF3723" w:rsidRPr="00CB3663">
              <w:rPr>
                <w:rFonts w:ascii="Times New Roman" w:hAnsi="Times New Roman"/>
                <w:sz w:val="24"/>
                <w:szCs w:val="24"/>
              </w:rPr>
              <w:t xml:space="preserve"> atbilstoši starptautiskajiem grāmatvedības standartiem EDS ir jāiesniedz izmantojot noteikto elektroniskā noraksta formu.</w:t>
            </w:r>
          </w:p>
        </w:tc>
      </w:tr>
      <w:tr w:rsidR="0030306F" w:rsidRPr="005528BE" w:rsidTr="007E77AF">
        <w:trPr>
          <w:trHeight w:val="476"/>
        </w:trPr>
        <w:tc>
          <w:tcPr>
            <w:tcW w:w="224" w:type="pct"/>
          </w:tcPr>
          <w:p w:rsidR="0030306F" w:rsidRPr="00756214" w:rsidRDefault="0030306F" w:rsidP="00E55447">
            <w:pPr>
              <w:pStyle w:val="naiskr"/>
              <w:spacing w:before="0" w:beforeAutospacing="0" w:after="0" w:afterAutospacing="0"/>
              <w:ind w:right="57"/>
              <w:jc w:val="center"/>
            </w:pPr>
            <w:r w:rsidRPr="00756214">
              <w:lastRenderedPageBreak/>
              <w:t>3.</w:t>
            </w:r>
          </w:p>
        </w:tc>
        <w:tc>
          <w:tcPr>
            <w:tcW w:w="1172" w:type="pct"/>
          </w:tcPr>
          <w:p w:rsidR="0030306F" w:rsidRPr="00756214" w:rsidRDefault="0030306F" w:rsidP="00E55447">
            <w:pPr>
              <w:pStyle w:val="naiskr"/>
              <w:spacing w:before="0" w:beforeAutospacing="0" w:after="0" w:afterAutospacing="0"/>
              <w:ind w:right="57"/>
            </w:pPr>
            <w:r w:rsidRPr="00756214">
              <w:t>Projekta izstrādē iesaistītās institūcijas</w:t>
            </w:r>
          </w:p>
        </w:tc>
        <w:tc>
          <w:tcPr>
            <w:tcW w:w="3604" w:type="pct"/>
          </w:tcPr>
          <w:p w:rsidR="0030306F" w:rsidRPr="005528BE" w:rsidRDefault="00A81A6E" w:rsidP="00AC088C">
            <w:pPr>
              <w:spacing w:after="0" w:line="240" w:lineRule="auto"/>
              <w:ind w:right="57"/>
              <w:jc w:val="both"/>
              <w:rPr>
                <w:rFonts w:ascii="Times New Roman" w:hAnsi="Times New Roman"/>
                <w:iCs/>
                <w:sz w:val="24"/>
                <w:szCs w:val="24"/>
              </w:rPr>
            </w:pPr>
            <w:r w:rsidRPr="00A81A6E">
              <w:rPr>
                <w:rFonts w:ascii="Times New Roman" w:hAnsi="Times New Roman"/>
                <w:iCs/>
                <w:sz w:val="24"/>
                <w:szCs w:val="24"/>
              </w:rPr>
              <w:t xml:space="preserve">Valsts ieņēmumu dienests izstrādāja </w:t>
            </w:r>
            <w:r w:rsidRPr="00A81A6E">
              <w:rPr>
                <w:rFonts w:ascii="Times New Roman" w:hAnsi="Times New Roman"/>
                <w:sz w:val="24"/>
                <w:szCs w:val="24"/>
              </w:rPr>
              <w:t xml:space="preserve">finanšu pārskata pielikuma </w:t>
            </w:r>
            <w:r w:rsidRPr="00A81A6E">
              <w:rPr>
                <w:rFonts w:ascii="Times New Roman" w:eastAsia="Times New Roman" w:hAnsi="Times New Roman"/>
                <w:sz w:val="24"/>
                <w:szCs w:val="24"/>
                <w:lang w:eastAsia="lv-LV"/>
              </w:rPr>
              <w:t>shēmu</w:t>
            </w:r>
            <w:r>
              <w:rPr>
                <w:rFonts w:ascii="Times New Roman" w:eastAsia="Times New Roman" w:hAnsi="Times New Roman"/>
                <w:sz w:val="24"/>
                <w:szCs w:val="24"/>
                <w:lang w:eastAsia="lv-LV"/>
              </w:rPr>
              <w:t xml:space="preserve"> kāda</w:t>
            </w:r>
            <w:r w:rsidRPr="00A81A6E">
              <w:rPr>
                <w:rFonts w:ascii="Times New Roman" w:eastAsia="Times New Roman" w:hAnsi="Times New Roman"/>
                <w:sz w:val="24"/>
                <w:szCs w:val="24"/>
                <w:lang w:eastAsia="lv-LV"/>
              </w:rPr>
              <w:t xml:space="preserve"> t</w:t>
            </w:r>
            <w:r w:rsidR="00AC088C">
              <w:rPr>
                <w:rFonts w:ascii="Times New Roman" w:eastAsia="Times New Roman" w:hAnsi="Times New Roman"/>
                <w:sz w:val="24"/>
                <w:szCs w:val="24"/>
                <w:lang w:eastAsia="lv-LV"/>
              </w:rPr>
              <w:t>ā</w:t>
            </w:r>
            <w:r w:rsidRPr="00A81A6E">
              <w:rPr>
                <w:rFonts w:ascii="Times New Roman" w:eastAsia="Times New Roman" w:hAnsi="Times New Roman"/>
                <w:sz w:val="24"/>
                <w:szCs w:val="24"/>
                <w:lang w:eastAsia="lv-LV"/>
              </w:rPr>
              <w:t xml:space="preserve"> ir jāiesniedz EDS</w:t>
            </w:r>
            <w:r w:rsidRPr="00A81A6E">
              <w:rPr>
                <w:rFonts w:ascii="Times New Roman" w:hAnsi="Times New Roman"/>
                <w:sz w:val="24"/>
                <w:szCs w:val="24"/>
              </w:rPr>
              <w:t>.</w:t>
            </w:r>
          </w:p>
        </w:tc>
      </w:tr>
      <w:tr w:rsidR="0030306F" w:rsidRPr="005528BE" w:rsidTr="007E77AF">
        <w:tc>
          <w:tcPr>
            <w:tcW w:w="224" w:type="pct"/>
          </w:tcPr>
          <w:p w:rsidR="0030306F" w:rsidRPr="00756214" w:rsidRDefault="0030306F" w:rsidP="00D15E0E">
            <w:pPr>
              <w:pStyle w:val="naiskr"/>
              <w:spacing w:before="0" w:beforeAutospacing="0" w:after="0" w:afterAutospacing="0"/>
              <w:ind w:right="57"/>
              <w:jc w:val="center"/>
            </w:pPr>
            <w:r w:rsidRPr="00756214">
              <w:t>4</w:t>
            </w:r>
            <w:r w:rsidR="00D15E0E">
              <w:t>.</w:t>
            </w:r>
          </w:p>
        </w:tc>
        <w:tc>
          <w:tcPr>
            <w:tcW w:w="1172" w:type="pct"/>
          </w:tcPr>
          <w:p w:rsidR="0030306F" w:rsidRPr="00756214" w:rsidRDefault="0030306F" w:rsidP="00E55447">
            <w:pPr>
              <w:pStyle w:val="naiskr"/>
              <w:spacing w:before="0" w:beforeAutospacing="0" w:after="0" w:afterAutospacing="0"/>
              <w:ind w:right="57"/>
            </w:pPr>
            <w:r w:rsidRPr="00756214">
              <w:t>Cita informācija</w:t>
            </w:r>
          </w:p>
        </w:tc>
        <w:tc>
          <w:tcPr>
            <w:tcW w:w="3604" w:type="pct"/>
          </w:tcPr>
          <w:p w:rsidR="0030306F" w:rsidRPr="005528BE" w:rsidRDefault="00C500AE" w:rsidP="00013784">
            <w:pPr>
              <w:spacing w:after="0" w:line="240" w:lineRule="auto"/>
              <w:contextualSpacing/>
              <w:jc w:val="both"/>
              <w:rPr>
                <w:rFonts w:ascii="Times New Roman" w:hAnsi="Times New Roman"/>
                <w:sz w:val="24"/>
                <w:szCs w:val="24"/>
              </w:rPr>
            </w:pPr>
            <w:r w:rsidRPr="005528BE">
              <w:rPr>
                <w:rFonts w:ascii="Times New Roman" w:hAnsi="Times New Roman"/>
                <w:sz w:val="24"/>
                <w:szCs w:val="24"/>
              </w:rPr>
              <w:t>Nav</w:t>
            </w:r>
          </w:p>
        </w:tc>
      </w:tr>
    </w:tbl>
    <w:p w:rsidR="0030306F" w:rsidRPr="00756214" w:rsidRDefault="0030306F" w:rsidP="0030306F">
      <w:pPr>
        <w:spacing w:after="0" w:line="240" w:lineRule="auto"/>
        <w:rPr>
          <w:rFonts w:ascii="Times New Roman" w:hAnsi="Times New Roman"/>
          <w:sz w:val="24"/>
          <w:szCs w:val="24"/>
        </w:rPr>
      </w:pPr>
      <w:bookmarkStart w:id="2" w:name="_GoBack"/>
      <w:bookmarkEnd w:id="2"/>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30306F" w:rsidRPr="005528BE" w:rsidTr="00E55447">
        <w:trPr>
          <w:trHeight w:val="419"/>
        </w:trPr>
        <w:tc>
          <w:tcPr>
            <w:tcW w:w="5000" w:type="pct"/>
            <w:gridSpan w:val="3"/>
            <w:vAlign w:val="center"/>
          </w:tcPr>
          <w:p w:rsidR="0030306F" w:rsidRPr="005528BE" w:rsidRDefault="0030306F" w:rsidP="00E55447">
            <w:pPr>
              <w:spacing w:after="0" w:line="240" w:lineRule="auto"/>
              <w:jc w:val="center"/>
              <w:rPr>
                <w:rFonts w:ascii="Times New Roman" w:hAnsi="Times New Roman"/>
                <w:b/>
                <w:sz w:val="26"/>
                <w:szCs w:val="26"/>
              </w:rPr>
            </w:pPr>
            <w:r w:rsidRPr="005528BE">
              <w:rPr>
                <w:rFonts w:ascii="Times New Roman" w:hAnsi="Times New Roman"/>
                <w:b/>
                <w:bCs/>
                <w:sz w:val="26"/>
                <w:szCs w:val="26"/>
              </w:rPr>
              <w:t>II. Tiesību akta projekta ietekme uz sabiedrību, tautsaimniecības attīstību un administratīvo slogu</w:t>
            </w:r>
          </w:p>
        </w:tc>
      </w:tr>
      <w:tr w:rsidR="0030306F" w:rsidRPr="005528BE" w:rsidTr="00E55447">
        <w:trPr>
          <w:trHeight w:val="415"/>
        </w:trPr>
        <w:tc>
          <w:tcPr>
            <w:tcW w:w="227" w:type="pct"/>
          </w:tcPr>
          <w:p w:rsidR="0030306F" w:rsidRPr="005528BE" w:rsidRDefault="0030306F" w:rsidP="00E55447">
            <w:pPr>
              <w:spacing w:after="0" w:line="240" w:lineRule="auto"/>
              <w:rPr>
                <w:rFonts w:ascii="Times New Roman" w:hAnsi="Times New Roman"/>
                <w:sz w:val="24"/>
                <w:szCs w:val="24"/>
              </w:rPr>
            </w:pPr>
            <w:r w:rsidRPr="005528BE">
              <w:rPr>
                <w:rFonts w:ascii="Times New Roman" w:hAnsi="Times New Roman"/>
                <w:sz w:val="24"/>
                <w:szCs w:val="24"/>
              </w:rPr>
              <w:t>1.</w:t>
            </w:r>
          </w:p>
        </w:tc>
        <w:tc>
          <w:tcPr>
            <w:tcW w:w="1566" w:type="pct"/>
          </w:tcPr>
          <w:p w:rsidR="0030306F" w:rsidRPr="005528BE" w:rsidRDefault="0030306F" w:rsidP="00E55447">
            <w:pPr>
              <w:spacing w:after="0" w:line="240" w:lineRule="auto"/>
              <w:rPr>
                <w:rFonts w:ascii="Times New Roman" w:hAnsi="Times New Roman"/>
                <w:sz w:val="24"/>
                <w:szCs w:val="24"/>
              </w:rPr>
            </w:pPr>
            <w:r w:rsidRPr="005528BE">
              <w:rPr>
                <w:rFonts w:ascii="Times New Roman" w:hAnsi="Times New Roman"/>
                <w:sz w:val="24"/>
                <w:szCs w:val="24"/>
              </w:rPr>
              <w:t xml:space="preserve">Sabiedrības </w:t>
            </w:r>
            <w:proofErr w:type="spellStart"/>
            <w:r w:rsidRPr="005528BE">
              <w:rPr>
                <w:rFonts w:ascii="Times New Roman" w:hAnsi="Times New Roman"/>
                <w:sz w:val="24"/>
                <w:szCs w:val="24"/>
              </w:rPr>
              <w:t>mērķgrupas</w:t>
            </w:r>
            <w:proofErr w:type="spellEnd"/>
            <w:r w:rsidRPr="005528BE">
              <w:rPr>
                <w:rFonts w:ascii="Times New Roman" w:hAnsi="Times New Roman"/>
                <w:sz w:val="24"/>
                <w:szCs w:val="24"/>
              </w:rPr>
              <w:t>, kuras tiesiskais regulējums ietekmē vai varētu ietekmēt</w:t>
            </w:r>
          </w:p>
        </w:tc>
        <w:tc>
          <w:tcPr>
            <w:tcW w:w="3207" w:type="pct"/>
          </w:tcPr>
          <w:p w:rsidR="0030306F" w:rsidRPr="00B8451C" w:rsidRDefault="00DC1717" w:rsidP="00A81A6E">
            <w:pPr>
              <w:spacing w:after="0" w:line="240" w:lineRule="auto"/>
              <w:ind w:right="130"/>
              <w:jc w:val="both"/>
              <w:rPr>
                <w:rFonts w:ascii="Times New Roman" w:hAnsi="Times New Roman"/>
                <w:sz w:val="24"/>
                <w:szCs w:val="24"/>
              </w:rPr>
            </w:pPr>
            <w:r>
              <w:rPr>
                <w:rFonts w:ascii="Times New Roman" w:hAnsi="Times New Roman"/>
                <w:sz w:val="24"/>
                <w:szCs w:val="24"/>
              </w:rPr>
              <w:t xml:space="preserve"> Attieksies uz visiem Gada pārskatu un konsolidēto gada pārskatu likuma subjektiem.</w:t>
            </w:r>
          </w:p>
        </w:tc>
      </w:tr>
      <w:tr w:rsidR="0030306F" w:rsidRPr="005528BE" w:rsidTr="00E55447">
        <w:trPr>
          <w:trHeight w:val="472"/>
        </w:trPr>
        <w:tc>
          <w:tcPr>
            <w:tcW w:w="227" w:type="pct"/>
          </w:tcPr>
          <w:p w:rsidR="0030306F" w:rsidRPr="005528BE" w:rsidRDefault="0030306F" w:rsidP="00E55447">
            <w:pPr>
              <w:spacing w:after="0" w:line="240" w:lineRule="auto"/>
              <w:rPr>
                <w:rFonts w:ascii="Times New Roman" w:hAnsi="Times New Roman"/>
                <w:sz w:val="24"/>
                <w:szCs w:val="24"/>
              </w:rPr>
            </w:pPr>
            <w:r w:rsidRPr="005528BE">
              <w:rPr>
                <w:rFonts w:ascii="Times New Roman" w:hAnsi="Times New Roman"/>
                <w:sz w:val="24"/>
                <w:szCs w:val="24"/>
              </w:rPr>
              <w:lastRenderedPageBreak/>
              <w:t>2.</w:t>
            </w:r>
          </w:p>
        </w:tc>
        <w:tc>
          <w:tcPr>
            <w:tcW w:w="1566" w:type="pct"/>
          </w:tcPr>
          <w:p w:rsidR="0030306F" w:rsidRPr="005528BE" w:rsidRDefault="0030306F" w:rsidP="00E55447">
            <w:pPr>
              <w:spacing w:after="0" w:line="240" w:lineRule="auto"/>
              <w:rPr>
                <w:rFonts w:ascii="Times New Roman" w:hAnsi="Times New Roman"/>
                <w:sz w:val="24"/>
                <w:szCs w:val="24"/>
              </w:rPr>
            </w:pPr>
            <w:r w:rsidRPr="005528BE">
              <w:rPr>
                <w:rFonts w:ascii="Times New Roman" w:hAnsi="Times New Roman"/>
                <w:sz w:val="24"/>
                <w:szCs w:val="24"/>
              </w:rPr>
              <w:t>Tiesiskā regulējuma ietekme uz tautsaimniecību un administratīvo slogu</w:t>
            </w:r>
          </w:p>
        </w:tc>
        <w:tc>
          <w:tcPr>
            <w:tcW w:w="3207" w:type="pct"/>
          </w:tcPr>
          <w:p w:rsidR="006A3082" w:rsidRPr="00CB3663" w:rsidRDefault="00DC1717" w:rsidP="00BD63DE">
            <w:pPr>
              <w:spacing w:after="0" w:line="240" w:lineRule="auto"/>
              <w:ind w:right="130" w:firstLine="142"/>
              <w:contextualSpacing/>
              <w:jc w:val="both"/>
              <w:rPr>
                <w:rFonts w:ascii="Times New Roman" w:hAnsi="Times New Roman"/>
                <w:sz w:val="24"/>
                <w:szCs w:val="24"/>
              </w:rPr>
            </w:pPr>
            <w:r>
              <w:rPr>
                <w:rFonts w:ascii="Times New Roman" w:hAnsi="Times New Roman"/>
                <w:sz w:val="24"/>
                <w:szCs w:val="24"/>
              </w:rPr>
              <w:t xml:space="preserve"> Noteikumu projekts</w:t>
            </w:r>
            <w:r w:rsidRPr="00B8451C">
              <w:rPr>
                <w:rFonts w:ascii="Times New Roman" w:hAnsi="Times New Roman"/>
                <w:sz w:val="24"/>
                <w:szCs w:val="24"/>
              </w:rPr>
              <w:t xml:space="preserve"> pozitīvi ietekmēs</w:t>
            </w:r>
            <w:r>
              <w:rPr>
                <w:rFonts w:ascii="Times New Roman" w:hAnsi="Times New Roman"/>
                <w:sz w:val="24"/>
                <w:szCs w:val="24"/>
              </w:rPr>
              <w:t xml:space="preserve"> </w:t>
            </w:r>
            <w:proofErr w:type="spellStart"/>
            <w:r>
              <w:rPr>
                <w:rFonts w:ascii="Times New Roman" w:hAnsi="Times New Roman"/>
                <w:sz w:val="24"/>
                <w:szCs w:val="24"/>
              </w:rPr>
              <w:t>mikrosabiedrības</w:t>
            </w:r>
            <w:proofErr w:type="spellEnd"/>
            <w:r>
              <w:rPr>
                <w:rFonts w:ascii="Times New Roman" w:hAnsi="Times New Roman"/>
                <w:sz w:val="24"/>
                <w:szCs w:val="24"/>
              </w:rPr>
              <w:t>, mazas sabiedrības, vidējas sabiedrības, jo šīm sabiedrībām būs vieglāk sagatavot un iesniegt finanšu pārskata pielikumā norādāmo informāciju</w:t>
            </w:r>
            <w:r w:rsidRPr="00716C7E">
              <w:rPr>
                <w:rFonts w:ascii="Times New Roman" w:hAnsi="Times New Roman"/>
                <w:b/>
                <w:sz w:val="24"/>
                <w:szCs w:val="24"/>
              </w:rPr>
              <w:t>.</w:t>
            </w:r>
            <w:r w:rsidR="00716C7E" w:rsidRPr="00716C7E">
              <w:rPr>
                <w:rFonts w:ascii="Times New Roman" w:hAnsi="Times New Roman"/>
                <w:b/>
                <w:sz w:val="24"/>
                <w:szCs w:val="24"/>
              </w:rPr>
              <w:t xml:space="preserve"> </w:t>
            </w:r>
            <w:r w:rsidR="00716C7E" w:rsidRPr="00CB3663">
              <w:rPr>
                <w:rFonts w:ascii="Times New Roman" w:hAnsi="Times New Roman"/>
                <w:sz w:val="24"/>
                <w:szCs w:val="24"/>
              </w:rPr>
              <w:t>Minētā</w:t>
            </w:r>
            <w:r w:rsidR="00AE2FF5" w:rsidRPr="00CB3663">
              <w:rPr>
                <w:rFonts w:ascii="Times New Roman" w:hAnsi="Times New Roman"/>
                <w:sz w:val="24"/>
                <w:szCs w:val="24"/>
              </w:rPr>
              <w:t>s</w:t>
            </w:r>
            <w:r w:rsidR="00716C7E" w:rsidRPr="00CB3663">
              <w:rPr>
                <w:rFonts w:ascii="Times New Roman" w:hAnsi="Times New Roman"/>
                <w:sz w:val="24"/>
                <w:szCs w:val="24"/>
              </w:rPr>
              <w:t xml:space="preserve"> sabiedrības, aizpildot finanšu pārskata pielikumu EDS elektroniskā noraksta formā varēs redzēt tikai tās likuma normas, kas uz viņiem attiecas. Jaunais Gada pārskatu un konsolidēto gada pārskatu likums ir piemērojams gada pārskatiem un konsolidētajiem gada pārskatiem sākot ar 2016.gadu un finanšu pārskata pielikumā EDS elektroniskā noraksta formā pieprasītā informācija izriet tikai no minētā likuma normām. Papildus likumā noteiktajai obligāti atklājamai informācijai, cita  papildus informācija netiek pieprasīta.</w:t>
            </w:r>
          </w:p>
          <w:p w:rsidR="00BD6953" w:rsidRPr="005528BE" w:rsidRDefault="00AA055F" w:rsidP="00AA055F">
            <w:pPr>
              <w:spacing w:after="0" w:line="240" w:lineRule="auto"/>
              <w:ind w:right="130" w:firstLine="142"/>
              <w:contextualSpacing/>
              <w:jc w:val="both"/>
              <w:rPr>
                <w:rFonts w:ascii="Times New Roman" w:hAnsi="Times New Roman"/>
                <w:sz w:val="24"/>
                <w:szCs w:val="24"/>
              </w:rPr>
            </w:pPr>
            <w:r w:rsidRPr="00CB3663">
              <w:rPr>
                <w:rFonts w:ascii="Times New Roman" w:hAnsi="Times New Roman"/>
                <w:sz w:val="24"/>
                <w:szCs w:val="24"/>
              </w:rPr>
              <w:t xml:space="preserve"> Taču sabiedrības, brīvprātīgi varēs papildus  sniegt informāciju nekā  pieprasīts  un to pievienot skenētā veidā.</w:t>
            </w:r>
            <w:r>
              <w:rPr>
                <w:rFonts w:ascii="Times New Roman" w:hAnsi="Times New Roman"/>
                <w:b/>
                <w:sz w:val="24"/>
                <w:szCs w:val="24"/>
              </w:rPr>
              <w:t xml:space="preserve">  </w:t>
            </w:r>
          </w:p>
        </w:tc>
      </w:tr>
      <w:tr w:rsidR="0030306F" w:rsidRPr="005528BE" w:rsidTr="00E55447">
        <w:trPr>
          <w:trHeight w:val="476"/>
        </w:trPr>
        <w:tc>
          <w:tcPr>
            <w:tcW w:w="227" w:type="pct"/>
          </w:tcPr>
          <w:p w:rsidR="0030306F" w:rsidRPr="005528BE" w:rsidRDefault="0030306F" w:rsidP="00E55447">
            <w:pPr>
              <w:spacing w:after="0" w:line="240" w:lineRule="auto"/>
              <w:rPr>
                <w:rFonts w:ascii="Times New Roman" w:hAnsi="Times New Roman"/>
                <w:sz w:val="24"/>
                <w:szCs w:val="24"/>
              </w:rPr>
            </w:pPr>
            <w:r w:rsidRPr="005528BE">
              <w:rPr>
                <w:rFonts w:ascii="Times New Roman" w:hAnsi="Times New Roman"/>
                <w:sz w:val="24"/>
                <w:szCs w:val="24"/>
              </w:rPr>
              <w:t>3.</w:t>
            </w:r>
          </w:p>
        </w:tc>
        <w:tc>
          <w:tcPr>
            <w:tcW w:w="1566" w:type="pct"/>
          </w:tcPr>
          <w:p w:rsidR="0030306F" w:rsidRPr="005528BE" w:rsidRDefault="0030306F" w:rsidP="00E55447">
            <w:pPr>
              <w:spacing w:line="240" w:lineRule="auto"/>
              <w:rPr>
                <w:rFonts w:ascii="Times New Roman" w:hAnsi="Times New Roman"/>
                <w:sz w:val="24"/>
                <w:szCs w:val="24"/>
              </w:rPr>
            </w:pPr>
            <w:r w:rsidRPr="005528BE">
              <w:rPr>
                <w:rFonts w:ascii="Times New Roman" w:hAnsi="Times New Roman"/>
                <w:sz w:val="24"/>
                <w:szCs w:val="24"/>
              </w:rPr>
              <w:t>Administratīvo izmaksu monetārs novērtējums</w:t>
            </w:r>
          </w:p>
        </w:tc>
        <w:tc>
          <w:tcPr>
            <w:tcW w:w="3207" w:type="pct"/>
          </w:tcPr>
          <w:p w:rsidR="00094A5C" w:rsidRPr="005528BE" w:rsidRDefault="00BD652B" w:rsidP="00F02F8D">
            <w:pPr>
              <w:spacing w:after="0" w:line="240" w:lineRule="auto"/>
              <w:ind w:right="140" w:firstLine="139"/>
              <w:contextualSpacing/>
              <w:jc w:val="both"/>
              <w:rPr>
                <w:rFonts w:ascii="Times New Roman" w:hAnsi="Times New Roman"/>
                <w:sz w:val="24"/>
                <w:szCs w:val="24"/>
              </w:rPr>
            </w:pPr>
            <w:r w:rsidRPr="005528BE">
              <w:rPr>
                <w:rFonts w:ascii="Times New Roman" w:hAnsi="Times New Roman"/>
                <w:sz w:val="24"/>
                <w:szCs w:val="24"/>
              </w:rPr>
              <w:t>Nav</w:t>
            </w:r>
            <w:r w:rsidR="005630CB" w:rsidRPr="005528BE">
              <w:rPr>
                <w:rFonts w:ascii="Times New Roman" w:hAnsi="Times New Roman"/>
                <w:sz w:val="24"/>
                <w:szCs w:val="24"/>
              </w:rPr>
              <w:t xml:space="preserve"> </w:t>
            </w:r>
          </w:p>
        </w:tc>
      </w:tr>
      <w:tr w:rsidR="0030306F" w:rsidRPr="005528BE" w:rsidTr="00E55447">
        <w:tc>
          <w:tcPr>
            <w:tcW w:w="227" w:type="pct"/>
          </w:tcPr>
          <w:p w:rsidR="0030306F" w:rsidRPr="005528BE" w:rsidRDefault="0030306F" w:rsidP="00E55447">
            <w:pPr>
              <w:spacing w:after="0" w:line="240" w:lineRule="auto"/>
              <w:rPr>
                <w:rFonts w:ascii="Times New Roman" w:hAnsi="Times New Roman"/>
                <w:sz w:val="24"/>
                <w:szCs w:val="24"/>
              </w:rPr>
            </w:pPr>
            <w:r w:rsidRPr="005528BE">
              <w:rPr>
                <w:rFonts w:ascii="Times New Roman" w:hAnsi="Times New Roman"/>
                <w:sz w:val="24"/>
                <w:szCs w:val="24"/>
              </w:rPr>
              <w:t>4.</w:t>
            </w:r>
          </w:p>
        </w:tc>
        <w:tc>
          <w:tcPr>
            <w:tcW w:w="1566" w:type="pct"/>
          </w:tcPr>
          <w:p w:rsidR="0030306F" w:rsidRPr="005528BE" w:rsidRDefault="0030306F" w:rsidP="00E55447">
            <w:pPr>
              <w:spacing w:after="0" w:line="240" w:lineRule="auto"/>
              <w:rPr>
                <w:rFonts w:ascii="Times New Roman" w:hAnsi="Times New Roman"/>
                <w:sz w:val="24"/>
                <w:szCs w:val="24"/>
              </w:rPr>
            </w:pPr>
            <w:r w:rsidRPr="005528BE">
              <w:rPr>
                <w:rFonts w:ascii="Times New Roman" w:hAnsi="Times New Roman"/>
                <w:sz w:val="24"/>
                <w:szCs w:val="24"/>
              </w:rPr>
              <w:t>Cita informācija</w:t>
            </w:r>
          </w:p>
        </w:tc>
        <w:tc>
          <w:tcPr>
            <w:tcW w:w="3207" w:type="pct"/>
          </w:tcPr>
          <w:p w:rsidR="0030306F" w:rsidRPr="005528BE" w:rsidRDefault="00D602D3" w:rsidP="00D602D3">
            <w:pPr>
              <w:spacing w:after="0" w:line="240" w:lineRule="auto"/>
              <w:ind w:left="281" w:hanging="281"/>
              <w:jc w:val="both"/>
              <w:rPr>
                <w:rFonts w:ascii="Times New Roman" w:hAnsi="Times New Roman"/>
                <w:sz w:val="24"/>
                <w:szCs w:val="24"/>
              </w:rPr>
            </w:pPr>
            <w:r>
              <w:rPr>
                <w:rFonts w:ascii="Times New Roman" w:hAnsi="Times New Roman"/>
                <w:sz w:val="24"/>
                <w:szCs w:val="24"/>
              </w:rPr>
              <w:t xml:space="preserve">  </w:t>
            </w:r>
            <w:r w:rsidR="00BD5171" w:rsidRPr="005528BE">
              <w:rPr>
                <w:rFonts w:ascii="Times New Roman" w:hAnsi="Times New Roman"/>
                <w:sz w:val="24"/>
                <w:szCs w:val="24"/>
              </w:rPr>
              <w:t xml:space="preserve">Nav </w:t>
            </w:r>
          </w:p>
        </w:tc>
      </w:tr>
    </w:tbl>
    <w:p w:rsidR="0030306F" w:rsidRDefault="0030306F" w:rsidP="0030306F">
      <w:pPr>
        <w:spacing w:after="0" w:line="240" w:lineRule="auto"/>
        <w:rPr>
          <w:rFonts w:ascii="Times New Roman" w:hAnsi="Times New Roman"/>
          <w:sz w:val="24"/>
          <w:szCs w:val="24"/>
        </w:rPr>
      </w:pPr>
    </w:p>
    <w:p w:rsidR="007F4755" w:rsidRDefault="007F4755" w:rsidP="0030306F">
      <w:pPr>
        <w:spacing w:after="0" w:line="240" w:lineRule="auto"/>
        <w:rPr>
          <w:rFonts w:ascii="Times New Roman" w:eastAsia="Times New Roman" w:hAnsi="Times New Roman"/>
          <w:sz w:val="24"/>
          <w:szCs w:val="24"/>
          <w:lang w:eastAsia="lv-LV"/>
        </w:rPr>
      </w:pPr>
    </w:p>
    <w:tbl>
      <w:tblPr>
        <w:tblW w:w="524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1"/>
        <w:gridCol w:w="6196"/>
      </w:tblGrid>
      <w:tr w:rsidR="00F20146" w:rsidRPr="005528BE" w:rsidTr="00F20146">
        <w:trPr>
          <w:trHeight w:val="420"/>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F20146" w:rsidRPr="000A2B0C" w:rsidRDefault="00F20146" w:rsidP="00660F28">
            <w:pPr>
              <w:spacing w:before="100" w:beforeAutospacing="1" w:after="100" w:afterAutospacing="1"/>
              <w:jc w:val="center"/>
              <w:rPr>
                <w:rFonts w:ascii="Times New Roman" w:eastAsia="Times New Roman" w:hAnsi="Times New Roman"/>
                <w:sz w:val="24"/>
                <w:szCs w:val="24"/>
                <w:lang w:eastAsia="lv-LV"/>
              </w:rPr>
            </w:pPr>
            <w:r w:rsidRPr="000A2B0C">
              <w:rPr>
                <w:rFonts w:ascii="Times New Roman" w:eastAsia="Times New Roman" w:hAnsi="Times New Roman"/>
                <w:b/>
                <w:bCs/>
                <w:sz w:val="24"/>
                <w:szCs w:val="24"/>
                <w:lang w:eastAsia="lv-LV"/>
              </w:rPr>
              <w:t>VI. Sabiedrības līdzdalība un komunikācijas aktivitātes</w:t>
            </w:r>
          </w:p>
        </w:tc>
      </w:tr>
      <w:tr w:rsidR="00F20146" w:rsidRPr="005528BE" w:rsidTr="00F20146">
        <w:trPr>
          <w:trHeight w:val="540"/>
          <w:jc w:val="center"/>
        </w:trPr>
        <w:tc>
          <w:tcPr>
            <w:tcW w:w="1738" w:type="pct"/>
            <w:tcBorders>
              <w:top w:val="outset" w:sz="6" w:space="0" w:color="auto"/>
              <w:left w:val="outset" w:sz="6" w:space="0" w:color="auto"/>
              <w:bottom w:val="outset" w:sz="6" w:space="0" w:color="auto"/>
              <w:right w:val="outset" w:sz="6" w:space="0" w:color="auto"/>
            </w:tcBorders>
            <w:hideMark/>
          </w:tcPr>
          <w:p w:rsidR="00F20146" w:rsidRPr="000A2B0C" w:rsidRDefault="00F20146" w:rsidP="00660F28">
            <w:pPr>
              <w:spacing w:after="0" w:line="240" w:lineRule="auto"/>
              <w:contextualSpacing/>
              <w:rPr>
                <w:rFonts w:ascii="Times New Roman" w:eastAsia="Times New Roman" w:hAnsi="Times New Roman"/>
                <w:sz w:val="24"/>
                <w:szCs w:val="24"/>
                <w:lang w:eastAsia="lv-LV"/>
              </w:rPr>
            </w:pPr>
            <w:r w:rsidRPr="000A2B0C">
              <w:rPr>
                <w:rFonts w:ascii="Times New Roman" w:eastAsia="Times New Roman" w:hAnsi="Times New Roman"/>
                <w:sz w:val="24"/>
                <w:szCs w:val="24"/>
                <w:lang w:eastAsia="lv-LV"/>
              </w:rPr>
              <w:t>Plānotās sabiedrības līdzdalības un komunikācijas aktivitātes saistībā ar projektu</w:t>
            </w:r>
          </w:p>
        </w:tc>
        <w:tc>
          <w:tcPr>
            <w:tcW w:w="3262" w:type="pct"/>
            <w:tcBorders>
              <w:top w:val="outset" w:sz="6" w:space="0" w:color="auto"/>
              <w:left w:val="outset" w:sz="6" w:space="0" w:color="auto"/>
              <w:bottom w:val="outset" w:sz="6" w:space="0" w:color="auto"/>
              <w:right w:val="outset" w:sz="6" w:space="0" w:color="auto"/>
            </w:tcBorders>
            <w:hideMark/>
          </w:tcPr>
          <w:p w:rsidR="00F20146" w:rsidRPr="000A2B0C" w:rsidRDefault="00941EF3" w:rsidP="00DC1717">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Uzziņa  par</w:t>
            </w:r>
            <w:r w:rsidR="002409C9">
              <w:rPr>
                <w:rFonts w:ascii="Times New Roman" w:eastAsia="Times New Roman" w:hAnsi="Times New Roman"/>
                <w:sz w:val="24"/>
                <w:szCs w:val="24"/>
                <w:lang w:eastAsia="lv-LV"/>
              </w:rPr>
              <w:t xml:space="preserve"> noteikumu projektu 2016</w:t>
            </w:r>
            <w:r>
              <w:rPr>
                <w:rFonts w:ascii="Times New Roman" w:eastAsia="Times New Roman" w:hAnsi="Times New Roman"/>
                <w:sz w:val="24"/>
                <w:szCs w:val="24"/>
                <w:lang w:eastAsia="lv-LV"/>
              </w:rPr>
              <w:t xml:space="preserve">.gada </w:t>
            </w:r>
            <w:r w:rsidR="00DC1717">
              <w:rPr>
                <w:rFonts w:ascii="Times New Roman" w:eastAsia="Times New Roman" w:hAnsi="Times New Roman"/>
                <w:sz w:val="24"/>
                <w:szCs w:val="24"/>
                <w:lang w:eastAsia="lv-LV"/>
              </w:rPr>
              <w:t>18</w:t>
            </w:r>
            <w:r>
              <w:rPr>
                <w:rFonts w:ascii="Times New Roman" w:eastAsia="Times New Roman" w:hAnsi="Times New Roman"/>
                <w:sz w:val="24"/>
                <w:szCs w:val="24"/>
                <w:lang w:eastAsia="lv-LV"/>
              </w:rPr>
              <w:t>.</w:t>
            </w:r>
            <w:r w:rsidR="00DC171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tika publicēta Finanšu ministrijas mājas lapā sadaļā “Sabiedrības līdzdalība”.</w:t>
            </w:r>
          </w:p>
        </w:tc>
      </w:tr>
      <w:tr w:rsidR="00F20146" w:rsidRPr="005528BE" w:rsidTr="00F20146">
        <w:trPr>
          <w:trHeight w:val="330"/>
          <w:jc w:val="center"/>
        </w:trPr>
        <w:tc>
          <w:tcPr>
            <w:tcW w:w="1738" w:type="pct"/>
            <w:tcBorders>
              <w:top w:val="outset" w:sz="6" w:space="0" w:color="auto"/>
              <w:left w:val="outset" w:sz="6" w:space="0" w:color="auto"/>
              <w:bottom w:val="outset" w:sz="6" w:space="0" w:color="auto"/>
              <w:right w:val="outset" w:sz="6" w:space="0" w:color="auto"/>
            </w:tcBorders>
            <w:hideMark/>
          </w:tcPr>
          <w:p w:rsidR="00F20146" w:rsidRPr="000A2B0C" w:rsidRDefault="00F20146" w:rsidP="00660F28">
            <w:pPr>
              <w:spacing w:after="0" w:line="240" w:lineRule="auto"/>
              <w:contextualSpacing/>
              <w:rPr>
                <w:rFonts w:ascii="Times New Roman" w:eastAsia="Times New Roman" w:hAnsi="Times New Roman"/>
                <w:sz w:val="24"/>
                <w:szCs w:val="24"/>
                <w:lang w:eastAsia="lv-LV"/>
              </w:rPr>
            </w:pPr>
            <w:r w:rsidRPr="000A2B0C">
              <w:rPr>
                <w:rFonts w:ascii="Times New Roman" w:eastAsia="Times New Roman" w:hAnsi="Times New Roman"/>
                <w:sz w:val="24"/>
                <w:szCs w:val="24"/>
                <w:lang w:eastAsia="lv-LV"/>
              </w:rPr>
              <w:t>Sabiedrības līdzdalība projekta izstrādē</w:t>
            </w:r>
          </w:p>
        </w:tc>
        <w:tc>
          <w:tcPr>
            <w:tcW w:w="3262" w:type="pct"/>
            <w:tcBorders>
              <w:top w:val="outset" w:sz="6" w:space="0" w:color="auto"/>
              <w:left w:val="outset" w:sz="6" w:space="0" w:color="auto"/>
              <w:bottom w:val="outset" w:sz="6" w:space="0" w:color="auto"/>
              <w:right w:val="outset" w:sz="6" w:space="0" w:color="auto"/>
            </w:tcBorders>
            <w:hideMark/>
          </w:tcPr>
          <w:p w:rsidR="001F6882" w:rsidRPr="006B12EA" w:rsidRDefault="002409C9" w:rsidP="006B12EA">
            <w:pPr>
              <w:spacing w:after="0" w:line="240" w:lineRule="auto"/>
              <w:contextualSpacing/>
              <w:jc w:val="both"/>
              <w:rPr>
                <w:rFonts w:ascii="Times New Roman" w:eastAsia="Times New Roman" w:hAnsi="Times New Roman"/>
                <w:sz w:val="24"/>
                <w:szCs w:val="24"/>
                <w:lang w:eastAsia="lv-LV"/>
              </w:rPr>
            </w:pPr>
            <w:r w:rsidRPr="006B12EA">
              <w:rPr>
                <w:rFonts w:ascii="Times New Roman" w:hAnsi="Times New Roman"/>
                <w:sz w:val="24"/>
                <w:szCs w:val="24"/>
              </w:rPr>
              <w:t xml:space="preserve">Noteikumu projekts tika nosūtīts </w:t>
            </w:r>
            <w:r w:rsidR="006B12EA" w:rsidRPr="006B12EA">
              <w:rPr>
                <w:rFonts w:ascii="Times New Roman" w:hAnsi="Times New Roman"/>
                <w:sz w:val="24"/>
                <w:szCs w:val="24"/>
              </w:rPr>
              <w:t>viedokļa sniegšanai</w:t>
            </w:r>
            <w:r w:rsidRPr="006B12EA">
              <w:rPr>
                <w:rFonts w:ascii="Times New Roman" w:hAnsi="Times New Roman"/>
                <w:sz w:val="24"/>
                <w:szCs w:val="24"/>
              </w:rPr>
              <w:t xml:space="preserve"> Latvijas Zvērinātu revidentu asociācijai, Latvijas Republikas Grāmatvežu asociācijai</w:t>
            </w:r>
            <w:r w:rsidR="003B60E0" w:rsidRPr="006B12EA">
              <w:rPr>
                <w:rFonts w:ascii="Times New Roman" w:hAnsi="Times New Roman"/>
                <w:sz w:val="24"/>
                <w:szCs w:val="24"/>
              </w:rPr>
              <w:t xml:space="preserve"> un ISO sertificēto grāmatvežu asociācijai.</w:t>
            </w:r>
          </w:p>
        </w:tc>
      </w:tr>
      <w:tr w:rsidR="00F20146" w:rsidRPr="005528BE" w:rsidTr="00F20146">
        <w:trPr>
          <w:trHeight w:val="465"/>
          <w:jc w:val="center"/>
        </w:trPr>
        <w:tc>
          <w:tcPr>
            <w:tcW w:w="1738" w:type="pct"/>
            <w:tcBorders>
              <w:top w:val="outset" w:sz="6" w:space="0" w:color="auto"/>
              <w:left w:val="outset" w:sz="6" w:space="0" w:color="auto"/>
              <w:bottom w:val="outset" w:sz="6" w:space="0" w:color="auto"/>
              <w:right w:val="outset" w:sz="6" w:space="0" w:color="auto"/>
            </w:tcBorders>
            <w:hideMark/>
          </w:tcPr>
          <w:p w:rsidR="00F20146" w:rsidRPr="000A2B0C" w:rsidRDefault="00F20146" w:rsidP="00E55447">
            <w:pPr>
              <w:rPr>
                <w:rFonts w:ascii="Times New Roman" w:eastAsia="Times New Roman" w:hAnsi="Times New Roman"/>
                <w:sz w:val="24"/>
                <w:szCs w:val="24"/>
                <w:lang w:eastAsia="lv-LV"/>
              </w:rPr>
            </w:pPr>
            <w:r w:rsidRPr="000A2B0C">
              <w:rPr>
                <w:rFonts w:ascii="Times New Roman" w:eastAsia="Times New Roman" w:hAnsi="Times New Roman"/>
                <w:sz w:val="24"/>
                <w:szCs w:val="24"/>
                <w:lang w:eastAsia="lv-LV"/>
              </w:rPr>
              <w:t>Sabiedrības līdzdalības rezultāti</w:t>
            </w:r>
          </w:p>
        </w:tc>
        <w:tc>
          <w:tcPr>
            <w:tcW w:w="3262" w:type="pct"/>
            <w:tcBorders>
              <w:top w:val="outset" w:sz="6" w:space="0" w:color="auto"/>
              <w:left w:val="outset" w:sz="6" w:space="0" w:color="auto"/>
              <w:bottom w:val="outset" w:sz="6" w:space="0" w:color="auto"/>
              <w:right w:val="outset" w:sz="6" w:space="0" w:color="auto"/>
            </w:tcBorders>
            <w:hideMark/>
          </w:tcPr>
          <w:p w:rsidR="00F20146" w:rsidRPr="006B12EA" w:rsidRDefault="003B60E0" w:rsidP="006B12EA">
            <w:pPr>
              <w:spacing w:after="0" w:line="240" w:lineRule="auto"/>
              <w:contextualSpacing/>
              <w:jc w:val="both"/>
              <w:rPr>
                <w:rFonts w:ascii="Times New Roman" w:eastAsia="Times New Roman" w:hAnsi="Times New Roman"/>
                <w:sz w:val="24"/>
                <w:szCs w:val="24"/>
                <w:lang w:eastAsia="lv-LV"/>
              </w:rPr>
            </w:pPr>
            <w:r w:rsidRPr="006B12EA">
              <w:rPr>
                <w:rFonts w:ascii="Times New Roman" w:hAnsi="Times New Roman"/>
                <w:sz w:val="24"/>
                <w:szCs w:val="24"/>
              </w:rPr>
              <w:t xml:space="preserve"> Latvijas Zvērinātu revidentu asociācija</w:t>
            </w:r>
            <w:r w:rsidR="006B12EA" w:rsidRPr="006B12EA">
              <w:rPr>
                <w:rFonts w:ascii="Times New Roman" w:hAnsi="Times New Roman"/>
                <w:sz w:val="24"/>
                <w:szCs w:val="24"/>
              </w:rPr>
              <w:t>s</w:t>
            </w:r>
            <w:r w:rsidRPr="006B12EA">
              <w:rPr>
                <w:rFonts w:ascii="Times New Roman" w:hAnsi="Times New Roman"/>
                <w:sz w:val="24"/>
                <w:szCs w:val="24"/>
              </w:rPr>
              <w:t>, Latvijas Republikas Grāmatvežu asociācija</w:t>
            </w:r>
            <w:r w:rsidR="006B12EA" w:rsidRPr="006B12EA">
              <w:rPr>
                <w:rFonts w:ascii="Times New Roman" w:hAnsi="Times New Roman"/>
                <w:sz w:val="24"/>
                <w:szCs w:val="24"/>
              </w:rPr>
              <w:t>s</w:t>
            </w:r>
            <w:r w:rsidRPr="006B12EA">
              <w:rPr>
                <w:rFonts w:ascii="Times New Roman" w:hAnsi="Times New Roman"/>
                <w:sz w:val="24"/>
                <w:szCs w:val="24"/>
              </w:rPr>
              <w:t xml:space="preserve"> un ISO sertificēto grāmatvežu asociācija</w:t>
            </w:r>
            <w:r w:rsidR="006B12EA" w:rsidRPr="006B12EA">
              <w:rPr>
                <w:rFonts w:ascii="Times New Roman" w:hAnsi="Times New Roman"/>
                <w:sz w:val="24"/>
                <w:szCs w:val="24"/>
              </w:rPr>
              <w:t>s</w:t>
            </w:r>
            <w:r w:rsidRPr="006B12EA">
              <w:rPr>
                <w:rFonts w:ascii="Times New Roman" w:hAnsi="Times New Roman"/>
                <w:sz w:val="24"/>
                <w:szCs w:val="24"/>
              </w:rPr>
              <w:t xml:space="preserve"> viedoklis tika ņemts vērā.</w:t>
            </w:r>
          </w:p>
        </w:tc>
      </w:tr>
      <w:tr w:rsidR="00F20146" w:rsidRPr="005528BE" w:rsidTr="00F20146">
        <w:trPr>
          <w:trHeight w:val="465"/>
          <w:jc w:val="center"/>
        </w:trPr>
        <w:tc>
          <w:tcPr>
            <w:tcW w:w="1738" w:type="pct"/>
            <w:tcBorders>
              <w:top w:val="outset" w:sz="6" w:space="0" w:color="auto"/>
              <w:left w:val="outset" w:sz="6" w:space="0" w:color="auto"/>
              <w:bottom w:val="outset" w:sz="6" w:space="0" w:color="auto"/>
              <w:right w:val="outset" w:sz="6" w:space="0" w:color="auto"/>
            </w:tcBorders>
            <w:hideMark/>
          </w:tcPr>
          <w:p w:rsidR="00F20146" w:rsidRPr="000A2B0C" w:rsidRDefault="00F20146" w:rsidP="00013C48">
            <w:pPr>
              <w:jc w:val="both"/>
              <w:rPr>
                <w:rFonts w:ascii="Times New Roman" w:eastAsia="Times New Roman" w:hAnsi="Times New Roman"/>
                <w:sz w:val="24"/>
                <w:szCs w:val="24"/>
                <w:lang w:eastAsia="lv-LV"/>
              </w:rPr>
            </w:pPr>
            <w:r w:rsidRPr="000A2B0C">
              <w:rPr>
                <w:rFonts w:ascii="Times New Roman" w:eastAsia="Times New Roman" w:hAnsi="Times New Roman"/>
                <w:sz w:val="24"/>
                <w:szCs w:val="24"/>
                <w:lang w:eastAsia="lv-LV"/>
              </w:rPr>
              <w:t>Cita informācija</w:t>
            </w:r>
          </w:p>
        </w:tc>
        <w:tc>
          <w:tcPr>
            <w:tcW w:w="3262" w:type="pct"/>
            <w:tcBorders>
              <w:top w:val="outset" w:sz="6" w:space="0" w:color="auto"/>
              <w:left w:val="outset" w:sz="6" w:space="0" w:color="auto"/>
              <w:bottom w:val="outset" w:sz="6" w:space="0" w:color="auto"/>
              <w:right w:val="outset" w:sz="6" w:space="0" w:color="auto"/>
            </w:tcBorders>
            <w:hideMark/>
          </w:tcPr>
          <w:p w:rsidR="00F20146" w:rsidRPr="00C06725" w:rsidRDefault="003B60E0" w:rsidP="00013C48">
            <w:pPr>
              <w:spacing w:before="100" w:beforeAutospacing="1" w:after="100" w:afterAutospacing="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F20146" w:rsidRDefault="00F20146" w:rsidP="0030306F">
      <w:pPr>
        <w:spacing w:after="0" w:line="240" w:lineRule="auto"/>
        <w:rPr>
          <w:rFonts w:ascii="Times New Roman" w:eastAsia="Times New Roman" w:hAnsi="Times New Roman"/>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30306F" w:rsidRPr="005528BE" w:rsidTr="00E55447">
        <w:trPr>
          <w:trHeight w:val="381"/>
          <w:jc w:val="center"/>
        </w:trPr>
        <w:tc>
          <w:tcPr>
            <w:tcW w:w="9518" w:type="dxa"/>
            <w:gridSpan w:val="3"/>
            <w:vAlign w:val="center"/>
          </w:tcPr>
          <w:p w:rsidR="0030306F" w:rsidRPr="009F6788" w:rsidRDefault="0030306F" w:rsidP="00E55447">
            <w:pPr>
              <w:pStyle w:val="naisnod"/>
              <w:spacing w:before="0" w:beforeAutospacing="0" w:after="0" w:afterAutospacing="0"/>
              <w:ind w:right="57"/>
              <w:jc w:val="center"/>
              <w:rPr>
                <w:sz w:val="26"/>
                <w:szCs w:val="26"/>
              </w:rPr>
            </w:pPr>
            <w:r w:rsidRPr="009F6788">
              <w:rPr>
                <w:b/>
                <w:sz w:val="26"/>
                <w:szCs w:val="26"/>
              </w:rPr>
              <w:t>VII. Tiesību akta projekta izpildes nodrošināšana un tās ietekme uz institūcijām</w:t>
            </w:r>
          </w:p>
        </w:tc>
      </w:tr>
      <w:tr w:rsidR="0030306F" w:rsidRPr="005528BE" w:rsidTr="00E55447">
        <w:trPr>
          <w:trHeight w:val="427"/>
          <w:jc w:val="center"/>
        </w:trPr>
        <w:tc>
          <w:tcPr>
            <w:tcW w:w="437" w:type="dxa"/>
          </w:tcPr>
          <w:p w:rsidR="0030306F" w:rsidRPr="00756214" w:rsidRDefault="0030306F" w:rsidP="00E55447">
            <w:pPr>
              <w:pStyle w:val="naisnod"/>
              <w:spacing w:before="0" w:beforeAutospacing="0" w:after="0" w:afterAutospacing="0"/>
              <w:ind w:right="57"/>
              <w:jc w:val="both"/>
            </w:pPr>
            <w:r w:rsidRPr="00756214">
              <w:t>1.</w:t>
            </w:r>
          </w:p>
        </w:tc>
        <w:tc>
          <w:tcPr>
            <w:tcW w:w="2481" w:type="dxa"/>
          </w:tcPr>
          <w:p w:rsidR="0030306F" w:rsidRPr="00756214" w:rsidRDefault="0030306F" w:rsidP="00E55447">
            <w:pPr>
              <w:pStyle w:val="naisf"/>
              <w:spacing w:before="0" w:beforeAutospacing="0" w:after="0" w:afterAutospacing="0"/>
              <w:ind w:right="57"/>
              <w:jc w:val="both"/>
            </w:pPr>
            <w:r w:rsidRPr="00756214">
              <w:t>Projekta izpildē iesaistītās institūcijas</w:t>
            </w:r>
          </w:p>
        </w:tc>
        <w:tc>
          <w:tcPr>
            <w:tcW w:w="6600" w:type="dxa"/>
          </w:tcPr>
          <w:p w:rsidR="0030306F" w:rsidRPr="005528BE" w:rsidRDefault="00BD652B" w:rsidP="00E55447">
            <w:pPr>
              <w:shd w:val="clear" w:color="auto" w:fill="FFFFFF"/>
              <w:spacing w:after="0" w:line="240" w:lineRule="auto"/>
              <w:jc w:val="both"/>
              <w:rPr>
                <w:rFonts w:ascii="Times New Roman" w:hAnsi="Times New Roman"/>
                <w:sz w:val="24"/>
                <w:szCs w:val="24"/>
                <w:lang w:eastAsia="lv-LV"/>
              </w:rPr>
            </w:pPr>
            <w:r w:rsidRPr="005528BE">
              <w:rPr>
                <w:rFonts w:ascii="Times New Roman" w:hAnsi="Times New Roman"/>
                <w:sz w:val="24"/>
                <w:szCs w:val="24"/>
                <w:lang w:eastAsia="lv-LV"/>
              </w:rPr>
              <w:t>Finanšu ministrija</w:t>
            </w:r>
            <w:r w:rsidR="007907B7">
              <w:rPr>
                <w:rFonts w:ascii="Times New Roman" w:hAnsi="Times New Roman"/>
                <w:sz w:val="24"/>
                <w:szCs w:val="24"/>
                <w:lang w:eastAsia="lv-LV"/>
              </w:rPr>
              <w:t>, Valsts ieņēmumu dienests.</w:t>
            </w:r>
          </w:p>
        </w:tc>
      </w:tr>
      <w:tr w:rsidR="0030306F" w:rsidRPr="005528BE" w:rsidTr="00E55447">
        <w:trPr>
          <w:trHeight w:val="463"/>
          <w:jc w:val="center"/>
        </w:trPr>
        <w:tc>
          <w:tcPr>
            <w:tcW w:w="437" w:type="dxa"/>
          </w:tcPr>
          <w:p w:rsidR="0030306F" w:rsidRPr="00756214" w:rsidRDefault="0030306F" w:rsidP="00E55447">
            <w:pPr>
              <w:pStyle w:val="naisnod"/>
              <w:spacing w:before="0" w:beforeAutospacing="0" w:after="0" w:afterAutospacing="0"/>
              <w:ind w:right="57"/>
              <w:jc w:val="both"/>
            </w:pPr>
            <w:r w:rsidRPr="00756214">
              <w:t>2.</w:t>
            </w:r>
          </w:p>
        </w:tc>
        <w:tc>
          <w:tcPr>
            <w:tcW w:w="2481" w:type="dxa"/>
          </w:tcPr>
          <w:p w:rsidR="0030306F" w:rsidRPr="00756214" w:rsidRDefault="0030306F" w:rsidP="00E55447">
            <w:pPr>
              <w:pStyle w:val="naisf"/>
              <w:spacing w:before="0" w:beforeAutospacing="0" w:after="0" w:afterAutospacing="0"/>
              <w:ind w:right="57"/>
              <w:contextualSpacing/>
              <w:jc w:val="both"/>
            </w:pPr>
            <w:r w:rsidRPr="00756214">
              <w:t>Projekta izpildes ietekme uz pār</w:t>
            </w:r>
            <w:r w:rsidRPr="00756214">
              <w:softHyphen/>
              <w:t>valdes funkcijām un institucionālo struktūru.</w:t>
            </w:r>
          </w:p>
          <w:p w:rsidR="0030306F" w:rsidRPr="00756214" w:rsidRDefault="0030306F" w:rsidP="00E55447">
            <w:pPr>
              <w:pStyle w:val="naisf"/>
              <w:spacing w:before="0" w:beforeAutospacing="0" w:after="0" w:afterAutospacing="0"/>
              <w:ind w:right="57"/>
              <w:contextualSpacing/>
              <w:jc w:val="both"/>
            </w:pPr>
            <w:r w:rsidRPr="00756214">
              <w:t>Jaunu institūciju izveide, esošu institūciju likvidācija vai reorga</w:t>
            </w:r>
            <w:r w:rsidRPr="00756214">
              <w:softHyphen/>
              <w:t xml:space="preserve">nizācija, to ietekme uz </w:t>
            </w:r>
            <w:r w:rsidRPr="00756214">
              <w:lastRenderedPageBreak/>
              <w:t>institūcijas cilvēkresursiem</w:t>
            </w:r>
          </w:p>
        </w:tc>
        <w:tc>
          <w:tcPr>
            <w:tcW w:w="6600" w:type="dxa"/>
          </w:tcPr>
          <w:p w:rsidR="000D0630" w:rsidRPr="00EE0849" w:rsidRDefault="000D0630" w:rsidP="000D0630">
            <w:pPr>
              <w:pStyle w:val="naisnod"/>
              <w:jc w:val="both"/>
              <w:rPr>
                <w:b/>
                <w:color w:val="000000" w:themeColor="text1"/>
              </w:rPr>
            </w:pPr>
            <w:r w:rsidRPr="000D0630">
              <w:rPr>
                <w:color w:val="000000" w:themeColor="text1"/>
              </w:rPr>
              <w:lastRenderedPageBreak/>
              <w:t>Iesaistītās institūcijas n</w:t>
            </w:r>
            <w:r w:rsidRPr="00EE0849">
              <w:rPr>
                <w:color w:val="000000" w:themeColor="text1"/>
              </w:rPr>
              <w:t>oteikumu projekta izpildi nodrošina to esošo funkciju un uzdevumus ietvaros.</w:t>
            </w:r>
          </w:p>
          <w:p w:rsidR="0030306F" w:rsidRPr="005528BE" w:rsidRDefault="000D0630" w:rsidP="00E55447">
            <w:pPr>
              <w:shd w:val="clear" w:color="auto" w:fill="FFFFFF"/>
              <w:spacing w:after="0" w:line="240" w:lineRule="auto"/>
              <w:jc w:val="both"/>
              <w:rPr>
                <w:rFonts w:ascii="Times New Roman" w:hAnsi="Times New Roman"/>
                <w:sz w:val="24"/>
                <w:szCs w:val="24"/>
                <w:lang w:val="en-US" w:eastAsia="lv-LV"/>
              </w:rPr>
            </w:pPr>
            <w:r w:rsidRPr="00EE0849">
              <w:rPr>
                <w:rFonts w:ascii="Times New Roman" w:hAnsi="Times New Roman"/>
                <w:color w:val="000000" w:themeColor="text1"/>
                <w:sz w:val="24"/>
                <w:szCs w:val="24"/>
              </w:rPr>
              <w:t>Noteikumu projekta izpildei nav nepieciešams radīt jaunas vai likvidēt esošās institūcijas, kā arī nav nepieciešams reorganizēt esošās institūcijas.</w:t>
            </w:r>
          </w:p>
        </w:tc>
      </w:tr>
      <w:tr w:rsidR="0030306F" w:rsidRPr="005528BE" w:rsidTr="00E55447">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30306F" w:rsidRPr="00756214" w:rsidRDefault="0030306F" w:rsidP="00E55447">
            <w:pPr>
              <w:pStyle w:val="naisnod"/>
              <w:spacing w:before="0" w:beforeAutospacing="0" w:after="0" w:afterAutospacing="0"/>
              <w:ind w:right="57"/>
              <w:jc w:val="both"/>
            </w:pPr>
            <w:r w:rsidRPr="00756214">
              <w:lastRenderedPageBreak/>
              <w:t>3.</w:t>
            </w:r>
          </w:p>
        </w:tc>
        <w:tc>
          <w:tcPr>
            <w:tcW w:w="2481" w:type="dxa"/>
            <w:tcBorders>
              <w:top w:val="single" w:sz="4" w:space="0" w:color="auto"/>
              <w:left w:val="single" w:sz="4" w:space="0" w:color="auto"/>
              <w:bottom w:val="single" w:sz="4" w:space="0" w:color="auto"/>
              <w:right w:val="single" w:sz="4" w:space="0" w:color="auto"/>
            </w:tcBorders>
          </w:tcPr>
          <w:p w:rsidR="0030306F" w:rsidRPr="00756214" w:rsidRDefault="0030306F" w:rsidP="00E55447">
            <w:pPr>
              <w:pStyle w:val="naisf"/>
              <w:spacing w:before="0" w:beforeAutospacing="0" w:after="0" w:afterAutospacing="0"/>
              <w:ind w:right="57"/>
              <w:jc w:val="both"/>
            </w:pPr>
            <w:r w:rsidRPr="00756214">
              <w:t>Cita informācija</w:t>
            </w:r>
          </w:p>
        </w:tc>
        <w:tc>
          <w:tcPr>
            <w:tcW w:w="6600" w:type="dxa"/>
            <w:tcBorders>
              <w:top w:val="single" w:sz="4" w:space="0" w:color="auto"/>
              <w:left w:val="single" w:sz="4" w:space="0" w:color="auto"/>
              <w:bottom w:val="single" w:sz="4" w:space="0" w:color="auto"/>
              <w:right w:val="single" w:sz="4" w:space="0" w:color="auto"/>
            </w:tcBorders>
          </w:tcPr>
          <w:p w:rsidR="0030306F" w:rsidRPr="005528BE" w:rsidRDefault="0030306F" w:rsidP="00E55447">
            <w:pPr>
              <w:spacing w:after="0" w:line="240" w:lineRule="auto"/>
              <w:ind w:right="57"/>
              <w:jc w:val="both"/>
              <w:rPr>
                <w:rFonts w:ascii="Times New Roman" w:hAnsi="Times New Roman"/>
                <w:sz w:val="24"/>
                <w:szCs w:val="24"/>
                <w:lang w:eastAsia="lv-LV"/>
              </w:rPr>
            </w:pPr>
            <w:r w:rsidRPr="005528BE">
              <w:rPr>
                <w:rFonts w:ascii="Times New Roman" w:hAnsi="Times New Roman"/>
                <w:sz w:val="24"/>
                <w:szCs w:val="24"/>
              </w:rPr>
              <w:t>Nav.</w:t>
            </w:r>
          </w:p>
        </w:tc>
      </w:tr>
    </w:tbl>
    <w:p w:rsidR="000D0630" w:rsidRPr="00427742" w:rsidRDefault="000D0630" w:rsidP="000D0630">
      <w:pPr>
        <w:pStyle w:val="naisf"/>
        <w:spacing w:before="0" w:after="0"/>
        <w:rPr>
          <w:i/>
          <w:sz w:val="26"/>
          <w:szCs w:val="26"/>
        </w:rPr>
      </w:pPr>
      <w:r w:rsidRPr="00427742">
        <w:rPr>
          <w:i/>
          <w:sz w:val="26"/>
          <w:szCs w:val="26"/>
        </w:rPr>
        <w:t>Anotācijas III,  IV un V sadaļa – projekts šo jomu neskar.</w:t>
      </w:r>
    </w:p>
    <w:p w:rsidR="0030306F" w:rsidRPr="00756214" w:rsidRDefault="0030306F" w:rsidP="0030306F">
      <w:pPr>
        <w:spacing w:after="0" w:line="240" w:lineRule="auto"/>
        <w:jc w:val="both"/>
        <w:rPr>
          <w:rFonts w:ascii="Times New Roman" w:eastAsia="Times New Roman" w:hAnsi="Times New Roman"/>
          <w:sz w:val="24"/>
          <w:szCs w:val="24"/>
          <w:lang w:eastAsia="lv-LV"/>
        </w:rPr>
      </w:pPr>
    </w:p>
    <w:p w:rsidR="006F08B4" w:rsidRDefault="006F08B4" w:rsidP="0030306F">
      <w:pPr>
        <w:spacing w:after="0" w:line="240" w:lineRule="auto"/>
        <w:ind w:firstLine="720"/>
        <w:jc w:val="both"/>
        <w:rPr>
          <w:rFonts w:ascii="Times New Roman" w:eastAsia="Times New Roman" w:hAnsi="Times New Roman"/>
          <w:sz w:val="28"/>
          <w:szCs w:val="28"/>
          <w:lang w:eastAsia="lv-LV"/>
        </w:rPr>
      </w:pPr>
    </w:p>
    <w:p w:rsidR="0030306F" w:rsidRPr="006B12EA" w:rsidRDefault="006B12EA" w:rsidP="006B12E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30306F" w:rsidRPr="006B12EA">
        <w:rPr>
          <w:rFonts w:ascii="Times New Roman" w:eastAsia="Times New Roman" w:hAnsi="Times New Roman"/>
          <w:sz w:val="24"/>
          <w:szCs w:val="24"/>
          <w:lang w:eastAsia="lv-LV"/>
        </w:rPr>
        <w:t>Finanšu ministr</w:t>
      </w:r>
      <w:r w:rsidR="00634531" w:rsidRPr="006B12EA">
        <w:rPr>
          <w:rFonts w:ascii="Times New Roman" w:eastAsia="Times New Roman" w:hAnsi="Times New Roman"/>
          <w:sz w:val="24"/>
          <w:szCs w:val="24"/>
          <w:lang w:eastAsia="lv-LV"/>
        </w:rPr>
        <w:t>e</w:t>
      </w:r>
      <w:r w:rsidR="0030306F" w:rsidRPr="006B12EA">
        <w:rPr>
          <w:rFonts w:ascii="Times New Roman" w:eastAsia="Times New Roman" w:hAnsi="Times New Roman"/>
          <w:sz w:val="24"/>
          <w:szCs w:val="24"/>
          <w:lang w:eastAsia="lv-LV"/>
        </w:rPr>
        <w:tab/>
      </w:r>
      <w:r w:rsidR="0030306F" w:rsidRPr="006B12EA">
        <w:rPr>
          <w:rFonts w:ascii="Times New Roman" w:eastAsia="Times New Roman" w:hAnsi="Times New Roman"/>
          <w:sz w:val="24"/>
          <w:szCs w:val="24"/>
          <w:lang w:eastAsia="lv-LV"/>
        </w:rPr>
        <w:tab/>
        <w:t xml:space="preserve">           </w:t>
      </w:r>
      <w:r w:rsidR="0030306F" w:rsidRPr="006B12EA">
        <w:rPr>
          <w:rFonts w:ascii="Times New Roman" w:eastAsia="Times New Roman" w:hAnsi="Times New Roman"/>
          <w:sz w:val="24"/>
          <w:szCs w:val="24"/>
          <w:lang w:eastAsia="lv-LV"/>
        </w:rPr>
        <w:tab/>
      </w:r>
      <w:r w:rsidR="0030306F" w:rsidRPr="006B12EA">
        <w:rPr>
          <w:rFonts w:ascii="Times New Roman" w:eastAsia="Times New Roman" w:hAnsi="Times New Roman"/>
          <w:sz w:val="24"/>
          <w:szCs w:val="24"/>
          <w:lang w:eastAsia="lv-LV"/>
        </w:rPr>
        <w:tab/>
      </w:r>
      <w:r w:rsidR="0030306F" w:rsidRPr="006B12EA">
        <w:rPr>
          <w:rFonts w:ascii="Times New Roman" w:eastAsia="Times New Roman" w:hAnsi="Times New Roman"/>
          <w:sz w:val="24"/>
          <w:szCs w:val="24"/>
          <w:lang w:eastAsia="lv-LV"/>
        </w:rPr>
        <w:tab/>
      </w:r>
      <w:proofErr w:type="spellStart"/>
      <w:r w:rsidR="005605FA" w:rsidRPr="006B12EA">
        <w:rPr>
          <w:rFonts w:ascii="Times New Roman" w:eastAsia="Times New Roman" w:hAnsi="Times New Roman"/>
          <w:sz w:val="24"/>
          <w:szCs w:val="24"/>
          <w:lang w:eastAsia="lv-LV"/>
        </w:rPr>
        <w:t>D.Reizniece</w:t>
      </w:r>
      <w:proofErr w:type="spellEnd"/>
      <w:r w:rsidR="005605FA" w:rsidRPr="006B12EA">
        <w:rPr>
          <w:rFonts w:ascii="Times New Roman" w:eastAsia="Times New Roman" w:hAnsi="Times New Roman"/>
          <w:sz w:val="24"/>
          <w:szCs w:val="24"/>
          <w:lang w:eastAsia="lv-LV"/>
        </w:rPr>
        <w:t>-Ozola</w:t>
      </w:r>
    </w:p>
    <w:p w:rsidR="006F08B4" w:rsidRPr="006B12EA" w:rsidRDefault="006F08B4" w:rsidP="00CD670E">
      <w:pPr>
        <w:pStyle w:val="Footer"/>
        <w:rPr>
          <w:rFonts w:ascii="Times New Roman" w:hAnsi="Times New Roman"/>
          <w:sz w:val="24"/>
          <w:szCs w:val="24"/>
        </w:rPr>
      </w:pPr>
    </w:p>
    <w:p w:rsidR="00652D68" w:rsidRPr="006B12EA" w:rsidRDefault="00652D68" w:rsidP="00CD670E">
      <w:pPr>
        <w:pStyle w:val="Footer"/>
        <w:rPr>
          <w:rFonts w:ascii="Times New Roman" w:hAnsi="Times New Roman"/>
          <w:sz w:val="24"/>
          <w:szCs w:val="24"/>
        </w:rPr>
      </w:pPr>
    </w:p>
    <w:p w:rsidR="00652D68" w:rsidRDefault="00652D68" w:rsidP="00CD670E">
      <w:pPr>
        <w:pStyle w:val="Footer"/>
        <w:rPr>
          <w:rFonts w:ascii="Times New Roman" w:hAnsi="Times New Roman"/>
          <w:sz w:val="20"/>
          <w:szCs w:val="20"/>
        </w:rPr>
      </w:pPr>
      <w:r>
        <w:rPr>
          <w:rFonts w:ascii="Times New Roman" w:hAnsi="Times New Roman"/>
          <w:sz w:val="20"/>
          <w:szCs w:val="20"/>
        </w:rPr>
        <w:tab/>
      </w:r>
    </w:p>
    <w:p w:rsidR="006F08B4" w:rsidRDefault="006F08B4" w:rsidP="00CD670E">
      <w:pPr>
        <w:pStyle w:val="Footer"/>
        <w:rPr>
          <w:rFonts w:ascii="Times New Roman" w:hAnsi="Times New Roman"/>
          <w:sz w:val="20"/>
          <w:szCs w:val="20"/>
        </w:rPr>
      </w:pPr>
    </w:p>
    <w:p w:rsidR="00CD670E" w:rsidRPr="00CF725C" w:rsidRDefault="007B7EFA" w:rsidP="00CD670E">
      <w:pPr>
        <w:pStyle w:val="Footer"/>
        <w:rPr>
          <w:rFonts w:ascii="Times New Roman" w:hAnsi="Times New Roman"/>
          <w:sz w:val="20"/>
          <w:szCs w:val="20"/>
        </w:rPr>
      </w:pPr>
      <w:r>
        <w:rPr>
          <w:rFonts w:ascii="Times New Roman" w:hAnsi="Times New Roman"/>
          <w:sz w:val="20"/>
          <w:szCs w:val="20"/>
        </w:rPr>
        <w:t>0</w:t>
      </w:r>
      <w:r w:rsidR="00CB3663">
        <w:rPr>
          <w:rFonts w:ascii="Times New Roman" w:hAnsi="Times New Roman"/>
          <w:sz w:val="20"/>
          <w:szCs w:val="20"/>
        </w:rPr>
        <w:t>6</w:t>
      </w:r>
      <w:r w:rsidR="003B60E0">
        <w:rPr>
          <w:rFonts w:ascii="Times New Roman" w:hAnsi="Times New Roman"/>
          <w:sz w:val="20"/>
          <w:szCs w:val="20"/>
        </w:rPr>
        <w:t>.0</w:t>
      </w:r>
      <w:r>
        <w:rPr>
          <w:rFonts w:ascii="Times New Roman" w:hAnsi="Times New Roman"/>
          <w:sz w:val="20"/>
          <w:szCs w:val="20"/>
        </w:rPr>
        <w:t>6</w:t>
      </w:r>
      <w:r w:rsidR="003B60E0">
        <w:rPr>
          <w:rFonts w:ascii="Times New Roman" w:hAnsi="Times New Roman"/>
          <w:sz w:val="20"/>
          <w:szCs w:val="20"/>
        </w:rPr>
        <w:t>.2016</w:t>
      </w:r>
      <w:r w:rsidR="00CD670E" w:rsidRPr="00CF725C">
        <w:rPr>
          <w:rFonts w:ascii="Times New Roman" w:hAnsi="Times New Roman"/>
          <w:sz w:val="20"/>
          <w:szCs w:val="20"/>
        </w:rPr>
        <w:t>.</w:t>
      </w:r>
    </w:p>
    <w:p w:rsidR="000E23A6" w:rsidRDefault="001821CE" w:rsidP="00CD670E">
      <w:pPr>
        <w:pStyle w:val="Footer"/>
        <w:rPr>
          <w:rFonts w:ascii="Times New Roman" w:hAnsi="Times New Roman"/>
          <w:sz w:val="20"/>
          <w:szCs w:val="20"/>
        </w:rPr>
      </w:pPr>
      <w:r>
        <w:rPr>
          <w:rFonts w:ascii="Times New Roman" w:hAnsi="Times New Roman"/>
          <w:sz w:val="20"/>
          <w:szCs w:val="20"/>
        </w:rPr>
        <w:t>961</w:t>
      </w:r>
    </w:p>
    <w:p w:rsidR="00CD670E" w:rsidRPr="00CF725C" w:rsidRDefault="00CD670E" w:rsidP="00CD670E">
      <w:pPr>
        <w:pStyle w:val="Footer"/>
        <w:rPr>
          <w:rFonts w:ascii="Times New Roman" w:hAnsi="Times New Roman"/>
          <w:sz w:val="20"/>
          <w:szCs w:val="20"/>
        </w:rPr>
      </w:pPr>
      <w:r>
        <w:rPr>
          <w:rFonts w:ascii="Times New Roman" w:hAnsi="Times New Roman"/>
          <w:sz w:val="20"/>
          <w:szCs w:val="20"/>
        </w:rPr>
        <w:t>Šaknere</w:t>
      </w:r>
      <w:r w:rsidRPr="00CF725C">
        <w:rPr>
          <w:rFonts w:ascii="Times New Roman" w:hAnsi="Times New Roman"/>
          <w:sz w:val="20"/>
          <w:szCs w:val="20"/>
        </w:rPr>
        <w:t>, 670956</w:t>
      </w:r>
      <w:r>
        <w:rPr>
          <w:rFonts w:ascii="Times New Roman" w:hAnsi="Times New Roman"/>
          <w:sz w:val="20"/>
          <w:szCs w:val="20"/>
        </w:rPr>
        <w:t>18</w:t>
      </w:r>
    </w:p>
    <w:p w:rsidR="00C500AE" w:rsidRPr="007B1363" w:rsidRDefault="00AD7532" w:rsidP="007B1363">
      <w:hyperlink r:id="rId11" w:history="1">
        <w:r w:rsidR="00CD670E" w:rsidRPr="00CD670E">
          <w:rPr>
            <w:rStyle w:val="Hyperlink"/>
            <w:rFonts w:ascii="Times New Roman" w:hAnsi="Times New Roman"/>
          </w:rPr>
          <w:t>Dina.Saknere@fm.gov.lv</w:t>
        </w:r>
      </w:hyperlink>
    </w:p>
    <w:sectPr w:rsidR="00C500AE" w:rsidRPr="007B1363" w:rsidSect="00E55447">
      <w:headerReference w:type="default" r:id="rId12"/>
      <w:footerReference w:type="default" r:id="rId13"/>
      <w:headerReference w:type="first" r:id="rId14"/>
      <w:footerReference w:type="first" r:id="rId15"/>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10" w:rsidRDefault="00BB2910">
      <w:pPr>
        <w:spacing w:after="0" w:line="240" w:lineRule="auto"/>
      </w:pPr>
      <w:r>
        <w:separator/>
      </w:r>
    </w:p>
  </w:endnote>
  <w:endnote w:type="continuationSeparator" w:id="0">
    <w:p w:rsidR="00BB2910" w:rsidRDefault="00BB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F1" w:rsidRPr="003B60E0" w:rsidRDefault="003675C1" w:rsidP="00CE59F1">
    <w:pPr>
      <w:pStyle w:val="naisf"/>
      <w:spacing w:before="0" w:beforeAutospacing="0" w:after="0" w:afterAutospacing="0"/>
      <w:jc w:val="both"/>
      <w:rPr>
        <w:rFonts w:eastAsia="Calibri"/>
        <w:bCs/>
        <w:sz w:val="20"/>
        <w:szCs w:val="20"/>
        <w:lang w:eastAsia="x-none"/>
      </w:rPr>
    </w:pPr>
    <w:r w:rsidRPr="003B60E0">
      <w:rPr>
        <w:sz w:val="20"/>
        <w:szCs w:val="20"/>
      </w:rPr>
      <w:t>FMAnot_</w:t>
    </w:r>
    <w:r w:rsidR="00B222B2">
      <w:rPr>
        <w:sz w:val="20"/>
        <w:szCs w:val="20"/>
      </w:rPr>
      <w:t>0</w:t>
    </w:r>
    <w:r w:rsidR="005A6F00">
      <w:rPr>
        <w:sz w:val="20"/>
        <w:szCs w:val="20"/>
      </w:rPr>
      <w:t>6</w:t>
    </w:r>
    <w:r w:rsidR="00B222B2">
      <w:rPr>
        <w:sz w:val="20"/>
        <w:szCs w:val="20"/>
      </w:rPr>
      <w:t>06</w:t>
    </w:r>
    <w:r w:rsidR="00EE0849" w:rsidRPr="003B60E0">
      <w:rPr>
        <w:sz w:val="20"/>
        <w:szCs w:val="20"/>
      </w:rPr>
      <w:t>16</w:t>
    </w:r>
    <w:r w:rsidRPr="003B60E0">
      <w:rPr>
        <w:sz w:val="20"/>
        <w:szCs w:val="20"/>
      </w:rPr>
      <w:t>_</w:t>
    </w:r>
    <w:r w:rsidR="003B60E0" w:rsidRPr="003B60E0">
      <w:rPr>
        <w:sz w:val="20"/>
        <w:szCs w:val="20"/>
      </w:rPr>
      <w:t>EDSNoteikumi</w:t>
    </w:r>
    <w:r w:rsidRPr="003B60E0">
      <w:rPr>
        <w:sz w:val="20"/>
        <w:szCs w:val="20"/>
      </w:rPr>
      <w:t>;</w:t>
    </w:r>
    <w:r w:rsidR="003B60E0">
      <w:rPr>
        <w:sz w:val="20"/>
        <w:szCs w:val="20"/>
      </w:rPr>
      <w:t xml:space="preserve"> </w:t>
    </w:r>
    <w:r w:rsidR="003B60E0" w:rsidRPr="003B60E0">
      <w:rPr>
        <w:rFonts w:eastAsia="Calibri"/>
        <w:bCs/>
        <w:sz w:val="20"/>
        <w:szCs w:val="20"/>
        <w:lang w:eastAsia="x-none"/>
      </w:rPr>
      <w:t>Ministru kabineta noteikumu projekta “</w:t>
    </w:r>
    <w:r w:rsidR="003B60E0" w:rsidRPr="003B60E0">
      <w:rPr>
        <w:sz w:val="20"/>
        <w:szCs w:val="20"/>
      </w:rPr>
      <w:t>Noteikumi par sabiedrību sagatavoto finanšu pārskatu vai konsolidēto finanšu pārskatu elektroniskā noraksta formu</w:t>
    </w:r>
    <w:r w:rsidR="00CE59F1" w:rsidRPr="003B60E0">
      <w:rPr>
        <w:rFonts w:eastAsia="Calibri"/>
        <w:bCs/>
        <w:sz w:val="20"/>
        <w:szCs w:val="20"/>
        <w:lang w:eastAsia="x-none"/>
      </w:rPr>
      <w:t>” sākotnējās ietekmes novērtējuma ziņojums (anotācija)</w:t>
    </w:r>
  </w:p>
  <w:p w:rsidR="00CE59F1" w:rsidRPr="001E019F" w:rsidRDefault="00CE59F1" w:rsidP="00CE59F1">
    <w:pPr>
      <w:pStyle w:val="Footer"/>
    </w:pPr>
  </w:p>
  <w:p w:rsidR="00E55447" w:rsidRPr="00CE59F1" w:rsidRDefault="00E55447" w:rsidP="00CE5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E0" w:rsidRPr="003B60E0" w:rsidRDefault="003B60E0" w:rsidP="003B60E0">
    <w:pPr>
      <w:pStyle w:val="naisf"/>
      <w:spacing w:before="0" w:beforeAutospacing="0" w:after="0" w:afterAutospacing="0"/>
      <w:jc w:val="both"/>
      <w:rPr>
        <w:rFonts w:eastAsia="Calibri"/>
        <w:bCs/>
        <w:sz w:val="20"/>
        <w:szCs w:val="20"/>
        <w:lang w:eastAsia="x-none"/>
      </w:rPr>
    </w:pPr>
    <w:r w:rsidRPr="003B60E0">
      <w:rPr>
        <w:sz w:val="20"/>
        <w:szCs w:val="20"/>
      </w:rPr>
      <w:t>FMAnot_</w:t>
    </w:r>
    <w:r w:rsidR="00B222B2">
      <w:rPr>
        <w:sz w:val="20"/>
        <w:szCs w:val="20"/>
      </w:rPr>
      <w:t>0</w:t>
    </w:r>
    <w:r w:rsidR="005A6F00">
      <w:rPr>
        <w:sz w:val="20"/>
        <w:szCs w:val="20"/>
      </w:rPr>
      <w:t>6</w:t>
    </w:r>
    <w:r w:rsidR="00B222B2">
      <w:rPr>
        <w:sz w:val="20"/>
        <w:szCs w:val="20"/>
      </w:rPr>
      <w:t>06</w:t>
    </w:r>
    <w:r w:rsidR="00410B44" w:rsidRPr="003B60E0">
      <w:rPr>
        <w:sz w:val="20"/>
        <w:szCs w:val="20"/>
      </w:rPr>
      <w:t>16</w:t>
    </w:r>
    <w:r w:rsidRPr="003B60E0">
      <w:rPr>
        <w:sz w:val="20"/>
        <w:szCs w:val="20"/>
      </w:rPr>
      <w:t>_EDSNoteikumi;</w:t>
    </w:r>
    <w:r>
      <w:rPr>
        <w:sz w:val="20"/>
        <w:szCs w:val="20"/>
      </w:rPr>
      <w:t xml:space="preserve"> </w:t>
    </w:r>
    <w:r w:rsidRPr="003B60E0">
      <w:rPr>
        <w:rFonts w:eastAsia="Calibri"/>
        <w:bCs/>
        <w:sz w:val="20"/>
        <w:szCs w:val="20"/>
        <w:lang w:eastAsia="x-none"/>
      </w:rPr>
      <w:t>Ministru kabineta noteikumu projekta “</w:t>
    </w:r>
    <w:r w:rsidRPr="003B60E0">
      <w:rPr>
        <w:sz w:val="20"/>
        <w:szCs w:val="20"/>
      </w:rPr>
      <w:t>Noteikumi par sabiedrību sagatavoto finanšu pārskatu vai konsolidēto finanšu pārskatu elektroniskā noraksta formu</w:t>
    </w:r>
    <w:r w:rsidRPr="003B60E0">
      <w:rPr>
        <w:rFonts w:eastAsia="Calibri"/>
        <w:bCs/>
        <w:sz w:val="20"/>
        <w:szCs w:val="20"/>
        <w:lang w:eastAsia="x-none"/>
      </w:rPr>
      <w:t>” sākotnējās ietekmes novērtējuma ziņojums (anotācija)</w:t>
    </w:r>
  </w:p>
  <w:p w:rsidR="00E55447" w:rsidRPr="001E019F" w:rsidRDefault="00E55447" w:rsidP="001E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10" w:rsidRDefault="00BB2910">
      <w:pPr>
        <w:spacing w:after="0" w:line="240" w:lineRule="auto"/>
      </w:pPr>
      <w:r>
        <w:separator/>
      </w:r>
    </w:p>
  </w:footnote>
  <w:footnote w:type="continuationSeparator" w:id="0">
    <w:p w:rsidR="00BB2910" w:rsidRDefault="00BB2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47" w:rsidRDefault="00A14AA3">
    <w:pPr>
      <w:pStyle w:val="Header"/>
      <w:jc w:val="center"/>
    </w:pPr>
    <w:r>
      <w:fldChar w:fldCharType="begin"/>
    </w:r>
    <w:r>
      <w:instrText xml:space="preserve"> PAGE   \* MERGEFORMAT </w:instrText>
    </w:r>
    <w:r>
      <w:fldChar w:fldCharType="separate"/>
    </w:r>
    <w:r w:rsidR="00AD7532">
      <w:rPr>
        <w:noProof/>
      </w:rPr>
      <w:t>3</w:t>
    </w:r>
    <w:r>
      <w:rPr>
        <w:noProof/>
      </w:rPr>
      <w:fldChar w:fldCharType="end"/>
    </w:r>
  </w:p>
  <w:p w:rsidR="00E55447" w:rsidRDefault="00E5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80" w:rsidRDefault="00EF3D80">
    <w:pPr>
      <w:pStyle w:val="Header"/>
      <w:jc w:val="center"/>
    </w:pPr>
  </w:p>
  <w:p w:rsidR="00EF3D80" w:rsidRDefault="00EF3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27EFF"/>
    <w:multiLevelType w:val="hybridMultilevel"/>
    <w:tmpl w:val="6706EF94"/>
    <w:lvl w:ilvl="0" w:tplc="430EDB66">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1">
    <w:nsid w:val="49494A95"/>
    <w:multiLevelType w:val="hybridMultilevel"/>
    <w:tmpl w:val="4752625E"/>
    <w:lvl w:ilvl="0" w:tplc="9F74A18E">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C92653E"/>
    <w:multiLevelType w:val="multilevel"/>
    <w:tmpl w:val="EE4A542C"/>
    <w:lvl w:ilvl="0">
      <w:start w:val="1"/>
      <w:numFmt w:val="decimal"/>
      <w:lvlText w:val="%1."/>
      <w:lvlJc w:val="left"/>
      <w:pPr>
        <w:tabs>
          <w:tab w:val="num" w:pos="360"/>
        </w:tabs>
        <w:ind w:left="360" w:hanging="360"/>
      </w:pPr>
      <w:rPr>
        <w:rFonts w:cs="Times New Roman"/>
        <w:b w:val="0"/>
        <w:i w:val="0"/>
        <w:color w:val="auto"/>
        <w:sz w:val="20"/>
        <w:szCs w:val="20"/>
      </w:rPr>
    </w:lvl>
    <w:lvl w:ilvl="1">
      <w:start w:val="1"/>
      <w:numFmt w:val="decimal"/>
      <w:lvlText w:val="%1.%2."/>
      <w:lvlJc w:val="left"/>
      <w:pPr>
        <w:tabs>
          <w:tab w:val="num" w:pos="432"/>
        </w:tabs>
        <w:ind w:left="432" w:hanging="432"/>
      </w:pPr>
      <w:rPr>
        <w:rFonts w:ascii="Times New Roman" w:hAnsi="Times New Roman" w:cs="Times New Roman" w:hint="default"/>
        <w:b/>
        <w:i w:val="0"/>
        <w:color w:val="auto"/>
        <w:sz w:val="20"/>
        <w:szCs w:val="20"/>
      </w:rPr>
    </w:lvl>
    <w:lvl w:ilvl="2">
      <w:start w:val="1"/>
      <w:numFmt w:val="decimal"/>
      <w:lvlText w:val="%1.%2.%3."/>
      <w:lvlJc w:val="left"/>
      <w:pPr>
        <w:tabs>
          <w:tab w:val="num" w:pos="2564"/>
        </w:tabs>
        <w:ind w:left="2348" w:hanging="504"/>
      </w:pPr>
      <w:rPr>
        <w:rFonts w:cs="Times New Roman"/>
        <w:b w:val="0"/>
        <w:i w:val="0"/>
        <w:color w:val="auto"/>
        <w:sz w:val="20"/>
        <w:szCs w:val="20"/>
      </w:rPr>
    </w:lvl>
    <w:lvl w:ilvl="3">
      <w:start w:val="1"/>
      <w:numFmt w:val="decimal"/>
      <w:lvlText w:val="%1.%2.%3.%4."/>
      <w:lvlJc w:val="left"/>
      <w:pPr>
        <w:tabs>
          <w:tab w:val="num" w:pos="1997"/>
        </w:tabs>
        <w:ind w:left="1925" w:hanging="648"/>
      </w:pPr>
      <w:rPr>
        <w:rFonts w:cs="Times New Roman"/>
        <w:b w:val="0"/>
        <w:i w:val="0"/>
        <w:sz w:val="20"/>
        <w:szCs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sz w:val="20"/>
        <w:szCs w:val="20"/>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7341510D"/>
    <w:multiLevelType w:val="hybridMultilevel"/>
    <w:tmpl w:val="9E525180"/>
    <w:lvl w:ilvl="0" w:tplc="BCBE38C8">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4">
    <w:nsid w:val="7BB513E4"/>
    <w:multiLevelType w:val="hybridMultilevel"/>
    <w:tmpl w:val="7124E8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6F"/>
    <w:rsid w:val="00013784"/>
    <w:rsid w:val="00013C48"/>
    <w:rsid w:val="00021042"/>
    <w:rsid w:val="00045D77"/>
    <w:rsid w:val="00050325"/>
    <w:rsid w:val="00050C70"/>
    <w:rsid w:val="000520DE"/>
    <w:rsid w:val="00077848"/>
    <w:rsid w:val="00085F31"/>
    <w:rsid w:val="0009139C"/>
    <w:rsid w:val="000914EB"/>
    <w:rsid w:val="000916B6"/>
    <w:rsid w:val="00094A5C"/>
    <w:rsid w:val="000A35C7"/>
    <w:rsid w:val="000B0111"/>
    <w:rsid w:val="000B29F7"/>
    <w:rsid w:val="000B5556"/>
    <w:rsid w:val="000C0AD7"/>
    <w:rsid w:val="000C28B4"/>
    <w:rsid w:val="000C56F3"/>
    <w:rsid w:val="000D0630"/>
    <w:rsid w:val="000D565C"/>
    <w:rsid w:val="000E23A6"/>
    <w:rsid w:val="000E550D"/>
    <w:rsid w:val="000E5F7F"/>
    <w:rsid w:val="000F4A99"/>
    <w:rsid w:val="001039EE"/>
    <w:rsid w:val="00130BDC"/>
    <w:rsid w:val="00131E7C"/>
    <w:rsid w:val="00176C2C"/>
    <w:rsid w:val="001815AF"/>
    <w:rsid w:val="00181DFB"/>
    <w:rsid w:val="001821CE"/>
    <w:rsid w:val="0018690E"/>
    <w:rsid w:val="0019415D"/>
    <w:rsid w:val="00194A07"/>
    <w:rsid w:val="001B0CED"/>
    <w:rsid w:val="001B3599"/>
    <w:rsid w:val="001C3B9B"/>
    <w:rsid w:val="001E019F"/>
    <w:rsid w:val="001F6882"/>
    <w:rsid w:val="002179AA"/>
    <w:rsid w:val="002211B4"/>
    <w:rsid w:val="0022400A"/>
    <w:rsid w:val="002263AD"/>
    <w:rsid w:val="002409C9"/>
    <w:rsid w:val="00240AF9"/>
    <w:rsid w:val="00243720"/>
    <w:rsid w:val="00245A05"/>
    <w:rsid w:val="00246FB7"/>
    <w:rsid w:val="00252461"/>
    <w:rsid w:val="00257C4A"/>
    <w:rsid w:val="00261F9C"/>
    <w:rsid w:val="00281BFC"/>
    <w:rsid w:val="002905A7"/>
    <w:rsid w:val="002935EA"/>
    <w:rsid w:val="002963F2"/>
    <w:rsid w:val="002A2361"/>
    <w:rsid w:val="002B2A4E"/>
    <w:rsid w:val="002C257E"/>
    <w:rsid w:val="002D078F"/>
    <w:rsid w:val="002F7A3C"/>
    <w:rsid w:val="00301E2F"/>
    <w:rsid w:val="0030306F"/>
    <w:rsid w:val="00304702"/>
    <w:rsid w:val="00313CE7"/>
    <w:rsid w:val="00316178"/>
    <w:rsid w:val="003220EB"/>
    <w:rsid w:val="00327A00"/>
    <w:rsid w:val="0035331A"/>
    <w:rsid w:val="0035540F"/>
    <w:rsid w:val="00357F9E"/>
    <w:rsid w:val="00361858"/>
    <w:rsid w:val="003675C1"/>
    <w:rsid w:val="0038638D"/>
    <w:rsid w:val="00396E5F"/>
    <w:rsid w:val="003B60E0"/>
    <w:rsid w:val="003C2103"/>
    <w:rsid w:val="003D42BF"/>
    <w:rsid w:val="003E0F66"/>
    <w:rsid w:val="003E2CDF"/>
    <w:rsid w:val="003E3912"/>
    <w:rsid w:val="003E3B50"/>
    <w:rsid w:val="003E5D9A"/>
    <w:rsid w:val="00410B44"/>
    <w:rsid w:val="00416D05"/>
    <w:rsid w:val="004367BD"/>
    <w:rsid w:val="00436E4D"/>
    <w:rsid w:val="004416D2"/>
    <w:rsid w:val="004624CE"/>
    <w:rsid w:val="004714E7"/>
    <w:rsid w:val="004859B2"/>
    <w:rsid w:val="0049772C"/>
    <w:rsid w:val="004D0FDB"/>
    <w:rsid w:val="004D6799"/>
    <w:rsid w:val="004E67CC"/>
    <w:rsid w:val="00511549"/>
    <w:rsid w:val="00511BC9"/>
    <w:rsid w:val="005243CB"/>
    <w:rsid w:val="00532F74"/>
    <w:rsid w:val="005528BE"/>
    <w:rsid w:val="005605FA"/>
    <w:rsid w:val="0056188D"/>
    <w:rsid w:val="005630CB"/>
    <w:rsid w:val="00564E7B"/>
    <w:rsid w:val="00581901"/>
    <w:rsid w:val="00582182"/>
    <w:rsid w:val="005A6F00"/>
    <w:rsid w:val="005B3FDC"/>
    <w:rsid w:val="005D0DE2"/>
    <w:rsid w:val="005E5523"/>
    <w:rsid w:val="00602894"/>
    <w:rsid w:val="00616764"/>
    <w:rsid w:val="00634531"/>
    <w:rsid w:val="006349BE"/>
    <w:rsid w:val="006470A5"/>
    <w:rsid w:val="00652D68"/>
    <w:rsid w:val="0065482E"/>
    <w:rsid w:val="00654D5F"/>
    <w:rsid w:val="00660F28"/>
    <w:rsid w:val="0068386F"/>
    <w:rsid w:val="006A3082"/>
    <w:rsid w:val="006A743D"/>
    <w:rsid w:val="006B1013"/>
    <w:rsid w:val="006B12EA"/>
    <w:rsid w:val="006B1425"/>
    <w:rsid w:val="006B7503"/>
    <w:rsid w:val="006C0D86"/>
    <w:rsid w:val="006C4831"/>
    <w:rsid w:val="006C7786"/>
    <w:rsid w:val="006D2AA7"/>
    <w:rsid w:val="006D5831"/>
    <w:rsid w:val="006D691A"/>
    <w:rsid w:val="006F08B4"/>
    <w:rsid w:val="006F18B6"/>
    <w:rsid w:val="006F45CD"/>
    <w:rsid w:val="00712B7B"/>
    <w:rsid w:val="0071557A"/>
    <w:rsid w:val="00715F1A"/>
    <w:rsid w:val="00716586"/>
    <w:rsid w:val="00716C7E"/>
    <w:rsid w:val="0073272E"/>
    <w:rsid w:val="00733D48"/>
    <w:rsid w:val="007340C7"/>
    <w:rsid w:val="007907B7"/>
    <w:rsid w:val="007A1847"/>
    <w:rsid w:val="007B1363"/>
    <w:rsid w:val="007B7EFA"/>
    <w:rsid w:val="007C0201"/>
    <w:rsid w:val="007E77AF"/>
    <w:rsid w:val="007F1784"/>
    <w:rsid w:val="007F4755"/>
    <w:rsid w:val="00804F9A"/>
    <w:rsid w:val="0082247C"/>
    <w:rsid w:val="0082767D"/>
    <w:rsid w:val="00845D58"/>
    <w:rsid w:val="0085151C"/>
    <w:rsid w:val="00861F7B"/>
    <w:rsid w:val="008650B0"/>
    <w:rsid w:val="00871B6B"/>
    <w:rsid w:val="00872B79"/>
    <w:rsid w:val="00873E51"/>
    <w:rsid w:val="00880DF3"/>
    <w:rsid w:val="008D08CC"/>
    <w:rsid w:val="008D1B29"/>
    <w:rsid w:val="008D3653"/>
    <w:rsid w:val="008E14B4"/>
    <w:rsid w:val="008F05C9"/>
    <w:rsid w:val="008F16DF"/>
    <w:rsid w:val="00917C87"/>
    <w:rsid w:val="009219EC"/>
    <w:rsid w:val="009357C4"/>
    <w:rsid w:val="00941EF3"/>
    <w:rsid w:val="0097795C"/>
    <w:rsid w:val="009956DE"/>
    <w:rsid w:val="009A272F"/>
    <w:rsid w:val="009A2E09"/>
    <w:rsid w:val="009B143B"/>
    <w:rsid w:val="009B1FC5"/>
    <w:rsid w:val="009C6333"/>
    <w:rsid w:val="009C70D7"/>
    <w:rsid w:val="009C7795"/>
    <w:rsid w:val="009D1ABB"/>
    <w:rsid w:val="009D22C4"/>
    <w:rsid w:val="009D635E"/>
    <w:rsid w:val="009E1BC7"/>
    <w:rsid w:val="00A107E5"/>
    <w:rsid w:val="00A14AA3"/>
    <w:rsid w:val="00A23569"/>
    <w:rsid w:val="00A27BA5"/>
    <w:rsid w:val="00A36973"/>
    <w:rsid w:val="00A37618"/>
    <w:rsid w:val="00A46D01"/>
    <w:rsid w:val="00A5492F"/>
    <w:rsid w:val="00A55FC9"/>
    <w:rsid w:val="00A56AF9"/>
    <w:rsid w:val="00A744E3"/>
    <w:rsid w:val="00A804E2"/>
    <w:rsid w:val="00A81A6E"/>
    <w:rsid w:val="00A8662E"/>
    <w:rsid w:val="00A923C7"/>
    <w:rsid w:val="00AA055F"/>
    <w:rsid w:val="00AA3C82"/>
    <w:rsid w:val="00AA6A43"/>
    <w:rsid w:val="00AB2F1B"/>
    <w:rsid w:val="00AB3E0E"/>
    <w:rsid w:val="00AC088C"/>
    <w:rsid w:val="00AD1A5F"/>
    <w:rsid w:val="00AD7532"/>
    <w:rsid w:val="00AE2FF5"/>
    <w:rsid w:val="00AE5BE6"/>
    <w:rsid w:val="00AF463F"/>
    <w:rsid w:val="00AF7E89"/>
    <w:rsid w:val="00B00DC6"/>
    <w:rsid w:val="00B01F96"/>
    <w:rsid w:val="00B04C4F"/>
    <w:rsid w:val="00B073E1"/>
    <w:rsid w:val="00B16115"/>
    <w:rsid w:val="00B163BD"/>
    <w:rsid w:val="00B171E6"/>
    <w:rsid w:val="00B222B2"/>
    <w:rsid w:val="00B27F45"/>
    <w:rsid w:val="00B3185E"/>
    <w:rsid w:val="00B329BD"/>
    <w:rsid w:val="00B37653"/>
    <w:rsid w:val="00B52C09"/>
    <w:rsid w:val="00B61D02"/>
    <w:rsid w:val="00B66E59"/>
    <w:rsid w:val="00B75B97"/>
    <w:rsid w:val="00B8451C"/>
    <w:rsid w:val="00B94077"/>
    <w:rsid w:val="00BA232D"/>
    <w:rsid w:val="00BB0223"/>
    <w:rsid w:val="00BB2910"/>
    <w:rsid w:val="00BC2678"/>
    <w:rsid w:val="00BC6062"/>
    <w:rsid w:val="00BD133D"/>
    <w:rsid w:val="00BD2F7F"/>
    <w:rsid w:val="00BD5171"/>
    <w:rsid w:val="00BD63DE"/>
    <w:rsid w:val="00BD652B"/>
    <w:rsid w:val="00BD6953"/>
    <w:rsid w:val="00BF70CA"/>
    <w:rsid w:val="00BF711A"/>
    <w:rsid w:val="00C0036A"/>
    <w:rsid w:val="00C00D13"/>
    <w:rsid w:val="00C06725"/>
    <w:rsid w:val="00C204E5"/>
    <w:rsid w:val="00C20F3D"/>
    <w:rsid w:val="00C308B3"/>
    <w:rsid w:val="00C500AE"/>
    <w:rsid w:val="00C64885"/>
    <w:rsid w:val="00C65B78"/>
    <w:rsid w:val="00C671EF"/>
    <w:rsid w:val="00C711A1"/>
    <w:rsid w:val="00C76590"/>
    <w:rsid w:val="00CB3663"/>
    <w:rsid w:val="00CC1A6D"/>
    <w:rsid w:val="00CC57DA"/>
    <w:rsid w:val="00CC781D"/>
    <w:rsid w:val="00CD670E"/>
    <w:rsid w:val="00CE4A13"/>
    <w:rsid w:val="00CE59F1"/>
    <w:rsid w:val="00D002DD"/>
    <w:rsid w:val="00D07B08"/>
    <w:rsid w:val="00D10922"/>
    <w:rsid w:val="00D15E0E"/>
    <w:rsid w:val="00D21CBE"/>
    <w:rsid w:val="00D3202A"/>
    <w:rsid w:val="00D373A2"/>
    <w:rsid w:val="00D446F7"/>
    <w:rsid w:val="00D602D3"/>
    <w:rsid w:val="00D7660B"/>
    <w:rsid w:val="00D80390"/>
    <w:rsid w:val="00D80ACD"/>
    <w:rsid w:val="00D923FC"/>
    <w:rsid w:val="00D97F0A"/>
    <w:rsid w:val="00DA4E75"/>
    <w:rsid w:val="00DC1717"/>
    <w:rsid w:val="00DD21AA"/>
    <w:rsid w:val="00DD2F5E"/>
    <w:rsid w:val="00DF5DE0"/>
    <w:rsid w:val="00E33660"/>
    <w:rsid w:val="00E35522"/>
    <w:rsid w:val="00E431B8"/>
    <w:rsid w:val="00E45327"/>
    <w:rsid w:val="00E55447"/>
    <w:rsid w:val="00E56A1A"/>
    <w:rsid w:val="00E60341"/>
    <w:rsid w:val="00E61555"/>
    <w:rsid w:val="00E80AF9"/>
    <w:rsid w:val="00E87C80"/>
    <w:rsid w:val="00E92CF9"/>
    <w:rsid w:val="00E933A6"/>
    <w:rsid w:val="00EA010D"/>
    <w:rsid w:val="00EA586A"/>
    <w:rsid w:val="00EA5A24"/>
    <w:rsid w:val="00EB0D8D"/>
    <w:rsid w:val="00EB5728"/>
    <w:rsid w:val="00EB69A7"/>
    <w:rsid w:val="00EB6C48"/>
    <w:rsid w:val="00EC2995"/>
    <w:rsid w:val="00ED0E88"/>
    <w:rsid w:val="00EE0849"/>
    <w:rsid w:val="00EF3D80"/>
    <w:rsid w:val="00F004D5"/>
    <w:rsid w:val="00F01DF0"/>
    <w:rsid w:val="00F02F8D"/>
    <w:rsid w:val="00F040FE"/>
    <w:rsid w:val="00F06BD0"/>
    <w:rsid w:val="00F20146"/>
    <w:rsid w:val="00F26CFB"/>
    <w:rsid w:val="00F274DB"/>
    <w:rsid w:val="00F35B32"/>
    <w:rsid w:val="00F36900"/>
    <w:rsid w:val="00F40C07"/>
    <w:rsid w:val="00F4113B"/>
    <w:rsid w:val="00F502D2"/>
    <w:rsid w:val="00F57B9B"/>
    <w:rsid w:val="00F611EC"/>
    <w:rsid w:val="00F65F56"/>
    <w:rsid w:val="00F74954"/>
    <w:rsid w:val="00F81408"/>
    <w:rsid w:val="00F911F0"/>
    <w:rsid w:val="00FA32F6"/>
    <w:rsid w:val="00FD2056"/>
    <w:rsid w:val="00FE321F"/>
    <w:rsid w:val="00FE4D65"/>
    <w:rsid w:val="00FF37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B85C372-5152-47C1-AAE0-19421E65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03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06F"/>
  </w:style>
  <w:style w:type="paragraph" w:styleId="Footer">
    <w:name w:val="footer"/>
    <w:basedOn w:val="Normal"/>
    <w:link w:val="FooterChar"/>
    <w:uiPriority w:val="99"/>
    <w:unhideWhenUsed/>
    <w:rsid w:val="00303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06F"/>
  </w:style>
  <w:style w:type="character" w:styleId="Hyperlink">
    <w:name w:val="Hyperlink"/>
    <w:uiPriority w:val="99"/>
    <w:rsid w:val="0030306F"/>
    <w:rPr>
      <w:color w:val="0000FF"/>
      <w:u w:val="single"/>
    </w:rPr>
  </w:style>
  <w:style w:type="paragraph" w:styleId="NormalWeb">
    <w:name w:val="Normal (Web)"/>
    <w:basedOn w:val="Normal"/>
    <w:uiPriority w:val="99"/>
    <w:unhideWhenUsed/>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87C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7C80"/>
    <w:rPr>
      <w:rFonts w:ascii="Segoe UI" w:hAnsi="Segoe UI" w:cs="Segoe UI"/>
      <w:sz w:val="18"/>
      <w:szCs w:val="18"/>
    </w:rPr>
  </w:style>
  <w:style w:type="paragraph" w:styleId="ListParagraph">
    <w:name w:val="List Paragraph"/>
    <w:basedOn w:val="Normal"/>
    <w:uiPriority w:val="34"/>
    <w:qFormat/>
    <w:rsid w:val="008650B0"/>
    <w:pPr>
      <w:ind w:left="720"/>
    </w:pPr>
  </w:style>
  <w:style w:type="paragraph" w:customStyle="1" w:styleId="tv2132">
    <w:name w:val="tv2132"/>
    <w:basedOn w:val="Normal"/>
    <w:rsid w:val="0073272E"/>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3D42B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3D42BF"/>
    <w:rPr>
      <w:rFonts w:eastAsiaTheme="minorHAnsi"/>
      <w:lang w:eastAsia="en-US"/>
    </w:rPr>
  </w:style>
  <w:style w:type="character" w:styleId="FootnoteReference">
    <w:name w:val="footnote reference"/>
    <w:basedOn w:val="DefaultParagraphFont"/>
    <w:uiPriority w:val="99"/>
    <w:semiHidden/>
    <w:unhideWhenUsed/>
    <w:rsid w:val="003D42BF"/>
    <w:rPr>
      <w:vertAlign w:val="superscript"/>
    </w:rPr>
  </w:style>
  <w:style w:type="paragraph" w:customStyle="1" w:styleId="naislab">
    <w:name w:val="naislab"/>
    <w:basedOn w:val="Normal"/>
    <w:rsid w:val="007E77AF"/>
    <w:pPr>
      <w:spacing w:after="0" w:line="240" w:lineRule="auto"/>
    </w:pPr>
    <w:rPr>
      <w:rFonts w:ascii="Times New Roman" w:eastAsia="Times New Roman" w:hAnsi="Times New Roman"/>
      <w:sz w:val="24"/>
      <w:szCs w:val="24"/>
      <w:lang w:eastAsia="lv-LV"/>
    </w:rPr>
  </w:style>
  <w:style w:type="character" w:styleId="Strong">
    <w:name w:val="Strong"/>
    <w:qFormat/>
    <w:rsid w:val="00B0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7772">
      <w:bodyDiv w:val="1"/>
      <w:marLeft w:val="0"/>
      <w:marRight w:val="0"/>
      <w:marTop w:val="0"/>
      <w:marBottom w:val="0"/>
      <w:divBdr>
        <w:top w:val="none" w:sz="0" w:space="0" w:color="auto"/>
        <w:left w:val="none" w:sz="0" w:space="0" w:color="auto"/>
        <w:bottom w:val="none" w:sz="0" w:space="0" w:color="auto"/>
        <w:right w:val="none" w:sz="0" w:space="0" w:color="auto"/>
      </w:divBdr>
    </w:div>
    <w:div w:id="1190877032">
      <w:bodyDiv w:val="1"/>
      <w:marLeft w:val="0"/>
      <w:marRight w:val="0"/>
      <w:marTop w:val="0"/>
      <w:marBottom w:val="0"/>
      <w:divBdr>
        <w:top w:val="none" w:sz="0" w:space="0" w:color="auto"/>
        <w:left w:val="none" w:sz="0" w:space="0" w:color="auto"/>
        <w:bottom w:val="none" w:sz="0" w:space="0" w:color="auto"/>
        <w:right w:val="none" w:sz="0" w:space="0" w:color="auto"/>
      </w:divBdr>
      <w:divsChild>
        <w:div w:id="1084836244">
          <w:marLeft w:val="0"/>
          <w:marRight w:val="0"/>
          <w:marTop w:val="0"/>
          <w:marBottom w:val="0"/>
          <w:divBdr>
            <w:top w:val="none" w:sz="0" w:space="0" w:color="auto"/>
            <w:left w:val="none" w:sz="0" w:space="0" w:color="auto"/>
            <w:bottom w:val="none" w:sz="0" w:space="0" w:color="auto"/>
            <w:right w:val="none" w:sz="0" w:space="0" w:color="auto"/>
          </w:divBdr>
          <w:divsChild>
            <w:div w:id="1627539773">
              <w:marLeft w:val="0"/>
              <w:marRight w:val="0"/>
              <w:marTop w:val="100"/>
              <w:marBottom w:val="100"/>
              <w:divBdr>
                <w:top w:val="none" w:sz="0" w:space="0" w:color="auto"/>
                <w:left w:val="none" w:sz="0" w:space="0" w:color="auto"/>
                <w:bottom w:val="none" w:sz="0" w:space="0" w:color="auto"/>
                <w:right w:val="none" w:sz="0" w:space="0" w:color="auto"/>
              </w:divBdr>
              <w:divsChild>
                <w:div w:id="754403732">
                  <w:marLeft w:val="0"/>
                  <w:marRight w:val="0"/>
                  <w:marTop w:val="0"/>
                  <w:marBottom w:val="0"/>
                  <w:divBdr>
                    <w:top w:val="none" w:sz="0" w:space="0" w:color="auto"/>
                    <w:left w:val="none" w:sz="0" w:space="0" w:color="auto"/>
                    <w:bottom w:val="none" w:sz="0" w:space="0" w:color="auto"/>
                    <w:right w:val="none" w:sz="0" w:space="0" w:color="auto"/>
                  </w:divBdr>
                  <w:divsChild>
                    <w:div w:id="206380492">
                      <w:marLeft w:val="0"/>
                      <w:marRight w:val="0"/>
                      <w:marTop w:val="0"/>
                      <w:marBottom w:val="0"/>
                      <w:divBdr>
                        <w:top w:val="none" w:sz="0" w:space="0" w:color="auto"/>
                        <w:left w:val="none" w:sz="0" w:space="0" w:color="auto"/>
                        <w:bottom w:val="none" w:sz="0" w:space="0" w:color="auto"/>
                        <w:right w:val="none" w:sz="0" w:space="0" w:color="auto"/>
                      </w:divBdr>
                      <w:divsChild>
                        <w:div w:id="10046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02818">
      <w:bodyDiv w:val="1"/>
      <w:marLeft w:val="0"/>
      <w:marRight w:val="0"/>
      <w:marTop w:val="0"/>
      <w:marBottom w:val="0"/>
      <w:divBdr>
        <w:top w:val="none" w:sz="0" w:space="0" w:color="auto"/>
        <w:left w:val="none" w:sz="0" w:space="0" w:color="auto"/>
        <w:bottom w:val="none" w:sz="0" w:space="0" w:color="auto"/>
        <w:right w:val="none" w:sz="0" w:space="0" w:color="auto"/>
      </w:divBdr>
      <w:divsChild>
        <w:div w:id="793405777">
          <w:marLeft w:val="0"/>
          <w:marRight w:val="0"/>
          <w:marTop w:val="0"/>
          <w:marBottom w:val="0"/>
          <w:divBdr>
            <w:top w:val="none" w:sz="0" w:space="0" w:color="auto"/>
            <w:left w:val="none" w:sz="0" w:space="0" w:color="auto"/>
            <w:bottom w:val="none" w:sz="0" w:space="0" w:color="auto"/>
            <w:right w:val="none" w:sz="0" w:space="0" w:color="auto"/>
          </w:divBdr>
          <w:divsChild>
            <w:div w:id="1694650161">
              <w:marLeft w:val="0"/>
              <w:marRight w:val="0"/>
              <w:marTop w:val="0"/>
              <w:marBottom w:val="0"/>
              <w:divBdr>
                <w:top w:val="none" w:sz="0" w:space="0" w:color="auto"/>
                <w:left w:val="none" w:sz="0" w:space="0" w:color="auto"/>
                <w:bottom w:val="none" w:sz="0" w:space="0" w:color="auto"/>
                <w:right w:val="none" w:sz="0" w:space="0" w:color="auto"/>
              </w:divBdr>
              <w:divsChild>
                <w:div w:id="676537482">
                  <w:marLeft w:val="0"/>
                  <w:marRight w:val="0"/>
                  <w:marTop w:val="0"/>
                  <w:marBottom w:val="0"/>
                  <w:divBdr>
                    <w:top w:val="none" w:sz="0" w:space="0" w:color="auto"/>
                    <w:left w:val="none" w:sz="0" w:space="0" w:color="auto"/>
                    <w:bottom w:val="none" w:sz="0" w:space="0" w:color="auto"/>
                    <w:right w:val="none" w:sz="0" w:space="0" w:color="auto"/>
                  </w:divBdr>
                  <w:divsChild>
                    <w:div w:id="1397821572">
                      <w:marLeft w:val="0"/>
                      <w:marRight w:val="0"/>
                      <w:marTop w:val="0"/>
                      <w:marBottom w:val="0"/>
                      <w:divBdr>
                        <w:top w:val="none" w:sz="0" w:space="0" w:color="auto"/>
                        <w:left w:val="none" w:sz="0" w:space="0" w:color="auto"/>
                        <w:bottom w:val="none" w:sz="0" w:space="0" w:color="auto"/>
                        <w:right w:val="none" w:sz="0" w:space="0" w:color="auto"/>
                      </w:divBdr>
                      <w:divsChild>
                        <w:div w:id="596329531">
                          <w:marLeft w:val="0"/>
                          <w:marRight w:val="0"/>
                          <w:marTop w:val="0"/>
                          <w:marBottom w:val="0"/>
                          <w:divBdr>
                            <w:top w:val="none" w:sz="0" w:space="0" w:color="auto"/>
                            <w:left w:val="none" w:sz="0" w:space="0" w:color="auto"/>
                            <w:bottom w:val="none" w:sz="0" w:space="0" w:color="auto"/>
                            <w:right w:val="none" w:sz="0" w:space="0" w:color="auto"/>
                          </w:divBdr>
                          <w:divsChild>
                            <w:div w:id="1937900195">
                              <w:marLeft w:val="0"/>
                              <w:marRight w:val="0"/>
                              <w:marTop w:val="0"/>
                              <w:marBottom w:val="567"/>
                              <w:divBdr>
                                <w:top w:val="none" w:sz="0" w:space="0" w:color="auto"/>
                                <w:left w:val="none" w:sz="0" w:space="0" w:color="auto"/>
                                <w:bottom w:val="none" w:sz="0" w:space="0" w:color="auto"/>
                                <w:right w:val="none" w:sz="0" w:space="0" w:color="auto"/>
                              </w:divBdr>
                            </w:div>
                            <w:div w:id="10016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1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na.Sakner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DKP xmlns="2e5bb04e-596e-45bd-9003-43ca78b1ba16">112</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0073-A3B8-4C5C-9AD2-505EA639752B}">
  <ds:schemaRefs>
    <ds:schemaRef ds:uri="http://schemas.microsoft.com/sharepoint/v3/contenttype/forms"/>
  </ds:schemaRefs>
</ds:datastoreItem>
</file>

<file path=customXml/itemProps2.xml><?xml version="1.0" encoding="utf-8"?>
<ds:datastoreItem xmlns:ds="http://schemas.openxmlformats.org/officeDocument/2006/customXml" ds:itemID="{F32801AC-14BD-4279-9CF7-CD324345BD79}">
  <ds:schemaRefs>
    <ds:schemaRef ds:uri="http://schemas.microsoft.com/office/2006/metadata/properties"/>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994320AD-5154-4749-87D7-B8AF8CF68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92C247-59E3-401B-AFB4-F4481D5F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5186</Words>
  <Characters>2957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"Noteikumi par sabiedrību sagatavoto finanšu pārskatu vai konsolidēto finanšu pārskatu elektroniskā noraksta formu"</vt:lpstr>
    </vt:vector>
  </TitlesOfParts>
  <Manager>Jana Salmiņa</Manager>
  <Company>FM</Company>
  <LinksUpToDate>false</LinksUpToDate>
  <CharactersWithSpaces>8127</CharactersWithSpaces>
  <SharedDoc>false</SharedDoc>
  <HLinks>
    <vt:vector size="6" baseType="variant">
      <vt:variant>
        <vt:i4>7012435</vt:i4>
      </vt:variant>
      <vt:variant>
        <vt:i4>0</vt:i4>
      </vt:variant>
      <vt:variant>
        <vt:i4>0</vt:i4>
      </vt:variant>
      <vt:variant>
        <vt:i4>5</vt:i4>
      </vt:variant>
      <vt:variant>
        <vt:lpwstr>mailto:Dina.Saknere@fm.gov.lv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sabiedrību sagatavoto finanšu pārskatu vai konsolidēto finanšu pārskatu elektroniskā noraksta formu"</dc:title>
  <dc:subject>Anotācija</dc:subject>
  <dc:creator>Dina Šaknere</dc:creator>
  <cp:keywords/>
  <dc:description>Dina.Saknere@fm.gov.lv, 67095618</dc:description>
  <cp:lastModifiedBy>Dina Šaknere</cp:lastModifiedBy>
  <cp:revision>12</cp:revision>
  <cp:lastPrinted>2016-02-26T08:43:00Z</cp:lastPrinted>
  <dcterms:created xsi:type="dcterms:W3CDTF">2016-06-03T08:53:00Z</dcterms:created>
  <dcterms:modified xsi:type="dcterms:W3CDTF">2016-06-06T13:15:00Z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