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0454B" w14:textId="35FC1DB3" w:rsidR="00902B05" w:rsidRPr="00FE141C" w:rsidRDefault="005C71F3" w:rsidP="00C348E6">
      <w:pPr>
        <w:spacing w:after="0" w:line="240" w:lineRule="auto"/>
        <w:jc w:val="center"/>
        <w:rPr>
          <w:rFonts w:ascii="Times New Roman" w:hAnsi="Times New Roman" w:cs="Times New Roman"/>
          <w:b/>
          <w:color w:val="000000" w:themeColor="text1"/>
          <w:sz w:val="26"/>
          <w:szCs w:val="26"/>
        </w:rPr>
      </w:pPr>
      <w:bookmarkStart w:id="0" w:name="OLE_LINK1"/>
      <w:bookmarkStart w:id="1" w:name="OLE_LINK2"/>
      <w:r>
        <w:rPr>
          <w:rFonts w:ascii="Times New Roman" w:hAnsi="Times New Roman" w:cs="Times New Roman"/>
          <w:b/>
          <w:color w:val="000000" w:themeColor="text1"/>
          <w:sz w:val="26"/>
          <w:szCs w:val="26"/>
        </w:rPr>
        <w:t>M</w:t>
      </w:r>
      <w:r w:rsidR="00902B05" w:rsidRPr="00FE141C">
        <w:rPr>
          <w:rFonts w:ascii="Times New Roman" w:hAnsi="Times New Roman" w:cs="Times New Roman"/>
          <w:b/>
          <w:color w:val="000000" w:themeColor="text1"/>
          <w:sz w:val="26"/>
          <w:szCs w:val="26"/>
        </w:rPr>
        <w:t>inistru kabineta noteikumu projekta</w:t>
      </w:r>
    </w:p>
    <w:p w14:paraId="5C0F4DC6" w14:textId="0CAB60DE" w:rsidR="00902B05" w:rsidRPr="00FE141C" w:rsidRDefault="00902B05" w:rsidP="00C348E6">
      <w:pPr>
        <w:pStyle w:val="tv20787921"/>
        <w:spacing w:after="0" w:line="240" w:lineRule="auto"/>
        <w:rPr>
          <w:rFonts w:ascii="Times New Roman" w:hAnsi="Times New Roman"/>
          <w:bCs w:val="0"/>
          <w:color w:val="000000" w:themeColor="text1"/>
          <w:sz w:val="26"/>
          <w:szCs w:val="26"/>
        </w:rPr>
      </w:pPr>
      <w:bookmarkStart w:id="2" w:name="OLE_LINK3"/>
      <w:bookmarkStart w:id="3" w:name="OLE_LINK4"/>
      <w:bookmarkStart w:id="4" w:name="OLE_LINK7"/>
      <w:bookmarkStart w:id="5" w:name="OLE_LINK8"/>
      <w:bookmarkEnd w:id="0"/>
      <w:bookmarkEnd w:id="1"/>
      <w:r w:rsidRPr="00FE141C">
        <w:rPr>
          <w:rFonts w:ascii="Times New Roman" w:hAnsi="Times New Roman"/>
          <w:bCs w:val="0"/>
          <w:color w:val="000000" w:themeColor="text1"/>
          <w:sz w:val="26"/>
          <w:szCs w:val="26"/>
        </w:rPr>
        <w:t>„</w:t>
      </w:r>
      <w:bookmarkEnd w:id="2"/>
      <w:bookmarkEnd w:id="3"/>
      <w:bookmarkEnd w:id="4"/>
      <w:bookmarkEnd w:id="5"/>
      <w:r w:rsidR="007205E5" w:rsidRPr="00FE141C">
        <w:rPr>
          <w:rFonts w:ascii="Times New Roman" w:hAnsi="Times New Roman"/>
          <w:bCs w:val="0"/>
          <w:color w:val="000000" w:themeColor="text1"/>
          <w:sz w:val="26"/>
          <w:szCs w:val="26"/>
        </w:rPr>
        <w:t xml:space="preserve"> </w:t>
      </w:r>
      <w:r w:rsidR="005440B6" w:rsidRPr="00FE141C">
        <w:rPr>
          <w:rFonts w:ascii="Times New Roman" w:hAnsi="Times New Roman"/>
          <w:bCs w:val="0"/>
          <w:color w:val="000000" w:themeColor="text1"/>
          <w:sz w:val="26"/>
          <w:szCs w:val="26"/>
        </w:rPr>
        <w:t>Par</w:t>
      </w:r>
      <w:r w:rsidRPr="00FE141C">
        <w:rPr>
          <w:rFonts w:ascii="Times New Roman" w:hAnsi="Times New Roman"/>
          <w:bCs w:val="0"/>
          <w:color w:val="000000" w:themeColor="text1"/>
          <w:sz w:val="26"/>
          <w:szCs w:val="26"/>
        </w:rPr>
        <w:t xml:space="preserve"> valsts budžeta mērķdotāciju pedagogu darba samaksa</w:t>
      </w:r>
      <w:r w:rsidR="005440B6" w:rsidRPr="00FE141C">
        <w:rPr>
          <w:rFonts w:ascii="Times New Roman" w:hAnsi="Times New Roman"/>
          <w:bCs w:val="0"/>
          <w:color w:val="000000" w:themeColor="text1"/>
          <w:sz w:val="26"/>
          <w:szCs w:val="26"/>
        </w:rPr>
        <w:t xml:space="preserve">i un pašvaldību vispārējās </w:t>
      </w:r>
      <w:r w:rsidRPr="00FE141C">
        <w:rPr>
          <w:rFonts w:ascii="Times New Roman" w:hAnsi="Times New Roman"/>
          <w:bCs w:val="0"/>
          <w:color w:val="000000" w:themeColor="text1"/>
          <w:sz w:val="26"/>
          <w:szCs w:val="26"/>
        </w:rPr>
        <w:t xml:space="preserve">izglītības </w:t>
      </w:r>
      <w:r w:rsidR="005440B6" w:rsidRPr="00FE141C">
        <w:rPr>
          <w:rFonts w:ascii="Times New Roman" w:hAnsi="Times New Roman"/>
          <w:bCs w:val="0"/>
          <w:color w:val="000000" w:themeColor="text1"/>
          <w:sz w:val="26"/>
          <w:szCs w:val="26"/>
        </w:rPr>
        <w:t>iestādēs un valsts augstskolu vispārējā</w:t>
      </w:r>
      <w:r w:rsidR="007205E5">
        <w:rPr>
          <w:rFonts w:ascii="Times New Roman" w:hAnsi="Times New Roman"/>
          <w:bCs w:val="0"/>
          <w:color w:val="000000" w:themeColor="text1"/>
          <w:sz w:val="26"/>
          <w:szCs w:val="26"/>
        </w:rPr>
        <w:t xml:space="preserve">s vidējās izglītības iestādēs” </w:t>
      </w:r>
      <w:r w:rsidRPr="00FE141C">
        <w:rPr>
          <w:rFonts w:ascii="Times New Roman" w:hAnsi="Times New Roman"/>
          <w:bCs w:val="0"/>
          <w:color w:val="000000" w:themeColor="text1"/>
          <w:sz w:val="26"/>
          <w:szCs w:val="26"/>
        </w:rPr>
        <w:t>sākotnējās ietekmes novērtējuma ziņojums (anotācija)</w:t>
      </w:r>
    </w:p>
    <w:p w14:paraId="5227849D" w14:textId="77777777" w:rsidR="00117B82" w:rsidRPr="00FE141C" w:rsidRDefault="00117B82" w:rsidP="00C348E6">
      <w:pPr>
        <w:pStyle w:val="tv20787921"/>
        <w:spacing w:after="0" w:line="240" w:lineRule="auto"/>
        <w:rPr>
          <w:rFonts w:ascii="Times New Roman" w:hAnsi="Times New Roman"/>
          <w:bCs w:val="0"/>
          <w:color w:val="000000" w:themeColor="text1"/>
          <w:sz w:val="26"/>
          <w:szCs w:val="26"/>
        </w:rPr>
      </w:pPr>
    </w:p>
    <w:tbl>
      <w:tblPr>
        <w:tblpPr w:leftFromText="180" w:rightFromText="180" w:vertAnchor="text" w:horzAnchor="margin" w:tblpXSpec="center" w:tblpY="31"/>
        <w:tblOverlap w:val="never"/>
        <w:tblW w:w="531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7"/>
        <w:gridCol w:w="2415"/>
        <w:gridCol w:w="6869"/>
      </w:tblGrid>
      <w:tr w:rsidR="0082371A" w:rsidRPr="00FE141C" w14:paraId="06DDCA06" w14:textId="77777777" w:rsidTr="0092464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175326" w14:textId="77777777" w:rsidR="00514935" w:rsidRPr="00FE141C"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b/>
                <w:bCs/>
                <w:color w:val="000000" w:themeColor="text1"/>
                <w:sz w:val="26"/>
                <w:szCs w:val="26"/>
                <w:lang w:eastAsia="lv-LV"/>
              </w:rPr>
              <w:t>I. Tiesību akta projekta izstrādes nepieciešamība</w:t>
            </w:r>
          </w:p>
        </w:tc>
      </w:tr>
      <w:tr w:rsidR="0082371A" w:rsidRPr="00FE141C" w14:paraId="215A0589" w14:textId="77777777" w:rsidTr="00924648">
        <w:trPr>
          <w:trHeight w:val="405"/>
        </w:trPr>
        <w:tc>
          <w:tcPr>
            <w:tcW w:w="234" w:type="pct"/>
            <w:tcBorders>
              <w:top w:val="outset" w:sz="6" w:space="0" w:color="414142"/>
              <w:left w:val="outset" w:sz="6" w:space="0" w:color="414142"/>
              <w:bottom w:val="outset" w:sz="6" w:space="0" w:color="414142"/>
              <w:right w:val="outset" w:sz="6" w:space="0" w:color="414142"/>
            </w:tcBorders>
            <w:hideMark/>
          </w:tcPr>
          <w:p w14:paraId="059C0D44" w14:textId="77777777"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27A165E8" w14:textId="669BCBCD" w:rsidR="00A97BA0"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Pamatojums</w:t>
            </w:r>
          </w:p>
          <w:p w14:paraId="72DFC7AC" w14:textId="77777777" w:rsidR="00514935" w:rsidRPr="00FE141C" w:rsidRDefault="00514935" w:rsidP="00C348E6">
            <w:pPr>
              <w:spacing w:after="0" w:line="240" w:lineRule="auto"/>
              <w:jc w:val="right"/>
              <w:rPr>
                <w:rFonts w:ascii="Times New Roman" w:eastAsia="Times New Roman" w:hAnsi="Times New Roman" w:cs="Times New Roman"/>
                <w:sz w:val="26"/>
                <w:szCs w:val="26"/>
                <w:lang w:eastAsia="lv-LV"/>
              </w:rPr>
            </w:pPr>
          </w:p>
        </w:tc>
        <w:tc>
          <w:tcPr>
            <w:tcW w:w="3460" w:type="pct"/>
            <w:tcBorders>
              <w:top w:val="outset" w:sz="6" w:space="0" w:color="414142"/>
              <w:left w:val="outset" w:sz="6" w:space="0" w:color="414142"/>
              <w:bottom w:val="outset" w:sz="6" w:space="0" w:color="414142"/>
              <w:right w:val="outset" w:sz="6" w:space="0" w:color="414142"/>
            </w:tcBorders>
            <w:hideMark/>
          </w:tcPr>
          <w:p w14:paraId="551EE1C8" w14:textId="46387B06" w:rsidR="00C54DC1" w:rsidRPr="00FE141C" w:rsidRDefault="005F6922" w:rsidP="00C348E6">
            <w:pPr>
              <w:spacing w:after="0" w:line="240" w:lineRule="auto"/>
              <w:jc w:val="both"/>
              <w:rPr>
                <w:rFonts w:ascii="Times New Roman" w:hAnsi="Times New Roman" w:cs="Times New Roman"/>
                <w:color w:val="000000" w:themeColor="text1"/>
                <w:sz w:val="26"/>
                <w:szCs w:val="26"/>
              </w:rPr>
            </w:pPr>
            <w:r w:rsidRPr="00FE141C">
              <w:rPr>
                <w:rFonts w:ascii="Times New Roman" w:eastAsia="Calibri" w:hAnsi="Times New Roman" w:cs="Times New Roman"/>
                <w:color w:val="000000" w:themeColor="text1"/>
                <w:sz w:val="26"/>
                <w:szCs w:val="26"/>
              </w:rPr>
              <w:t>Ministru kabineta noteikumu projekts „</w:t>
            </w:r>
            <w:r w:rsidR="005440B6" w:rsidRPr="00FE141C">
              <w:rPr>
                <w:rFonts w:ascii="Times New Roman" w:hAnsi="Times New Roman" w:cs="Times New Roman"/>
                <w:bCs/>
                <w:color w:val="000000" w:themeColor="text1"/>
                <w:sz w:val="26"/>
                <w:szCs w:val="26"/>
              </w:rPr>
              <w:t>Par</w:t>
            </w:r>
            <w:r w:rsidR="005440B6" w:rsidRPr="00FE141C">
              <w:rPr>
                <w:rFonts w:ascii="Times New Roman" w:hAnsi="Times New Roman" w:cs="Times New Roman"/>
                <w:color w:val="000000" w:themeColor="text1"/>
                <w:sz w:val="26"/>
                <w:szCs w:val="26"/>
              </w:rPr>
              <w:t xml:space="preserve"> valsts budžeta mērķdotāciju pedagogu darba samaksa</w:t>
            </w:r>
            <w:r w:rsidR="005440B6" w:rsidRPr="00FE141C">
              <w:rPr>
                <w:rFonts w:ascii="Times New Roman" w:hAnsi="Times New Roman" w:cs="Times New Roman"/>
                <w:bCs/>
                <w:color w:val="000000" w:themeColor="text1"/>
                <w:sz w:val="26"/>
                <w:szCs w:val="26"/>
              </w:rPr>
              <w:t xml:space="preserve">i un pašvaldību vispārējās </w:t>
            </w:r>
            <w:r w:rsidR="005440B6" w:rsidRPr="00FE141C">
              <w:rPr>
                <w:rFonts w:ascii="Times New Roman" w:hAnsi="Times New Roman" w:cs="Times New Roman"/>
                <w:color w:val="000000" w:themeColor="text1"/>
                <w:sz w:val="26"/>
                <w:szCs w:val="26"/>
              </w:rPr>
              <w:t xml:space="preserve">izglītības </w:t>
            </w:r>
            <w:r w:rsidR="005440B6" w:rsidRPr="00FE141C">
              <w:rPr>
                <w:rFonts w:ascii="Times New Roman" w:hAnsi="Times New Roman" w:cs="Times New Roman"/>
                <w:bCs/>
                <w:color w:val="000000" w:themeColor="text1"/>
                <w:sz w:val="26"/>
                <w:szCs w:val="26"/>
              </w:rPr>
              <w:t>iestādēs un valsts augstskolu vispārē</w:t>
            </w:r>
            <w:r w:rsidR="002E1B6C" w:rsidRPr="00FE141C">
              <w:rPr>
                <w:rFonts w:ascii="Times New Roman" w:hAnsi="Times New Roman" w:cs="Times New Roman"/>
                <w:bCs/>
                <w:color w:val="000000" w:themeColor="text1"/>
                <w:sz w:val="26"/>
                <w:szCs w:val="26"/>
              </w:rPr>
              <w:t>jās vidējās izglītības iestādēs</w:t>
            </w:r>
            <w:r w:rsidRPr="00FE141C">
              <w:rPr>
                <w:rFonts w:ascii="Times New Roman" w:hAnsi="Times New Roman" w:cs="Times New Roman"/>
                <w:bCs/>
                <w:color w:val="000000" w:themeColor="text1"/>
                <w:sz w:val="26"/>
                <w:szCs w:val="26"/>
              </w:rPr>
              <w:t>””</w:t>
            </w:r>
            <w:r w:rsidRPr="00FE141C">
              <w:rPr>
                <w:rFonts w:ascii="Times New Roman" w:hAnsi="Times New Roman" w:cs="Times New Roman"/>
                <w:color w:val="000000" w:themeColor="text1"/>
                <w:sz w:val="26"/>
                <w:szCs w:val="26"/>
              </w:rPr>
              <w:t xml:space="preserve"> (turpmāk – projekts) izstrādāts</w:t>
            </w:r>
            <w:r w:rsidR="00C01C7D" w:rsidRPr="00FE141C">
              <w:rPr>
                <w:rFonts w:ascii="Times New Roman" w:hAnsi="Times New Roman" w:cs="Times New Roman"/>
                <w:color w:val="000000" w:themeColor="text1"/>
                <w:sz w:val="26"/>
                <w:szCs w:val="26"/>
              </w:rPr>
              <w:t xml:space="preserve"> </w:t>
            </w:r>
            <w:r w:rsidR="00BB58BD" w:rsidRPr="00FE141C">
              <w:rPr>
                <w:rFonts w:ascii="Times New Roman" w:hAnsi="Times New Roman" w:cs="Times New Roman"/>
                <w:color w:val="000000" w:themeColor="text1"/>
                <w:sz w:val="26"/>
                <w:szCs w:val="26"/>
              </w:rPr>
              <w:t>pamatojoties</w:t>
            </w:r>
            <w:r w:rsidR="00BB58BD" w:rsidRPr="00FE141C">
              <w:rPr>
                <w:rFonts w:ascii="Times New Roman" w:hAnsi="Times New Roman" w:cs="Times New Roman"/>
                <w:sz w:val="26"/>
                <w:szCs w:val="26"/>
              </w:rPr>
              <w:t xml:space="preserve"> uz Ministru kabineta 201</w:t>
            </w:r>
            <w:r w:rsidR="00A41B5A" w:rsidRPr="00FE141C">
              <w:rPr>
                <w:rFonts w:ascii="Times New Roman" w:hAnsi="Times New Roman" w:cs="Times New Roman"/>
                <w:sz w:val="26"/>
                <w:szCs w:val="26"/>
              </w:rPr>
              <w:t>6</w:t>
            </w:r>
            <w:r w:rsidR="00BB58BD" w:rsidRPr="00FE141C">
              <w:rPr>
                <w:rFonts w:ascii="Times New Roman" w:hAnsi="Times New Roman" w:cs="Times New Roman"/>
                <w:sz w:val="26"/>
                <w:szCs w:val="26"/>
              </w:rPr>
              <w:t xml:space="preserve">.gada </w:t>
            </w:r>
            <w:r w:rsidR="00A41B5A" w:rsidRPr="00FE141C">
              <w:rPr>
                <w:rFonts w:ascii="Times New Roman" w:hAnsi="Times New Roman" w:cs="Times New Roman"/>
                <w:sz w:val="26"/>
                <w:szCs w:val="26"/>
              </w:rPr>
              <w:t>1</w:t>
            </w:r>
            <w:r w:rsidR="00BB58BD" w:rsidRPr="00FE141C">
              <w:rPr>
                <w:rFonts w:ascii="Times New Roman" w:hAnsi="Times New Roman" w:cs="Times New Roman"/>
                <w:sz w:val="26"/>
                <w:szCs w:val="26"/>
              </w:rPr>
              <w:t>.</w:t>
            </w:r>
            <w:r w:rsidR="00A41B5A" w:rsidRPr="00FE141C">
              <w:rPr>
                <w:rFonts w:ascii="Times New Roman" w:hAnsi="Times New Roman" w:cs="Times New Roman"/>
                <w:sz w:val="26"/>
                <w:szCs w:val="26"/>
              </w:rPr>
              <w:t>marta</w:t>
            </w:r>
            <w:r w:rsidR="00BB58BD" w:rsidRPr="00FE141C">
              <w:rPr>
                <w:rFonts w:ascii="Times New Roman" w:hAnsi="Times New Roman" w:cs="Times New Roman"/>
                <w:sz w:val="26"/>
                <w:szCs w:val="26"/>
              </w:rPr>
              <w:t xml:space="preserve"> s</w:t>
            </w:r>
            <w:r w:rsidR="00A41B5A" w:rsidRPr="00FE141C">
              <w:rPr>
                <w:rFonts w:ascii="Times New Roman" w:hAnsi="Times New Roman" w:cs="Times New Roman"/>
                <w:sz w:val="26"/>
                <w:szCs w:val="26"/>
              </w:rPr>
              <w:t xml:space="preserve">ēdes </w:t>
            </w:r>
            <w:proofErr w:type="spellStart"/>
            <w:r w:rsidR="00A41B5A" w:rsidRPr="00FE141C">
              <w:rPr>
                <w:rFonts w:ascii="Times New Roman" w:hAnsi="Times New Roman" w:cs="Times New Roman"/>
                <w:sz w:val="26"/>
                <w:szCs w:val="26"/>
              </w:rPr>
              <w:t>protokollēmuma</w:t>
            </w:r>
            <w:proofErr w:type="spellEnd"/>
            <w:r w:rsidR="00A41B5A" w:rsidRPr="00FE141C">
              <w:rPr>
                <w:rFonts w:ascii="Times New Roman" w:hAnsi="Times New Roman" w:cs="Times New Roman"/>
                <w:sz w:val="26"/>
                <w:szCs w:val="26"/>
              </w:rPr>
              <w:t xml:space="preserve"> (prot. Nr.10 29</w:t>
            </w:r>
            <w:r w:rsidR="00BB58BD" w:rsidRPr="00FE141C">
              <w:rPr>
                <w:rFonts w:ascii="Times New Roman" w:hAnsi="Times New Roman" w:cs="Times New Roman"/>
                <w:sz w:val="26"/>
                <w:szCs w:val="26"/>
              </w:rPr>
              <w:t>.§) „</w:t>
            </w:r>
            <w:r w:rsidR="00A41B5A" w:rsidRPr="00FE141C">
              <w:rPr>
                <w:rFonts w:ascii="Times New Roman" w:hAnsi="Times New Roman" w:cs="Times New Roman"/>
                <w:sz w:val="26"/>
                <w:szCs w:val="26"/>
                <w:shd w:val="clear" w:color="auto" w:fill="FFFFFF"/>
              </w:rPr>
              <w:t xml:space="preserve">Par Ministru kabineta 2014.gada 17.jūnija sēdes </w:t>
            </w:r>
            <w:proofErr w:type="spellStart"/>
            <w:r w:rsidR="00A41B5A" w:rsidRPr="00FE141C">
              <w:rPr>
                <w:rFonts w:ascii="Times New Roman" w:hAnsi="Times New Roman" w:cs="Times New Roman"/>
                <w:sz w:val="26"/>
                <w:szCs w:val="26"/>
                <w:shd w:val="clear" w:color="auto" w:fill="FFFFFF"/>
              </w:rPr>
              <w:t>protokollēmuma</w:t>
            </w:r>
            <w:proofErr w:type="spellEnd"/>
            <w:r w:rsidR="00A41B5A" w:rsidRPr="00FE141C">
              <w:rPr>
                <w:rFonts w:ascii="Times New Roman" w:hAnsi="Times New Roman" w:cs="Times New Roman"/>
                <w:sz w:val="26"/>
                <w:szCs w:val="26"/>
                <w:shd w:val="clear" w:color="auto" w:fill="FFFFFF"/>
              </w:rPr>
              <w:t xml:space="preserve"> (prot. Nr.33 98.</w:t>
            </w:r>
            <w:r w:rsidR="00A41B5A" w:rsidRPr="00FE141C">
              <w:rPr>
                <w:rFonts w:ascii="Times New Roman" w:hAnsi="Times New Roman" w:cs="Times New Roman"/>
                <w:sz w:val="26"/>
                <w:szCs w:val="26"/>
              </w:rPr>
              <w:t xml:space="preserve">§) “Noteikumu projekts “Grozījumi Ministru kabineta </w:t>
            </w:r>
            <w:r w:rsidR="00A41B5A" w:rsidRPr="00FE141C">
              <w:rPr>
                <w:rFonts w:ascii="Times New Roman" w:hAnsi="Times New Roman" w:cs="Times New Roman"/>
                <w:color w:val="000000" w:themeColor="text1"/>
                <w:sz w:val="26"/>
                <w:szCs w:val="26"/>
              </w:rPr>
              <w:t xml:space="preserve">2009.gada 22.decembra </w:t>
            </w:r>
            <w:r w:rsidR="00A41B5A" w:rsidRPr="00FE141C">
              <w:rPr>
                <w:rFonts w:ascii="Times New Roman" w:hAnsi="Times New Roman" w:cs="Times New Roman"/>
                <w:bCs/>
                <w:color w:val="000000" w:themeColor="text1"/>
                <w:sz w:val="26"/>
                <w:szCs w:val="26"/>
              </w:rPr>
              <w:t>noteikumu</w:t>
            </w:r>
            <w:r w:rsidR="00A41B5A" w:rsidRPr="00FE141C">
              <w:rPr>
                <w:rFonts w:ascii="Times New Roman" w:hAnsi="Times New Roman" w:cs="Times New Roman"/>
                <w:color w:val="000000" w:themeColor="text1"/>
                <w:sz w:val="26"/>
                <w:szCs w:val="26"/>
              </w:rPr>
              <w:t xml:space="preserve"> </w:t>
            </w:r>
            <w:r w:rsidR="00A41B5A" w:rsidRPr="00FE141C">
              <w:rPr>
                <w:rFonts w:ascii="Times New Roman" w:hAnsi="Times New Roman" w:cs="Times New Roman"/>
                <w:bCs/>
                <w:color w:val="000000" w:themeColor="text1"/>
                <w:sz w:val="26"/>
                <w:szCs w:val="26"/>
              </w:rPr>
              <w:t>Nr.1616</w:t>
            </w:r>
            <w:r w:rsidR="00A41B5A" w:rsidRPr="00FE141C">
              <w:rPr>
                <w:rFonts w:ascii="Times New Roman" w:hAnsi="Times New Roman" w:cs="Times New Roman"/>
                <w:color w:val="000000" w:themeColor="text1"/>
                <w:sz w:val="26"/>
                <w:szCs w:val="26"/>
              </w:rPr>
              <w:t xml:space="preserve">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BB58BD" w:rsidRPr="00FE141C">
              <w:rPr>
                <w:rFonts w:ascii="Times New Roman" w:hAnsi="Times New Roman" w:cs="Times New Roman"/>
                <w:sz w:val="26"/>
                <w:szCs w:val="26"/>
                <w:shd w:val="clear" w:color="auto" w:fill="FFFFFF"/>
              </w:rPr>
              <w:t xml:space="preserve">”” </w:t>
            </w:r>
            <w:r w:rsidR="00A41B5A" w:rsidRPr="00FE141C">
              <w:rPr>
                <w:rFonts w:ascii="Times New Roman" w:hAnsi="Times New Roman" w:cs="Times New Roman"/>
                <w:sz w:val="26"/>
                <w:szCs w:val="26"/>
                <w:shd w:val="clear" w:color="auto" w:fill="FFFFFF"/>
              </w:rPr>
              <w:t>4.punktā doto uzdevum</w:t>
            </w:r>
            <w:r w:rsidR="002E1B6C" w:rsidRPr="00FE141C">
              <w:rPr>
                <w:rFonts w:ascii="Times New Roman" w:hAnsi="Times New Roman" w:cs="Times New Roman"/>
                <w:sz w:val="26"/>
                <w:szCs w:val="26"/>
                <w:shd w:val="clear" w:color="auto" w:fill="FFFFFF"/>
              </w:rPr>
              <w:t>u</w:t>
            </w:r>
            <w:r w:rsidR="00034FE0" w:rsidRPr="00FE141C">
              <w:rPr>
                <w:rFonts w:ascii="Times New Roman" w:hAnsi="Times New Roman" w:cs="Times New Roman"/>
                <w:sz w:val="26"/>
                <w:szCs w:val="26"/>
                <w:shd w:val="clear" w:color="auto" w:fill="FFFFFF"/>
              </w:rPr>
              <w:t xml:space="preserve"> (turpmāk – </w:t>
            </w:r>
            <w:proofErr w:type="spellStart"/>
            <w:r w:rsidR="00034FE0" w:rsidRPr="00FE141C">
              <w:rPr>
                <w:rFonts w:ascii="Times New Roman" w:hAnsi="Times New Roman" w:cs="Times New Roman"/>
                <w:sz w:val="26"/>
                <w:szCs w:val="26"/>
                <w:shd w:val="clear" w:color="auto" w:fill="FFFFFF"/>
              </w:rPr>
              <w:t>protokollēmums</w:t>
            </w:r>
            <w:proofErr w:type="spellEnd"/>
            <w:r w:rsidR="00034FE0" w:rsidRPr="00FE141C">
              <w:rPr>
                <w:rFonts w:ascii="Times New Roman" w:hAnsi="Times New Roman" w:cs="Times New Roman"/>
                <w:sz w:val="26"/>
                <w:szCs w:val="26"/>
                <w:shd w:val="clear" w:color="auto" w:fill="FFFFFF"/>
              </w:rPr>
              <w:t xml:space="preserve">). </w:t>
            </w:r>
            <w:proofErr w:type="spellStart"/>
            <w:r w:rsidR="00C54DC1" w:rsidRPr="00FE141C">
              <w:rPr>
                <w:rFonts w:ascii="Times New Roman" w:hAnsi="Times New Roman" w:cs="Times New Roman"/>
                <w:sz w:val="26"/>
                <w:szCs w:val="26"/>
                <w:shd w:val="clear" w:color="auto" w:fill="FFFFFF"/>
              </w:rPr>
              <w:t>Protokollēmumā</w:t>
            </w:r>
            <w:proofErr w:type="spellEnd"/>
            <w:r w:rsidR="00C54DC1" w:rsidRPr="00FE141C">
              <w:rPr>
                <w:rFonts w:ascii="Times New Roman" w:hAnsi="Times New Roman" w:cs="Times New Roman"/>
                <w:sz w:val="26"/>
                <w:szCs w:val="26"/>
                <w:shd w:val="clear" w:color="auto" w:fill="FFFFFF"/>
              </w:rPr>
              <w:t xml:space="preserve"> Izglītības un zinātnes ministrijai (turpmāk – ministrija)</w:t>
            </w:r>
            <w:r w:rsidR="00C54DC1" w:rsidRPr="00FE141C">
              <w:rPr>
                <w:rFonts w:ascii="Times New Roman" w:hAnsi="Times New Roman" w:cs="Times New Roman"/>
                <w:color w:val="000000" w:themeColor="text1"/>
                <w:sz w:val="26"/>
                <w:szCs w:val="26"/>
              </w:rPr>
              <w:t xml:space="preserve"> uzdots līdz 2016.gada 1.septembrim izstrādāt jaunu noteikumu projektu par kārtību,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w:t>
            </w:r>
          </w:p>
          <w:p w14:paraId="2B136016" w14:textId="60924274" w:rsidR="00514935" w:rsidRPr="00FE141C" w:rsidRDefault="00034FE0" w:rsidP="00C348E6">
            <w:pPr>
              <w:spacing w:after="0" w:line="240" w:lineRule="auto"/>
              <w:jc w:val="both"/>
              <w:rPr>
                <w:rFonts w:ascii="Times New Roman" w:hAnsi="Times New Roman" w:cs="Times New Roman"/>
                <w:color w:val="000000" w:themeColor="text1"/>
                <w:sz w:val="26"/>
                <w:szCs w:val="26"/>
              </w:rPr>
            </w:pPr>
            <w:r w:rsidRPr="00FE141C">
              <w:rPr>
                <w:rFonts w:ascii="Times New Roman" w:hAnsi="Times New Roman" w:cs="Times New Roman"/>
                <w:sz w:val="26"/>
                <w:szCs w:val="26"/>
                <w:shd w:val="clear" w:color="auto" w:fill="FFFFFF"/>
              </w:rPr>
              <w:t xml:space="preserve">Projekta izstrāde saistīta arī ar likuma “Par valsts budžeta 2016.gadam” 58.panta izpildi, kurā noteikts, ka pedagogu darba samaksas reformu ieviešanai valsts, pašvaldību un privātajās izglītības iestādēs no 2016.gada 1.septembra valsts budžeta resorā “74.Gadskārtējā valsts budžeta izpildes procesā pārdalāmais finansējums” rezervētais finansējums 2016.gada četriem mēnešiem ir līdz 9 000 000 </w:t>
            </w:r>
            <w:proofErr w:type="spellStart"/>
            <w:r w:rsidRPr="00FE141C">
              <w:rPr>
                <w:rFonts w:ascii="Times New Roman" w:hAnsi="Times New Roman" w:cs="Times New Roman"/>
                <w:i/>
                <w:sz w:val="26"/>
                <w:szCs w:val="26"/>
                <w:shd w:val="clear" w:color="auto" w:fill="FFFFFF"/>
              </w:rPr>
              <w:t>euro</w:t>
            </w:r>
            <w:proofErr w:type="spellEnd"/>
            <w:r w:rsidRPr="00FE141C">
              <w:rPr>
                <w:rFonts w:ascii="Times New Roman" w:hAnsi="Times New Roman" w:cs="Times New Roman"/>
                <w:sz w:val="26"/>
                <w:szCs w:val="26"/>
                <w:shd w:val="clear" w:color="auto" w:fill="FFFFFF"/>
              </w:rPr>
              <w:t xml:space="preserve">, paredzot, ka finansējuma apmērs tiek precizēts atbilstoši Izglītības un zinātnes ministrijas veiktajiem aprēķiniem, nepārsniedzot rezervēto summu. Pēc normatīvo aktu pieņemšanas Ministru kabinetā finansējums tiks pārdalīts uz attiecīgo resoru un programmu/apakšprogrammu. </w:t>
            </w:r>
          </w:p>
        </w:tc>
      </w:tr>
      <w:tr w:rsidR="0082371A" w:rsidRPr="00FE141C" w14:paraId="6F419BF7" w14:textId="77777777" w:rsidTr="0092464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15930E92" w14:textId="77777777"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45A2BA8D"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xml:space="preserve">Pašreizējā situācija un problēmas, kuru risināšanai tiesību akta projekts izstrādāts, </w:t>
            </w:r>
            <w:r w:rsidRPr="00FE141C">
              <w:rPr>
                <w:rFonts w:ascii="Times New Roman" w:eastAsia="Times New Roman" w:hAnsi="Times New Roman" w:cs="Times New Roman"/>
                <w:color w:val="000000" w:themeColor="text1"/>
                <w:sz w:val="26"/>
                <w:szCs w:val="26"/>
                <w:lang w:eastAsia="lv-LV"/>
              </w:rPr>
              <w:lastRenderedPageBreak/>
              <w:t>tiesiskā regulējuma mērķis un būtība</w:t>
            </w:r>
          </w:p>
        </w:tc>
        <w:tc>
          <w:tcPr>
            <w:tcW w:w="3460" w:type="pct"/>
            <w:tcBorders>
              <w:top w:val="outset" w:sz="6" w:space="0" w:color="414142"/>
              <w:left w:val="outset" w:sz="6" w:space="0" w:color="414142"/>
              <w:bottom w:val="outset" w:sz="6" w:space="0" w:color="414142"/>
              <w:right w:val="outset" w:sz="6" w:space="0" w:color="414142"/>
            </w:tcBorders>
            <w:hideMark/>
          </w:tcPr>
          <w:p w14:paraId="0E76A1B6" w14:textId="163CF62F" w:rsidR="00C54DC1" w:rsidRPr="00232260" w:rsidRDefault="00ED072E" w:rsidP="00C348E6">
            <w:pPr>
              <w:spacing w:after="0" w:line="240" w:lineRule="auto"/>
              <w:jc w:val="both"/>
              <w:rPr>
                <w:rFonts w:ascii="Times New Roman" w:eastAsia="Times New Roman" w:hAnsi="Times New Roman" w:cs="Times New Roman"/>
                <w:sz w:val="26"/>
                <w:szCs w:val="26"/>
                <w:lang w:eastAsia="lv-LV"/>
              </w:rPr>
            </w:pPr>
            <w:r w:rsidRPr="00FE141C">
              <w:rPr>
                <w:rFonts w:ascii="Times New Roman" w:hAnsi="Times New Roman" w:cs="Times New Roman"/>
                <w:color w:val="000000" w:themeColor="text1"/>
                <w:sz w:val="26"/>
                <w:szCs w:val="26"/>
              </w:rPr>
              <w:lastRenderedPageBreak/>
              <w:t xml:space="preserve">Saskaņā ar Ministru kabineta 2009.gada 22.decembra </w:t>
            </w:r>
            <w:r w:rsidRPr="00FE141C">
              <w:rPr>
                <w:rFonts w:ascii="Times New Roman" w:hAnsi="Times New Roman" w:cs="Times New Roman"/>
                <w:bCs/>
                <w:color w:val="000000" w:themeColor="text1"/>
                <w:sz w:val="26"/>
                <w:szCs w:val="26"/>
              </w:rPr>
              <w:t>noteikumiem</w:t>
            </w:r>
            <w:r w:rsidRPr="00FE141C">
              <w:rPr>
                <w:rFonts w:ascii="Times New Roman" w:hAnsi="Times New Roman" w:cs="Times New Roman"/>
                <w:color w:val="000000" w:themeColor="text1"/>
                <w:sz w:val="26"/>
                <w:szCs w:val="26"/>
              </w:rPr>
              <w:t xml:space="preserve"> </w:t>
            </w:r>
            <w:r w:rsidRPr="00FE141C">
              <w:rPr>
                <w:rFonts w:ascii="Times New Roman" w:hAnsi="Times New Roman" w:cs="Times New Roman"/>
                <w:bCs/>
                <w:color w:val="000000" w:themeColor="text1"/>
                <w:sz w:val="26"/>
                <w:szCs w:val="26"/>
              </w:rPr>
              <w:t>Nr.1616</w:t>
            </w:r>
            <w:r w:rsidRPr="00FE141C">
              <w:rPr>
                <w:rFonts w:ascii="Times New Roman" w:hAnsi="Times New Roman" w:cs="Times New Roman"/>
                <w:color w:val="000000" w:themeColor="text1"/>
                <w:sz w:val="26"/>
                <w:szCs w:val="26"/>
              </w:rPr>
              <w:t xml:space="preserve"> „</w:t>
            </w:r>
            <w:r w:rsidR="002E1B6C" w:rsidRPr="00FE141C">
              <w:rPr>
                <w:rFonts w:ascii="Times New Roman" w:hAnsi="Times New Roman" w:cs="Times New Roman"/>
                <w:bCs/>
                <w:color w:val="000000" w:themeColor="text1"/>
                <w:sz w:val="26"/>
                <w:szCs w:val="26"/>
              </w:rPr>
              <w:t xml:space="preserve"> Par</w:t>
            </w:r>
            <w:r w:rsidR="002E1B6C" w:rsidRPr="00FE141C">
              <w:rPr>
                <w:rFonts w:ascii="Times New Roman" w:hAnsi="Times New Roman" w:cs="Times New Roman"/>
                <w:color w:val="000000" w:themeColor="text1"/>
                <w:sz w:val="26"/>
                <w:szCs w:val="26"/>
              </w:rPr>
              <w:t xml:space="preserve"> valsts budžeta mērķdotāciju pedagogu darba samaksa</w:t>
            </w:r>
            <w:r w:rsidR="002E1B6C" w:rsidRPr="00FE141C">
              <w:rPr>
                <w:rFonts w:ascii="Times New Roman" w:hAnsi="Times New Roman" w:cs="Times New Roman"/>
                <w:bCs/>
                <w:color w:val="000000" w:themeColor="text1"/>
                <w:sz w:val="26"/>
                <w:szCs w:val="26"/>
              </w:rPr>
              <w:t xml:space="preserve">i un pašvaldību vispārējās </w:t>
            </w:r>
            <w:r w:rsidR="002E1B6C" w:rsidRPr="00FE141C">
              <w:rPr>
                <w:rFonts w:ascii="Times New Roman" w:hAnsi="Times New Roman" w:cs="Times New Roman"/>
                <w:color w:val="000000" w:themeColor="text1"/>
                <w:sz w:val="26"/>
                <w:szCs w:val="26"/>
              </w:rPr>
              <w:t xml:space="preserve">izglītības </w:t>
            </w:r>
            <w:r w:rsidR="002E1B6C" w:rsidRPr="00FE141C">
              <w:rPr>
                <w:rFonts w:ascii="Times New Roman" w:hAnsi="Times New Roman" w:cs="Times New Roman"/>
                <w:bCs/>
                <w:color w:val="000000" w:themeColor="text1"/>
                <w:sz w:val="26"/>
                <w:szCs w:val="26"/>
              </w:rPr>
              <w:t>iestādēs un valsts augstskolu vispārējās vidējās izglītības iestādēs</w:t>
            </w:r>
            <w:r w:rsidRPr="00FE141C">
              <w:rPr>
                <w:rFonts w:ascii="Times New Roman" w:hAnsi="Times New Roman" w:cs="Times New Roman"/>
                <w:color w:val="000000" w:themeColor="text1"/>
                <w:sz w:val="26"/>
                <w:szCs w:val="26"/>
              </w:rPr>
              <w:t>” (turpmāk - noteikumi Nr.1616)</w:t>
            </w:r>
            <w:r w:rsidR="002E1B6C" w:rsidRPr="00FE141C">
              <w:rPr>
                <w:rFonts w:ascii="Times New Roman" w:hAnsi="Times New Roman" w:cs="Times New Roman"/>
                <w:color w:val="000000" w:themeColor="text1"/>
                <w:sz w:val="26"/>
                <w:szCs w:val="26"/>
              </w:rPr>
              <w:t xml:space="preserve"> pašvaldībām tiek </w:t>
            </w:r>
            <w:r w:rsidR="00F86797">
              <w:rPr>
                <w:rFonts w:ascii="Times New Roman" w:hAnsi="Times New Roman" w:cs="Times New Roman"/>
                <w:color w:val="000000" w:themeColor="text1"/>
                <w:sz w:val="26"/>
                <w:szCs w:val="26"/>
              </w:rPr>
              <w:t>aprēķināta</w:t>
            </w:r>
            <w:r w:rsidRPr="00FE141C">
              <w:rPr>
                <w:rFonts w:ascii="Times New Roman" w:hAnsi="Times New Roman" w:cs="Times New Roman"/>
                <w:color w:val="000000" w:themeColor="text1"/>
                <w:sz w:val="26"/>
                <w:szCs w:val="26"/>
              </w:rPr>
              <w:t xml:space="preserve"> valsts </w:t>
            </w:r>
            <w:r w:rsidRPr="00FE141C">
              <w:rPr>
                <w:rFonts w:ascii="Times New Roman" w:hAnsi="Times New Roman" w:cs="Times New Roman"/>
                <w:color w:val="000000" w:themeColor="text1"/>
                <w:sz w:val="26"/>
                <w:szCs w:val="26"/>
              </w:rPr>
              <w:lastRenderedPageBreak/>
              <w:t>budžeta mērķd</w:t>
            </w:r>
            <w:r w:rsidR="002E1B6C" w:rsidRPr="00FE141C">
              <w:rPr>
                <w:rFonts w:ascii="Times New Roman" w:hAnsi="Times New Roman" w:cs="Times New Roman"/>
                <w:color w:val="000000" w:themeColor="text1"/>
                <w:sz w:val="26"/>
                <w:szCs w:val="26"/>
              </w:rPr>
              <w:t xml:space="preserve">otācija pedagogu darba samaksai. </w:t>
            </w:r>
            <w:r w:rsidR="00743862" w:rsidRPr="00FE141C">
              <w:rPr>
                <w:rFonts w:ascii="Times New Roman" w:eastAsia="Times New Roman" w:hAnsi="Times New Roman" w:cs="Times New Roman"/>
                <w:sz w:val="26"/>
                <w:szCs w:val="26"/>
                <w:lang w:eastAsia="lv-LV"/>
              </w:rPr>
              <w:t xml:space="preserve">No 2009.gada 1.septembra Latvijā tika mainīts pedagogu darba samaksas modelis, ieviešot pedagogu darba samaksas aprēķinā principu </w:t>
            </w:r>
            <w:r w:rsidR="00743862" w:rsidRPr="00FE141C">
              <w:rPr>
                <w:rFonts w:ascii="Times New Roman" w:hAnsi="Times New Roman" w:cs="Times New Roman"/>
                <w:bCs/>
                <w:sz w:val="26"/>
                <w:szCs w:val="26"/>
              </w:rPr>
              <w:t>„</w:t>
            </w:r>
            <w:r w:rsidR="00743862" w:rsidRPr="00FE141C">
              <w:rPr>
                <w:rFonts w:ascii="Times New Roman" w:eastAsia="Times New Roman" w:hAnsi="Times New Roman" w:cs="Times New Roman"/>
                <w:sz w:val="26"/>
                <w:szCs w:val="26"/>
                <w:lang w:eastAsia="lv-LV"/>
              </w:rPr>
              <w:t>nauda seko skolēnam”, kas radīja iespēju mērķdotācijas pedagogu algām aprēķinu sasaistīt ar skolēnu skaitu, kā arī skolēnu vajadzību ievērošanu, lietojot papi</w:t>
            </w:r>
            <w:r w:rsidRPr="00FE141C">
              <w:rPr>
                <w:rFonts w:ascii="Times New Roman" w:eastAsia="Times New Roman" w:hAnsi="Times New Roman" w:cs="Times New Roman"/>
                <w:sz w:val="26"/>
                <w:szCs w:val="26"/>
                <w:lang w:eastAsia="lv-LV"/>
              </w:rPr>
              <w:t xml:space="preserve">ldu koeficientus </w:t>
            </w:r>
            <w:r w:rsidR="00743862" w:rsidRPr="00FE141C">
              <w:rPr>
                <w:rFonts w:ascii="Times New Roman" w:eastAsia="Times New Roman" w:hAnsi="Times New Roman" w:cs="Times New Roman"/>
                <w:sz w:val="26"/>
                <w:szCs w:val="26"/>
                <w:lang w:eastAsia="lv-LV"/>
              </w:rPr>
              <w:t>vairākām izglītības programmām,</w:t>
            </w:r>
            <w:r w:rsidR="000F0367" w:rsidRPr="00FE141C">
              <w:rPr>
                <w:rFonts w:ascii="Times New Roman" w:eastAsia="Times New Roman" w:hAnsi="Times New Roman" w:cs="Times New Roman"/>
                <w:sz w:val="26"/>
                <w:szCs w:val="26"/>
                <w:lang w:eastAsia="lv-LV"/>
              </w:rPr>
              <w:t xml:space="preserve"> kā arī </w:t>
            </w:r>
            <w:r w:rsidR="00743862" w:rsidRPr="00FE141C">
              <w:rPr>
                <w:rFonts w:ascii="Times New Roman" w:eastAsia="Times New Roman" w:hAnsi="Times New Roman" w:cs="Times New Roman"/>
                <w:sz w:val="26"/>
                <w:szCs w:val="26"/>
                <w:lang w:eastAsia="lv-LV"/>
              </w:rPr>
              <w:t xml:space="preserve">pielietoti koeficienti normētā izglītojamo skaita aprēķināšanai. </w:t>
            </w:r>
            <w:r w:rsidR="00C27A19" w:rsidRPr="00FE141C">
              <w:rPr>
                <w:rFonts w:ascii="Times New Roman" w:eastAsia="Times New Roman" w:hAnsi="Times New Roman" w:cs="Times New Roman"/>
                <w:sz w:val="26"/>
                <w:szCs w:val="26"/>
                <w:lang w:eastAsia="lv-LV"/>
              </w:rPr>
              <w:t xml:space="preserve">Veicot finansējuma izlietojuma analīzi, secināts, ka </w:t>
            </w:r>
            <w:r w:rsidRPr="00FE141C">
              <w:rPr>
                <w:rFonts w:ascii="Times New Roman" w:eastAsia="Times New Roman" w:hAnsi="Times New Roman" w:cs="Times New Roman"/>
                <w:sz w:val="26"/>
                <w:szCs w:val="26"/>
                <w:lang w:eastAsia="lv-LV"/>
              </w:rPr>
              <w:t xml:space="preserve">esošā koeficientu sistēma nestrādā vienlīdz godīgi visām pašvaldībām, jo </w:t>
            </w:r>
            <w:r w:rsidR="00A93BA9">
              <w:rPr>
                <w:rFonts w:ascii="Times New Roman" w:eastAsia="Times New Roman" w:hAnsi="Times New Roman" w:cs="Times New Roman"/>
                <w:sz w:val="26"/>
                <w:szCs w:val="26"/>
                <w:lang w:eastAsia="lv-LV"/>
              </w:rPr>
              <w:t xml:space="preserve">dažām </w:t>
            </w:r>
            <w:r w:rsidR="00C27A19" w:rsidRPr="00FE141C">
              <w:rPr>
                <w:rFonts w:ascii="Times New Roman" w:eastAsia="Times New Roman" w:hAnsi="Times New Roman" w:cs="Times New Roman"/>
                <w:sz w:val="26"/>
                <w:szCs w:val="26"/>
                <w:lang w:eastAsia="lv-LV"/>
              </w:rPr>
              <w:t>pašvaldībām aprēķināto pedagoģisko likmju skaits ir aprēķināts daudz vairāk nekā reāli ir nepieciešams mācību procesa nodrošināšanai, kā rezultātā ir iespēja noteikt augst</w:t>
            </w:r>
            <w:r w:rsidR="00FE141C" w:rsidRPr="00FE141C">
              <w:rPr>
                <w:rFonts w:ascii="Times New Roman" w:eastAsia="Times New Roman" w:hAnsi="Times New Roman" w:cs="Times New Roman"/>
                <w:sz w:val="26"/>
                <w:szCs w:val="26"/>
                <w:lang w:eastAsia="lv-LV"/>
              </w:rPr>
              <w:t>ākas</w:t>
            </w:r>
            <w:r w:rsidR="00C27A19" w:rsidRPr="00FE141C">
              <w:rPr>
                <w:rFonts w:ascii="Times New Roman" w:eastAsia="Times New Roman" w:hAnsi="Times New Roman" w:cs="Times New Roman"/>
                <w:sz w:val="26"/>
                <w:szCs w:val="26"/>
                <w:lang w:eastAsia="lv-LV"/>
              </w:rPr>
              <w:t xml:space="preserve"> mēneša darba algas likmes skolotājiem, radot nevienlīdzību pedagogu atalgojumā. </w:t>
            </w:r>
            <w:r w:rsidRPr="00FE141C">
              <w:rPr>
                <w:rFonts w:ascii="Times New Roman" w:eastAsia="Times New Roman" w:hAnsi="Times New Roman" w:cs="Times New Roman"/>
                <w:sz w:val="26"/>
                <w:szCs w:val="26"/>
                <w:lang w:eastAsia="lv-LV"/>
              </w:rPr>
              <w:t>Tāpēc rodas nepieciešamība koriģēt koeficientus, lai panāktu efektīvāku finan</w:t>
            </w:r>
            <w:r w:rsidRPr="00232260">
              <w:rPr>
                <w:rFonts w:ascii="Times New Roman" w:eastAsia="Times New Roman" w:hAnsi="Times New Roman" w:cs="Times New Roman"/>
                <w:sz w:val="26"/>
                <w:szCs w:val="26"/>
                <w:lang w:eastAsia="lv-LV"/>
              </w:rPr>
              <w:t>sējuma izlietojumu izvirzīto mērķu īsteno</w:t>
            </w:r>
            <w:r w:rsidR="00324C7D" w:rsidRPr="00232260">
              <w:rPr>
                <w:rFonts w:ascii="Times New Roman" w:eastAsia="Times New Roman" w:hAnsi="Times New Roman" w:cs="Times New Roman"/>
                <w:sz w:val="26"/>
                <w:szCs w:val="26"/>
                <w:lang w:eastAsia="lv-LV"/>
              </w:rPr>
              <w:t>šanai, kā arī veicināt optimāla skolu tīkla izveidi.</w:t>
            </w:r>
          </w:p>
          <w:p w14:paraId="22F97CC3" w14:textId="1DBEA917" w:rsidR="0005557D" w:rsidRDefault="00232260" w:rsidP="00C348E6">
            <w:pPr>
              <w:pStyle w:val="NoSpacing"/>
              <w:jc w:val="both"/>
              <w:rPr>
                <w:sz w:val="26"/>
                <w:szCs w:val="26"/>
              </w:rPr>
            </w:pPr>
            <w:r w:rsidRPr="00232260">
              <w:rPr>
                <w:sz w:val="26"/>
                <w:szCs w:val="26"/>
              </w:rPr>
              <w:t xml:space="preserve">Īstenojot Izglītības attīstības pamatnostādnēs 2014. – 2020.gadam definēto mērķi – iekļaujoša un kvalitatīva izglītība personības attīstībai, cilvēku labklājībai un ilgtspējīgai valsts izaugsmei – ministrija ir uzsākusi darbības, kas vērstas uz iekļaujošas izglītības principa stiprināšanu. Latvijas sociālekonomiskās situācijas radītās sekas stiprinājušas vēsturiski pārmantotu tradīciju veidot </w:t>
            </w:r>
            <w:proofErr w:type="spellStart"/>
            <w:r w:rsidRPr="00232260">
              <w:rPr>
                <w:sz w:val="26"/>
                <w:szCs w:val="26"/>
              </w:rPr>
              <w:t>segregētu</w:t>
            </w:r>
            <w:proofErr w:type="spellEnd"/>
            <w:r w:rsidRPr="00232260">
              <w:rPr>
                <w:sz w:val="26"/>
                <w:szCs w:val="26"/>
              </w:rPr>
              <w:t xml:space="preserve"> vidi bērniem no maznodrošinātām un trūcīgām ģimenēm, tādējādi veicinot sociālo noslāņošanos un atbalstot internātskolas kā specifisku izglītības iestāžu tipu, kas nodrošina salīdzinoši zemu izglītības kvalitāti. Ilgtermiņa pasākumi izglītības nozarē vērsti uz tāda atbalsta sniegšanu iepriekš minētajām bērnu grupām, kas veicinātu viņu socializēšanos un iekļaušanos sabiedrībā, kā arī nodrošinātu vienlīdzīgas iespējas kvalitatīvas izglītības ieguvei. Arī Ministru prezidentes </w:t>
            </w:r>
            <w:proofErr w:type="spellStart"/>
            <w:r w:rsidRPr="00232260">
              <w:rPr>
                <w:sz w:val="26"/>
                <w:szCs w:val="26"/>
              </w:rPr>
              <w:t>L.Straujumas</w:t>
            </w:r>
            <w:proofErr w:type="spellEnd"/>
            <w:r w:rsidRPr="00232260">
              <w:rPr>
                <w:sz w:val="26"/>
                <w:szCs w:val="26"/>
              </w:rPr>
              <w:t xml:space="preserve"> vadītajās darba grupās par pedagogu darba samaksas jaunā modeļa izstrādi izskanējis viedoklis par esošo internātskolu darbības izvērtēšanu, īpaši finanšu resursu efektivitātes kontekstā.</w:t>
            </w:r>
            <w:r>
              <w:rPr>
                <w:sz w:val="26"/>
                <w:szCs w:val="26"/>
              </w:rPr>
              <w:t xml:space="preserve"> </w:t>
            </w:r>
            <w:r w:rsidRPr="00232260">
              <w:rPr>
                <w:sz w:val="26"/>
                <w:szCs w:val="26"/>
              </w:rPr>
              <w:t>Ņemot vērā minēto, p</w:t>
            </w:r>
            <w:r w:rsidR="0005557D" w:rsidRPr="00232260">
              <w:rPr>
                <w:sz w:val="26"/>
                <w:szCs w:val="26"/>
                <w:lang w:eastAsia="lv-LV"/>
              </w:rPr>
              <w:t>rojekt</w:t>
            </w:r>
            <w:r w:rsidR="000F0367" w:rsidRPr="00232260">
              <w:rPr>
                <w:sz w:val="26"/>
                <w:szCs w:val="26"/>
                <w:lang w:eastAsia="lv-LV"/>
              </w:rPr>
              <w:t>s turpmāk būs</w:t>
            </w:r>
            <w:r w:rsidR="000F0367" w:rsidRPr="00FE141C">
              <w:rPr>
                <w:sz w:val="26"/>
                <w:szCs w:val="26"/>
                <w:lang w:eastAsia="lv-LV"/>
              </w:rPr>
              <w:t xml:space="preserve"> attiecināms uz pašvaldību </w:t>
            </w:r>
            <w:r w:rsidR="0005557D" w:rsidRPr="00FE141C">
              <w:rPr>
                <w:sz w:val="26"/>
                <w:szCs w:val="26"/>
                <w:lang w:eastAsia="lv-LV"/>
              </w:rPr>
              <w:t>intern</w:t>
            </w:r>
            <w:r w:rsidR="000F0367" w:rsidRPr="00FE141C">
              <w:rPr>
                <w:sz w:val="26"/>
                <w:szCs w:val="26"/>
                <w:lang w:eastAsia="lv-LV"/>
              </w:rPr>
              <w:t>ātskolu (16 iestādes) pedagogu darba samaksu, jo minēto iestāžu pedagogi īsteno vispārējās izglītības programmas. L</w:t>
            </w:r>
            <w:r w:rsidR="0005557D" w:rsidRPr="00FE141C">
              <w:rPr>
                <w:sz w:val="26"/>
                <w:szCs w:val="26"/>
                <w:lang w:eastAsia="lv-LV"/>
              </w:rPr>
              <w:t xml:space="preserve">īdz šim pedagogu darba samaksu </w:t>
            </w:r>
            <w:r w:rsidR="000F0367" w:rsidRPr="00FE141C">
              <w:rPr>
                <w:sz w:val="26"/>
                <w:szCs w:val="26"/>
                <w:lang w:eastAsia="lv-LV"/>
              </w:rPr>
              <w:t xml:space="preserve">pašvaldību </w:t>
            </w:r>
            <w:r w:rsidR="0005557D" w:rsidRPr="00FE141C">
              <w:rPr>
                <w:sz w:val="26"/>
                <w:szCs w:val="26"/>
                <w:lang w:eastAsia="lv-LV"/>
              </w:rPr>
              <w:t xml:space="preserve">internātskolās noteica saskaņā ar Ministru kabineta 2010.gada 31.augusta noteikumiem Nr.825 “Speciālās izglītības iestāžu, vispārējās izglītības iestāžu speciālās izglītības (klašu) un internātskolu finansēšanas kārtība” (turpmāk – noteikumi Nr.825). Saskaņā ar noteikumiem Nr.825 finansējumu </w:t>
            </w:r>
            <w:r w:rsidR="000F0367" w:rsidRPr="00FE141C">
              <w:rPr>
                <w:sz w:val="26"/>
                <w:szCs w:val="26"/>
                <w:lang w:eastAsia="lv-LV"/>
              </w:rPr>
              <w:t xml:space="preserve">pašvaldību </w:t>
            </w:r>
            <w:r w:rsidR="0005557D" w:rsidRPr="00FE141C">
              <w:rPr>
                <w:sz w:val="26"/>
                <w:szCs w:val="26"/>
                <w:lang w:eastAsia="lv-LV"/>
              </w:rPr>
              <w:t xml:space="preserve">internātskolām pedagogu darba samaksai aprēķināja saskaņā ar pieprasītajām pedagoģiskajām likmēm. </w:t>
            </w:r>
            <w:r w:rsidR="004752FA" w:rsidRPr="00FE141C">
              <w:rPr>
                <w:sz w:val="26"/>
                <w:szCs w:val="26"/>
              </w:rPr>
              <w:t xml:space="preserve">Ņemot vērā, ka </w:t>
            </w:r>
            <w:r w:rsidR="000F0367" w:rsidRPr="00FE141C">
              <w:rPr>
                <w:sz w:val="26"/>
                <w:szCs w:val="26"/>
              </w:rPr>
              <w:lastRenderedPageBreak/>
              <w:t xml:space="preserve">pašvaldības </w:t>
            </w:r>
            <w:r w:rsidR="00F86797">
              <w:rPr>
                <w:sz w:val="26"/>
                <w:szCs w:val="26"/>
              </w:rPr>
              <w:t xml:space="preserve">internātskolā (ja tā nav speciālā izglītības iestāde) </w:t>
            </w:r>
            <w:r w:rsidR="004752FA" w:rsidRPr="00FE141C">
              <w:rPr>
                <w:sz w:val="26"/>
                <w:szCs w:val="26"/>
              </w:rPr>
              <w:t>mācību process neatšķiras no mācību procesa vispārējā</w:t>
            </w:r>
            <w:r w:rsidR="00F86797">
              <w:rPr>
                <w:sz w:val="26"/>
                <w:szCs w:val="26"/>
              </w:rPr>
              <w:t>s</w:t>
            </w:r>
            <w:r w:rsidR="004752FA" w:rsidRPr="00FE141C">
              <w:rPr>
                <w:sz w:val="26"/>
                <w:szCs w:val="26"/>
              </w:rPr>
              <w:t xml:space="preserve"> izglītības </w:t>
            </w:r>
            <w:r w:rsidR="00F86797">
              <w:rPr>
                <w:sz w:val="26"/>
                <w:szCs w:val="26"/>
              </w:rPr>
              <w:t>iestādē</w:t>
            </w:r>
            <w:r w:rsidR="004752FA" w:rsidRPr="00FE141C">
              <w:rPr>
                <w:sz w:val="26"/>
                <w:szCs w:val="26"/>
              </w:rPr>
              <w:t>,</w:t>
            </w:r>
            <w:r w:rsidR="000F0367" w:rsidRPr="00FE141C">
              <w:rPr>
                <w:sz w:val="26"/>
                <w:szCs w:val="26"/>
              </w:rPr>
              <w:t xml:space="preserve"> kas nav internātskola,</w:t>
            </w:r>
            <w:r w:rsidR="004752FA" w:rsidRPr="00FE141C">
              <w:rPr>
                <w:sz w:val="26"/>
                <w:szCs w:val="26"/>
              </w:rPr>
              <w:t xml:space="preserve"> ministrija uzskata, ka finansējums pedagogu darba samaksai aprēķināms pēc principa “nauda seko skolēnam”. </w:t>
            </w:r>
            <w:r w:rsidR="00F86797">
              <w:rPr>
                <w:sz w:val="26"/>
                <w:szCs w:val="26"/>
              </w:rPr>
              <w:t>Izglītojamā</w:t>
            </w:r>
            <w:r w:rsidR="004752FA" w:rsidRPr="00FE141C">
              <w:rPr>
                <w:sz w:val="26"/>
                <w:szCs w:val="26"/>
              </w:rPr>
              <w:t xml:space="preserve"> ievietošana internātskolā, kas pēc savas būtības līdzinās institucionālai aprūpei (</w:t>
            </w:r>
            <w:proofErr w:type="spellStart"/>
            <w:r w:rsidR="004752FA" w:rsidRPr="00FE141C">
              <w:rPr>
                <w:sz w:val="26"/>
                <w:szCs w:val="26"/>
              </w:rPr>
              <w:t>ārpusģimenes</w:t>
            </w:r>
            <w:proofErr w:type="spellEnd"/>
            <w:r w:rsidR="004752FA" w:rsidRPr="00FE141C">
              <w:rPr>
                <w:sz w:val="26"/>
                <w:szCs w:val="26"/>
              </w:rPr>
              <w:t xml:space="preserve"> aprūpei bērnu ilgstošas sociālās aprūpes un sociālās rehabilitācijas institūcijās), bieži vien tiek izvēlēts kā atbilstošākais un pašvaldībām finansiāli izdevīgais risinājums, jo valsts pilnībā finansē internātskolas – gan pedagogu darba samaksu, gan uzturēšanās izdevumus</w:t>
            </w:r>
            <w:r>
              <w:rPr>
                <w:sz w:val="26"/>
                <w:szCs w:val="26"/>
              </w:rPr>
              <w:t>.</w:t>
            </w:r>
            <w:r w:rsidR="00A149A4" w:rsidRPr="00A149A4">
              <w:rPr>
                <w:color w:val="FF0000"/>
                <w:sz w:val="26"/>
                <w:szCs w:val="26"/>
              </w:rPr>
              <w:t xml:space="preserve"> </w:t>
            </w:r>
            <w:r w:rsidR="003D26CB" w:rsidRPr="00FE141C">
              <w:rPr>
                <w:sz w:val="26"/>
                <w:szCs w:val="26"/>
              </w:rPr>
              <w:t xml:space="preserve">Ņemot vērā, ka ministrija ir atbildība par izglītības procesa nodrošināšanu, nevis </w:t>
            </w:r>
            <w:r w:rsidR="003D26CB" w:rsidRPr="00FE141C">
              <w:rPr>
                <w:color w:val="000000"/>
                <w:sz w:val="26"/>
                <w:szCs w:val="26"/>
              </w:rPr>
              <w:t>atbalsta sistēmu ģimenēm nodrošināšanu pašvaldību līmenī, m</w:t>
            </w:r>
            <w:r w:rsidR="004752FA" w:rsidRPr="00FE141C">
              <w:rPr>
                <w:sz w:val="26"/>
                <w:szCs w:val="26"/>
              </w:rPr>
              <w:t xml:space="preserve">inistrija rosinās pašvaldībām no 2017.gada 1.janvāra pārņemt internātskolas savā pārvaldībā, sedzot uzturēšanas izdevumus no pašvaldības budžeta. </w:t>
            </w:r>
            <w:r w:rsidR="00A42960">
              <w:rPr>
                <w:sz w:val="26"/>
                <w:szCs w:val="26"/>
              </w:rPr>
              <w:t>Tādējādi, ir pārskatāmi Ministru kabineta 1999.gada 13.jūlija noteikumi Nr.</w:t>
            </w:r>
            <w:r w:rsidR="00A42960" w:rsidRPr="00A42960">
              <w:rPr>
                <w:sz w:val="26"/>
                <w:szCs w:val="26"/>
              </w:rPr>
              <w:t>250 “</w:t>
            </w:r>
            <w:r w:rsidR="00A42960" w:rsidRPr="00A42960">
              <w:rPr>
                <w:bCs/>
                <w:sz w:val="26"/>
                <w:szCs w:val="26"/>
              </w:rPr>
              <w:t>Kārtība, kādā veicami pašvaldību savstarpējie norēķini par izglītības iestāžu vai sociālās aprūpes iestāžu sniegtajiem pakalpojumiem”</w:t>
            </w:r>
            <w:r w:rsidR="00A42960">
              <w:rPr>
                <w:sz w:val="26"/>
                <w:szCs w:val="26"/>
              </w:rPr>
              <w:t xml:space="preserve">, paredzot pašvaldību savstarpējos norēķinus   par skolēniem, kas mācās internātskolās no citām pašvaldībām. </w:t>
            </w:r>
            <w:r w:rsidR="00A42960" w:rsidRPr="00A42960">
              <w:rPr>
                <w:sz w:val="26"/>
                <w:szCs w:val="26"/>
              </w:rPr>
              <w:t xml:space="preserve"> </w:t>
            </w:r>
            <w:r w:rsidR="00FE0176" w:rsidRPr="00FE0176">
              <w:rPr>
                <w:sz w:val="26"/>
                <w:szCs w:val="26"/>
              </w:rPr>
              <w:t>Projekta izstrādes procesā finansējums internātskolu pedagogu darba samaksai, kā līdz šim, iekļauts 62.resora programmā 01.00.00 “Mērķdotācijas izglītības pasākumiem”. Pēc projekta apstiprināšanas Ministru kabinetā, IZM veiks pārdali starp 62.resora programmām.</w:t>
            </w:r>
          </w:p>
          <w:p w14:paraId="209B608D" w14:textId="77777777" w:rsidR="00FE0176" w:rsidRPr="00232260" w:rsidRDefault="00FE0176" w:rsidP="00C348E6">
            <w:pPr>
              <w:pStyle w:val="NoSpacing"/>
              <w:jc w:val="both"/>
              <w:rPr>
                <w:sz w:val="24"/>
                <w:szCs w:val="24"/>
              </w:rPr>
            </w:pPr>
          </w:p>
          <w:p w14:paraId="6CF16C2F" w14:textId="2F4E3F41" w:rsidR="002E1B6C" w:rsidRPr="00FE141C" w:rsidRDefault="0017761E" w:rsidP="00C348E6">
            <w:pPr>
              <w:spacing w:after="0" w:line="240" w:lineRule="auto"/>
              <w:jc w:val="both"/>
              <w:rPr>
                <w:rFonts w:ascii="Times New Roman" w:eastAsia="Times New Roman" w:hAnsi="Times New Roman" w:cs="Times New Roman"/>
                <w:sz w:val="26"/>
                <w:szCs w:val="26"/>
                <w:lang w:eastAsia="lv-LV"/>
              </w:rPr>
            </w:pPr>
            <w:r w:rsidRPr="00FE141C">
              <w:rPr>
                <w:rFonts w:ascii="Times New Roman" w:eastAsia="Times New Roman" w:hAnsi="Times New Roman" w:cs="Times New Roman"/>
                <w:sz w:val="26"/>
                <w:szCs w:val="26"/>
                <w:lang w:eastAsia="lv-LV"/>
              </w:rPr>
              <w:t>Šobr</w:t>
            </w:r>
            <w:r w:rsidR="00882D50" w:rsidRPr="00FE141C">
              <w:rPr>
                <w:rFonts w:ascii="Times New Roman" w:eastAsia="Times New Roman" w:hAnsi="Times New Roman" w:cs="Times New Roman"/>
                <w:sz w:val="26"/>
                <w:szCs w:val="26"/>
                <w:lang w:eastAsia="lv-LV"/>
              </w:rPr>
              <w:t>īd noteikum</w:t>
            </w:r>
            <w:r w:rsidR="0091294B" w:rsidRPr="00FE141C">
              <w:rPr>
                <w:rFonts w:ascii="Times New Roman" w:eastAsia="Times New Roman" w:hAnsi="Times New Roman" w:cs="Times New Roman"/>
                <w:sz w:val="26"/>
                <w:szCs w:val="26"/>
                <w:lang w:eastAsia="lv-LV"/>
              </w:rPr>
              <w:t>o</w:t>
            </w:r>
            <w:r w:rsidR="00882D50" w:rsidRPr="00FE141C">
              <w:rPr>
                <w:rFonts w:ascii="Times New Roman" w:eastAsia="Times New Roman" w:hAnsi="Times New Roman" w:cs="Times New Roman"/>
                <w:sz w:val="26"/>
                <w:szCs w:val="26"/>
                <w:lang w:eastAsia="lv-LV"/>
              </w:rPr>
              <w:t>s</w:t>
            </w:r>
            <w:r w:rsidRPr="00FE141C">
              <w:rPr>
                <w:rFonts w:ascii="Times New Roman" w:eastAsia="Times New Roman" w:hAnsi="Times New Roman" w:cs="Times New Roman"/>
                <w:sz w:val="26"/>
                <w:szCs w:val="26"/>
                <w:lang w:eastAsia="lv-LV"/>
              </w:rPr>
              <w:t xml:space="preserve"> Nr.1616 noteikts, ka</w:t>
            </w:r>
            <w:r w:rsidR="00882D50" w:rsidRPr="00FE141C">
              <w:rPr>
                <w:rFonts w:ascii="Times New Roman" w:eastAsia="Times New Roman" w:hAnsi="Times New Roman" w:cs="Times New Roman"/>
                <w:sz w:val="26"/>
                <w:szCs w:val="26"/>
                <w:lang w:eastAsia="lv-LV"/>
              </w:rPr>
              <w:t xml:space="preserve"> </w:t>
            </w:r>
            <w:r w:rsidRPr="00FE141C">
              <w:rPr>
                <w:rFonts w:ascii="Times New Roman" w:eastAsia="Times New Roman" w:hAnsi="Times New Roman" w:cs="Times New Roman"/>
                <w:sz w:val="26"/>
                <w:szCs w:val="26"/>
                <w:lang w:eastAsia="lv-LV"/>
              </w:rPr>
              <w:t>mērķdot</w:t>
            </w:r>
            <w:r w:rsidR="0091294B" w:rsidRPr="00FE141C">
              <w:rPr>
                <w:rFonts w:ascii="Times New Roman" w:eastAsia="Times New Roman" w:hAnsi="Times New Roman" w:cs="Times New Roman"/>
                <w:sz w:val="26"/>
                <w:szCs w:val="26"/>
                <w:lang w:eastAsia="lv-LV"/>
              </w:rPr>
              <w:t>ācija</w:t>
            </w:r>
            <w:r w:rsidRPr="00FE141C">
              <w:rPr>
                <w:rFonts w:ascii="Times New Roman" w:eastAsia="Times New Roman" w:hAnsi="Times New Roman" w:cs="Times New Roman"/>
                <w:sz w:val="26"/>
                <w:szCs w:val="26"/>
                <w:lang w:eastAsia="lv-LV"/>
              </w:rPr>
              <w:t xml:space="preserve"> pedagogu darba samaksai attiecīgā gada septembrim – decembrim tiek aprēķināta</w:t>
            </w:r>
            <w:r w:rsidR="00F86797">
              <w:rPr>
                <w:rFonts w:ascii="Times New Roman" w:eastAsia="Times New Roman" w:hAnsi="Times New Roman" w:cs="Times New Roman"/>
                <w:sz w:val="26"/>
                <w:szCs w:val="26"/>
                <w:lang w:eastAsia="lv-LV"/>
              </w:rPr>
              <w:t>,</w:t>
            </w:r>
            <w:r w:rsidRPr="00FE141C">
              <w:rPr>
                <w:rFonts w:ascii="Times New Roman" w:eastAsia="Times New Roman" w:hAnsi="Times New Roman" w:cs="Times New Roman"/>
                <w:sz w:val="26"/>
                <w:szCs w:val="26"/>
                <w:lang w:eastAsia="lv-LV"/>
              </w:rPr>
              <w:t xml:space="preserve"> balstoties uz skolēnu skaitu attiecīgā gada 27.maijā</w:t>
            </w:r>
            <w:r w:rsidR="00882D50" w:rsidRPr="00FE141C">
              <w:rPr>
                <w:rFonts w:ascii="Times New Roman" w:eastAsia="Times New Roman" w:hAnsi="Times New Roman" w:cs="Times New Roman"/>
                <w:sz w:val="26"/>
                <w:szCs w:val="26"/>
                <w:lang w:eastAsia="lv-LV"/>
              </w:rPr>
              <w:t>, savukārt mērķdotācija</w:t>
            </w:r>
            <w:r w:rsidRPr="00FE141C">
              <w:rPr>
                <w:rFonts w:ascii="Times New Roman" w:eastAsia="Times New Roman" w:hAnsi="Times New Roman" w:cs="Times New Roman"/>
                <w:sz w:val="26"/>
                <w:szCs w:val="26"/>
                <w:lang w:eastAsia="lv-LV"/>
              </w:rPr>
              <w:t xml:space="preserve"> </w:t>
            </w:r>
            <w:r w:rsidR="00882D50" w:rsidRPr="00FE141C">
              <w:rPr>
                <w:rFonts w:ascii="Times New Roman" w:eastAsia="Times New Roman" w:hAnsi="Times New Roman" w:cs="Times New Roman"/>
                <w:sz w:val="26"/>
                <w:szCs w:val="26"/>
                <w:lang w:eastAsia="lv-LV"/>
              </w:rPr>
              <w:t xml:space="preserve">pedagogu darba samaksai attiecīgā gada janvārim – augustam tiek </w:t>
            </w:r>
            <w:r w:rsidR="00882D50" w:rsidRPr="007A2B52">
              <w:rPr>
                <w:rFonts w:ascii="Times New Roman" w:eastAsia="Times New Roman" w:hAnsi="Times New Roman" w:cs="Times New Roman"/>
                <w:sz w:val="26"/>
                <w:szCs w:val="26"/>
                <w:lang w:eastAsia="lv-LV"/>
              </w:rPr>
              <w:t>aprēķināta</w:t>
            </w:r>
            <w:r w:rsidR="00F86797" w:rsidRPr="007A2B52">
              <w:rPr>
                <w:rFonts w:ascii="Times New Roman" w:eastAsia="Times New Roman" w:hAnsi="Times New Roman" w:cs="Times New Roman"/>
                <w:sz w:val="26"/>
                <w:szCs w:val="26"/>
                <w:lang w:eastAsia="lv-LV"/>
              </w:rPr>
              <w:t>,</w:t>
            </w:r>
            <w:r w:rsidR="00882D50" w:rsidRPr="007A2B52">
              <w:rPr>
                <w:rFonts w:ascii="Times New Roman" w:eastAsia="Times New Roman" w:hAnsi="Times New Roman" w:cs="Times New Roman"/>
                <w:sz w:val="26"/>
                <w:szCs w:val="26"/>
                <w:lang w:eastAsia="lv-LV"/>
              </w:rPr>
              <w:t xml:space="preserve"> balstoties uz skolēnu skaitu iepriekšējā gada 1.septembrī. Ņemot vērā to, ka izglītojamo skaits izglītības iestādē gada laikā mainās (vislielākais – 1.septembrī, vismazākais – 27. maijā), pašvaldības, kurām ir būtisks skolēnu skaita pieaugums jaunajā mācību gadā ir neapmierinātas ar sadales kārtību un katru gadu informē ministriju par nepieciešamo finansējumu saistībā ar skolēnu skaita pieaugumu. </w:t>
            </w:r>
            <w:r w:rsidR="002E1B6C" w:rsidRPr="007A2B52">
              <w:rPr>
                <w:rFonts w:ascii="Times New Roman" w:eastAsia="Times New Roman" w:hAnsi="Times New Roman" w:cs="Times New Roman"/>
                <w:sz w:val="26"/>
                <w:szCs w:val="26"/>
                <w:lang w:eastAsia="lv-LV"/>
              </w:rPr>
              <w:t xml:space="preserve">Lai </w:t>
            </w:r>
            <w:r w:rsidR="0091294B" w:rsidRPr="007A2B52">
              <w:rPr>
                <w:rFonts w:ascii="Times New Roman" w:eastAsia="Times New Roman" w:hAnsi="Times New Roman" w:cs="Times New Roman"/>
                <w:sz w:val="26"/>
                <w:szCs w:val="26"/>
                <w:lang w:eastAsia="lv-LV"/>
              </w:rPr>
              <w:t>precīzi</w:t>
            </w:r>
            <w:r w:rsidR="002E1B6C" w:rsidRPr="007A2B52">
              <w:rPr>
                <w:rFonts w:ascii="Times New Roman" w:eastAsia="Times New Roman" w:hAnsi="Times New Roman" w:cs="Times New Roman"/>
                <w:sz w:val="26"/>
                <w:szCs w:val="26"/>
                <w:lang w:eastAsia="lv-LV"/>
              </w:rPr>
              <w:t xml:space="preserve"> aprēķinātu finansējumu pedagogu algām</w:t>
            </w:r>
            <w:r w:rsidR="0080452C" w:rsidRPr="007A2B52">
              <w:rPr>
                <w:rFonts w:ascii="Times New Roman" w:eastAsia="Times New Roman" w:hAnsi="Times New Roman" w:cs="Times New Roman"/>
                <w:sz w:val="26"/>
                <w:szCs w:val="26"/>
                <w:lang w:eastAsia="lv-LV"/>
              </w:rPr>
              <w:t xml:space="preserve"> </w:t>
            </w:r>
            <w:r w:rsidR="006A3B94">
              <w:rPr>
                <w:rFonts w:ascii="Times New Roman" w:eastAsia="Times New Roman" w:hAnsi="Times New Roman" w:cs="Times New Roman"/>
                <w:sz w:val="26"/>
                <w:szCs w:val="26"/>
                <w:lang w:eastAsia="lv-LV"/>
              </w:rPr>
              <w:t>atbilstoši mācību plānam attiecīgajā gadā,</w:t>
            </w:r>
            <w:r w:rsidR="00FE141C" w:rsidRPr="007A2B52">
              <w:rPr>
                <w:rFonts w:ascii="Times New Roman" w:eastAsia="Times New Roman" w:hAnsi="Times New Roman" w:cs="Times New Roman"/>
                <w:sz w:val="26"/>
                <w:szCs w:val="26"/>
                <w:lang w:eastAsia="lv-LV"/>
              </w:rPr>
              <w:t xml:space="preserve"> mērķdotāciju pedagogu darba samaksai aprēķinās balstoties uz skolēnu skaitu attiecīgā g</w:t>
            </w:r>
            <w:r w:rsidR="0080452C" w:rsidRPr="007A2B52">
              <w:rPr>
                <w:rFonts w:ascii="Times New Roman" w:eastAsia="Times New Roman" w:hAnsi="Times New Roman" w:cs="Times New Roman"/>
                <w:sz w:val="26"/>
                <w:szCs w:val="26"/>
                <w:lang w:eastAsia="lv-LV"/>
              </w:rPr>
              <w:t>ada 1.septembrī</w:t>
            </w:r>
            <w:r w:rsidR="006A3B94">
              <w:rPr>
                <w:rFonts w:ascii="Times New Roman" w:eastAsia="Times New Roman" w:hAnsi="Times New Roman" w:cs="Times New Roman"/>
                <w:sz w:val="26"/>
                <w:szCs w:val="26"/>
                <w:lang w:eastAsia="lv-LV"/>
              </w:rPr>
              <w:t>.</w:t>
            </w:r>
          </w:p>
          <w:p w14:paraId="39226226" w14:textId="029408C8" w:rsidR="004752FA" w:rsidRPr="00FE141C" w:rsidRDefault="004752FA" w:rsidP="00C348E6">
            <w:pPr>
              <w:spacing w:after="0" w:line="240" w:lineRule="auto"/>
              <w:jc w:val="both"/>
              <w:rPr>
                <w:rFonts w:ascii="Times New Roman" w:eastAsia="Times New Roman" w:hAnsi="Times New Roman" w:cs="Times New Roman"/>
                <w:sz w:val="26"/>
                <w:szCs w:val="26"/>
                <w:lang w:eastAsia="lv-LV"/>
              </w:rPr>
            </w:pPr>
          </w:p>
          <w:p w14:paraId="732AD04C" w14:textId="1874DE52" w:rsidR="000451FC" w:rsidRPr="00FE141C" w:rsidRDefault="00DB14A0" w:rsidP="00C348E6">
            <w:pPr>
              <w:spacing w:after="0" w:line="240" w:lineRule="auto"/>
              <w:jc w:val="both"/>
              <w:rPr>
                <w:rFonts w:ascii="Times New Roman" w:hAnsi="Times New Roman" w:cs="Times New Roman"/>
                <w:bCs/>
                <w:sz w:val="26"/>
                <w:szCs w:val="26"/>
                <w:u w:val="single"/>
              </w:rPr>
            </w:pPr>
            <w:r w:rsidRPr="00FE141C">
              <w:rPr>
                <w:rFonts w:ascii="Times New Roman" w:hAnsi="Times New Roman" w:cs="Times New Roman"/>
                <w:color w:val="000000" w:themeColor="text1"/>
                <w:sz w:val="26"/>
                <w:szCs w:val="26"/>
              </w:rPr>
              <w:t xml:space="preserve">Saskaņā ar noteikumu Nr.1616 6.punktu, aprēķinot normēto bērnu un skolēnu skaitu katrā izglītības pakāpē, piemēro koeficientus. </w:t>
            </w:r>
            <w:r w:rsidR="00FE141C">
              <w:rPr>
                <w:rFonts w:ascii="Times New Roman" w:hAnsi="Times New Roman" w:cs="Times New Roman"/>
                <w:color w:val="000000" w:themeColor="text1"/>
                <w:sz w:val="26"/>
                <w:szCs w:val="26"/>
              </w:rPr>
              <w:t xml:space="preserve">Ministrija rosina mainīt izglītības pakāpes koeficientus, nosakot izglītības pakāpes – 1.-6.klase, 7.-9.klase un 10.-12.klase. </w:t>
            </w:r>
            <w:r w:rsidRPr="00FE141C">
              <w:rPr>
                <w:rFonts w:ascii="Times New Roman" w:hAnsi="Times New Roman" w:cs="Times New Roman"/>
                <w:color w:val="000000" w:themeColor="text1"/>
                <w:sz w:val="26"/>
                <w:szCs w:val="26"/>
              </w:rPr>
              <w:lastRenderedPageBreak/>
              <w:t>Koeficienti izglītības pakāpei noteikti atbilstoši Vispārējās izglītības likuma 33.pantā noteikt</w:t>
            </w:r>
            <w:r w:rsidR="000451FC" w:rsidRPr="00FE141C">
              <w:rPr>
                <w:rFonts w:ascii="Times New Roman" w:hAnsi="Times New Roman" w:cs="Times New Roman"/>
                <w:color w:val="000000" w:themeColor="text1"/>
                <w:sz w:val="26"/>
                <w:szCs w:val="26"/>
              </w:rPr>
              <w:t>ajai</w:t>
            </w:r>
            <w:r w:rsidR="000451FC" w:rsidRPr="00FE141C">
              <w:rPr>
                <w:rFonts w:ascii="Times New Roman" w:hAnsi="Times New Roman" w:cs="Times New Roman"/>
                <w:bCs/>
                <w:sz w:val="26"/>
                <w:szCs w:val="26"/>
              </w:rPr>
              <w:t xml:space="preserve"> izglītojamā maksimālā mācību stundu slodzei nedēļā.</w:t>
            </w:r>
            <w:r w:rsidR="000451FC" w:rsidRPr="00FE141C">
              <w:rPr>
                <w:rFonts w:ascii="Times New Roman" w:hAnsi="Times New Roman" w:cs="Times New Roman"/>
                <w:bCs/>
                <w:sz w:val="26"/>
                <w:szCs w:val="26"/>
                <w:u w:val="single"/>
              </w:rPr>
              <w:t xml:space="preserve"> </w:t>
            </w:r>
          </w:p>
          <w:tbl>
            <w:tblPr>
              <w:tblStyle w:val="TableGrid"/>
              <w:tblW w:w="6799" w:type="dxa"/>
              <w:tblLook w:val="04A0" w:firstRow="1" w:lastRow="0" w:firstColumn="1" w:lastColumn="0" w:noHBand="0" w:noVBand="1"/>
            </w:tblPr>
            <w:tblGrid>
              <w:gridCol w:w="1129"/>
              <w:gridCol w:w="2581"/>
              <w:gridCol w:w="3089"/>
            </w:tblGrid>
            <w:tr w:rsidR="000451FC" w:rsidRPr="00FE141C" w14:paraId="53CB6A6C" w14:textId="77777777" w:rsidTr="00C348E6">
              <w:tc>
                <w:tcPr>
                  <w:tcW w:w="1129" w:type="dxa"/>
                </w:tcPr>
                <w:p w14:paraId="4BEF0602"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1.klase</w:t>
                  </w:r>
                </w:p>
              </w:tc>
              <w:tc>
                <w:tcPr>
                  <w:tcW w:w="2581" w:type="dxa"/>
                </w:tcPr>
                <w:p w14:paraId="2BC6638E"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22 stunda</w:t>
                  </w:r>
                </w:p>
              </w:tc>
              <w:tc>
                <w:tcPr>
                  <w:tcW w:w="3089" w:type="dxa"/>
                  <w:vMerge w:val="restart"/>
                </w:tcPr>
                <w:p w14:paraId="74E5F67B"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r w:rsidRPr="00FE141C">
                    <w:rPr>
                      <w:rFonts w:ascii="Times New Roman" w:hAnsi="Times New Roman" w:cs="Times New Roman"/>
                      <w:b/>
                      <w:sz w:val="26"/>
                      <w:szCs w:val="26"/>
                    </w:rPr>
                    <w:t>Kopā: 153 stundas</w:t>
                  </w:r>
                </w:p>
                <w:p w14:paraId="352DB9DB"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r w:rsidRPr="00FE141C">
                    <w:rPr>
                      <w:rFonts w:ascii="Times New Roman" w:hAnsi="Times New Roman" w:cs="Times New Roman"/>
                      <w:b/>
                      <w:sz w:val="26"/>
                      <w:szCs w:val="26"/>
                    </w:rPr>
                    <w:t xml:space="preserve">(vidēji 153/6=25,5 stundas) </w:t>
                  </w:r>
                </w:p>
                <w:p w14:paraId="363FD310"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p>
                <w:p w14:paraId="4990D1BF"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u w:val="single"/>
                    </w:rPr>
                  </w:pPr>
                  <w:r w:rsidRPr="00FE141C">
                    <w:rPr>
                      <w:rFonts w:ascii="Times New Roman" w:hAnsi="Times New Roman" w:cs="Times New Roman"/>
                      <w:b/>
                      <w:sz w:val="26"/>
                      <w:szCs w:val="26"/>
                      <w:u w:val="single"/>
                    </w:rPr>
                    <w:t xml:space="preserve"> stundu skaits, kas pieņemts kā 1</w:t>
                  </w:r>
                </w:p>
              </w:tc>
            </w:tr>
            <w:tr w:rsidR="000451FC" w:rsidRPr="00FE141C" w14:paraId="26F336B7" w14:textId="77777777" w:rsidTr="00C348E6">
              <w:tc>
                <w:tcPr>
                  <w:tcW w:w="1129" w:type="dxa"/>
                </w:tcPr>
                <w:p w14:paraId="3DBE8980"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2.klase</w:t>
                  </w:r>
                </w:p>
              </w:tc>
              <w:tc>
                <w:tcPr>
                  <w:tcW w:w="2581" w:type="dxa"/>
                </w:tcPr>
                <w:p w14:paraId="51ADCC4A"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23 stunda</w:t>
                  </w:r>
                </w:p>
              </w:tc>
              <w:tc>
                <w:tcPr>
                  <w:tcW w:w="3089" w:type="dxa"/>
                  <w:vMerge/>
                </w:tcPr>
                <w:p w14:paraId="13831617"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p>
              </w:tc>
            </w:tr>
            <w:tr w:rsidR="000451FC" w:rsidRPr="00FE141C" w14:paraId="23B34395" w14:textId="77777777" w:rsidTr="00C348E6">
              <w:tc>
                <w:tcPr>
                  <w:tcW w:w="1129" w:type="dxa"/>
                </w:tcPr>
                <w:p w14:paraId="5B86D376"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3.klase</w:t>
                  </w:r>
                </w:p>
              </w:tc>
              <w:tc>
                <w:tcPr>
                  <w:tcW w:w="2581" w:type="dxa"/>
                </w:tcPr>
                <w:p w14:paraId="5E6B2C8F"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24 stunda</w:t>
                  </w:r>
                </w:p>
              </w:tc>
              <w:tc>
                <w:tcPr>
                  <w:tcW w:w="3089" w:type="dxa"/>
                  <w:vMerge/>
                </w:tcPr>
                <w:p w14:paraId="509949DB"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p>
              </w:tc>
            </w:tr>
            <w:tr w:rsidR="000451FC" w:rsidRPr="00FE141C" w14:paraId="4EAF3A6F" w14:textId="77777777" w:rsidTr="00C348E6">
              <w:tc>
                <w:tcPr>
                  <w:tcW w:w="1129" w:type="dxa"/>
                </w:tcPr>
                <w:p w14:paraId="2F34699F"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4.klase</w:t>
                  </w:r>
                </w:p>
              </w:tc>
              <w:tc>
                <w:tcPr>
                  <w:tcW w:w="2581" w:type="dxa"/>
                </w:tcPr>
                <w:p w14:paraId="08C4BEF9"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26 stunda</w:t>
                  </w:r>
                </w:p>
              </w:tc>
              <w:tc>
                <w:tcPr>
                  <w:tcW w:w="3089" w:type="dxa"/>
                  <w:vMerge/>
                </w:tcPr>
                <w:p w14:paraId="7EDF117F"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p>
              </w:tc>
            </w:tr>
            <w:tr w:rsidR="000451FC" w:rsidRPr="00FE141C" w14:paraId="203A6106" w14:textId="77777777" w:rsidTr="00C348E6">
              <w:tc>
                <w:tcPr>
                  <w:tcW w:w="1129" w:type="dxa"/>
                </w:tcPr>
                <w:p w14:paraId="3361938F"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5.klase</w:t>
                  </w:r>
                </w:p>
              </w:tc>
              <w:tc>
                <w:tcPr>
                  <w:tcW w:w="2581" w:type="dxa"/>
                </w:tcPr>
                <w:p w14:paraId="4166A99E"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28 stunda</w:t>
                  </w:r>
                </w:p>
              </w:tc>
              <w:tc>
                <w:tcPr>
                  <w:tcW w:w="3089" w:type="dxa"/>
                  <w:vMerge/>
                </w:tcPr>
                <w:p w14:paraId="1A85F5FB"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p>
              </w:tc>
            </w:tr>
            <w:tr w:rsidR="000451FC" w:rsidRPr="00FE141C" w14:paraId="173E2F0F" w14:textId="77777777" w:rsidTr="00C348E6">
              <w:tc>
                <w:tcPr>
                  <w:tcW w:w="1129" w:type="dxa"/>
                </w:tcPr>
                <w:p w14:paraId="7AA8D78D"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6.klase</w:t>
                  </w:r>
                </w:p>
              </w:tc>
              <w:tc>
                <w:tcPr>
                  <w:tcW w:w="2581" w:type="dxa"/>
                </w:tcPr>
                <w:p w14:paraId="3A623B27"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30 stunda</w:t>
                  </w:r>
                </w:p>
              </w:tc>
              <w:tc>
                <w:tcPr>
                  <w:tcW w:w="3089" w:type="dxa"/>
                  <w:vMerge/>
                </w:tcPr>
                <w:p w14:paraId="6584159E"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p>
              </w:tc>
            </w:tr>
            <w:tr w:rsidR="000451FC" w:rsidRPr="00FE141C" w14:paraId="07503A65" w14:textId="77777777" w:rsidTr="00C348E6">
              <w:tc>
                <w:tcPr>
                  <w:tcW w:w="1129" w:type="dxa"/>
                </w:tcPr>
                <w:p w14:paraId="47A01210"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7.klase</w:t>
                  </w:r>
                </w:p>
              </w:tc>
              <w:tc>
                <w:tcPr>
                  <w:tcW w:w="2581" w:type="dxa"/>
                </w:tcPr>
                <w:p w14:paraId="62E1D1D1"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32 stunda</w:t>
                  </w:r>
                </w:p>
              </w:tc>
              <w:tc>
                <w:tcPr>
                  <w:tcW w:w="3089" w:type="dxa"/>
                  <w:vMerge w:val="restart"/>
                </w:tcPr>
                <w:p w14:paraId="55904214"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r w:rsidRPr="00FE141C">
                    <w:rPr>
                      <w:rFonts w:ascii="Times New Roman" w:hAnsi="Times New Roman" w:cs="Times New Roman"/>
                      <w:b/>
                      <w:sz w:val="26"/>
                      <w:szCs w:val="26"/>
                    </w:rPr>
                    <w:t xml:space="preserve">Kopā: 100 stundas </w:t>
                  </w:r>
                </w:p>
                <w:p w14:paraId="1A43C9F7"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r w:rsidRPr="00FE141C">
                    <w:rPr>
                      <w:rFonts w:ascii="Times New Roman" w:hAnsi="Times New Roman" w:cs="Times New Roman"/>
                      <w:b/>
                      <w:sz w:val="26"/>
                      <w:szCs w:val="26"/>
                    </w:rPr>
                    <w:t>(vidēji 100/3=33,33 stundas)</w:t>
                  </w:r>
                </w:p>
                <w:p w14:paraId="35A7D442"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p>
                <w:p w14:paraId="0286C56B"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r w:rsidRPr="00FE141C">
                    <w:rPr>
                      <w:rFonts w:ascii="Times New Roman" w:hAnsi="Times New Roman" w:cs="Times New Roman"/>
                      <w:b/>
                      <w:sz w:val="26"/>
                      <w:szCs w:val="26"/>
                    </w:rPr>
                    <w:t>33,33/25,5=1,3 koeficients</w:t>
                  </w:r>
                </w:p>
              </w:tc>
            </w:tr>
            <w:tr w:rsidR="000451FC" w:rsidRPr="00FE141C" w14:paraId="3B55F639" w14:textId="77777777" w:rsidTr="00C348E6">
              <w:tc>
                <w:tcPr>
                  <w:tcW w:w="1129" w:type="dxa"/>
                </w:tcPr>
                <w:p w14:paraId="2BDCE1BA"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8.klase</w:t>
                  </w:r>
                </w:p>
              </w:tc>
              <w:tc>
                <w:tcPr>
                  <w:tcW w:w="2581" w:type="dxa"/>
                </w:tcPr>
                <w:p w14:paraId="53CC6D68"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34 stunda</w:t>
                  </w:r>
                </w:p>
              </w:tc>
              <w:tc>
                <w:tcPr>
                  <w:tcW w:w="3089" w:type="dxa"/>
                  <w:vMerge/>
                </w:tcPr>
                <w:p w14:paraId="648E1F5C"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p>
              </w:tc>
            </w:tr>
            <w:tr w:rsidR="000451FC" w:rsidRPr="00FE141C" w14:paraId="56D331BC" w14:textId="77777777" w:rsidTr="00C348E6">
              <w:tc>
                <w:tcPr>
                  <w:tcW w:w="1129" w:type="dxa"/>
                </w:tcPr>
                <w:p w14:paraId="6BD3AE77"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9.klase</w:t>
                  </w:r>
                </w:p>
              </w:tc>
              <w:tc>
                <w:tcPr>
                  <w:tcW w:w="2581" w:type="dxa"/>
                </w:tcPr>
                <w:p w14:paraId="32D8E931"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34 stunda</w:t>
                  </w:r>
                </w:p>
              </w:tc>
              <w:tc>
                <w:tcPr>
                  <w:tcW w:w="3089" w:type="dxa"/>
                  <w:vMerge/>
                  <w:tcBorders>
                    <w:bottom w:val="single" w:sz="4" w:space="0" w:color="auto"/>
                  </w:tcBorders>
                </w:tcPr>
                <w:p w14:paraId="4676CE3F"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p>
              </w:tc>
            </w:tr>
            <w:tr w:rsidR="000451FC" w:rsidRPr="00FE141C" w14:paraId="2D790D82" w14:textId="77777777" w:rsidTr="00C348E6">
              <w:tc>
                <w:tcPr>
                  <w:tcW w:w="1129" w:type="dxa"/>
                </w:tcPr>
                <w:p w14:paraId="7F27D3E2"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10.klase</w:t>
                  </w:r>
                </w:p>
              </w:tc>
              <w:tc>
                <w:tcPr>
                  <w:tcW w:w="2581" w:type="dxa"/>
                </w:tcPr>
                <w:p w14:paraId="35F87618"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36 stunda</w:t>
                  </w:r>
                </w:p>
              </w:tc>
              <w:tc>
                <w:tcPr>
                  <w:tcW w:w="3089" w:type="dxa"/>
                  <w:vMerge w:val="restart"/>
                  <w:tcBorders>
                    <w:bottom w:val="single" w:sz="12" w:space="0" w:color="auto"/>
                  </w:tcBorders>
                </w:tcPr>
                <w:p w14:paraId="39BBD550"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r w:rsidRPr="00FE141C">
                    <w:rPr>
                      <w:rFonts w:ascii="Times New Roman" w:hAnsi="Times New Roman" w:cs="Times New Roman"/>
                      <w:b/>
                      <w:sz w:val="26"/>
                      <w:szCs w:val="26"/>
                    </w:rPr>
                    <w:t xml:space="preserve">Kopā: 108 stundas </w:t>
                  </w:r>
                </w:p>
                <w:p w14:paraId="75F32CF6"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r w:rsidRPr="00FE141C">
                    <w:rPr>
                      <w:rFonts w:ascii="Times New Roman" w:hAnsi="Times New Roman" w:cs="Times New Roman"/>
                      <w:b/>
                      <w:sz w:val="26"/>
                      <w:szCs w:val="26"/>
                    </w:rPr>
                    <w:t>(vidēji 108/3=36 stundas)</w:t>
                  </w:r>
                </w:p>
                <w:p w14:paraId="0D10BD7A"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p>
                <w:p w14:paraId="56419835"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b/>
                      <w:sz w:val="26"/>
                      <w:szCs w:val="26"/>
                    </w:rPr>
                  </w:pPr>
                  <w:r w:rsidRPr="00FE141C">
                    <w:rPr>
                      <w:rFonts w:ascii="Times New Roman" w:hAnsi="Times New Roman" w:cs="Times New Roman"/>
                      <w:b/>
                      <w:sz w:val="26"/>
                      <w:szCs w:val="26"/>
                    </w:rPr>
                    <w:t>36/25,5=1,4 koeficients</w:t>
                  </w:r>
                </w:p>
              </w:tc>
            </w:tr>
            <w:tr w:rsidR="000451FC" w:rsidRPr="00FE141C" w14:paraId="38B36D95" w14:textId="77777777" w:rsidTr="00C348E6">
              <w:tc>
                <w:tcPr>
                  <w:tcW w:w="1129" w:type="dxa"/>
                </w:tcPr>
                <w:p w14:paraId="18080F6B"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11.klase</w:t>
                  </w:r>
                </w:p>
              </w:tc>
              <w:tc>
                <w:tcPr>
                  <w:tcW w:w="2581" w:type="dxa"/>
                </w:tcPr>
                <w:p w14:paraId="08443186"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36 stunda</w:t>
                  </w:r>
                </w:p>
              </w:tc>
              <w:tc>
                <w:tcPr>
                  <w:tcW w:w="3089" w:type="dxa"/>
                  <w:vMerge/>
                  <w:tcBorders>
                    <w:bottom w:val="single" w:sz="12" w:space="0" w:color="auto"/>
                  </w:tcBorders>
                </w:tcPr>
                <w:p w14:paraId="3B2C9741"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p>
              </w:tc>
            </w:tr>
            <w:tr w:rsidR="000451FC" w:rsidRPr="00FE141C" w14:paraId="578ABC7D" w14:textId="77777777" w:rsidTr="00C348E6">
              <w:tc>
                <w:tcPr>
                  <w:tcW w:w="1129" w:type="dxa"/>
                </w:tcPr>
                <w:p w14:paraId="567FC638" w14:textId="77777777" w:rsidR="000451FC" w:rsidRPr="00FE141C" w:rsidRDefault="000451FC" w:rsidP="009A7205">
                  <w:pPr>
                    <w:framePr w:hSpace="180" w:wrap="around" w:vAnchor="text" w:hAnchor="margin" w:xAlign="center" w:y="31"/>
                    <w:suppressOverlap/>
                    <w:rPr>
                      <w:rFonts w:ascii="Times New Roman" w:hAnsi="Times New Roman" w:cs="Times New Roman"/>
                      <w:sz w:val="26"/>
                      <w:szCs w:val="26"/>
                    </w:rPr>
                  </w:pPr>
                  <w:r w:rsidRPr="00FE141C">
                    <w:rPr>
                      <w:rFonts w:ascii="Times New Roman" w:hAnsi="Times New Roman" w:cs="Times New Roman"/>
                      <w:sz w:val="26"/>
                      <w:szCs w:val="26"/>
                    </w:rPr>
                    <w:t>12.klase</w:t>
                  </w:r>
                </w:p>
              </w:tc>
              <w:tc>
                <w:tcPr>
                  <w:tcW w:w="2581" w:type="dxa"/>
                  <w:tcBorders>
                    <w:bottom w:val="single" w:sz="4" w:space="0" w:color="auto"/>
                  </w:tcBorders>
                </w:tcPr>
                <w:p w14:paraId="7EE42B0E"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r w:rsidRPr="00FE141C">
                    <w:rPr>
                      <w:rFonts w:ascii="Times New Roman" w:hAnsi="Times New Roman" w:cs="Times New Roman"/>
                      <w:sz w:val="26"/>
                      <w:szCs w:val="26"/>
                    </w:rPr>
                    <w:t>36 stunda</w:t>
                  </w:r>
                </w:p>
              </w:tc>
              <w:tc>
                <w:tcPr>
                  <w:tcW w:w="3089" w:type="dxa"/>
                  <w:vMerge/>
                  <w:tcBorders>
                    <w:bottom w:val="single" w:sz="12" w:space="0" w:color="auto"/>
                  </w:tcBorders>
                </w:tcPr>
                <w:p w14:paraId="1254BAB0" w14:textId="77777777" w:rsidR="000451FC" w:rsidRPr="00FE141C" w:rsidRDefault="000451FC" w:rsidP="009A7205">
                  <w:pPr>
                    <w:framePr w:hSpace="180" w:wrap="around" w:vAnchor="text" w:hAnchor="margin" w:xAlign="center" w:y="31"/>
                    <w:suppressOverlap/>
                    <w:jc w:val="center"/>
                    <w:rPr>
                      <w:rFonts w:ascii="Times New Roman" w:hAnsi="Times New Roman" w:cs="Times New Roman"/>
                      <w:sz w:val="26"/>
                      <w:szCs w:val="26"/>
                    </w:rPr>
                  </w:pPr>
                </w:p>
              </w:tc>
            </w:tr>
          </w:tbl>
          <w:p w14:paraId="6C459F96" w14:textId="77777777" w:rsidR="00E41E52" w:rsidRPr="00FE141C" w:rsidRDefault="00E41E52" w:rsidP="00C348E6">
            <w:pPr>
              <w:spacing w:after="0" w:line="240" w:lineRule="auto"/>
              <w:jc w:val="both"/>
              <w:rPr>
                <w:rFonts w:ascii="Times New Roman" w:hAnsi="Times New Roman" w:cs="Times New Roman"/>
                <w:color w:val="000000" w:themeColor="text1"/>
                <w:sz w:val="26"/>
                <w:szCs w:val="26"/>
              </w:rPr>
            </w:pPr>
          </w:p>
          <w:p w14:paraId="75A94004" w14:textId="1C9ED036" w:rsidR="00713D0C" w:rsidRPr="00F1461B" w:rsidRDefault="002E1B6C" w:rsidP="00C348E6">
            <w:pPr>
              <w:spacing w:after="0" w:line="240" w:lineRule="auto"/>
              <w:jc w:val="both"/>
              <w:rPr>
                <w:rFonts w:ascii="Times New Roman" w:eastAsia="Times New Roman" w:hAnsi="Times New Roman" w:cs="Times New Roman"/>
                <w:sz w:val="26"/>
                <w:szCs w:val="26"/>
                <w:lang w:eastAsia="lv-LV"/>
              </w:rPr>
            </w:pPr>
            <w:r w:rsidRPr="002E1B6C">
              <w:rPr>
                <w:rFonts w:ascii="Times New Roman" w:eastAsia="Times New Roman" w:hAnsi="Times New Roman" w:cs="Times New Roman"/>
                <w:sz w:val="26"/>
                <w:szCs w:val="26"/>
                <w:lang w:eastAsia="lv-LV"/>
              </w:rPr>
              <w:t>Latvijā gan pamatizglītības, gan vidējās izglītības iestādēs ir skolēnu skaita ziņā ļoti mazas klases</w:t>
            </w:r>
            <w:r w:rsidR="00A42960">
              <w:rPr>
                <w:rFonts w:ascii="Times New Roman" w:eastAsia="Times New Roman" w:hAnsi="Times New Roman" w:cs="Times New Roman"/>
                <w:sz w:val="26"/>
                <w:szCs w:val="26"/>
                <w:lang w:eastAsia="lv-LV"/>
              </w:rPr>
              <w:t xml:space="preserve">, </w:t>
            </w:r>
            <w:r w:rsidRPr="002E1B6C">
              <w:rPr>
                <w:rFonts w:ascii="Times New Roman" w:eastAsia="Times New Roman" w:hAnsi="Times New Roman" w:cs="Times New Roman"/>
                <w:sz w:val="26"/>
                <w:szCs w:val="26"/>
                <w:lang w:eastAsia="lv-LV"/>
              </w:rPr>
              <w:t>l</w:t>
            </w:r>
            <w:r w:rsidRPr="002E1B6C">
              <w:rPr>
                <w:rFonts w:ascii="Times New Roman" w:hAnsi="Times New Roman" w:cs="Times New Roman"/>
                <w:sz w:val="26"/>
                <w:szCs w:val="26"/>
              </w:rPr>
              <w:t xml:space="preserve">ai gan </w:t>
            </w:r>
            <w:r w:rsidRPr="002E1B6C">
              <w:rPr>
                <w:rFonts w:ascii="Times New Roman" w:eastAsia="Times New Roman" w:hAnsi="Times New Roman" w:cs="Times New Roman"/>
                <w:sz w:val="26"/>
                <w:szCs w:val="26"/>
                <w:lang w:eastAsia="lv-LV"/>
              </w:rPr>
              <w:t xml:space="preserve">princips </w:t>
            </w:r>
            <w:r w:rsidRPr="002E1B6C">
              <w:rPr>
                <w:rFonts w:ascii="Times New Roman" w:hAnsi="Times New Roman" w:cs="Times New Roman"/>
                <w:bCs/>
                <w:sz w:val="26"/>
                <w:szCs w:val="26"/>
              </w:rPr>
              <w:t>„</w:t>
            </w:r>
            <w:r w:rsidRPr="002E1B6C">
              <w:rPr>
                <w:rFonts w:ascii="Times New Roman" w:eastAsia="Times New Roman" w:hAnsi="Times New Roman" w:cs="Times New Roman"/>
                <w:sz w:val="26"/>
                <w:szCs w:val="26"/>
                <w:lang w:eastAsia="lv-LV"/>
              </w:rPr>
              <w:t>nauda seko skolēnam” rosināja pašvaldības sakārtot izglītības iestāžu tīklu. Tas ir viens no zemākajiem rādī</w:t>
            </w:r>
            <w:r w:rsidR="000E2A58">
              <w:rPr>
                <w:rFonts w:ascii="Times New Roman" w:eastAsia="Times New Roman" w:hAnsi="Times New Roman" w:cs="Times New Roman"/>
                <w:sz w:val="26"/>
                <w:szCs w:val="26"/>
                <w:lang w:eastAsia="lv-LV"/>
              </w:rPr>
              <w:t>tājiem ES un OECD dalībvalstīs. Attiecīgi</w:t>
            </w:r>
            <w:r w:rsidR="000E2A58" w:rsidRPr="00FE141C">
              <w:rPr>
                <w:rFonts w:ascii="Times New Roman" w:eastAsia="Times New Roman" w:hAnsi="Times New Roman" w:cs="Times New Roman"/>
                <w:sz w:val="26"/>
                <w:szCs w:val="26"/>
                <w:lang w:eastAsia="lv-LV"/>
              </w:rPr>
              <w:t xml:space="preserve"> novados, kur ir liels skolu īpatsvars ar mazu skolēnu skaitu tajās, finansējums nebija pietiekams, lai nodrošinātu visus atbalsta pasākumus izglītojamiem. Savukārt skolās ar pietiekamu skolēnu skaitu, bija iespējams optimāli nodrošināt atbalsta pasākumu skolēniem, kā arī </w:t>
            </w:r>
            <w:r w:rsidR="000E2A58" w:rsidRPr="00F1461B">
              <w:rPr>
                <w:rFonts w:ascii="Times New Roman" w:eastAsia="Times New Roman" w:hAnsi="Times New Roman" w:cs="Times New Roman"/>
                <w:sz w:val="26"/>
                <w:szCs w:val="26"/>
                <w:lang w:eastAsia="lv-LV"/>
              </w:rPr>
              <w:t>paaugstināt atalgojumu pedagogam par vienu likmi.</w:t>
            </w:r>
          </w:p>
          <w:p w14:paraId="4629D6F5" w14:textId="77777777" w:rsidR="00E1320C" w:rsidRPr="00F1461B" w:rsidRDefault="00E1320C" w:rsidP="00C348E6">
            <w:pPr>
              <w:spacing w:after="0" w:line="240" w:lineRule="auto"/>
              <w:jc w:val="both"/>
              <w:rPr>
                <w:rFonts w:ascii="Times New Roman" w:hAnsi="Times New Roman" w:cs="Times New Roman"/>
                <w:sz w:val="26"/>
                <w:szCs w:val="26"/>
              </w:rPr>
            </w:pPr>
            <w:r w:rsidRPr="00F1461B">
              <w:rPr>
                <w:rFonts w:ascii="Times New Roman" w:hAnsi="Times New Roman" w:cs="Times New Roman"/>
                <w:sz w:val="26"/>
                <w:szCs w:val="26"/>
              </w:rPr>
              <w:t xml:space="preserve">Izglītības attīstības pamatnostādnēs 2014.-2020.gadam kā viens no mērķiem minēts institucionālā tīkla sakārtošana, norādot, ka </w:t>
            </w:r>
            <w:r w:rsidRPr="00F1461B">
              <w:rPr>
                <w:rFonts w:ascii="Times New Roman" w:hAnsi="Times New Roman" w:cs="Times New Roman"/>
                <w:bCs/>
                <w:sz w:val="26"/>
                <w:szCs w:val="26"/>
              </w:rPr>
              <w:t>vispārējā vidējā izglītība</w:t>
            </w:r>
            <w:r w:rsidRPr="00F1461B">
              <w:rPr>
                <w:rFonts w:ascii="Times New Roman" w:hAnsi="Times New Roman" w:cs="Times New Roman"/>
                <w:sz w:val="26"/>
                <w:szCs w:val="26"/>
              </w:rPr>
              <w:t xml:space="preserve"> (10.-12.klase) pamatā koncentrējama reģionālas nozīmes pilsētās un novadu centros.</w:t>
            </w:r>
          </w:p>
          <w:p w14:paraId="0740D29E" w14:textId="53243BCE" w:rsidR="00713D0C" w:rsidRDefault="00713D0C" w:rsidP="00C348E6">
            <w:pPr>
              <w:spacing w:after="0" w:line="240" w:lineRule="auto"/>
              <w:jc w:val="both"/>
              <w:rPr>
                <w:rFonts w:ascii="Times New Roman" w:hAnsi="Times New Roman" w:cs="Times New Roman"/>
                <w:iCs/>
                <w:sz w:val="26"/>
                <w:szCs w:val="26"/>
              </w:rPr>
            </w:pPr>
            <w:r>
              <w:rPr>
                <w:rFonts w:ascii="Times New Roman" w:eastAsia="Times New Roman" w:hAnsi="Times New Roman" w:cs="Times New Roman"/>
                <w:sz w:val="26"/>
                <w:szCs w:val="26"/>
                <w:lang w:eastAsia="lv-LV"/>
              </w:rPr>
              <w:t xml:space="preserve">Lai rosinātu pašvaldības sakārtot izglītības iestāžu tīklu, ministrija  projektā iekļāvusi </w:t>
            </w:r>
            <w:r w:rsidR="00F86797">
              <w:rPr>
                <w:rFonts w:ascii="Times New Roman" w:eastAsia="Times New Roman" w:hAnsi="Times New Roman" w:cs="Times New Roman"/>
                <w:sz w:val="26"/>
                <w:szCs w:val="26"/>
                <w:lang w:eastAsia="lv-LV"/>
              </w:rPr>
              <w:t xml:space="preserve">atšķirīgus koeficientus atbilstoši skolēnu skaitam, </w:t>
            </w:r>
            <w:r w:rsidRPr="00713D0C">
              <w:rPr>
                <w:rFonts w:ascii="Times New Roman" w:hAnsi="Times New Roman" w:cs="Times New Roman"/>
                <w:iCs/>
                <w:sz w:val="26"/>
                <w:szCs w:val="26"/>
              </w:rPr>
              <w:t xml:space="preserve">ja pašvaldību izglītības iestādēs skolēnu skaits 7.-9.klasēs </w:t>
            </w:r>
            <w:r>
              <w:rPr>
                <w:rFonts w:ascii="Times New Roman" w:hAnsi="Times New Roman" w:cs="Times New Roman"/>
                <w:iCs/>
                <w:sz w:val="26"/>
                <w:szCs w:val="26"/>
              </w:rPr>
              <w:t xml:space="preserve">un 10.-12.klasēs </w:t>
            </w:r>
            <w:r w:rsidRPr="00713D0C">
              <w:rPr>
                <w:rFonts w:ascii="Times New Roman" w:hAnsi="Times New Roman" w:cs="Times New Roman"/>
                <w:iCs/>
                <w:sz w:val="26"/>
                <w:szCs w:val="26"/>
              </w:rPr>
              <w:t>atbildīs ministrijas noteiktajam posma piepildījumam, aprēķinot mērķdotāciju pašvaldībai skolēnu skaitam 7.9-.klasēs</w:t>
            </w:r>
            <w:r>
              <w:rPr>
                <w:rFonts w:ascii="Times New Roman" w:hAnsi="Times New Roman" w:cs="Times New Roman"/>
                <w:iCs/>
                <w:sz w:val="26"/>
                <w:szCs w:val="26"/>
              </w:rPr>
              <w:t xml:space="preserve"> un 10.-12.klasēs</w:t>
            </w:r>
            <w:r w:rsidRPr="00713D0C">
              <w:rPr>
                <w:rFonts w:ascii="Times New Roman" w:hAnsi="Times New Roman" w:cs="Times New Roman"/>
                <w:iCs/>
                <w:sz w:val="26"/>
                <w:szCs w:val="26"/>
              </w:rPr>
              <w:t xml:space="preserve"> tiks piemērots augstāks koeficients nekā gadījumā, ja noteikta</w:t>
            </w:r>
            <w:r>
              <w:rPr>
                <w:rFonts w:ascii="Times New Roman" w:hAnsi="Times New Roman" w:cs="Times New Roman"/>
                <w:iCs/>
                <w:sz w:val="26"/>
                <w:szCs w:val="26"/>
              </w:rPr>
              <w:t>is piepildījums netiks ievērots</w:t>
            </w:r>
            <w:r w:rsidRPr="00713D0C">
              <w:rPr>
                <w:rFonts w:ascii="Times New Roman" w:hAnsi="Times New Roman" w:cs="Times New Roman"/>
                <w:iCs/>
                <w:sz w:val="26"/>
                <w:szCs w:val="26"/>
              </w:rPr>
              <w:t xml:space="preserve">. Paaugstinot klašu piepildījumu, efektīvāk var tikt izmantots piešķirtais finansējums, nodrošinot </w:t>
            </w:r>
            <w:r w:rsidR="00F86797">
              <w:rPr>
                <w:rFonts w:ascii="Times New Roman" w:hAnsi="Times New Roman" w:cs="Times New Roman"/>
                <w:iCs/>
                <w:sz w:val="26"/>
                <w:szCs w:val="26"/>
              </w:rPr>
              <w:t>gan</w:t>
            </w:r>
            <w:r w:rsidRPr="00713D0C">
              <w:rPr>
                <w:rFonts w:ascii="Times New Roman" w:hAnsi="Times New Roman" w:cs="Times New Roman"/>
                <w:iCs/>
                <w:sz w:val="26"/>
                <w:szCs w:val="26"/>
              </w:rPr>
              <w:t xml:space="preserve"> pedagoga</w:t>
            </w:r>
            <w:r w:rsidR="00F86797">
              <w:rPr>
                <w:rFonts w:ascii="Times New Roman" w:hAnsi="Times New Roman" w:cs="Times New Roman"/>
                <w:iCs/>
                <w:sz w:val="26"/>
                <w:szCs w:val="26"/>
              </w:rPr>
              <w:t>m augstāku minimālo algas likmi, gan paplašinot atbalsta pasākumus skolēnam.</w:t>
            </w:r>
            <w:r w:rsidR="00014CFF">
              <w:rPr>
                <w:rFonts w:ascii="Times New Roman" w:hAnsi="Times New Roman" w:cs="Times New Roman"/>
                <w:iCs/>
                <w:sz w:val="26"/>
                <w:szCs w:val="26"/>
              </w:rPr>
              <w:t xml:space="preserve"> Lai veicinātu mazās sākumskolas (1-6.klases) nodrošināšanu tuvāk bērna mājām, ministrija 2016./2017.mācību </w:t>
            </w:r>
            <w:r w:rsidR="00014CFF">
              <w:rPr>
                <w:rFonts w:ascii="Times New Roman" w:hAnsi="Times New Roman" w:cs="Times New Roman"/>
                <w:iCs/>
                <w:sz w:val="26"/>
                <w:szCs w:val="26"/>
              </w:rPr>
              <w:lastRenderedPageBreak/>
              <w:t xml:space="preserve">gadā aprēķinās papildus koeficientu 1,25 skolēnu skaitam 1.-6.klasēs, ja skolēnu skaits izglītības iestādēs ir 70 skolēni un mazāk (142 izglītības iestādes). </w:t>
            </w:r>
            <w:r w:rsidR="00127706">
              <w:rPr>
                <w:rFonts w:ascii="Times New Roman" w:hAnsi="Times New Roman" w:cs="Times New Roman"/>
                <w:iCs/>
                <w:sz w:val="26"/>
                <w:szCs w:val="26"/>
              </w:rPr>
              <w:t>P</w:t>
            </w:r>
            <w:r w:rsidR="00014CFF">
              <w:rPr>
                <w:rFonts w:ascii="Times New Roman" w:hAnsi="Times New Roman" w:cs="Times New Roman"/>
                <w:iCs/>
                <w:sz w:val="26"/>
                <w:szCs w:val="26"/>
              </w:rPr>
              <w:t>ārejas noteikumos</w:t>
            </w:r>
            <w:r w:rsidR="00127706">
              <w:rPr>
                <w:rFonts w:ascii="Times New Roman" w:hAnsi="Times New Roman" w:cs="Times New Roman"/>
                <w:iCs/>
                <w:sz w:val="26"/>
                <w:szCs w:val="26"/>
              </w:rPr>
              <w:t xml:space="preserve"> šāda norma noteikta vienu mācību gadu, ļaujot pašvaldībām reorganizēt mazās pamatskolas par sākumskolām. Savukārt 2017./2018. un 2018./2019.mācību gadā plānots, ka paaugstinātu koeficientu aprēķinās </w:t>
            </w:r>
            <w:r w:rsidR="00ED59A6">
              <w:rPr>
                <w:rFonts w:ascii="Times New Roman" w:hAnsi="Times New Roman" w:cs="Times New Roman"/>
                <w:iCs/>
                <w:sz w:val="26"/>
                <w:szCs w:val="26"/>
              </w:rPr>
              <w:t>gan sākumskolām</w:t>
            </w:r>
            <w:r w:rsidR="004B76B4">
              <w:rPr>
                <w:rFonts w:ascii="Times New Roman" w:hAnsi="Times New Roman" w:cs="Times New Roman"/>
                <w:iCs/>
                <w:sz w:val="26"/>
                <w:szCs w:val="26"/>
              </w:rPr>
              <w:t xml:space="preserve"> līdz 70 skolēniem</w:t>
            </w:r>
            <w:r w:rsidR="00ED59A6">
              <w:rPr>
                <w:rFonts w:ascii="Times New Roman" w:hAnsi="Times New Roman" w:cs="Times New Roman"/>
                <w:iCs/>
                <w:sz w:val="26"/>
                <w:szCs w:val="26"/>
              </w:rPr>
              <w:t xml:space="preserve">, gan </w:t>
            </w:r>
            <w:r w:rsidR="00127706">
              <w:rPr>
                <w:rFonts w:ascii="Times New Roman" w:hAnsi="Times New Roman" w:cs="Times New Roman"/>
                <w:iCs/>
                <w:sz w:val="26"/>
                <w:szCs w:val="26"/>
              </w:rPr>
              <w:t>reo</w:t>
            </w:r>
            <w:r w:rsidR="00ED59A6">
              <w:rPr>
                <w:rFonts w:ascii="Times New Roman" w:hAnsi="Times New Roman" w:cs="Times New Roman"/>
                <w:iCs/>
                <w:sz w:val="26"/>
                <w:szCs w:val="26"/>
              </w:rPr>
              <w:t xml:space="preserve">rganizētām izglītības iestādēm (vidusskola var tik reorganizēta par pamatskolu un, ja skolēnu skaits ir līdz 70 skolēniem, tad aprēķinot finansējumu pašvaldībai skolēnu skaitam 1.-6.klasē </w:t>
            </w:r>
            <w:r w:rsidR="00C36CE6">
              <w:rPr>
                <w:rFonts w:ascii="Times New Roman" w:hAnsi="Times New Roman" w:cs="Times New Roman"/>
                <w:iCs/>
                <w:sz w:val="26"/>
                <w:szCs w:val="26"/>
              </w:rPr>
              <w:t>piemēros koeficientu 1,25).</w:t>
            </w:r>
          </w:p>
          <w:p w14:paraId="21C4CE97" w14:textId="3EAE0CB6" w:rsidR="007A2B52" w:rsidRDefault="007A2B52" w:rsidP="00C348E6">
            <w:pPr>
              <w:spacing w:after="0" w:line="240" w:lineRule="auto"/>
              <w:jc w:val="both"/>
              <w:rPr>
                <w:rFonts w:ascii="Times New Roman" w:hAnsi="Times New Roman" w:cs="Times New Roman"/>
                <w:sz w:val="26"/>
                <w:szCs w:val="26"/>
              </w:rPr>
            </w:pPr>
            <w:r w:rsidRPr="007A2B52">
              <w:rPr>
                <w:rFonts w:ascii="Times New Roman" w:hAnsi="Times New Roman" w:cs="Times New Roman"/>
                <w:sz w:val="26"/>
                <w:szCs w:val="26"/>
              </w:rPr>
              <w:t>Iekļaujošas izglītības īstenošanas kontekstā, kā to paredz I</w:t>
            </w:r>
            <w:r w:rsidR="002643D0">
              <w:rPr>
                <w:rFonts w:ascii="Times New Roman" w:hAnsi="Times New Roman" w:cs="Times New Roman"/>
                <w:sz w:val="26"/>
                <w:szCs w:val="26"/>
              </w:rPr>
              <w:t>zglītības attīstības pamatnostādnes (turpmāk – IAP)</w:t>
            </w:r>
            <w:r w:rsidRPr="007A2B52">
              <w:rPr>
                <w:rFonts w:ascii="Times New Roman" w:hAnsi="Times New Roman" w:cs="Times New Roman"/>
                <w:sz w:val="26"/>
                <w:szCs w:val="26"/>
              </w:rPr>
              <w:t xml:space="preserve"> 2014 – 2020 mērķis un plānotie pasākumi, nebūtu veicināma izglītojamo segregācija attiecībā uz viņa spēju, sasniegumu līmeņa ierobežošanu.</w:t>
            </w:r>
            <w:r>
              <w:rPr>
                <w:rFonts w:ascii="Times New Roman" w:hAnsi="Times New Roman" w:cs="Times New Roman"/>
                <w:sz w:val="26"/>
                <w:szCs w:val="26"/>
              </w:rPr>
              <w:t xml:space="preserve"> </w:t>
            </w:r>
            <w:r w:rsidRPr="007A2B52">
              <w:rPr>
                <w:rFonts w:ascii="Times New Roman" w:hAnsi="Times New Roman" w:cs="Times New Roman"/>
                <w:sz w:val="26"/>
                <w:szCs w:val="26"/>
              </w:rPr>
              <w:t xml:space="preserve">MK noteikumi Nr. 591 paredz pienākumu izglītības iestādei sniegt atbalsta pasākumus kārtēja gada vai nākamā mācību gada laikā bērniem, kuriem konstatētas grūtības mācīties (kā rezultātā – nepietiekami vērtējumi). Tādējādi uzsvars likts uz pedagoga iespējām/ nepieciešamību veikt individualizētu pieeju, sekmējot katra izglītojamā izaugsmi. </w:t>
            </w:r>
          </w:p>
          <w:p w14:paraId="11ECC3CD" w14:textId="3E55509F" w:rsidR="007A2B52" w:rsidRPr="007A2B52" w:rsidRDefault="007A2B52" w:rsidP="00C348E6">
            <w:pPr>
              <w:spacing w:after="0" w:line="240" w:lineRule="auto"/>
              <w:jc w:val="both"/>
              <w:rPr>
                <w:rFonts w:ascii="Times New Roman" w:hAnsi="Times New Roman" w:cs="Times New Roman"/>
                <w:sz w:val="26"/>
                <w:szCs w:val="26"/>
              </w:rPr>
            </w:pPr>
            <w:r w:rsidRPr="007A2B52">
              <w:rPr>
                <w:rFonts w:ascii="Times New Roman" w:hAnsi="Times New Roman" w:cs="Times New Roman"/>
                <w:sz w:val="26"/>
                <w:szCs w:val="26"/>
              </w:rPr>
              <w:t>Mācību procesa organizācija darbā ar iekļautajiem bērniem prasa papildus prasmes, sagatavošanās laikietilpīgāka, mācību procesa vadīšana ir sarežģītāks.</w:t>
            </w:r>
            <w:r>
              <w:rPr>
                <w:rFonts w:ascii="Times New Roman" w:hAnsi="Times New Roman" w:cs="Times New Roman"/>
                <w:sz w:val="26"/>
                <w:szCs w:val="26"/>
              </w:rPr>
              <w:t xml:space="preserve"> </w:t>
            </w:r>
            <w:r w:rsidRPr="007A2B52">
              <w:rPr>
                <w:rFonts w:ascii="Times New Roman" w:hAnsi="Times New Roman" w:cs="Times New Roman"/>
                <w:sz w:val="26"/>
                <w:szCs w:val="26"/>
              </w:rPr>
              <w:t xml:space="preserve">Koeficienta palielināšana </w:t>
            </w:r>
            <w:r>
              <w:rPr>
                <w:rFonts w:ascii="Times New Roman" w:hAnsi="Times New Roman" w:cs="Times New Roman"/>
                <w:sz w:val="26"/>
                <w:szCs w:val="26"/>
              </w:rPr>
              <w:t xml:space="preserve">skolēnu skaitam, kas apgūst speciālās izglītības programmas speciālās izglītības klasēs (grupās) vai integrēti vispārējās izglītības iestādē </w:t>
            </w:r>
            <w:r w:rsidRPr="007A2B52">
              <w:rPr>
                <w:rFonts w:ascii="Times New Roman" w:hAnsi="Times New Roman" w:cs="Times New Roman"/>
                <w:sz w:val="26"/>
                <w:szCs w:val="26"/>
              </w:rPr>
              <w:t>ir motivējošs faktors izglītības iestādēm, lai, īstenojot IAP 2014 – 2020. noteikto mērķi – iekļau</w:t>
            </w:r>
            <w:r>
              <w:rPr>
                <w:rFonts w:ascii="Times New Roman" w:hAnsi="Times New Roman" w:cs="Times New Roman"/>
                <w:sz w:val="26"/>
                <w:szCs w:val="26"/>
              </w:rPr>
              <w:t>joša un kvalitatīva izglītība,</w:t>
            </w:r>
            <w:r w:rsidRPr="007A2B52">
              <w:rPr>
                <w:rFonts w:ascii="Times New Roman" w:hAnsi="Times New Roman" w:cs="Times New Roman"/>
                <w:sz w:val="26"/>
                <w:szCs w:val="26"/>
              </w:rPr>
              <w:t xml:space="preserve"> 2017.gadā sasniegtu noteikto rezultatīvo rādītāju – vispārizglītojošajās skolās integrēto izglītojamo ar speciālām vajadzībām  skaita īpatsvars sastāda 10% no kopējā izglītojamo skaita (Bāzes vērtība 2012.gadā – 4%).</w:t>
            </w:r>
          </w:p>
          <w:p w14:paraId="0B6BD3EB" w14:textId="77777777" w:rsidR="007A2B52" w:rsidRDefault="007A2B52" w:rsidP="00C348E6">
            <w:pPr>
              <w:spacing w:after="0" w:line="240" w:lineRule="auto"/>
              <w:jc w:val="both"/>
              <w:rPr>
                <w:rFonts w:ascii="Times New Roman" w:eastAsia="Times New Roman" w:hAnsi="Times New Roman" w:cs="Times New Roman"/>
                <w:sz w:val="26"/>
                <w:szCs w:val="26"/>
                <w:lang w:eastAsia="lv-LV"/>
              </w:rPr>
            </w:pPr>
            <w:r w:rsidRPr="007A2B52">
              <w:rPr>
                <w:rFonts w:ascii="Times New Roman" w:eastAsia="Times New Roman" w:hAnsi="Times New Roman" w:cs="Times New Roman"/>
                <w:sz w:val="26"/>
                <w:szCs w:val="26"/>
                <w:lang w:eastAsia="lv-LV"/>
              </w:rPr>
              <w:t xml:space="preserve">Eksternis ir pilngadīga persona, kas pašizglītības veidā gada laikā apgūst atbilstoši valsts vispārējās izglītības standartu prasībām noteikto izglītības </w:t>
            </w:r>
            <w:r>
              <w:rPr>
                <w:rFonts w:ascii="Times New Roman" w:eastAsia="Times New Roman" w:hAnsi="Times New Roman" w:cs="Times New Roman"/>
                <w:sz w:val="26"/>
                <w:szCs w:val="26"/>
                <w:lang w:eastAsia="lv-LV"/>
              </w:rPr>
              <w:t>satura daļu, lai:</w:t>
            </w:r>
          </w:p>
          <w:p w14:paraId="5890C6A4" w14:textId="18D22E37" w:rsidR="007A2B52" w:rsidRPr="007A2B52" w:rsidRDefault="007A2B52" w:rsidP="00C348E6">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Pr="007A2B52">
              <w:rPr>
                <w:rFonts w:ascii="Times New Roman" w:eastAsia="Times New Roman" w:hAnsi="Times New Roman" w:cs="Times New Roman"/>
                <w:sz w:val="26"/>
                <w:szCs w:val="26"/>
                <w:lang w:eastAsia="lv-LV"/>
              </w:rPr>
              <w:t>iegūtu vai uzlabotu vērtējumus vispārējās pamatizglītības mācību priekšmetos, iegūstot dokumentu par vispārējās pamatizglītības apguvi;</w:t>
            </w:r>
          </w:p>
          <w:p w14:paraId="452174F8" w14:textId="09567B5A" w:rsidR="007A2B52" w:rsidRPr="007A2B52" w:rsidRDefault="007A2B52" w:rsidP="00C348E6">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Pr="007A2B52">
              <w:rPr>
                <w:rFonts w:ascii="Times New Roman" w:eastAsia="Times New Roman" w:hAnsi="Times New Roman" w:cs="Times New Roman"/>
                <w:sz w:val="26"/>
                <w:szCs w:val="26"/>
                <w:lang w:eastAsia="lv-LV"/>
              </w:rPr>
              <w:t>iegūtu dokumentu par vispārējās vidējās izglītības apguvi vakara (maiņu) vai neklātienes (tai skaitā tālmācības) izglītības programmā;</w:t>
            </w:r>
          </w:p>
          <w:p w14:paraId="7335AB8E" w14:textId="39D9C536" w:rsidR="007A2B52" w:rsidRDefault="007A2B52" w:rsidP="00C348E6">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Pr="007A2B52">
              <w:rPr>
                <w:rFonts w:ascii="Times New Roman" w:eastAsia="Times New Roman" w:hAnsi="Times New Roman" w:cs="Times New Roman"/>
                <w:sz w:val="26"/>
                <w:szCs w:val="26"/>
                <w:lang w:eastAsia="lv-LV"/>
              </w:rPr>
              <w:t>kārtotu valsts pārbaudījumus.</w:t>
            </w:r>
          </w:p>
          <w:p w14:paraId="726F7E68" w14:textId="45B590A3" w:rsidR="007A2B52" w:rsidRPr="007A2B52" w:rsidRDefault="00611191" w:rsidP="00C348E6">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lv-LV"/>
              </w:rPr>
              <w:t xml:space="preserve">Līdz šim eksterņi VIIS nebija izdalīti un koeficients skolēnu skaitam piemērots atbilstoši izglītības pakāpei un izglītības programmai. Ņemot vērā, ka eksternis </w:t>
            </w:r>
            <w:proofErr w:type="spellStart"/>
            <w:r>
              <w:rPr>
                <w:rFonts w:ascii="Times New Roman" w:eastAsia="Times New Roman" w:hAnsi="Times New Roman" w:cs="Times New Roman"/>
                <w:sz w:val="26"/>
                <w:szCs w:val="26"/>
                <w:lang w:eastAsia="lv-LV"/>
              </w:rPr>
              <w:t>pašizglītojošā</w:t>
            </w:r>
            <w:proofErr w:type="spellEnd"/>
            <w:r>
              <w:rPr>
                <w:rFonts w:ascii="Times New Roman" w:eastAsia="Times New Roman" w:hAnsi="Times New Roman" w:cs="Times New Roman"/>
                <w:sz w:val="26"/>
                <w:szCs w:val="26"/>
                <w:lang w:eastAsia="lv-LV"/>
              </w:rPr>
              <w:t xml:space="preserve"> ceļā apgūst </w:t>
            </w:r>
            <w:r>
              <w:rPr>
                <w:rFonts w:ascii="Times New Roman" w:eastAsia="Times New Roman" w:hAnsi="Times New Roman" w:cs="Times New Roman"/>
                <w:sz w:val="26"/>
                <w:szCs w:val="26"/>
                <w:lang w:eastAsia="lv-LV"/>
              </w:rPr>
              <w:lastRenderedPageBreak/>
              <w:t>valsts vidējās izglītības standarta prasībām noteikto izglītības daļu, īstenotajai programmai tiks noteikts koeficients 0,08.</w:t>
            </w:r>
          </w:p>
          <w:p w14:paraId="4B3F0542" w14:textId="362A8326" w:rsidR="009269D4" w:rsidRPr="00FE141C" w:rsidRDefault="00024980" w:rsidP="00C348E6">
            <w:pPr>
              <w:pStyle w:val="tv2131"/>
              <w:spacing w:line="240" w:lineRule="auto"/>
              <w:ind w:firstLine="0"/>
              <w:jc w:val="both"/>
              <w:rPr>
                <w:color w:val="000000" w:themeColor="text1"/>
                <w:sz w:val="26"/>
                <w:szCs w:val="26"/>
              </w:rPr>
            </w:pPr>
            <w:r w:rsidRPr="00FE141C">
              <w:rPr>
                <w:color w:val="000000" w:themeColor="text1"/>
                <w:sz w:val="26"/>
                <w:szCs w:val="26"/>
              </w:rPr>
              <w:t xml:space="preserve">Saskaņā </w:t>
            </w:r>
            <w:r w:rsidR="002643D0">
              <w:rPr>
                <w:color w:val="000000" w:themeColor="text1"/>
                <w:sz w:val="26"/>
                <w:szCs w:val="26"/>
              </w:rPr>
              <w:t xml:space="preserve">ar </w:t>
            </w:r>
            <w:r w:rsidR="00E41E52" w:rsidRPr="00FE141C">
              <w:rPr>
                <w:color w:val="000000" w:themeColor="text1"/>
                <w:sz w:val="26"/>
                <w:szCs w:val="26"/>
              </w:rPr>
              <w:t xml:space="preserve">noteikumu Nr.1616 </w:t>
            </w:r>
            <w:r w:rsidR="009269D4" w:rsidRPr="00FE141C">
              <w:rPr>
                <w:color w:val="000000" w:themeColor="text1"/>
                <w:sz w:val="26"/>
                <w:szCs w:val="26"/>
              </w:rPr>
              <w:t xml:space="preserve">7.3.apakšpunktā minēto skolēnu skaitam vakara (maiņu) un neklātienes (tai skaitā – tālmācības) vispārējās izglītības programmās piemēro koeficientu 0,75. </w:t>
            </w:r>
          </w:p>
          <w:p w14:paraId="4BB98393" w14:textId="3F69AF99" w:rsidR="009269D4" w:rsidRPr="00FE141C" w:rsidRDefault="009269D4" w:rsidP="00C348E6">
            <w:pPr>
              <w:spacing w:after="0" w:line="240" w:lineRule="auto"/>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 xml:space="preserve">Ieviešot pedagogu darba samaksas modeli “nauda seko skolēnam” un nosakot koeficientu neklātienes programmām, nebija izveidotas un licencētas tālmācības programmas, kas šobrīd ir viena no neklātienes izglītības programmu apguves formām. Tādēļ tālmācības programmām tika piemērots neklātienes vispārējās izglītības programmām paredzētais koeficients. </w:t>
            </w:r>
          </w:p>
          <w:p w14:paraId="3BA18433" w14:textId="69D6504A" w:rsidR="00987444" w:rsidRPr="00FE141C" w:rsidRDefault="00987444" w:rsidP="00C348E6">
            <w:pPr>
              <w:spacing w:after="0" w:line="240" w:lineRule="auto"/>
              <w:jc w:val="both"/>
              <w:rPr>
                <w:rFonts w:ascii="Times New Roman" w:hAnsi="Times New Roman" w:cs="Times New Roman"/>
                <w:sz w:val="26"/>
                <w:szCs w:val="26"/>
              </w:rPr>
            </w:pPr>
            <w:r w:rsidRPr="00FE141C">
              <w:rPr>
                <w:rFonts w:ascii="Times New Roman" w:hAnsi="Times New Roman" w:cs="Times New Roman"/>
                <w:bCs/>
                <w:color w:val="000000"/>
                <w:sz w:val="26"/>
                <w:szCs w:val="26"/>
              </w:rPr>
              <w:t xml:space="preserve">Izglītības likuma 1.panta 26.punktā ir noteikts, ka tālmācība </w:t>
            </w:r>
            <w:r w:rsidRPr="00FE141C">
              <w:rPr>
                <w:rFonts w:ascii="Times New Roman" w:hAnsi="Times New Roman" w:cs="Times New Roman"/>
                <w:color w:val="000000"/>
                <w:sz w:val="26"/>
                <w:szCs w:val="26"/>
              </w:rPr>
              <w:t>ir izglītības ieguves neklātienes formas paveids, kuru raksturo īpaši strukturēti</w:t>
            </w:r>
            <w:r w:rsidRPr="00FE141C">
              <w:rPr>
                <w:rFonts w:ascii="Times New Roman" w:hAnsi="Times New Roman" w:cs="Times New Roman"/>
                <w:sz w:val="26"/>
                <w:szCs w:val="26"/>
              </w:rPr>
              <w:t xml:space="preserve"> mācību materiāli, individuāls mācīšanās temps, īpaši organizēts izglītības sasniegumu novērtējums, kā arī dažādu tehnisko un elektronisko saziņas līdzekļu izmantošana. Savukārt Izglītības likuma 8.pantā pirmās daļas 2. punktā ir noteikts, ka viena no izglītības ieguves formām ir neklātiene, savukārt, tālmācība ir neklātienes mācību formas paveids. </w:t>
            </w:r>
          </w:p>
          <w:p w14:paraId="3E596208" w14:textId="339F5DA3" w:rsidR="00987444" w:rsidRPr="00FE141C" w:rsidRDefault="00987444" w:rsidP="00C348E6">
            <w:pPr>
              <w:spacing w:after="0" w:line="240" w:lineRule="auto"/>
              <w:jc w:val="both"/>
              <w:rPr>
                <w:rFonts w:ascii="Times New Roman" w:hAnsi="Times New Roman" w:cs="Times New Roman"/>
                <w:sz w:val="26"/>
                <w:szCs w:val="26"/>
              </w:rPr>
            </w:pPr>
            <w:r w:rsidRPr="00FE141C">
              <w:rPr>
                <w:rFonts w:ascii="Times New Roman" w:hAnsi="Times New Roman" w:cs="Times New Roman"/>
                <w:sz w:val="26"/>
                <w:szCs w:val="26"/>
              </w:rPr>
              <w:t xml:space="preserve">Saskaņā ar </w:t>
            </w:r>
            <w:r w:rsidR="004B7845" w:rsidRPr="00FE141C">
              <w:rPr>
                <w:rFonts w:ascii="Times New Roman" w:hAnsi="Times New Roman" w:cs="Times New Roman"/>
                <w:sz w:val="26"/>
                <w:szCs w:val="26"/>
              </w:rPr>
              <w:t xml:space="preserve"> Valsts izglītības informācijas sistēmas </w:t>
            </w:r>
            <w:r w:rsidR="00E41E52" w:rsidRPr="00FE141C">
              <w:rPr>
                <w:rFonts w:ascii="Times New Roman" w:hAnsi="Times New Roman" w:cs="Times New Roman"/>
                <w:sz w:val="26"/>
                <w:szCs w:val="26"/>
              </w:rPr>
              <w:t xml:space="preserve">VIIS </w:t>
            </w:r>
            <w:r w:rsidR="004B7845" w:rsidRPr="00FE141C">
              <w:rPr>
                <w:rFonts w:ascii="Times New Roman" w:hAnsi="Times New Roman" w:cs="Times New Roman"/>
                <w:sz w:val="26"/>
                <w:szCs w:val="26"/>
              </w:rPr>
              <w:t>datiem</w:t>
            </w:r>
            <w:r w:rsidR="00E41E52" w:rsidRPr="00FE141C">
              <w:rPr>
                <w:rFonts w:ascii="Times New Roman" w:hAnsi="Times New Roman" w:cs="Times New Roman"/>
                <w:sz w:val="26"/>
                <w:szCs w:val="26"/>
              </w:rPr>
              <w:t>, skolēnu skaits 2015</w:t>
            </w:r>
            <w:r w:rsidRPr="00FE141C">
              <w:rPr>
                <w:rFonts w:ascii="Times New Roman" w:hAnsi="Times New Roman" w:cs="Times New Roman"/>
                <w:sz w:val="26"/>
                <w:szCs w:val="26"/>
              </w:rPr>
              <w:t>.gada 1.septembrī neklātienes (ieskaitot tālmācības) izglītības programmās:</w:t>
            </w:r>
          </w:p>
          <w:p w14:paraId="0612AE04" w14:textId="7DE1051F" w:rsidR="00987444" w:rsidRPr="00FE141C" w:rsidRDefault="00987444" w:rsidP="00C348E6">
            <w:pPr>
              <w:numPr>
                <w:ilvl w:val="0"/>
                <w:numId w:val="6"/>
              </w:numPr>
              <w:spacing w:after="0" w:line="240" w:lineRule="auto"/>
              <w:jc w:val="both"/>
              <w:rPr>
                <w:rFonts w:ascii="Times New Roman" w:hAnsi="Times New Roman" w:cs="Times New Roman"/>
                <w:sz w:val="26"/>
                <w:szCs w:val="26"/>
              </w:rPr>
            </w:pPr>
            <w:r w:rsidRPr="00FE141C">
              <w:rPr>
                <w:rFonts w:ascii="Times New Roman" w:hAnsi="Times New Roman" w:cs="Times New Roman"/>
                <w:sz w:val="26"/>
                <w:szCs w:val="26"/>
              </w:rPr>
              <w:t xml:space="preserve">Juridisko un fizisko personu dibinātās izglītības iestādēs – </w:t>
            </w:r>
            <w:r w:rsidR="008723C4" w:rsidRPr="00FE141C">
              <w:rPr>
                <w:rFonts w:ascii="Times New Roman" w:hAnsi="Times New Roman" w:cs="Times New Roman"/>
                <w:sz w:val="26"/>
                <w:szCs w:val="26"/>
              </w:rPr>
              <w:t>1923</w:t>
            </w:r>
            <w:r w:rsidRPr="00FE141C">
              <w:rPr>
                <w:rFonts w:ascii="Times New Roman" w:hAnsi="Times New Roman" w:cs="Times New Roman"/>
                <w:sz w:val="26"/>
                <w:szCs w:val="26"/>
              </w:rPr>
              <w:t xml:space="preserve"> (7 iestādes)</w:t>
            </w:r>
          </w:p>
          <w:p w14:paraId="15AA9284" w14:textId="3DA064CB" w:rsidR="00987444" w:rsidRPr="00FE141C" w:rsidRDefault="00987444" w:rsidP="00C348E6">
            <w:pPr>
              <w:numPr>
                <w:ilvl w:val="0"/>
                <w:numId w:val="6"/>
              </w:numPr>
              <w:spacing w:after="0" w:line="240" w:lineRule="auto"/>
              <w:jc w:val="both"/>
              <w:rPr>
                <w:rFonts w:ascii="Times New Roman" w:hAnsi="Times New Roman" w:cs="Times New Roman"/>
                <w:sz w:val="26"/>
                <w:szCs w:val="26"/>
              </w:rPr>
            </w:pPr>
            <w:r w:rsidRPr="00FE141C">
              <w:rPr>
                <w:rFonts w:ascii="Times New Roman" w:hAnsi="Times New Roman" w:cs="Times New Roman"/>
                <w:sz w:val="26"/>
                <w:szCs w:val="26"/>
              </w:rPr>
              <w:t xml:space="preserve">Pašvaldību dibinātās izglītības iestādēs – </w:t>
            </w:r>
            <w:r w:rsidR="008723C4" w:rsidRPr="00FE141C">
              <w:rPr>
                <w:rFonts w:ascii="Times New Roman" w:hAnsi="Times New Roman" w:cs="Times New Roman"/>
                <w:sz w:val="26"/>
                <w:szCs w:val="26"/>
              </w:rPr>
              <w:t>5191 (73</w:t>
            </w:r>
            <w:r w:rsidRPr="00FE141C">
              <w:rPr>
                <w:rFonts w:ascii="Times New Roman" w:hAnsi="Times New Roman" w:cs="Times New Roman"/>
                <w:sz w:val="26"/>
                <w:szCs w:val="26"/>
              </w:rPr>
              <w:t xml:space="preserve"> iestādes).</w:t>
            </w:r>
          </w:p>
          <w:p w14:paraId="26F98D00" w14:textId="44C421DF" w:rsidR="009269D4" w:rsidRPr="00FE141C" w:rsidRDefault="009269D4" w:rsidP="00C348E6">
            <w:pPr>
              <w:spacing w:after="0" w:line="240" w:lineRule="auto"/>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Ņemot vērā Ministru kabineta 2013.gada 21.maija noteikumu Nr.281 “Noteikumi par valsts vispārējās vidējās izglītības standartu, mācību priekšmetu standartiem un izglītības programmu paraugiem” (turpmāk – noteikumi Nr.281) 27. un 28.pielikumā noteiktajos izglītības programmu paraugos norādīto izglītojamā mācību slodzi, secinām, ka ir būtiska atšķirība izglītojamo mācību slodzei izglītības ieguvei vakara (maiņu) formā (izglītojamā mācību stundu slodze līdz 2940 mācību stundām mācību gadā) un izglītības ieguvei neklātienes (tai skaitā tālmācības) formā (izglītojamā mācību stundu slodze līdz 1680 mācību stundām mācību gadā). Ievērojot efektīva valsts finan</w:t>
            </w:r>
            <w:r w:rsidR="00987444" w:rsidRPr="00FE141C">
              <w:rPr>
                <w:rFonts w:ascii="Times New Roman" w:hAnsi="Times New Roman" w:cs="Times New Roman"/>
                <w:color w:val="000000" w:themeColor="text1"/>
                <w:sz w:val="26"/>
                <w:szCs w:val="26"/>
              </w:rPr>
              <w:t xml:space="preserve">sējuma izlietošanas principu, </w:t>
            </w:r>
            <w:r w:rsidRPr="00FE141C">
              <w:rPr>
                <w:rFonts w:ascii="Times New Roman" w:hAnsi="Times New Roman" w:cs="Times New Roman"/>
                <w:color w:val="000000" w:themeColor="text1"/>
                <w:sz w:val="26"/>
                <w:szCs w:val="26"/>
              </w:rPr>
              <w:t xml:space="preserve">rosinām vakara (maiņu) vispārējās izglītības programmās </w:t>
            </w:r>
            <w:r w:rsidR="002643D0">
              <w:rPr>
                <w:rFonts w:ascii="Times New Roman" w:hAnsi="Times New Roman" w:cs="Times New Roman"/>
                <w:color w:val="000000" w:themeColor="text1"/>
                <w:sz w:val="26"/>
                <w:szCs w:val="26"/>
              </w:rPr>
              <w:t>noteikt koeficientu 0,85</w:t>
            </w:r>
            <w:r w:rsidRPr="00FE141C">
              <w:rPr>
                <w:rFonts w:ascii="Times New Roman" w:hAnsi="Times New Roman" w:cs="Times New Roman"/>
                <w:color w:val="000000" w:themeColor="text1"/>
                <w:sz w:val="26"/>
                <w:szCs w:val="26"/>
              </w:rPr>
              <w:t>, bet neklātienes (tai skaitā – tālmācības) vispārējās izglītības pr</w:t>
            </w:r>
            <w:r w:rsidR="002643D0">
              <w:rPr>
                <w:rFonts w:ascii="Times New Roman" w:hAnsi="Times New Roman" w:cs="Times New Roman"/>
                <w:color w:val="000000" w:themeColor="text1"/>
                <w:sz w:val="26"/>
                <w:szCs w:val="26"/>
              </w:rPr>
              <w:t>ogrammās noteikt koeficientu 0,6</w:t>
            </w:r>
            <w:r w:rsidRPr="00FE141C">
              <w:rPr>
                <w:rFonts w:ascii="Times New Roman" w:hAnsi="Times New Roman" w:cs="Times New Roman"/>
                <w:color w:val="000000" w:themeColor="text1"/>
                <w:sz w:val="26"/>
                <w:szCs w:val="26"/>
              </w:rPr>
              <w:t xml:space="preserve">. </w:t>
            </w:r>
          </w:p>
          <w:p w14:paraId="27D34579" w14:textId="77777777" w:rsidR="009269D4" w:rsidRPr="00FE141C" w:rsidRDefault="009269D4" w:rsidP="00C348E6">
            <w:pPr>
              <w:spacing w:after="0" w:line="240" w:lineRule="auto"/>
              <w:jc w:val="both"/>
              <w:rPr>
                <w:rFonts w:ascii="Times New Roman" w:hAnsi="Times New Roman" w:cs="Times New Roman"/>
                <w:sz w:val="26"/>
                <w:szCs w:val="26"/>
              </w:rPr>
            </w:pPr>
            <w:r w:rsidRPr="00FE141C">
              <w:rPr>
                <w:rFonts w:ascii="Times New Roman" w:hAnsi="Times New Roman" w:cs="Times New Roman"/>
                <w:sz w:val="26"/>
                <w:szCs w:val="26"/>
              </w:rPr>
              <w:t xml:space="preserve">Saskaņā ar noteikumiem Nr.281, nav noteikts, ka ieskaišu, kas jākārto neklātienes izglītojamiem, pieņemšana notiek ārpus grupu konsultāciju (stundu) laikiem. </w:t>
            </w:r>
          </w:p>
          <w:p w14:paraId="6F1CF68A" w14:textId="77777777" w:rsidR="009269D4" w:rsidRPr="00FE141C" w:rsidRDefault="009269D4" w:rsidP="00C348E6">
            <w:pPr>
              <w:spacing w:after="0" w:line="240" w:lineRule="auto"/>
              <w:jc w:val="both"/>
              <w:rPr>
                <w:rFonts w:ascii="Times New Roman" w:hAnsi="Times New Roman" w:cs="Times New Roman"/>
                <w:sz w:val="26"/>
                <w:szCs w:val="26"/>
              </w:rPr>
            </w:pPr>
            <w:r w:rsidRPr="00FE141C">
              <w:rPr>
                <w:rFonts w:ascii="Times New Roman" w:hAnsi="Times New Roman" w:cs="Times New Roman"/>
                <w:sz w:val="26"/>
                <w:szCs w:val="26"/>
              </w:rPr>
              <w:lastRenderedPageBreak/>
              <w:t xml:space="preserve">Izvērtējot klātienes, vakara (maiņu), neklātienes un tālmācības programmas paraugus secinām, ka tālmācības programmu paraugā norādītais ieteicamais mācību priekšmetu, konsultāciju un ieskaišu skaits nav lielāks kā neklātienes programmas plānā. Jo tālmācības programmu paraugā norādītais mācību stundu skaits gadā katrā mācību priekšmetā norāda, cik daudz laika izglītojamiem ieteicams veltīt patstāvīgai mācību priekšmeta apguvei un ieskaitēm. </w:t>
            </w:r>
          </w:p>
          <w:p w14:paraId="452B0631" w14:textId="6329E1E2" w:rsidR="009269D4" w:rsidRPr="00FE141C" w:rsidRDefault="009269D4" w:rsidP="00C348E6">
            <w:pPr>
              <w:spacing w:after="0" w:line="240" w:lineRule="auto"/>
              <w:jc w:val="both"/>
              <w:rPr>
                <w:rFonts w:ascii="Times New Roman" w:hAnsi="Times New Roman" w:cs="Times New Roman"/>
                <w:sz w:val="26"/>
                <w:szCs w:val="26"/>
              </w:rPr>
            </w:pPr>
            <w:r w:rsidRPr="00FE141C">
              <w:rPr>
                <w:rFonts w:ascii="Times New Roman" w:hAnsi="Times New Roman" w:cs="Times New Roman"/>
                <w:sz w:val="26"/>
                <w:szCs w:val="26"/>
              </w:rPr>
              <w:t xml:space="preserve">Izpētot darba samaksu skolotājiem vakara (maiņu) un neklātienes vidusskolās, secinām, ka jau šobrīd piešķirtās mērķdotācijas ietvaros var noteikt augstāku zemāko mēneša darba algas likmi, kā arī nodrošināt izglītības standarta izpildi. </w:t>
            </w:r>
          </w:p>
          <w:p w14:paraId="1E995B99" w14:textId="252D516E" w:rsidR="009269D4" w:rsidRPr="00FE141C" w:rsidRDefault="009269D4" w:rsidP="00C348E6">
            <w:pPr>
              <w:pStyle w:val="tv2131"/>
              <w:spacing w:line="240" w:lineRule="auto"/>
              <w:ind w:firstLine="0"/>
              <w:jc w:val="both"/>
              <w:rPr>
                <w:color w:val="auto"/>
                <w:sz w:val="26"/>
                <w:szCs w:val="26"/>
              </w:rPr>
            </w:pPr>
            <w:r w:rsidRPr="00FE141C">
              <w:rPr>
                <w:color w:val="auto"/>
                <w:sz w:val="26"/>
                <w:szCs w:val="26"/>
              </w:rPr>
              <w:t>Vēršam uzmanību, ka papildus aprēķinātajām pedagoģi</w:t>
            </w:r>
            <w:r w:rsidR="00027EBF">
              <w:rPr>
                <w:color w:val="auto"/>
                <w:sz w:val="26"/>
                <w:szCs w:val="26"/>
              </w:rPr>
              <w:t>skajām likmēm tika</w:t>
            </w:r>
            <w:r w:rsidRPr="00FE141C">
              <w:rPr>
                <w:color w:val="auto"/>
                <w:sz w:val="26"/>
                <w:szCs w:val="26"/>
              </w:rPr>
              <w:t xml:space="preserve"> </w:t>
            </w:r>
            <w:r w:rsidR="00570E7B" w:rsidRPr="00FE141C">
              <w:rPr>
                <w:color w:val="auto"/>
                <w:sz w:val="26"/>
                <w:szCs w:val="26"/>
              </w:rPr>
              <w:t xml:space="preserve">aprēķināti </w:t>
            </w:r>
            <w:r w:rsidR="004075AF" w:rsidRPr="00FE141C">
              <w:rPr>
                <w:color w:val="auto"/>
                <w:sz w:val="26"/>
                <w:szCs w:val="26"/>
              </w:rPr>
              <w:t>40</w:t>
            </w:r>
            <w:r w:rsidR="00570E7B" w:rsidRPr="00FE141C">
              <w:rPr>
                <w:color w:val="auto"/>
                <w:sz w:val="26"/>
                <w:szCs w:val="26"/>
              </w:rPr>
              <w:t xml:space="preserve"> procenti</w:t>
            </w:r>
            <w:r w:rsidR="004075AF" w:rsidRPr="00FE141C">
              <w:rPr>
                <w:color w:val="auto"/>
                <w:sz w:val="26"/>
                <w:szCs w:val="26"/>
              </w:rPr>
              <w:t xml:space="preserve"> papildu pienākumu veikšanai. Ņemot vērā mācību formu un metodes</w:t>
            </w:r>
            <w:r w:rsidR="00570E7B" w:rsidRPr="00FE141C">
              <w:rPr>
                <w:color w:val="auto"/>
                <w:sz w:val="26"/>
                <w:szCs w:val="26"/>
              </w:rPr>
              <w:t>,</w:t>
            </w:r>
            <w:r w:rsidR="004075AF" w:rsidRPr="00FE141C">
              <w:rPr>
                <w:color w:val="auto"/>
                <w:sz w:val="26"/>
                <w:szCs w:val="26"/>
              </w:rPr>
              <w:t xml:space="preserve"> nav nepieciešams nodrošināt </w:t>
            </w:r>
            <w:r w:rsidR="005C219D" w:rsidRPr="00FE141C">
              <w:rPr>
                <w:color w:val="auto"/>
                <w:sz w:val="26"/>
                <w:szCs w:val="26"/>
              </w:rPr>
              <w:t>atbalsta pasākumus pilnā apmērā.</w:t>
            </w:r>
          </w:p>
          <w:p w14:paraId="7C5BAF3B" w14:textId="6EB6FA59" w:rsidR="009269D4" w:rsidRDefault="009269D4" w:rsidP="00C348E6">
            <w:pPr>
              <w:pStyle w:val="tv2131"/>
              <w:spacing w:line="240" w:lineRule="auto"/>
              <w:ind w:firstLine="0"/>
              <w:jc w:val="both"/>
              <w:rPr>
                <w:bCs/>
                <w:color w:val="auto"/>
                <w:sz w:val="26"/>
                <w:szCs w:val="26"/>
              </w:rPr>
            </w:pPr>
            <w:r w:rsidRPr="00FE141C">
              <w:rPr>
                <w:color w:val="auto"/>
                <w:sz w:val="26"/>
                <w:szCs w:val="26"/>
              </w:rPr>
              <w:t>Lai nodrošinātu skolēnu skaita neklātienes (tai skaitā – tālmācības) programmās uzskaitīšanu, tiks pilnveidota VIIS funkcionalitāte, tādējādi atskaitēs finansistiem tiks izdalītas atskaites par skolēnu skaitu vakara (maiņu) programmās un neklātienes (tai skaitā tālmācības) programmās.  Jau šobrīd VIIS izglītojamie tiek ievadīti atbilstoši Ministru kabineta 2008.gada 2.decembra noteikumu Nr.990 “</w:t>
            </w:r>
            <w:r w:rsidRPr="00FE141C">
              <w:rPr>
                <w:bCs/>
                <w:color w:val="auto"/>
                <w:sz w:val="26"/>
                <w:szCs w:val="26"/>
              </w:rPr>
              <w:t>Noteikumi par Latvijas izglītības klasifikāciju” programmu kodiem, kur koda 8.cipars norāda izglītības ieguves veidu ( 1-dienas, 2-vakara (maiņu), 3-neklātienes, 4-tālmācības).</w:t>
            </w:r>
          </w:p>
          <w:p w14:paraId="69DDA30B" w14:textId="77777777" w:rsidR="00ED325D" w:rsidRDefault="00ED325D" w:rsidP="00C348E6">
            <w:pPr>
              <w:pStyle w:val="tv2131"/>
              <w:spacing w:line="240" w:lineRule="auto"/>
              <w:ind w:firstLine="0"/>
              <w:jc w:val="both"/>
              <w:rPr>
                <w:bCs/>
                <w:color w:val="auto"/>
                <w:sz w:val="26"/>
                <w:szCs w:val="26"/>
              </w:rPr>
            </w:pPr>
          </w:p>
          <w:p w14:paraId="76C4C093" w14:textId="776B58CD" w:rsidR="00ED325D" w:rsidRPr="00ED325D" w:rsidRDefault="00ED325D" w:rsidP="00C348E6">
            <w:pPr>
              <w:pStyle w:val="tv2131"/>
              <w:spacing w:line="240" w:lineRule="auto"/>
              <w:ind w:firstLine="0"/>
              <w:jc w:val="both"/>
              <w:rPr>
                <w:color w:val="auto"/>
                <w:sz w:val="26"/>
                <w:szCs w:val="26"/>
              </w:rPr>
            </w:pPr>
            <w:r w:rsidRPr="00ED325D">
              <w:rPr>
                <w:bCs/>
                <w:color w:val="auto"/>
                <w:sz w:val="26"/>
                <w:szCs w:val="26"/>
              </w:rPr>
              <w:t xml:space="preserve">Noteikumu projektā ir svītrots punkts, kurā ir noteikts, ka </w:t>
            </w:r>
            <w:r w:rsidRPr="00ED325D">
              <w:rPr>
                <w:color w:val="auto"/>
                <w:sz w:val="26"/>
                <w:szCs w:val="26"/>
              </w:rPr>
              <w:t xml:space="preserve"> atbilstoši īstenotajai programmai attiecīgajam gadam apstiprinātā finansējuma ietvaros piemēro papildu koeficientu  skolēnu (bērnu) skaitam, kas apgūst speciālās izglītības programmas speciālajās skolās, – koeficientu 1,8. Norma svītrota</w:t>
            </w:r>
            <w:r>
              <w:rPr>
                <w:color w:val="auto"/>
                <w:sz w:val="26"/>
                <w:szCs w:val="26"/>
              </w:rPr>
              <w:t>,</w:t>
            </w:r>
            <w:r w:rsidRPr="00ED325D">
              <w:rPr>
                <w:color w:val="auto"/>
                <w:sz w:val="26"/>
                <w:szCs w:val="26"/>
              </w:rPr>
              <w:t xml:space="preserve"> jo </w:t>
            </w:r>
            <w:r>
              <w:rPr>
                <w:color w:val="auto"/>
                <w:sz w:val="26"/>
                <w:szCs w:val="26"/>
              </w:rPr>
              <w:t xml:space="preserve">turpmāk finansējumu pedagogu darba samaksai speciālās izglītības iestādēs bez internātiem aprēķinās nevis pēc  principa “nauda seko skolēnam”, bet gan turpmāk finansējumu visām speciālajām izglītības iestādēm aprēķinās pēc vienas metodikas. </w:t>
            </w:r>
          </w:p>
          <w:p w14:paraId="0B771AC3" w14:textId="77777777" w:rsidR="003A53BB" w:rsidRPr="00FE141C" w:rsidRDefault="003A53BB" w:rsidP="00C348E6">
            <w:pPr>
              <w:pStyle w:val="tv2131"/>
              <w:spacing w:line="240" w:lineRule="auto"/>
              <w:ind w:firstLine="0"/>
              <w:jc w:val="both"/>
              <w:rPr>
                <w:color w:val="auto"/>
                <w:sz w:val="26"/>
                <w:szCs w:val="26"/>
              </w:rPr>
            </w:pPr>
          </w:p>
          <w:p w14:paraId="5832E4DE" w14:textId="6A599D94" w:rsidR="00A630C0" w:rsidRPr="00FE141C" w:rsidRDefault="009269D4" w:rsidP="00C348E6">
            <w:pPr>
              <w:pStyle w:val="tv2131"/>
              <w:spacing w:line="240" w:lineRule="auto"/>
              <w:ind w:firstLine="0"/>
              <w:jc w:val="both"/>
              <w:rPr>
                <w:bCs/>
                <w:color w:val="auto"/>
                <w:sz w:val="26"/>
                <w:szCs w:val="26"/>
              </w:rPr>
            </w:pPr>
            <w:r w:rsidRPr="00FE141C">
              <w:rPr>
                <w:color w:val="000000" w:themeColor="text1"/>
                <w:sz w:val="26"/>
                <w:szCs w:val="26"/>
              </w:rPr>
              <w:t>Noteikumu Nr.1616</w:t>
            </w:r>
            <w:r w:rsidR="006D1BA2" w:rsidRPr="00FE141C">
              <w:rPr>
                <w:color w:val="000000" w:themeColor="text1"/>
                <w:sz w:val="26"/>
                <w:szCs w:val="26"/>
              </w:rPr>
              <w:t xml:space="preserve"> </w:t>
            </w:r>
            <w:r w:rsidR="00EA61DC" w:rsidRPr="00FE141C">
              <w:rPr>
                <w:color w:val="000000" w:themeColor="text1"/>
                <w:sz w:val="26"/>
                <w:szCs w:val="26"/>
              </w:rPr>
              <w:t>8.</w:t>
            </w:r>
            <w:r w:rsidR="00EA61DC" w:rsidRPr="00FE141C">
              <w:rPr>
                <w:color w:val="000000" w:themeColor="text1"/>
                <w:sz w:val="26"/>
                <w:szCs w:val="26"/>
                <w:vertAlign w:val="superscript"/>
              </w:rPr>
              <w:t>2</w:t>
            </w:r>
            <w:r w:rsidR="00EA61DC" w:rsidRPr="00FE141C">
              <w:rPr>
                <w:color w:val="000000" w:themeColor="text1"/>
                <w:sz w:val="26"/>
                <w:szCs w:val="26"/>
              </w:rPr>
              <w:t xml:space="preserve"> punkt</w:t>
            </w:r>
            <w:r w:rsidR="00A17809" w:rsidRPr="00FE141C">
              <w:rPr>
                <w:color w:val="000000" w:themeColor="text1"/>
                <w:sz w:val="26"/>
                <w:szCs w:val="26"/>
              </w:rPr>
              <w:t>s nosaka kā pedagogu darba samaksas noteikumos noteiktajām pedagogu profesionālās darbības kvalitātes piemaksām nepieciešamo finansējumu ministrija aprēķina un sadala pašvaldībām. Veicot grozī</w:t>
            </w:r>
            <w:r w:rsidR="009C0FCA" w:rsidRPr="00FE141C">
              <w:rPr>
                <w:color w:val="000000" w:themeColor="text1"/>
                <w:sz w:val="26"/>
                <w:szCs w:val="26"/>
              </w:rPr>
              <w:t>jumu</w:t>
            </w:r>
            <w:r w:rsidR="00A17809" w:rsidRPr="00FE141C">
              <w:rPr>
                <w:color w:val="000000" w:themeColor="text1"/>
                <w:sz w:val="26"/>
                <w:szCs w:val="26"/>
              </w:rPr>
              <w:t xml:space="preserve">s Ministru kabineta 2009.gada </w:t>
            </w:r>
            <w:r w:rsidR="00614A51" w:rsidRPr="00FE141C">
              <w:rPr>
                <w:color w:val="000000" w:themeColor="text1"/>
                <w:sz w:val="26"/>
                <w:szCs w:val="26"/>
              </w:rPr>
              <w:t>28.jūlija</w:t>
            </w:r>
            <w:r w:rsidR="00A17809" w:rsidRPr="00FE141C">
              <w:rPr>
                <w:color w:val="000000" w:themeColor="text1"/>
                <w:sz w:val="26"/>
                <w:szCs w:val="26"/>
              </w:rPr>
              <w:t xml:space="preserve"> noteikumos Nr.836 “Pedagogu darba samaksa”</w:t>
            </w:r>
            <w:r w:rsidR="00987444" w:rsidRPr="00FE141C">
              <w:rPr>
                <w:color w:val="000000" w:themeColor="text1"/>
                <w:sz w:val="26"/>
                <w:szCs w:val="26"/>
              </w:rPr>
              <w:t xml:space="preserve"> (turpmāk – noteikumi Nr.836)</w:t>
            </w:r>
            <w:r w:rsidR="00A17809" w:rsidRPr="00FE141C">
              <w:rPr>
                <w:color w:val="000000" w:themeColor="text1"/>
                <w:sz w:val="26"/>
                <w:szCs w:val="26"/>
              </w:rPr>
              <w:t>,</w:t>
            </w:r>
            <w:r w:rsidR="004B5A24" w:rsidRPr="00FE141C">
              <w:rPr>
                <w:color w:val="000000" w:themeColor="text1"/>
                <w:sz w:val="26"/>
                <w:szCs w:val="26"/>
              </w:rPr>
              <w:t xml:space="preserve"> piemaksa tika noteikta kā konstanta summa </w:t>
            </w:r>
            <w:r w:rsidR="00A17809" w:rsidRPr="00FE141C">
              <w:rPr>
                <w:color w:val="000000" w:themeColor="text1"/>
                <w:sz w:val="26"/>
                <w:szCs w:val="26"/>
              </w:rPr>
              <w:t>par vienu pedagoga darba likmi nevis iepriekš noteiktā procenta apmērā</w:t>
            </w:r>
            <w:r w:rsidR="00570E7B" w:rsidRPr="00FE141C">
              <w:rPr>
                <w:color w:val="000000" w:themeColor="text1"/>
                <w:sz w:val="26"/>
                <w:szCs w:val="26"/>
              </w:rPr>
              <w:t>. V</w:t>
            </w:r>
            <w:r w:rsidR="00A17809" w:rsidRPr="00FE141C">
              <w:rPr>
                <w:color w:val="000000" w:themeColor="text1"/>
                <w:sz w:val="26"/>
                <w:szCs w:val="26"/>
              </w:rPr>
              <w:t xml:space="preserve">ienlaicīgi </w:t>
            </w:r>
            <w:r w:rsidR="00A17809" w:rsidRPr="00FE141C">
              <w:rPr>
                <w:color w:val="000000" w:themeColor="text1"/>
                <w:sz w:val="26"/>
                <w:szCs w:val="26"/>
              </w:rPr>
              <w:lastRenderedPageBreak/>
              <w:t>tika grozīts arī noteikumu</w:t>
            </w:r>
            <w:r w:rsidR="009C0FCA" w:rsidRPr="00FE141C">
              <w:rPr>
                <w:color w:val="000000" w:themeColor="text1"/>
                <w:sz w:val="26"/>
                <w:szCs w:val="26"/>
              </w:rPr>
              <w:t xml:space="preserve"> Nr.1616</w:t>
            </w:r>
            <w:r w:rsidR="00A17809" w:rsidRPr="00FE141C">
              <w:rPr>
                <w:color w:val="000000" w:themeColor="text1"/>
                <w:sz w:val="26"/>
                <w:szCs w:val="26"/>
              </w:rPr>
              <w:t xml:space="preserve"> 8.</w:t>
            </w:r>
            <w:r w:rsidR="00614A51" w:rsidRPr="00FE141C">
              <w:rPr>
                <w:color w:val="000000" w:themeColor="text1"/>
                <w:sz w:val="26"/>
                <w:szCs w:val="26"/>
                <w:vertAlign w:val="superscript"/>
              </w:rPr>
              <w:t>2</w:t>
            </w:r>
            <w:r w:rsidR="009C0FCA" w:rsidRPr="00FE141C">
              <w:rPr>
                <w:color w:val="000000" w:themeColor="text1"/>
                <w:sz w:val="26"/>
                <w:szCs w:val="26"/>
              </w:rPr>
              <w:t>4. apakšpunkts</w:t>
            </w:r>
            <w:r w:rsidR="00A17809" w:rsidRPr="00FE141C">
              <w:rPr>
                <w:color w:val="000000" w:themeColor="text1"/>
                <w:sz w:val="26"/>
                <w:szCs w:val="26"/>
              </w:rPr>
              <w:t>, svītrojot vārdu “procentos”</w:t>
            </w:r>
            <w:r w:rsidR="00570E7B" w:rsidRPr="00FE141C">
              <w:rPr>
                <w:color w:val="000000" w:themeColor="text1"/>
                <w:sz w:val="26"/>
                <w:szCs w:val="26"/>
              </w:rPr>
              <w:t xml:space="preserve">, </w:t>
            </w:r>
            <w:r w:rsidR="009C0FCA" w:rsidRPr="00FE141C">
              <w:rPr>
                <w:color w:val="000000" w:themeColor="text1"/>
                <w:sz w:val="26"/>
                <w:szCs w:val="26"/>
              </w:rPr>
              <w:t>tajā pašā laikā nesvītro</w:t>
            </w:r>
            <w:r w:rsidR="00570E7B" w:rsidRPr="00FE141C">
              <w:rPr>
                <w:color w:val="000000" w:themeColor="text1"/>
                <w:sz w:val="26"/>
                <w:szCs w:val="26"/>
              </w:rPr>
              <w:t>jot</w:t>
            </w:r>
            <w:r w:rsidR="009C0FCA" w:rsidRPr="00FE141C">
              <w:rPr>
                <w:color w:val="000000" w:themeColor="text1"/>
                <w:sz w:val="26"/>
                <w:szCs w:val="26"/>
              </w:rPr>
              <w:t xml:space="preserve"> 8.</w:t>
            </w:r>
            <w:r w:rsidR="009C0FCA" w:rsidRPr="00FE141C">
              <w:rPr>
                <w:color w:val="000000" w:themeColor="text1"/>
                <w:sz w:val="26"/>
                <w:szCs w:val="26"/>
                <w:vertAlign w:val="superscript"/>
              </w:rPr>
              <w:t>2</w:t>
            </w:r>
            <w:r w:rsidR="009C0FCA" w:rsidRPr="00FE141C">
              <w:rPr>
                <w:color w:val="000000" w:themeColor="text1"/>
                <w:sz w:val="26"/>
                <w:szCs w:val="26"/>
              </w:rPr>
              <w:t>2.</w:t>
            </w:r>
            <w:r w:rsidR="00570E7B" w:rsidRPr="00FE141C">
              <w:rPr>
                <w:color w:val="000000" w:themeColor="text1"/>
                <w:sz w:val="26"/>
                <w:szCs w:val="26"/>
              </w:rPr>
              <w:t>apakšpunktu</w:t>
            </w:r>
            <w:r w:rsidR="009C0FCA" w:rsidRPr="00FE141C">
              <w:rPr>
                <w:color w:val="000000" w:themeColor="text1"/>
                <w:sz w:val="26"/>
                <w:szCs w:val="26"/>
              </w:rPr>
              <w:t xml:space="preserve">, kas attiecās uz iepriekš noteikto aprēķināšanas kārtību. </w:t>
            </w:r>
            <w:r w:rsidR="00A630C0" w:rsidRPr="00FE141C">
              <w:rPr>
                <w:color w:val="000000" w:themeColor="text1"/>
                <w:sz w:val="26"/>
                <w:szCs w:val="26"/>
              </w:rPr>
              <w:t xml:space="preserve"> Izstrādātā projekta </w:t>
            </w:r>
            <w:r w:rsidR="00570E7B" w:rsidRPr="00FE141C">
              <w:rPr>
                <w:color w:val="000000" w:themeColor="text1"/>
                <w:sz w:val="26"/>
                <w:szCs w:val="26"/>
              </w:rPr>
              <w:t>2</w:t>
            </w:r>
            <w:r w:rsidR="00A630C0" w:rsidRPr="00FE141C">
              <w:rPr>
                <w:color w:val="000000" w:themeColor="text1"/>
                <w:sz w:val="26"/>
                <w:szCs w:val="26"/>
              </w:rPr>
              <w:t>.punkts novērsīs tehniski radušos kļūdu.</w:t>
            </w:r>
          </w:p>
          <w:p w14:paraId="7A54FFD9" w14:textId="77777777" w:rsidR="00356007" w:rsidRPr="00FE141C" w:rsidRDefault="00356007" w:rsidP="00C348E6">
            <w:pPr>
              <w:pStyle w:val="tv2131"/>
              <w:spacing w:line="240" w:lineRule="auto"/>
              <w:ind w:firstLine="0"/>
              <w:jc w:val="both"/>
              <w:rPr>
                <w:color w:val="000000" w:themeColor="text1"/>
                <w:sz w:val="26"/>
                <w:szCs w:val="26"/>
              </w:rPr>
            </w:pPr>
          </w:p>
          <w:p w14:paraId="63F0E50B" w14:textId="067A22B7" w:rsidR="00702E99" w:rsidRPr="00FE141C" w:rsidRDefault="00702E99" w:rsidP="00C348E6">
            <w:pPr>
              <w:pStyle w:val="ListParagraph"/>
              <w:spacing w:after="0" w:line="240" w:lineRule="auto"/>
              <w:ind w:left="0"/>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Saskaņā ar noteikumu Nr.1616 19.punktu, ir noteikta normētā skolēnu (bērnu) skaita attiecība pret vienu pedagoga mēneša darba likmi novados 8,12:1</w:t>
            </w:r>
            <w:r w:rsidR="0080452C">
              <w:rPr>
                <w:rFonts w:ascii="Times New Roman" w:hAnsi="Times New Roman" w:cs="Times New Roman"/>
                <w:color w:val="000000" w:themeColor="text1"/>
                <w:sz w:val="26"/>
                <w:szCs w:val="26"/>
              </w:rPr>
              <w:t xml:space="preserve"> un republikas pilsētās 10,35:1.</w:t>
            </w:r>
          </w:p>
          <w:p w14:paraId="2B8FC046" w14:textId="17F71968" w:rsidR="00702E99" w:rsidRPr="00FE141C" w:rsidRDefault="00702E99" w:rsidP="00C348E6">
            <w:pPr>
              <w:pStyle w:val="ListParagraph"/>
              <w:spacing w:after="0" w:line="240" w:lineRule="auto"/>
              <w:ind w:left="0"/>
              <w:jc w:val="both"/>
              <w:rPr>
                <w:rFonts w:ascii="Times New Roman" w:hAnsi="Times New Roman" w:cs="Times New Roman"/>
                <w:sz w:val="26"/>
                <w:szCs w:val="26"/>
              </w:rPr>
            </w:pPr>
            <w:r w:rsidRPr="00FE141C">
              <w:rPr>
                <w:rFonts w:ascii="Times New Roman" w:hAnsi="Times New Roman" w:cs="Times New Roman"/>
                <w:sz w:val="26"/>
                <w:szCs w:val="26"/>
              </w:rPr>
              <w:t>Lai nodrošinātu pakāpenisku pāreju uz lielāku proporciju un novērstu pārāk lielu pedagogu darba samaksas diferenciāciju starp pašvaldībām, ministrija nosaka lielāku skolēnu/skolotāju proporciju:</w:t>
            </w:r>
          </w:p>
          <w:p w14:paraId="25C0F407" w14:textId="12363FC8" w:rsidR="00702E99" w:rsidRPr="00FE141C" w:rsidRDefault="00702E99" w:rsidP="00C348E6">
            <w:pPr>
              <w:pStyle w:val="ListParagraph"/>
              <w:spacing w:after="0" w:line="240" w:lineRule="auto"/>
              <w:ind w:left="0"/>
              <w:jc w:val="both"/>
              <w:rPr>
                <w:rFonts w:ascii="Times New Roman" w:hAnsi="Times New Roman" w:cs="Times New Roman"/>
                <w:sz w:val="26"/>
                <w:szCs w:val="26"/>
              </w:rPr>
            </w:pPr>
            <w:r w:rsidRPr="00FE141C">
              <w:rPr>
                <w:rFonts w:ascii="Times New Roman" w:hAnsi="Times New Roman" w:cs="Times New Roman"/>
                <w:sz w:val="26"/>
                <w:szCs w:val="26"/>
              </w:rPr>
              <w:t>*novadiem, kuru administratīvajā teritorijā skolēnu skaits (vispārizglītojošās dienas skolās</w:t>
            </w:r>
            <w:r w:rsidR="004C3A73" w:rsidRPr="00566F80">
              <w:rPr>
                <w:rFonts w:ascii="Times New Roman" w:hAnsi="Times New Roman" w:cs="Times New Roman"/>
                <w:sz w:val="26"/>
                <w:szCs w:val="26"/>
              </w:rPr>
              <w:t xml:space="preserve">, </w:t>
            </w:r>
            <w:r w:rsidR="00566F80" w:rsidRPr="00566F80">
              <w:rPr>
                <w:rFonts w:ascii="Times New Roman" w:eastAsia="Times New Roman" w:hAnsi="Times New Roman" w:cs="Times New Roman"/>
                <w:sz w:val="26"/>
                <w:szCs w:val="26"/>
                <w:lang w:eastAsia="lv-LV"/>
              </w:rPr>
              <w:t xml:space="preserve"> izņemot izglītojamos sociālās aprūpes centros</w:t>
            </w:r>
            <w:r w:rsidR="00566F80" w:rsidRPr="00566F80">
              <w:rPr>
                <w:rFonts w:ascii="Times New Roman" w:hAnsi="Times New Roman" w:cs="Times New Roman"/>
                <w:sz w:val="26"/>
                <w:szCs w:val="26"/>
              </w:rPr>
              <w:t xml:space="preserve"> </w:t>
            </w:r>
            <w:r w:rsidR="004C3A73" w:rsidRPr="00566F80">
              <w:rPr>
                <w:rFonts w:ascii="Times New Roman" w:hAnsi="Times New Roman" w:cs="Times New Roman"/>
                <w:sz w:val="26"/>
                <w:szCs w:val="26"/>
              </w:rPr>
              <w:t>izņemot s</w:t>
            </w:r>
            <w:r w:rsidR="004C3A73">
              <w:rPr>
                <w:rFonts w:ascii="Times New Roman" w:hAnsi="Times New Roman" w:cs="Times New Roman"/>
                <w:sz w:val="26"/>
                <w:szCs w:val="26"/>
              </w:rPr>
              <w:t>kolēnus sociālās aprūpes i</w:t>
            </w:r>
            <w:r w:rsidRPr="00FE141C">
              <w:rPr>
                <w:rFonts w:ascii="Times New Roman" w:hAnsi="Times New Roman" w:cs="Times New Roman"/>
                <w:sz w:val="26"/>
                <w:szCs w:val="26"/>
              </w:rPr>
              <w:t>) ir 0,5 skolēni uz vienu kvadrātkilometru un mazāk (Amata, Burtnieki, Cibla, Jēkabpils, Nereta, Pārgauja, Pāvilosta, Rucava, Rugāji, Vārkava, Ventspils). Līdz šim šiem novadiem aprēķinot mērķdotāciju pedagogu darba samaksai skolēnu skaitam piemēroja koeficientu 1,3</w:t>
            </w:r>
            <w:r w:rsidR="00A14BEA">
              <w:rPr>
                <w:rFonts w:ascii="Times New Roman" w:hAnsi="Times New Roman" w:cs="Times New Roman"/>
                <w:sz w:val="26"/>
                <w:szCs w:val="26"/>
              </w:rPr>
              <w:t>. Papildus</w:t>
            </w:r>
            <w:r w:rsidR="00A14BEA">
              <w:rPr>
                <w:rFonts w:ascii="Times New Roman" w:hAnsi="Times New Roman" w:cs="Times New Roman"/>
                <w:color w:val="000000" w:themeColor="text1"/>
                <w:sz w:val="26"/>
                <w:szCs w:val="26"/>
              </w:rPr>
              <w:t xml:space="preserve"> nosacījums attiecināms arī reģionālās nozīmes pilsētu novadiem (Madona, Gulbene, Smiltene, Limbaži, Balvi, Alūksne, Preiļi, Kuldīga, Krāslava, Ludza, Valka)</w:t>
            </w:r>
            <w:r w:rsidRPr="00FE141C">
              <w:rPr>
                <w:rFonts w:ascii="Times New Roman" w:hAnsi="Times New Roman" w:cs="Times New Roman"/>
                <w:sz w:val="26"/>
                <w:szCs w:val="26"/>
              </w:rPr>
              <w:t xml:space="preserve">; </w:t>
            </w:r>
          </w:p>
          <w:p w14:paraId="6F5C75C0" w14:textId="1E97F350" w:rsidR="00702E99" w:rsidRPr="00FE141C" w:rsidRDefault="00702E99" w:rsidP="00C348E6">
            <w:pPr>
              <w:pStyle w:val="ListParagraph"/>
              <w:spacing w:after="0" w:line="240" w:lineRule="auto"/>
              <w:ind w:left="0"/>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w:t>
            </w:r>
            <w:r w:rsidR="003B2F2B">
              <w:rPr>
                <w:rFonts w:ascii="Times New Roman" w:hAnsi="Times New Roman" w:cs="Times New Roman"/>
                <w:color w:val="000000" w:themeColor="text1"/>
                <w:sz w:val="26"/>
                <w:szCs w:val="26"/>
              </w:rPr>
              <w:t xml:space="preserve">Pierīgas pašvaldību </w:t>
            </w:r>
            <w:r w:rsidRPr="00FE141C">
              <w:rPr>
                <w:rFonts w:ascii="Times New Roman" w:hAnsi="Times New Roman" w:cs="Times New Roman"/>
                <w:color w:val="000000" w:themeColor="text1"/>
                <w:sz w:val="26"/>
                <w:szCs w:val="26"/>
              </w:rPr>
              <w:t>novadiem, kuru administratīvajā teritorijā skolēnu skaits (vispārizglītojošās dienas skolā</w:t>
            </w:r>
            <w:r w:rsidRPr="00566F80">
              <w:rPr>
                <w:rFonts w:ascii="Times New Roman" w:hAnsi="Times New Roman" w:cs="Times New Roman"/>
                <w:sz w:val="26"/>
                <w:szCs w:val="26"/>
              </w:rPr>
              <w:t>s</w:t>
            </w:r>
            <w:r w:rsidR="00566F80" w:rsidRPr="00566F80">
              <w:rPr>
                <w:rFonts w:ascii="Times New Roman" w:hAnsi="Times New Roman" w:cs="Times New Roman"/>
                <w:sz w:val="26"/>
                <w:szCs w:val="26"/>
              </w:rPr>
              <w:t>,</w:t>
            </w:r>
            <w:r w:rsidR="00566F80" w:rsidRPr="00566F80">
              <w:rPr>
                <w:rFonts w:ascii="Times New Roman" w:eastAsia="Times New Roman" w:hAnsi="Times New Roman" w:cs="Times New Roman"/>
                <w:sz w:val="26"/>
                <w:szCs w:val="26"/>
                <w:lang w:eastAsia="lv-LV"/>
              </w:rPr>
              <w:t xml:space="preserve"> izņemot izglītojamos sociālās aprūpes centros</w:t>
            </w:r>
            <w:r w:rsidRPr="00566F80">
              <w:rPr>
                <w:rFonts w:ascii="Times New Roman" w:hAnsi="Times New Roman" w:cs="Times New Roman"/>
                <w:sz w:val="26"/>
                <w:szCs w:val="26"/>
              </w:rPr>
              <w:t xml:space="preserve">) </w:t>
            </w:r>
            <w:r w:rsidRPr="00FE141C">
              <w:rPr>
                <w:rFonts w:ascii="Times New Roman" w:hAnsi="Times New Roman" w:cs="Times New Roman"/>
                <w:color w:val="000000" w:themeColor="text1"/>
                <w:sz w:val="26"/>
                <w:szCs w:val="26"/>
              </w:rPr>
              <w:t>ir 3,5 skolēni uz vienu kva</w:t>
            </w:r>
            <w:r w:rsidR="00566F80">
              <w:rPr>
                <w:rFonts w:ascii="Times New Roman" w:hAnsi="Times New Roman" w:cs="Times New Roman"/>
                <w:color w:val="000000" w:themeColor="text1"/>
                <w:sz w:val="26"/>
                <w:szCs w:val="26"/>
              </w:rPr>
              <w:t>drātkilometru un vairāk (Ādaži</w:t>
            </w:r>
            <w:r w:rsidRPr="00FE141C">
              <w:rPr>
                <w:rFonts w:ascii="Times New Roman" w:hAnsi="Times New Roman" w:cs="Times New Roman"/>
                <w:color w:val="000000" w:themeColor="text1"/>
                <w:sz w:val="26"/>
                <w:szCs w:val="26"/>
              </w:rPr>
              <w:t xml:space="preserve">, </w:t>
            </w:r>
            <w:r w:rsidR="00F00560">
              <w:rPr>
                <w:rFonts w:ascii="Times New Roman" w:hAnsi="Times New Roman" w:cs="Times New Roman"/>
                <w:color w:val="000000" w:themeColor="text1"/>
                <w:sz w:val="26"/>
                <w:szCs w:val="26"/>
              </w:rPr>
              <w:t xml:space="preserve">Babīte, </w:t>
            </w:r>
            <w:r w:rsidRPr="00FE141C">
              <w:rPr>
                <w:rFonts w:ascii="Times New Roman" w:hAnsi="Times New Roman" w:cs="Times New Roman"/>
                <w:color w:val="000000" w:themeColor="text1"/>
                <w:sz w:val="26"/>
                <w:szCs w:val="26"/>
              </w:rPr>
              <w:t>Carnikava, Ikšķile, Inčukalns, Ķeka</w:t>
            </w:r>
            <w:r w:rsidR="00A14BEA">
              <w:rPr>
                <w:rFonts w:ascii="Times New Roman" w:hAnsi="Times New Roman" w:cs="Times New Roman"/>
                <w:color w:val="000000" w:themeColor="text1"/>
                <w:sz w:val="26"/>
                <w:szCs w:val="26"/>
              </w:rPr>
              <w:t>va</w:t>
            </w:r>
            <w:r w:rsidRPr="00FE141C">
              <w:rPr>
                <w:rFonts w:ascii="Times New Roman" w:hAnsi="Times New Roman" w:cs="Times New Roman"/>
                <w:color w:val="000000" w:themeColor="text1"/>
                <w:sz w:val="26"/>
                <w:szCs w:val="26"/>
              </w:rPr>
              <w:t>,</w:t>
            </w:r>
            <w:r w:rsidR="00027EBF">
              <w:rPr>
                <w:rFonts w:ascii="Times New Roman" w:hAnsi="Times New Roman" w:cs="Times New Roman"/>
                <w:color w:val="000000" w:themeColor="text1"/>
                <w:sz w:val="26"/>
                <w:szCs w:val="26"/>
              </w:rPr>
              <w:t xml:space="preserve"> Mārupe,</w:t>
            </w:r>
            <w:r w:rsidRPr="00FE141C">
              <w:rPr>
                <w:rFonts w:ascii="Times New Roman" w:hAnsi="Times New Roman" w:cs="Times New Roman"/>
                <w:color w:val="000000" w:themeColor="text1"/>
                <w:sz w:val="26"/>
                <w:szCs w:val="26"/>
              </w:rPr>
              <w:t xml:space="preserve"> Olaine, Salaspils, Saulkrasti, Stopiņi)</w:t>
            </w:r>
            <w:r w:rsidR="00A14BEA">
              <w:rPr>
                <w:rFonts w:ascii="Times New Roman" w:hAnsi="Times New Roman" w:cs="Times New Roman"/>
                <w:color w:val="000000" w:themeColor="text1"/>
                <w:sz w:val="26"/>
                <w:szCs w:val="26"/>
              </w:rPr>
              <w:t xml:space="preserve"> (šajā grupā neietilpst Lielvārde</w:t>
            </w:r>
            <w:r w:rsidR="00355511">
              <w:rPr>
                <w:rFonts w:ascii="Times New Roman" w:hAnsi="Times New Roman" w:cs="Times New Roman"/>
                <w:color w:val="000000" w:themeColor="text1"/>
                <w:sz w:val="26"/>
                <w:szCs w:val="26"/>
              </w:rPr>
              <w:t xml:space="preserve"> un Baldone</w:t>
            </w:r>
            <w:r w:rsidR="00A14BEA">
              <w:rPr>
                <w:rFonts w:ascii="Times New Roman" w:hAnsi="Times New Roman" w:cs="Times New Roman"/>
                <w:color w:val="000000" w:themeColor="text1"/>
                <w:sz w:val="26"/>
                <w:szCs w:val="26"/>
              </w:rPr>
              <w:t>).</w:t>
            </w:r>
            <w:r w:rsidR="00355511">
              <w:rPr>
                <w:rFonts w:ascii="Times New Roman" w:hAnsi="Times New Roman" w:cs="Times New Roman"/>
                <w:color w:val="000000" w:themeColor="text1"/>
                <w:sz w:val="26"/>
                <w:szCs w:val="26"/>
              </w:rPr>
              <w:t xml:space="preserve"> Baldonē sociālās aprūpes centrā atrodas 88 izglītojamie un aprēķinot izglītojamo skaitu</w:t>
            </w:r>
            <w:r w:rsidR="00355511" w:rsidRPr="00355511">
              <w:rPr>
                <w:rFonts w:ascii="Times New Roman" w:hAnsi="Times New Roman" w:cs="Times New Roman"/>
                <w:color w:val="000000" w:themeColor="text1"/>
                <w:sz w:val="26"/>
                <w:szCs w:val="26"/>
              </w:rPr>
              <w:t xml:space="preserve"> dienas skolās uz 1 km</w:t>
            </w:r>
            <w:r w:rsidR="00355511" w:rsidRPr="00355511">
              <w:rPr>
                <w:rFonts w:ascii="Times New Roman" w:hAnsi="Times New Roman" w:cs="Times New Roman"/>
                <w:color w:val="000000" w:themeColor="text1"/>
                <w:sz w:val="26"/>
                <w:szCs w:val="26"/>
                <w:vertAlign w:val="superscript"/>
              </w:rPr>
              <w:t>2</w:t>
            </w:r>
            <w:r w:rsidR="00A14BEA">
              <w:rPr>
                <w:rFonts w:ascii="Times New Roman" w:hAnsi="Times New Roman" w:cs="Times New Roman"/>
                <w:color w:val="000000" w:themeColor="text1"/>
                <w:sz w:val="26"/>
                <w:szCs w:val="26"/>
              </w:rPr>
              <w:t xml:space="preserve"> </w:t>
            </w:r>
            <w:r w:rsidR="00355511">
              <w:rPr>
                <w:rFonts w:ascii="Times New Roman" w:hAnsi="Times New Roman" w:cs="Times New Roman"/>
                <w:color w:val="000000" w:themeColor="text1"/>
                <w:sz w:val="26"/>
                <w:szCs w:val="26"/>
              </w:rPr>
              <w:t>, netiek ieskaitīti šie izglītojamie, kā rezultātā izglītojamo skaits</w:t>
            </w:r>
            <w:r w:rsidR="00355511" w:rsidRPr="00355511">
              <w:rPr>
                <w:rFonts w:ascii="Times New Roman" w:hAnsi="Times New Roman" w:cs="Times New Roman"/>
                <w:color w:val="000000" w:themeColor="text1"/>
                <w:sz w:val="26"/>
                <w:szCs w:val="26"/>
              </w:rPr>
              <w:t xml:space="preserve"> dienas skolās uz 1 km</w:t>
            </w:r>
            <w:r w:rsidR="00355511" w:rsidRPr="00355511">
              <w:rPr>
                <w:rFonts w:ascii="Times New Roman" w:hAnsi="Times New Roman" w:cs="Times New Roman"/>
                <w:color w:val="000000" w:themeColor="text1"/>
                <w:sz w:val="26"/>
                <w:szCs w:val="26"/>
                <w:vertAlign w:val="superscript"/>
              </w:rPr>
              <w:t>2</w:t>
            </w:r>
            <w:r w:rsidR="00355511">
              <w:rPr>
                <w:rFonts w:ascii="Times New Roman" w:hAnsi="Times New Roman" w:cs="Times New Roman"/>
                <w:color w:val="000000" w:themeColor="text1"/>
                <w:sz w:val="26"/>
                <w:szCs w:val="26"/>
                <w:vertAlign w:val="superscript"/>
              </w:rPr>
              <w:t xml:space="preserve"> </w:t>
            </w:r>
            <w:r w:rsidR="00355511">
              <w:rPr>
                <w:rFonts w:ascii="Times New Roman" w:hAnsi="Times New Roman" w:cs="Times New Roman"/>
                <w:color w:val="000000" w:themeColor="text1"/>
                <w:sz w:val="26"/>
                <w:szCs w:val="26"/>
              </w:rPr>
              <w:t xml:space="preserve">ir 3,17 un aprēķinot finansējumu </w:t>
            </w:r>
            <w:r w:rsidR="00355511" w:rsidRPr="003B2F2B">
              <w:rPr>
                <w:rFonts w:ascii="Times New Roman" w:hAnsi="Times New Roman" w:cs="Times New Roman"/>
                <w:sz w:val="26"/>
                <w:szCs w:val="26"/>
              </w:rPr>
              <w:t xml:space="preserve">pedagogu darba samaksai piemēro skolēnu/skolotāju proporciju 11,5:1. </w:t>
            </w:r>
            <w:r w:rsidR="003B2F2B" w:rsidRPr="003B2F2B">
              <w:rPr>
                <w:rFonts w:ascii="Times New Roman" w:hAnsi="Times New Roman" w:cs="Times New Roman"/>
                <w:sz w:val="26"/>
                <w:szCs w:val="26"/>
              </w:rPr>
              <w:t>Lielvārdes novads neietilpst šajā grupā, jo neietilpst  Latvijas Republikas pašvaldības sarakstā, kuru administratīvā teritorija atrodas Rīgas plānošanas reģionā.</w:t>
            </w:r>
            <w:r w:rsidR="003B2F2B" w:rsidRPr="003B2F2B">
              <w:rPr>
                <w:rFonts w:ascii="Roboto" w:hAnsi="Roboto"/>
                <w:sz w:val="20"/>
                <w:szCs w:val="20"/>
              </w:rPr>
              <w:t xml:space="preserve"> </w:t>
            </w:r>
          </w:p>
          <w:p w14:paraId="491E4767" w14:textId="2A49854F" w:rsidR="00702E99" w:rsidRPr="00FE141C" w:rsidRDefault="00702E99" w:rsidP="00C348E6">
            <w:pPr>
              <w:pStyle w:val="ListParagraph"/>
              <w:spacing w:after="0" w:line="240" w:lineRule="auto"/>
              <w:ind w:left="0"/>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 pārējos novados;</w:t>
            </w:r>
          </w:p>
          <w:p w14:paraId="1054517C" w14:textId="4F888B80" w:rsidR="00027EBF" w:rsidRDefault="00702E99" w:rsidP="00C348E6">
            <w:pPr>
              <w:pStyle w:val="ListParagraph"/>
              <w:spacing w:after="0" w:line="240" w:lineRule="auto"/>
              <w:ind w:left="0"/>
              <w:jc w:val="both"/>
              <w:rPr>
                <w:rFonts w:ascii="Times New Roman" w:hAnsi="Times New Roman" w:cs="Times New Roman"/>
                <w:color w:val="000000" w:themeColor="text1"/>
                <w:sz w:val="26"/>
                <w:szCs w:val="26"/>
              </w:rPr>
            </w:pPr>
            <w:r w:rsidRPr="00FE141C">
              <w:rPr>
                <w:rFonts w:ascii="Times New Roman" w:hAnsi="Times New Roman" w:cs="Times New Roman"/>
                <w:sz w:val="26"/>
                <w:szCs w:val="26"/>
              </w:rPr>
              <w:t>*</w:t>
            </w:r>
            <w:r w:rsidRPr="00FE141C">
              <w:rPr>
                <w:rFonts w:ascii="Times New Roman" w:hAnsi="Times New Roman" w:cs="Times New Roman"/>
                <w:color w:val="000000" w:themeColor="text1"/>
                <w:sz w:val="26"/>
                <w:szCs w:val="26"/>
              </w:rPr>
              <w:t>reģionālās nozīmes pilsētām - Aizkraukle, Alūksne, Balvi, Bauska, Cēsis, Dobele, Gulbene, Krāslava, Kuldīga, Limbaži, Līvāni, Ludza, Madona, Ogre, Preiļi, Saldus, Sigulda, Smiltene, Talsi, Tukums, Valka;</w:t>
            </w:r>
          </w:p>
          <w:p w14:paraId="44CFF8C6" w14:textId="602D0465" w:rsidR="00702E99" w:rsidRPr="00FE141C" w:rsidRDefault="00027EBF" w:rsidP="00C348E6">
            <w:pPr>
              <w:pStyle w:val="ListParagraph"/>
              <w:spacing w:after="0" w:line="240" w:lineRule="auto"/>
              <w:ind w:left="0"/>
              <w:jc w:val="both"/>
              <w:rPr>
                <w:rFonts w:ascii="Times New Roman" w:hAnsi="Times New Roman" w:cs="Times New Roman"/>
                <w:color w:val="000000" w:themeColor="text1"/>
                <w:sz w:val="26"/>
                <w:szCs w:val="26"/>
              </w:rPr>
            </w:pPr>
            <w:r w:rsidRPr="00FE141C">
              <w:rPr>
                <w:rFonts w:ascii="Times New Roman" w:hAnsi="Times New Roman" w:cs="Times New Roman"/>
                <w:sz w:val="26"/>
                <w:szCs w:val="26"/>
              </w:rPr>
              <w:t xml:space="preserve">Saskaņā ar </w:t>
            </w:r>
            <w:r w:rsidRPr="00FE141C">
              <w:rPr>
                <w:rFonts w:ascii="Times New Roman" w:hAnsi="Times New Roman" w:cs="Times New Roman"/>
                <w:color w:val="000000" w:themeColor="text1"/>
                <w:sz w:val="26"/>
                <w:szCs w:val="26"/>
              </w:rPr>
              <w:t xml:space="preserve">Latvijas ilgtspējīgas attīstības stratēģiju līdz 2030.gadam (Latvija 2030) </w:t>
            </w:r>
            <w:r w:rsidRPr="00FE141C">
              <w:rPr>
                <w:rFonts w:ascii="Times New Roman" w:hAnsi="Times New Roman" w:cs="Times New Roman"/>
                <w:sz w:val="26"/>
                <w:szCs w:val="26"/>
              </w:rPr>
              <w:t>kategorijā reģionālās nozīmes attīstības centri ir pilsētas, kas ir nozīmīgi reģiona kultūras, ražošanas centri ar attīstītu sociālo infrastruktūru un daudzveidīgiem pakalpojumiem.</w:t>
            </w:r>
            <w:r w:rsidR="00CF0089" w:rsidRPr="00FE141C">
              <w:rPr>
                <w:rFonts w:ascii="Times New Roman" w:hAnsi="Times New Roman" w:cs="Times New Roman"/>
                <w:sz w:val="26"/>
                <w:szCs w:val="26"/>
              </w:rPr>
              <w:t xml:space="preserve"> Normētā skolēnu (bērnu) skaita </w:t>
            </w:r>
            <w:r w:rsidR="00CF0089" w:rsidRPr="00FE141C">
              <w:rPr>
                <w:rFonts w:ascii="Times New Roman" w:hAnsi="Times New Roman" w:cs="Times New Roman"/>
                <w:sz w:val="26"/>
                <w:szCs w:val="26"/>
              </w:rPr>
              <w:lastRenderedPageBreak/>
              <w:t xml:space="preserve">attiecība pret vienu pedagoga mēneša darba algas likmi </w:t>
            </w:r>
            <w:r w:rsidR="00A14BEA">
              <w:rPr>
                <w:rFonts w:ascii="Times New Roman" w:hAnsi="Times New Roman" w:cs="Times New Roman"/>
                <w:color w:val="000000" w:themeColor="text1"/>
                <w:sz w:val="26"/>
                <w:szCs w:val="26"/>
              </w:rPr>
              <w:t>13</w:t>
            </w:r>
            <w:r w:rsidR="00CF0089" w:rsidRPr="00FE141C">
              <w:rPr>
                <w:rFonts w:ascii="Times New Roman" w:hAnsi="Times New Roman" w:cs="Times New Roman"/>
                <w:color w:val="000000" w:themeColor="text1"/>
                <w:sz w:val="26"/>
                <w:szCs w:val="26"/>
              </w:rPr>
              <w:t xml:space="preserve">:1 piemērojama tikai reģionālās nozīmes attīstības centru izglītības iestādēm, pārējām attiecīgā novada izglītības iestādēm piemēro </w:t>
            </w:r>
            <w:r w:rsidR="00A14BEA">
              <w:rPr>
                <w:rFonts w:ascii="Times New Roman" w:hAnsi="Times New Roman" w:cs="Times New Roman"/>
                <w:color w:val="000000" w:themeColor="text1"/>
                <w:sz w:val="26"/>
                <w:szCs w:val="26"/>
              </w:rPr>
              <w:t xml:space="preserve">attiecīgi </w:t>
            </w:r>
            <w:r w:rsidR="00CF0089" w:rsidRPr="00FE141C">
              <w:rPr>
                <w:rFonts w:ascii="Times New Roman" w:hAnsi="Times New Roman" w:cs="Times New Roman"/>
                <w:color w:val="000000" w:themeColor="text1"/>
                <w:sz w:val="26"/>
                <w:szCs w:val="26"/>
              </w:rPr>
              <w:t>attiecību 11,5:1</w:t>
            </w:r>
            <w:r w:rsidR="00A14BEA">
              <w:rPr>
                <w:rFonts w:ascii="Times New Roman" w:hAnsi="Times New Roman" w:cs="Times New Roman"/>
                <w:color w:val="000000" w:themeColor="text1"/>
                <w:sz w:val="26"/>
                <w:szCs w:val="26"/>
              </w:rPr>
              <w:t xml:space="preserve"> vai 10,5:1</w:t>
            </w:r>
            <w:r w:rsidR="00CF0089" w:rsidRPr="00FE141C">
              <w:rPr>
                <w:rFonts w:ascii="Times New Roman" w:hAnsi="Times New Roman" w:cs="Times New Roman"/>
                <w:color w:val="000000" w:themeColor="text1"/>
                <w:sz w:val="26"/>
                <w:szCs w:val="26"/>
              </w:rPr>
              <w:t>.</w:t>
            </w:r>
          </w:p>
          <w:p w14:paraId="3A0E8C54" w14:textId="057D03A2" w:rsidR="00A14BEA" w:rsidRDefault="00702E99" w:rsidP="00C348E6">
            <w:pPr>
              <w:pStyle w:val="ListParagraph"/>
              <w:spacing w:after="0" w:line="240" w:lineRule="auto"/>
              <w:ind w:left="0"/>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w:t>
            </w:r>
            <w:r w:rsidR="00A14BEA">
              <w:rPr>
                <w:rFonts w:ascii="Times New Roman" w:hAnsi="Times New Roman" w:cs="Times New Roman"/>
                <w:color w:val="000000" w:themeColor="text1"/>
                <w:sz w:val="26"/>
                <w:szCs w:val="26"/>
              </w:rPr>
              <w:t>Rīgai;</w:t>
            </w:r>
          </w:p>
          <w:p w14:paraId="61ED698C" w14:textId="7A7F7F32" w:rsidR="00702E99" w:rsidRDefault="00A14BEA" w:rsidP="00C348E6">
            <w:pPr>
              <w:pStyle w:val="ListParagraph"/>
              <w:spacing w:after="0" w:line="240"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*pārējām </w:t>
            </w:r>
            <w:r w:rsidR="00702E99" w:rsidRPr="00FE141C">
              <w:rPr>
                <w:rFonts w:ascii="Times New Roman" w:hAnsi="Times New Roman" w:cs="Times New Roman"/>
                <w:color w:val="000000" w:themeColor="text1"/>
                <w:sz w:val="26"/>
                <w:szCs w:val="26"/>
              </w:rPr>
              <w:t xml:space="preserve">republikas pilsētām. </w:t>
            </w:r>
          </w:p>
          <w:p w14:paraId="38601792" w14:textId="0D5E6288" w:rsidR="00740E31" w:rsidRDefault="00740E31" w:rsidP="00C348E6">
            <w:pPr>
              <w:pStyle w:val="ListParagraph"/>
              <w:spacing w:after="0" w:line="240" w:lineRule="auto"/>
              <w:ind w:left="0"/>
              <w:jc w:val="both"/>
              <w:rPr>
                <w:rFonts w:ascii="Times New Roman" w:hAnsi="Times New Roman" w:cs="Times New Roman"/>
                <w:sz w:val="26"/>
                <w:szCs w:val="26"/>
              </w:rPr>
            </w:pPr>
            <w:r w:rsidRPr="00740E31">
              <w:rPr>
                <w:rFonts w:ascii="Times New Roman" w:hAnsi="Times New Roman" w:cs="Times New Roman"/>
                <w:color w:val="000000" w:themeColor="text1"/>
                <w:sz w:val="26"/>
                <w:szCs w:val="26"/>
              </w:rPr>
              <w:t>Informāciju par</w:t>
            </w:r>
            <w:r w:rsidRPr="00740E31">
              <w:rPr>
                <w:rFonts w:ascii="Times New Roman" w:hAnsi="Times New Roman" w:cs="Times New Roman"/>
                <w:sz w:val="26"/>
                <w:szCs w:val="26"/>
              </w:rPr>
              <w:t xml:space="preserve"> administratīvās teritorijas platību tiek iegūti no Valsts zemes dienesta.</w:t>
            </w:r>
          </w:p>
          <w:p w14:paraId="1200218A" w14:textId="7AA31E36" w:rsidR="00151512" w:rsidRPr="00740E31" w:rsidRDefault="00151512" w:rsidP="00C348E6">
            <w:pPr>
              <w:pStyle w:val="ListParagraph"/>
              <w:spacing w:after="0" w:line="240" w:lineRule="auto"/>
              <w:ind w:left="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Aprēķinot finansējumu bērnu no piecu gadu vecuma izglītošanā nodarbināto pedagogu darba samaksu, normētā skolēnu(bērnu) attiecība pret vienu pedagogu mēneša darba likmi tiek piemērota tāda pati proporcija  kā vispārizglītojošajām skolām. </w:t>
            </w:r>
          </w:p>
          <w:p w14:paraId="4D3D6FDB" w14:textId="77777777" w:rsidR="007A2E94" w:rsidRPr="00FE141C" w:rsidRDefault="007A2E94" w:rsidP="00C348E6">
            <w:pPr>
              <w:spacing w:after="0" w:line="240" w:lineRule="auto"/>
              <w:jc w:val="both"/>
              <w:rPr>
                <w:rFonts w:ascii="Times New Roman" w:hAnsi="Times New Roman" w:cs="Times New Roman"/>
                <w:color w:val="000000" w:themeColor="text1"/>
                <w:sz w:val="26"/>
                <w:szCs w:val="26"/>
              </w:rPr>
            </w:pPr>
          </w:p>
          <w:p w14:paraId="30BD7516" w14:textId="4F53A8FA" w:rsidR="00BE0EF2" w:rsidRPr="00FE141C" w:rsidRDefault="008E7102" w:rsidP="00C348E6">
            <w:pPr>
              <w:pStyle w:val="Standard"/>
              <w:spacing w:after="0" w:line="240" w:lineRule="auto"/>
              <w:jc w:val="both"/>
              <w:rPr>
                <w:rFonts w:ascii="Times New Roman" w:hAnsi="Times New Roman" w:cs="Times New Roman"/>
                <w:sz w:val="26"/>
                <w:szCs w:val="26"/>
              </w:rPr>
            </w:pPr>
            <w:r w:rsidRPr="00FE141C">
              <w:rPr>
                <w:rFonts w:ascii="Times New Roman" w:hAnsi="Times New Roman" w:cs="Times New Roman"/>
                <w:sz w:val="26"/>
                <w:szCs w:val="26"/>
              </w:rPr>
              <w:t>Saskaņā ar n</w:t>
            </w:r>
            <w:r w:rsidR="00A142D9" w:rsidRPr="00FE141C">
              <w:rPr>
                <w:rFonts w:ascii="Times New Roman" w:hAnsi="Times New Roman" w:cs="Times New Roman"/>
                <w:color w:val="000000"/>
                <w:sz w:val="26"/>
                <w:szCs w:val="26"/>
              </w:rPr>
              <w:t xml:space="preserve">oteikumu Nr.1616 4.punktu jau šobrīd izglītības iestādes ievada un apstiprina informāciju par bērnu un skolēnu skaitu pa klasēm (grupām) un izglītības programmām. Skola apstiprina atskaites par </w:t>
            </w:r>
            <w:r w:rsidR="00FC016D" w:rsidRPr="00FE141C">
              <w:rPr>
                <w:rFonts w:ascii="Times New Roman" w:hAnsi="Times New Roman" w:cs="Times New Roman"/>
                <w:color w:val="000000"/>
                <w:sz w:val="26"/>
                <w:szCs w:val="26"/>
              </w:rPr>
              <w:t>izglītojamo</w:t>
            </w:r>
            <w:r w:rsidR="00A142D9" w:rsidRPr="00FE141C">
              <w:rPr>
                <w:rFonts w:ascii="Times New Roman" w:hAnsi="Times New Roman" w:cs="Times New Roman"/>
                <w:color w:val="000000"/>
                <w:sz w:val="26"/>
                <w:szCs w:val="26"/>
              </w:rPr>
              <w:t xml:space="preserve"> skaitu. Ņemot vērā, ka šobrīd mērķdotāciju aprēķina un sadala</w:t>
            </w:r>
            <w:r w:rsidR="00A142D9" w:rsidRPr="00FE141C">
              <w:rPr>
                <w:rFonts w:ascii="Times New Roman" w:hAnsi="Times New Roman" w:cs="Times New Roman"/>
                <w:sz w:val="26"/>
                <w:szCs w:val="26"/>
              </w:rPr>
              <w:t xml:space="preserve"> novadu un republikas pilsētu pašvaldībām, atskaites formā finansistu aprēķiniem norāda bērnu un skolēnu skaitu pa novadiem. Lai nodrošinātu  noteikumu Nr.1616 projekta 4.punktā minētajām atsevišķajām pilsētām, kas nav republikas pilsētas</w:t>
            </w:r>
            <w:r w:rsidR="00CE3B84" w:rsidRPr="00FE141C">
              <w:rPr>
                <w:rFonts w:ascii="Times New Roman" w:hAnsi="Times New Roman" w:cs="Times New Roman"/>
                <w:sz w:val="26"/>
                <w:szCs w:val="26"/>
              </w:rPr>
              <w:t>,</w:t>
            </w:r>
            <w:r w:rsidR="00A142D9" w:rsidRPr="00FE141C">
              <w:rPr>
                <w:rFonts w:ascii="Times New Roman" w:hAnsi="Times New Roman" w:cs="Times New Roman"/>
                <w:sz w:val="26"/>
                <w:szCs w:val="26"/>
              </w:rPr>
              <w:t xml:space="preserve"> un novadiem mērķdotācijas aprēķinu pedagogu darba samaksas nodrošināšanai, piemērojot atšķirīgu normētā skolēna (bērna) skaita attiecību pret vienu pedagoga mēneša darba algas likmi, ir plānots ieviest cita veida atskaites formu VIIS, kurā atspoguļotu bērnu un skolēnu skaitu </w:t>
            </w:r>
            <w:r w:rsidR="008D6EAF" w:rsidRPr="00FE141C">
              <w:rPr>
                <w:rFonts w:ascii="Times New Roman" w:hAnsi="Times New Roman" w:cs="Times New Roman"/>
                <w:sz w:val="26"/>
                <w:szCs w:val="26"/>
              </w:rPr>
              <w:t xml:space="preserve">atbilstoši plānotajam sadalījumam. </w:t>
            </w:r>
          </w:p>
        </w:tc>
      </w:tr>
      <w:tr w:rsidR="0082371A" w:rsidRPr="00FE141C" w14:paraId="4959A2FA" w14:textId="77777777" w:rsidTr="0092464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43093DCE" w14:textId="677BBE25"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lastRenderedPageBreak/>
              <w:t>3.</w:t>
            </w:r>
          </w:p>
        </w:tc>
        <w:tc>
          <w:tcPr>
            <w:tcW w:w="1307" w:type="pct"/>
            <w:tcBorders>
              <w:top w:val="outset" w:sz="6" w:space="0" w:color="414142"/>
              <w:left w:val="outset" w:sz="6" w:space="0" w:color="414142"/>
              <w:bottom w:val="outset" w:sz="6" w:space="0" w:color="414142"/>
              <w:right w:val="outset" w:sz="6" w:space="0" w:color="414142"/>
            </w:tcBorders>
            <w:hideMark/>
          </w:tcPr>
          <w:p w14:paraId="5494D10A"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Projekta izstrādē iesaistītās institūcijas</w:t>
            </w:r>
          </w:p>
        </w:tc>
        <w:tc>
          <w:tcPr>
            <w:tcW w:w="3460" w:type="pct"/>
            <w:tcBorders>
              <w:top w:val="outset" w:sz="6" w:space="0" w:color="414142"/>
              <w:left w:val="outset" w:sz="6" w:space="0" w:color="414142"/>
              <w:bottom w:val="outset" w:sz="6" w:space="0" w:color="414142"/>
              <w:right w:val="outset" w:sz="6" w:space="0" w:color="414142"/>
            </w:tcBorders>
            <w:hideMark/>
          </w:tcPr>
          <w:p w14:paraId="6C24583A" w14:textId="7511D0B8" w:rsidR="00514935" w:rsidRPr="00FE141C" w:rsidRDefault="00B8397F" w:rsidP="00C348E6">
            <w:pPr>
              <w:spacing w:after="0" w:line="240" w:lineRule="auto"/>
              <w:jc w:val="both"/>
              <w:rPr>
                <w:rFonts w:ascii="Times New Roman" w:eastAsia="Times New Roman" w:hAnsi="Times New Roman" w:cs="Times New Roman"/>
                <w:color w:val="000000" w:themeColor="text1"/>
                <w:sz w:val="26"/>
                <w:szCs w:val="26"/>
                <w:lang w:eastAsia="lv-LV"/>
              </w:rPr>
            </w:pPr>
            <w:r w:rsidRPr="00A42960">
              <w:rPr>
                <w:rFonts w:ascii="Times New Roman" w:eastAsia="Times New Roman" w:hAnsi="Times New Roman" w:cs="Times New Roman"/>
                <w:color w:val="000000" w:themeColor="text1"/>
                <w:sz w:val="26"/>
                <w:szCs w:val="26"/>
                <w:lang w:eastAsia="lv-LV"/>
              </w:rPr>
              <w:t xml:space="preserve">2016.gada 25.aprīlī ar </w:t>
            </w:r>
            <w:r w:rsidR="00364561" w:rsidRPr="00A42960">
              <w:rPr>
                <w:rFonts w:ascii="Times New Roman" w:eastAsia="Times New Roman" w:hAnsi="Times New Roman" w:cs="Times New Roman"/>
                <w:color w:val="000000" w:themeColor="text1"/>
                <w:sz w:val="26"/>
                <w:szCs w:val="26"/>
                <w:lang w:eastAsia="lv-LV"/>
              </w:rPr>
              <w:t>projektu</w:t>
            </w:r>
            <w:r w:rsidRPr="00A42960">
              <w:rPr>
                <w:rFonts w:ascii="Times New Roman" w:eastAsia="Times New Roman" w:hAnsi="Times New Roman" w:cs="Times New Roman"/>
                <w:color w:val="000000" w:themeColor="text1"/>
                <w:sz w:val="26"/>
                <w:szCs w:val="26"/>
                <w:lang w:eastAsia="lv-LV"/>
              </w:rPr>
              <w:t xml:space="preserve"> tika iepazīstināta</w:t>
            </w:r>
            <w:r w:rsidR="00364561" w:rsidRPr="00A42960">
              <w:rPr>
                <w:rFonts w:ascii="Times New Roman" w:eastAsia="Times New Roman" w:hAnsi="Times New Roman" w:cs="Times New Roman"/>
                <w:color w:val="000000" w:themeColor="text1"/>
                <w:sz w:val="26"/>
                <w:szCs w:val="26"/>
                <w:lang w:eastAsia="lv-LV"/>
              </w:rPr>
              <w:t xml:space="preserve"> </w:t>
            </w:r>
            <w:r w:rsidR="0080452C" w:rsidRPr="00A42960">
              <w:rPr>
                <w:rFonts w:ascii="Times New Roman" w:eastAsia="Times New Roman" w:hAnsi="Times New Roman" w:cs="Times New Roman"/>
                <w:color w:val="000000" w:themeColor="text1"/>
                <w:sz w:val="26"/>
                <w:szCs w:val="26"/>
                <w:lang w:eastAsia="lv-LV"/>
              </w:rPr>
              <w:t>darba grupa</w:t>
            </w:r>
            <w:r w:rsidRPr="00A42960">
              <w:rPr>
                <w:rFonts w:ascii="Times New Roman" w:eastAsia="Times New Roman" w:hAnsi="Times New Roman" w:cs="Times New Roman"/>
                <w:color w:val="000000" w:themeColor="text1"/>
                <w:sz w:val="26"/>
                <w:szCs w:val="26"/>
                <w:lang w:eastAsia="lv-LV"/>
              </w:rPr>
              <w:t xml:space="preserve">, </w:t>
            </w:r>
            <w:r w:rsidR="00120816" w:rsidRPr="00A42960">
              <w:rPr>
                <w:rFonts w:ascii="Times New Roman" w:eastAsia="Times New Roman" w:hAnsi="Times New Roman" w:cs="Times New Roman"/>
                <w:color w:val="000000" w:themeColor="text1"/>
                <w:sz w:val="26"/>
                <w:szCs w:val="26"/>
                <w:lang w:eastAsia="lv-LV"/>
              </w:rPr>
              <w:t>kurā</w:t>
            </w:r>
            <w:r w:rsidR="004F142D" w:rsidRPr="00A42960">
              <w:rPr>
                <w:rFonts w:ascii="Times New Roman" w:eastAsia="Times New Roman" w:hAnsi="Times New Roman" w:cs="Times New Roman"/>
                <w:color w:val="000000" w:themeColor="text1"/>
                <w:sz w:val="26"/>
                <w:szCs w:val="26"/>
                <w:lang w:eastAsia="lv-LV"/>
              </w:rPr>
              <w:t xml:space="preserve"> </w:t>
            </w:r>
            <w:r w:rsidR="00120816" w:rsidRPr="00A42960">
              <w:rPr>
                <w:rFonts w:ascii="Times New Roman" w:eastAsia="Times New Roman" w:hAnsi="Times New Roman" w:cs="Times New Roman"/>
                <w:color w:val="000000" w:themeColor="text1"/>
                <w:sz w:val="26"/>
                <w:szCs w:val="26"/>
                <w:lang w:eastAsia="lv-LV"/>
              </w:rPr>
              <w:t xml:space="preserve">piedalījās </w:t>
            </w:r>
            <w:r w:rsidR="004F142D" w:rsidRPr="00A42960">
              <w:rPr>
                <w:rFonts w:ascii="Times New Roman" w:eastAsia="Times New Roman" w:hAnsi="Times New Roman" w:cs="Times New Roman"/>
                <w:color w:val="000000" w:themeColor="text1"/>
                <w:sz w:val="26"/>
                <w:szCs w:val="26"/>
                <w:lang w:eastAsia="lv-LV"/>
              </w:rPr>
              <w:t xml:space="preserve">pārstāvji no izglītības iestādēm, pašvaldībām, Latvijas lielo pilsētu asociācijas, </w:t>
            </w:r>
            <w:r w:rsidR="003A7F30" w:rsidRPr="00A42960">
              <w:rPr>
                <w:rFonts w:ascii="Times New Roman" w:eastAsia="Times New Roman" w:hAnsi="Times New Roman" w:cs="Times New Roman"/>
                <w:color w:val="000000" w:themeColor="text1"/>
                <w:sz w:val="26"/>
                <w:szCs w:val="26"/>
                <w:lang w:eastAsia="lv-LV"/>
              </w:rPr>
              <w:t xml:space="preserve">Arodbiedrības “Latvijas Izglītības vadītāju asociācija”, </w:t>
            </w:r>
            <w:r w:rsidR="004F142D" w:rsidRPr="00A42960">
              <w:rPr>
                <w:rFonts w:ascii="Times New Roman" w:eastAsia="Times New Roman" w:hAnsi="Times New Roman" w:cs="Times New Roman"/>
                <w:color w:val="000000" w:themeColor="text1"/>
                <w:sz w:val="26"/>
                <w:szCs w:val="26"/>
                <w:lang w:eastAsia="lv-LV"/>
              </w:rPr>
              <w:t>Latvijas Pašvaldību savienības, Latvijas Izglītības un zinātnes darbinieku arodbiedrības</w:t>
            </w:r>
            <w:r w:rsidRPr="00A42960">
              <w:rPr>
                <w:rFonts w:ascii="Times New Roman" w:eastAsia="Times New Roman" w:hAnsi="Times New Roman" w:cs="Times New Roman"/>
                <w:color w:val="000000" w:themeColor="text1"/>
                <w:sz w:val="26"/>
                <w:szCs w:val="26"/>
                <w:lang w:eastAsia="lv-LV"/>
              </w:rPr>
              <w:t>.</w:t>
            </w:r>
            <w:r w:rsidR="003F3777" w:rsidRPr="00A42960">
              <w:rPr>
                <w:rFonts w:ascii="Times New Roman" w:eastAsia="Times New Roman" w:hAnsi="Times New Roman" w:cs="Times New Roman"/>
                <w:color w:val="000000" w:themeColor="text1"/>
                <w:sz w:val="26"/>
                <w:szCs w:val="26"/>
                <w:lang w:eastAsia="lv-LV"/>
              </w:rPr>
              <w:t xml:space="preserve"> Atkārtoti darba grupa noteikumu projektu skatīja 2016.gada 6.maija darba grupā</w:t>
            </w:r>
            <w:r w:rsidR="003F3777">
              <w:rPr>
                <w:rFonts w:ascii="Times New Roman" w:eastAsia="Times New Roman" w:hAnsi="Times New Roman" w:cs="Times New Roman"/>
                <w:color w:val="000000" w:themeColor="text1"/>
                <w:sz w:val="26"/>
                <w:szCs w:val="26"/>
                <w:lang w:eastAsia="lv-LV"/>
              </w:rPr>
              <w:t>.</w:t>
            </w:r>
          </w:p>
        </w:tc>
      </w:tr>
      <w:tr w:rsidR="0082371A" w:rsidRPr="00FE141C" w14:paraId="47E8500E" w14:textId="77777777" w:rsidTr="00924648">
        <w:tc>
          <w:tcPr>
            <w:tcW w:w="234" w:type="pct"/>
            <w:tcBorders>
              <w:top w:val="outset" w:sz="6" w:space="0" w:color="414142"/>
              <w:left w:val="outset" w:sz="6" w:space="0" w:color="414142"/>
              <w:bottom w:val="outset" w:sz="6" w:space="0" w:color="414142"/>
              <w:right w:val="outset" w:sz="6" w:space="0" w:color="414142"/>
            </w:tcBorders>
            <w:hideMark/>
          </w:tcPr>
          <w:p w14:paraId="0ECE3F0B" w14:textId="77777777"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195543E4"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771A52D3"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Nav</w:t>
            </w:r>
            <w:r w:rsidR="008E6A53" w:rsidRPr="00FE141C">
              <w:rPr>
                <w:rFonts w:ascii="Times New Roman" w:eastAsia="Times New Roman" w:hAnsi="Times New Roman" w:cs="Times New Roman"/>
                <w:color w:val="000000" w:themeColor="text1"/>
                <w:sz w:val="26"/>
                <w:szCs w:val="26"/>
                <w:lang w:eastAsia="lv-LV"/>
              </w:rPr>
              <w:t>.</w:t>
            </w:r>
          </w:p>
        </w:tc>
      </w:tr>
      <w:tr w:rsidR="0082371A" w:rsidRPr="00FE141C" w14:paraId="4E12A603" w14:textId="77777777" w:rsidTr="0092464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53F60A" w14:textId="77777777" w:rsidR="00514935" w:rsidRPr="00FE141C"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w:t>
            </w:r>
            <w:r w:rsidRPr="00FE141C">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82371A" w:rsidRPr="00FE141C" w14:paraId="60A9C281" w14:textId="77777777" w:rsidTr="0092464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3C77ACC3"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562B8F5A"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xml:space="preserve">Sabiedrības </w:t>
            </w:r>
            <w:proofErr w:type="spellStart"/>
            <w:r w:rsidRPr="00FE141C">
              <w:rPr>
                <w:rFonts w:ascii="Times New Roman" w:eastAsia="Times New Roman" w:hAnsi="Times New Roman" w:cs="Times New Roman"/>
                <w:color w:val="000000" w:themeColor="text1"/>
                <w:sz w:val="26"/>
                <w:szCs w:val="26"/>
                <w:lang w:eastAsia="lv-LV"/>
              </w:rPr>
              <w:t>mērķgrupas</w:t>
            </w:r>
            <w:proofErr w:type="spellEnd"/>
            <w:r w:rsidRPr="00FE141C">
              <w:rPr>
                <w:rFonts w:ascii="Times New Roman" w:eastAsia="Times New Roman" w:hAnsi="Times New Roman" w:cs="Times New Roman"/>
                <w:color w:val="000000" w:themeColor="text1"/>
                <w:sz w:val="26"/>
                <w:szCs w:val="26"/>
                <w:lang w:eastAsia="lv-LV"/>
              </w:rPr>
              <w:t>, kuras tiesiskais regulējums ietekmē vai varētu ietekmēt</w:t>
            </w:r>
          </w:p>
        </w:tc>
        <w:tc>
          <w:tcPr>
            <w:tcW w:w="3460" w:type="pct"/>
            <w:tcBorders>
              <w:top w:val="outset" w:sz="6" w:space="0" w:color="414142"/>
              <w:left w:val="outset" w:sz="6" w:space="0" w:color="414142"/>
              <w:bottom w:val="outset" w:sz="6" w:space="0" w:color="414142"/>
              <w:right w:val="outset" w:sz="6" w:space="0" w:color="414142"/>
            </w:tcBorders>
            <w:hideMark/>
          </w:tcPr>
          <w:p w14:paraId="602759B8" w14:textId="1F8F46C7" w:rsidR="000A7055" w:rsidRPr="00FE141C" w:rsidRDefault="000A705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hAnsi="Times New Roman" w:cs="Times New Roman"/>
                <w:color w:val="000000" w:themeColor="text1"/>
                <w:sz w:val="26"/>
                <w:szCs w:val="26"/>
              </w:rPr>
              <w:t>Projekta tiesiskais regulējums attiecas uz 110 n</w:t>
            </w:r>
            <w:r w:rsidR="00902B05" w:rsidRPr="00FE141C">
              <w:rPr>
                <w:rFonts w:ascii="Times New Roman" w:hAnsi="Times New Roman" w:cs="Times New Roman"/>
                <w:color w:val="000000" w:themeColor="text1"/>
                <w:sz w:val="26"/>
                <w:szCs w:val="26"/>
              </w:rPr>
              <w:t xml:space="preserve">ovadu </w:t>
            </w:r>
            <w:r w:rsidRPr="00FE141C">
              <w:rPr>
                <w:rFonts w:ascii="Times New Roman" w:hAnsi="Times New Roman" w:cs="Times New Roman"/>
                <w:color w:val="000000" w:themeColor="text1"/>
                <w:sz w:val="26"/>
                <w:szCs w:val="26"/>
              </w:rPr>
              <w:t xml:space="preserve">pašvaldībām un 9 </w:t>
            </w:r>
            <w:r w:rsidR="00902B05" w:rsidRPr="00FE141C">
              <w:rPr>
                <w:rFonts w:ascii="Times New Roman" w:hAnsi="Times New Roman" w:cs="Times New Roman"/>
                <w:color w:val="000000" w:themeColor="text1"/>
                <w:sz w:val="26"/>
                <w:szCs w:val="26"/>
              </w:rPr>
              <w:t>republikas pilsētu pašvaldīb</w:t>
            </w:r>
            <w:r w:rsidRPr="00FE141C">
              <w:rPr>
                <w:rFonts w:ascii="Times New Roman" w:hAnsi="Times New Roman" w:cs="Times New Roman"/>
                <w:color w:val="000000" w:themeColor="text1"/>
                <w:sz w:val="26"/>
                <w:szCs w:val="26"/>
              </w:rPr>
              <w:t xml:space="preserve">ām. </w:t>
            </w:r>
            <w:r w:rsidR="00902B05" w:rsidRPr="00FE141C">
              <w:rPr>
                <w:rFonts w:ascii="Times New Roman" w:hAnsi="Times New Roman" w:cs="Times New Roman"/>
                <w:color w:val="000000" w:themeColor="text1"/>
                <w:sz w:val="26"/>
                <w:szCs w:val="26"/>
              </w:rPr>
              <w:t xml:space="preserve"> </w:t>
            </w:r>
          </w:p>
        </w:tc>
      </w:tr>
      <w:tr w:rsidR="0082371A" w:rsidRPr="00FE141C" w14:paraId="162218A1" w14:textId="77777777" w:rsidTr="00924648">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6B97C6D2"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38B35F13"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xml:space="preserve">Tiesiskā regulējuma ietekme uz </w:t>
            </w:r>
            <w:r w:rsidRPr="00FE141C">
              <w:rPr>
                <w:rFonts w:ascii="Times New Roman" w:eastAsia="Times New Roman" w:hAnsi="Times New Roman" w:cs="Times New Roman"/>
                <w:color w:val="000000" w:themeColor="text1"/>
                <w:sz w:val="26"/>
                <w:szCs w:val="26"/>
                <w:lang w:eastAsia="lv-LV"/>
              </w:rPr>
              <w:lastRenderedPageBreak/>
              <w:t>tautsaimniecību un administratīvo slogu</w:t>
            </w:r>
          </w:p>
        </w:tc>
        <w:tc>
          <w:tcPr>
            <w:tcW w:w="3460" w:type="pct"/>
            <w:tcBorders>
              <w:top w:val="outset" w:sz="6" w:space="0" w:color="414142"/>
              <w:left w:val="outset" w:sz="6" w:space="0" w:color="414142"/>
              <w:bottom w:val="outset" w:sz="6" w:space="0" w:color="414142"/>
              <w:right w:val="outset" w:sz="6" w:space="0" w:color="414142"/>
            </w:tcBorders>
            <w:hideMark/>
          </w:tcPr>
          <w:p w14:paraId="54532E3F" w14:textId="77777777" w:rsidR="00B644EA" w:rsidRPr="00FE141C" w:rsidRDefault="00F25044"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lastRenderedPageBreak/>
              <w:t xml:space="preserve">Tiesiskais regulējums </w:t>
            </w:r>
            <w:r w:rsidR="000B69EA" w:rsidRPr="00FE141C">
              <w:rPr>
                <w:rFonts w:ascii="Times New Roman" w:eastAsia="Times New Roman" w:hAnsi="Times New Roman" w:cs="Times New Roman"/>
                <w:color w:val="000000" w:themeColor="text1"/>
                <w:sz w:val="26"/>
                <w:szCs w:val="26"/>
                <w:lang w:eastAsia="lv-LV"/>
              </w:rPr>
              <w:t xml:space="preserve">nosaka efektīvāku valsts budžeta līdzekļu sadali pedagogu darba samaksai un </w:t>
            </w:r>
            <w:r w:rsidRPr="00FE141C">
              <w:rPr>
                <w:rFonts w:ascii="Times New Roman" w:eastAsia="Times New Roman" w:hAnsi="Times New Roman" w:cs="Times New Roman"/>
                <w:color w:val="000000" w:themeColor="text1"/>
                <w:sz w:val="26"/>
                <w:szCs w:val="26"/>
                <w:lang w:eastAsia="lv-LV"/>
              </w:rPr>
              <w:t>nerada papildu administratīvo slogu.</w:t>
            </w:r>
          </w:p>
        </w:tc>
      </w:tr>
      <w:tr w:rsidR="0082371A" w:rsidRPr="00FE141C" w14:paraId="070E1B43" w14:textId="77777777" w:rsidTr="00924648">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3517A7FD"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3.</w:t>
            </w:r>
          </w:p>
        </w:tc>
        <w:tc>
          <w:tcPr>
            <w:tcW w:w="1307" w:type="pct"/>
            <w:tcBorders>
              <w:top w:val="outset" w:sz="6" w:space="0" w:color="414142"/>
              <w:left w:val="outset" w:sz="6" w:space="0" w:color="414142"/>
              <w:bottom w:val="outset" w:sz="6" w:space="0" w:color="414142"/>
              <w:right w:val="outset" w:sz="6" w:space="0" w:color="414142"/>
            </w:tcBorders>
            <w:hideMark/>
          </w:tcPr>
          <w:p w14:paraId="67946408"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Administratīvo izmaksu monetārs novērtējums</w:t>
            </w:r>
          </w:p>
        </w:tc>
        <w:tc>
          <w:tcPr>
            <w:tcW w:w="3460" w:type="pct"/>
            <w:tcBorders>
              <w:top w:val="outset" w:sz="6" w:space="0" w:color="414142"/>
              <w:left w:val="outset" w:sz="6" w:space="0" w:color="414142"/>
              <w:bottom w:val="outset" w:sz="6" w:space="0" w:color="414142"/>
              <w:right w:val="outset" w:sz="6" w:space="0" w:color="414142"/>
            </w:tcBorders>
            <w:hideMark/>
          </w:tcPr>
          <w:p w14:paraId="42CE7FEA" w14:textId="77777777" w:rsidR="007E2D71" w:rsidRPr="00FE141C" w:rsidRDefault="0012402C"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w:t>
            </w:r>
            <w:r w:rsidR="007E2D71" w:rsidRPr="00FE141C">
              <w:rPr>
                <w:rFonts w:ascii="Times New Roman" w:eastAsia="Times New Roman" w:hAnsi="Times New Roman" w:cs="Times New Roman"/>
                <w:color w:val="000000" w:themeColor="text1"/>
                <w:sz w:val="26"/>
                <w:szCs w:val="26"/>
                <w:lang w:eastAsia="lv-LV"/>
              </w:rPr>
              <w:t>rojekts šo jomu neskar</w:t>
            </w:r>
            <w:r w:rsidR="008E6A53" w:rsidRPr="00FE141C">
              <w:rPr>
                <w:rFonts w:ascii="Times New Roman" w:eastAsia="Times New Roman" w:hAnsi="Times New Roman" w:cs="Times New Roman"/>
                <w:color w:val="000000" w:themeColor="text1"/>
                <w:sz w:val="26"/>
                <w:szCs w:val="26"/>
                <w:lang w:eastAsia="lv-LV"/>
              </w:rPr>
              <w:t>.</w:t>
            </w:r>
          </w:p>
        </w:tc>
      </w:tr>
      <w:tr w:rsidR="0082371A" w:rsidRPr="00FE141C" w14:paraId="2C7682FC" w14:textId="77777777" w:rsidTr="00924648">
        <w:trPr>
          <w:trHeight w:val="345"/>
        </w:trPr>
        <w:tc>
          <w:tcPr>
            <w:tcW w:w="234" w:type="pct"/>
            <w:tcBorders>
              <w:top w:val="outset" w:sz="6" w:space="0" w:color="414142"/>
              <w:left w:val="outset" w:sz="6" w:space="0" w:color="414142"/>
              <w:bottom w:val="outset" w:sz="6" w:space="0" w:color="414142"/>
              <w:right w:val="outset" w:sz="6" w:space="0" w:color="414142"/>
            </w:tcBorders>
            <w:hideMark/>
          </w:tcPr>
          <w:p w14:paraId="4338985B"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6D39ABAE" w14:textId="77777777"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587C1D22" w14:textId="77777777"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Nav</w:t>
            </w:r>
            <w:r w:rsidR="008E6A53" w:rsidRPr="00FE141C">
              <w:rPr>
                <w:rFonts w:ascii="Times New Roman" w:eastAsia="Times New Roman" w:hAnsi="Times New Roman" w:cs="Times New Roman"/>
                <w:color w:val="000000" w:themeColor="text1"/>
                <w:sz w:val="26"/>
                <w:szCs w:val="26"/>
                <w:lang w:eastAsia="lv-LV"/>
              </w:rPr>
              <w:t>.</w:t>
            </w:r>
          </w:p>
        </w:tc>
      </w:tr>
    </w:tbl>
    <w:p w14:paraId="7F0825BA" w14:textId="77777777" w:rsidR="006F2905" w:rsidRDefault="00774B31" w:rsidP="00C348E6">
      <w:pPr>
        <w:pStyle w:val="naisf"/>
        <w:spacing w:before="0" w:after="0"/>
        <w:ind w:firstLine="0"/>
        <w:rPr>
          <w:color w:val="000000" w:themeColor="text1"/>
          <w:sz w:val="26"/>
          <w:szCs w:val="26"/>
        </w:rPr>
      </w:pPr>
      <w:r w:rsidRPr="00FE141C">
        <w:rPr>
          <w:color w:val="000000" w:themeColor="text1"/>
          <w:sz w:val="26"/>
          <w:szCs w:val="26"/>
        </w:rPr>
        <w:br w:type="textWrapping" w:clear="all"/>
      </w:r>
    </w:p>
    <w:tbl>
      <w:tblPr>
        <w:tblW w:w="9640" w:type="dxa"/>
        <w:tblInd w:w="-289" w:type="dxa"/>
        <w:tblLayout w:type="fixed"/>
        <w:tblLook w:val="04A0" w:firstRow="1" w:lastRow="0" w:firstColumn="1" w:lastColumn="0" w:noHBand="0" w:noVBand="1"/>
      </w:tblPr>
      <w:tblGrid>
        <w:gridCol w:w="2544"/>
        <w:gridCol w:w="66"/>
        <w:gridCol w:w="1352"/>
        <w:gridCol w:w="1276"/>
        <w:gridCol w:w="1417"/>
        <w:gridCol w:w="1275"/>
        <w:gridCol w:w="1710"/>
      </w:tblGrid>
      <w:tr w:rsidR="006F2905" w:rsidRPr="006F2905" w14:paraId="19533AA7" w14:textId="77777777" w:rsidTr="006F2905">
        <w:trPr>
          <w:trHeight w:val="945"/>
        </w:trPr>
        <w:tc>
          <w:tcPr>
            <w:tcW w:w="9640"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4105DF45" w14:textId="5C86920F" w:rsidR="006F2905" w:rsidRPr="006F2905" w:rsidRDefault="006F2905" w:rsidP="006F2905">
            <w:pPr>
              <w:spacing w:after="0" w:line="240" w:lineRule="auto"/>
              <w:ind w:firstLine="29"/>
              <w:jc w:val="center"/>
              <w:rPr>
                <w:rFonts w:ascii="Times New Roman" w:eastAsia="Times New Roman" w:hAnsi="Times New Roman" w:cs="Times New Roman"/>
                <w:color w:val="000000"/>
                <w:sz w:val="20"/>
                <w:szCs w:val="20"/>
                <w:lang w:eastAsia="lv-LV"/>
              </w:rPr>
            </w:pPr>
            <w:r w:rsidRPr="00FE141C">
              <w:rPr>
                <w:rFonts w:ascii="Times New Roman" w:eastAsia="Times New Roman" w:hAnsi="Times New Roman" w:cs="Times New Roman"/>
                <w:b/>
                <w:bCs/>
                <w:color w:val="000000" w:themeColor="text1"/>
                <w:sz w:val="26"/>
                <w:szCs w:val="26"/>
                <w:lang w:eastAsia="lv-LV"/>
              </w:rPr>
              <w:t>III. Tiesību akta projekta ietekme uz valsts budžetu un pašvaldību budžetiem</w:t>
            </w:r>
          </w:p>
        </w:tc>
      </w:tr>
      <w:tr w:rsidR="006F2905" w:rsidRPr="006F2905" w14:paraId="61792DBA" w14:textId="77777777" w:rsidTr="006F2905">
        <w:trPr>
          <w:trHeight w:val="945"/>
        </w:trPr>
        <w:tc>
          <w:tcPr>
            <w:tcW w:w="2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9C5E42"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Rādītāji</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67D8F665"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2016. gads</w:t>
            </w:r>
          </w:p>
        </w:tc>
        <w:tc>
          <w:tcPr>
            <w:tcW w:w="4402" w:type="dxa"/>
            <w:gridSpan w:val="3"/>
            <w:tcBorders>
              <w:top w:val="single" w:sz="4" w:space="0" w:color="auto"/>
              <w:left w:val="nil"/>
              <w:bottom w:val="single" w:sz="4" w:space="0" w:color="auto"/>
              <w:right w:val="single" w:sz="4" w:space="0" w:color="auto"/>
            </w:tcBorders>
            <w:shd w:val="clear" w:color="auto" w:fill="auto"/>
            <w:vAlign w:val="center"/>
            <w:hideMark/>
          </w:tcPr>
          <w:p w14:paraId="09717A9A"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Turpmākie trīs gadi (</w:t>
            </w:r>
            <w:proofErr w:type="spellStart"/>
            <w:r w:rsidRPr="006F2905">
              <w:rPr>
                <w:rFonts w:ascii="Times New Roman" w:eastAsia="Times New Roman" w:hAnsi="Times New Roman" w:cs="Times New Roman"/>
                <w:color w:val="000000"/>
                <w:sz w:val="20"/>
                <w:szCs w:val="20"/>
                <w:lang w:eastAsia="lv-LV"/>
              </w:rPr>
              <w:t>euro</w:t>
            </w:r>
            <w:proofErr w:type="spellEnd"/>
            <w:r w:rsidRPr="006F2905">
              <w:rPr>
                <w:rFonts w:ascii="Times New Roman" w:eastAsia="Times New Roman" w:hAnsi="Times New Roman" w:cs="Times New Roman"/>
                <w:color w:val="000000"/>
                <w:sz w:val="20"/>
                <w:szCs w:val="20"/>
                <w:lang w:eastAsia="lv-LV"/>
              </w:rPr>
              <w:t>)</w:t>
            </w:r>
          </w:p>
        </w:tc>
      </w:tr>
      <w:tr w:rsidR="006F2905" w:rsidRPr="006F2905" w14:paraId="326E879B" w14:textId="77777777" w:rsidTr="006F2905">
        <w:trPr>
          <w:trHeight w:val="315"/>
        </w:trPr>
        <w:tc>
          <w:tcPr>
            <w:tcW w:w="2544" w:type="dxa"/>
            <w:vMerge/>
            <w:tcBorders>
              <w:top w:val="single" w:sz="4" w:space="0" w:color="auto"/>
              <w:left w:val="single" w:sz="4" w:space="0" w:color="auto"/>
              <w:bottom w:val="single" w:sz="4" w:space="0" w:color="000000"/>
              <w:right w:val="single" w:sz="4" w:space="0" w:color="auto"/>
            </w:tcBorders>
            <w:vAlign w:val="center"/>
            <w:hideMark/>
          </w:tcPr>
          <w:p w14:paraId="00DC12DD"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CC570B"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saskaņā ar valsts budžetu kārtējam gadam</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B3401A9"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izmaiņas kārtējā gadā, salīdzinot ar valsts budžetu kārtējam gadam</w:t>
            </w:r>
          </w:p>
        </w:tc>
        <w:tc>
          <w:tcPr>
            <w:tcW w:w="1417" w:type="dxa"/>
            <w:tcBorders>
              <w:top w:val="nil"/>
              <w:left w:val="nil"/>
              <w:bottom w:val="single" w:sz="4" w:space="0" w:color="auto"/>
              <w:right w:val="single" w:sz="4" w:space="0" w:color="auto"/>
            </w:tcBorders>
            <w:shd w:val="clear" w:color="auto" w:fill="auto"/>
            <w:vAlign w:val="center"/>
            <w:hideMark/>
          </w:tcPr>
          <w:p w14:paraId="75308C5E"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2017. gads</w:t>
            </w:r>
          </w:p>
        </w:tc>
        <w:tc>
          <w:tcPr>
            <w:tcW w:w="1275" w:type="dxa"/>
            <w:tcBorders>
              <w:top w:val="nil"/>
              <w:left w:val="nil"/>
              <w:bottom w:val="single" w:sz="4" w:space="0" w:color="auto"/>
              <w:right w:val="single" w:sz="4" w:space="0" w:color="auto"/>
            </w:tcBorders>
            <w:shd w:val="clear" w:color="auto" w:fill="auto"/>
            <w:vAlign w:val="center"/>
            <w:hideMark/>
          </w:tcPr>
          <w:p w14:paraId="6285DDBE"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2018. gads</w:t>
            </w:r>
          </w:p>
        </w:tc>
        <w:tc>
          <w:tcPr>
            <w:tcW w:w="1710" w:type="dxa"/>
            <w:tcBorders>
              <w:top w:val="nil"/>
              <w:left w:val="nil"/>
              <w:bottom w:val="single" w:sz="4" w:space="0" w:color="auto"/>
              <w:right w:val="single" w:sz="4" w:space="0" w:color="auto"/>
            </w:tcBorders>
            <w:shd w:val="clear" w:color="auto" w:fill="auto"/>
            <w:vAlign w:val="center"/>
            <w:hideMark/>
          </w:tcPr>
          <w:p w14:paraId="4498BBEF"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2019. gads</w:t>
            </w:r>
          </w:p>
        </w:tc>
      </w:tr>
      <w:tr w:rsidR="006F2905" w:rsidRPr="006F2905" w14:paraId="03AC73E3" w14:textId="77777777" w:rsidTr="006F2905">
        <w:trPr>
          <w:trHeight w:val="1530"/>
        </w:trPr>
        <w:tc>
          <w:tcPr>
            <w:tcW w:w="2544" w:type="dxa"/>
            <w:vMerge/>
            <w:tcBorders>
              <w:top w:val="single" w:sz="4" w:space="0" w:color="auto"/>
              <w:left w:val="single" w:sz="4" w:space="0" w:color="auto"/>
              <w:bottom w:val="single" w:sz="4" w:space="0" w:color="000000"/>
              <w:right w:val="single" w:sz="4" w:space="0" w:color="auto"/>
            </w:tcBorders>
            <w:vAlign w:val="center"/>
            <w:hideMark/>
          </w:tcPr>
          <w:p w14:paraId="55551F99"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3DAA05B3"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p>
        </w:tc>
        <w:tc>
          <w:tcPr>
            <w:tcW w:w="1276" w:type="dxa"/>
            <w:vMerge/>
            <w:tcBorders>
              <w:top w:val="nil"/>
              <w:left w:val="single" w:sz="4" w:space="0" w:color="auto"/>
              <w:bottom w:val="single" w:sz="4" w:space="0" w:color="auto"/>
              <w:right w:val="single" w:sz="4" w:space="0" w:color="auto"/>
            </w:tcBorders>
            <w:vAlign w:val="center"/>
            <w:hideMark/>
          </w:tcPr>
          <w:p w14:paraId="3EA98B0E"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09486890"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izmaiņas, salīdzinot ar 2016.gadu</w:t>
            </w:r>
          </w:p>
        </w:tc>
        <w:tc>
          <w:tcPr>
            <w:tcW w:w="1275" w:type="dxa"/>
            <w:tcBorders>
              <w:top w:val="nil"/>
              <w:left w:val="nil"/>
              <w:bottom w:val="single" w:sz="4" w:space="0" w:color="auto"/>
              <w:right w:val="single" w:sz="4" w:space="0" w:color="auto"/>
            </w:tcBorders>
            <w:shd w:val="clear" w:color="auto" w:fill="auto"/>
            <w:vAlign w:val="center"/>
            <w:hideMark/>
          </w:tcPr>
          <w:p w14:paraId="39E012F0"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izmaiņas, salīdzinot ar 2016.gadu</w:t>
            </w:r>
          </w:p>
        </w:tc>
        <w:tc>
          <w:tcPr>
            <w:tcW w:w="1710" w:type="dxa"/>
            <w:tcBorders>
              <w:top w:val="nil"/>
              <w:left w:val="nil"/>
              <w:bottom w:val="single" w:sz="4" w:space="0" w:color="auto"/>
              <w:right w:val="single" w:sz="4" w:space="0" w:color="auto"/>
            </w:tcBorders>
            <w:shd w:val="clear" w:color="auto" w:fill="auto"/>
            <w:vAlign w:val="center"/>
            <w:hideMark/>
          </w:tcPr>
          <w:p w14:paraId="6443449F"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izmaiņas, salīdzinot ar 2016.gadu</w:t>
            </w:r>
          </w:p>
        </w:tc>
      </w:tr>
      <w:tr w:rsidR="006F2905" w:rsidRPr="006F2905" w14:paraId="5B238646" w14:textId="77777777" w:rsidTr="006F2905">
        <w:trPr>
          <w:trHeight w:val="435"/>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09E68311"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1. Budžeta ieņēmumi:</w:t>
            </w:r>
          </w:p>
        </w:tc>
        <w:tc>
          <w:tcPr>
            <w:tcW w:w="1418" w:type="dxa"/>
            <w:gridSpan w:val="2"/>
            <w:tcBorders>
              <w:top w:val="nil"/>
              <w:left w:val="nil"/>
              <w:bottom w:val="single" w:sz="4" w:space="0" w:color="auto"/>
              <w:right w:val="single" w:sz="4" w:space="0" w:color="auto"/>
            </w:tcBorders>
            <w:shd w:val="clear" w:color="auto" w:fill="auto"/>
            <w:vAlign w:val="center"/>
            <w:hideMark/>
          </w:tcPr>
          <w:p w14:paraId="6B3ECE1B"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261 130 921</w:t>
            </w:r>
          </w:p>
        </w:tc>
        <w:tc>
          <w:tcPr>
            <w:tcW w:w="1276" w:type="dxa"/>
            <w:tcBorders>
              <w:top w:val="nil"/>
              <w:left w:val="nil"/>
              <w:bottom w:val="single" w:sz="4" w:space="0" w:color="auto"/>
              <w:right w:val="single" w:sz="4" w:space="0" w:color="auto"/>
            </w:tcBorders>
            <w:shd w:val="clear" w:color="auto" w:fill="auto"/>
            <w:vAlign w:val="center"/>
            <w:hideMark/>
          </w:tcPr>
          <w:p w14:paraId="6375E515"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3CE23976"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4DC32DBF"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53BED5F9"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r>
      <w:tr w:rsidR="006F2905" w:rsidRPr="006F2905" w14:paraId="05FE7B89" w14:textId="77777777" w:rsidTr="006F2905">
        <w:trPr>
          <w:trHeight w:val="63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7CE31CF1"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1.1. valsts pamatbudžets, tai skaitā ieņēmumi no maksas pakalpojumiem un citi pašu ieņēmumi</w:t>
            </w:r>
          </w:p>
        </w:tc>
        <w:tc>
          <w:tcPr>
            <w:tcW w:w="1418" w:type="dxa"/>
            <w:gridSpan w:val="2"/>
            <w:tcBorders>
              <w:top w:val="nil"/>
              <w:left w:val="nil"/>
              <w:bottom w:val="single" w:sz="4" w:space="0" w:color="auto"/>
              <w:right w:val="single" w:sz="4" w:space="0" w:color="auto"/>
            </w:tcBorders>
            <w:shd w:val="clear" w:color="auto" w:fill="auto"/>
            <w:vAlign w:val="center"/>
            <w:hideMark/>
          </w:tcPr>
          <w:p w14:paraId="2FDA50DF"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261 130 921</w:t>
            </w:r>
          </w:p>
        </w:tc>
        <w:tc>
          <w:tcPr>
            <w:tcW w:w="1276" w:type="dxa"/>
            <w:tcBorders>
              <w:top w:val="nil"/>
              <w:left w:val="nil"/>
              <w:bottom w:val="single" w:sz="4" w:space="0" w:color="auto"/>
              <w:right w:val="single" w:sz="4" w:space="0" w:color="auto"/>
            </w:tcBorders>
            <w:shd w:val="clear" w:color="auto" w:fill="auto"/>
            <w:vAlign w:val="center"/>
            <w:hideMark/>
          </w:tcPr>
          <w:p w14:paraId="655D56A6"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48D1FDC3"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3B010B6A"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321FB8BA"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r>
      <w:tr w:rsidR="006F2905" w:rsidRPr="006F2905" w14:paraId="4E504479" w14:textId="77777777" w:rsidTr="006F2905">
        <w:trPr>
          <w:trHeight w:val="63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0ED5E095" w14:textId="77777777" w:rsidR="006F2905" w:rsidRPr="006F2905" w:rsidRDefault="006F2905" w:rsidP="006F2905">
            <w:pPr>
              <w:spacing w:after="0" w:line="240" w:lineRule="auto"/>
              <w:jc w:val="both"/>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62.resors "Mērķdotācijas pašvaldībām"</w:t>
            </w:r>
            <w:r w:rsidRPr="006F2905">
              <w:rPr>
                <w:rFonts w:ascii="Times New Roman" w:eastAsia="Times New Roman" w:hAnsi="Times New Roman" w:cs="Times New Roman"/>
                <w:color w:val="000000"/>
                <w:sz w:val="20"/>
                <w:szCs w:val="20"/>
                <w:lang w:eastAsia="lv-LV"/>
              </w:rPr>
              <w:br/>
              <w:t>pedagogu darba samaksai</w:t>
            </w:r>
          </w:p>
        </w:tc>
        <w:tc>
          <w:tcPr>
            <w:tcW w:w="1418" w:type="dxa"/>
            <w:gridSpan w:val="2"/>
            <w:tcBorders>
              <w:top w:val="nil"/>
              <w:left w:val="nil"/>
              <w:bottom w:val="single" w:sz="4" w:space="0" w:color="auto"/>
              <w:right w:val="single" w:sz="4" w:space="0" w:color="auto"/>
            </w:tcBorders>
            <w:shd w:val="clear" w:color="auto" w:fill="auto"/>
            <w:vAlign w:val="center"/>
            <w:hideMark/>
          </w:tcPr>
          <w:p w14:paraId="3E15753E"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254 335 644</w:t>
            </w:r>
          </w:p>
        </w:tc>
        <w:tc>
          <w:tcPr>
            <w:tcW w:w="1276" w:type="dxa"/>
            <w:tcBorders>
              <w:top w:val="nil"/>
              <w:left w:val="nil"/>
              <w:bottom w:val="single" w:sz="4" w:space="0" w:color="auto"/>
              <w:right w:val="single" w:sz="4" w:space="0" w:color="auto"/>
            </w:tcBorders>
            <w:shd w:val="clear" w:color="auto" w:fill="auto"/>
            <w:vAlign w:val="center"/>
            <w:hideMark/>
          </w:tcPr>
          <w:p w14:paraId="583F9F71"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1BD49CAD"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468B5E88"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6BB65E65"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6D29A777" w14:textId="77777777" w:rsidTr="006F2905">
        <w:trPr>
          <w:trHeight w:val="315"/>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785FB27E"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Programma 01.00.00 "Mērķdotācijas izglītības pasākumiem"</w:t>
            </w:r>
          </w:p>
        </w:tc>
        <w:tc>
          <w:tcPr>
            <w:tcW w:w="1418" w:type="dxa"/>
            <w:gridSpan w:val="2"/>
            <w:tcBorders>
              <w:top w:val="nil"/>
              <w:left w:val="nil"/>
              <w:bottom w:val="single" w:sz="4" w:space="0" w:color="auto"/>
              <w:right w:val="single" w:sz="4" w:space="0" w:color="auto"/>
            </w:tcBorders>
            <w:shd w:val="clear" w:color="auto" w:fill="auto"/>
            <w:vAlign w:val="center"/>
            <w:hideMark/>
          </w:tcPr>
          <w:p w14:paraId="0A4F7221"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6 782 088</w:t>
            </w:r>
          </w:p>
        </w:tc>
        <w:tc>
          <w:tcPr>
            <w:tcW w:w="1276" w:type="dxa"/>
            <w:tcBorders>
              <w:top w:val="nil"/>
              <w:left w:val="nil"/>
              <w:bottom w:val="single" w:sz="4" w:space="0" w:color="auto"/>
              <w:right w:val="single" w:sz="4" w:space="0" w:color="auto"/>
            </w:tcBorders>
            <w:shd w:val="clear" w:color="auto" w:fill="auto"/>
            <w:vAlign w:val="center"/>
            <w:hideMark/>
          </w:tcPr>
          <w:p w14:paraId="24DA1443"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5D4811A0"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30D90550"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10AD8DE8"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5ABD2609" w14:textId="77777777" w:rsidTr="006F2905">
        <w:trPr>
          <w:trHeight w:val="27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720A642F"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Internātskolas - pedagogu darba samaksai un VSAOI</w:t>
            </w:r>
          </w:p>
        </w:tc>
        <w:tc>
          <w:tcPr>
            <w:tcW w:w="1418" w:type="dxa"/>
            <w:gridSpan w:val="2"/>
            <w:tcBorders>
              <w:top w:val="nil"/>
              <w:left w:val="nil"/>
              <w:bottom w:val="single" w:sz="4" w:space="0" w:color="auto"/>
              <w:right w:val="single" w:sz="4" w:space="0" w:color="auto"/>
            </w:tcBorders>
            <w:shd w:val="clear" w:color="auto" w:fill="auto"/>
            <w:vAlign w:val="center"/>
            <w:hideMark/>
          </w:tcPr>
          <w:p w14:paraId="13B244E8"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6 782 088</w:t>
            </w:r>
          </w:p>
        </w:tc>
        <w:tc>
          <w:tcPr>
            <w:tcW w:w="1276" w:type="dxa"/>
            <w:tcBorders>
              <w:top w:val="nil"/>
              <w:left w:val="nil"/>
              <w:bottom w:val="single" w:sz="4" w:space="0" w:color="auto"/>
              <w:right w:val="single" w:sz="4" w:space="0" w:color="auto"/>
            </w:tcBorders>
            <w:shd w:val="clear" w:color="auto" w:fill="auto"/>
            <w:vAlign w:val="center"/>
            <w:hideMark/>
          </w:tcPr>
          <w:p w14:paraId="390A2610"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55630CFA"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53F5B281"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13CDD6FB"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03934848" w14:textId="77777777" w:rsidTr="006F2905">
        <w:trPr>
          <w:trHeight w:val="945"/>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56912B8"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1418" w:type="dxa"/>
            <w:gridSpan w:val="2"/>
            <w:tcBorders>
              <w:top w:val="nil"/>
              <w:left w:val="nil"/>
              <w:bottom w:val="single" w:sz="4" w:space="0" w:color="auto"/>
              <w:right w:val="single" w:sz="4" w:space="0" w:color="auto"/>
            </w:tcBorders>
            <w:shd w:val="clear" w:color="auto" w:fill="auto"/>
            <w:vAlign w:val="center"/>
            <w:hideMark/>
          </w:tcPr>
          <w:p w14:paraId="4AFFE274"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225 983 208</w:t>
            </w:r>
          </w:p>
        </w:tc>
        <w:tc>
          <w:tcPr>
            <w:tcW w:w="1276" w:type="dxa"/>
            <w:tcBorders>
              <w:top w:val="nil"/>
              <w:left w:val="nil"/>
              <w:bottom w:val="single" w:sz="4" w:space="0" w:color="auto"/>
              <w:right w:val="single" w:sz="4" w:space="0" w:color="auto"/>
            </w:tcBorders>
            <w:shd w:val="clear" w:color="auto" w:fill="auto"/>
            <w:vAlign w:val="center"/>
            <w:hideMark/>
          </w:tcPr>
          <w:p w14:paraId="559F4C2A"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5B39C0CC"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51A62E45"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6F49F6F0"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02A8D512" w14:textId="77777777" w:rsidTr="006F2905">
        <w:trPr>
          <w:trHeight w:val="27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4448A5A2"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Pamata un vispārējās vidējās izglītības iestādes</w:t>
            </w:r>
          </w:p>
        </w:tc>
        <w:tc>
          <w:tcPr>
            <w:tcW w:w="1418" w:type="dxa"/>
            <w:gridSpan w:val="2"/>
            <w:tcBorders>
              <w:top w:val="nil"/>
              <w:left w:val="nil"/>
              <w:bottom w:val="single" w:sz="4" w:space="0" w:color="auto"/>
              <w:right w:val="single" w:sz="4" w:space="0" w:color="auto"/>
            </w:tcBorders>
            <w:shd w:val="clear" w:color="auto" w:fill="auto"/>
            <w:vAlign w:val="center"/>
            <w:hideMark/>
          </w:tcPr>
          <w:p w14:paraId="32070986"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224 511 756</w:t>
            </w:r>
          </w:p>
        </w:tc>
        <w:tc>
          <w:tcPr>
            <w:tcW w:w="1276" w:type="dxa"/>
            <w:tcBorders>
              <w:top w:val="nil"/>
              <w:left w:val="nil"/>
              <w:bottom w:val="single" w:sz="4" w:space="0" w:color="auto"/>
              <w:right w:val="single" w:sz="4" w:space="0" w:color="auto"/>
            </w:tcBorders>
            <w:shd w:val="clear" w:color="auto" w:fill="auto"/>
            <w:vAlign w:val="center"/>
            <w:hideMark/>
          </w:tcPr>
          <w:p w14:paraId="53053311"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098507C5"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4F87B5F4"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245C43FC"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250392D3" w14:textId="77777777" w:rsidTr="006F2905">
        <w:trPr>
          <w:trHeight w:val="27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202C1B2"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Speciālās izglītības iestādes</w:t>
            </w:r>
          </w:p>
        </w:tc>
        <w:tc>
          <w:tcPr>
            <w:tcW w:w="1418" w:type="dxa"/>
            <w:gridSpan w:val="2"/>
            <w:tcBorders>
              <w:top w:val="nil"/>
              <w:left w:val="nil"/>
              <w:bottom w:val="single" w:sz="4" w:space="0" w:color="auto"/>
              <w:right w:val="single" w:sz="4" w:space="0" w:color="auto"/>
            </w:tcBorders>
            <w:shd w:val="clear" w:color="auto" w:fill="auto"/>
            <w:vAlign w:val="center"/>
            <w:hideMark/>
          </w:tcPr>
          <w:p w14:paraId="5ECD9F4F"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1 471 452</w:t>
            </w:r>
          </w:p>
        </w:tc>
        <w:tc>
          <w:tcPr>
            <w:tcW w:w="1276" w:type="dxa"/>
            <w:tcBorders>
              <w:top w:val="nil"/>
              <w:left w:val="nil"/>
              <w:bottom w:val="single" w:sz="4" w:space="0" w:color="auto"/>
              <w:right w:val="single" w:sz="4" w:space="0" w:color="auto"/>
            </w:tcBorders>
            <w:shd w:val="clear" w:color="auto" w:fill="auto"/>
            <w:vAlign w:val="center"/>
            <w:hideMark/>
          </w:tcPr>
          <w:p w14:paraId="11657BC9"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7D4A7893"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D00A633"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0CF4C3AE"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05047AFF" w14:textId="77777777" w:rsidTr="006F2905">
        <w:trPr>
          <w:trHeight w:val="126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15246D5D"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xml:space="preserve">Programma 10.00.00 "Mērķdotācijas pašvaldībām – pašvaldību izglītības iestādēs bērnu no piecu gadu vecuma izglītošanā nodarbināto pedagogu darba samaksai un valsts sociālās </w:t>
            </w:r>
            <w:r w:rsidRPr="006F2905">
              <w:rPr>
                <w:rFonts w:ascii="Times New Roman" w:eastAsia="Times New Roman" w:hAnsi="Times New Roman" w:cs="Times New Roman"/>
                <w:color w:val="000000"/>
                <w:sz w:val="20"/>
                <w:szCs w:val="20"/>
                <w:lang w:eastAsia="lv-LV"/>
              </w:rPr>
              <w:lastRenderedPageBreak/>
              <w:t>apdrošināšanas obligātajām iemaksām"</w:t>
            </w:r>
          </w:p>
        </w:tc>
        <w:tc>
          <w:tcPr>
            <w:tcW w:w="1418" w:type="dxa"/>
            <w:gridSpan w:val="2"/>
            <w:tcBorders>
              <w:top w:val="nil"/>
              <w:left w:val="nil"/>
              <w:bottom w:val="single" w:sz="4" w:space="0" w:color="auto"/>
              <w:right w:val="single" w:sz="4" w:space="0" w:color="auto"/>
            </w:tcBorders>
            <w:shd w:val="clear" w:color="auto" w:fill="auto"/>
            <w:vAlign w:val="center"/>
            <w:hideMark/>
          </w:tcPr>
          <w:p w14:paraId="318451EB"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lastRenderedPageBreak/>
              <w:t>21 570 348</w:t>
            </w:r>
          </w:p>
        </w:tc>
        <w:tc>
          <w:tcPr>
            <w:tcW w:w="1276" w:type="dxa"/>
            <w:tcBorders>
              <w:top w:val="nil"/>
              <w:left w:val="nil"/>
              <w:bottom w:val="single" w:sz="4" w:space="0" w:color="auto"/>
              <w:right w:val="single" w:sz="4" w:space="0" w:color="auto"/>
            </w:tcBorders>
            <w:shd w:val="clear" w:color="auto" w:fill="auto"/>
            <w:vAlign w:val="center"/>
            <w:hideMark/>
          </w:tcPr>
          <w:p w14:paraId="3C4762A3"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199FDEE2"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5364B83"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2EFB980A"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r>
      <w:tr w:rsidR="006F2905" w:rsidRPr="006F2905" w14:paraId="5355CE66" w14:textId="77777777" w:rsidTr="006F2905">
        <w:trPr>
          <w:trHeight w:val="63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17EF476E" w14:textId="77777777" w:rsidR="006F2905" w:rsidRPr="006F2905" w:rsidRDefault="006F2905" w:rsidP="006F2905">
            <w:pPr>
              <w:spacing w:after="0" w:line="240" w:lineRule="auto"/>
              <w:jc w:val="both"/>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15.resors "Izglītības un zinātnes ministrija"</w:t>
            </w:r>
            <w:r w:rsidRPr="006F2905">
              <w:rPr>
                <w:rFonts w:ascii="Times New Roman" w:eastAsia="Times New Roman" w:hAnsi="Times New Roman" w:cs="Times New Roman"/>
                <w:color w:val="000000"/>
                <w:sz w:val="20"/>
                <w:szCs w:val="20"/>
                <w:lang w:eastAsia="lv-LV"/>
              </w:rPr>
              <w:br/>
              <w:t>pedagogu darba samaksai</w:t>
            </w:r>
          </w:p>
        </w:tc>
        <w:tc>
          <w:tcPr>
            <w:tcW w:w="1418" w:type="dxa"/>
            <w:gridSpan w:val="2"/>
            <w:tcBorders>
              <w:top w:val="nil"/>
              <w:left w:val="nil"/>
              <w:bottom w:val="single" w:sz="4" w:space="0" w:color="auto"/>
              <w:right w:val="single" w:sz="4" w:space="0" w:color="auto"/>
            </w:tcBorders>
            <w:shd w:val="clear" w:color="auto" w:fill="auto"/>
            <w:vAlign w:val="center"/>
            <w:hideMark/>
          </w:tcPr>
          <w:p w14:paraId="519402AE"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6 795 277</w:t>
            </w:r>
          </w:p>
        </w:tc>
        <w:tc>
          <w:tcPr>
            <w:tcW w:w="1276" w:type="dxa"/>
            <w:tcBorders>
              <w:top w:val="nil"/>
              <w:left w:val="nil"/>
              <w:bottom w:val="single" w:sz="4" w:space="0" w:color="auto"/>
              <w:right w:val="single" w:sz="4" w:space="0" w:color="auto"/>
            </w:tcBorders>
            <w:shd w:val="clear" w:color="auto" w:fill="auto"/>
            <w:vAlign w:val="center"/>
            <w:hideMark/>
          </w:tcPr>
          <w:p w14:paraId="36379E22"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0EBA5ECA"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1ED31618"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23035EBA"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2686927A" w14:textId="77777777" w:rsidTr="006F2905">
        <w:trPr>
          <w:trHeight w:val="63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1DDC0E2D"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Apakšprogramma 01.05.00 “Dotācija privātajām mācību iestādēm”</w:t>
            </w:r>
          </w:p>
        </w:tc>
        <w:tc>
          <w:tcPr>
            <w:tcW w:w="1418" w:type="dxa"/>
            <w:gridSpan w:val="2"/>
            <w:tcBorders>
              <w:top w:val="nil"/>
              <w:left w:val="nil"/>
              <w:bottom w:val="single" w:sz="4" w:space="0" w:color="auto"/>
              <w:right w:val="single" w:sz="4" w:space="0" w:color="auto"/>
            </w:tcBorders>
            <w:shd w:val="clear" w:color="auto" w:fill="auto"/>
            <w:vAlign w:val="bottom"/>
            <w:hideMark/>
          </w:tcPr>
          <w:p w14:paraId="1E189623"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6 795 277</w:t>
            </w:r>
          </w:p>
        </w:tc>
        <w:tc>
          <w:tcPr>
            <w:tcW w:w="1276" w:type="dxa"/>
            <w:tcBorders>
              <w:top w:val="nil"/>
              <w:left w:val="nil"/>
              <w:bottom w:val="single" w:sz="4" w:space="0" w:color="auto"/>
              <w:right w:val="single" w:sz="4" w:space="0" w:color="auto"/>
            </w:tcBorders>
            <w:shd w:val="clear" w:color="auto" w:fill="auto"/>
            <w:vAlign w:val="bottom"/>
            <w:hideMark/>
          </w:tcPr>
          <w:p w14:paraId="304482A0"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bottom"/>
            <w:hideMark/>
          </w:tcPr>
          <w:p w14:paraId="4F53F9A8"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bottom"/>
            <w:hideMark/>
          </w:tcPr>
          <w:p w14:paraId="639D9173"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bottom"/>
            <w:hideMark/>
          </w:tcPr>
          <w:p w14:paraId="2EE1C670"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0D630DB3" w14:textId="77777777" w:rsidTr="006F2905">
        <w:trPr>
          <w:trHeight w:val="285"/>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13AE195B"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pedagogu darba samaksai un VSAOI</w:t>
            </w:r>
          </w:p>
        </w:tc>
        <w:tc>
          <w:tcPr>
            <w:tcW w:w="1418" w:type="dxa"/>
            <w:gridSpan w:val="2"/>
            <w:tcBorders>
              <w:top w:val="nil"/>
              <w:left w:val="nil"/>
              <w:bottom w:val="single" w:sz="4" w:space="0" w:color="auto"/>
              <w:right w:val="single" w:sz="4" w:space="0" w:color="auto"/>
            </w:tcBorders>
            <w:shd w:val="clear" w:color="auto" w:fill="auto"/>
            <w:vAlign w:val="bottom"/>
            <w:hideMark/>
          </w:tcPr>
          <w:p w14:paraId="190F7308"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6 795 277</w:t>
            </w:r>
          </w:p>
        </w:tc>
        <w:tc>
          <w:tcPr>
            <w:tcW w:w="1276" w:type="dxa"/>
            <w:tcBorders>
              <w:top w:val="nil"/>
              <w:left w:val="nil"/>
              <w:bottom w:val="single" w:sz="4" w:space="0" w:color="auto"/>
              <w:right w:val="single" w:sz="4" w:space="0" w:color="auto"/>
            </w:tcBorders>
            <w:shd w:val="clear" w:color="auto" w:fill="auto"/>
            <w:vAlign w:val="center"/>
            <w:hideMark/>
          </w:tcPr>
          <w:p w14:paraId="00BCAB83"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610C7D81"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737B18E"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6EA364E8"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63E2EEF4" w14:textId="77777777" w:rsidTr="006F2905">
        <w:trPr>
          <w:trHeight w:val="39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2C11316B"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1.2. valsts speciālais budžets</w:t>
            </w:r>
          </w:p>
        </w:tc>
        <w:tc>
          <w:tcPr>
            <w:tcW w:w="1418" w:type="dxa"/>
            <w:gridSpan w:val="2"/>
            <w:tcBorders>
              <w:top w:val="nil"/>
              <w:left w:val="nil"/>
              <w:bottom w:val="single" w:sz="4" w:space="0" w:color="auto"/>
              <w:right w:val="single" w:sz="4" w:space="0" w:color="auto"/>
            </w:tcBorders>
            <w:shd w:val="clear" w:color="auto" w:fill="auto"/>
            <w:vAlign w:val="center"/>
            <w:hideMark/>
          </w:tcPr>
          <w:p w14:paraId="2AA1A1DA"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5CAE2B8"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23685B00"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577E4A4"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138B5906"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7B780CB1" w14:textId="77777777" w:rsidTr="006F2905">
        <w:trPr>
          <w:trHeight w:val="39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13F5F430"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1.3. pašvaldību budžets</w:t>
            </w:r>
          </w:p>
        </w:tc>
        <w:tc>
          <w:tcPr>
            <w:tcW w:w="1418" w:type="dxa"/>
            <w:gridSpan w:val="2"/>
            <w:tcBorders>
              <w:top w:val="nil"/>
              <w:left w:val="nil"/>
              <w:bottom w:val="single" w:sz="4" w:space="0" w:color="auto"/>
              <w:right w:val="single" w:sz="4" w:space="0" w:color="auto"/>
            </w:tcBorders>
            <w:shd w:val="clear" w:color="auto" w:fill="auto"/>
            <w:vAlign w:val="center"/>
            <w:hideMark/>
          </w:tcPr>
          <w:p w14:paraId="5DA59E57"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5B865B2"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7E221B54"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D7F5229"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187FD76C"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381EC5C5" w14:textId="77777777" w:rsidTr="006F2905">
        <w:trPr>
          <w:trHeight w:val="39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478BE6EC"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2. Budžeta izdevumi:</w:t>
            </w:r>
          </w:p>
        </w:tc>
        <w:tc>
          <w:tcPr>
            <w:tcW w:w="1418" w:type="dxa"/>
            <w:gridSpan w:val="2"/>
            <w:tcBorders>
              <w:top w:val="nil"/>
              <w:left w:val="nil"/>
              <w:bottom w:val="single" w:sz="4" w:space="0" w:color="auto"/>
              <w:right w:val="single" w:sz="4" w:space="0" w:color="auto"/>
            </w:tcBorders>
            <w:shd w:val="clear" w:color="auto" w:fill="auto"/>
            <w:vAlign w:val="center"/>
            <w:hideMark/>
          </w:tcPr>
          <w:p w14:paraId="5D26D90E"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261 130 921</w:t>
            </w:r>
          </w:p>
        </w:tc>
        <w:tc>
          <w:tcPr>
            <w:tcW w:w="1276" w:type="dxa"/>
            <w:tcBorders>
              <w:top w:val="nil"/>
              <w:left w:val="nil"/>
              <w:bottom w:val="single" w:sz="4" w:space="0" w:color="auto"/>
              <w:right w:val="single" w:sz="4" w:space="0" w:color="auto"/>
            </w:tcBorders>
            <w:shd w:val="clear" w:color="auto" w:fill="auto"/>
            <w:vAlign w:val="center"/>
            <w:hideMark/>
          </w:tcPr>
          <w:p w14:paraId="3661C873"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6053BFDD"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07F46432"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45B47CA6"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r>
      <w:tr w:rsidR="006F2905" w:rsidRPr="006F2905" w14:paraId="585A581B" w14:textId="77777777" w:rsidTr="006F2905">
        <w:trPr>
          <w:trHeight w:val="39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0F95EBC3"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2.1. valsts pamatbudžets</w:t>
            </w:r>
          </w:p>
        </w:tc>
        <w:tc>
          <w:tcPr>
            <w:tcW w:w="1418" w:type="dxa"/>
            <w:gridSpan w:val="2"/>
            <w:tcBorders>
              <w:top w:val="nil"/>
              <w:left w:val="nil"/>
              <w:bottom w:val="single" w:sz="4" w:space="0" w:color="auto"/>
              <w:right w:val="single" w:sz="4" w:space="0" w:color="auto"/>
            </w:tcBorders>
            <w:shd w:val="clear" w:color="auto" w:fill="auto"/>
            <w:vAlign w:val="center"/>
            <w:hideMark/>
          </w:tcPr>
          <w:p w14:paraId="05825F7A"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261 130 921</w:t>
            </w:r>
          </w:p>
        </w:tc>
        <w:tc>
          <w:tcPr>
            <w:tcW w:w="1276" w:type="dxa"/>
            <w:tcBorders>
              <w:top w:val="nil"/>
              <w:left w:val="nil"/>
              <w:bottom w:val="single" w:sz="4" w:space="0" w:color="auto"/>
              <w:right w:val="single" w:sz="4" w:space="0" w:color="auto"/>
            </w:tcBorders>
            <w:shd w:val="clear" w:color="auto" w:fill="auto"/>
            <w:vAlign w:val="center"/>
            <w:hideMark/>
          </w:tcPr>
          <w:p w14:paraId="7595714E"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0128C110"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138342E1"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2DA970D5"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r>
      <w:tr w:rsidR="006F2905" w:rsidRPr="006F2905" w14:paraId="4A0B04EC" w14:textId="77777777" w:rsidTr="006F2905">
        <w:trPr>
          <w:trHeight w:val="63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1CF2F943" w14:textId="77777777" w:rsidR="006F2905" w:rsidRPr="006F2905" w:rsidRDefault="006F2905" w:rsidP="006F2905">
            <w:pPr>
              <w:spacing w:after="0" w:line="240" w:lineRule="auto"/>
              <w:jc w:val="both"/>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62.resors "Mērķdotācijas pašvaldībām"</w:t>
            </w:r>
            <w:r w:rsidRPr="006F2905">
              <w:rPr>
                <w:rFonts w:ascii="Times New Roman" w:eastAsia="Times New Roman" w:hAnsi="Times New Roman" w:cs="Times New Roman"/>
                <w:color w:val="000000"/>
                <w:sz w:val="20"/>
                <w:szCs w:val="20"/>
                <w:lang w:eastAsia="lv-LV"/>
              </w:rPr>
              <w:br/>
              <w:t>pedagogu darba samaksai</w:t>
            </w:r>
          </w:p>
        </w:tc>
        <w:tc>
          <w:tcPr>
            <w:tcW w:w="1418" w:type="dxa"/>
            <w:gridSpan w:val="2"/>
            <w:tcBorders>
              <w:top w:val="nil"/>
              <w:left w:val="nil"/>
              <w:bottom w:val="single" w:sz="4" w:space="0" w:color="auto"/>
              <w:right w:val="single" w:sz="4" w:space="0" w:color="auto"/>
            </w:tcBorders>
            <w:shd w:val="clear" w:color="auto" w:fill="auto"/>
            <w:vAlign w:val="center"/>
            <w:hideMark/>
          </w:tcPr>
          <w:p w14:paraId="30513B49"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254 335 644</w:t>
            </w:r>
          </w:p>
        </w:tc>
        <w:tc>
          <w:tcPr>
            <w:tcW w:w="1276" w:type="dxa"/>
            <w:tcBorders>
              <w:top w:val="nil"/>
              <w:left w:val="nil"/>
              <w:bottom w:val="single" w:sz="4" w:space="0" w:color="auto"/>
              <w:right w:val="single" w:sz="4" w:space="0" w:color="auto"/>
            </w:tcBorders>
            <w:shd w:val="clear" w:color="auto" w:fill="auto"/>
            <w:vAlign w:val="center"/>
            <w:hideMark/>
          </w:tcPr>
          <w:p w14:paraId="375C1EFC"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641D7D9D"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5A68E898"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05AFF307"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6DCB61F7" w14:textId="77777777" w:rsidTr="006F2905">
        <w:trPr>
          <w:trHeight w:val="315"/>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3C8A01D"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Programma 01.00.00 "Mērķdotācijas izglītības pasākumiem"</w:t>
            </w:r>
          </w:p>
        </w:tc>
        <w:tc>
          <w:tcPr>
            <w:tcW w:w="1418" w:type="dxa"/>
            <w:gridSpan w:val="2"/>
            <w:tcBorders>
              <w:top w:val="nil"/>
              <w:left w:val="nil"/>
              <w:bottom w:val="single" w:sz="4" w:space="0" w:color="auto"/>
              <w:right w:val="single" w:sz="4" w:space="0" w:color="auto"/>
            </w:tcBorders>
            <w:shd w:val="clear" w:color="auto" w:fill="auto"/>
            <w:vAlign w:val="center"/>
            <w:hideMark/>
          </w:tcPr>
          <w:p w14:paraId="62B32BDC"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6 782 088</w:t>
            </w:r>
          </w:p>
        </w:tc>
        <w:tc>
          <w:tcPr>
            <w:tcW w:w="1276" w:type="dxa"/>
            <w:tcBorders>
              <w:top w:val="nil"/>
              <w:left w:val="nil"/>
              <w:bottom w:val="single" w:sz="4" w:space="0" w:color="auto"/>
              <w:right w:val="single" w:sz="4" w:space="0" w:color="auto"/>
            </w:tcBorders>
            <w:shd w:val="clear" w:color="auto" w:fill="auto"/>
            <w:vAlign w:val="center"/>
            <w:hideMark/>
          </w:tcPr>
          <w:p w14:paraId="0EA68106"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24B07E73"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21EFCF41"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07EEC36A"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2AA7D94A" w14:textId="77777777" w:rsidTr="006F2905">
        <w:trPr>
          <w:trHeight w:val="27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E7A443B"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Internātskolas - pedagogu darba samaksai un VSAOI</w:t>
            </w:r>
          </w:p>
        </w:tc>
        <w:tc>
          <w:tcPr>
            <w:tcW w:w="1418" w:type="dxa"/>
            <w:gridSpan w:val="2"/>
            <w:tcBorders>
              <w:top w:val="nil"/>
              <w:left w:val="nil"/>
              <w:bottom w:val="single" w:sz="4" w:space="0" w:color="auto"/>
              <w:right w:val="single" w:sz="4" w:space="0" w:color="auto"/>
            </w:tcBorders>
            <w:shd w:val="clear" w:color="auto" w:fill="auto"/>
            <w:vAlign w:val="center"/>
            <w:hideMark/>
          </w:tcPr>
          <w:p w14:paraId="23985CE2"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6 782 088</w:t>
            </w:r>
          </w:p>
        </w:tc>
        <w:tc>
          <w:tcPr>
            <w:tcW w:w="1276" w:type="dxa"/>
            <w:tcBorders>
              <w:top w:val="nil"/>
              <w:left w:val="nil"/>
              <w:bottom w:val="single" w:sz="4" w:space="0" w:color="auto"/>
              <w:right w:val="single" w:sz="4" w:space="0" w:color="auto"/>
            </w:tcBorders>
            <w:shd w:val="clear" w:color="auto" w:fill="auto"/>
            <w:vAlign w:val="center"/>
            <w:hideMark/>
          </w:tcPr>
          <w:p w14:paraId="27300E96"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79AC6B14"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6694CF41"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75DFED84"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50EC9112" w14:textId="77777777" w:rsidTr="006F2905">
        <w:trPr>
          <w:trHeight w:val="945"/>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0447BAF0"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1418" w:type="dxa"/>
            <w:gridSpan w:val="2"/>
            <w:tcBorders>
              <w:top w:val="nil"/>
              <w:left w:val="nil"/>
              <w:bottom w:val="single" w:sz="4" w:space="0" w:color="auto"/>
              <w:right w:val="single" w:sz="4" w:space="0" w:color="auto"/>
            </w:tcBorders>
            <w:shd w:val="clear" w:color="auto" w:fill="auto"/>
            <w:vAlign w:val="center"/>
            <w:hideMark/>
          </w:tcPr>
          <w:p w14:paraId="4EDB2E80"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225 983 208</w:t>
            </w:r>
          </w:p>
        </w:tc>
        <w:tc>
          <w:tcPr>
            <w:tcW w:w="1276" w:type="dxa"/>
            <w:tcBorders>
              <w:top w:val="nil"/>
              <w:left w:val="nil"/>
              <w:bottom w:val="single" w:sz="4" w:space="0" w:color="auto"/>
              <w:right w:val="single" w:sz="4" w:space="0" w:color="auto"/>
            </w:tcBorders>
            <w:shd w:val="clear" w:color="auto" w:fill="auto"/>
            <w:vAlign w:val="center"/>
            <w:hideMark/>
          </w:tcPr>
          <w:p w14:paraId="4993CFDF"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469A8304"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30A10499"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2C3A3AC0"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42152F2A" w14:textId="77777777" w:rsidTr="006F2905">
        <w:trPr>
          <w:trHeight w:val="27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1E8637A8"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Pamata un vispārējās vidējās izglītības iestādes</w:t>
            </w:r>
          </w:p>
        </w:tc>
        <w:tc>
          <w:tcPr>
            <w:tcW w:w="1418" w:type="dxa"/>
            <w:gridSpan w:val="2"/>
            <w:tcBorders>
              <w:top w:val="nil"/>
              <w:left w:val="nil"/>
              <w:bottom w:val="single" w:sz="4" w:space="0" w:color="auto"/>
              <w:right w:val="single" w:sz="4" w:space="0" w:color="auto"/>
            </w:tcBorders>
            <w:shd w:val="clear" w:color="auto" w:fill="auto"/>
            <w:vAlign w:val="center"/>
            <w:hideMark/>
          </w:tcPr>
          <w:p w14:paraId="1E11F2E3"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224 511 756</w:t>
            </w:r>
          </w:p>
        </w:tc>
        <w:tc>
          <w:tcPr>
            <w:tcW w:w="1276" w:type="dxa"/>
            <w:tcBorders>
              <w:top w:val="nil"/>
              <w:left w:val="nil"/>
              <w:bottom w:val="single" w:sz="4" w:space="0" w:color="auto"/>
              <w:right w:val="single" w:sz="4" w:space="0" w:color="auto"/>
            </w:tcBorders>
            <w:shd w:val="clear" w:color="auto" w:fill="auto"/>
            <w:vAlign w:val="center"/>
            <w:hideMark/>
          </w:tcPr>
          <w:p w14:paraId="319FB38D"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56B7EDD4"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692BD466"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51804CF5"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696973BD" w14:textId="77777777" w:rsidTr="006F2905">
        <w:trPr>
          <w:trHeight w:val="27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41BF4822"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Speciālās izglītības iestādes</w:t>
            </w:r>
          </w:p>
        </w:tc>
        <w:tc>
          <w:tcPr>
            <w:tcW w:w="1418" w:type="dxa"/>
            <w:gridSpan w:val="2"/>
            <w:tcBorders>
              <w:top w:val="nil"/>
              <w:left w:val="nil"/>
              <w:bottom w:val="single" w:sz="4" w:space="0" w:color="auto"/>
              <w:right w:val="single" w:sz="4" w:space="0" w:color="auto"/>
            </w:tcBorders>
            <w:shd w:val="clear" w:color="auto" w:fill="auto"/>
            <w:vAlign w:val="center"/>
            <w:hideMark/>
          </w:tcPr>
          <w:p w14:paraId="623F0D14"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1 471 452</w:t>
            </w:r>
          </w:p>
        </w:tc>
        <w:tc>
          <w:tcPr>
            <w:tcW w:w="1276" w:type="dxa"/>
            <w:tcBorders>
              <w:top w:val="nil"/>
              <w:left w:val="nil"/>
              <w:bottom w:val="single" w:sz="4" w:space="0" w:color="auto"/>
              <w:right w:val="single" w:sz="4" w:space="0" w:color="auto"/>
            </w:tcBorders>
            <w:shd w:val="clear" w:color="auto" w:fill="auto"/>
            <w:vAlign w:val="center"/>
            <w:hideMark/>
          </w:tcPr>
          <w:p w14:paraId="27E5921B"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2D22E77B"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F173313"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280F2E21"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4D254241" w14:textId="77777777" w:rsidTr="006F2905">
        <w:trPr>
          <w:trHeight w:val="126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0D8A0C01"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Programma 10.00.00 "Mērķdotācijas pašvaldībām – pašvaldību izglītības iestādēs bērnu no piecu gadu vecuma izglītošanā nodarbināto pedagogu darba samaksai un valsts sociālās apdrošināšanas obligātajām iemaksām"</w:t>
            </w:r>
          </w:p>
        </w:tc>
        <w:tc>
          <w:tcPr>
            <w:tcW w:w="1418" w:type="dxa"/>
            <w:gridSpan w:val="2"/>
            <w:tcBorders>
              <w:top w:val="nil"/>
              <w:left w:val="nil"/>
              <w:bottom w:val="single" w:sz="4" w:space="0" w:color="auto"/>
              <w:right w:val="single" w:sz="4" w:space="0" w:color="auto"/>
            </w:tcBorders>
            <w:shd w:val="clear" w:color="auto" w:fill="auto"/>
            <w:vAlign w:val="center"/>
            <w:hideMark/>
          </w:tcPr>
          <w:p w14:paraId="03FB3CE3"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21 570 348</w:t>
            </w:r>
          </w:p>
        </w:tc>
        <w:tc>
          <w:tcPr>
            <w:tcW w:w="1276" w:type="dxa"/>
            <w:tcBorders>
              <w:top w:val="nil"/>
              <w:left w:val="nil"/>
              <w:bottom w:val="single" w:sz="4" w:space="0" w:color="auto"/>
              <w:right w:val="single" w:sz="4" w:space="0" w:color="auto"/>
            </w:tcBorders>
            <w:shd w:val="clear" w:color="auto" w:fill="auto"/>
            <w:vAlign w:val="center"/>
            <w:hideMark/>
          </w:tcPr>
          <w:p w14:paraId="585B7E9F"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49156F68"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565FB3DC"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3083D8E9"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r>
      <w:tr w:rsidR="006F2905" w:rsidRPr="006F2905" w14:paraId="595F81A7" w14:textId="77777777" w:rsidTr="006F2905">
        <w:trPr>
          <w:trHeight w:val="63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296B88C3" w14:textId="77777777" w:rsidR="006F2905" w:rsidRPr="006F2905" w:rsidRDefault="006F2905" w:rsidP="006F2905">
            <w:pPr>
              <w:spacing w:after="0" w:line="240" w:lineRule="auto"/>
              <w:jc w:val="both"/>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15.resors "Izglītības un zinātnes ministrija"</w:t>
            </w:r>
            <w:r w:rsidRPr="006F2905">
              <w:rPr>
                <w:rFonts w:ascii="Times New Roman" w:eastAsia="Times New Roman" w:hAnsi="Times New Roman" w:cs="Times New Roman"/>
                <w:color w:val="000000"/>
                <w:sz w:val="20"/>
                <w:szCs w:val="20"/>
                <w:lang w:eastAsia="lv-LV"/>
              </w:rPr>
              <w:br/>
              <w:t>pedagogu darba samaksai</w:t>
            </w:r>
          </w:p>
        </w:tc>
        <w:tc>
          <w:tcPr>
            <w:tcW w:w="1418" w:type="dxa"/>
            <w:gridSpan w:val="2"/>
            <w:tcBorders>
              <w:top w:val="nil"/>
              <w:left w:val="nil"/>
              <w:bottom w:val="single" w:sz="4" w:space="0" w:color="auto"/>
              <w:right w:val="single" w:sz="4" w:space="0" w:color="auto"/>
            </w:tcBorders>
            <w:shd w:val="clear" w:color="auto" w:fill="auto"/>
            <w:vAlign w:val="center"/>
            <w:hideMark/>
          </w:tcPr>
          <w:p w14:paraId="1D6A6FD1"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6 795 277</w:t>
            </w:r>
          </w:p>
        </w:tc>
        <w:tc>
          <w:tcPr>
            <w:tcW w:w="1276" w:type="dxa"/>
            <w:tcBorders>
              <w:top w:val="nil"/>
              <w:left w:val="nil"/>
              <w:bottom w:val="single" w:sz="4" w:space="0" w:color="auto"/>
              <w:right w:val="single" w:sz="4" w:space="0" w:color="auto"/>
            </w:tcBorders>
            <w:shd w:val="clear" w:color="auto" w:fill="auto"/>
            <w:vAlign w:val="center"/>
            <w:hideMark/>
          </w:tcPr>
          <w:p w14:paraId="175069A3"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02F15B59"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004A239A"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37447C40"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45848D14" w14:textId="77777777" w:rsidTr="006F2905">
        <w:trPr>
          <w:trHeight w:val="63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3FFDCE84"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Apakšprogramma 01.05.00 “Dotācija privātajām mācību iestādēm”</w:t>
            </w:r>
          </w:p>
        </w:tc>
        <w:tc>
          <w:tcPr>
            <w:tcW w:w="1418" w:type="dxa"/>
            <w:gridSpan w:val="2"/>
            <w:tcBorders>
              <w:top w:val="nil"/>
              <w:left w:val="nil"/>
              <w:bottom w:val="single" w:sz="4" w:space="0" w:color="auto"/>
              <w:right w:val="single" w:sz="4" w:space="0" w:color="auto"/>
            </w:tcBorders>
            <w:shd w:val="clear" w:color="auto" w:fill="auto"/>
            <w:vAlign w:val="bottom"/>
            <w:hideMark/>
          </w:tcPr>
          <w:p w14:paraId="06E8788C"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6 795 277</w:t>
            </w:r>
          </w:p>
        </w:tc>
        <w:tc>
          <w:tcPr>
            <w:tcW w:w="1276" w:type="dxa"/>
            <w:tcBorders>
              <w:top w:val="nil"/>
              <w:left w:val="nil"/>
              <w:bottom w:val="single" w:sz="4" w:space="0" w:color="auto"/>
              <w:right w:val="single" w:sz="4" w:space="0" w:color="auto"/>
            </w:tcBorders>
            <w:shd w:val="clear" w:color="auto" w:fill="auto"/>
            <w:vAlign w:val="bottom"/>
            <w:hideMark/>
          </w:tcPr>
          <w:p w14:paraId="1F653721"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bottom"/>
            <w:hideMark/>
          </w:tcPr>
          <w:p w14:paraId="09009D2C"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bottom"/>
            <w:hideMark/>
          </w:tcPr>
          <w:p w14:paraId="779A4C97"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bottom"/>
            <w:hideMark/>
          </w:tcPr>
          <w:p w14:paraId="7579321E"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0A7B81BC" w14:textId="77777777" w:rsidTr="006F2905">
        <w:trPr>
          <w:trHeight w:val="285"/>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09250C90"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pedagogu darba samaksai un VSAOI</w:t>
            </w:r>
          </w:p>
        </w:tc>
        <w:tc>
          <w:tcPr>
            <w:tcW w:w="1418" w:type="dxa"/>
            <w:gridSpan w:val="2"/>
            <w:tcBorders>
              <w:top w:val="nil"/>
              <w:left w:val="nil"/>
              <w:bottom w:val="single" w:sz="4" w:space="0" w:color="auto"/>
              <w:right w:val="single" w:sz="4" w:space="0" w:color="auto"/>
            </w:tcBorders>
            <w:shd w:val="clear" w:color="auto" w:fill="auto"/>
            <w:vAlign w:val="bottom"/>
            <w:hideMark/>
          </w:tcPr>
          <w:p w14:paraId="6D5FB10C"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6 795 277</w:t>
            </w:r>
          </w:p>
        </w:tc>
        <w:tc>
          <w:tcPr>
            <w:tcW w:w="1276" w:type="dxa"/>
            <w:tcBorders>
              <w:top w:val="nil"/>
              <w:left w:val="nil"/>
              <w:bottom w:val="single" w:sz="4" w:space="0" w:color="auto"/>
              <w:right w:val="single" w:sz="4" w:space="0" w:color="auto"/>
            </w:tcBorders>
            <w:shd w:val="clear" w:color="auto" w:fill="auto"/>
            <w:vAlign w:val="center"/>
            <w:hideMark/>
          </w:tcPr>
          <w:p w14:paraId="0B18172B"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363D7F33"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045924E"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380A9ED1"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5EF410F0" w14:textId="77777777" w:rsidTr="006F2905">
        <w:trPr>
          <w:trHeight w:val="39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3F2CB98D"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2.2. valsts speciālais budžets</w:t>
            </w:r>
          </w:p>
        </w:tc>
        <w:tc>
          <w:tcPr>
            <w:tcW w:w="1418" w:type="dxa"/>
            <w:gridSpan w:val="2"/>
            <w:tcBorders>
              <w:top w:val="nil"/>
              <w:left w:val="nil"/>
              <w:bottom w:val="single" w:sz="4" w:space="0" w:color="auto"/>
              <w:right w:val="single" w:sz="4" w:space="0" w:color="auto"/>
            </w:tcBorders>
            <w:shd w:val="clear" w:color="auto" w:fill="auto"/>
            <w:vAlign w:val="center"/>
            <w:hideMark/>
          </w:tcPr>
          <w:p w14:paraId="31D72F2A"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739290A"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56E822BF"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289E97B"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1FCEE356"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671F7165" w14:textId="77777777" w:rsidTr="006F2905">
        <w:trPr>
          <w:trHeight w:val="39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543AB7F4"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lastRenderedPageBreak/>
              <w:t>2.3. pašvaldību budžets</w:t>
            </w:r>
          </w:p>
        </w:tc>
        <w:tc>
          <w:tcPr>
            <w:tcW w:w="1418" w:type="dxa"/>
            <w:gridSpan w:val="2"/>
            <w:tcBorders>
              <w:top w:val="nil"/>
              <w:left w:val="nil"/>
              <w:bottom w:val="single" w:sz="4" w:space="0" w:color="auto"/>
              <w:right w:val="single" w:sz="4" w:space="0" w:color="auto"/>
            </w:tcBorders>
            <w:shd w:val="clear" w:color="auto" w:fill="auto"/>
            <w:vAlign w:val="center"/>
            <w:hideMark/>
          </w:tcPr>
          <w:p w14:paraId="6BAFF3A4"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822B8E9"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471CB6DC"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39FE532"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18288FC0"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24238FDC" w14:textId="77777777" w:rsidTr="006F2905">
        <w:trPr>
          <w:trHeight w:val="39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3C4E15D2"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3. Finansiālā ietekme:</w:t>
            </w:r>
          </w:p>
        </w:tc>
        <w:tc>
          <w:tcPr>
            <w:tcW w:w="1418" w:type="dxa"/>
            <w:gridSpan w:val="2"/>
            <w:tcBorders>
              <w:top w:val="nil"/>
              <w:left w:val="nil"/>
              <w:bottom w:val="single" w:sz="4" w:space="0" w:color="auto"/>
              <w:right w:val="single" w:sz="4" w:space="0" w:color="auto"/>
            </w:tcBorders>
            <w:shd w:val="clear" w:color="auto" w:fill="auto"/>
            <w:vAlign w:val="center"/>
            <w:hideMark/>
          </w:tcPr>
          <w:p w14:paraId="1AA7E2DF"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35B746BA"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53210C82"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35E9C73F"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648D8491" w14:textId="77777777" w:rsidR="006F2905" w:rsidRPr="006F2905" w:rsidRDefault="006F2905" w:rsidP="006F2905">
            <w:pPr>
              <w:spacing w:after="0" w:line="240" w:lineRule="auto"/>
              <w:jc w:val="right"/>
              <w:rPr>
                <w:rFonts w:ascii="Times New Roman" w:eastAsia="Times New Roman" w:hAnsi="Times New Roman" w:cs="Times New Roman"/>
                <w:b/>
                <w:bCs/>
                <w:sz w:val="20"/>
                <w:szCs w:val="20"/>
                <w:lang w:eastAsia="lv-LV"/>
              </w:rPr>
            </w:pPr>
            <w:r w:rsidRPr="006F2905">
              <w:rPr>
                <w:rFonts w:ascii="Times New Roman" w:eastAsia="Times New Roman" w:hAnsi="Times New Roman" w:cs="Times New Roman"/>
                <w:b/>
                <w:bCs/>
                <w:sz w:val="20"/>
                <w:szCs w:val="20"/>
                <w:lang w:eastAsia="lv-LV"/>
              </w:rPr>
              <w:t>0</w:t>
            </w:r>
          </w:p>
        </w:tc>
      </w:tr>
      <w:tr w:rsidR="006F2905" w:rsidRPr="006F2905" w14:paraId="5E7F7D18" w14:textId="77777777" w:rsidTr="006F2905">
        <w:trPr>
          <w:trHeight w:val="39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0352B4F4"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3.1. valsts pamatbudžets</w:t>
            </w:r>
          </w:p>
        </w:tc>
        <w:tc>
          <w:tcPr>
            <w:tcW w:w="1418" w:type="dxa"/>
            <w:gridSpan w:val="2"/>
            <w:tcBorders>
              <w:top w:val="nil"/>
              <w:left w:val="nil"/>
              <w:bottom w:val="single" w:sz="4" w:space="0" w:color="auto"/>
              <w:right w:val="single" w:sz="4" w:space="0" w:color="auto"/>
            </w:tcBorders>
            <w:shd w:val="clear" w:color="auto" w:fill="auto"/>
            <w:vAlign w:val="center"/>
            <w:hideMark/>
          </w:tcPr>
          <w:p w14:paraId="16F4B9CD"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4588BA0D"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295667A1"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72D25C55"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0B2D28B6"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0</w:t>
            </w:r>
          </w:p>
        </w:tc>
      </w:tr>
      <w:tr w:rsidR="006F2905" w:rsidRPr="006F2905" w14:paraId="6DFD9960" w14:textId="77777777" w:rsidTr="006F2905">
        <w:trPr>
          <w:trHeight w:val="63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5BEEFDA6" w14:textId="77777777" w:rsidR="006F2905" w:rsidRPr="006F2905" w:rsidRDefault="006F2905" w:rsidP="006F2905">
            <w:pPr>
              <w:spacing w:after="0" w:line="240" w:lineRule="auto"/>
              <w:jc w:val="both"/>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62.resors "Mērķdotācijas pašvaldībām"</w:t>
            </w:r>
            <w:r w:rsidRPr="006F2905">
              <w:rPr>
                <w:rFonts w:ascii="Times New Roman" w:eastAsia="Times New Roman" w:hAnsi="Times New Roman" w:cs="Times New Roman"/>
                <w:color w:val="000000"/>
                <w:sz w:val="20"/>
                <w:szCs w:val="20"/>
                <w:lang w:eastAsia="lv-LV"/>
              </w:rPr>
              <w:br/>
              <w:t>pedagogu darba samaksai</w:t>
            </w:r>
          </w:p>
        </w:tc>
        <w:tc>
          <w:tcPr>
            <w:tcW w:w="1418" w:type="dxa"/>
            <w:gridSpan w:val="2"/>
            <w:tcBorders>
              <w:top w:val="nil"/>
              <w:left w:val="nil"/>
              <w:bottom w:val="single" w:sz="4" w:space="0" w:color="auto"/>
              <w:right w:val="single" w:sz="4" w:space="0" w:color="auto"/>
            </w:tcBorders>
            <w:shd w:val="clear" w:color="auto" w:fill="auto"/>
            <w:vAlign w:val="center"/>
            <w:hideMark/>
          </w:tcPr>
          <w:p w14:paraId="7A85B3C6"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764EB766"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44DEC9A7"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31EAE06A"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1AB006B2"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6FC944D2" w14:textId="77777777" w:rsidTr="006F2905">
        <w:trPr>
          <w:trHeight w:val="315"/>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34F1F95A"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Programma 01.00.00 "Mērķdotācijas izglītības pasākumiem"</w:t>
            </w:r>
          </w:p>
        </w:tc>
        <w:tc>
          <w:tcPr>
            <w:tcW w:w="1418" w:type="dxa"/>
            <w:gridSpan w:val="2"/>
            <w:tcBorders>
              <w:top w:val="nil"/>
              <w:left w:val="nil"/>
              <w:bottom w:val="single" w:sz="4" w:space="0" w:color="auto"/>
              <w:right w:val="single" w:sz="4" w:space="0" w:color="auto"/>
            </w:tcBorders>
            <w:shd w:val="clear" w:color="auto" w:fill="auto"/>
            <w:vAlign w:val="center"/>
            <w:hideMark/>
          </w:tcPr>
          <w:p w14:paraId="41F7C6BD"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599020B8"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09440771"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11DE304D"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13EFC0EF"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72DA8816" w14:textId="77777777" w:rsidTr="006F2905">
        <w:trPr>
          <w:trHeight w:val="27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17622EBE"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Internātskolas - pedagogu darba samaksai un VSAOI</w:t>
            </w:r>
          </w:p>
        </w:tc>
        <w:tc>
          <w:tcPr>
            <w:tcW w:w="1418" w:type="dxa"/>
            <w:gridSpan w:val="2"/>
            <w:tcBorders>
              <w:top w:val="nil"/>
              <w:left w:val="nil"/>
              <w:bottom w:val="single" w:sz="4" w:space="0" w:color="auto"/>
              <w:right w:val="single" w:sz="4" w:space="0" w:color="auto"/>
            </w:tcBorders>
            <w:shd w:val="clear" w:color="auto" w:fill="auto"/>
            <w:vAlign w:val="center"/>
            <w:hideMark/>
          </w:tcPr>
          <w:p w14:paraId="2CA7EBA4"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4107CA65"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62EC5A08"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046E0D7"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5A2C5C37"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3E6E8F28" w14:textId="77777777" w:rsidTr="006F2905">
        <w:trPr>
          <w:trHeight w:val="945"/>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44A3B997"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1418" w:type="dxa"/>
            <w:gridSpan w:val="2"/>
            <w:tcBorders>
              <w:top w:val="nil"/>
              <w:left w:val="nil"/>
              <w:bottom w:val="single" w:sz="4" w:space="0" w:color="auto"/>
              <w:right w:val="single" w:sz="4" w:space="0" w:color="auto"/>
            </w:tcBorders>
            <w:shd w:val="clear" w:color="auto" w:fill="auto"/>
            <w:vAlign w:val="center"/>
            <w:hideMark/>
          </w:tcPr>
          <w:p w14:paraId="5813AA99"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05849A22"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4B19C911"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37436C4A"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309E27ED"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535889B6" w14:textId="77777777" w:rsidTr="006F2905">
        <w:trPr>
          <w:trHeight w:val="27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3276C620"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Pamata un vispārējās vidējās izglītības iestādes</w:t>
            </w:r>
          </w:p>
        </w:tc>
        <w:tc>
          <w:tcPr>
            <w:tcW w:w="1418" w:type="dxa"/>
            <w:gridSpan w:val="2"/>
            <w:tcBorders>
              <w:top w:val="nil"/>
              <w:left w:val="nil"/>
              <w:bottom w:val="single" w:sz="4" w:space="0" w:color="auto"/>
              <w:right w:val="single" w:sz="4" w:space="0" w:color="auto"/>
            </w:tcBorders>
            <w:shd w:val="clear" w:color="auto" w:fill="auto"/>
            <w:vAlign w:val="center"/>
            <w:hideMark/>
          </w:tcPr>
          <w:p w14:paraId="119B963D"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18DF691F"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4DD07E43"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5288AC6D"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604BB480"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72671D49" w14:textId="77777777" w:rsidTr="006F2905">
        <w:trPr>
          <w:trHeight w:val="27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06A7E496"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Speciālās izglītības iestādes</w:t>
            </w:r>
          </w:p>
        </w:tc>
        <w:tc>
          <w:tcPr>
            <w:tcW w:w="1418" w:type="dxa"/>
            <w:gridSpan w:val="2"/>
            <w:tcBorders>
              <w:top w:val="nil"/>
              <w:left w:val="nil"/>
              <w:bottom w:val="single" w:sz="4" w:space="0" w:color="auto"/>
              <w:right w:val="single" w:sz="4" w:space="0" w:color="auto"/>
            </w:tcBorders>
            <w:shd w:val="clear" w:color="auto" w:fill="auto"/>
            <w:vAlign w:val="center"/>
            <w:hideMark/>
          </w:tcPr>
          <w:p w14:paraId="71F8FD52"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781B20C8"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43C58B5F"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C8098F3"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3C786929"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59C9DFCF" w14:textId="77777777" w:rsidTr="006F2905">
        <w:trPr>
          <w:trHeight w:val="126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78DB8016"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Programma 10.00.00 "Mērķdotācijas pašvaldībām – pašvaldību izglītības iestādēs bērnu no piecu gadu vecuma izglītošanā nodarbināto pedagogu darba samaksai un valsts sociālās apdrošināšanas obligātajām iemaksām"</w:t>
            </w:r>
          </w:p>
        </w:tc>
        <w:tc>
          <w:tcPr>
            <w:tcW w:w="1418" w:type="dxa"/>
            <w:gridSpan w:val="2"/>
            <w:tcBorders>
              <w:top w:val="nil"/>
              <w:left w:val="nil"/>
              <w:bottom w:val="single" w:sz="4" w:space="0" w:color="auto"/>
              <w:right w:val="single" w:sz="4" w:space="0" w:color="auto"/>
            </w:tcBorders>
            <w:shd w:val="clear" w:color="auto" w:fill="auto"/>
            <w:vAlign w:val="center"/>
            <w:hideMark/>
          </w:tcPr>
          <w:p w14:paraId="17CDD4E4"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4E6CDCE9"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4163A552"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6CA09FD"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2FEE0887"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 </w:t>
            </w:r>
          </w:p>
        </w:tc>
      </w:tr>
      <w:tr w:rsidR="006F2905" w:rsidRPr="006F2905" w14:paraId="5A0FFDAC" w14:textId="77777777" w:rsidTr="006F2905">
        <w:trPr>
          <w:trHeight w:val="63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309BEDF4" w14:textId="77777777" w:rsidR="006F2905" w:rsidRPr="006F2905" w:rsidRDefault="006F2905" w:rsidP="006F2905">
            <w:pPr>
              <w:spacing w:after="0" w:line="240" w:lineRule="auto"/>
              <w:jc w:val="both"/>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15.resors "Izglītības un zinātnes ministrija"</w:t>
            </w:r>
            <w:r w:rsidRPr="006F2905">
              <w:rPr>
                <w:rFonts w:ascii="Times New Roman" w:eastAsia="Times New Roman" w:hAnsi="Times New Roman" w:cs="Times New Roman"/>
                <w:color w:val="000000"/>
                <w:sz w:val="20"/>
                <w:szCs w:val="20"/>
                <w:lang w:eastAsia="lv-LV"/>
              </w:rPr>
              <w:br/>
              <w:t>pedagogu darba samaksai</w:t>
            </w:r>
          </w:p>
        </w:tc>
        <w:tc>
          <w:tcPr>
            <w:tcW w:w="1418" w:type="dxa"/>
            <w:gridSpan w:val="2"/>
            <w:tcBorders>
              <w:top w:val="nil"/>
              <w:left w:val="nil"/>
              <w:bottom w:val="single" w:sz="4" w:space="0" w:color="auto"/>
              <w:right w:val="single" w:sz="4" w:space="0" w:color="auto"/>
            </w:tcBorders>
            <w:shd w:val="clear" w:color="auto" w:fill="auto"/>
            <w:vAlign w:val="center"/>
            <w:hideMark/>
          </w:tcPr>
          <w:p w14:paraId="690476BD"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B4C2D57"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center"/>
            <w:hideMark/>
          </w:tcPr>
          <w:p w14:paraId="64744609"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5BAFA29B"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center"/>
            <w:hideMark/>
          </w:tcPr>
          <w:p w14:paraId="7BFDFE41"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7192F30C" w14:textId="77777777" w:rsidTr="006F2905">
        <w:trPr>
          <w:trHeight w:val="630"/>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32838547" w14:textId="77777777" w:rsidR="006F2905" w:rsidRPr="006F2905" w:rsidRDefault="006F2905" w:rsidP="006F2905">
            <w:pPr>
              <w:spacing w:after="0" w:line="240" w:lineRule="auto"/>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Apakšprogramma 01.05.00 “Dotācija privātajām mācību iestādēm”</w:t>
            </w:r>
          </w:p>
        </w:tc>
        <w:tc>
          <w:tcPr>
            <w:tcW w:w="1418" w:type="dxa"/>
            <w:gridSpan w:val="2"/>
            <w:tcBorders>
              <w:top w:val="nil"/>
              <w:left w:val="nil"/>
              <w:bottom w:val="single" w:sz="4" w:space="0" w:color="auto"/>
              <w:right w:val="single" w:sz="4" w:space="0" w:color="auto"/>
            </w:tcBorders>
            <w:shd w:val="clear" w:color="auto" w:fill="auto"/>
            <w:vAlign w:val="bottom"/>
            <w:hideMark/>
          </w:tcPr>
          <w:p w14:paraId="7A9CCDCE"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C904FF2"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417" w:type="dxa"/>
            <w:tcBorders>
              <w:top w:val="nil"/>
              <w:left w:val="nil"/>
              <w:bottom w:val="single" w:sz="4" w:space="0" w:color="auto"/>
              <w:right w:val="single" w:sz="4" w:space="0" w:color="auto"/>
            </w:tcBorders>
            <w:shd w:val="clear" w:color="auto" w:fill="auto"/>
            <w:vAlign w:val="bottom"/>
            <w:hideMark/>
          </w:tcPr>
          <w:p w14:paraId="7757D758"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bottom"/>
            <w:hideMark/>
          </w:tcPr>
          <w:p w14:paraId="7FED427A"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c>
          <w:tcPr>
            <w:tcW w:w="1710" w:type="dxa"/>
            <w:tcBorders>
              <w:top w:val="nil"/>
              <w:left w:val="nil"/>
              <w:bottom w:val="single" w:sz="4" w:space="0" w:color="auto"/>
              <w:right w:val="single" w:sz="4" w:space="0" w:color="auto"/>
            </w:tcBorders>
            <w:shd w:val="clear" w:color="auto" w:fill="auto"/>
            <w:vAlign w:val="bottom"/>
            <w:hideMark/>
          </w:tcPr>
          <w:p w14:paraId="4C1C37BC" w14:textId="77777777" w:rsidR="006F2905" w:rsidRPr="006F2905" w:rsidRDefault="006F2905" w:rsidP="006F2905">
            <w:pPr>
              <w:spacing w:after="0" w:line="240" w:lineRule="auto"/>
              <w:jc w:val="center"/>
              <w:rPr>
                <w:rFonts w:ascii="Times New Roman" w:eastAsia="Times New Roman" w:hAnsi="Times New Roman" w:cs="Times New Roman"/>
                <w:color w:val="000000"/>
                <w:sz w:val="20"/>
                <w:szCs w:val="20"/>
                <w:lang w:eastAsia="lv-LV"/>
              </w:rPr>
            </w:pPr>
            <w:r w:rsidRPr="006F2905">
              <w:rPr>
                <w:rFonts w:ascii="Times New Roman" w:eastAsia="Times New Roman" w:hAnsi="Times New Roman" w:cs="Times New Roman"/>
                <w:color w:val="000000"/>
                <w:sz w:val="20"/>
                <w:szCs w:val="20"/>
                <w:lang w:eastAsia="lv-LV"/>
              </w:rPr>
              <w:t>0</w:t>
            </w:r>
          </w:p>
        </w:tc>
      </w:tr>
      <w:tr w:rsidR="006F2905" w:rsidRPr="006F2905" w14:paraId="26229AA0" w14:textId="77777777" w:rsidTr="006F2905">
        <w:trPr>
          <w:trHeight w:val="285"/>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D8305B4"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pedagogu darba samaksai un VSAOI</w:t>
            </w:r>
          </w:p>
        </w:tc>
        <w:tc>
          <w:tcPr>
            <w:tcW w:w="1418" w:type="dxa"/>
            <w:gridSpan w:val="2"/>
            <w:tcBorders>
              <w:top w:val="nil"/>
              <w:left w:val="nil"/>
              <w:bottom w:val="single" w:sz="4" w:space="0" w:color="auto"/>
              <w:right w:val="single" w:sz="4" w:space="0" w:color="auto"/>
            </w:tcBorders>
            <w:shd w:val="clear" w:color="auto" w:fill="auto"/>
            <w:vAlign w:val="center"/>
            <w:hideMark/>
          </w:tcPr>
          <w:p w14:paraId="167E8510" w14:textId="77777777" w:rsidR="006F2905" w:rsidRPr="006F2905" w:rsidRDefault="006F2905" w:rsidP="006F2905">
            <w:pPr>
              <w:spacing w:after="0" w:line="240" w:lineRule="auto"/>
              <w:jc w:val="right"/>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0EC372E9"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7B1BFBAE"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B933466"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594E265D" w14:textId="77777777" w:rsidR="006F2905" w:rsidRPr="006F2905" w:rsidRDefault="006F2905" w:rsidP="006F2905">
            <w:pPr>
              <w:spacing w:after="0" w:line="240" w:lineRule="auto"/>
              <w:rPr>
                <w:rFonts w:ascii="Times New Roman" w:eastAsia="Times New Roman" w:hAnsi="Times New Roman" w:cs="Times New Roman"/>
                <w:i/>
                <w:iCs/>
                <w:color w:val="000000"/>
                <w:sz w:val="20"/>
                <w:szCs w:val="20"/>
                <w:lang w:eastAsia="lv-LV"/>
              </w:rPr>
            </w:pPr>
            <w:r w:rsidRPr="006F2905">
              <w:rPr>
                <w:rFonts w:ascii="Times New Roman" w:eastAsia="Times New Roman" w:hAnsi="Times New Roman" w:cs="Times New Roman"/>
                <w:i/>
                <w:iCs/>
                <w:color w:val="000000"/>
                <w:sz w:val="20"/>
                <w:szCs w:val="20"/>
                <w:lang w:eastAsia="lv-LV"/>
              </w:rPr>
              <w:t> </w:t>
            </w:r>
          </w:p>
        </w:tc>
      </w:tr>
      <w:tr w:rsidR="006F2905" w:rsidRPr="006F2905" w14:paraId="5209C232" w14:textId="77777777" w:rsidTr="006F2905">
        <w:trPr>
          <w:trHeight w:val="39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1892A1A0"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2.2. valsts speciālais budžets</w:t>
            </w:r>
          </w:p>
        </w:tc>
        <w:tc>
          <w:tcPr>
            <w:tcW w:w="1418" w:type="dxa"/>
            <w:gridSpan w:val="2"/>
            <w:tcBorders>
              <w:top w:val="nil"/>
              <w:left w:val="nil"/>
              <w:bottom w:val="single" w:sz="4" w:space="0" w:color="auto"/>
              <w:right w:val="single" w:sz="4" w:space="0" w:color="auto"/>
            </w:tcBorders>
            <w:shd w:val="clear" w:color="auto" w:fill="auto"/>
            <w:vAlign w:val="center"/>
            <w:hideMark/>
          </w:tcPr>
          <w:p w14:paraId="4C4F4520"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81BB9D7"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7AB51F14"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11764864"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01C3DD34"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5BF29497" w14:textId="77777777" w:rsidTr="006F2905">
        <w:trPr>
          <w:trHeight w:val="390"/>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5B6BDBBF"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2.3. pašvaldību budžets</w:t>
            </w:r>
          </w:p>
        </w:tc>
        <w:tc>
          <w:tcPr>
            <w:tcW w:w="1418" w:type="dxa"/>
            <w:gridSpan w:val="2"/>
            <w:tcBorders>
              <w:top w:val="nil"/>
              <w:left w:val="nil"/>
              <w:bottom w:val="single" w:sz="4" w:space="0" w:color="auto"/>
              <w:right w:val="single" w:sz="4" w:space="0" w:color="auto"/>
            </w:tcBorders>
            <w:shd w:val="clear" w:color="auto" w:fill="auto"/>
            <w:vAlign w:val="center"/>
            <w:hideMark/>
          </w:tcPr>
          <w:p w14:paraId="53DA083A"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6E7A6ABD"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695DD469"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4FAAB4CF"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62E73BEB"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3C12D6A9" w14:textId="77777777" w:rsidTr="006F2905">
        <w:trPr>
          <w:trHeight w:val="825"/>
        </w:trPr>
        <w:tc>
          <w:tcPr>
            <w:tcW w:w="2544" w:type="dxa"/>
            <w:vMerge w:val="restart"/>
            <w:tcBorders>
              <w:top w:val="nil"/>
              <w:left w:val="single" w:sz="4" w:space="0" w:color="auto"/>
              <w:bottom w:val="single" w:sz="4" w:space="0" w:color="auto"/>
              <w:right w:val="single" w:sz="4" w:space="0" w:color="auto"/>
            </w:tcBorders>
            <w:shd w:val="clear" w:color="auto" w:fill="auto"/>
            <w:vAlign w:val="center"/>
            <w:hideMark/>
          </w:tcPr>
          <w:p w14:paraId="043B461E"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FD9788" w14:textId="77777777" w:rsidR="006F2905" w:rsidRPr="006F2905" w:rsidRDefault="006F2905" w:rsidP="006F2905">
            <w:pPr>
              <w:spacing w:after="0" w:line="240" w:lineRule="auto"/>
              <w:jc w:val="center"/>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X</w:t>
            </w:r>
          </w:p>
        </w:tc>
        <w:tc>
          <w:tcPr>
            <w:tcW w:w="1276" w:type="dxa"/>
            <w:tcBorders>
              <w:top w:val="nil"/>
              <w:left w:val="nil"/>
              <w:bottom w:val="single" w:sz="4" w:space="0" w:color="auto"/>
              <w:right w:val="single" w:sz="4" w:space="0" w:color="auto"/>
            </w:tcBorders>
            <w:shd w:val="clear" w:color="auto" w:fill="auto"/>
            <w:vAlign w:val="center"/>
            <w:hideMark/>
          </w:tcPr>
          <w:p w14:paraId="4BAB23CF"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7F898926"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5A5F658C"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18C797AF"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5BA7517A" w14:textId="77777777" w:rsidTr="006F2905">
        <w:trPr>
          <w:trHeight w:val="315"/>
        </w:trPr>
        <w:tc>
          <w:tcPr>
            <w:tcW w:w="2544" w:type="dxa"/>
            <w:vMerge/>
            <w:tcBorders>
              <w:top w:val="nil"/>
              <w:left w:val="single" w:sz="4" w:space="0" w:color="auto"/>
              <w:bottom w:val="single" w:sz="4" w:space="0" w:color="auto"/>
              <w:right w:val="single" w:sz="4" w:space="0" w:color="auto"/>
            </w:tcBorders>
            <w:shd w:val="clear" w:color="auto" w:fill="auto"/>
            <w:vAlign w:val="center"/>
            <w:hideMark/>
          </w:tcPr>
          <w:p w14:paraId="39C1F32D" w14:textId="77777777" w:rsidR="006F2905" w:rsidRPr="006F2905" w:rsidRDefault="006F2905" w:rsidP="006F2905">
            <w:pPr>
              <w:spacing w:after="0" w:line="240" w:lineRule="auto"/>
              <w:rPr>
                <w:rFonts w:ascii="Times New Roman" w:eastAsia="Times New Roman" w:hAnsi="Times New Roman" w:cs="Times New Roman"/>
                <w:b/>
                <w:bCs/>
                <w:color w:val="000000"/>
                <w:sz w:val="20"/>
                <w:szCs w:val="20"/>
                <w:lang w:eastAsia="lv-LV"/>
              </w:rPr>
            </w:pPr>
          </w:p>
        </w:tc>
        <w:tc>
          <w:tcPr>
            <w:tcW w:w="1418" w:type="dxa"/>
            <w:gridSpan w:val="2"/>
            <w:vMerge/>
            <w:tcBorders>
              <w:top w:val="nil"/>
              <w:left w:val="single" w:sz="4" w:space="0" w:color="auto"/>
              <w:bottom w:val="single" w:sz="4" w:space="0" w:color="auto"/>
              <w:right w:val="single" w:sz="4" w:space="0" w:color="auto"/>
            </w:tcBorders>
            <w:shd w:val="clear" w:color="auto" w:fill="auto"/>
            <w:vAlign w:val="center"/>
            <w:hideMark/>
          </w:tcPr>
          <w:p w14:paraId="609AE0C2" w14:textId="77777777" w:rsidR="006F2905" w:rsidRPr="006F2905" w:rsidRDefault="006F2905" w:rsidP="006F2905">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30AD6365"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06CAE945"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163ABCC"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57C27FA2"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5FC1A035" w14:textId="77777777" w:rsidTr="006F2905">
        <w:trPr>
          <w:trHeight w:val="315"/>
        </w:trPr>
        <w:tc>
          <w:tcPr>
            <w:tcW w:w="2544" w:type="dxa"/>
            <w:vMerge/>
            <w:tcBorders>
              <w:top w:val="nil"/>
              <w:left w:val="single" w:sz="4" w:space="0" w:color="auto"/>
              <w:bottom w:val="single" w:sz="4" w:space="0" w:color="auto"/>
              <w:right w:val="single" w:sz="4" w:space="0" w:color="auto"/>
            </w:tcBorders>
            <w:shd w:val="clear" w:color="auto" w:fill="auto"/>
            <w:vAlign w:val="center"/>
            <w:hideMark/>
          </w:tcPr>
          <w:p w14:paraId="3CED972D" w14:textId="77777777" w:rsidR="006F2905" w:rsidRPr="006F2905" w:rsidRDefault="006F2905" w:rsidP="006F2905">
            <w:pPr>
              <w:spacing w:after="0" w:line="240" w:lineRule="auto"/>
              <w:rPr>
                <w:rFonts w:ascii="Times New Roman" w:eastAsia="Times New Roman" w:hAnsi="Times New Roman" w:cs="Times New Roman"/>
                <w:b/>
                <w:bCs/>
                <w:color w:val="000000"/>
                <w:sz w:val="20"/>
                <w:szCs w:val="20"/>
                <w:lang w:eastAsia="lv-LV"/>
              </w:rPr>
            </w:pPr>
          </w:p>
        </w:tc>
        <w:tc>
          <w:tcPr>
            <w:tcW w:w="1418" w:type="dxa"/>
            <w:gridSpan w:val="2"/>
            <w:vMerge/>
            <w:tcBorders>
              <w:top w:val="nil"/>
              <w:left w:val="single" w:sz="4" w:space="0" w:color="auto"/>
              <w:bottom w:val="single" w:sz="4" w:space="0" w:color="auto"/>
              <w:right w:val="single" w:sz="4" w:space="0" w:color="auto"/>
            </w:tcBorders>
            <w:shd w:val="clear" w:color="auto" w:fill="auto"/>
            <w:vAlign w:val="center"/>
            <w:hideMark/>
          </w:tcPr>
          <w:p w14:paraId="01CD7BBC" w14:textId="77777777" w:rsidR="006F2905" w:rsidRPr="006F2905" w:rsidRDefault="006F2905" w:rsidP="006F2905">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43107B5E"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6A599519"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9B9C9A9"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377A0940"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06EA62A4" w14:textId="77777777" w:rsidTr="006F2905">
        <w:trPr>
          <w:trHeight w:val="315"/>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222C07CB"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5. Precizēta finansiālā ietekme:</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E33B7DD" w14:textId="77777777" w:rsidR="006F2905" w:rsidRPr="006F2905" w:rsidRDefault="006F2905" w:rsidP="006F2905">
            <w:pPr>
              <w:spacing w:after="0" w:line="240" w:lineRule="auto"/>
              <w:jc w:val="center"/>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X</w:t>
            </w:r>
          </w:p>
        </w:tc>
        <w:tc>
          <w:tcPr>
            <w:tcW w:w="1276" w:type="dxa"/>
            <w:tcBorders>
              <w:top w:val="nil"/>
              <w:left w:val="nil"/>
              <w:bottom w:val="single" w:sz="4" w:space="0" w:color="auto"/>
              <w:right w:val="single" w:sz="4" w:space="0" w:color="auto"/>
            </w:tcBorders>
            <w:shd w:val="clear" w:color="auto" w:fill="auto"/>
            <w:vAlign w:val="center"/>
            <w:hideMark/>
          </w:tcPr>
          <w:p w14:paraId="712146D7"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24A790BB"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4B681BB1"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73FB3342"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455AC8F8" w14:textId="77777777" w:rsidTr="006F2905">
        <w:trPr>
          <w:trHeight w:val="315"/>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68D6E433"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5.1. valsts pamatbudžets</w:t>
            </w:r>
          </w:p>
        </w:tc>
        <w:tc>
          <w:tcPr>
            <w:tcW w:w="1418" w:type="dxa"/>
            <w:gridSpan w:val="2"/>
            <w:vMerge/>
            <w:tcBorders>
              <w:top w:val="nil"/>
              <w:left w:val="single" w:sz="4" w:space="0" w:color="auto"/>
              <w:bottom w:val="single" w:sz="4" w:space="0" w:color="auto"/>
              <w:right w:val="single" w:sz="4" w:space="0" w:color="auto"/>
            </w:tcBorders>
            <w:shd w:val="clear" w:color="auto" w:fill="auto"/>
            <w:vAlign w:val="center"/>
            <w:hideMark/>
          </w:tcPr>
          <w:p w14:paraId="16FD6254" w14:textId="77777777" w:rsidR="006F2905" w:rsidRPr="006F2905" w:rsidRDefault="006F2905" w:rsidP="006F2905">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11B1F647"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7341B963"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B7202A0"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1FDB911D" w14:textId="77777777" w:rsidR="006F2905" w:rsidRPr="006F2905" w:rsidRDefault="006F2905" w:rsidP="006F2905">
            <w:pPr>
              <w:spacing w:after="0" w:line="240" w:lineRule="auto"/>
              <w:jc w:val="right"/>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7A04286B" w14:textId="77777777" w:rsidTr="006F2905">
        <w:trPr>
          <w:trHeight w:val="315"/>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46DCBE37"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5.2. speciālais budžets</w:t>
            </w:r>
          </w:p>
        </w:tc>
        <w:tc>
          <w:tcPr>
            <w:tcW w:w="1418" w:type="dxa"/>
            <w:gridSpan w:val="2"/>
            <w:vMerge/>
            <w:tcBorders>
              <w:top w:val="nil"/>
              <w:left w:val="single" w:sz="4" w:space="0" w:color="auto"/>
              <w:bottom w:val="single" w:sz="4" w:space="0" w:color="auto"/>
              <w:right w:val="single" w:sz="4" w:space="0" w:color="auto"/>
            </w:tcBorders>
            <w:shd w:val="clear" w:color="auto" w:fill="auto"/>
            <w:vAlign w:val="center"/>
            <w:hideMark/>
          </w:tcPr>
          <w:p w14:paraId="1D7A21F1" w14:textId="77777777" w:rsidR="006F2905" w:rsidRPr="006F2905" w:rsidRDefault="006F2905" w:rsidP="006F2905">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7174EBD8" w14:textId="77777777" w:rsidR="006F2905" w:rsidRPr="006F2905" w:rsidRDefault="006F2905" w:rsidP="006F2905">
            <w:pPr>
              <w:spacing w:after="0" w:line="240" w:lineRule="auto"/>
              <w:jc w:val="center"/>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2D88C0BF" w14:textId="77777777" w:rsidR="006F2905" w:rsidRPr="006F2905" w:rsidRDefault="006F2905" w:rsidP="006F2905">
            <w:pPr>
              <w:spacing w:after="0" w:line="240" w:lineRule="auto"/>
              <w:jc w:val="center"/>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2571BDA" w14:textId="77777777" w:rsidR="006F2905" w:rsidRPr="006F2905" w:rsidRDefault="006F2905" w:rsidP="006F2905">
            <w:pPr>
              <w:spacing w:after="0" w:line="240" w:lineRule="auto"/>
              <w:jc w:val="center"/>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12D46A71" w14:textId="77777777" w:rsidR="006F2905" w:rsidRPr="006F2905" w:rsidRDefault="006F2905" w:rsidP="006F2905">
            <w:pPr>
              <w:spacing w:after="0" w:line="240" w:lineRule="auto"/>
              <w:jc w:val="center"/>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6F2905" w:rsidRPr="006F2905" w14:paraId="5CA11BB3" w14:textId="77777777" w:rsidTr="006F2905">
        <w:trPr>
          <w:trHeight w:val="315"/>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0C8F99FE" w14:textId="77777777" w:rsidR="006F2905" w:rsidRPr="006F2905" w:rsidRDefault="006F2905" w:rsidP="006F2905">
            <w:pPr>
              <w:spacing w:after="0" w:line="240" w:lineRule="auto"/>
              <w:jc w:val="both"/>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5.3. pašvaldību budžets</w:t>
            </w:r>
          </w:p>
        </w:tc>
        <w:tc>
          <w:tcPr>
            <w:tcW w:w="1418" w:type="dxa"/>
            <w:gridSpan w:val="2"/>
            <w:vMerge/>
            <w:tcBorders>
              <w:top w:val="nil"/>
              <w:left w:val="single" w:sz="4" w:space="0" w:color="auto"/>
              <w:bottom w:val="single" w:sz="4" w:space="0" w:color="auto"/>
              <w:right w:val="single" w:sz="4" w:space="0" w:color="auto"/>
            </w:tcBorders>
            <w:shd w:val="clear" w:color="auto" w:fill="auto"/>
            <w:vAlign w:val="center"/>
            <w:hideMark/>
          </w:tcPr>
          <w:p w14:paraId="7C136855" w14:textId="77777777" w:rsidR="006F2905" w:rsidRPr="006F2905" w:rsidRDefault="006F2905" w:rsidP="006F2905">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0F967486" w14:textId="77777777" w:rsidR="006F2905" w:rsidRPr="006F2905" w:rsidRDefault="006F2905" w:rsidP="006F2905">
            <w:pPr>
              <w:spacing w:after="0" w:line="240" w:lineRule="auto"/>
              <w:jc w:val="center"/>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1A010509" w14:textId="77777777" w:rsidR="006F2905" w:rsidRPr="006F2905" w:rsidRDefault="006F2905" w:rsidP="006F2905">
            <w:pPr>
              <w:spacing w:after="0" w:line="240" w:lineRule="auto"/>
              <w:jc w:val="center"/>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42AE145" w14:textId="77777777" w:rsidR="006F2905" w:rsidRPr="006F2905" w:rsidRDefault="006F2905" w:rsidP="006F2905">
            <w:pPr>
              <w:spacing w:after="0" w:line="240" w:lineRule="auto"/>
              <w:jc w:val="center"/>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c>
          <w:tcPr>
            <w:tcW w:w="1710" w:type="dxa"/>
            <w:tcBorders>
              <w:top w:val="nil"/>
              <w:left w:val="nil"/>
              <w:bottom w:val="single" w:sz="4" w:space="0" w:color="auto"/>
              <w:right w:val="single" w:sz="4" w:space="0" w:color="auto"/>
            </w:tcBorders>
            <w:shd w:val="clear" w:color="auto" w:fill="auto"/>
            <w:vAlign w:val="center"/>
            <w:hideMark/>
          </w:tcPr>
          <w:p w14:paraId="6C10D3FA" w14:textId="77777777" w:rsidR="006F2905" w:rsidRPr="006F2905" w:rsidRDefault="006F2905" w:rsidP="006F2905">
            <w:pPr>
              <w:spacing w:after="0" w:line="240" w:lineRule="auto"/>
              <w:jc w:val="center"/>
              <w:rPr>
                <w:rFonts w:ascii="Times New Roman" w:eastAsia="Times New Roman" w:hAnsi="Times New Roman" w:cs="Times New Roman"/>
                <w:b/>
                <w:bCs/>
                <w:color w:val="000000"/>
                <w:sz w:val="20"/>
                <w:szCs w:val="20"/>
                <w:lang w:eastAsia="lv-LV"/>
              </w:rPr>
            </w:pPr>
            <w:r w:rsidRPr="006F2905">
              <w:rPr>
                <w:rFonts w:ascii="Times New Roman" w:eastAsia="Times New Roman" w:hAnsi="Times New Roman" w:cs="Times New Roman"/>
                <w:b/>
                <w:bCs/>
                <w:color w:val="000000"/>
                <w:sz w:val="20"/>
                <w:szCs w:val="20"/>
                <w:lang w:eastAsia="lv-LV"/>
              </w:rPr>
              <w:t> </w:t>
            </w:r>
          </w:p>
        </w:tc>
      </w:tr>
      <w:tr w:rsidR="0082371A" w:rsidRPr="00FE141C" w14:paraId="552EECC4" w14:textId="77777777" w:rsidTr="006F2905">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610" w:type="dxa"/>
            <w:gridSpan w:val="2"/>
            <w:tcBorders>
              <w:top w:val="outset" w:sz="6" w:space="0" w:color="414142"/>
              <w:left w:val="outset" w:sz="6" w:space="0" w:color="414142"/>
              <w:bottom w:val="outset" w:sz="6" w:space="0" w:color="414142"/>
              <w:right w:val="outset" w:sz="6" w:space="0" w:color="414142"/>
            </w:tcBorders>
            <w:hideMark/>
          </w:tcPr>
          <w:p w14:paraId="0FC4AEA1" w14:textId="77777777" w:rsidR="006A26FE" w:rsidRPr="00FE141C" w:rsidRDefault="006A26FE" w:rsidP="006F2905">
            <w:pPr>
              <w:spacing w:after="0" w:line="240" w:lineRule="auto"/>
              <w:ind w:firstLine="246"/>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lastRenderedPageBreak/>
              <w:t>6. Detalizēts ieņēmumu un izdevumu aprēķins (ja nepieciešams, detalizētu ieņēmumu un izdevumu aprēķinu var pievienot anotācijas pielikumā):</w:t>
            </w:r>
          </w:p>
        </w:tc>
        <w:tc>
          <w:tcPr>
            <w:tcW w:w="7030"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76BFF54" w14:textId="6FC1A191" w:rsidR="00A52894" w:rsidRPr="00091BEA" w:rsidRDefault="00A766F7" w:rsidP="00091BEA">
            <w:pPr>
              <w:spacing w:after="0" w:line="240" w:lineRule="auto"/>
              <w:jc w:val="both"/>
              <w:rPr>
                <w:rFonts w:ascii="Times New Roman" w:hAnsi="Times New Roman" w:cs="Times New Roman"/>
                <w:color w:val="000000" w:themeColor="text1"/>
                <w:sz w:val="26"/>
                <w:szCs w:val="26"/>
              </w:rPr>
            </w:pPr>
            <w:r w:rsidRPr="00091BEA">
              <w:rPr>
                <w:rFonts w:ascii="Times New Roman" w:hAnsi="Times New Roman" w:cs="Times New Roman"/>
                <w:color w:val="000000" w:themeColor="text1"/>
                <w:sz w:val="26"/>
                <w:szCs w:val="26"/>
              </w:rPr>
              <w:t>201</w:t>
            </w:r>
            <w:r w:rsidR="00D1291B" w:rsidRPr="00091BEA">
              <w:rPr>
                <w:rFonts w:ascii="Times New Roman" w:hAnsi="Times New Roman" w:cs="Times New Roman"/>
                <w:color w:val="000000" w:themeColor="text1"/>
                <w:sz w:val="26"/>
                <w:szCs w:val="26"/>
              </w:rPr>
              <w:t>6</w:t>
            </w:r>
            <w:r w:rsidRPr="00091BEA">
              <w:rPr>
                <w:rFonts w:ascii="Times New Roman" w:hAnsi="Times New Roman" w:cs="Times New Roman"/>
                <w:color w:val="000000" w:themeColor="text1"/>
                <w:sz w:val="26"/>
                <w:szCs w:val="26"/>
              </w:rPr>
              <w:t xml:space="preserve">.gadā </w:t>
            </w:r>
            <w:r w:rsidR="00091BEA" w:rsidRPr="00091BEA">
              <w:rPr>
                <w:rFonts w:ascii="Times New Roman" w:hAnsi="Times New Roman" w:cs="Times New Roman"/>
                <w:color w:val="000000" w:themeColor="text1"/>
                <w:sz w:val="26"/>
                <w:szCs w:val="26"/>
              </w:rPr>
              <w:t>saskaņā ar likuma “Par valsts budžetu 2016.gadam” 58.pantu noteikts, ka</w:t>
            </w:r>
            <w:r w:rsidR="00091BEA" w:rsidRPr="00091BEA">
              <w:rPr>
                <w:rFonts w:ascii="Times New Roman" w:hAnsi="Times New Roman" w:cs="Times New Roman"/>
                <w:sz w:val="26"/>
                <w:szCs w:val="26"/>
                <w:lang w:eastAsia="lv-LV"/>
              </w:rPr>
              <w:t xml:space="preserve"> pedagogu darba samaksas reformas ieviešanai valsts, pašvaldību un privātajās izglītības iestādēs no 2016.gada 1.septembra valsts budžeta  resorā “74. Gadskārtējā valsts budžeta izpildes procesā pārdalāmais finansējums” rezervētais finansējums 2016.gada četriem mēnešiem ir līdz 9 000 000 </w:t>
            </w:r>
            <w:proofErr w:type="spellStart"/>
            <w:r w:rsidR="00091BEA" w:rsidRPr="00091BEA">
              <w:rPr>
                <w:rFonts w:ascii="Times New Roman" w:hAnsi="Times New Roman" w:cs="Times New Roman"/>
                <w:i/>
                <w:sz w:val="26"/>
                <w:szCs w:val="26"/>
                <w:lang w:eastAsia="lv-LV"/>
              </w:rPr>
              <w:t>euro</w:t>
            </w:r>
            <w:proofErr w:type="spellEnd"/>
            <w:r w:rsidR="00091BEA" w:rsidRPr="00091BEA">
              <w:rPr>
                <w:rFonts w:ascii="Times New Roman" w:hAnsi="Times New Roman" w:cs="Times New Roman"/>
                <w:sz w:val="26"/>
                <w:szCs w:val="26"/>
                <w:lang w:eastAsia="lv-LV"/>
              </w:rPr>
              <w:t>, paredzot, ka finansējuma apmērs tiek precizēts atbilstoši ministrijas veiktajiem aprēķiniem, nepārsniedzot rezervēto summu. Pēc attiecīgu normatīvo aktu pieņemšanas Ministru kabinetā finansējums tiks pārdalīts uz attiecīgo resoru un programmu/apakšprogrammu.</w:t>
            </w:r>
            <w:r w:rsidR="00091BEA" w:rsidRPr="00091BEA">
              <w:rPr>
                <w:rFonts w:ascii="Times New Roman" w:hAnsi="Times New Roman" w:cs="Times New Roman"/>
                <w:color w:val="000000" w:themeColor="text1"/>
                <w:sz w:val="26"/>
                <w:szCs w:val="26"/>
              </w:rPr>
              <w:t xml:space="preserve"> </w:t>
            </w:r>
          </w:p>
        </w:tc>
      </w:tr>
      <w:tr w:rsidR="0082371A" w:rsidRPr="00FE141C" w14:paraId="5CB35BF4" w14:textId="77777777" w:rsidTr="006F2905">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610" w:type="dxa"/>
            <w:gridSpan w:val="2"/>
            <w:tcBorders>
              <w:top w:val="outset" w:sz="6" w:space="0" w:color="414142"/>
              <w:left w:val="outset" w:sz="6" w:space="0" w:color="414142"/>
              <w:bottom w:val="outset" w:sz="6" w:space="0" w:color="414142"/>
              <w:right w:val="outset" w:sz="6" w:space="0" w:color="414142"/>
            </w:tcBorders>
            <w:hideMark/>
          </w:tcPr>
          <w:p w14:paraId="043DFE56" w14:textId="4E673D89" w:rsidR="006A26FE" w:rsidRPr="00FE141C" w:rsidRDefault="006A26FE"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6.1. detalizēts ieņēmumu aprēķins</w:t>
            </w:r>
          </w:p>
        </w:tc>
        <w:tc>
          <w:tcPr>
            <w:tcW w:w="7030" w:type="dxa"/>
            <w:gridSpan w:val="5"/>
            <w:vMerge/>
            <w:tcBorders>
              <w:top w:val="outset" w:sz="6" w:space="0" w:color="414142"/>
              <w:left w:val="outset" w:sz="6" w:space="0" w:color="414142"/>
              <w:bottom w:val="outset" w:sz="6" w:space="0" w:color="414142"/>
              <w:right w:val="outset" w:sz="6" w:space="0" w:color="414142"/>
            </w:tcBorders>
            <w:vAlign w:val="center"/>
            <w:hideMark/>
          </w:tcPr>
          <w:p w14:paraId="5952E8A1" w14:textId="77777777" w:rsidR="006A26FE" w:rsidRPr="00FE141C" w:rsidRDefault="006A26FE" w:rsidP="00C348E6">
            <w:pPr>
              <w:spacing w:after="0" w:line="240" w:lineRule="auto"/>
              <w:rPr>
                <w:rFonts w:ascii="Times New Roman" w:eastAsia="Times New Roman" w:hAnsi="Times New Roman" w:cs="Times New Roman"/>
                <w:color w:val="000000" w:themeColor="text1"/>
                <w:sz w:val="26"/>
                <w:szCs w:val="26"/>
                <w:lang w:eastAsia="lv-LV"/>
              </w:rPr>
            </w:pPr>
          </w:p>
        </w:tc>
      </w:tr>
      <w:tr w:rsidR="0082371A" w:rsidRPr="00FE141C" w14:paraId="34AE4C97" w14:textId="77777777" w:rsidTr="006F2905">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610" w:type="dxa"/>
            <w:gridSpan w:val="2"/>
            <w:tcBorders>
              <w:top w:val="outset" w:sz="6" w:space="0" w:color="414142"/>
              <w:left w:val="outset" w:sz="6" w:space="0" w:color="414142"/>
              <w:bottom w:val="outset" w:sz="6" w:space="0" w:color="414142"/>
              <w:right w:val="outset" w:sz="6" w:space="0" w:color="414142"/>
            </w:tcBorders>
            <w:hideMark/>
          </w:tcPr>
          <w:p w14:paraId="67DB75F5" w14:textId="77777777" w:rsidR="006A26FE" w:rsidRPr="00FE141C" w:rsidRDefault="006A26FE"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6.2. detalizēts izdevumu aprēķins</w:t>
            </w:r>
          </w:p>
        </w:tc>
        <w:tc>
          <w:tcPr>
            <w:tcW w:w="7030" w:type="dxa"/>
            <w:gridSpan w:val="5"/>
            <w:vMerge/>
            <w:tcBorders>
              <w:top w:val="outset" w:sz="6" w:space="0" w:color="414142"/>
              <w:left w:val="outset" w:sz="6" w:space="0" w:color="414142"/>
              <w:bottom w:val="outset" w:sz="6" w:space="0" w:color="414142"/>
              <w:right w:val="outset" w:sz="6" w:space="0" w:color="414142"/>
            </w:tcBorders>
            <w:vAlign w:val="center"/>
            <w:hideMark/>
          </w:tcPr>
          <w:p w14:paraId="69491B6E" w14:textId="77777777" w:rsidR="006A26FE" w:rsidRPr="00FE141C" w:rsidRDefault="006A26FE" w:rsidP="00C348E6">
            <w:pPr>
              <w:spacing w:after="0" w:line="240" w:lineRule="auto"/>
              <w:rPr>
                <w:rFonts w:ascii="Times New Roman" w:eastAsia="Times New Roman" w:hAnsi="Times New Roman" w:cs="Times New Roman"/>
                <w:color w:val="000000" w:themeColor="text1"/>
                <w:sz w:val="26"/>
                <w:szCs w:val="26"/>
                <w:lang w:eastAsia="lv-LV"/>
              </w:rPr>
            </w:pPr>
          </w:p>
        </w:tc>
      </w:tr>
      <w:tr w:rsidR="0082371A" w:rsidRPr="00FE141C" w14:paraId="32957746" w14:textId="77777777" w:rsidTr="006F2905">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555"/>
          <w:jc w:val="center"/>
        </w:trPr>
        <w:tc>
          <w:tcPr>
            <w:tcW w:w="2610" w:type="dxa"/>
            <w:gridSpan w:val="2"/>
            <w:tcBorders>
              <w:top w:val="outset" w:sz="6" w:space="0" w:color="414142"/>
              <w:left w:val="outset" w:sz="6" w:space="0" w:color="414142"/>
              <w:bottom w:val="outset" w:sz="6" w:space="0" w:color="414142"/>
              <w:right w:val="outset" w:sz="6" w:space="0" w:color="414142"/>
            </w:tcBorders>
            <w:hideMark/>
          </w:tcPr>
          <w:p w14:paraId="1DBCF97A" w14:textId="77777777" w:rsidR="006A26FE" w:rsidRPr="00FE141C" w:rsidRDefault="006A26FE"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7. Cita informācija</w:t>
            </w:r>
          </w:p>
        </w:tc>
        <w:tc>
          <w:tcPr>
            <w:tcW w:w="7030" w:type="dxa"/>
            <w:gridSpan w:val="5"/>
            <w:tcBorders>
              <w:top w:val="outset" w:sz="6" w:space="0" w:color="414142"/>
              <w:left w:val="outset" w:sz="6" w:space="0" w:color="414142"/>
              <w:bottom w:val="outset" w:sz="6" w:space="0" w:color="414142"/>
              <w:right w:val="outset" w:sz="6" w:space="0" w:color="414142"/>
            </w:tcBorders>
            <w:hideMark/>
          </w:tcPr>
          <w:p w14:paraId="4DBCFB08" w14:textId="541B62CB" w:rsidR="00005E88" w:rsidRPr="00005E88" w:rsidRDefault="00005E88" w:rsidP="00C348E6">
            <w:pPr>
              <w:spacing w:after="0" w:line="240"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Projekta </w:t>
            </w:r>
            <w:r w:rsidRPr="00005E88">
              <w:rPr>
                <w:rFonts w:ascii="Times New Roman" w:hAnsi="Times New Roman" w:cs="Times New Roman"/>
                <w:b/>
                <w:sz w:val="26"/>
                <w:szCs w:val="26"/>
              </w:rPr>
              <w:t xml:space="preserve">sākotnējās ietekmes novērtējuma </w:t>
            </w:r>
            <w:r>
              <w:rPr>
                <w:rFonts w:ascii="Times New Roman" w:hAnsi="Times New Roman" w:cs="Times New Roman"/>
                <w:b/>
                <w:color w:val="000000" w:themeColor="text1"/>
                <w:sz w:val="26"/>
                <w:szCs w:val="26"/>
              </w:rPr>
              <w:t>a</w:t>
            </w:r>
            <w:r w:rsidRPr="00005E88">
              <w:rPr>
                <w:rFonts w:ascii="Times New Roman" w:hAnsi="Times New Roman" w:cs="Times New Roman"/>
                <w:b/>
                <w:color w:val="000000" w:themeColor="text1"/>
                <w:sz w:val="26"/>
                <w:szCs w:val="26"/>
              </w:rPr>
              <w:t xml:space="preserve">notācijas III sadaļas aprēķins skatāms Ministru kabineta </w:t>
            </w:r>
            <w:r w:rsidRPr="00005E88">
              <w:rPr>
                <w:rFonts w:ascii="Times New Roman" w:hAnsi="Times New Roman" w:cs="Times New Roman"/>
                <w:b/>
                <w:sz w:val="26"/>
                <w:szCs w:val="26"/>
              </w:rPr>
              <w:t>2009.gada 28.jūlija noteikumus Nr.836 “Pedagogu darba samaksas noteikumi”</w:t>
            </w:r>
            <w:r>
              <w:rPr>
                <w:rFonts w:ascii="Times New Roman" w:hAnsi="Times New Roman" w:cs="Times New Roman"/>
                <w:b/>
                <w:sz w:val="26"/>
                <w:szCs w:val="26"/>
              </w:rPr>
              <w:t xml:space="preserve"> </w:t>
            </w:r>
            <w:r w:rsidRPr="00005E88">
              <w:rPr>
                <w:rFonts w:ascii="Times New Roman" w:hAnsi="Times New Roman" w:cs="Times New Roman"/>
                <w:b/>
                <w:sz w:val="26"/>
                <w:szCs w:val="26"/>
              </w:rPr>
              <w:t>grozījumu sākotnējās ietekmes novērtējuma ziņojuma III sadaļā.</w:t>
            </w:r>
          </w:p>
          <w:p w14:paraId="65F7329A" w14:textId="77777777" w:rsidR="00005E88" w:rsidRDefault="00005E88" w:rsidP="00C348E6">
            <w:pPr>
              <w:spacing w:after="0" w:line="240" w:lineRule="auto"/>
              <w:jc w:val="both"/>
              <w:rPr>
                <w:rFonts w:ascii="Times New Roman" w:hAnsi="Times New Roman" w:cs="Times New Roman"/>
                <w:color w:val="000000" w:themeColor="text1"/>
                <w:sz w:val="26"/>
                <w:szCs w:val="26"/>
              </w:rPr>
            </w:pPr>
          </w:p>
          <w:p w14:paraId="1B7DE732" w14:textId="28A0B188" w:rsidR="007F5D3A" w:rsidRPr="00FE141C" w:rsidRDefault="007F5D3A" w:rsidP="00C348E6">
            <w:pPr>
              <w:spacing w:after="0" w:line="240" w:lineRule="auto"/>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Finansējumu pedagogu darba samaksai 201</w:t>
            </w:r>
            <w:r w:rsidR="008D0D26">
              <w:rPr>
                <w:rFonts w:ascii="Times New Roman" w:hAnsi="Times New Roman" w:cs="Times New Roman"/>
                <w:color w:val="000000" w:themeColor="text1"/>
                <w:sz w:val="26"/>
                <w:szCs w:val="26"/>
              </w:rPr>
              <w:t>6</w:t>
            </w:r>
            <w:r w:rsidRPr="00FE141C">
              <w:rPr>
                <w:rFonts w:ascii="Times New Roman" w:hAnsi="Times New Roman" w:cs="Times New Roman"/>
                <w:color w:val="000000" w:themeColor="text1"/>
                <w:sz w:val="26"/>
                <w:szCs w:val="26"/>
              </w:rPr>
              <w:t>.gada septembrim – decembrim aprēķinās pamatojoties uz ievadīto un apstiprināto informāciju VII</w:t>
            </w:r>
            <w:r w:rsidR="006405BC">
              <w:rPr>
                <w:rFonts w:ascii="Times New Roman" w:hAnsi="Times New Roman" w:cs="Times New Roman"/>
                <w:color w:val="000000" w:themeColor="text1"/>
                <w:sz w:val="26"/>
                <w:szCs w:val="26"/>
              </w:rPr>
              <w:t>S par izglītojamo skaitu uz 2015</w:t>
            </w:r>
            <w:r w:rsidRPr="00FE141C">
              <w:rPr>
                <w:rFonts w:ascii="Times New Roman" w:hAnsi="Times New Roman" w:cs="Times New Roman"/>
                <w:color w:val="000000" w:themeColor="text1"/>
                <w:sz w:val="26"/>
                <w:szCs w:val="26"/>
              </w:rPr>
              <w:t xml:space="preserve">.gada </w:t>
            </w:r>
            <w:r w:rsidR="008D0D26">
              <w:rPr>
                <w:rFonts w:ascii="Times New Roman" w:hAnsi="Times New Roman" w:cs="Times New Roman"/>
                <w:color w:val="000000" w:themeColor="text1"/>
                <w:sz w:val="26"/>
                <w:szCs w:val="26"/>
              </w:rPr>
              <w:t>1.septembri</w:t>
            </w:r>
            <w:r w:rsidRPr="00FE141C">
              <w:rPr>
                <w:rFonts w:ascii="Times New Roman" w:hAnsi="Times New Roman" w:cs="Times New Roman"/>
                <w:color w:val="000000" w:themeColor="text1"/>
                <w:sz w:val="26"/>
                <w:szCs w:val="26"/>
              </w:rPr>
              <w:t xml:space="preserve">. Saskaņā ar </w:t>
            </w:r>
            <w:r w:rsidR="00CD798C">
              <w:rPr>
                <w:rFonts w:ascii="Times New Roman" w:hAnsi="Times New Roman" w:cs="Times New Roman"/>
                <w:color w:val="000000" w:themeColor="text1"/>
                <w:sz w:val="26"/>
                <w:szCs w:val="26"/>
              </w:rPr>
              <w:t>Informatīvo ziņojumu “Par 2016.gadam nepieciešamo valsts budžeta līdzekļu apmēru mērķdotācijām pašvaldībām un privātajām izglītības iestādēm pedagogu darba samaksas nodrošināšanai” 17.tabulā iekļauto izglītojamo skaita prognozi 2016.gada 1.septembrī, tiek prognozēta f</w:t>
            </w:r>
            <w:r w:rsidRPr="00FE141C">
              <w:rPr>
                <w:rFonts w:ascii="Times New Roman" w:hAnsi="Times New Roman" w:cs="Times New Roman"/>
                <w:color w:val="000000" w:themeColor="text1"/>
                <w:sz w:val="26"/>
                <w:szCs w:val="26"/>
              </w:rPr>
              <w:t xml:space="preserve">inansiālā ietekme </w:t>
            </w:r>
            <w:r w:rsidR="00CD798C">
              <w:rPr>
                <w:rFonts w:ascii="Times New Roman" w:hAnsi="Times New Roman" w:cs="Times New Roman"/>
                <w:color w:val="000000" w:themeColor="text1"/>
                <w:sz w:val="26"/>
                <w:szCs w:val="26"/>
              </w:rPr>
              <w:t>uz 2016.gadu</w:t>
            </w:r>
            <w:r w:rsidRPr="00FE141C">
              <w:rPr>
                <w:rFonts w:ascii="Times New Roman" w:hAnsi="Times New Roman" w:cs="Times New Roman"/>
                <w:color w:val="000000" w:themeColor="text1"/>
                <w:sz w:val="26"/>
                <w:szCs w:val="26"/>
              </w:rPr>
              <w:t xml:space="preserve">, jo finansējums pedagogu darba samaksai tiek aprēķināts, pamatojoties uz izglītojamo skaitu 2015.gada 1.septembrī. </w:t>
            </w:r>
          </w:p>
          <w:p w14:paraId="481B1872" w14:textId="15BC3258" w:rsidR="007F5D3A" w:rsidRPr="00FE141C" w:rsidRDefault="007F5D3A" w:rsidP="00C348E6">
            <w:pPr>
              <w:spacing w:after="0" w:line="240" w:lineRule="auto"/>
              <w:jc w:val="both"/>
              <w:rPr>
                <w:rFonts w:ascii="Times New Roman" w:hAnsi="Times New Roman" w:cs="Times New Roman"/>
                <w:color w:val="000000" w:themeColor="text1"/>
                <w:sz w:val="26"/>
                <w:szCs w:val="26"/>
                <w:u w:val="single"/>
              </w:rPr>
            </w:pPr>
            <w:r w:rsidRPr="00FE141C">
              <w:rPr>
                <w:rFonts w:ascii="Times New Roman" w:hAnsi="Times New Roman" w:cs="Times New Roman"/>
                <w:color w:val="000000" w:themeColor="text1"/>
                <w:sz w:val="26"/>
                <w:szCs w:val="26"/>
                <w:u w:val="single"/>
              </w:rPr>
              <w:t>Aprēķins:</w:t>
            </w:r>
            <w:r w:rsidR="006405BC">
              <w:rPr>
                <w:rFonts w:ascii="Times New Roman" w:hAnsi="Times New Roman" w:cs="Times New Roman"/>
                <w:color w:val="000000" w:themeColor="text1"/>
                <w:sz w:val="26"/>
                <w:szCs w:val="26"/>
                <w:u w:val="single"/>
              </w:rPr>
              <w:t xml:space="preserve"> </w:t>
            </w:r>
          </w:p>
          <w:p w14:paraId="5285987E" w14:textId="2CCACD1E" w:rsidR="007F5D3A" w:rsidRPr="00FE141C" w:rsidRDefault="007F5D3A" w:rsidP="00C348E6">
            <w:pPr>
              <w:spacing w:after="0" w:line="240" w:lineRule="auto"/>
              <w:jc w:val="both"/>
              <w:rPr>
                <w:rFonts w:ascii="Times New Roman" w:eastAsia="Calibri" w:hAnsi="Times New Roman" w:cs="Times New Roman"/>
                <w:sz w:val="26"/>
                <w:szCs w:val="26"/>
              </w:rPr>
            </w:pPr>
            <w:r w:rsidRPr="00FE141C">
              <w:rPr>
                <w:rFonts w:ascii="Times New Roman" w:eastAsia="Calibri" w:hAnsi="Times New Roman" w:cs="Times New Roman"/>
                <w:sz w:val="26"/>
                <w:szCs w:val="26"/>
              </w:rPr>
              <w:t xml:space="preserve">Izglītojamo skaits </w:t>
            </w:r>
            <w:r w:rsidR="00CD798C">
              <w:rPr>
                <w:rFonts w:ascii="Times New Roman" w:eastAsia="Calibri" w:hAnsi="Times New Roman" w:cs="Times New Roman"/>
                <w:sz w:val="26"/>
                <w:szCs w:val="26"/>
              </w:rPr>
              <w:t>2015</w:t>
            </w:r>
            <w:r w:rsidR="00CE3B84" w:rsidRPr="00FE141C">
              <w:rPr>
                <w:rFonts w:ascii="Times New Roman" w:eastAsia="Calibri" w:hAnsi="Times New Roman" w:cs="Times New Roman"/>
                <w:sz w:val="26"/>
                <w:szCs w:val="26"/>
              </w:rPr>
              <w:t>.gada 1.septembrī</w:t>
            </w:r>
            <w:r w:rsidRPr="00FE141C">
              <w:rPr>
                <w:rFonts w:ascii="Times New Roman" w:eastAsia="Calibri" w:hAnsi="Times New Roman" w:cs="Times New Roman"/>
                <w:sz w:val="26"/>
                <w:szCs w:val="26"/>
              </w:rPr>
              <w:t xml:space="preserve"> pašvaldību pamata un vispārējās vidējās izglītības iestādēs – </w:t>
            </w:r>
            <w:r w:rsidR="008D639F">
              <w:rPr>
                <w:rFonts w:ascii="Times New Roman" w:eastAsia="Calibri" w:hAnsi="Times New Roman" w:cs="Times New Roman"/>
                <w:sz w:val="26"/>
                <w:szCs w:val="26"/>
              </w:rPr>
              <w:t>198 777</w:t>
            </w:r>
            <w:r w:rsidRPr="00FE141C">
              <w:rPr>
                <w:rFonts w:ascii="Times New Roman" w:eastAsia="Calibri" w:hAnsi="Times New Roman" w:cs="Times New Roman"/>
                <w:sz w:val="26"/>
                <w:szCs w:val="26"/>
              </w:rPr>
              <w:t>,</w:t>
            </w:r>
          </w:p>
          <w:p w14:paraId="6A37F3C3" w14:textId="3DD4FFDA" w:rsidR="007F5D3A" w:rsidRPr="00FE141C" w:rsidRDefault="006405BC" w:rsidP="00C348E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Aprēķinātais finansējums 2016.gada septembrim - decembrim</w:t>
            </w:r>
            <w:r w:rsidR="007F5D3A" w:rsidRPr="00FE141C">
              <w:rPr>
                <w:rFonts w:ascii="Times New Roman" w:eastAsia="Calibri" w:hAnsi="Times New Roman" w:cs="Times New Roman"/>
                <w:sz w:val="26"/>
                <w:szCs w:val="26"/>
              </w:rPr>
              <w:t xml:space="preserve"> minētajām izglītības iestādēm – </w:t>
            </w:r>
            <w:r w:rsidR="005A56A9">
              <w:rPr>
                <w:rFonts w:ascii="Times New Roman" w:eastAsia="Calibri" w:hAnsi="Times New Roman" w:cs="Times New Roman"/>
                <w:sz w:val="26"/>
                <w:szCs w:val="26"/>
              </w:rPr>
              <w:t>19 045 689</w:t>
            </w:r>
            <w:r>
              <w:rPr>
                <w:rFonts w:ascii="Times New Roman" w:eastAsia="Calibri" w:hAnsi="Times New Roman" w:cs="Times New Roman"/>
                <w:sz w:val="26"/>
                <w:szCs w:val="26"/>
              </w:rPr>
              <w:t xml:space="preserve"> </w:t>
            </w:r>
            <w:proofErr w:type="spellStart"/>
            <w:r w:rsidR="007F5D3A" w:rsidRPr="00FE141C">
              <w:rPr>
                <w:rFonts w:ascii="Times New Roman" w:eastAsia="Calibri" w:hAnsi="Times New Roman" w:cs="Times New Roman"/>
                <w:i/>
                <w:sz w:val="26"/>
                <w:szCs w:val="26"/>
              </w:rPr>
              <w:t>euro</w:t>
            </w:r>
            <w:proofErr w:type="spellEnd"/>
            <w:r>
              <w:rPr>
                <w:rFonts w:ascii="Times New Roman" w:eastAsia="Calibri" w:hAnsi="Times New Roman" w:cs="Times New Roman"/>
                <w:sz w:val="26"/>
                <w:szCs w:val="26"/>
              </w:rPr>
              <w:t xml:space="preserve"> mēnesī bez kvalitātes piemaksām,</w:t>
            </w:r>
          </w:p>
          <w:p w14:paraId="7F8F5F72" w14:textId="4653DB4A" w:rsidR="007F5D3A" w:rsidRPr="00FE141C" w:rsidRDefault="007F5D3A" w:rsidP="00C348E6">
            <w:pPr>
              <w:spacing w:after="0" w:line="240" w:lineRule="auto"/>
              <w:jc w:val="both"/>
              <w:rPr>
                <w:rFonts w:ascii="Times New Roman" w:eastAsia="Calibri" w:hAnsi="Times New Roman" w:cs="Times New Roman"/>
                <w:sz w:val="26"/>
                <w:szCs w:val="26"/>
              </w:rPr>
            </w:pPr>
            <w:r w:rsidRPr="00FE141C">
              <w:rPr>
                <w:rFonts w:ascii="Times New Roman" w:eastAsia="Calibri" w:hAnsi="Times New Roman" w:cs="Times New Roman"/>
                <w:sz w:val="26"/>
                <w:szCs w:val="26"/>
              </w:rPr>
              <w:t xml:space="preserve">Izmaksas vienam izglītojamajam </w:t>
            </w:r>
            <w:r w:rsidR="006405BC">
              <w:rPr>
                <w:rFonts w:ascii="Times New Roman" w:eastAsia="Calibri" w:hAnsi="Times New Roman" w:cs="Times New Roman"/>
                <w:sz w:val="26"/>
                <w:szCs w:val="26"/>
              </w:rPr>
              <w:t>mēnesī</w:t>
            </w:r>
            <w:r w:rsidRPr="00FE141C">
              <w:rPr>
                <w:rFonts w:ascii="Times New Roman" w:eastAsia="Calibri" w:hAnsi="Times New Roman" w:cs="Times New Roman"/>
                <w:sz w:val="26"/>
                <w:szCs w:val="26"/>
              </w:rPr>
              <w:t xml:space="preserve"> – </w:t>
            </w:r>
            <w:r w:rsidR="00141644">
              <w:rPr>
                <w:rFonts w:ascii="Times New Roman" w:eastAsia="Calibri" w:hAnsi="Times New Roman" w:cs="Times New Roman"/>
                <w:sz w:val="26"/>
                <w:szCs w:val="26"/>
              </w:rPr>
              <w:t>95,</w:t>
            </w:r>
            <w:r w:rsidR="005A56A9">
              <w:rPr>
                <w:rFonts w:ascii="Times New Roman" w:eastAsia="Calibri" w:hAnsi="Times New Roman" w:cs="Times New Roman"/>
                <w:sz w:val="26"/>
                <w:szCs w:val="26"/>
              </w:rPr>
              <w:t>81</w:t>
            </w:r>
            <w:r w:rsidRPr="00FE141C">
              <w:rPr>
                <w:rFonts w:ascii="Times New Roman" w:eastAsia="Calibri" w:hAnsi="Times New Roman" w:cs="Times New Roman"/>
                <w:sz w:val="26"/>
                <w:szCs w:val="26"/>
              </w:rPr>
              <w:t> </w:t>
            </w:r>
            <w:proofErr w:type="spellStart"/>
            <w:r w:rsidRPr="00FE141C">
              <w:rPr>
                <w:rFonts w:ascii="Times New Roman" w:eastAsia="Calibri" w:hAnsi="Times New Roman" w:cs="Times New Roman"/>
                <w:i/>
                <w:sz w:val="26"/>
                <w:szCs w:val="26"/>
              </w:rPr>
              <w:t>euro</w:t>
            </w:r>
            <w:proofErr w:type="spellEnd"/>
            <w:r w:rsidRPr="00FE141C">
              <w:rPr>
                <w:rFonts w:ascii="Times New Roman" w:eastAsia="Calibri" w:hAnsi="Times New Roman" w:cs="Times New Roman"/>
                <w:sz w:val="26"/>
                <w:szCs w:val="26"/>
              </w:rPr>
              <w:t>.</w:t>
            </w:r>
          </w:p>
          <w:p w14:paraId="3A4D8FED" w14:textId="4E6724D6" w:rsidR="007F5D3A" w:rsidRPr="00FE141C" w:rsidRDefault="007F5D3A" w:rsidP="00C348E6">
            <w:pPr>
              <w:spacing w:after="0" w:line="240" w:lineRule="auto"/>
              <w:jc w:val="both"/>
              <w:rPr>
                <w:rFonts w:ascii="Times New Roman" w:eastAsia="Calibri" w:hAnsi="Times New Roman" w:cs="Times New Roman"/>
                <w:sz w:val="26"/>
                <w:szCs w:val="26"/>
              </w:rPr>
            </w:pPr>
            <w:r w:rsidRPr="00FE141C">
              <w:rPr>
                <w:rFonts w:ascii="Times New Roman" w:eastAsia="Calibri" w:hAnsi="Times New Roman" w:cs="Times New Roman"/>
                <w:sz w:val="26"/>
                <w:szCs w:val="26"/>
              </w:rPr>
              <w:t>Izglī</w:t>
            </w:r>
            <w:r w:rsidR="006405BC">
              <w:rPr>
                <w:rFonts w:ascii="Times New Roman" w:eastAsia="Calibri" w:hAnsi="Times New Roman" w:cs="Times New Roman"/>
                <w:sz w:val="26"/>
                <w:szCs w:val="26"/>
              </w:rPr>
              <w:t>tojamo skaita palielinājums 2016</w:t>
            </w:r>
            <w:r w:rsidR="003A3B1B">
              <w:rPr>
                <w:rFonts w:ascii="Times New Roman" w:eastAsia="Calibri" w:hAnsi="Times New Roman" w:cs="Times New Roman"/>
                <w:sz w:val="26"/>
                <w:szCs w:val="26"/>
              </w:rPr>
              <w:t>.gada 1.septembrī - +</w:t>
            </w:r>
            <w:r w:rsidRPr="00FE141C">
              <w:rPr>
                <w:rFonts w:ascii="Times New Roman" w:eastAsia="Calibri" w:hAnsi="Times New Roman" w:cs="Times New Roman"/>
                <w:sz w:val="26"/>
                <w:szCs w:val="26"/>
              </w:rPr>
              <w:t xml:space="preserve"> </w:t>
            </w:r>
            <w:r w:rsidR="006405BC">
              <w:rPr>
                <w:rFonts w:ascii="Times New Roman" w:eastAsia="Calibri" w:hAnsi="Times New Roman" w:cs="Times New Roman"/>
                <w:sz w:val="26"/>
                <w:szCs w:val="26"/>
              </w:rPr>
              <w:t>1 888</w:t>
            </w:r>
          </w:p>
          <w:p w14:paraId="4C974626" w14:textId="00AC1688" w:rsidR="007F5D3A" w:rsidRPr="00FE141C" w:rsidRDefault="007F5D3A" w:rsidP="00C348E6">
            <w:pPr>
              <w:spacing w:after="0" w:line="240" w:lineRule="auto"/>
              <w:jc w:val="both"/>
              <w:rPr>
                <w:rFonts w:ascii="Times New Roman" w:eastAsia="Calibri" w:hAnsi="Times New Roman" w:cs="Times New Roman"/>
                <w:sz w:val="26"/>
                <w:szCs w:val="26"/>
              </w:rPr>
            </w:pPr>
            <w:r w:rsidRPr="00FE141C">
              <w:rPr>
                <w:rFonts w:ascii="Times New Roman" w:eastAsia="Calibri" w:hAnsi="Times New Roman" w:cs="Times New Roman"/>
                <w:sz w:val="26"/>
                <w:szCs w:val="26"/>
              </w:rPr>
              <w:t>Papildu nepie</w:t>
            </w:r>
            <w:r w:rsidR="006405BC">
              <w:rPr>
                <w:rFonts w:ascii="Times New Roman" w:eastAsia="Calibri" w:hAnsi="Times New Roman" w:cs="Times New Roman"/>
                <w:sz w:val="26"/>
                <w:szCs w:val="26"/>
              </w:rPr>
              <w:t>ciešamais finansējums 2016.gada septembrim - decembrim – 1 888</w:t>
            </w:r>
            <w:r w:rsidRPr="00FE141C">
              <w:rPr>
                <w:rFonts w:ascii="Times New Roman" w:eastAsia="Calibri" w:hAnsi="Times New Roman" w:cs="Times New Roman"/>
                <w:sz w:val="26"/>
                <w:szCs w:val="26"/>
              </w:rPr>
              <w:t xml:space="preserve"> x </w:t>
            </w:r>
            <w:r w:rsidR="00141644">
              <w:rPr>
                <w:rFonts w:ascii="Times New Roman" w:eastAsia="Calibri" w:hAnsi="Times New Roman" w:cs="Times New Roman"/>
                <w:sz w:val="26"/>
                <w:szCs w:val="26"/>
              </w:rPr>
              <w:t>95,</w:t>
            </w:r>
            <w:r w:rsidR="005A56A9">
              <w:rPr>
                <w:rFonts w:ascii="Times New Roman" w:eastAsia="Calibri" w:hAnsi="Times New Roman" w:cs="Times New Roman"/>
                <w:sz w:val="26"/>
                <w:szCs w:val="26"/>
              </w:rPr>
              <w:t>81</w:t>
            </w:r>
            <w:r w:rsidR="006405BC">
              <w:rPr>
                <w:rFonts w:ascii="Times New Roman" w:eastAsia="Calibri" w:hAnsi="Times New Roman" w:cs="Times New Roman"/>
                <w:sz w:val="26"/>
                <w:szCs w:val="26"/>
              </w:rPr>
              <w:t xml:space="preserve"> x 4</w:t>
            </w:r>
            <w:r w:rsidRPr="00FE141C">
              <w:rPr>
                <w:rFonts w:ascii="Times New Roman" w:eastAsia="Calibri" w:hAnsi="Times New Roman" w:cs="Times New Roman"/>
                <w:sz w:val="26"/>
                <w:szCs w:val="26"/>
              </w:rPr>
              <w:t xml:space="preserve"> = </w:t>
            </w:r>
            <w:r w:rsidR="005A56A9">
              <w:rPr>
                <w:rFonts w:ascii="Times New Roman" w:eastAsia="Calibri" w:hAnsi="Times New Roman" w:cs="Times New Roman"/>
                <w:sz w:val="26"/>
                <w:szCs w:val="26"/>
              </w:rPr>
              <w:t>723 557</w:t>
            </w:r>
            <w:r w:rsidRPr="00FE141C">
              <w:rPr>
                <w:rFonts w:ascii="Times New Roman" w:eastAsia="Calibri" w:hAnsi="Times New Roman" w:cs="Times New Roman"/>
                <w:sz w:val="26"/>
                <w:szCs w:val="26"/>
              </w:rPr>
              <w:t> </w:t>
            </w:r>
            <w:proofErr w:type="spellStart"/>
            <w:r w:rsidRPr="00FE141C">
              <w:rPr>
                <w:rFonts w:ascii="Times New Roman" w:eastAsia="Calibri" w:hAnsi="Times New Roman" w:cs="Times New Roman"/>
                <w:i/>
                <w:sz w:val="26"/>
                <w:szCs w:val="26"/>
              </w:rPr>
              <w:t>euro</w:t>
            </w:r>
            <w:proofErr w:type="spellEnd"/>
            <w:r w:rsidRPr="00FE141C">
              <w:rPr>
                <w:rFonts w:ascii="Times New Roman" w:eastAsia="Calibri" w:hAnsi="Times New Roman" w:cs="Times New Roman"/>
                <w:sz w:val="26"/>
                <w:szCs w:val="26"/>
              </w:rPr>
              <w:t>.</w:t>
            </w:r>
          </w:p>
          <w:p w14:paraId="626AEB7B" w14:textId="77777777" w:rsidR="007F5D3A" w:rsidRPr="00FE141C" w:rsidRDefault="007F5D3A" w:rsidP="00C348E6">
            <w:pPr>
              <w:spacing w:after="0" w:line="240" w:lineRule="auto"/>
              <w:ind w:firstLine="709"/>
              <w:jc w:val="both"/>
              <w:rPr>
                <w:rFonts w:ascii="Times New Roman" w:eastAsia="Calibri" w:hAnsi="Times New Roman" w:cs="Times New Roman"/>
                <w:sz w:val="26"/>
                <w:szCs w:val="26"/>
              </w:rPr>
            </w:pPr>
          </w:p>
          <w:p w14:paraId="64F4CD7F" w14:textId="26A85EA7" w:rsidR="007F5D3A" w:rsidRPr="00FE141C" w:rsidRDefault="007F5D3A" w:rsidP="00C348E6">
            <w:pPr>
              <w:spacing w:after="0" w:line="240" w:lineRule="auto"/>
              <w:jc w:val="both"/>
              <w:rPr>
                <w:rFonts w:ascii="Times New Roman" w:eastAsia="Calibri" w:hAnsi="Times New Roman" w:cs="Times New Roman"/>
                <w:sz w:val="26"/>
                <w:szCs w:val="26"/>
              </w:rPr>
            </w:pPr>
            <w:r w:rsidRPr="00FE141C">
              <w:rPr>
                <w:rFonts w:ascii="Times New Roman" w:eastAsia="Calibri" w:hAnsi="Times New Roman" w:cs="Times New Roman"/>
                <w:sz w:val="26"/>
                <w:szCs w:val="26"/>
              </w:rPr>
              <w:t xml:space="preserve">Piecgadīgo un sešgadīgo izglītojamo skaits 01.09.2014. – </w:t>
            </w:r>
            <w:r w:rsidR="003A3B1B" w:rsidRPr="003A3B1B">
              <w:rPr>
                <w:rFonts w:ascii="Times New Roman" w:eastAsia="Calibri" w:hAnsi="Times New Roman" w:cs="Times New Roman"/>
                <w:sz w:val="26"/>
                <w:szCs w:val="26"/>
              </w:rPr>
              <w:t>34 684</w:t>
            </w:r>
            <w:r w:rsidRPr="00FE141C">
              <w:rPr>
                <w:rFonts w:ascii="Times New Roman" w:eastAsia="Calibri" w:hAnsi="Times New Roman" w:cs="Times New Roman"/>
                <w:sz w:val="26"/>
                <w:szCs w:val="26"/>
              </w:rPr>
              <w:t>,</w:t>
            </w:r>
          </w:p>
          <w:p w14:paraId="1E7C80AB" w14:textId="613B913D" w:rsidR="007F5D3A" w:rsidRPr="003A3B1B" w:rsidRDefault="003A3B1B" w:rsidP="00C348E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Aprēķinātais finansējums 2016.gada septembrim - decembrim</w:t>
            </w:r>
            <w:r w:rsidR="007F5D3A" w:rsidRPr="00FE141C">
              <w:rPr>
                <w:rFonts w:ascii="Times New Roman" w:eastAsia="Calibri" w:hAnsi="Times New Roman" w:cs="Times New Roman"/>
                <w:sz w:val="26"/>
                <w:szCs w:val="26"/>
              </w:rPr>
              <w:t xml:space="preserve"> minētajām izglītības iestādēm – </w:t>
            </w:r>
            <w:r w:rsidR="005A56A9">
              <w:rPr>
                <w:rFonts w:ascii="Times New Roman" w:eastAsia="Calibri" w:hAnsi="Times New Roman" w:cs="Times New Roman"/>
                <w:sz w:val="26"/>
                <w:szCs w:val="26"/>
              </w:rPr>
              <w:t>2 138 332</w:t>
            </w:r>
            <w:r>
              <w:rPr>
                <w:rFonts w:ascii="Times New Roman" w:eastAsia="Calibri" w:hAnsi="Times New Roman" w:cs="Times New Roman"/>
                <w:sz w:val="26"/>
                <w:szCs w:val="26"/>
              </w:rPr>
              <w:t xml:space="preserve"> </w:t>
            </w:r>
            <w:proofErr w:type="spellStart"/>
            <w:r w:rsidR="007F5D3A" w:rsidRPr="00FE141C">
              <w:rPr>
                <w:rFonts w:ascii="Times New Roman" w:eastAsia="Calibri" w:hAnsi="Times New Roman" w:cs="Times New Roman"/>
                <w:i/>
                <w:sz w:val="26"/>
                <w:szCs w:val="26"/>
              </w:rPr>
              <w:t>euro</w:t>
            </w:r>
            <w:proofErr w:type="spellEnd"/>
            <w:r>
              <w:rPr>
                <w:rFonts w:ascii="Times New Roman" w:eastAsia="Calibri" w:hAnsi="Times New Roman" w:cs="Times New Roman"/>
                <w:i/>
                <w:sz w:val="26"/>
                <w:szCs w:val="26"/>
              </w:rPr>
              <w:t xml:space="preserve"> </w:t>
            </w:r>
            <w:r w:rsidRPr="003A3B1B">
              <w:rPr>
                <w:rFonts w:ascii="Times New Roman" w:eastAsia="Calibri" w:hAnsi="Times New Roman" w:cs="Times New Roman"/>
                <w:sz w:val="26"/>
                <w:szCs w:val="26"/>
              </w:rPr>
              <w:t>mēnesī bez kvalitātes piemaksām</w:t>
            </w:r>
            <w:r w:rsidR="007F5D3A" w:rsidRPr="003A3B1B">
              <w:rPr>
                <w:rFonts w:ascii="Times New Roman" w:eastAsia="Calibri" w:hAnsi="Times New Roman" w:cs="Times New Roman"/>
                <w:sz w:val="26"/>
                <w:szCs w:val="26"/>
              </w:rPr>
              <w:t>,</w:t>
            </w:r>
          </w:p>
          <w:p w14:paraId="2960D971" w14:textId="3B5599B5" w:rsidR="007F5D3A" w:rsidRPr="00FE141C" w:rsidRDefault="007F5D3A" w:rsidP="00C348E6">
            <w:pPr>
              <w:spacing w:after="0" w:line="240" w:lineRule="auto"/>
              <w:jc w:val="both"/>
              <w:rPr>
                <w:rFonts w:ascii="Times New Roman" w:eastAsia="Calibri" w:hAnsi="Times New Roman" w:cs="Times New Roman"/>
                <w:sz w:val="26"/>
                <w:szCs w:val="26"/>
              </w:rPr>
            </w:pPr>
            <w:r w:rsidRPr="00FE141C">
              <w:rPr>
                <w:rFonts w:ascii="Times New Roman" w:eastAsia="Calibri" w:hAnsi="Times New Roman" w:cs="Times New Roman"/>
                <w:sz w:val="26"/>
                <w:szCs w:val="26"/>
              </w:rPr>
              <w:t xml:space="preserve">Izmaksas vienam </w:t>
            </w:r>
            <w:r w:rsidR="003A3B1B">
              <w:rPr>
                <w:rFonts w:ascii="Times New Roman" w:eastAsia="Calibri" w:hAnsi="Times New Roman" w:cs="Times New Roman"/>
                <w:sz w:val="26"/>
                <w:szCs w:val="26"/>
              </w:rPr>
              <w:t xml:space="preserve">bērnam </w:t>
            </w:r>
            <w:r w:rsidRPr="00FE141C">
              <w:rPr>
                <w:rFonts w:ascii="Times New Roman" w:eastAsia="Calibri" w:hAnsi="Times New Roman" w:cs="Times New Roman"/>
                <w:sz w:val="26"/>
                <w:szCs w:val="26"/>
              </w:rPr>
              <w:t xml:space="preserve"> </w:t>
            </w:r>
            <w:r w:rsidR="003A3B1B">
              <w:rPr>
                <w:rFonts w:ascii="Times New Roman" w:eastAsia="Calibri" w:hAnsi="Times New Roman" w:cs="Times New Roman"/>
                <w:sz w:val="26"/>
                <w:szCs w:val="26"/>
              </w:rPr>
              <w:t>mēnesī</w:t>
            </w:r>
            <w:r w:rsidRPr="00FE141C">
              <w:rPr>
                <w:rFonts w:ascii="Times New Roman" w:eastAsia="Calibri" w:hAnsi="Times New Roman" w:cs="Times New Roman"/>
                <w:sz w:val="26"/>
                <w:szCs w:val="26"/>
              </w:rPr>
              <w:t xml:space="preserve"> – </w:t>
            </w:r>
            <w:r w:rsidR="005A56A9">
              <w:rPr>
                <w:rFonts w:ascii="Times New Roman" w:eastAsia="Calibri" w:hAnsi="Times New Roman" w:cs="Times New Roman"/>
                <w:sz w:val="26"/>
                <w:szCs w:val="26"/>
              </w:rPr>
              <w:t>61,65</w:t>
            </w:r>
            <w:r w:rsidRPr="00FE141C">
              <w:rPr>
                <w:rFonts w:ascii="Times New Roman" w:eastAsia="Calibri" w:hAnsi="Times New Roman" w:cs="Times New Roman"/>
                <w:sz w:val="26"/>
                <w:szCs w:val="26"/>
              </w:rPr>
              <w:t> </w:t>
            </w:r>
            <w:proofErr w:type="spellStart"/>
            <w:r w:rsidRPr="00FE141C">
              <w:rPr>
                <w:rFonts w:ascii="Times New Roman" w:eastAsia="Calibri" w:hAnsi="Times New Roman" w:cs="Times New Roman"/>
                <w:i/>
                <w:sz w:val="26"/>
                <w:szCs w:val="26"/>
              </w:rPr>
              <w:t>euro</w:t>
            </w:r>
            <w:proofErr w:type="spellEnd"/>
            <w:r w:rsidRPr="00FE141C">
              <w:rPr>
                <w:rFonts w:ascii="Times New Roman" w:eastAsia="Calibri" w:hAnsi="Times New Roman" w:cs="Times New Roman"/>
                <w:sz w:val="26"/>
                <w:szCs w:val="26"/>
              </w:rPr>
              <w:t>.</w:t>
            </w:r>
          </w:p>
          <w:p w14:paraId="03829C2C" w14:textId="713BF144" w:rsidR="007F5D3A" w:rsidRPr="00FE141C" w:rsidRDefault="007F5D3A" w:rsidP="00C348E6">
            <w:pPr>
              <w:spacing w:after="0" w:line="240" w:lineRule="auto"/>
              <w:jc w:val="both"/>
              <w:rPr>
                <w:rFonts w:ascii="Times New Roman" w:eastAsia="Calibri" w:hAnsi="Times New Roman" w:cs="Times New Roman"/>
                <w:sz w:val="26"/>
                <w:szCs w:val="26"/>
              </w:rPr>
            </w:pPr>
            <w:r w:rsidRPr="00FE141C">
              <w:rPr>
                <w:rFonts w:ascii="Times New Roman" w:eastAsia="Calibri" w:hAnsi="Times New Roman" w:cs="Times New Roman"/>
                <w:sz w:val="26"/>
                <w:szCs w:val="26"/>
              </w:rPr>
              <w:lastRenderedPageBreak/>
              <w:t xml:space="preserve">Izglītojamo skaita </w:t>
            </w:r>
            <w:r w:rsidR="003A3B1B">
              <w:rPr>
                <w:rFonts w:ascii="Times New Roman" w:eastAsia="Calibri" w:hAnsi="Times New Roman" w:cs="Times New Roman"/>
                <w:sz w:val="26"/>
                <w:szCs w:val="26"/>
              </w:rPr>
              <w:t>samazinājums</w:t>
            </w:r>
            <w:r w:rsidRPr="00FE141C">
              <w:rPr>
                <w:rFonts w:ascii="Times New Roman" w:eastAsia="Calibri" w:hAnsi="Times New Roman" w:cs="Times New Roman"/>
                <w:sz w:val="26"/>
                <w:szCs w:val="26"/>
              </w:rPr>
              <w:t xml:space="preserve"> 201</w:t>
            </w:r>
            <w:r w:rsidR="003A3B1B">
              <w:rPr>
                <w:rFonts w:ascii="Times New Roman" w:eastAsia="Calibri" w:hAnsi="Times New Roman" w:cs="Times New Roman"/>
                <w:sz w:val="26"/>
                <w:szCs w:val="26"/>
              </w:rPr>
              <w:t>6</w:t>
            </w:r>
            <w:r w:rsidRPr="00FE141C">
              <w:rPr>
                <w:rFonts w:ascii="Times New Roman" w:eastAsia="Calibri" w:hAnsi="Times New Roman" w:cs="Times New Roman"/>
                <w:sz w:val="26"/>
                <w:szCs w:val="26"/>
              </w:rPr>
              <w:t xml:space="preserve">.gada 1.septembrī – </w:t>
            </w:r>
            <w:r w:rsidR="003A3B1B">
              <w:rPr>
                <w:rFonts w:ascii="Times New Roman" w:eastAsia="Calibri" w:hAnsi="Times New Roman" w:cs="Times New Roman"/>
                <w:sz w:val="26"/>
                <w:szCs w:val="26"/>
              </w:rPr>
              <w:t>-1 860</w:t>
            </w:r>
          </w:p>
          <w:p w14:paraId="44ADE879" w14:textId="26A6573E" w:rsidR="007F5D3A" w:rsidRPr="00FE141C" w:rsidRDefault="003A3B1B" w:rsidP="00C348E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Neizmantotais finansējums 2016.gada septembrim - decembrim – </w:t>
            </w:r>
            <w:r w:rsidR="005B5C5A">
              <w:rPr>
                <w:rFonts w:ascii="Times New Roman" w:eastAsia="Calibri" w:hAnsi="Times New Roman" w:cs="Times New Roman"/>
                <w:sz w:val="26"/>
                <w:szCs w:val="26"/>
              </w:rPr>
              <w:t xml:space="preserve">   </w:t>
            </w:r>
            <w:r>
              <w:rPr>
                <w:rFonts w:ascii="Times New Roman" w:eastAsia="Calibri" w:hAnsi="Times New Roman" w:cs="Times New Roman"/>
                <w:sz w:val="26"/>
                <w:szCs w:val="26"/>
              </w:rPr>
              <w:t>1 860</w:t>
            </w:r>
            <w:r w:rsidR="007F5D3A" w:rsidRPr="00FE141C">
              <w:rPr>
                <w:rFonts w:ascii="Times New Roman" w:eastAsia="Calibri" w:hAnsi="Times New Roman" w:cs="Times New Roman"/>
                <w:sz w:val="26"/>
                <w:szCs w:val="26"/>
              </w:rPr>
              <w:t xml:space="preserve"> x </w:t>
            </w:r>
            <w:r w:rsidR="005A56A9">
              <w:rPr>
                <w:rFonts w:ascii="Times New Roman" w:eastAsia="Calibri" w:hAnsi="Times New Roman" w:cs="Times New Roman"/>
                <w:sz w:val="26"/>
                <w:szCs w:val="26"/>
              </w:rPr>
              <w:t>61,65</w:t>
            </w:r>
            <w:r>
              <w:rPr>
                <w:rFonts w:ascii="Times New Roman" w:eastAsia="Calibri" w:hAnsi="Times New Roman" w:cs="Times New Roman"/>
                <w:sz w:val="26"/>
                <w:szCs w:val="26"/>
              </w:rPr>
              <w:t xml:space="preserve"> x 4</w:t>
            </w:r>
            <w:r w:rsidR="007F5D3A" w:rsidRPr="00FE141C">
              <w:rPr>
                <w:rFonts w:ascii="Times New Roman" w:eastAsia="Calibri" w:hAnsi="Times New Roman" w:cs="Times New Roman"/>
                <w:sz w:val="26"/>
                <w:szCs w:val="26"/>
              </w:rPr>
              <w:t xml:space="preserve"> = </w:t>
            </w:r>
            <w:r w:rsidR="005A56A9">
              <w:rPr>
                <w:rFonts w:ascii="Times New Roman" w:eastAsia="Calibri" w:hAnsi="Times New Roman" w:cs="Times New Roman"/>
                <w:sz w:val="26"/>
                <w:szCs w:val="26"/>
              </w:rPr>
              <w:t>458 676</w:t>
            </w:r>
            <w:r w:rsidR="007F5D3A" w:rsidRPr="00FE141C">
              <w:rPr>
                <w:rFonts w:ascii="Times New Roman" w:eastAsia="Calibri" w:hAnsi="Times New Roman" w:cs="Times New Roman"/>
                <w:sz w:val="26"/>
                <w:szCs w:val="26"/>
              </w:rPr>
              <w:t> </w:t>
            </w:r>
            <w:proofErr w:type="spellStart"/>
            <w:r w:rsidR="007F5D3A" w:rsidRPr="00FE141C">
              <w:rPr>
                <w:rFonts w:ascii="Times New Roman" w:eastAsia="Calibri" w:hAnsi="Times New Roman" w:cs="Times New Roman"/>
                <w:i/>
                <w:sz w:val="26"/>
                <w:szCs w:val="26"/>
              </w:rPr>
              <w:t>euro</w:t>
            </w:r>
            <w:proofErr w:type="spellEnd"/>
            <w:r w:rsidR="007F5D3A" w:rsidRPr="00FE141C">
              <w:rPr>
                <w:rFonts w:ascii="Times New Roman" w:eastAsia="Calibri" w:hAnsi="Times New Roman" w:cs="Times New Roman"/>
                <w:sz w:val="26"/>
                <w:szCs w:val="26"/>
              </w:rPr>
              <w:t>.</w:t>
            </w:r>
          </w:p>
          <w:p w14:paraId="36AA9117" w14:textId="5285CA57" w:rsidR="009F770B" w:rsidRPr="00FE141C" w:rsidRDefault="009F770B" w:rsidP="00C348E6">
            <w:pPr>
              <w:spacing w:after="0" w:line="240" w:lineRule="auto"/>
              <w:jc w:val="both"/>
              <w:rPr>
                <w:rFonts w:ascii="Times New Roman" w:eastAsia="Calibri" w:hAnsi="Times New Roman" w:cs="Times New Roman"/>
                <w:b/>
                <w:sz w:val="26"/>
                <w:szCs w:val="26"/>
              </w:rPr>
            </w:pPr>
            <w:r w:rsidRPr="00FE141C">
              <w:rPr>
                <w:rFonts w:ascii="Times New Roman" w:eastAsia="Calibri" w:hAnsi="Times New Roman" w:cs="Times New Roman"/>
                <w:b/>
                <w:sz w:val="26"/>
                <w:szCs w:val="26"/>
              </w:rPr>
              <w:t>Papildu nepie</w:t>
            </w:r>
            <w:r w:rsidR="003A3B1B">
              <w:rPr>
                <w:rFonts w:ascii="Times New Roman" w:eastAsia="Calibri" w:hAnsi="Times New Roman" w:cs="Times New Roman"/>
                <w:b/>
                <w:sz w:val="26"/>
                <w:szCs w:val="26"/>
              </w:rPr>
              <w:t xml:space="preserve">ciešamais finansējums 2016.gada septembrim – decembrim </w:t>
            </w:r>
            <w:r w:rsidR="00717DFA">
              <w:rPr>
                <w:rFonts w:ascii="Times New Roman" w:eastAsia="Calibri" w:hAnsi="Times New Roman" w:cs="Times New Roman"/>
                <w:b/>
                <w:sz w:val="26"/>
                <w:szCs w:val="26"/>
              </w:rPr>
              <w:t>saistībā</w:t>
            </w:r>
            <w:r w:rsidR="003A3B1B">
              <w:rPr>
                <w:rFonts w:ascii="Times New Roman" w:eastAsia="Calibri" w:hAnsi="Times New Roman" w:cs="Times New Roman"/>
                <w:b/>
                <w:sz w:val="26"/>
                <w:szCs w:val="26"/>
              </w:rPr>
              <w:t xml:space="preserve"> ar skolēnu izmaiņām: </w:t>
            </w:r>
            <w:r w:rsidR="005A56A9">
              <w:rPr>
                <w:rFonts w:ascii="Times New Roman" w:eastAsia="Calibri" w:hAnsi="Times New Roman" w:cs="Times New Roman"/>
                <w:b/>
                <w:sz w:val="26"/>
                <w:szCs w:val="26"/>
              </w:rPr>
              <w:t>723 557</w:t>
            </w:r>
            <w:r w:rsidR="003A3B1B">
              <w:rPr>
                <w:rFonts w:ascii="Times New Roman" w:eastAsia="Calibri" w:hAnsi="Times New Roman" w:cs="Times New Roman"/>
                <w:b/>
                <w:sz w:val="26"/>
                <w:szCs w:val="26"/>
              </w:rPr>
              <w:t xml:space="preserve"> – </w:t>
            </w:r>
            <w:r w:rsidR="005A56A9">
              <w:rPr>
                <w:rFonts w:ascii="Times New Roman" w:eastAsia="Calibri" w:hAnsi="Times New Roman" w:cs="Times New Roman"/>
                <w:b/>
                <w:sz w:val="26"/>
                <w:szCs w:val="26"/>
              </w:rPr>
              <w:t>458 676</w:t>
            </w:r>
            <w:r w:rsidR="003A3B1B">
              <w:rPr>
                <w:rFonts w:ascii="Times New Roman" w:eastAsia="Calibri" w:hAnsi="Times New Roman" w:cs="Times New Roman"/>
                <w:b/>
                <w:sz w:val="26"/>
                <w:szCs w:val="26"/>
              </w:rPr>
              <w:t xml:space="preserve"> = </w:t>
            </w:r>
            <w:r w:rsidRPr="00FE141C">
              <w:rPr>
                <w:rFonts w:ascii="Times New Roman" w:eastAsia="Calibri" w:hAnsi="Times New Roman" w:cs="Times New Roman"/>
                <w:b/>
                <w:sz w:val="26"/>
                <w:szCs w:val="26"/>
              </w:rPr>
              <w:t xml:space="preserve"> </w:t>
            </w:r>
            <w:r w:rsidR="005A56A9">
              <w:rPr>
                <w:rFonts w:ascii="Times New Roman" w:eastAsia="Calibri" w:hAnsi="Times New Roman" w:cs="Times New Roman"/>
                <w:b/>
                <w:i/>
                <w:sz w:val="26"/>
                <w:szCs w:val="26"/>
              </w:rPr>
              <w:t>264 881</w:t>
            </w:r>
            <w:r w:rsidRPr="00FE141C">
              <w:rPr>
                <w:rFonts w:ascii="Times New Roman" w:eastAsia="Calibri" w:hAnsi="Times New Roman" w:cs="Times New Roman"/>
                <w:b/>
                <w:i/>
                <w:sz w:val="26"/>
                <w:szCs w:val="26"/>
              </w:rPr>
              <w:t xml:space="preserve"> </w:t>
            </w:r>
            <w:proofErr w:type="spellStart"/>
            <w:r w:rsidRPr="00FE141C">
              <w:rPr>
                <w:rFonts w:ascii="Times New Roman" w:eastAsia="Calibri" w:hAnsi="Times New Roman" w:cs="Times New Roman"/>
                <w:b/>
                <w:i/>
                <w:sz w:val="26"/>
                <w:szCs w:val="26"/>
              </w:rPr>
              <w:t>euro</w:t>
            </w:r>
            <w:proofErr w:type="spellEnd"/>
            <w:r w:rsidRPr="00FE141C">
              <w:rPr>
                <w:rFonts w:ascii="Times New Roman" w:eastAsia="Calibri" w:hAnsi="Times New Roman" w:cs="Times New Roman"/>
                <w:b/>
                <w:i/>
                <w:sz w:val="26"/>
                <w:szCs w:val="26"/>
              </w:rPr>
              <w:t>.</w:t>
            </w:r>
          </w:p>
          <w:p w14:paraId="6769596A" w14:textId="77777777" w:rsidR="009F5A23" w:rsidRPr="00FE141C" w:rsidRDefault="007F5D3A" w:rsidP="00C348E6">
            <w:pPr>
              <w:spacing w:after="0" w:line="240" w:lineRule="auto"/>
              <w:jc w:val="both"/>
              <w:rPr>
                <w:rFonts w:ascii="Times New Roman" w:eastAsia="Calibri" w:hAnsi="Times New Roman" w:cs="Times New Roman"/>
                <w:sz w:val="26"/>
                <w:szCs w:val="26"/>
              </w:rPr>
            </w:pPr>
            <w:r w:rsidRPr="00FE141C">
              <w:rPr>
                <w:rFonts w:ascii="Times New Roman" w:eastAsia="Calibri" w:hAnsi="Times New Roman" w:cs="Times New Roman"/>
                <w:sz w:val="26"/>
                <w:szCs w:val="26"/>
              </w:rPr>
              <w:t>Vēršam uzmanību, ka izglītojamo skaits attiecīgi sadalīsies pa pašvaldību izglītības iestādēm un pa privātajām izglītības iestādēm.</w:t>
            </w:r>
          </w:p>
          <w:p w14:paraId="57BDFCB3" w14:textId="77777777" w:rsidR="005840BD" w:rsidRPr="00FE141C" w:rsidRDefault="005840BD" w:rsidP="00C348E6">
            <w:pPr>
              <w:spacing w:after="0" w:line="240" w:lineRule="auto"/>
              <w:jc w:val="both"/>
              <w:rPr>
                <w:rFonts w:ascii="Times New Roman" w:hAnsi="Times New Roman" w:cs="Times New Roman"/>
                <w:color w:val="000000" w:themeColor="text1"/>
                <w:sz w:val="26"/>
                <w:szCs w:val="26"/>
              </w:rPr>
            </w:pPr>
          </w:p>
          <w:p w14:paraId="1AB87428" w14:textId="53A45887" w:rsidR="009F5A23" w:rsidRDefault="00C348E6" w:rsidP="00C348E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Papildus norādām, ka 2015</w:t>
            </w:r>
            <w:r w:rsidR="009F5A23" w:rsidRPr="00FE141C">
              <w:rPr>
                <w:rFonts w:ascii="Times New Roman" w:hAnsi="Times New Roman" w:cs="Times New Roman"/>
                <w:color w:val="000000" w:themeColor="text1"/>
                <w:sz w:val="26"/>
                <w:szCs w:val="26"/>
              </w:rPr>
              <w:t>./201</w:t>
            </w:r>
            <w:r>
              <w:rPr>
                <w:rFonts w:ascii="Times New Roman" w:hAnsi="Times New Roman" w:cs="Times New Roman"/>
                <w:color w:val="000000" w:themeColor="text1"/>
                <w:sz w:val="26"/>
                <w:szCs w:val="26"/>
              </w:rPr>
              <w:t>6</w:t>
            </w:r>
            <w:r w:rsidR="009F5A23" w:rsidRPr="00FE141C">
              <w:rPr>
                <w:rFonts w:ascii="Times New Roman" w:hAnsi="Times New Roman" w:cs="Times New Roman"/>
                <w:color w:val="000000" w:themeColor="text1"/>
                <w:sz w:val="26"/>
                <w:szCs w:val="26"/>
              </w:rPr>
              <w:t xml:space="preserve">.mācību </w:t>
            </w:r>
            <w:r>
              <w:rPr>
                <w:rFonts w:ascii="Times New Roman" w:hAnsi="Times New Roman" w:cs="Times New Roman"/>
                <w:color w:val="000000" w:themeColor="text1"/>
                <w:sz w:val="26"/>
                <w:szCs w:val="26"/>
              </w:rPr>
              <w:t>pieteikušies pedagogi kvalitātes pakāpēm</w:t>
            </w:r>
            <w:r w:rsidR="009F5A23" w:rsidRPr="00FE141C">
              <w:rPr>
                <w:rFonts w:ascii="Times New Roman" w:hAnsi="Times New Roman" w:cs="Times New Roman"/>
                <w:color w:val="000000" w:themeColor="text1"/>
                <w:sz w:val="26"/>
                <w:szCs w:val="26"/>
              </w:rPr>
              <w:t>, kurām būtu jāparedz finansējums no 201</w:t>
            </w:r>
            <w:r>
              <w:rPr>
                <w:rFonts w:ascii="Times New Roman" w:hAnsi="Times New Roman" w:cs="Times New Roman"/>
                <w:color w:val="000000" w:themeColor="text1"/>
                <w:sz w:val="26"/>
                <w:szCs w:val="26"/>
              </w:rPr>
              <w:t>6</w:t>
            </w:r>
            <w:r w:rsidR="009F5A23" w:rsidRPr="00FE141C">
              <w:rPr>
                <w:rFonts w:ascii="Times New Roman" w:hAnsi="Times New Roman" w:cs="Times New Roman"/>
                <w:color w:val="000000" w:themeColor="text1"/>
                <w:sz w:val="26"/>
                <w:szCs w:val="26"/>
              </w:rPr>
              <w:t>.gada 1.septembra. Kvalitātes pakāpes ieguvuši:</w:t>
            </w:r>
          </w:p>
          <w:p w14:paraId="314CF0FB" w14:textId="34C7EE64" w:rsidR="009F5A23" w:rsidRPr="00FE141C" w:rsidRDefault="009F5A23" w:rsidP="00C348E6">
            <w:pPr>
              <w:spacing w:after="0" w:line="240" w:lineRule="auto"/>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 xml:space="preserve">3.pakāpe – </w:t>
            </w:r>
            <w:r w:rsidR="00C348E6">
              <w:rPr>
                <w:rFonts w:ascii="Times New Roman" w:hAnsi="Times New Roman" w:cs="Times New Roman"/>
                <w:color w:val="000000" w:themeColor="text1"/>
                <w:sz w:val="26"/>
                <w:szCs w:val="26"/>
              </w:rPr>
              <w:t>543</w:t>
            </w:r>
            <w:r w:rsidRPr="00FE141C">
              <w:rPr>
                <w:rFonts w:ascii="Times New Roman" w:hAnsi="Times New Roman" w:cs="Times New Roman"/>
                <w:color w:val="000000" w:themeColor="text1"/>
                <w:sz w:val="26"/>
                <w:szCs w:val="26"/>
              </w:rPr>
              <w:t xml:space="preserve"> pedagogi</w:t>
            </w:r>
          </w:p>
          <w:p w14:paraId="6FC5ADD7" w14:textId="3014A84A" w:rsidR="009F5A23" w:rsidRPr="00FE141C" w:rsidRDefault="00C348E6" w:rsidP="00C348E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4.pakāpe – 64</w:t>
            </w:r>
            <w:r w:rsidR="009F5A23" w:rsidRPr="00FE141C">
              <w:rPr>
                <w:rFonts w:ascii="Times New Roman" w:hAnsi="Times New Roman" w:cs="Times New Roman"/>
                <w:color w:val="000000" w:themeColor="text1"/>
                <w:sz w:val="26"/>
                <w:szCs w:val="26"/>
              </w:rPr>
              <w:t xml:space="preserve"> pedagogi</w:t>
            </w:r>
          </w:p>
          <w:p w14:paraId="0DAAF716" w14:textId="58F9E008" w:rsidR="009F5A23" w:rsidRPr="00FE141C" w:rsidRDefault="00C348E6" w:rsidP="00C348E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5.pakāpe – 47</w:t>
            </w:r>
            <w:r w:rsidR="009F5A23" w:rsidRPr="00FE141C">
              <w:rPr>
                <w:rFonts w:ascii="Times New Roman" w:hAnsi="Times New Roman" w:cs="Times New Roman"/>
                <w:color w:val="000000" w:themeColor="text1"/>
                <w:sz w:val="26"/>
                <w:szCs w:val="26"/>
              </w:rPr>
              <w:t xml:space="preserve"> pedagogi.</w:t>
            </w:r>
          </w:p>
          <w:p w14:paraId="72D5C2B5" w14:textId="77777777" w:rsidR="009F5A23" w:rsidRPr="00FE141C" w:rsidRDefault="009F5A23" w:rsidP="00C348E6">
            <w:pPr>
              <w:spacing w:after="0" w:line="240" w:lineRule="auto"/>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Aprēķinot papildus finansējumu pieņemam, ka katrs pedagogs teorētiski strādā vienu likmi:</w:t>
            </w:r>
          </w:p>
          <w:p w14:paraId="0D9B910B" w14:textId="77777777" w:rsidR="009F5A23" w:rsidRPr="00FE141C" w:rsidRDefault="009F5A23" w:rsidP="00C348E6">
            <w:pPr>
              <w:spacing w:after="0" w:line="240" w:lineRule="auto"/>
              <w:jc w:val="both"/>
              <w:rPr>
                <w:rFonts w:ascii="Times New Roman" w:hAnsi="Times New Roman" w:cs="Times New Roman"/>
                <w:color w:val="000000" w:themeColor="text1"/>
                <w:sz w:val="26"/>
                <w:szCs w:val="26"/>
                <w:u w:val="single"/>
              </w:rPr>
            </w:pPr>
            <w:r w:rsidRPr="00FE141C">
              <w:rPr>
                <w:rFonts w:ascii="Times New Roman" w:hAnsi="Times New Roman" w:cs="Times New Roman"/>
                <w:color w:val="000000" w:themeColor="text1"/>
                <w:sz w:val="26"/>
                <w:szCs w:val="26"/>
                <w:u w:val="single"/>
              </w:rPr>
              <w:t>Aprēķins:</w:t>
            </w:r>
          </w:p>
          <w:p w14:paraId="24180D11" w14:textId="77777777" w:rsidR="009F5A23" w:rsidRPr="00FE141C" w:rsidRDefault="009F5A23" w:rsidP="00C348E6">
            <w:pPr>
              <w:spacing w:after="0" w:line="240" w:lineRule="auto"/>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3.pakāpe</w:t>
            </w:r>
          </w:p>
          <w:p w14:paraId="49BA163F" w14:textId="41A6081D" w:rsidR="009F5A23" w:rsidRPr="00FE141C" w:rsidRDefault="00C348E6" w:rsidP="00C348E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543x45</w:t>
            </w:r>
            <w:r w:rsidR="009F5A23" w:rsidRPr="00FE141C">
              <w:rPr>
                <w:rFonts w:ascii="Times New Roman" w:hAnsi="Times New Roman" w:cs="Times New Roman"/>
                <w:color w:val="000000" w:themeColor="text1"/>
                <w:sz w:val="26"/>
                <w:szCs w:val="26"/>
              </w:rPr>
              <w:t>x1,2359x4=</w:t>
            </w:r>
            <w:r>
              <w:rPr>
                <w:rFonts w:ascii="Times New Roman" w:hAnsi="Times New Roman" w:cs="Times New Roman"/>
                <w:color w:val="000000" w:themeColor="text1"/>
                <w:sz w:val="26"/>
                <w:szCs w:val="26"/>
              </w:rPr>
              <w:t>120 797</w:t>
            </w:r>
            <w:r w:rsidR="009F5A23" w:rsidRPr="00FE141C">
              <w:rPr>
                <w:rFonts w:ascii="Times New Roman" w:hAnsi="Times New Roman" w:cs="Times New Roman"/>
                <w:color w:val="000000" w:themeColor="text1"/>
                <w:sz w:val="26"/>
                <w:szCs w:val="26"/>
              </w:rPr>
              <w:t xml:space="preserve"> </w:t>
            </w:r>
            <w:proofErr w:type="spellStart"/>
            <w:r w:rsidR="009F5A23" w:rsidRPr="00FE141C">
              <w:rPr>
                <w:rFonts w:ascii="Times New Roman" w:hAnsi="Times New Roman" w:cs="Times New Roman"/>
                <w:i/>
                <w:color w:val="000000" w:themeColor="text1"/>
                <w:sz w:val="26"/>
                <w:szCs w:val="26"/>
              </w:rPr>
              <w:t>euro</w:t>
            </w:r>
            <w:proofErr w:type="spellEnd"/>
            <w:r w:rsidR="009F5A23" w:rsidRPr="00FE141C">
              <w:rPr>
                <w:rFonts w:ascii="Times New Roman" w:hAnsi="Times New Roman" w:cs="Times New Roman"/>
                <w:color w:val="000000" w:themeColor="text1"/>
                <w:sz w:val="26"/>
                <w:szCs w:val="26"/>
              </w:rPr>
              <w:t xml:space="preserve"> (201</w:t>
            </w:r>
            <w:r>
              <w:rPr>
                <w:rFonts w:ascii="Times New Roman" w:hAnsi="Times New Roman" w:cs="Times New Roman"/>
                <w:color w:val="000000" w:themeColor="text1"/>
                <w:sz w:val="26"/>
                <w:szCs w:val="26"/>
              </w:rPr>
              <w:t>6</w:t>
            </w:r>
            <w:r w:rsidR="009F5A23" w:rsidRPr="00FE141C">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gada sept.-dec.), attiecīgi 2017</w:t>
            </w:r>
            <w:r w:rsidR="009F5A23" w:rsidRPr="00FE141C">
              <w:rPr>
                <w:rFonts w:ascii="Times New Roman" w:hAnsi="Times New Roman" w:cs="Times New Roman"/>
                <w:color w:val="000000" w:themeColor="text1"/>
                <w:sz w:val="26"/>
                <w:szCs w:val="26"/>
              </w:rPr>
              <w:t xml:space="preserve">.gadam – </w:t>
            </w:r>
            <w:r w:rsidR="00CF1E33">
              <w:rPr>
                <w:rFonts w:ascii="Times New Roman" w:hAnsi="Times New Roman" w:cs="Times New Roman"/>
                <w:color w:val="000000" w:themeColor="text1"/>
                <w:sz w:val="26"/>
                <w:szCs w:val="26"/>
              </w:rPr>
              <w:t>362 391</w:t>
            </w:r>
            <w:r w:rsidR="009F5A23" w:rsidRPr="00FE141C">
              <w:rPr>
                <w:rFonts w:ascii="Times New Roman" w:hAnsi="Times New Roman" w:cs="Times New Roman"/>
                <w:color w:val="000000" w:themeColor="text1"/>
                <w:sz w:val="26"/>
                <w:szCs w:val="26"/>
              </w:rPr>
              <w:t xml:space="preserve"> </w:t>
            </w:r>
            <w:proofErr w:type="spellStart"/>
            <w:r w:rsidR="009F5A23" w:rsidRPr="00FE141C">
              <w:rPr>
                <w:rFonts w:ascii="Times New Roman" w:hAnsi="Times New Roman" w:cs="Times New Roman"/>
                <w:i/>
                <w:color w:val="000000" w:themeColor="text1"/>
                <w:sz w:val="26"/>
                <w:szCs w:val="26"/>
              </w:rPr>
              <w:t>euro</w:t>
            </w:r>
            <w:proofErr w:type="spellEnd"/>
          </w:p>
          <w:p w14:paraId="02F45D43" w14:textId="77777777" w:rsidR="009F5A23" w:rsidRPr="00FE141C" w:rsidRDefault="009F5A23" w:rsidP="00C348E6">
            <w:pPr>
              <w:spacing w:after="0" w:line="240" w:lineRule="auto"/>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4.pakāpe</w:t>
            </w:r>
          </w:p>
          <w:p w14:paraId="73AA75CE" w14:textId="178E8995" w:rsidR="009F5A23" w:rsidRPr="00FE141C" w:rsidRDefault="00C348E6" w:rsidP="00C348E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64x114</w:t>
            </w:r>
            <w:r w:rsidR="009F5A23" w:rsidRPr="00FE141C">
              <w:rPr>
                <w:rFonts w:ascii="Times New Roman" w:hAnsi="Times New Roman" w:cs="Times New Roman"/>
                <w:color w:val="000000" w:themeColor="text1"/>
                <w:sz w:val="26"/>
                <w:szCs w:val="26"/>
              </w:rPr>
              <w:t>x1,2359x4=</w:t>
            </w:r>
            <w:r>
              <w:rPr>
                <w:rFonts w:ascii="Times New Roman" w:hAnsi="Times New Roman" w:cs="Times New Roman"/>
                <w:color w:val="000000" w:themeColor="text1"/>
                <w:sz w:val="26"/>
                <w:szCs w:val="26"/>
              </w:rPr>
              <w:t>36 069</w:t>
            </w:r>
            <w:r w:rsidR="009F5A23" w:rsidRPr="00FE141C">
              <w:rPr>
                <w:rFonts w:ascii="Times New Roman" w:hAnsi="Times New Roman" w:cs="Times New Roman"/>
                <w:color w:val="000000" w:themeColor="text1"/>
                <w:sz w:val="26"/>
                <w:szCs w:val="26"/>
              </w:rPr>
              <w:t xml:space="preserve"> </w:t>
            </w:r>
            <w:proofErr w:type="spellStart"/>
            <w:r w:rsidR="009F5A23" w:rsidRPr="00FE141C">
              <w:rPr>
                <w:rFonts w:ascii="Times New Roman" w:hAnsi="Times New Roman" w:cs="Times New Roman"/>
                <w:i/>
                <w:color w:val="000000" w:themeColor="text1"/>
                <w:sz w:val="26"/>
                <w:szCs w:val="26"/>
              </w:rPr>
              <w:t>euro</w:t>
            </w:r>
            <w:proofErr w:type="spellEnd"/>
            <w:r>
              <w:rPr>
                <w:rFonts w:ascii="Times New Roman" w:hAnsi="Times New Roman" w:cs="Times New Roman"/>
                <w:color w:val="000000" w:themeColor="text1"/>
                <w:sz w:val="26"/>
                <w:szCs w:val="26"/>
              </w:rPr>
              <w:t xml:space="preserve"> (2016</w:t>
            </w:r>
            <w:r w:rsidR="009F5A23" w:rsidRPr="00FE141C">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gada sept.-dec.), attiecīgi 2017</w:t>
            </w:r>
            <w:r w:rsidR="009F5A23" w:rsidRPr="00FE141C">
              <w:rPr>
                <w:rFonts w:ascii="Times New Roman" w:hAnsi="Times New Roman" w:cs="Times New Roman"/>
                <w:color w:val="000000" w:themeColor="text1"/>
                <w:sz w:val="26"/>
                <w:szCs w:val="26"/>
              </w:rPr>
              <w:t xml:space="preserve">.gadam – </w:t>
            </w:r>
            <w:r w:rsidR="00CF1E33">
              <w:rPr>
                <w:rFonts w:ascii="Times New Roman" w:hAnsi="Times New Roman" w:cs="Times New Roman"/>
                <w:color w:val="000000" w:themeColor="text1"/>
                <w:sz w:val="26"/>
                <w:szCs w:val="26"/>
              </w:rPr>
              <w:t>108 207</w:t>
            </w:r>
            <w:r w:rsidR="009F5A23" w:rsidRPr="00FE141C">
              <w:rPr>
                <w:rFonts w:ascii="Times New Roman" w:hAnsi="Times New Roman" w:cs="Times New Roman"/>
                <w:color w:val="000000" w:themeColor="text1"/>
                <w:sz w:val="26"/>
                <w:szCs w:val="26"/>
              </w:rPr>
              <w:t xml:space="preserve"> </w:t>
            </w:r>
            <w:proofErr w:type="spellStart"/>
            <w:r w:rsidR="009F5A23" w:rsidRPr="00FE141C">
              <w:rPr>
                <w:rFonts w:ascii="Times New Roman" w:hAnsi="Times New Roman" w:cs="Times New Roman"/>
                <w:i/>
                <w:color w:val="000000" w:themeColor="text1"/>
                <w:sz w:val="26"/>
                <w:szCs w:val="26"/>
              </w:rPr>
              <w:t>euro</w:t>
            </w:r>
            <w:proofErr w:type="spellEnd"/>
          </w:p>
          <w:p w14:paraId="6D764EF4" w14:textId="77777777" w:rsidR="009F5A23" w:rsidRPr="00FE141C" w:rsidRDefault="009F5A23" w:rsidP="00C348E6">
            <w:pPr>
              <w:spacing w:after="0" w:line="240" w:lineRule="auto"/>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5.pakāpe</w:t>
            </w:r>
          </w:p>
          <w:p w14:paraId="6EBFE5CB" w14:textId="7D8B1121" w:rsidR="009F5A23" w:rsidRPr="00FE141C" w:rsidRDefault="00C348E6" w:rsidP="00C348E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47x140</w:t>
            </w:r>
            <w:r w:rsidR="009F5A23" w:rsidRPr="00FE141C">
              <w:rPr>
                <w:rFonts w:ascii="Times New Roman" w:hAnsi="Times New Roman" w:cs="Times New Roman"/>
                <w:color w:val="000000" w:themeColor="text1"/>
                <w:sz w:val="26"/>
                <w:szCs w:val="26"/>
              </w:rPr>
              <w:t>x1,2359x4=</w:t>
            </w:r>
            <w:r>
              <w:rPr>
                <w:rFonts w:ascii="Times New Roman" w:hAnsi="Times New Roman" w:cs="Times New Roman"/>
                <w:color w:val="000000" w:themeColor="text1"/>
                <w:sz w:val="26"/>
                <w:szCs w:val="26"/>
              </w:rPr>
              <w:t>32 529</w:t>
            </w:r>
            <w:r w:rsidR="009F5A23" w:rsidRPr="00FE141C">
              <w:rPr>
                <w:rFonts w:ascii="Times New Roman" w:hAnsi="Times New Roman" w:cs="Times New Roman"/>
                <w:color w:val="000000" w:themeColor="text1"/>
                <w:sz w:val="26"/>
                <w:szCs w:val="26"/>
              </w:rPr>
              <w:t xml:space="preserve"> </w:t>
            </w:r>
            <w:proofErr w:type="spellStart"/>
            <w:r w:rsidR="009F5A23" w:rsidRPr="00FE141C">
              <w:rPr>
                <w:rFonts w:ascii="Times New Roman" w:hAnsi="Times New Roman" w:cs="Times New Roman"/>
                <w:i/>
                <w:color w:val="000000" w:themeColor="text1"/>
                <w:sz w:val="26"/>
                <w:szCs w:val="26"/>
              </w:rPr>
              <w:t>euro</w:t>
            </w:r>
            <w:proofErr w:type="spellEnd"/>
            <w:r>
              <w:rPr>
                <w:rFonts w:ascii="Times New Roman" w:hAnsi="Times New Roman" w:cs="Times New Roman"/>
                <w:color w:val="000000" w:themeColor="text1"/>
                <w:sz w:val="26"/>
                <w:szCs w:val="26"/>
              </w:rPr>
              <w:t xml:space="preserve"> (2016</w:t>
            </w:r>
            <w:r w:rsidR="009F5A23" w:rsidRPr="00FE141C">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gada sept.-dec.), attiecīgi 2017</w:t>
            </w:r>
            <w:r w:rsidR="009F5A23" w:rsidRPr="00FE141C">
              <w:rPr>
                <w:rFonts w:ascii="Times New Roman" w:hAnsi="Times New Roman" w:cs="Times New Roman"/>
                <w:color w:val="000000" w:themeColor="text1"/>
                <w:sz w:val="26"/>
                <w:szCs w:val="26"/>
              </w:rPr>
              <w:t xml:space="preserve">.gadam – </w:t>
            </w:r>
            <w:r>
              <w:rPr>
                <w:rFonts w:ascii="Times New Roman" w:hAnsi="Times New Roman" w:cs="Times New Roman"/>
                <w:color w:val="000000" w:themeColor="text1"/>
                <w:sz w:val="26"/>
                <w:szCs w:val="26"/>
              </w:rPr>
              <w:t>97 587</w:t>
            </w:r>
            <w:r w:rsidR="009F5A23" w:rsidRPr="00FE141C">
              <w:rPr>
                <w:rFonts w:ascii="Times New Roman" w:hAnsi="Times New Roman" w:cs="Times New Roman"/>
                <w:color w:val="000000" w:themeColor="text1"/>
                <w:sz w:val="26"/>
                <w:szCs w:val="26"/>
              </w:rPr>
              <w:t xml:space="preserve"> </w:t>
            </w:r>
            <w:proofErr w:type="spellStart"/>
            <w:r w:rsidR="009F5A23" w:rsidRPr="00FE141C">
              <w:rPr>
                <w:rFonts w:ascii="Times New Roman" w:hAnsi="Times New Roman" w:cs="Times New Roman"/>
                <w:i/>
                <w:color w:val="000000" w:themeColor="text1"/>
                <w:sz w:val="26"/>
                <w:szCs w:val="26"/>
              </w:rPr>
              <w:t>euro</w:t>
            </w:r>
            <w:proofErr w:type="spellEnd"/>
          </w:p>
          <w:p w14:paraId="00B3DD08" w14:textId="10383561" w:rsidR="00905E5F" w:rsidRPr="00FE141C" w:rsidRDefault="009F5A23" w:rsidP="00C348E6">
            <w:pPr>
              <w:spacing w:after="0" w:line="240" w:lineRule="auto"/>
              <w:jc w:val="both"/>
              <w:rPr>
                <w:rFonts w:ascii="Times New Roman" w:hAnsi="Times New Roman" w:cs="Times New Roman"/>
                <w:b/>
                <w:i/>
                <w:color w:val="000000" w:themeColor="text1"/>
                <w:sz w:val="26"/>
                <w:szCs w:val="26"/>
              </w:rPr>
            </w:pPr>
            <w:r w:rsidRPr="00FE141C">
              <w:rPr>
                <w:rFonts w:ascii="Times New Roman" w:hAnsi="Times New Roman" w:cs="Times New Roman"/>
                <w:b/>
                <w:color w:val="000000" w:themeColor="text1"/>
                <w:sz w:val="26"/>
                <w:szCs w:val="26"/>
              </w:rPr>
              <w:t xml:space="preserve">Papildus nepieciešamais finansējums </w:t>
            </w:r>
            <w:r w:rsidR="00C348E6">
              <w:rPr>
                <w:rFonts w:ascii="Times New Roman" w:hAnsi="Times New Roman" w:cs="Times New Roman"/>
                <w:b/>
                <w:color w:val="000000" w:themeColor="text1"/>
                <w:sz w:val="26"/>
                <w:szCs w:val="26"/>
              </w:rPr>
              <w:t>pedagogu kvalitātes pakāpēm 2016</w:t>
            </w:r>
            <w:r w:rsidRPr="00FE141C">
              <w:rPr>
                <w:rFonts w:ascii="Times New Roman" w:hAnsi="Times New Roman" w:cs="Times New Roman"/>
                <w:b/>
                <w:color w:val="000000" w:themeColor="text1"/>
                <w:sz w:val="26"/>
                <w:szCs w:val="26"/>
              </w:rPr>
              <w:t xml:space="preserve">.gada septembrim – decembrim </w:t>
            </w:r>
            <w:r w:rsidR="00C348E6">
              <w:rPr>
                <w:rFonts w:ascii="Times New Roman" w:hAnsi="Times New Roman" w:cs="Times New Roman"/>
                <w:b/>
                <w:color w:val="000000" w:themeColor="text1"/>
                <w:sz w:val="26"/>
                <w:szCs w:val="26"/>
              </w:rPr>
              <w:t>189 395</w:t>
            </w:r>
            <w:r w:rsidRPr="00FE141C">
              <w:rPr>
                <w:rFonts w:ascii="Times New Roman" w:hAnsi="Times New Roman" w:cs="Times New Roman"/>
                <w:b/>
                <w:color w:val="000000" w:themeColor="text1"/>
                <w:sz w:val="26"/>
                <w:szCs w:val="26"/>
              </w:rPr>
              <w:t xml:space="preserve"> </w:t>
            </w:r>
            <w:proofErr w:type="spellStart"/>
            <w:r w:rsidRPr="00FE141C">
              <w:rPr>
                <w:rFonts w:ascii="Times New Roman" w:hAnsi="Times New Roman" w:cs="Times New Roman"/>
                <w:b/>
                <w:i/>
                <w:color w:val="000000" w:themeColor="text1"/>
                <w:sz w:val="26"/>
                <w:szCs w:val="26"/>
              </w:rPr>
              <w:t>euro</w:t>
            </w:r>
            <w:proofErr w:type="spellEnd"/>
            <w:r w:rsidR="00C348E6">
              <w:rPr>
                <w:rFonts w:ascii="Times New Roman" w:hAnsi="Times New Roman" w:cs="Times New Roman"/>
                <w:b/>
                <w:color w:val="000000" w:themeColor="text1"/>
                <w:sz w:val="26"/>
                <w:szCs w:val="26"/>
              </w:rPr>
              <w:t>, 2017</w:t>
            </w:r>
            <w:r w:rsidRPr="00FE141C">
              <w:rPr>
                <w:rFonts w:ascii="Times New Roman" w:hAnsi="Times New Roman" w:cs="Times New Roman"/>
                <w:b/>
                <w:color w:val="000000" w:themeColor="text1"/>
                <w:sz w:val="26"/>
                <w:szCs w:val="26"/>
              </w:rPr>
              <w:t xml:space="preserve">.gadam </w:t>
            </w:r>
            <w:r w:rsidR="00C348E6">
              <w:rPr>
                <w:rFonts w:ascii="Times New Roman" w:hAnsi="Times New Roman" w:cs="Times New Roman"/>
                <w:b/>
                <w:i/>
                <w:color w:val="000000" w:themeColor="text1"/>
                <w:sz w:val="26"/>
                <w:szCs w:val="26"/>
              </w:rPr>
              <w:t>568 185</w:t>
            </w:r>
            <w:r w:rsidRPr="00FE141C">
              <w:rPr>
                <w:rFonts w:ascii="Times New Roman" w:hAnsi="Times New Roman" w:cs="Times New Roman"/>
                <w:b/>
                <w:i/>
                <w:color w:val="000000" w:themeColor="text1"/>
                <w:sz w:val="26"/>
                <w:szCs w:val="26"/>
              </w:rPr>
              <w:t xml:space="preserve"> </w:t>
            </w:r>
            <w:proofErr w:type="spellStart"/>
            <w:r w:rsidRPr="00FE141C">
              <w:rPr>
                <w:rFonts w:ascii="Times New Roman" w:hAnsi="Times New Roman" w:cs="Times New Roman"/>
                <w:b/>
                <w:i/>
                <w:color w:val="000000" w:themeColor="text1"/>
                <w:sz w:val="26"/>
                <w:szCs w:val="26"/>
              </w:rPr>
              <w:t>euro</w:t>
            </w:r>
            <w:proofErr w:type="spellEnd"/>
            <w:r w:rsidRPr="00FE141C">
              <w:rPr>
                <w:rFonts w:ascii="Times New Roman" w:hAnsi="Times New Roman" w:cs="Times New Roman"/>
                <w:b/>
                <w:i/>
                <w:color w:val="000000" w:themeColor="text1"/>
                <w:sz w:val="26"/>
                <w:szCs w:val="26"/>
              </w:rPr>
              <w:t>.</w:t>
            </w:r>
          </w:p>
          <w:p w14:paraId="740E382A" w14:textId="12061C5B" w:rsidR="00C348E6" w:rsidRPr="00602F1D" w:rsidRDefault="00C348E6" w:rsidP="00C348E6">
            <w:pPr>
              <w:spacing w:after="0" w:line="240" w:lineRule="auto"/>
              <w:jc w:val="both"/>
              <w:rPr>
                <w:rFonts w:ascii="Times New Roman" w:hAnsi="Times New Roman" w:cs="Times New Roman"/>
                <w:b/>
                <w:i/>
                <w:color w:val="000000" w:themeColor="text1"/>
                <w:sz w:val="26"/>
                <w:szCs w:val="26"/>
              </w:rPr>
            </w:pPr>
            <w:r w:rsidRPr="00FE141C">
              <w:rPr>
                <w:rFonts w:ascii="Times New Roman" w:hAnsi="Times New Roman" w:cs="Times New Roman"/>
                <w:b/>
                <w:color w:val="000000" w:themeColor="text1"/>
                <w:sz w:val="26"/>
                <w:szCs w:val="26"/>
              </w:rPr>
              <w:t xml:space="preserve">Kopējais papildu nepieciešamais finansējums, kas būtu nepieciešams saistībā ar izglītojamo skaita </w:t>
            </w:r>
            <w:r>
              <w:rPr>
                <w:rFonts w:ascii="Times New Roman" w:hAnsi="Times New Roman" w:cs="Times New Roman"/>
                <w:b/>
                <w:color w:val="000000" w:themeColor="text1"/>
                <w:sz w:val="26"/>
                <w:szCs w:val="26"/>
              </w:rPr>
              <w:t>izmaiņām</w:t>
            </w:r>
            <w:r w:rsidRPr="00FE141C">
              <w:rPr>
                <w:rFonts w:ascii="Times New Roman" w:hAnsi="Times New Roman" w:cs="Times New Roman"/>
                <w:b/>
                <w:color w:val="000000" w:themeColor="text1"/>
                <w:sz w:val="26"/>
                <w:szCs w:val="26"/>
              </w:rPr>
              <w:t xml:space="preserve">,  pedagogu kvalitātes piemaksām 2016.gadam </w:t>
            </w:r>
            <w:r w:rsidRPr="00FE141C">
              <w:rPr>
                <w:rFonts w:ascii="Times New Roman" w:hAnsi="Times New Roman" w:cs="Times New Roman"/>
                <w:b/>
                <w:i/>
                <w:color w:val="000000" w:themeColor="text1"/>
                <w:sz w:val="26"/>
                <w:szCs w:val="26"/>
              </w:rPr>
              <w:t xml:space="preserve">– </w:t>
            </w:r>
            <w:r w:rsidR="005A56A9">
              <w:rPr>
                <w:rFonts w:ascii="Times New Roman" w:hAnsi="Times New Roman" w:cs="Times New Roman"/>
                <w:b/>
                <w:i/>
                <w:color w:val="000000" w:themeColor="text1"/>
                <w:sz w:val="26"/>
                <w:szCs w:val="26"/>
              </w:rPr>
              <w:t>454 276</w:t>
            </w:r>
            <w:r w:rsidRPr="00FE141C">
              <w:rPr>
                <w:rFonts w:ascii="Times New Roman" w:hAnsi="Times New Roman" w:cs="Times New Roman"/>
                <w:b/>
                <w:i/>
                <w:color w:val="000000" w:themeColor="text1"/>
                <w:sz w:val="26"/>
                <w:szCs w:val="26"/>
              </w:rPr>
              <w:t xml:space="preserve"> </w:t>
            </w:r>
            <w:proofErr w:type="spellStart"/>
            <w:r w:rsidRPr="00FE141C">
              <w:rPr>
                <w:rFonts w:ascii="Times New Roman" w:hAnsi="Times New Roman" w:cs="Times New Roman"/>
                <w:b/>
                <w:i/>
                <w:color w:val="000000" w:themeColor="text1"/>
                <w:sz w:val="26"/>
                <w:szCs w:val="26"/>
              </w:rPr>
              <w:t>euro</w:t>
            </w:r>
            <w:proofErr w:type="spellEnd"/>
            <w:r w:rsidRPr="00FE141C">
              <w:rPr>
                <w:rFonts w:ascii="Times New Roman" w:hAnsi="Times New Roman" w:cs="Times New Roman"/>
                <w:b/>
                <w:color w:val="000000" w:themeColor="text1"/>
                <w:sz w:val="26"/>
                <w:szCs w:val="26"/>
              </w:rPr>
              <w:t>.</w:t>
            </w:r>
          </w:p>
          <w:p w14:paraId="77BDBD06" w14:textId="77777777" w:rsidR="00C348E6" w:rsidRPr="00FE141C" w:rsidRDefault="00C348E6" w:rsidP="00C348E6">
            <w:pPr>
              <w:spacing w:after="0" w:line="240" w:lineRule="auto"/>
              <w:jc w:val="both"/>
              <w:rPr>
                <w:rFonts w:ascii="Times New Roman" w:hAnsi="Times New Roman" w:cs="Times New Roman"/>
                <w:b/>
                <w:color w:val="000000" w:themeColor="text1"/>
                <w:sz w:val="26"/>
                <w:szCs w:val="26"/>
              </w:rPr>
            </w:pPr>
          </w:p>
          <w:p w14:paraId="578656A3" w14:textId="77777777" w:rsidR="00113D5B" w:rsidRDefault="00C348E6" w:rsidP="00C348E6">
            <w:pPr>
              <w:spacing w:line="240" w:lineRule="auto"/>
              <w:jc w:val="both"/>
              <w:rPr>
                <w:rFonts w:ascii="Times New Roman" w:hAnsi="Times New Roman"/>
                <w:color w:val="000000"/>
                <w:sz w:val="26"/>
                <w:szCs w:val="26"/>
              </w:rPr>
            </w:pPr>
            <w:r>
              <w:rPr>
                <w:rFonts w:ascii="Times New Roman" w:hAnsi="Times New Roman"/>
                <w:color w:val="000000"/>
                <w:sz w:val="26"/>
                <w:szCs w:val="26"/>
              </w:rPr>
              <w:t xml:space="preserve">Vēršam uzmanību, ka nepieciešams papildu finansējums privātajām izglītības iestādēm, lai nodrošinātu pedagogu darba samaksu un valsts sociālās apdrošināšanas obligātās iemaksas nemainīgā līmenī (ņemot vērā izglītojamo skaitu 2015.gada 1.septembrī) 2017.gadam – 2 033 306 </w:t>
            </w:r>
            <w:proofErr w:type="spellStart"/>
            <w:r>
              <w:rPr>
                <w:rFonts w:ascii="Times New Roman" w:hAnsi="Times New Roman"/>
                <w:color w:val="000000"/>
                <w:sz w:val="26"/>
                <w:szCs w:val="26"/>
              </w:rPr>
              <w:t>euro</w:t>
            </w:r>
            <w:proofErr w:type="spellEnd"/>
            <w:r>
              <w:rPr>
                <w:rFonts w:ascii="Times New Roman" w:hAnsi="Times New Roman"/>
                <w:color w:val="000000"/>
                <w:sz w:val="26"/>
                <w:szCs w:val="26"/>
              </w:rPr>
              <w:t>, attiecīgi arī 2018. un 2019.gadam.</w:t>
            </w:r>
          </w:p>
          <w:p w14:paraId="7F5789F6" w14:textId="241698D3" w:rsidR="00BE0EF2" w:rsidRDefault="00BE0EF2" w:rsidP="00BE0EF2">
            <w:pPr>
              <w:spacing w:line="240" w:lineRule="auto"/>
              <w:jc w:val="both"/>
              <w:rPr>
                <w:rFonts w:ascii="Times New Roman" w:hAnsi="Times New Roman"/>
                <w:color w:val="000000"/>
                <w:sz w:val="26"/>
                <w:szCs w:val="26"/>
              </w:rPr>
            </w:pPr>
            <w:r>
              <w:rPr>
                <w:rFonts w:ascii="Times New Roman" w:hAnsi="Times New Roman"/>
                <w:color w:val="000000"/>
                <w:sz w:val="26"/>
                <w:szCs w:val="26"/>
              </w:rPr>
              <w:t>Saskaņā ar VIIS pieejamo informāciju no pašvaldību budžetiem pedagogu darba samaksai tiek tarific</w:t>
            </w:r>
            <w:r w:rsidR="00363E52">
              <w:rPr>
                <w:rFonts w:ascii="Times New Roman" w:hAnsi="Times New Roman"/>
                <w:color w:val="000000"/>
                <w:sz w:val="26"/>
                <w:szCs w:val="26"/>
              </w:rPr>
              <w:t>ēts</w:t>
            </w:r>
            <w:r>
              <w:rPr>
                <w:rFonts w:ascii="Times New Roman" w:hAnsi="Times New Roman"/>
                <w:color w:val="000000"/>
                <w:sz w:val="26"/>
                <w:szCs w:val="26"/>
              </w:rPr>
              <w:t xml:space="preserve"> šāds finansējums: </w:t>
            </w:r>
          </w:p>
          <w:tbl>
            <w:tblPr>
              <w:tblW w:w="6845" w:type="dxa"/>
              <w:tblLayout w:type="fixed"/>
              <w:tblLook w:val="04A0" w:firstRow="1" w:lastRow="0" w:firstColumn="1" w:lastColumn="0" w:noHBand="0" w:noVBand="1"/>
            </w:tblPr>
            <w:tblGrid>
              <w:gridCol w:w="3964"/>
              <w:gridCol w:w="1418"/>
              <w:gridCol w:w="1463"/>
            </w:tblGrid>
            <w:tr w:rsidR="00BE0EF2" w:rsidRPr="00BE0EF2" w14:paraId="63C65F5A" w14:textId="77777777" w:rsidTr="006F2905">
              <w:trPr>
                <w:trHeight w:val="300"/>
              </w:trPr>
              <w:tc>
                <w:tcPr>
                  <w:tcW w:w="3964" w:type="dxa"/>
                  <w:vMerge w:val="restart"/>
                  <w:tcBorders>
                    <w:top w:val="single" w:sz="4" w:space="0" w:color="auto"/>
                    <w:left w:val="single" w:sz="4" w:space="0" w:color="auto"/>
                    <w:bottom w:val="single" w:sz="4" w:space="0" w:color="auto"/>
                    <w:right w:val="single" w:sz="4" w:space="0" w:color="auto"/>
                  </w:tcBorders>
                  <w:shd w:val="clear" w:color="DDEBF7" w:fill="D9D9D9"/>
                  <w:noWrap/>
                  <w:vAlign w:val="center"/>
                  <w:hideMark/>
                </w:tcPr>
                <w:p w14:paraId="5C5498E7" w14:textId="77777777" w:rsidR="00BE0EF2" w:rsidRPr="00BE0EF2" w:rsidRDefault="00BE0EF2" w:rsidP="00BE0EF2">
                  <w:pPr>
                    <w:spacing w:after="0" w:line="240" w:lineRule="auto"/>
                    <w:jc w:val="center"/>
                    <w:rPr>
                      <w:rFonts w:ascii="Times New Roman" w:eastAsia="Times New Roman" w:hAnsi="Times New Roman" w:cs="Times New Roman"/>
                      <w:b/>
                      <w:bCs/>
                      <w:color w:val="000000"/>
                      <w:lang w:eastAsia="lv-LV"/>
                    </w:rPr>
                  </w:pPr>
                  <w:r w:rsidRPr="00BE0EF2">
                    <w:rPr>
                      <w:rFonts w:ascii="Times New Roman" w:eastAsia="Times New Roman" w:hAnsi="Times New Roman" w:cs="Times New Roman"/>
                      <w:b/>
                      <w:bCs/>
                      <w:color w:val="000000"/>
                      <w:lang w:eastAsia="lv-LV"/>
                    </w:rPr>
                    <w:t>Iestādes veids/ iestādes tips</w:t>
                  </w:r>
                </w:p>
              </w:tc>
              <w:tc>
                <w:tcPr>
                  <w:tcW w:w="2881" w:type="dxa"/>
                  <w:gridSpan w:val="2"/>
                  <w:tcBorders>
                    <w:top w:val="single" w:sz="4" w:space="0" w:color="auto"/>
                    <w:left w:val="nil"/>
                    <w:bottom w:val="single" w:sz="4" w:space="0" w:color="auto"/>
                    <w:right w:val="single" w:sz="4" w:space="0" w:color="auto"/>
                  </w:tcBorders>
                  <w:shd w:val="clear" w:color="DDEBF7" w:fill="D9D9D9"/>
                  <w:vAlign w:val="center"/>
                  <w:hideMark/>
                </w:tcPr>
                <w:p w14:paraId="347ABD8B" w14:textId="77777777" w:rsidR="00BE0EF2" w:rsidRPr="00BE0EF2" w:rsidRDefault="00BE0EF2" w:rsidP="00BE0EF2">
                  <w:pPr>
                    <w:spacing w:after="0" w:line="240" w:lineRule="auto"/>
                    <w:jc w:val="center"/>
                    <w:rPr>
                      <w:rFonts w:ascii="Times New Roman" w:eastAsia="Times New Roman" w:hAnsi="Times New Roman" w:cs="Times New Roman"/>
                      <w:b/>
                      <w:bCs/>
                      <w:color w:val="000000"/>
                      <w:lang w:eastAsia="lv-LV"/>
                    </w:rPr>
                  </w:pPr>
                  <w:r w:rsidRPr="00BE0EF2">
                    <w:rPr>
                      <w:rFonts w:ascii="Times New Roman" w:eastAsia="Times New Roman" w:hAnsi="Times New Roman" w:cs="Times New Roman"/>
                      <w:b/>
                      <w:bCs/>
                      <w:color w:val="000000"/>
                      <w:lang w:eastAsia="lv-LV"/>
                    </w:rPr>
                    <w:t xml:space="preserve"> Finansējums  algām (ar piemaksām) ar VSAOI</w:t>
                  </w:r>
                </w:p>
              </w:tc>
            </w:tr>
            <w:tr w:rsidR="00BE0EF2" w:rsidRPr="00BE0EF2" w14:paraId="4D5F3A64" w14:textId="77777777" w:rsidTr="006F2905">
              <w:trPr>
                <w:trHeight w:val="30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4C44E213" w14:textId="77777777" w:rsidR="00BE0EF2" w:rsidRPr="00BE0EF2" w:rsidRDefault="00BE0EF2" w:rsidP="00BE0EF2">
                  <w:pPr>
                    <w:spacing w:after="0" w:line="240" w:lineRule="auto"/>
                    <w:rPr>
                      <w:rFonts w:ascii="Times New Roman" w:eastAsia="Times New Roman" w:hAnsi="Times New Roman" w:cs="Times New Roman"/>
                      <w:b/>
                      <w:bCs/>
                      <w:color w:val="000000"/>
                      <w:lang w:eastAsia="lv-LV"/>
                    </w:rPr>
                  </w:pPr>
                </w:p>
              </w:tc>
              <w:tc>
                <w:tcPr>
                  <w:tcW w:w="1418" w:type="dxa"/>
                  <w:tcBorders>
                    <w:top w:val="nil"/>
                    <w:left w:val="nil"/>
                    <w:bottom w:val="single" w:sz="4" w:space="0" w:color="auto"/>
                    <w:right w:val="single" w:sz="4" w:space="0" w:color="auto"/>
                  </w:tcBorders>
                  <w:shd w:val="clear" w:color="000000" w:fill="D9D9D9"/>
                  <w:noWrap/>
                  <w:vAlign w:val="center"/>
                  <w:hideMark/>
                </w:tcPr>
                <w:p w14:paraId="09A1DFB4" w14:textId="77777777" w:rsidR="00BE0EF2" w:rsidRPr="00BE0EF2" w:rsidRDefault="00BE0EF2" w:rsidP="00BE0EF2">
                  <w:pPr>
                    <w:spacing w:after="0" w:line="240" w:lineRule="auto"/>
                    <w:jc w:val="center"/>
                    <w:rPr>
                      <w:rFonts w:ascii="Times New Roman" w:eastAsia="Times New Roman" w:hAnsi="Times New Roman" w:cs="Times New Roman"/>
                      <w:b/>
                      <w:bCs/>
                      <w:color w:val="000000"/>
                      <w:lang w:eastAsia="lv-LV"/>
                    </w:rPr>
                  </w:pPr>
                  <w:r w:rsidRPr="00BE0EF2">
                    <w:rPr>
                      <w:rFonts w:ascii="Times New Roman" w:eastAsia="Times New Roman" w:hAnsi="Times New Roman" w:cs="Times New Roman"/>
                      <w:b/>
                      <w:bCs/>
                      <w:color w:val="000000"/>
                      <w:lang w:eastAsia="lv-LV"/>
                    </w:rPr>
                    <w:t>Mēnesī</w:t>
                  </w:r>
                </w:p>
              </w:tc>
              <w:tc>
                <w:tcPr>
                  <w:tcW w:w="1463" w:type="dxa"/>
                  <w:tcBorders>
                    <w:top w:val="nil"/>
                    <w:left w:val="nil"/>
                    <w:bottom w:val="single" w:sz="4" w:space="0" w:color="auto"/>
                    <w:right w:val="single" w:sz="4" w:space="0" w:color="auto"/>
                  </w:tcBorders>
                  <w:shd w:val="clear" w:color="DDEBF7" w:fill="D9D9D9"/>
                  <w:vAlign w:val="center"/>
                  <w:hideMark/>
                </w:tcPr>
                <w:p w14:paraId="220FA5FA" w14:textId="77777777" w:rsidR="00BE0EF2" w:rsidRPr="00BE0EF2" w:rsidRDefault="00BE0EF2" w:rsidP="00BE0EF2">
                  <w:pPr>
                    <w:spacing w:after="0" w:line="240" w:lineRule="auto"/>
                    <w:jc w:val="center"/>
                    <w:rPr>
                      <w:rFonts w:ascii="Times New Roman" w:eastAsia="Times New Roman" w:hAnsi="Times New Roman" w:cs="Times New Roman"/>
                      <w:b/>
                      <w:bCs/>
                      <w:color w:val="000000"/>
                      <w:lang w:eastAsia="lv-LV"/>
                    </w:rPr>
                  </w:pPr>
                  <w:r w:rsidRPr="00BE0EF2">
                    <w:rPr>
                      <w:rFonts w:ascii="Times New Roman" w:eastAsia="Times New Roman" w:hAnsi="Times New Roman" w:cs="Times New Roman"/>
                      <w:b/>
                      <w:bCs/>
                      <w:color w:val="000000"/>
                      <w:lang w:eastAsia="lv-LV"/>
                    </w:rPr>
                    <w:t>Gadā</w:t>
                  </w:r>
                </w:p>
              </w:tc>
            </w:tr>
            <w:tr w:rsidR="00BE0EF2" w:rsidRPr="00BE0EF2" w14:paraId="71B647EF" w14:textId="77777777" w:rsidTr="006F290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3A49249" w14:textId="45620FDC" w:rsidR="00BE0EF2" w:rsidRPr="00BE0EF2" w:rsidRDefault="00057E49" w:rsidP="00BE0EF2">
                  <w:pPr>
                    <w:spacing w:after="0" w:line="240" w:lineRule="auto"/>
                    <w:rPr>
                      <w:rFonts w:ascii="Times New Roman" w:eastAsia="Times New Roman" w:hAnsi="Times New Roman" w:cs="Times New Roman"/>
                      <w:bCs/>
                      <w:color w:val="000000"/>
                      <w:lang w:eastAsia="lv-LV"/>
                    </w:rPr>
                  </w:pPr>
                  <w:r w:rsidRPr="00057E49">
                    <w:rPr>
                      <w:rFonts w:ascii="Times New Roman" w:eastAsia="Times New Roman" w:hAnsi="Times New Roman" w:cs="Times New Roman"/>
                      <w:bCs/>
                      <w:color w:val="000000"/>
                      <w:lang w:eastAsia="lv-LV"/>
                    </w:rPr>
                    <w:t>Interešu izglītības finansējums</w:t>
                  </w:r>
                </w:p>
              </w:tc>
              <w:tc>
                <w:tcPr>
                  <w:tcW w:w="1418" w:type="dxa"/>
                  <w:tcBorders>
                    <w:top w:val="nil"/>
                    <w:left w:val="nil"/>
                    <w:bottom w:val="single" w:sz="4" w:space="0" w:color="auto"/>
                    <w:right w:val="single" w:sz="4" w:space="0" w:color="auto"/>
                  </w:tcBorders>
                  <w:shd w:val="clear" w:color="auto" w:fill="auto"/>
                  <w:noWrap/>
                  <w:vAlign w:val="bottom"/>
                  <w:hideMark/>
                </w:tcPr>
                <w:p w14:paraId="7B8CC213" w14:textId="5A7AE0C4" w:rsidR="00BE0EF2" w:rsidRPr="00BE0EF2" w:rsidRDefault="00BE0EF2" w:rsidP="00057E49">
                  <w:pPr>
                    <w:spacing w:after="0" w:line="240" w:lineRule="auto"/>
                    <w:jc w:val="right"/>
                    <w:rPr>
                      <w:rFonts w:ascii="Times New Roman" w:eastAsia="Times New Roman" w:hAnsi="Times New Roman" w:cs="Times New Roman"/>
                      <w:bCs/>
                      <w:color w:val="000000"/>
                      <w:lang w:eastAsia="lv-LV"/>
                    </w:rPr>
                  </w:pPr>
                  <w:r w:rsidRPr="00BE0EF2">
                    <w:rPr>
                      <w:rFonts w:ascii="Times New Roman" w:eastAsia="Times New Roman" w:hAnsi="Times New Roman" w:cs="Times New Roman"/>
                      <w:bCs/>
                      <w:color w:val="000000"/>
                      <w:lang w:eastAsia="lv-LV"/>
                    </w:rPr>
                    <w:t xml:space="preserve">        </w:t>
                  </w:r>
                  <w:r w:rsidR="00057E49">
                    <w:rPr>
                      <w:rFonts w:ascii="Times New Roman" w:eastAsia="Times New Roman" w:hAnsi="Times New Roman" w:cs="Times New Roman"/>
                      <w:bCs/>
                      <w:color w:val="000000"/>
                      <w:lang w:eastAsia="lv-LV"/>
                    </w:rPr>
                    <w:t>550 927</w:t>
                  </w:r>
                  <w:r w:rsidRPr="00BE0EF2">
                    <w:rPr>
                      <w:rFonts w:ascii="Times New Roman" w:eastAsia="Times New Roman" w:hAnsi="Times New Roman" w:cs="Times New Roman"/>
                      <w:bCs/>
                      <w:color w:val="000000"/>
                      <w:lang w:eastAsia="lv-LV"/>
                    </w:rPr>
                    <w:t xml:space="preserve"> </w:t>
                  </w:r>
                </w:p>
              </w:tc>
              <w:tc>
                <w:tcPr>
                  <w:tcW w:w="1463" w:type="dxa"/>
                  <w:tcBorders>
                    <w:top w:val="nil"/>
                    <w:left w:val="nil"/>
                    <w:bottom w:val="single" w:sz="4" w:space="0" w:color="auto"/>
                    <w:right w:val="single" w:sz="4" w:space="0" w:color="auto"/>
                  </w:tcBorders>
                  <w:shd w:val="clear" w:color="auto" w:fill="auto"/>
                  <w:noWrap/>
                  <w:vAlign w:val="bottom"/>
                  <w:hideMark/>
                </w:tcPr>
                <w:p w14:paraId="61FE3EA6" w14:textId="745AD2D0" w:rsidR="00BE0EF2" w:rsidRPr="00BE0EF2" w:rsidRDefault="00057E49" w:rsidP="00BE0EF2">
                  <w:pPr>
                    <w:spacing w:after="0" w:line="240" w:lineRule="auto"/>
                    <w:jc w:val="right"/>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6 611 124</w:t>
                  </w:r>
                  <w:r w:rsidR="00BE0EF2" w:rsidRPr="00BE0EF2">
                    <w:rPr>
                      <w:rFonts w:ascii="Times New Roman" w:eastAsia="Times New Roman" w:hAnsi="Times New Roman" w:cs="Times New Roman"/>
                      <w:bCs/>
                      <w:color w:val="000000"/>
                      <w:lang w:eastAsia="lv-LV"/>
                    </w:rPr>
                    <w:t xml:space="preserve"> </w:t>
                  </w:r>
                </w:p>
              </w:tc>
            </w:tr>
            <w:tr w:rsidR="00BE0EF2" w:rsidRPr="00BE0EF2" w14:paraId="66F4C1EE" w14:textId="77777777" w:rsidTr="006F290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8F28FA9" w14:textId="4A41100C" w:rsidR="00BE0EF2" w:rsidRPr="00BE0EF2" w:rsidRDefault="00057E49" w:rsidP="00BE0EF2">
                  <w:pPr>
                    <w:spacing w:after="0" w:line="240" w:lineRule="auto"/>
                    <w:rPr>
                      <w:rFonts w:ascii="Times New Roman" w:eastAsia="Times New Roman" w:hAnsi="Times New Roman" w:cs="Times New Roman"/>
                      <w:bCs/>
                      <w:color w:val="000000"/>
                      <w:lang w:eastAsia="lv-LV"/>
                    </w:rPr>
                  </w:pPr>
                  <w:r w:rsidRPr="00057E49">
                    <w:rPr>
                      <w:rFonts w:ascii="Times New Roman" w:eastAsia="Times New Roman" w:hAnsi="Times New Roman" w:cs="Times New Roman"/>
                      <w:bCs/>
                      <w:color w:val="000000"/>
                      <w:lang w:eastAsia="lv-LV"/>
                    </w:rPr>
                    <w:t>Pirmsskolu finansējums</w:t>
                  </w:r>
                </w:p>
              </w:tc>
              <w:tc>
                <w:tcPr>
                  <w:tcW w:w="1418" w:type="dxa"/>
                  <w:tcBorders>
                    <w:top w:val="nil"/>
                    <w:left w:val="nil"/>
                    <w:bottom w:val="single" w:sz="4" w:space="0" w:color="auto"/>
                    <w:right w:val="single" w:sz="4" w:space="0" w:color="auto"/>
                  </w:tcBorders>
                  <w:shd w:val="clear" w:color="auto" w:fill="auto"/>
                  <w:noWrap/>
                  <w:vAlign w:val="bottom"/>
                  <w:hideMark/>
                </w:tcPr>
                <w:p w14:paraId="0C7E3FB5" w14:textId="6A3CB908" w:rsidR="00BE0EF2" w:rsidRPr="00BE0EF2" w:rsidRDefault="00057E49" w:rsidP="00BE0EF2">
                  <w:pPr>
                    <w:spacing w:after="0" w:line="240" w:lineRule="auto"/>
                    <w:jc w:val="right"/>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5 367 140</w:t>
                  </w:r>
                  <w:r w:rsidR="00BE0EF2" w:rsidRPr="00BE0EF2">
                    <w:rPr>
                      <w:rFonts w:ascii="Times New Roman" w:eastAsia="Times New Roman" w:hAnsi="Times New Roman" w:cs="Times New Roman"/>
                      <w:bCs/>
                      <w:color w:val="000000"/>
                      <w:lang w:eastAsia="lv-LV"/>
                    </w:rPr>
                    <w:t xml:space="preserve"> </w:t>
                  </w:r>
                </w:p>
              </w:tc>
              <w:tc>
                <w:tcPr>
                  <w:tcW w:w="1463" w:type="dxa"/>
                  <w:tcBorders>
                    <w:top w:val="nil"/>
                    <w:left w:val="nil"/>
                    <w:bottom w:val="single" w:sz="4" w:space="0" w:color="auto"/>
                    <w:right w:val="single" w:sz="4" w:space="0" w:color="auto"/>
                  </w:tcBorders>
                  <w:shd w:val="clear" w:color="auto" w:fill="auto"/>
                  <w:noWrap/>
                  <w:vAlign w:val="bottom"/>
                  <w:hideMark/>
                </w:tcPr>
                <w:p w14:paraId="625EB93A" w14:textId="23953BEA" w:rsidR="00BE0EF2" w:rsidRPr="00BE0EF2" w:rsidRDefault="00057E49" w:rsidP="00BE0EF2">
                  <w:pPr>
                    <w:spacing w:after="0" w:line="240" w:lineRule="auto"/>
                    <w:jc w:val="right"/>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64 405 680</w:t>
                  </w:r>
                  <w:r w:rsidR="00BE0EF2" w:rsidRPr="00BE0EF2">
                    <w:rPr>
                      <w:rFonts w:ascii="Times New Roman" w:eastAsia="Times New Roman" w:hAnsi="Times New Roman" w:cs="Times New Roman"/>
                      <w:bCs/>
                      <w:color w:val="000000"/>
                      <w:lang w:eastAsia="lv-LV"/>
                    </w:rPr>
                    <w:t xml:space="preserve"> </w:t>
                  </w:r>
                </w:p>
              </w:tc>
            </w:tr>
            <w:tr w:rsidR="00BE0EF2" w:rsidRPr="00BE0EF2" w14:paraId="23F271E3" w14:textId="77777777" w:rsidTr="006F290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6C0BBD3" w14:textId="417716AB" w:rsidR="00BE0EF2" w:rsidRPr="00BE0EF2" w:rsidRDefault="00057E49" w:rsidP="00BE0EF2">
                  <w:pPr>
                    <w:spacing w:after="0" w:line="240" w:lineRule="auto"/>
                    <w:rPr>
                      <w:rFonts w:ascii="Times New Roman" w:eastAsia="Times New Roman" w:hAnsi="Times New Roman" w:cs="Times New Roman"/>
                      <w:bCs/>
                      <w:color w:val="000000"/>
                      <w:lang w:eastAsia="lv-LV"/>
                    </w:rPr>
                  </w:pPr>
                  <w:r w:rsidRPr="00057E49">
                    <w:rPr>
                      <w:rFonts w:ascii="Times New Roman" w:eastAsia="Times New Roman" w:hAnsi="Times New Roman" w:cs="Times New Roman"/>
                      <w:bCs/>
                      <w:color w:val="000000"/>
                      <w:lang w:eastAsia="lv-LV"/>
                    </w:rPr>
                    <w:t>Profesionālās ievirzes finansējums</w:t>
                  </w:r>
                </w:p>
              </w:tc>
              <w:tc>
                <w:tcPr>
                  <w:tcW w:w="1418" w:type="dxa"/>
                  <w:tcBorders>
                    <w:top w:val="nil"/>
                    <w:left w:val="nil"/>
                    <w:bottom w:val="single" w:sz="4" w:space="0" w:color="auto"/>
                    <w:right w:val="single" w:sz="4" w:space="0" w:color="auto"/>
                  </w:tcBorders>
                  <w:shd w:val="clear" w:color="auto" w:fill="auto"/>
                  <w:noWrap/>
                  <w:vAlign w:val="bottom"/>
                  <w:hideMark/>
                </w:tcPr>
                <w:p w14:paraId="3AF26ADD" w14:textId="689DF885" w:rsidR="00BE0EF2" w:rsidRPr="00BE0EF2" w:rsidRDefault="00057E49" w:rsidP="00BE0EF2">
                  <w:pPr>
                    <w:spacing w:after="0" w:line="240" w:lineRule="auto"/>
                    <w:jc w:val="right"/>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723 003</w:t>
                  </w:r>
                  <w:r w:rsidR="00BE0EF2" w:rsidRPr="00BE0EF2">
                    <w:rPr>
                      <w:rFonts w:ascii="Times New Roman" w:eastAsia="Times New Roman" w:hAnsi="Times New Roman" w:cs="Times New Roman"/>
                      <w:bCs/>
                      <w:color w:val="000000"/>
                      <w:lang w:eastAsia="lv-LV"/>
                    </w:rPr>
                    <w:t xml:space="preserve"> </w:t>
                  </w:r>
                </w:p>
              </w:tc>
              <w:tc>
                <w:tcPr>
                  <w:tcW w:w="1463" w:type="dxa"/>
                  <w:tcBorders>
                    <w:top w:val="nil"/>
                    <w:left w:val="nil"/>
                    <w:bottom w:val="single" w:sz="4" w:space="0" w:color="auto"/>
                    <w:right w:val="single" w:sz="4" w:space="0" w:color="auto"/>
                  </w:tcBorders>
                  <w:shd w:val="clear" w:color="auto" w:fill="auto"/>
                  <w:noWrap/>
                  <w:vAlign w:val="bottom"/>
                  <w:hideMark/>
                </w:tcPr>
                <w:p w14:paraId="00FA78A1" w14:textId="4374A95A" w:rsidR="00BE0EF2" w:rsidRPr="00BE0EF2" w:rsidRDefault="00057E49" w:rsidP="00BE0EF2">
                  <w:pPr>
                    <w:spacing w:after="0" w:line="240" w:lineRule="auto"/>
                    <w:jc w:val="right"/>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8 676 036</w:t>
                  </w:r>
                  <w:r w:rsidR="00BE0EF2" w:rsidRPr="00BE0EF2">
                    <w:rPr>
                      <w:rFonts w:ascii="Times New Roman" w:eastAsia="Times New Roman" w:hAnsi="Times New Roman" w:cs="Times New Roman"/>
                      <w:bCs/>
                      <w:color w:val="000000"/>
                      <w:lang w:eastAsia="lv-LV"/>
                    </w:rPr>
                    <w:t xml:space="preserve"> </w:t>
                  </w:r>
                </w:p>
              </w:tc>
            </w:tr>
            <w:tr w:rsidR="00BE0EF2" w:rsidRPr="00BE0EF2" w14:paraId="4FE9C8D4" w14:textId="77777777" w:rsidTr="006F290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707CA30" w14:textId="22E79ED5" w:rsidR="00BE0EF2" w:rsidRPr="00BE0EF2" w:rsidRDefault="00057E49" w:rsidP="00BE0EF2">
                  <w:pPr>
                    <w:spacing w:after="0" w:line="240" w:lineRule="auto"/>
                    <w:rPr>
                      <w:rFonts w:ascii="Times New Roman" w:eastAsia="Times New Roman" w:hAnsi="Times New Roman" w:cs="Times New Roman"/>
                      <w:bCs/>
                      <w:color w:val="000000"/>
                      <w:lang w:eastAsia="lv-LV"/>
                    </w:rPr>
                  </w:pPr>
                  <w:r w:rsidRPr="00057E49">
                    <w:rPr>
                      <w:rFonts w:ascii="Times New Roman" w:eastAsia="Times New Roman" w:hAnsi="Times New Roman" w:cs="Times New Roman"/>
                      <w:bCs/>
                      <w:color w:val="000000"/>
                      <w:lang w:eastAsia="lv-LV"/>
                    </w:rPr>
                    <w:t>Vispārējo un profesionālo skolu finansējums</w:t>
                  </w:r>
                </w:p>
              </w:tc>
              <w:tc>
                <w:tcPr>
                  <w:tcW w:w="1418" w:type="dxa"/>
                  <w:tcBorders>
                    <w:top w:val="nil"/>
                    <w:left w:val="nil"/>
                    <w:bottom w:val="single" w:sz="4" w:space="0" w:color="auto"/>
                    <w:right w:val="single" w:sz="4" w:space="0" w:color="auto"/>
                  </w:tcBorders>
                  <w:shd w:val="clear" w:color="auto" w:fill="auto"/>
                  <w:noWrap/>
                  <w:vAlign w:val="bottom"/>
                  <w:hideMark/>
                </w:tcPr>
                <w:p w14:paraId="70E465AB" w14:textId="5F155385" w:rsidR="00BE0EF2" w:rsidRPr="00BE0EF2" w:rsidRDefault="00057E49" w:rsidP="00BE0EF2">
                  <w:pPr>
                    <w:spacing w:after="0" w:line="240" w:lineRule="auto"/>
                    <w:jc w:val="right"/>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1 208 936</w:t>
                  </w:r>
                  <w:r w:rsidR="00BE0EF2" w:rsidRPr="00BE0EF2">
                    <w:rPr>
                      <w:rFonts w:ascii="Times New Roman" w:eastAsia="Times New Roman" w:hAnsi="Times New Roman" w:cs="Times New Roman"/>
                      <w:bCs/>
                      <w:color w:val="000000"/>
                      <w:lang w:eastAsia="lv-LV"/>
                    </w:rPr>
                    <w:t xml:space="preserve"> </w:t>
                  </w:r>
                </w:p>
              </w:tc>
              <w:tc>
                <w:tcPr>
                  <w:tcW w:w="1463" w:type="dxa"/>
                  <w:tcBorders>
                    <w:top w:val="nil"/>
                    <w:left w:val="nil"/>
                    <w:bottom w:val="single" w:sz="4" w:space="0" w:color="auto"/>
                    <w:right w:val="single" w:sz="4" w:space="0" w:color="auto"/>
                  </w:tcBorders>
                  <w:shd w:val="clear" w:color="auto" w:fill="auto"/>
                  <w:noWrap/>
                  <w:vAlign w:val="bottom"/>
                  <w:hideMark/>
                </w:tcPr>
                <w:p w14:paraId="051D4B98" w14:textId="277747B1" w:rsidR="00BE0EF2" w:rsidRPr="00BE0EF2" w:rsidRDefault="00BE0EF2" w:rsidP="00057E49">
                  <w:pPr>
                    <w:spacing w:after="0" w:line="240" w:lineRule="auto"/>
                    <w:jc w:val="right"/>
                    <w:rPr>
                      <w:rFonts w:ascii="Times New Roman" w:eastAsia="Times New Roman" w:hAnsi="Times New Roman" w:cs="Times New Roman"/>
                      <w:bCs/>
                      <w:color w:val="000000"/>
                      <w:lang w:eastAsia="lv-LV"/>
                    </w:rPr>
                  </w:pPr>
                  <w:r w:rsidRPr="00BE0EF2">
                    <w:rPr>
                      <w:rFonts w:ascii="Times New Roman" w:eastAsia="Times New Roman" w:hAnsi="Times New Roman" w:cs="Times New Roman"/>
                      <w:bCs/>
                      <w:color w:val="000000"/>
                      <w:lang w:eastAsia="lv-LV"/>
                    </w:rPr>
                    <w:t xml:space="preserve">   </w:t>
                  </w:r>
                  <w:r w:rsidR="00057E49">
                    <w:rPr>
                      <w:rFonts w:ascii="Times New Roman" w:eastAsia="Times New Roman" w:hAnsi="Times New Roman" w:cs="Times New Roman"/>
                      <w:bCs/>
                      <w:color w:val="000000"/>
                      <w:lang w:eastAsia="lv-LV"/>
                    </w:rPr>
                    <w:t>14 507 232</w:t>
                  </w:r>
                  <w:r w:rsidRPr="00BE0EF2">
                    <w:rPr>
                      <w:rFonts w:ascii="Times New Roman" w:eastAsia="Times New Roman" w:hAnsi="Times New Roman" w:cs="Times New Roman"/>
                      <w:bCs/>
                      <w:color w:val="000000"/>
                      <w:lang w:eastAsia="lv-LV"/>
                    </w:rPr>
                    <w:t xml:space="preserve"> </w:t>
                  </w:r>
                </w:p>
              </w:tc>
            </w:tr>
            <w:tr w:rsidR="00BE0EF2" w:rsidRPr="00BE0EF2" w14:paraId="6205778E" w14:textId="77777777" w:rsidTr="006F290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6CA5936" w14:textId="77777777" w:rsidR="00BE0EF2" w:rsidRPr="00BE0EF2" w:rsidRDefault="00BE0EF2" w:rsidP="00BE0EF2">
                  <w:pPr>
                    <w:spacing w:after="0" w:line="240" w:lineRule="auto"/>
                    <w:rPr>
                      <w:rFonts w:ascii="Times New Roman" w:eastAsia="Times New Roman" w:hAnsi="Times New Roman" w:cs="Times New Roman"/>
                      <w:b/>
                      <w:bCs/>
                      <w:color w:val="000000"/>
                      <w:lang w:eastAsia="lv-LV"/>
                    </w:rPr>
                  </w:pPr>
                  <w:r w:rsidRPr="00BE0EF2">
                    <w:rPr>
                      <w:rFonts w:ascii="Times New Roman" w:eastAsia="Times New Roman" w:hAnsi="Times New Roman" w:cs="Times New Roman"/>
                      <w:b/>
                      <w:bCs/>
                      <w:color w:val="000000"/>
                      <w:lang w:eastAsia="lv-LV"/>
                    </w:rPr>
                    <w:t>Kopā finansējums no pašvaldības budžeta mēnesī ar VSAOI 23,59%</w:t>
                  </w:r>
                </w:p>
              </w:tc>
              <w:tc>
                <w:tcPr>
                  <w:tcW w:w="1418" w:type="dxa"/>
                  <w:tcBorders>
                    <w:top w:val="nil"/>
                    <w:left w:val="nil"/>
                    <w:bottom w:val="single" w:sz="4" w:space="0" w:color="auto"/>
                    <w:right w:val="single" w:sz="4" w:space="0" w:color="auto"/>
                  </w:tcBorders>
                  <w:shd w:val="clear" w:color="auto" w:fill="auto"/>
                  <w:noWrap/>
                  <w:vAlign w:val="bottom"/>
                  <w:hideMark/>
                </w:tcPr>
                <w:p w14:paraId="2BCD518C" w14:textId="77777777" w:rsidR="00BE0EF2" w:rsidRPr="00BE0EF2" w:rsidRDefault="00BE0EF2" w:rsidP="00BE0EF2">
                  <w:pPr>
                    <w:spacing w:after="0" w:line="240" w:lineRule="auto"/>
                    <w:jc w:val="right"/>
                    <w:rPr>
                      <w:rFonts w:ascii="Times New Roman" w:eastAsia="Times New Roman" w:hAnsi="Times New Roman" w:cs="Times New Roman"/>
                      <w:b/>
                      <w:bCs/>
                      <w:color w:val="000000"/>
                      <w:lang w:eastAsia="lv-LV"/>
                    </w:rPr>
                  </w:pPr>
                  <w:r w:rsidRPr="00BE0EF2">
                    <w:rPr>
                      <w:rFonts w:ascii="Times New Roman" w:eastAsia="Times New Roman" w:hAnsi="Times New Roman" w:cs="Times New Roman"/>
                      <w:b/>
                      <w:bCs/>
                      <w:color w:val="000000"/>
                      <w:lang w:eastAsia="lv-LV"/>
                    </w:rPr>
                    <w:t xml:space="preserve">     7 850 006 </w:t>
                  </w:r>
                </w:p>
              </w:tc>
              <w:tc>
                <w:tcPr>
                  <w:tcW w:w="1463" w:type="dxa"/>
                  <w:tcBorders>
                    <w:top w:val="nil"/>
                    <w:left w:val="nil"/>
                    <w:bottom w:val="single" w:sz="4" w:space="0" w:color="auto"/>
                    <w:right w:val="single" w:sz="4" w:space="0" w:color="auto"/>
                  </w:tcBorders>
                  <w:shd w:val="clear" w:color="auto" w:fill="auto"/>
                  <w:noWrap/>
                  <w:vAlign w:val="bottom"/>
                  <w:hideMark/>
                </w:tcPr>
                <w:p w14:paraId="7EBE3508" w14:textId="5140F8E6" w:rsidR="00BE0EF2" w:rsidRPr="00BE0EF2" w:rsidRDefault="00057E49" w:rsidP="00BE0EF2">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   94 200 072</w:t>
                  </w:r>
                  <w:r w:rsidR="00BE0EF2" w:rsidRPr="00BE0EF2">
                    <w:rPr>
                      <w:rFonts w:ascii="Times New Roman" w:eastAsia="Times New Roman" w:hAnsi="Times New Roman" w:cs="Times New Roman"/>
                      <w:b/>
                      <w:bCs/>
                      <w:color w:val="000000"/>
                      <w:lang w:eastAsia="lv-LV"/>
                    </w:rPr>
                    <w:t xml:space="preserve"> </w:t>
                  </w:r>
                </w:p>
              </w:tc>
            </w:tr>
          </w:tbl>
          <w:p w14:paraId="75BB6EC5" w14:textId="471D2D86" w:rsidR="0053406A" w:rsidRPr="0053406A" w:rsidRDefault="00BE0EF2" w:rsidP="008D639F">
            <w:pPr>
              <w:spacing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53406A">
              <w:rPr>
                <w:rFonts w:ascii="Times New Roman" w:hAnsi="Times New Roman"/>
                <w:color w:val="000000"/>
                <w:sz w:val="26"/>
                <w:szCs w:val="26"/>
              </w:rPr>
              <w:t xml:space="preserve">Finansiālā ietekme uz pašvaldībām tiek prognozēta saistībā ar minimālās darba algas likmes paaugstināšanu par 13,33% vispārējās pamata un vidējās </w:t>
            </w:r>
            <w:r w:rsidR="00067DA0">
              <w:rPr>
                <w:rFonts w:ascii="Times New Roman" w:hAnsi="Times New Roman"/>
                <w:color w:val="000000"/>
                <w:sz w:val="26"/>
                <w:szCs w:val="26"/>
              </w:rPr>
              <w:t xml:space="preserve">kā arī profesionālās </w:t>
            </w:r>
            <w:r w:rsidR="0053406A">
              <w:rPr>
                <w:rFonts w:ascii="Times New Roman" w:hAnsi="Times New Roman"/>
                <w:color w:val="000000"/>
                <w:sz w:val="26"/>
                <w:szCs w:val="26"/>
              </w:rPr>
              <w:t>izglītības</w:t>
            </w:r>
            <w:r w:rsidR="00E35F13">
              <w:rPr>
                <w:rFonts w:ascii="Times New Roman" w:hAnsi="Times New Roman"/>
                <w:color w:val="000000"/>
                <w:sz w:val="26"/>
                <w:szCs w:val="26"/>
              </w:rPr>
              <w:t xml:space="preserve"> un interešu </w:t>
            </w:r>
            <w:r w:rsidR="0053406A">
              <w:rPr>
                <w:rFonts w:ascii="Times New Roman" w:hAnsi="Times New Roman"/>
                <w:color w:val="000000"/>
                <w:sz w:val="26"/>
                <w:szCs w:val="26"/>
              </w:rPr>
              <w:t xml:space="preserve"> skolotājiem, savukārt pirmsskolas skolotājam minimālās darba algas likmes paaugstināšanu par 21,42%. Finansiālā ietekme: 5</w:t>
            </w:r>
            <w:r w:rsidR="00E35F13">
              <w:rPr>
                <w:rFonts w:ascii="Times New Roman" w:hAnsi="Times New Roman"/>
                <w:color w:val="000000"/>
                <w:sz w:val="26"/>
                <w:szCs w:val="26"/>
              </w:rPr>
              <w:t> 367 140</w:t>
            </w:r>
            <w:r w:rsidR="0053406A">
              <w:rPr>
                <w:rFonts w:ascii="Times New Roman" w:hAnsi="Times New Roman"/>
                <w:color w:val="000000"/>
                <w:sz w:val="26"/>
                <w:szCs w:val="26"/>
              </w:rPr>
              <w:t>*0,2142 = 1</w:t>
            </w:r>
            <w:r w:rsidR="00E35F13">
              <w:rPr>
                <w:rFonts w:ascii="Times New Roman" w:hAnsi="Times New Roman"/>
                <w:color w:val="000000"/>
                <w:sz w:val="26"/>
                <w:szCs w:val="26"/>
              </w:rPr>
              <w:t> 149 641</w:t>
            </w:r>
            <w:r w:rsidR="0053406A">
              <w:rPr>
                <w:rFonts w:ascii="Times New Roman" w:hAnsi="Times New Roman"/>
                <w:color w:val="000000"/>
                <w:sz w:val="26"/>
                <w:szCs w:val="26"/>
              </w:rPr>
              <w:t xml:space="preserve"> </w:t>
            </w:r>
            <w:proofErr w:type="spellStart"/>
            <w:r w:rsidR="0053406A">
              <w:rPr>
                <w:rFonts w:ascii="Times New Roman" w:hAnsi="Times New Roman"/>
                <w:color w:val="000000"/>
                <w:sz w:val="26"/>
                <w:szCs w:val="26"/>
              </w:rPr>
              <w:t>euro</w:t>
            </w:r>
            <w:proofErr w:type="spellEnd"/>
            <w:r w:rsidR="0053406A">
              <w:rPr>
                <w:rFonts w:ascii="Times New Roman" w:hAnsi="Times New Roman"/>
                <w:color w:val="000000"/>
                <w:sz w:val="26"/>
                <w:szCs w:val="26"/>
              </w:rPr>
              <w:t xml:space="preserve"> mēnesī pirmssk</w:t>
            </w:r>
            <w:r w:rsidR="00E35F13">
              <w:rPr>
                <w:rFonts w:ascii="Times New Roman" w:hAnsi="Times New Roman"/>
                <w:color w:val="000000"/>
                <w:sz w:val="26"/>
                <w:szCs w:val="26"/>
              </w:rPr>
              <w:t>olas izglītības skolotājiem</w:t>
            </w:r>
            <w:r w:rsidR="0053406A">
              <w:rPr>
                <w:rFonts w:ascii="Times New Roman" w:hAnsi="Times New Roman"/>
                <w:color w:val="000000"/>
                <w:sz w:val="26"/>
                <w:szCs w:val="26"/>
              </w:rPr>
              <w:t xml:space="preserve"> un 2</w:t>
            </w:r>
            <w:r w:rsidR="00E35F13">
              <w:rPr>
                <w:rFonts w:ascii="Times New Roman" w:hAnsi="Times New Roman"/>
                <w:color w:val="000000"/>
                <w:sz w:val="26"/>
                <w:szCs w:val="26"/>
              </w:rPr>
              <w:t> 482 866</w:t>
            </w:r>
            <w:r w:rsidR="0053406A">
              <w:rPr>
                <w:rFonts w:ascii="Times New Roman" w:hAnsi="Times New Roman"/>
                <w:color w:val="000000"/>
                <w:sz w:val="26"/>
                <w:szCs w:val="26"/>
              </w:rPr>
              <w:t xml:space="preserve">*0,1333= </w:t>
            </w:r>
            <w:r w:rsidR="00E35F13">
              <w:rPr>
                <w:rFonts w:ascii="Times New Roman" w:hAnsi="Times New Roman"/>
                <w:color w:val="000000"/>
                <w:sz w:val="26"/>
                <w:szCs w:val="26"/>
              </w:rPr>
              <w:t>330 966</w:t>
            </w:r>
            <w:r w:rsidR="0053406A">
              <w:rPr>
                <w:rFonts w:ascii="Times New Roman" w:hAnsi="Times New Roman"/>
                <w:color w:val="000000"/>
                <w:sz w:val="26"/>
                <w:szCs w:val="26"/>
              </w:rPr>
              <w:t xml:space="preserve"> </w:t>
            </w:r>
            <w:proofErr w:type="spellStart"/>
            <w:r w:rsidR="0053406A">
              <w:rPr>
                <w:rFonts w:ascii="Times New Roman" w:hAnsi="Times New Roman"/>
                <w:color w:val="000000"/>
                <w:sz w:val="26"/>
                <w:szCs w:val="26"/>
              </w:rPr>
              <w:t>euro</w:t>
            </w:r>
            <w:proofErr w:type="spellEnd"/>
            <w:r w:rsidR="0053406A">
              <w:rPr>
                <w:rFonts w:ascii="Times New Roman" w:hAnsi="Times New Roman"/>
                <w:color w:val="000000"/>
                <w:sz w:val="26"/>
                <w:szCs w:val="26"/>
              </w:rPr>
              <w:t xml:space="preserve"> mēnesī vispārējās pamata un </w:t>
            </w:r>
            <w:r w:rsidR="000B1F37">
              <w:rPr>
                <w:rFonts w:ascii="Times New Roman" w:hAnsi="Times New Roman"/>
                <w:color w:val="000000"/>
                <w:sz w:val="26"/>
                <w:szCs w:val="26"/>
              </w:rPr>
              <w:t>vidējās izglītības</w:t>
            </w:r>
            <w:r w:rsidR="00067DA0">
              <w:rPr>
                <w:rFonts w:ascii="Times New Roman" w:hAnsi="Times New Roman"/>
                <w:color w:val="000000"/>
                <w:sz w:val="26"/>
                <w:szCs w:val="26"/>
              </w:rPr>
              <w:t xml:space="preserve"> kā arī profesionālās</w:t>
            </w:r>
            <w:r w:rsidR="00E35F13">
              <w:rPr>
                <w:rFonts w:ascii="Times New Roman" w:hAnsi="Times New Roman"/>
                <w:color w:val="000000"/>
                <w:sz w:val="26"/>
                <w:szCs w:val="26"/>
              </w:rPr>
              <w:t xml:space="preserve"> izglītības un interešu</w:t>
            </w:r>
            <w:r w:rsidR="000B1F37">
              <w:rPr>
                <w:rFonts w:ascii="Times New Roman" w:hAnsi="Times New Roman"/>
                <w:color w:val="000000"/>
                <w:sz w:val="26"/>
                <w:szCs w:val="26"/>
              </w:rPr>
              <w:t xml:space="preserve"> skolotāji. Kopējā finansiālā ietekme pašvaldībām 1</w:t>
            </w:r>
            <w:r w:rsidR="00E35F13">
              <w:rPr>
                <w:rFonts w:ascii="Times New Roman" w:hAnsi="Times New Roman"/>
                <w:color w:val="000000"/>
                <w:sz w:val="26"/>
                <w:szCs w:val="26"/>
              </w:rPr>
              <w:t> 480 607</w:t>
            </w:r>
            <w:r w:rsidR="000B1F37">
              <w:rPr>
                <w:rFonts w:ascii="Times New Roman" w:hAnsi="Times New Roman"/>
                <w:color w:val="000000"/>
                <w:sz w:val="26"/>
                <w:szCs w:val="26"/>
              </w:rPr>
              <w:t xml:space="preserve"> </w:t>
            </w:r>
            <w:proofErr w:type="spellStart"/>
            <w:r w:rsidR="000B1F37">
              <w:rPr>
                <w:rFonts w:ascii="Times New Roman" w:hAnsi="Times New Roman"/>
                <w:color w:val="000000"/>
                <w:sz w:val="26"/>
                <w:szCs w:val="26"/>
              </w:rPr>
              <w:t>euro</w:t>
            </w:r>
            <w:proofErr w:type="spellEnd"/>
            <w:r w:rsidR="000B1F37">
              <w:rPr>
                <w:rFonts w:ascii="Times New Roman" w:hAnsi="Times New Roman"/>
                <w:color w:val="000000"/>
                <w:sz w:val="26"/>
                <w:szCs w:val="26"/>
              </w:rPr>
              <w:t xml:space="preserve"> mēnesī, gadā – 17</w:t>
            </w:r>
            <w:r w:rsidR="00E35F13">
              <w:rPr>
                <w:rFonts w:ascii="Times New Roman" w:hAnsi="Times New Roman"/>
                <w:color w:val="000000"/>
                <w:sz w:val="26"/>
                <w:szCs w:val="26"/>
              </w:rPr>
              <w:t> 767 284</w:t>
            </w:r>
            <w:r w:rsidR="000B1F37">
              <w:rPr>
                <w:rFonts w:ascii="Times New Roman" w:hAnsi="Times New Roman"/>
                <w:color w:val="000000"/>
                <w:sz w:val="26"/>
                <w:szCs w:val="26"/>
              </w:rPr>
              <w:t xml:space="preserve"> </w:t>
            </w:r>
            <w:proofErr w:type="spellStart"/>
            <w:r w:rsidR="000B1F37">
              <w:rPr>
                <w:rFonts w:ascii="Times New Roman" w:hAnsi="Times New Roman"/>
                <w:color w:val="000000"/>
                <w:sz w:val="26"/>
                <w:szCs w:val="26"/>
              </w:rPr>
              <w:t>euro</w:t>
            </w:r>
            <w:proofErr w:type="spellEnd"/>
            <w:r w:rsidR="000B1F37">
              <w:rPr>
                <w:rFonts w:ascii="Times New Roman" w:hAnsi="Times New Roman"/>
                <w:color w:val="000000"/>
                <w:sz w:val="26"/>
                <w:szCs w:val="26"/>
              </w:rPr>
              <w:t>.</w:t>
            </w:r>
            <w:r w:rsidR="008D639F">
              <w:rPr>
                <w:rFonts w:ascii="Times New Roman" w:hAnsi="Times New Roman"/>
                <w:color w:val="000000"/>
                <w:sz w:val="26"/>
                <w:szCs w:val="26"/>
              </w:rPr>
              <w:t xml:space="preserve"> Anotācijai pievienotajā pielikumā ir atspoguļota informācija par pedagogu darba samaksu pa izglītības iestādes veidiem, ko katra pašvaldība sedz no saviem budžetiem. </w:t>
            </w:r>
          </w:p>
        </w:tc>
      </w:tr>
    </w:tbl>
    <w:p w14:paraId="2B0D8E13" w14:textId="20C23D60" w:rsidR="006A26FE" w:rsidRDefault="006A26FE" w:rsidP="00C348E6">
      <w:pPr>
        <w:pStyle w:val="naisf"/>
        <w:spacing w:before="0" w:after="0"/>
        <w:ind w:firstLine="0"/>
        <w:rPr>
          <w:i/>
          <w:color w:val="000000" w:themeColor="text1"/>
          <w:sz w:val="26"/>
          <w:szCs w:val="26"/>
        </w:rPr>
      </w:pPr>
    </w:p>
    <w:tbl>
      <w:tblPr>
        <w:tblW w:w="536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18"/>
        <w:gridCol w:w="6913"/>
        <w:gridCol w:w="78"/>
      </w:tblGrid>
      <w:tr w:rsidR="002E2EFA" w:rsidRPr="002E2EFA" w14:paraId="23205AF1" w14:textId="77777777" w:rsidTr="005D6E00">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1A35C7F" w14:textId="77777777" w:rsidR="002E2EFA" w:rsidRPr="002E2EFA" w:rsidRDefault="002E2EFA" w:rsidP="00C348E6">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2E2EFA">
              <w:rPr>
                <w:rFonts w:ascii="Times New Roman" w:eastAsia="Times New Roman" w:hAnsi="Times New Roman" w:cs="Times New Roman"/>
                <w:b/>
                <w:bCs/>
                <w:sz w:val="26"/>
                <w:szCs w:val="26"/>
                <w:lang w:eastAsia="lv-LV"/>
              </w:rPr>
              <w:t>IV. Tiesību akta projekta ietekme uz spēkā esošo tiesību normu sistēmu</w:t>
            </w:r>
          </w:p>
        </w:tc>
      </w:tr>
      <w:tr w:rsidR="005D6E00" w:rsidRPr="002E2EFA" w14:paraId="740518A2" w14:textId="77777777" w:rsidTr="005D6E00">
        <w:trPr>
          <w:gridAfter w:val="1"/>
          <w:wAfter w:w="40" w:type="pct"/>
          <w:jc w:val="center"/>
        </w:trPr>
        <w:tc>
          <w:tcPr>
            <w:tcW w:w="1400" w:type="pct"/>
            <w:tcBorders>
              <w:top w:val="outset" w:sz="6" w:space="0" w:color="414142"/>
              <w:left w:val="outset" w:sz="6" w:space="0" w:color="414142"/>
              <w:bottom w:val="outset" w:sz="6" w:space="0" w:color="414142"/>
              <w:right w:val="outset" w:sz="6" w:space="0" w:color="414142"/>
            </w:tcBorders>
            <w:hideMark/>
          </w:tcPr>
          <w:p w14:paraId="58DEE73F" w14:textId="77777777" w:rsidR="005D6E00" w:rsidRPr="002E2EFA" w:rsidRDefault="005D6E00" w:rsidP="00C348E6">
            <w:pPr>
              <w:spacing w:after="0" w:line="240" w:lineRule="auto"/>
              <w:rPr>
                <w:rFonts w:ascii="Times New Roman" w:eastAsia="Times New Roman" w:hAnsi="Times New Roman" w:cs="Times New Roman"/>
                <w:sz w:val="26"/>
                <w:szCs w:val="26"/>
                <w:lang w:eastAsia="lv-LV"/>
              </w:rPr>
            </w:pPr>
            <w:r w:rsidRPr="002E2EFA">
              <w:rPr>
                <w:rFonts w:ascii="Times New Roman" w:eastAsia="Times New Roman" w:hAnsi="Times New Roman" w:cs="Times New Roman"/>
                <w:sz w:val="26"/>
                <w:szCs w:val="26"/>
                <w:lang w:eastAsia="lv-LV"/>
              </w:rPr>
              <w:t>Nepieciešamie saistītie tiesību aktu projekti</w:t>
            </w:r>
          </w:p>
        </w:tc>
        <w:tc>
          <w:tcPr>
            <w:tcW w:w="3560" w:type="pct"/>
            <w:tcBorders>
              <w:top w:val="outset" w:sz="6" w:space="0" w:color="414142"/>
              <w:left w:val="outset" w:sz="6" w:space="0" w:color="414142"/>
              <w:bottom w:val="outset" w:sz="6" w:space="0" w:color="414142"/>
              <w:right w:val="outset" w:sz="6" w:space="0" w:color="414142"/>
            </w:tcBorders>
            <w:hideMark/>
          </w:tcPr>
          <w:p w14:paraId="5DA7BFC2" w14:textId="5225349A" w:rsidR="00896A3A" w:rsidRDefault="00896A3A" w:rsidP="00D86FB3">
            <w:pPr>
              <w:spacing w:after="0" w:line="240" w:lineRule="auto"/>
              <w:jc w:val="both"/>
              <w:rPr>
                <w:rFonts w:ascii="Times New Roman" w:hAnsi="Times New Roman" w:cs="Times New Roman"/>
                <w:sz w:val="26"/>
                <w:szCs w:val="26"/>
              </w:rPr>
            </w:pPr>
            <w:r w:rsidRPr="00896A3A">
              <w:rPr>
                <w:rFonts w:ascii="Times New Roman" w:hAnsi="Times New Roman" w:cs="Times New Roman"/>
                <w:sz w:val="26"/>
                <w:szCs w:val="26"/>
              </w:rPr>
              <w:t>Vienlaikus  ar noteikumu projektu ir izstrādāti un tiks virzīti izskatīšanai Ministru kabinetā grozījumi Ministru kabineta  2009.gada 28.jūlija noteikumos Nr.836 “Pedagogu darba samaksas noteikumi”.</w:t>
            </w:r>
          </w:p>
          <w:p w14:paraId="603AF9F8" w14:textId="77FD6DC6" w:rsidR="00896A3A" w:rsidRPr="00896A3A" w:rsidRDefault="00896A3A" w:rsidP="00D86F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Līdz 2016.gada 31.augustam jāveic grozījumi sekojošos normatīvajos dokumentos: </w:t>
            </w:r>
          </w:p>
          <w:p w14:paraId="1B3AEAF7" w14:textId="6D9D086A" w:rsidR="00D86FB3" w:rsidRPr="00896A3A" w:rsidRDefault="00D86FB3" w:rsidP="00896A3A">
            <w:pPr>
              <w:pStyle w:val="ListParagraph"/>
              <w:numPr>
                <w:ilvl w:val="0"/>
                <w:numId w:val="12"/>
              </w:numPr>
              <w:spacing w:after="0" w:line="240" w:lineRule="auto"/>
              <w:ind w:left="0" w:firstLine="360"/>
              <w:jc w:val="both"/>
              <w:rPr>
                <w:rFonts w:ascii="Times New Roman" w:hAnsi="Times New Roman" w:cs="Times New Roman"/>
                <w:sz w:val="26"/>
                <w:szCs w:val="26"/>
              </w:rPr>
            </w:pPr>
            <w:r w:rsidRPr="00896A3A">
              <w:rPr>
                <w:rFonts w:ascii="Times New Roman" w:hAnsi="Times New Roman" w:cs="Times New Roman"/>
                <w:sz w:val="26"/>
                <w:szCs w:val="26"/>
              </w:rPr>
              <w:t>Ministru kabineta 2007.gada 2.oktobra noteikumi Nr.655 “Noteikumi par profesionālās izglītības programmu īstenošanas izmaksu minimumu uz vienu izglītojamo”.</w:t>
            </w:r>
          </w:p>
          <w:p w14:paraId="3524F153" w14:textId="000F9F77" w:rsidR="00D86FB3" w:rsidRPr="00896A3A" w:rsidRDefault="00D86FB3" w:rsidP="00896A3A">
            <w:pPr>
              <w:pStyle w:val="ListParagraph"/>
              <w:numPr>
                <w:ilvl w:val="0"/>
                <w:numId w:val="12"/>
              </w:numPr>
              <w:spacing w:after="0" w:line="240" w:lineRule="auto"/>
              <w:ind w:left="0" w:firstLine="360"/>
              <w:jc w:val="both"/>
              <w:rPr>
                <w:rFonts w:ascii="Times New Roman" w:hAnsi="Times New Roman" w:cs="Times New Roman"/>
                <w:sz w:val="26"/>
                <w:szCs w:val="26"/>
              </w:rPr>
            </w:pPr>
            <w:r w:rsidRPr="00896A3A">
              <w:rPr>
                <w:rFonts w:ascii="Times New Roman" w:hAnsi="Times New Roman" w:cs="Times New Roman"/>
                <w:sz w:val="26"/>
                <w:szCs w:val="26"/>
              </w:rPr>
              <w:t>Ministru kabineta 2011.gada 5.jūlija noteikumi Nr.523 “Kārtība, kādā aprēķina un sadala valsts budžeta mērķdotāciju pedagogu darba samaksai pašvaldību izglītības iestādēs, kurās īsteno profesionālās pamatizglītības, arodizglītības un profesionālās pamatizglītības, arodizglītības un profesionālās vidējās izglītības programmas”.</w:t>
            </w:r>
          </w:p>
          <w:p w14:paraId="433B9F5D" w14:textId="46C12ACE" w:rsidR="00D86FB3" w:rsidRPr="00896A3A" w:rsidRDefault="00D86FB3" w:rsidP="00896A3A">
            <w:pPr>
              <w:pStyle w:val="ListParagraph"/>
              <w:numPr>
                <w:ilvl w:val="0"/>
                <w:numId w:val="12"/>
              </w:numPr>
              <w:spacing w:after="0" w:line="240" w:lineRule="auto"/>
              <w:ind w:left="0" w:firstLine="360"/>
              <w:jc w:val="both"/>
              <w:rPr>
                <w:rFonts w:ascii="Times New Roman" w:hAnsi="Times New Roman" w:cs="Times New Roman"/>
                <w:sz w:val="26"/>
                <w:szCs w:val="26"/>
              </w:rPr>
            </w:pPr>
            <w:r w:rsidRPr="00896A3A">
              <w:rPr>
                <w:rFonts w:ascii="Times New Roman" w:hAnsi="Times New Roman" w:cs="Times New Roman"/>
                <w:sz w:val="26"/>
                <w:szCs w:val="26"/>
              </w:rPr>
              <w:t>Ministru kabineta 2010.gada 31.augusta noteikumi Nr.825 “Speciālās izglītības iestāžu, vispārējās izglītības iestāžu speciālās izglītības (klašu) un internātskolu finansēšanas kārtība”.</w:t>
            </w:r>
          </w:p>
          <w:p w14:paraId="32DAD7BE" w14:textId="77777777" w:rsidR="005D6E00" w:rsidRPr="003B6E55" w:rsidRDefault="00D86FB3" w:rsidP="00896A3A">
            <w:pPr>
              <w:pStyle w:val="ListParagraph"/>
              <w:numPr>
                <w:ilvl w:val="0"/>
                <w:numId w:val="12"/>
              </w:numPr>
              <w:spacing w:after="0" w:line="240" w:lineRule="auto"/>
              <w:ind w:left="0" w:firstLine="360"/>
              <w:jc w:val="both"/>
              <w:rPr>
                <w:rFonts w:ascii="Times New Roman" w:eastAsia="Times New Roman" w:hAnsi="Times New Roman" w:cs="Times New Roman"/>
                <w:bCs/>
                <w:sz w:val="26"/>
                <w:szCs w:val="26"/>
                <w:lang w:eastAsia="lv-LV"/>
              </w:rPr>
            </w:pPr>
            <w:r w:rsidRPr="00896A3A">
              <w:rPr>
                <w:rFonts w:ascii="Times New Roman" w:hAnsi="Times New Roman" w:cs="Times New Roman"/>
                <w:sz w:val="26"/>
                <w:szCs w:val="26"/>
              </w:rPr>
              <w:t xml:space="preserve">Ministru kabineta 2014.gada 1.jūlija noteikumi Nr.371 “Kārtība, kādā valsts finansē pirmsskolas izglītības programmas bērniem no piecu gadu vecuma līdz pamatizglītības ieguves </w:t>
            </w:r>
            <w:r w:rsidRPr="00896A3A">
              <w:rPr>
                <w:rFonts w:ascii="Times New Roman" w:hAnsi="Times New Roman" w:cs="Times New Roman"/>
                <w:sz w:val="26"/>
                <w:szCs w:val="26"/>
              </w:rPr>
              <w:lastRenderedPageBreak/>
              <w:t xml:space="preserve">uzsākšanai un pamatizglītības un vispārējās vidējās izglītības </w:t>
            </w:r>
            <w:r w:rsidRPr="003B6E55">
              <w:rPr>
                <w:rFonts w:ascii="Times New Roman" w:hAnsi="Times New Roman" w:cs="Times New Roman"/>
                <w:sz w:val="26"/>
                <w:szCs w:val="26"/>
              </w:rPr>
              <w:t>programmas, kuras īsteno privātās izglītības iestādes”.</w:t>
            </w:r>
          </w:p>
          <w:p w14:paraId="10935A3C" w14:textId="77777777" w:rsidR="003B6E55" w:rsidRPr="003B6E55" w:rsidRDefault="003B6E55" w:rsidP="003B6E55">
            <w:pPr>
              <w:shd w:val="clear" w:color="auto" w:fill="FFFFFF"/>
              <w:spacing w:after="0" w:line="240" w:lineRule="auto"/>
              <w:jc w:val="both"/>
              <w:rPr>
                <w:rFonts w:ascii="Times New Roman" w:eastAsia="Times New Roman" w:hAnsi="Times New Roman"/>
                <w:sz w:val="26"/>
                <w:szCs w:val="26"/>
              </w:rPr>
            </w:pPr>
            <w:r w:rsidRPr="003B6E55">
              <w:rPr>
                <w:rFonts w:ascii="Times New Roman" w:eastAsia="Times New Roman" w:hAnsi="Times New Roman"/>
                <w:sz w:val="26"/>
                <w:szCs w:val="26"/>
              </w:rPr>
              <w:t>5. Ministru kabineta 2011.gada 27.decembrī noteikumos Nr.</w:t>
            </w:r>
            <w:r w:rsidRPr="003B6E55">
              <w:rPr>
                <w:sz w:val="26"/>
                <w:szCs w:val="26"/>
              </w:rPr>
              <w:t xml:space="preserve"> </w:t>
            </w:r>
            <w:r w:rsidRPr="003B6E55">
              <w:rPr>
                <w:rFonts w:ascii="Times New Roman" w:eastAsia="Times New Roman" w:hAnsi="Times New Roman"/>
                <w:sz w:val="26"/>
                <w:szCs w:val="26"/>
              </w:rPr>
              <w:t>1035 “Kārtība, kādā valsts finansē profesionālās ievirzes mākslas, mūzikas un dejas izglītības programmas”;</w:t>
            </w:r>
          </w:p>
          <w:p w14:paraId="7A5A448F" w14:textId="3D05410D" w:rsidR="003B6E55" w:rsidRPr="003B6E55" w:rsidRDefault="003B6E55" w:rsidP="003B6E55">
            <w:pPr>
              <w:shd w:val="clear" w:color="auto" w:fill="FFFFFF"/>
              <w:spacing w:after="0" w:line="240" w:lineRule="auto"/>
              <w:jc w:val="both"/>
              <w:rPr>
                <w:rFonts w:ascii="Times New Roman" w:eastAsia="Times New Roman" w:hAnsi="Times New Roman" w:cs="Times New Roman"/>
                <w:bCs/>
                <w:sz w:val="24"/>
                <w:szCs w:val="24"/>
                <w:lang w:eastAsia="lv-LV"/>
              </w:rPr>
            </w:pPr>
            <w:r w:rsidRPr="003B6E55">
              <w:rPr>
                <w:rFonts w:ascii="Times New Roman" w:eastAsia="Times New Roman" w:hAnsi="Times New Roman"/>
                <w:sz w:val="26"/>
                <w:szCs w:val="26"/>
              </w:rPr>
              <w:t xml:space="preserve">6. </w:t>
            </w:r>
            <w:r w:rsidRPr="003B6E55">
              <w:rPr>
                <w:rFonts w:ascii="Times New Roman" w:hAnsi="Times New Roman" w:cs="Times New Roman"/>
                <w:sz w:val="26"/>
                <w:szCs w:val="26"/>
              </w:rPr>
              <w:t>Ministru kabineta 2011.gada 27.decembra noteikumos Nr.1036 „Kārtība, kādā valsts finansē profesionālās ievirzes sporta izglītības programmas” noteiktajām prasībām, tad aprēķini veikti uz grupu skaitu</w:t>
            </w:r>
            <w:r w:rsidRPr="00BB3D34">
              <w:rPr>
                <w:rFonts w:ascii="Times New Roman" w:hAnsi="Times New Roman" w:cs="Times New Roman"/>
                <w:sz w:val="24"/>
                <w:szCs w:val="24"/>
              </w:rPr>
              <w:t>.</w:t>
            </w:r>
          </w:p>
        </w:tc>
      </w:tr>
      <w:tr w:rsidR="005D6E00" w:rsidRPr="002E2EFA" w14:paraId="0E1E8A92" w14:textId="77777777" w:rsidTr="005D6E00">
        <w:trPr>
          <w:gridAfter w:val="1"/>
          <w:wAfter w:w="40" w:type="pct"/>
          <w:jc w:val="center"/>
        </w:trPr>
        <w:tc>
          <w:tcPr>
            <w:tcW w:w="1400" w:type="pct"/>
            <w:tcBorders>
              <w:top w:val="outset" w:sz="6" w:space="0" w:color="414142"/>
              <w:left w:val="outset" w:sz="6" w:space="0" w:color="414142"/>
              <w:bottom w:val="outset" w:sz="6" w:space="0" w:color="414142"/>
              <w:right w:val="outset" w:sz="6" w:space="0" w:color="414142"/>
            </w:tcBorders>
            <w:hideMark/>
          </w:tcPr>
          <w:p w14:paraId="413DA075" w14:textId="07746FB0" w:rsidR="005D6E00" w:rsidRPr="002E2EFA" w:rsidRDefault="005D6E00" w:rsidP="00C348E6">
            <w:pPr>
              <w:spacing w:after="0" w:line="240" w:lineRule="auto"/>
              <w:jc w:val="both"/>
              <w:rPr>
                <w:rFonts w:ascii="Times New Roman" w:eastAsia="Times New Roman" w:hAnsi="Times New Roman" w:cs="Times New Roman"/>
                <w:sz w:val="26"/>
                <w:szCs w:val="26"/>
                <w:lang w:eastAsia="lv-LV"/>
              </w:rPr>
            </w:pPr>
            <w:r w:rsidRPr="002E2EFA">
              <w:rPr>
                <w:rFonts w:ascii="Times New Roman" w:eastAsia="Times New Roman" w:hAnsi="Times New Roman" w:cs="Times New Roman"/>
                <w:sz w:val="26"/>
                <w:szCs w:val="26"/>
                <w:lang w:eastAsia="lv-LV"/>
              </w:rPr>
              <w:lastRenderedPageBreak/>
              <w:t>Atbildīgā institūcija</w:t>
            </w:r>
          </w:p>
        </w:tc>
        <w:tc>
          <w:tcPr>
            <w:tcW w:w="3560" w:type="pct"/>
            <w:tcBorders>
              <w:top w:val="outset" w:sz="6" w:space="0" w:color="414142"/>
              <w:left w:val="outset" w:sz="6" w:space="0" w:color="414142"/>
              <w:bottom w:val="outset" w:sz="6" w:space="0" w:color="414142"/>
              <w:right w:val="outset" w:sz="6" w:space="0" w:color="414142"/>
            </w:tcBorders>
            <w:hideMark/>
          </w:tcPr>
          <w:p w14:paraId="7441747B" w14:textId="77777777" w:rsidR="005D6E00" w:rsidRPr="002E2EFA" w:rsidRDefault="005D6E00" w:rsidP="00C348E6">
            <w:pPr>
              <w:spacing w:after="0" w:line="240" w:lineRule="auto"/>
              <w:jc w:val="both"/>
              <w:rPr>
                <w:rFonts w:ascii="Times New Roman" w:eastAsia="Times New Roman" w:hAnsi="Times New Roman" w:cs="Times New Roman"/>
                <w:sz w:val="26"/>
                <w:szCs w:val="26"/>
                <w:lang w:eastAsia="lv-LV"/>
              </w:rPr>
            </w:pPr>
            <w:r w:rsidRPr="002E2EFA">
              <w:rPr>
                <w:rFonts w:ascii="Times New Roman" w:eastAsia="Times New Roman" w:hAnsi="Times New Roman" w:cs="Times New Roman"/>
                <w:sz w:val="26"/>
                <w:szCs w:val="26"/>
                <w:lang w:eastAsia="lv-LV"/>
              </w:rPr>
              <w:t xml:space="preserve">Izglītības un zinātnes ministrija </w:t>
            </w:r>
          </w:p>
        </w:tc>
      </w:tr>
      <w:tr w:rsidR="005D6E00" w:rsidRPr="002E2EFA" w14:paraId="2A862D11" w14:textId="77777777" w:rsidTr="005D6E00">
        <w:trPr>
          <w:gridAfter w:val="1"/>
          <w:wAfter w:w="40" w:type="pct"/>
          <w:jc w:val="center"/>
        </w:trPr>
        <w:tc>
          <w:tcPr>
            <w:tcW w:w="1400" w:type="pct"/>
            <w:tcBorders>
              <w:top w:val="outset" w:sz="6" w:space="0" w:color="414142"/>
              <w:left w:val="outset" w:sz="6" w:space="0" w:color="414142"/>
              <w:bottom w:val="outset" w:sz="6" w:space="0" w:color="414142"/>
              <w:right w:val="outset" w:sz="6" w:space="0" w:color="414142"/>
            </w:tcBorders>
            <w:hideMark/>
          </w:tcPr>
          <w:p w14:paraId="341C8E3E" w14:textId="77777777" w:rsidR="005D6E00" w:rsidRPr="002E2EFA" w:rsidRDefault="005D6E00" w:rsidP="00C348E6">
            <w:pPr>
              <w:spacing w:after="0" w:line="240" w:lineRule="auto"/>
              <w:jc w:val="both"/>
              <w:rPr>
                <w:rFonts w:ascii="Times New Roman" w:eastAsia="Times New Roman" w:hAnsi="Times New Roman" w:cs="Times New Roman"/>
                <w:sz w:val="26"/>
                <w:szCs w:val="26"/>
                <w:lang w:eastAsia="lv-LV"/>
              </w:rPr>
            </w:pPr>
            <w:r w:rsidRPr="002E2EFA">
              <w:rPr>
                <w:rFonts w:ascii="Times New Roman" w:eastAsia="Times New Roman" w:hAnsi="Times New Roman" w:cs="Times New Roman"/>
                <w:sz w:val="26"/>
                <w:szCs w:val="26"/>
                <w:lang w:eastAsia="lv-LV"/>
              </w:rPr>
              <w:t>Cita informācija</w:t>
            </w:r>
          </w:p>
        </w:tc>
        <w:tc>
          <w:tcPr>
            <w:tcW w:w="3560" w:type="pct"/>
            <w:tcBorders>
              <w:top w:val="outset" w:sz="6" w:space="0" w:color="414142"/>
              <w:left w:val="outset" w:sz="6" w:space="0" w:color="414142"/>
              <w:bottom w:val="outset" w:sz="6" w:space="0" w:color="414142"/>
              <w:right w:val="outset" w:sz="6" w:space="0" w:color="414142"/>
            </w:tcBorders>
            <w:hideMark/>
          </w:tcPr>
          <w:p w14:paraId="4689AB87" w14:textId="77777777" w:rsidR="005D6E00" w:rsidRPr="002E2EFA" w:rsidRDefault="005D6E00" w:rsidP="00C348E6">
            <w:pPr>
              <w:spacing w:before="100" w:beforeAutospacing="1" w:after="100" w:afterAutospacing="1" w:line="240" w:lineRule="auto"/>
              <w:jc w:val="both"/>
              <w:rPr>
                <w:rFonts w:ascii="Times New Roman" w:eastAsia="Times New Roman" w:hAnsi="Times New Roman" w:cs="Times New Roman"/>
                <w:sz w:val="26"/>
                <w:szCs w:val="26"/>
                <w:lang w:eastAsia="lv-LV"/>
              </w:rPr>
            </w:pPr>
            <w:r w:rsidRPr="002E2EFA">
              <w:rPr>
                <w:rFonts w:ascii="Times New Roman" w:eastAsia="Times New Roman" w:hAnsi="Times New Roman" w:cs="Times New Roman"/>
                <w:sz w:val="26"/>
                <w:szCs w:val="26"/>
                <w:lang w:eastAsia="lv-LV"/>
              </w:rPr>
              <w:t>Nav</w:t>
            </w:r>
          </w:p>
        </w:tc>
      </w:tr>
    </w:tbl>
    <w:p w14:paraId="6B75BCB5" w14:textId="77777777" w:rsidR="002E2EFA" w:rsidRDefault="002E2EFA" w:rsidP="00C348E6">
      <w:pPr>
        <w:pStyle w:val="naisf"/>
        <w:spacing w:before="0" w:after="0"/>
        <w:ind w:firstLine="0"/>
        <w:rPr>
          <w:i/>
          <w:color w:val="000000" w:themeColor="text1"/>
          <w:sz w:val="26"/>
          <w:szCs w:val="26"/>
        </w:rPr>
      </w:pPr>
    </w:p>
    <w:p w14:paraId="1ED565F7" w14:textId="77777777" w:rsidR="002E2EFA" w:rsidRPr="00FE141C" w:rsidRDefault="002E2EFA" w:rsidP="00C348E6">
      <w:pPr>
        <w:pStyle w:val="naisf"/>
        <w:spacing w:before="0" w:after="0"/>
        <w:ind w:firstLine="0"/>
        <w:rPr>
          <w:i/>
          <w:color w:val="000000" w:themeColor="text1"/>
          <w:sz w:val="26"/>
          <w:szCs w:val="26"/>
        </w:rPr>
      </w:pPr>
    </w:p>
    <w:tbl>
      <w:tblPr>
        <w:tblW w:w="9784" w:type="dxa"/>
        <w:tblCellSpacing w:w="0" w:type="dxa"/>
        <w:tblInd w:w="-2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1589"/>
        <w:gridCol w:w="5361"/>
      </w:tblGrid>
      <w:tr w:rsidR="0082371A" w:rsidRPr="00FE141C" w14:paraId="038D2C2D" w14:textId="77777777" w:rsidTr="00C33447">
        <w:trPr>
          <w:trHeight w:val="451"/>
          <w:tblCellSpacing w:w="0" w:type="dxa"/>
        </w:trPr>
        <w:tc>
          <w:tcPr>
            <w:tcW w:w="9784" w:type="dxa"/>
            <w:gridSpan w:val="3"/>
            <w:tcBorders>
              <w:top w:val="single" w:sz="2" w:space="0" w:color="auto"/>
              <w:left w:val="single" w:sz="2" w:space="0" w:color="auto"/>
              <w:bottom w:val="single" w:sz="2" w:space="0" w:color="auto"/>
              <w:right w:val="single" w:sz="2" w:space="0" w:color="auto"/>
            </w:tcBorders>
            <w:hideMark/>
          </w:tcPr>
          <w:p w14:paraId="421039FB" w14:textId="77777777" w:rsidR="0082371A" w:rsidRPr="00FE141C" w:rsidRDefault="0082371A" w:rsidP="00C348E6">
            <w:pPr>
              <w:spacing w:after="0" w:line="240" w:lineRule="auto"/>
              <w:jc w:val="center"/>
              <w:rPr>
                <w:rFonts w:ascii="Times New Roman" w:hAnsi="Times New Roman" w:cs="Times New Roman"/>
                <w:color w:val="000000" w:themeColor="text1"/>
                <w:sz w:val="26"/>
                <w:szCs w:val="26"/>
              </w:rPr>
            </w:pPr>
            <w:r w:rsidRPr="00FE141C">
              <w:rPr>
                <w:rFonts w:ascii="Times New Roman" w:hAnsi="Times New Roman" w:cs="Times New Roman"/>
                <w:b/>
                <w:bCs/>
                <w:color w:val="000000" w:themeColor="text1"/>
                <w:sz w:val="26"/>
                <w:szCs w:val="26"/>
              </w:rPr>
              <w:t> VI. Sabiedrības līdzdalība un komunikācijas aktivitātes</w:t>
            </w:r>
          </w:p>
        </w:tc>
      </w:tr>
      <w:tr w:rsidR="0082371A" w:rsidRPr="00FE141C" w14:paraId="49DE681F" w14:textId="77777777" w:rsidTr="00C33447">
        <w:trPr>
          <w:trHeight w:val="553"/>
          <w:tblCellSpacing w:w="0" w:type="dxa"/>
        </w:trPr>
        <w:tc>
          <w:tcPr>
            <w:tcW w:w="2834" w:type="dxa"/>
            <w:tcBorders>
              <w:top w:val="single" w:sz="4" w:space="0" w:color="auto"/>
              <w:left w:val="single" w:sz="2" w:space="0" w:color="auto"/>
              <w:bottom w:val="single" w:sz="4" w:space="0" w:color="auto"/>
              <w:right w:val="single" w:sz="2" w:space="0" w:color="auto"/>
            </w:tcBorders>
          </w:tcPr>
          <w:p w14:paraId="59E47397" w14:textId="77777777" w:rsidR="0082371A" w:rsidRPr="00FE141C" w:rsidRDefault="0082371A" w:rsidP="00C348E6">
            <w:pPr>
              <w:spacing w:after="0" w:line="240" w:lineRule="auto"/>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Plānotās sabiedrības līdzdalības un komunikācijas aktivitātes saistībā ar projektu</w:t>
            </w:r>
          </w:p>
        </w:tc>
        <w:tc>
          <w:tcPr>
            <w:tcW w:w="6950" w:type="dxa"/>
            <w:gridSpan w:val="2"/>
            <w:tcBorders>
              <w:top w:val="single" w:sz="4" w:space="0" w:color="auto"/>
              <w:left w:val="nil"/>
              <w:bottom w:val="single" w:sz="2" w:space="0" w:color="auto"/>
              <w:right w:val="single" w:sz="2" w:space="0" w:color="auto"/>
            </w:tcBorders>
          </w:tcPr>
          <w:p w14:paraId="2C335F5E" w14:textId="13784A6C" w:rsidR="0082371A" w:rsidRPr="00FE141C" w:rsidRDefault="009D3A10" w:rsidP="00C348E6">
            <w:pPr>
              <w:spacing w:after="0" w:line="240" w:lineRule="auto"/>
              <w:jc w:val="both"/>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 xml:space="preserve">Noteikumu projekts saskaņošanas laikā tiks publicēts ministrijas mājas lapā. </w:t>
            </w:r>
          </w:p>
        </w:tc>
      </w:tr>
      <w:tr w:rsidR="0082371A" w:rsidRPr="00FE141C" w14:paraId="55A8B524" w14:textId="77777777" w:rsidTr="00C33447">
        <w:trPr>
          <w:trHeight w:val="2996"/>
          <w:tblCellSpacing w:w="0" w:type="dxa"/>
        </w:trPr>
        <w:tc>
          <w:tcPr>
            <w:tcW w:w="2834" w:type="dxa"/>
            <w:tcBorders>
              <w:top w:val="single" w:sz="4" w:space="0" w:color="auto"/>
              <w:left w:val="single" w:sz="2" w:space="0" w:color="auto"/>
              <w:bottom w:val="nil"/>
              <w:right w:val="nil"/>
            </w:tcBorders>
          </w:tcPr>
          <w:p w14:paraId="744D5855" w14:textId="77777777" w:rsidR="0082371A" w:rsidRPr="00FE141C" w:rsidRDefault="0082371A" w:rsidP="00C348E6">
            <w:pPr>
              <w:spacing w:after="0" w:line="240" w:lineRule="auto"/>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Sabiedrības līdzdalības projekta izstrādē</w:t>
            </w:r>
          </w:p>
        </w:tc>
        <w:tc>
          <w:tcPr>
            <w:tcW w:w="6950" w:type="dxa"/>
            <w:gridSpan w:val="2"/>
            <w:tcBorders>
              <w:top w:val="single" w:sz="2" w:space="0" w:color="auto"/>
              <w:left w:val="single" w:sz="2" w:space="0" w:color="auto"/>
              <w:bottom w:val="nil"/>
              <w:right w:val="single" w:sz="2" w:space="0" w:color="auto"/>
            </w:tcBorders>
          </w:tcPr>
          <w:p w14:paraId="5642A45F" w14:textId="08230D53" w:rsidR="00C33447" w:rsidRPr="00FE141C" w:rsidRDefault="00C33447" w:rsidP="00C348E6">
            <w:pPr>
              <w:spacing w:after="0" w:line="240" w:lineRule="auto"/>
              <w:jc w:val="both"/>
              <w:rPr>
                <w:rFonts w:ascii="Times New Roman" w:hAnsi="Times New Roman" w:cs="Times New Roman"/>
                <w:iCs/>
                <w:color w:val="000000" w:themeColor="text1"/>
                <w:sz w:val="26"/>
                <w:szCs w:val="26"/>
              </w:rPr>
            </w:pPr>
            <w:r w:rsidRPr="00FE141C">
              <w:rPr>
                <w:rFonts w:ascii="Times New Roman" w:eastAsia="Times New Roman" w:hAnsi="Times New Roman" w:cs="Times New Roman"/>
                <w:color w:val="000000" w:themeColor="text1"/>
                <w:sz w:val="26"/>
                <w:szCs w:val="26"/>
                <w:lang w:eastAsia="lv-LV"/>
              </w:rPr>
              <w:t xml:space="preserve"> </w:t>
            </w:r>
            <w:r w:rsidR="009D3A10">
              <w:rPr>
                <w:rFonts w:ascii="Times New Roman" w:eastAsia="Times New Roman" w:hAnsi="Times New Roman" w:cs="Times New Roman"/>
                <w:color w:val="000000" w:themeColor="text1"/>
                <w:sz w:val="26"/>
                <w:szCs w:val="26"/>
                <w:lang w:eastAsia="lv-LV"/>
              </w:rPr>
              <w:t xml:space="preserve">Projekta izstrādē </w:t>
            </w:r>
            <w:r w:rsidR="009D3A10" w:rsidRPr="00A42960">
              <w:rPr>
                <w:rFonts w:ascii="Times New Roman" w:eastAsia="Times New Roman" w:hAnsi="Times New Roman" w:cs="Times New Roman"/>
                <w:color w:val="000000" w:themeColor="text1"/>
                <w:sz w:val="26"/>
                <w:szCs w:val="26"/>
                <w:lang w:eastAsia="lv-LV"/>
              </w:rPr>
              <w:t>piedalījās pārstāvji no izglītības iestādēm, pašvaldībām, Latvijas lielo pilsētu asociācijas, Arodbiedrības “Latvijas Izglītības vadītāju asociācija”, Latvijas Pašvaldību savienības, Latvijas Izglītības un zinātnes darbinieku arodbiedrības.</w:t>
            </w:r>
          </w:p>
        </w:tc>
      </w:tr>
      <w:tr w:rsidR="0082371A" w:rsidRPr="00FE141C" w14:paraId="42A9FC8E" w14:textId="77777777" w:rsidTr="00C33447">
        <w:trPr>
          <w:trHeight w:val="553"/>
          <w:tblCellSpacing w:w="0" w:type="dxa"/>
        </w:trPr>
        <w:tc>
          <w:tcPr>
            <w:tcW w:w="2834" w:type="dxa"/>
            <w:tcBorders>
              <w:top w:val="single" w:sz="4" w:space="0" w:color="auto"/>
              <w:left w:val="single" w:sz="2" w:space="0" w:color="auto"/>
              <w:bottom w:val="nil"/>
              <w:right w:val="nil"/>
            </w:tcBorders>
          </w:tcPr>
          <w:p w14:paraId="4439FDBF" w14:textId="6C26C399" w:rsidR="0082371A" w:rsidRPr="00FE141C" w:rsidRDefault="0082371A" w:rsidP="00C348E6">
            <w:pPr>
              <w:spacing w:after="0" w:line="240" w:lineRule="auto"/>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Sabiedrības līdzdalības rezultāti</w:t>
            </w:r>
          </w:p>
        </w:tc>
        <w:tc>
          <w:tcPr>
            <w:tcW w:w="6950" w:type="dxa"/>
            <w:gridSpan w:val="2"/>
            <w:tcBorders>
              <w:top w:val="single" w:sz="4" w:space="0" w:color="auto"/>
              <w:left w:val="single" w:sz="2" w:space="0" w:color="auto"/>
              <w:bottom w:val="single" w:sz="4" w:space="0" w:color="auto"/>
              <w:right w:val="single" w:sz="4" w:space="0" w:color="auto"/>
            </w:tcBorders>
          </w:tcPr>
          <w:p w14:paraId="7FC84FCA" w14:textId="0D2164DD" w:rsidR="0082371A" w:rsidRPr="00FE141C" w:rsidRDefault="009D3A10" w:rsidP="00C348E6">
            <w:pPr>
              <w:spacing w:after="0" w:line="240" w:lineRule="auto"/>
              <w:jc w:val="both"/>
              <w:rPr>
                <w:rFonts w:ascii="Times New Roman" w:hAnsi="Times New Roman" w:cs="Times New Roman"/>
                <w:iCs/>
                <w:color w:val="000000" w:themeColor="text1"/>
                <w:sz w:val="26"/>
                <w:szCs w:val="26"/>
              </w:rPr>
            </w:pPr>
            <w:r>
              <w:rPr>
                <w:rFonts w:ascii="Times New Roman" w:hAnsi="Times New Roman" w:cs="Times New Roman"/>
                <w:iCs/>
                <w:color w:val="000000" w:themeColor="text1"/>
                <w:sz w:val="26"/>
                <w:szCs w:val="26"/>
              </w:rPr>
              <w:t>Izteikti priekšlikumu par pašvaldības tiesībām pārdalīt finansējumu izglītības iestādēm,  veidot apvienotās grupas mācību priekšmetos, noteikt citu normētā skolēnu/skolotāju proporciju  8 republikas pilsētām.</w:t>
            </w:r>
          </w:p>
        </w:tc>
      </w:tr>
      <w:tr w:rsidR="0082371A" w:rsidRPr="00FE141C" w14:paraId="0822E148" w14:textId="77777777" w:rsidTr="00C33447">
        <w:trPr>
          <w:trHeight w:val="476"/>
          <w:tblCellSpacing w:w="0" w:type="dxa"/>
        </w:trPr>
        <w:tc>
          <w:tcPr>
            <w:tcW w:w="2834" w:type="dxa"/>
            <w:tcBorders>
              <w:top w:val="single" w:sz="2" w:space="0" w:color="auto"/>
              <w:left w:val="single" w:sz="2" w:space="0" w:color="auto"/>
              <w:bottom w:val="single" w:sz="4" w:space="0" w:color="auto"/>
              <w:right w:val="nil"/>
            </w:tcBorders>
            <w:hideMark/>
          </w:tcPr>
          <w:p w14:paraId="0E4ABD50" w14:textId="77777777" w:rsidR="0082371A" w:rsidRPr="00FE141C" w:rsidRDefault="0082371A" w:rsidP="00C348E6">
            <w:pPr>
              <w:spacing w:after="0" w:line="240" w:lineRule="auto"/>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Cita informācija</w:t>
            </w:r>
          </w:p>
        </w:tc>
        <w:tc>
          <w:tcPr>
            <w:tcW w:w="6950" w:type="dxa"/>
            <w:gridSpan w:val="2"/>
            <w:tcBorders>
              <w:top w:val="single" w:sz="4" w:space="0" w:color="auto"/>
              <w:left w:val="single" w:sz="2" w:space="0" w:color="auto"/>
              <w:bottom w:val="single" w:sz="4" w:space="0" w:color="auto"/>
              <w:right w:val="single" w:sz="2" w:space="0" w:color="auto"/>
            </w:tcBorders>
            <w:hideMark/>
          </w:tcPr>
          <w:p w14:paraId="644D64DA" w14:textId="77777777" w:rsidR="0082371A" w:rsidRPr="00FE141C" w:rsidRDefault="0082371A" w:rsidP="00C348E6">
            <w:pPr>
              <w:spacing w:after="0" w:line="240" w:lineRule="auto"/>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 Nav</w:t>
            </w:r>
            <w:r w:rsidR="008E6A53" w:rsidRPr="00FE141C">
              <w:rPr>
                <w:rFonts w:ascii="Times New Roman" w:hAnsi="Times New Roman" w:cs="Times New Roman"/>
                <w:color w:val="000000" w:themeColor="text1"/>
                <w:sz w:val="26"/>
                <w:szCs w:val="26"/>
              </w:rPr>
              <w:t>.</w:t>
            </w:r>
          </w:p>
        </w:tc>
      </w:tr>
      <w:tr w:rsidR="00150C13" w:rsidRPr="00FE141C" w14:paraId="719FF714" w14:textId="77777777" w:rsidTr="00C33447">
        <w:trPr>
          <w:trHeight w:val="333"/>
          <w:tblCellSpacing w:w="0" w:type="dxa"/>
        </w:trPr>
        <w:tc>
          <w:tcPr>
            <w:tcW w:w="2834" w:type="dxa"/>
            <w:tcBorders>
              <w:top w:val="nil"/>
              <w:left w:val="nil"/>
              <w:bottom w:val="nil"/>
              <w:right w:val="nil"/>
            </w:tcBorders>
          </w:tcPr>
          <w:p w14:paraId="3D2931B7" w14:textId="77777777" w:rsidR="00150C13" w:rsidRPr="00FE141C" w:rsidRDefault="00150C13" w:rsidP="00C348E6">
            <w:pPr>
              <w:spacing w:after="0" w:line="240" w:lineRule="auto"/>
              <w:rPr>
                <w:rFonts w:ascii="Times New Roman" w:hAnsi="Times New Roman" w:cs="Times New Roman"/>
                <w:color w:val="000000" w:themeColor="text1"/>
                <w:sz w:val="26"/>
                <w:szCs w:val="26"/>
              </w:rPr>
            </w:pPr>
          </w:p>
        </w:tc>
        <w:tc>
          <w:tcPr>
            <w:tcW w:w="6950" w:type="dxa"/>
            <w:gridSpan w:val="2"/>
            <w:tcBorders>
              <w:top w:val="nil"/>
              <w:left w:val="nil"/>
              <w:bottom w:val="nil"/>
              <w:right w:val="nil"/>
            </w:tcBorders>
          </w:tcPr>
          <w:p w14:paraId="706519E9" w14:textId="77777777" w:rsidR="00150C13" w:rsidRPr="00FE141C" w:rsidRDefault="00150C13" w:rsidP="00C348E6">
            <w:pPr>
              <w:spacing w:after="0" w:line="240" w:lineRule="auto"/>
              <w:rPr>
                <w:rFonts w:ascii="Times New Roman" w:hAnsi="Times New Roman" w:cs="Times New Roman"/>
                <w:color w:val="000000" w:themeColor="text1"/>
                <w:sz w:val="26"/>
                <w:szCs w:val="26"/>
              </w:rPr>
            </w:pPr>
          </w:p>
        </w:tc>
      </w:tr>
      <w:tr w:rsidR="0082371A" w:rsidRPr="00FE141C" w14:paraId="6615FDDC" w14:textId="77777777" w:rsidTr="00C33447">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75"/>
          <w:jc w:val="center"/>
        </w:trPr>
        <w:tc>
          <w:tcPr>
            <w:tcW w:w="9784" w:type="dxa"/>
            <w:gridSpan w:val="3"/>
            <w:tcBorders>
              <w:top w:val="outset" w:sz="6" w:space="0" w:color="414142"/>
              <w:left w:val="outset" w:sz="6" w:space="0" w:color="414142"/>
              <w:bottom w:val="outset" w:sz="6" w:space="0" w:color="414142"/>
              <w:right w:val="outset" w:sz="6" w:space="0" w:color="414142"/>
            </w:tcBorders>
            <w:vAlign w:val="center"/>
            <w:hideMark/>
          </w:tcPr>
          <w:p w14:paraId="20D6A8C9" w14:textId="77777777" w:rsidR="00FC1995" w:rsidRPr="00FE141C" w:rsidRDefault="00FC199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w:t>
            </w:r>
            <w:r w:rsidRPr="00FE141C">
              <w:rPr>
                <w:rFonts w:ascii="Times New Roman" w:eastAsia="Times New Roman" w:hAnsi="Times New Roman" w:cs="Times New Roman"/>
                <w:b/>
                <w:bCs/>
                <w:color w:val="000000" w:themeColor="text1"/>
                <w:sz w:val="26"/>
                <w:szCs w:val="26"/>
                <w:lang w:eastAsia="lv-LV"/>
              </w:rPr>
              <w:t>VII. Tiesību akta projekta izpildes nodrošināšana un tās ietekme uz institūcijām</w:t>
            </w:r>
          </w:p>
        </w:tc>
      </w:tr>
      <w:tr w:rsidR="0082371A" w:rsidRPr="00FE141C" w14:paraId="06AE97DD" w14:textId="77777777" w:rsidTr="00C33447">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2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4B8CEC4" w14:textId="77777777" w:rsidR="00FC1995" w:rsidRPr="00FE141C"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Projekta izpildē iesaistītās institūcijas</w:t>
            </w:r>
          </w:p>
        </w:tc>
        <w:tc>
          <w:tcPr>
            <w:tcW w:w="5361" w:type="dxa"/>
            <w:tcBorders>
              <w:top w:val="outset" w:sz="6" w:space="0" w:color="414142"/>
              <w:left w:val="outset" w:sz="6" w:space="0" w:color="414142"/>
              <w:bottom w:val="outset" w:sz="6" w:space="0" w:color="414142"/>
              <w:right w:val="outset" w:sz="6" w:space="0" w:color="414142"/>
            </w:tcBorders>
            <w:hideMark/>
          </w:tcPr>
          <w:p w14:paraId="70E119FB" w14:textId="5219C228" w:rsidR="00896A3A" w:rsidRPr="00896A3A" w:rsidRDefault="00FC1995" w:rsidP="00C348E6">
            <w:pPr>
              <w:spacing w:after="0" w:line="240" w:lineRule="auto"/>
              <w:jc w:val="both"/>
              <w:rPr>
                <w:rFonts w:ascii="Times New Roman" w:hAnsi="Times New Roman" w:cs="Times New Roman"/>
                <w:color w:val="000000" w:themeColor="text1"/>
                <w:sz w:val="26"/>
                <w:szCs w:val="26"/>
              </w:rPr>
            </w:pPr>
            <w:r w:rsidRPr="00FE141C">
              <w:rPr>
                <w:rFonts w:ascii="Times New Roman" w:eastAsia="Times New Roman" w:hAnsi="Times New Roman" w:cs="Times New Roman"/>
                <w:color w:val="000000" w:themeColor="text1"/>
                <w:sz w:val="26"/>
                <w:szCs w:val="26"/>
                <w:lang w:eastAsia="lv-LV"/>
              </w:rPr>
              <w:t xml:space="preserve">Izglītības un zinātnes ministrija, </w:t>
            </w:r>
            <w:r w:rsidRPr="00FE141C">
              <w:rPr>
                <w:rFonts w:ascii="Times New Roman" w:hAnsi="Times New Roman" w:cs="Times New Roman"/>
                <w:color w:val="000000" w:themeColor="text1"/>
                <w:sz w:val="26"/>
                <w:szCs w:val="26"/>
              </w:rPr>
              <w:t>novadu un</w:t>
            </w:r>
            <w:r w:rsidR="008C3EF8" w:rsidRPr="00FE141C">
              <w:rPr>
                <w:rFonts w:ascii="Times New Roman" w:hAnsi="Times New Roman" w:cs="Times New Roman"/>
                <w:color w:val="000000" w:themeColor="text1"/>
                <w:sz w:val="26"/>
                <w:szCs w:val="26"/>
              </w:rPr>
              <w:t xml:space="preserve"> republikas pilsētu pašvaldības, izglītības iestādes.</w:t>
            </w:r>
          </w:p>
        </w:tc>
      </w:tr>
      <w:tr w:rsidR="0082371A" w:rsidRPr="00FE141C" w14:paraId="7D7C4619" w14:textId="77777777" w:rsidTr="00C33447">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304BF7D" w14:textId="77777777" w:rsidR="00FC1995" w:rsidRPr="00FE141C" w:rsidRDefault="00FC199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Projekta izpildes ietekme uz pārvaldes funkcijām un institucionālo struktūru.</w:t>
            </w:r>
          </w:p>
          <w:p w14:paraId="1833262F" w14:textId="77777777" w:rsidR="00FC1995" w:rsidRPr="00FE141C" w:rsidRDefault="00FC199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Jaunu institūciju izveide, esošu institūciju likvidācija vai reorganizācija, to ietekme uz institūcijas cilvēkresursiem</w:t>
            </w:r>
          </w:p>
        </w:tc>
        <w:tc>
          <w:tcPr>
            <w:tcW w:w="5361" w:type="dxa"/>
            <w:tcBorders>
              <w:top w:val="outset" w:sz="6" w:space="0" w:color="414142"/>
              <w:left w:val="outset" w:sz="6" w:space="0" w:color="414142"/>
              <w:bottom w:val="outset" w:sz="6" w:space="0" w:color="414142"/>
              <w:right w:val="outset" w:sz="6" w:space="0" w:color="414142"/>
            </w:tcBorders>
            <w:hideMark/>
          </w:tcPr>
          <w:p w14:paraId="7D4C91A4" w14:textId="77777777" w:rsidR="00FC1995" w:rsidRPr="00FE141C" w:rsidRDefault="008E6A53"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Projekts šo jomu neskar.</w:t>
            </w:r>
          </w:p>
        </w:tc>
      </w:tr>
      <w:tr w:rsidR="0082371A" w:rsidRPr="00FE141C" w14:paraId="67C8B18D" w14:textId="77777777" w:rsidTr="00C33447">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9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239A214C" w14:textId="77777777" w:rsidR="00FC1995" w:rsidRPr="00FE141C"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lastRenderedPageBreak/>
              <w:t>Cita informācija</w:t>
            </w:r>
          </w:p>
        </w:tc>
        <w:tc>
          <w:tcPr>
            <w:tcW w:w="5361" w:type="dxa"/>
            <w:tcBorders>
              <w:top w:val="outset" w:sz="6" w:space="0" w:color="414142"/>
              <w:left w:val="outset" w:sz="6" w:space="0" w:color="414142"/>
              <w:bottom w:val="outset" w:sz="6" w:space="0" w:color="414142"/>
              <w:right w:val="outset" w:sz="6" w:space="0" w:color="414142"/>
            </w:tcBorders>
            <w:hideMark/>
          </w:tcPr>
          <w:p w14:paraId="6AFC2FF5" w14:textId="77777777" w:rsidR="00FC1995" w:rsidRPr="00FE141C"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Nav</w:t>
            </w:r>
            <w:r w:rsidR="008E6A53" w:rsidRPr="00FE141C">
              <w:rPr>
                <w:rFonts w:ascii="Times New Roman" w:eastAsia="Times New Roman" w:hAnsi="Times New Roman" w:cs="Times New Roman"/>
                <w:color w:val="000000" w:themeColor="text1"/>
                <w:sz w:val="26"/>
                <w:szCs w:val="26"/>
                <w:lang w:eastAsia="lv-LV"/>
              </w:rPr>
              <w:t>.</w:t>
            </w:r>
          </w:p>
        </w:tc>
      </w:tr>
    </w:tbl>
    <w:p w14:paraId="19506FA0" w14:textId="77777777" w:rsidR="00FC1995" w:rsidRPr="00FE141C" w:rsidRDefault="00FC1995" w:rsidP="00C348E6">
      <w:pPr>
        <w:pStyle w:val="naisf"/>
        <w:spacing w:before="0" w:after="0"/>
        <w:ind w:firstLine="567"/>
        <w:rPr>
          <w:i/>
          <w:color w:val="000000" w:themeColor="text1"/>
          <w:sz w:val="26"/>
          <w:szCs w:val="26"/>
        </w:rPr>
      </w:pPr>
    </w:p>
    <w:p w14:paraId="3DD71B33" w14:textId="4984E36A" w:rsidR="008C2B1F" w:rsidRPr="00FE141C" w:rsidRDefault="008C2B1F" w:rsidP="00C348E6">
      <w:pPr>
        <w:pStyle w:val="naisf"/>
        <w:spacing w:before="0" w:after="0"/>
        <w:ind w:firstLine="567"/>
        <w:rPr>
          <w:i/>
          <w:color w:val="000000" w:themeColor="text1"/>
          <w:sz w:val="26"/>
          <w:szCs w:val="26"/>
        </w:rPr>
      </w:pPr>
      <w:r w:rsidRPr="00FE141C">
        <w:rPr>
          <w:i/>
          <w:color w:val="000000" w:themeColor="text1"/>
          <w:sz w:val="26"/>
          <w:szCs w:val="26"/>
        </w:rPr>
        <w:t>Anotācijas</w:t>
      </w:r>
      <w:r w:rsidR="00280ED8" w:rsidRPr="00FE141C">
        <w:rPr>
          <w:i/>
          <w:color w:val="000000" w:themeColor="text1"/>
          <w:sz w:val="26"/>
          <w:szCs w:val="26"/>
        </w:rPr>
        <w:t xml:space="preserve"> </w:t>
      </w:r>
      <w:r w:rsidRPr="00FE141C">
        <w:rPr>
          <w:i/>
          <w:color w:val="000000" w:themeColor="text1"/>
          <w:sz w:val="26"/>
          <w:szCs w:val="26"/>
        </w:rPr>
        <w:t>V sadaļa – projekts šīs jomas neskar.</w:t>
      </w:r>
    </w:p>
    <w:p w14:paraId="003B57B6" w14:textId="77777777" w:rsidR="008C2B1F" w:rsidRPr="00FE141C" w:rsidRDefault="008C2B1F" w:rsidP="00C348E6">
      <w:pPr>
        <w:spacing w:after="0" w:line="240" w:lineRule="auto"/>
        <w:rPr>
          <w:rFonts w:ascii="Times New Roman" w:hAnsi="Times New Roman" w:cs="Times New Roman"/>
          <w:color w:val="000000" w:themeColor="text1"/>
          <w:sz w:val="26"/>
          <w:szCs w:val="26"/>
        </w:rPr>
      </w:pPr>
    </w:p>
    <w:p w14:paraId="7FA08EF8" w14:textId="77777777" w:rsidR="002D1286" w:rsidRPr="00FE141C" w:rsidRDefault="002D1286" w:rsidP="00C348E6">
      <w:pPr>
        <w:spacing w:after="0" w:line="240" w:lineRule="auto"/>
        <w:rPr>
          <w:rFonts w:ascii="Times New Roman" w:hAnsi="Times New Roman" w:cs="Times New Roman"/>
          <w:color w:val="000000" w:themeColor="text1"/>
          <w:sz w:val="26"/>
          <w:szCs w:val="26"/>
        </w:rPr>
      </w:pPr>
    </w:p>
    <w:p w14:paraId="4D99C697" w14:textId="010C2DF6" w:rsidR="00150C13" w:rsidRPr="00FE141C" w:rsidRDefault="004E26BD" w:rsidP="00C348E6">
      <w:pPr>
        <w:spacing w:after="0" w:line="240" w:lineRule="auto"/>
        <w:ind w:firstLine="709"/>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Izglītības un zinātnes ministrs</w:t>
      </w:r>
      <w:r w:rsidR="0098651A" w:rsidRPr="00FE141C">
        <w:rPr>
          <w:rFonts w:ascii="Times New Roman" w:hAnsi="Times New Roman" w:cs="Times New Roman"/>
          <w:color w:val="000000" w:themeColor="text1"/>
          <w:sz w:val="26"/>
          <w:szCs w:val="26"/>
        </w:rPr>
        <w:t xml:space="preserve">       </w:t>
      </w:r>
      <w:r w:rsidR="00117B82" w:rsidRPr="00FE141C">
        <w:rPr>
          <w:rFonts w:ascii="Times New Roman" w:hAnsi="Times New Roman" w:cs="Times New Roman"/>
          <w:color w:val="000000" w:themeColor="text1"/>
          <w:sz w:val="26"/>
          <w:szCs w:val="26"/>
        </w:rPr>
        <w:t xml:space="preserve">                             </w:t>
      </w:r>
      <w:r w:rsidR="0098651A" w:rsidRPr="00FE141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98651A" w:rsidRPr="00FE141C">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K.Šadurskis</w:t>
      </w:r>
      <w:proofErr w:type="spellEnd"/>
      <w:r w:rsidR="0098651A" w:rsidRPr="00FE141C">
        <w:rPr>
          <w:rFonts w:ascii="Times New Roman" w:hAnsi="Times New Roman" w:cs="Times New Roman"/>
          <w:color w:val="000000" w:themeColor="text1"/>
          <w:sz w:val="26"/>
          <w:szCs w:val="26"/>
        </w:rPr>
        <w:tab/>
      </w:r>
    </w:p>
    <w:p w14:paraId="75C82CF5" w14:textId="77777777" w:rsidR="004E26BD" w:rsidRDefault="0098651A" w:rsidP="00C348E6">
      <w:pPr>
        <w:spacing w:after="0" w:line="240" w:lineRule="auto"/>
        <w:ind w:firstLine="709"/>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ab/>
      </w:r>
      <w:r w:rsidRPr="00FE141C">
        <w:rPr>
          <w:rFonts w:ascii="Times New Roman" w:hAnsi="Times New Roman" w:cs="Times New Roman"/>
          <w:color w:val="000000" w:themeColor="text1"/>
          <w:sz w:val="26"/>
          <w:szCs w:val="26"/>
        </w:rPr>
        <w:tab/>
        <w:t xml:space="preserve">         </w:t>
      </w:r>
    </w:p>
    <w:p w14:paraId="1F6478E2" w14:textId="1B71B1DC" w:rsidR="0098651A" w:rsidRPr="00FE141C" w:rsidRDefault="0098651A" w:rsidP="00C348E6">
      <w:pPr>
        <w:spacing w:after="0" w:line="240" w:lineRule="auto"/>
        <w:ind w:firstLine="709"/>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 xml:space="preserve">                          </w:t>
      </w:r>
    </w:p>
    <w:p w14:paraId="32E925F9" w14:textId="77777777" w:rsidR="00AD320E" w:rsidRPr="00AD320E" w:rsidRDefault="0098651A" w:rsidP="00AD320E">
      <w:pPr>
        <w:autoSpaceDE w:val="0"/>
        <w:autoSpaceDN w:val="0"/>
        <w:adjustRightInd w:val="0"/>
        <w:spacing w:after="0" w:line="240" w:lineRule="auto"/>
        <w:rPr>
          <w:rFonts w:ascii="Times New Roman" w:hAnsi="Times New Roman" w:cs="Times New Roman"/>
          <w:color w:val="000000"/>
          <w:sz w:val="26"/>
          <w:szCs w:val="26"/>
        </w:rPr>
      </w:pPr>
      <w:r w:rsidRPr="00FE141C">
        <w:rPr>
          <w:rFonts w:ascii="Times New Roman" w:hAnsi="Times New Roman" w:cs="Times New Roman"/>
          <w:color w:val="000000" w:themeColor="text1"/>
          <w:sz w:val="26"/>
          <w:szCs w:val="26"/>
        </w:rPr>
        <w:t>Vīz</w:t>
      </w:r>
      <w:r w:rsidR="00117B82" w:rsidRPr="00FE141C">
        <w:rPr>
          <w:rFonts w:ascii="Times New Roman" w:hAnsi="Times New Roman" w:cs="Times New Roman"/>
          <w:color w:val="000000" w:themeColor="text1"/>
          <w:sz w:val="26"/>
          <w:szCs w:val="26"/>
        </w:rPr>
        <w:t>ē</w:t>
      </w:r>
      <w:r w:rsidRPr="00FE141C">
        <w:rPr>
          <w:rFonts w:ascii="Times New Roman" w:hAnsi="Times New Roman" w:cs="Times New Roman"/>
          <w:color w:val="000000" w:themeColor="text1"/>
          <w:sz w:val="26"/>
          <w:szCs w:val="26"/>
        </w:rPr>
        <w:t xml:space="preserve">:  </w:t>
      </w:r>
      <w:r w:rsidR="00AD320E" w:rsidRPr="00AD320E">
        <w:rPr>
          <w:rFonts w:ascii="Times New Roman" w:hAnsi="Times New Roman" w:cs="Times New Roman"/>
          <w:color w:val="000000"/>
          <w:sz w:val="26"/>
          <w:szCs w:val="26"/>
        </w:rPr>
        <w:t xml:space="preserve">Valsts sekretāra vietnieks – </w:t>
      </w:r>
    </w:p>
    <w:p w14:paraId="35628E2F"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r w:rsidRPr="00AD320E">
        <w:rPr>
          <w:rFonts w:ascii="Times New Roman" w:hAnsi="Times New Roman" w:cs="Times New Roman"/>
          <w:color w:val="000000"/>
          <w:sz w:val="26"/>
          <w:szCs w:val="26"/>
        </w:rPr>
        <w:t>Sporta departamenta direktors,</w:t>
      </w:r>
    </w:p>
    <w:p w14:paraId="19DF477F" w14:textId="26AECA9E" w:rsidR="00AD320E" w:rsidRDefault="009A7205" w:rsidP="00AD320E">
      <w:pPr>
        <w:autoSpaceDE w:val="0"/>
        <w:autoSpaceDN w:val="0"/>
        <w:adjustRightInd w:val="0"/>
        <w:spacing w:after="0" w:line="240" w:lineRule="auto"/>
        <w:ind w:firstLine="709"/>
        <w:rPr>
          <w:rFonts w:ascii="Times New Roman" w:hAnsi="Times New Roman" w:cs="Times New Roman"/>
          <w:color w:val="000000" w:themeColor="text1"/>
        </w:rPr>
      </w:pPr>
      <w:r>
        <w:rPr>
          <w:rFonts w:ascii="Times New Roman" w:hAnsi="Times New Roman" w:cs="Times New Roman"/>
          <w:color w:val="000000"/>
          <w:sz w:val="26"/>
          <w:szCs w:val="26"/>
        </w:rPr>
        <w:t>v</w:t>
      </w:r>
      <w:r w:rsidR="00AD320E" w:rsidRPr="00AD320E">
        <w:rPr>
          <w:rFonts w:ascii="Times New Roman" w:hAnsi="Times New Roman" w:cs="Times New Roman"/>
          <w:color w:val="000000"/>
          <w:sz w:val="26"/>
          <w:szCs w:val="26"/>
        </w:rPr>
        <w:t xml:space="preserve">alsts sekretāra pienākumu izpildītājs </w:t>
      </w:r>
      <w:r w:rsidR="00AD320E">
        <w:rPr>
          <w:rFonts w:ascii="Times New Roman" w:hAnsi="Times New Roman" w:cs="Times New Roman"/>
          <w:color w:val="000000"/>
          <w:sz w:val="26"/>
          <w:szCs w:val="26"/>
        </w:rPr>
        <w:t xml:space="preserve">                           </w:t>
      </w:r>
      <w:proofErr w:type="spellStart"/>
      <w:r w:rsidR="00AD320E" w:rsidRPr="00AD320E">
        <w:rPr>
          <w:rFonts w:ascii="Times New Roman" w:hAnsi="Times New Roman" w:cs="Times New Roman"/>
          <w:color w:val="000000"/>
          <w:sz w:val="26"/>
          <w:szCs w:val="26"/>
        </w:rPr>
        <w:t>E.Severs</w:t>
      </w:r>
      <w:proofErr w:type="spellEnd"/>
      <w:r w:rsidR="00AD320E" w:rsidRPr="00AD320E">
        <w:rPr>
          <w:rFonts w:ascii="Times New Roman" w:hAnsi="Times New Roman" w:cs="Times New Roman"/>
          <w:color w:val="000000"/>
          <w:sz w:val="26"/>
          <w:szCs w:val="26"/>
        </w:rPr>
        <w:t xml:space="preserve">  </w:t>
      </w:r>
    </w:p>
    <w:tbl>
      <w:tblPr>
        <w:tblW w:w="9287" w:type="dxa"/>
        <w:tblInd w:w="684" w:type="dxa"/>
        <w:tblLook w:val="04A0" w:firstRow="1" w:lastRow="0" w:firstColumn="1" w:lastColumn="0" w:noHBand="0" w:noVBand="1"/>
      </w:tblPr>
      <w:tblGrid>
        <w:gridCol w:w="5695"/>
        <w:gridCol w:w="3592"/>
      </w:tblGrid>
      <w:tr w:rsidR="00AD320E" w:rsidRPr="00AD320E" w14:paraId="5648C332" w14:textId="77777777" w:rsidTr="00E83C51">
        <w:trPr>
          <w:trHeight w:val="549"/>
        </w:trPr>
        <w:tc>
          <w:tcPr>
            <w:tcW w:w="5695" w:type="dxa"/>
          </w:tcPr>
          <w:p w14:paraId="5BE4D274" w14:textId="62A018ED"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tc>
        <w:tc>
          <w:tcPr>
            <w:tcW w:w="3592" w:type="dxa"/>
            <w:vAlign w:val="center"/>
          </w:tcPr>
          <w:p w14:paraId="746A94F6"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37E1A5FE"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r w:rsidRPr="00AD320E">
              <w:rPr>
                <w:rFonts w:ascii="Times New Roman" w:hAnsi="Times New Roman" w:cs="Times New Roman"/>
                <w:color w:val="000000"/>
                <w:sz w:val="26"/>
                <w:szCs w:val="26"/>
              </w:rPr>
              <w:t xml:space="preserve">                       </w:t>
            </w:r>
          </w:p>
          <w:p w14:paraId="66A9C83A"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1A7359CD" w14:textId="561A552C"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tc>
      </w:tr>
    </w:tbl>
    <w:p w14:paraId="40753812"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6BF4DB62"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09BE777B" w14:textId="1A9FD9CE" w:rsidR="0098651A" w:rsidRPr="004E26BD" w:rsidRDefault="00AF265E" w:rsidP="00AD320E">
      <w:pPr>
        <w:autoSpaceDE w:val="0"/>
        <w:autoSpaceDN w:val="0"/>
        <w:adjustRightInd w:val="0"/>
        <w:spacing w:after="0" w:line="240" w:lineRule="auto"/>
        <w:ind w:firstLine="709"/>
        <w:rPr>
          <w:rFonts w:ascii="Times New Roman" w:hAnsi="Times New Roman" w:cs="Times New Roman"/>
          <w:color w:val="000000" w:themeColor="text1"/>
        </w:rPr>
      </w:pPr>
      <w:r>
        <w:rPr>
          <w:rFonts w:ascii="Times New Roman" w:hAnsi="Times New Roman" w:cs="Times New Roman"/>
          <w:color w:val="000000" w:themeColor="text1"/>
        </w:rPr>
        <w:t>01.07</w:t>
      </w:r>
      <w:r w:rsidR="004E26BD" w:rsidRPr="004E26BD">
        <w:rPr>
          <w:rFonts w:ascii="Times New Roman" w:hAnsi="Times New Roman" w:cs="Times New Roman"/>
          <w:color w:val="000000" w:themeColor="text1"/>
        </w:rPr>
        <w:t>.2016</w:t>
      </w:r>
      <w:r w:rsidR="00C33447" w:rsidRPr="004E26BD">
        <w:rPr>
          <w:rFonts w:ascii="Times New Roman" w:hAnsi="Times New Roman" w:cs="Times New Roman"/>
          <w:color w:val="000000" w:themeColor="text1"/>
        </w:rPr>
        <w:t>.</w:t>
      </w:r>
      <w:r w:rsidR="008100AF" w:rsidRPr="004E26BD">
        <w:rPr>
          <w:rFonts w:ascii="Times New Roman" w:hAnsi="Times New Roman" w:cs="Times New Roman"/>
          <w:color w:val="000000" w:themeColor="text1"/>
        </w:rPr>
        <w:t xml:space="preserve"> </w:t>
      </w:r>
    </w:p>
    <w:p w14:paraId="7D8DBE36" w14:textId="456E814B" w:rsidR="008D639F" w:rsidRPr="004E26BD" w:rsidRDefault="005117BC" w:rsidP="008D639F">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4</w:t>
      </w:r>
      <w:r w:rsidR="00DA4D79">
        <w:rPr>
          <w:rFonts w:ascii="Times New Roman" w:hAnsi="Times New Roman" w:cs="Times New Roman"/>
          <w:color w:val="000000" w:themeColor="text1"/>
        </w:rPr>
        <w:t> </w:t>
      </w:r>
      <w:r w:rsidR="00C2407C">
        <w:rPr>
          <w:rFonts w:ascii="Times New Roman" w:hAnsi="Times New Roman" w:cs="Times New Roman"/>
          <w:color w:val="000000" w:themeColor="text1"/>
        </w:rPr>
        <w:t>3</w:t>
      </w:r>
      <w:r w:rsidR="00AD320E">
        <w:rPr>
          <w:rFonts w:ascii="Times New Roman" w:hAnsi="Times New Roman" w:cs="Times New Roman"/>
          <w:color w:val="000000" w:themeColor="text1"/>
        </w:rPr>
        <w:t>1</w:t>
      </w:r>
      <w:r w:rsidR="009A7205">
        <w:rPr>
          <w:rFonts w:ascii="Times New Roman" w:hAnsi="Times New Roman" w:cs="Times New Roman"/>
          <w:color w:val="000000" w:themeColor="text1"/>
        </w:rPr>
        <w:t>3</w:t>
      </w:r>
    </w:p>
    <w:p w14:paraId="205670C5" w14:textId="77777777" w:rsidR="0098651A" w:rsidRPr="004E26BD" w:rsidRDefault="002D1286" w:rsidP="00C348E6">
      <w:pPr>
        <w:spacing w:after="0" w:line="240" w:lineRule="auto"/>
        <w:ind w:firstLine="709"/>
        <w:jc w:val="both"/>
        <w:rPr>
          <w:rFonts w:ascii="Times New Roman" w:hAnsi="Times New Roman" w:cs="Times New Roman"/>
          <w:color w:val="000000" w:themeColor="text1"/>
        </w:rPr>
      </w:pPr>
      <w:proofErr w:type="spellStart"/>
      <w:r w:rsidRPr="004E26BD">
        <w:rPr>
          <w:rFonts w:ascii="Times New Roman" w:hAnsi="Times New Roman" w:cs="Times New Roman"/>
          <w:color w:val="000000" w:themeColor="text1"/>
        </w:rPr>
        <w:t>A.Trokša</w:t>
      </w:r>
      <w:proofErr w:type="spellEnd"/>
    </w:p>
    <w:p w14:paraId="0626F499" w14:textId="4CD35B5B" w:rsidR="000B2BDE" w:rsidRPr="009A7205" w:rsidRDefault="002D1286" w:rsidP="00C348E6">
      <w:pPr>
        <w:spacing w:after="0" w:line="240" w:lineRule="auto"/>
        <w:ind w:firstLine="709"/>
        <w:rPr>
          <w:rStyle w:val="Hyperlink"/>
          <w:rFonts w:ascii="Times New Roman" w:hAnsi="Times New Roman" w:cs="Times New Roman"/>
          <w:color w:val="000000" w:themeColor="text1"/>
          <w:sz w:val="26"/>
          <w:szCs w:val="26"/>
          <w:u w:val="none"/>
        </w:rPr>
      </w:pPr>
      <w:r w:rsidRPr="004E26BD">
        <w:rPr>
          <w:rFonts w:ascii="Times New Roman" w:hAnsi="Times New Roman" w:cs="Times New Roman"/>
          <w:color w:val="000000" w:themeColor="text1"/>
        </w:rPr>
        <w:t>67047858</w:t>
      </w:r>
      <w:r w:rsidR="0098651A" w:rsidRPr="004E26BD">
        <w:rPr>
          <w:rFonts w:ascii="Times New Roman" w:hAnsi="Times New Roman" w:cs="Times New Roman"/>
          <w:color w:val="000000" w:themeColor="text1"/>
        </w:rPr>
        <w:t xml:space="preserve">, </w:t>
      </w:r>
      <w:hyperlink r:id="rId8" w:history="1">
        <w:r w:rsidRPr="009A7205">
          <w:rPr>
            <w:rStyle w:val="Hyperlink"/>
            <w:rFonts w:ascii="Times New Roman" w:hAnsi="Times New Roman" w:cs="Times New Roman"/>
            <w:color w:val="000000" w:themeColor="text1"/>
            <w:u w:val="none"/>
          </w:rPr>
          <w:t>alise.</w:t>
        </w:r>
        <w:bookmarkStart w:id="6" w:name="_GoBack"/>
        <w:bookmarkEnd w:id="6"/>
        <w:r w:rsidRPr="009A7205">
          <w:rPr>
            <w:rStyle w:val="Hyperlink"/>
            <w:rFonts w:ascii="Times New Roman" w:hAnsi="Times New Roman" w:cs="Times New Roman"/>
            <w:color w:val="000000" w:themeColor="text1"/>
            <w:u w:val="none"/>
          </w:rPr>
          <w:t>troksa@izm.gov.lv</w:t>
        </w:r>
      </w:hyperlink>
    </w:p>
    <w:sectPr w:rsidR="000B2BDE" w:rsidRPr="009A7205" w:rsidSect="00FA173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8D4D1" w14:textId="77777777" w:rsidR="00866DFB" w:rsidRDefault="00866DFB" w:rsidP="0098651A">
      <w:pPr>
        <w:spacing w:after="0" w:line="240" w:lineRule="auto"/>
      </w:pPr>
      <w:r>
        <w:separator/>
      </w:r>
    </w:p>
  </w:endnote>
  <w:endnote w:type="continuationSeparator" w:id="0">
    <w:p w14:paraId="16F55349" w14:textId="77777777" w:rsidR="00866DFB" w:rsidRDefault="00866DFB"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773F" w14:textId="561BA084" w:rsidR="00740E31" w:rsidRPr="007205E5" w:rsidRDefault="006A3B94" w:rsidP="00CB6A5E">
    <w:pPr>
      <w:pStyle w:val="Header"/>
      <w:tabs>
        <w:tab w:val="clear" w:pos="4153"/>
        <w:tab w:val="clear" w:pos="8306"/>
      </w:tabs>
      <w:jc w:val="both"/>
      <w:rPr>
        <w:rFonts w:ascii="Times New Roman" w:hAnsi="Times New Roman" w:cs="Times New Roman"/>
      </w:rPr>
    </w:pPr>
    <w:r>
      <w:rPr>
        <w:rFonts w:ascii="Times New Roman" w:hAnsi="Times New Roman" w:cs="Times New Roman"/>
      </w:rPr>
      <w:t>IZMAnot_</w:t>
    </w:r>
    <w:r w:rsidR="00A153B9">
      <w:rPr>
        <w:rFonts w:ascii="Times New Roman" w:hAnsi="Times New Roman" w:cs="Times New Roman"/>
      </w:rPr>
      <w:t>0107</w:t>
    </w:r>
    <w:r w:rsidR="00740E31">
      <w:rPr>
        <w:rFonts w:ascii="Times New Roman" w:hAnsi="Times New Roman" w:cs="Times New Roman"/>
      </w:rPr>
      <w:t>16</w:t>
    </w:r>
    <w:r w:rsidR="00740E31" w:rsidRPr="00A97BA0">
      <w:rPr>
        <w:rFonts w:ascii="Times New Roman" w:hAnsi="Times New Roman" w:cs="Times New Roman"/>
      </w:rPr>
      <w:t xml:space="preserve">_groz1616; </w:t>
    </w:r>
    <w:bookmarkStart w:id="7" w:name="OLE_LINK9"/>
    <w:bookmarkStart w:id="8" w:name="OLE_LINK10"/>
    <w:r w:rsidR="00740E31" w:rsidRPr="00A97BA0">
      <w:rPr>
        <w:rFonts w:ascii="Times New Roman" w:hAnsi="Times New Roman" w:cs="Times New Roman"/>
      </w:rPr>
      <w:t>Ministru kabineta noteikumu projekta „Grozījumi Ministru kabineta 2009.gada 22.decembra noteikumos Nr.1616 „</w:t>
    </w:r>
    <w:r w:rsidR="00740E31">
      <w:rPr>
        <w:rFonts w:ascii="Times New Roman" w:hAnsi="Times New Roman" w:cs="Times New Roman"/>
      </w:rPr>
      <w:t>Par valsts budžeta mērķdotāciju pedagogu darba samaksai pašvaldību vispārējās izglītības iestādēs un valsts augstskolu vispārējās vidējās izglītības iestādēs</w:t>
    </w:r>
    <w:r w:rsidR="00740E31" w:rsidRPr="00A97BA0">
      <w:rPr>
        <w:rFonts w:ascii="Times New Roman" w:hAnsi="Times New Roman" w:cs="Times New Roman"/>
      </w:rPr>
      <w:t xml:space="preserve">”” sākotnējās </w:t>
    </w:r>
    <w:r w:rsidR="00740E31" w:rsidRPr="00A97BA0">
      <w:rPr>
        <w:rFonts w:ascii="Times New Roman" w:eastAsia="Calibri" w:hAnsi="Times New Roman" w:cs="Times New Roman"/>
      </w:rPr>
      <w:t xml:space="preserve">ietekmes novērtējuma </w:t>
    </w:r>
    <w:smartTag w:uri="schemas-tilde-lv/tildestengine" w:element="veidnes">
      <w:smartTagPr>
        <w:attr w:name="id" w:val="-1"/>
        <w:attr w:name="baseform" w:val="ziņojums"/>
        <w:attr w:name="text" w:val="ziņojums"/>
      </w:smartTagPr>
      <w:r w:rsidR="00740E31" w:rsidRPr="00A97BA0">
        <w:rPr>
          <w:rFonts w:ascii="Times New Roman" w:eastAsia="Calibri" w:hAnsi="Times New Roman" w:cs="Times New Roman"/>
        </w:rPr>
        <w:t>ziņojums</w:t>
      </w:r>
    </w:smartTag>
    <w:r w:rsidR="00740E31" w:rsidRPr="00A97BA0">
      <w:rPr>
        <w:rFonts w:ascii="Times New Roman" w:eastAsia="Calibri" w:hAnsi="Times New Roman" w:cs="Times New Roman"/>
      </w:rPr>
      <w:t xml:space="preserve"> (anotācija)</w:t>
    </w:r>
  </w:p>
  <w:bookmarkEnd w:id="7"/>
  <w:bookmarkEnd w:i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8C7D" w14:textId="250523B4" w:rsidR="00740E31" w:rsidRPr="006A3B94" w:rsidRDefault="006A3B94" w:rsidP="00C54DC1">
    <w:pPr>
      <w:pStyle w:val="Header"/>
      <w:tabs>
        <w:tab w:val="clear" w:pos="4153"/>
        <w:tab w:val="clear" w:pos="8306"/>
      </w:tabs>
      <w:jc w:val="both"/>
      <w:rPr>
        <w:rFonts w:ascii="Times New Roman" w:hAnsi="Times New Roman" w:cs="Times New Roman"/>
      </w:rPr>
    </w:pPr>
    <w:r>
      <w:rPr>
        <w:rFonts w:ascii="Times New Roman" w:hAnsi="Times New Roman" w:cs="Times New Roman"/>
      </w:rPr>
      <w:t>IZMAnot_</w:t>
    </w:r>
    <w:r w:rsidR="00A153B9">
      <w:rPr>
        <w:rFonts w:ascii="Times New Roman" w:hAnsi="Times New Roman" w:cs="Times New Roman"/>
      </w:rPr>
      <w:t>0107</w:t>
    </w:r>
    <w:r w:rsidR="00740E31">
      <w:rPr>
        <w:rFonts w:ascii="Times New Roman" w:hAnsi="Times New Roman" w:cs="Times New Roman"/>
      </w:rPr>
      <w:t>16</w:t>
    </w:r>
    <w:r w:rsidR="00740E31" w:rsidRPr="00A97BA0">
      <w:rPr>
        <w:rFonts w:ascii="Times New Roman" w:hAnsi="Times New Roman" w:cs="Times New Roman"/>
      </w:rPr>
      <w:t>_groz1616; Ministru kabineta noteikumu projekta „Grozījumi Ministru kabineta 2009.gada 22.decembra noteikumos Nr.1616 „</w:t>
    </w:r>
    <w:r w:rsidR="00740E31">
      <w:rPr>
        <w:rFonts w:ascii="Times New Roman" w:hAnsi="Times New Roman" w:cs="Times New Roman"/>
      </w:rPr>
      <w:t>Par valsts budžeta mērķdotāciju pedagogu darba samaksai pašvaldību vispārējās izglītības iestādēs un valsts augstskolu vispārējās vidējās izglītības iestādēs</w:t>
    </w:r>
    <w:r w:rsidR="00740E31" w:rsidRPr="00A97BA0">
      <w:rPr>
        <w:rFonts w:ascii="Times New Roman" w:hAnsi="Times New Roman" w:cs="Times New Roman"/>
      </w:rPr>
      <w:t xml:space="preserve">”” sākotnējās </w:t>
    </w:r>
    <w:r w:rsidR="00740E31" w:rsidRPr="00A97BA0">
      <w:rPr>
        <w:rFonts w:ascii="Times New Roman" w:eastAsia="Calibri" w:hAnsi="Times New Roman" w:cs="Times New Roman"/>
      </w:rPr>
      <w:t xml:space="preserve">ietekmes novērtējuma </w:t>
    </w:r>
    <w:smartTag w:uri="schemas-tilde-lv/tildestengine" w:element="veidnes">
      <w:smartTagPr>
        <w:attr w:name="id" w:val="-1"/>
        <w:attr w:name="baseform" w:val="ziņojums"/>
        <w:attr w:name="text" w:val="ziņojums"/>
      </w:smartTagPr>
      <w:r w:rsidR="00740E31" w:rsidRPr="00A97BA0">
        <w:rPr>
          <w:rFonts w:ascii="Times New Roman" w:eastAsia="Calibri" w:hAnsi="Times New Roman" w:cs="Times New Roman"/>
        </w:rPr>
        <w:t>ziņojums</w:t>
      </w:r>
    </w:smartTag>
    <w:r w:rsidR="00740E31" w:rsidRPr="00A97BA0">
      <w:rPr>
        <w:rFonts w:ascii="Times New Roman" w:eastAsia="Calibri" w:hAnsi="Times New Roman" w:cs="Times New Roman"/>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DE237" w14:textId="77777777" w:rsidR="00866DFB" w:rsidRDefault="00866DFB" w:rsidP="0098651A">
      <w:pPr>
        <w:spacing w:after="0" w:line="240" w:lineRule="auto"/>
      </w:pPr>
      <w:r>
        <w:separator/>
      </w:r>
    </w:p>
  </w:footnote>
  <w:footnote w:type="continuationSeparator" w:id="0">
    <w:p w14:paraId="54D389EA" w14:textId="77777777" w:rsidR="00866DFB" w:rsidRDefault="00866DFB"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8782"/>
      <w:docPartObj>
        <w:docPartGallery w:val="Page Numbers (Top of Page)"/>
        <w:docPartUnique/>
      </w:docPartObj>
    </w:sdtPr>
    <w:sdtEndPr/>
    <w:sdtContent>
      <w:p w14:paraId="5F3AD9F1" w14:textId="77777777" w:rsidR="00740E31" w:rsidRDefault="00740E31">
        <w:pPr>
          <w:pStyle w:val="Header"/>
          <w:jc w:val="center"/>
        </w:pPr>
        <w:r>
          <w:fldChar w:fldCharType="begin"/>
        </w:r>
        <w:r>
          <w:instrText xml:space="preserve"> PAGE   \* MERGEFORMAT </w:instrText>
        </w:r>
        <w:r>
          <w:fldChar w:fldCharType="separate"/>
        </w:r>
        <w:r w:rsidR="009A7205">
          <w:rPr>
            <w:noProof/>
          </w:rPr>
          <w:t>16</w:t>
        </w:r>
        <w:r>
          <w:rPr>
            <w:noProof/>
          </w:rPr>
          <w:fldChar w:fldCharType="end"/>
        </w:r>
      </w:p>
    </w:sdtContent>
  </w:sdt>
  <w:p w14:paraId="6FC7E26B" w14:textId="77777777" w:rsidR="00740E31" w:rsidRDefault="00740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2341C"/>
    <w:multiLevelType w:val="hybridMultilevel"/>
    <w:tmpl w:val="371C7DA6"/>
    <w:lvl w:ilvl="0" w:tplc="E954F4D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4" w15:restartNumberingAfterBreak="0">
    <w:nsid w:val="1EA96B3A"/>
    <w:multiLevelType w:val="hybridMultilevel"/>
    <w:tmpl w:val="F5426692"/>
    <w:lvl w:ilvl="0" w:tplc="AA6808C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D65370"/>
    <w:multiLevelType w:val="hybridMultilevel"/>
    <w:tmpl w:val="4C003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4717E1"/>
    <w:multiLevelType w:val="hybridMultilevel"/>
    <w:tmpl w:val="A3FEED8E"/>
    <w:lvl w:ilvl="0" w:tplc="740204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833A1"/>
    <w:multiLevelType w:val="hybridMultilevel"/>
    <w:tmpl w:val="AC282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DEE75B1"/>
    <w:multiLevelType w:val="hybridMultilevel"/>
    <w:tmpl w:val="239C7DC2"/>
    <w:lvl w:ilvl="0" w:tplc="12F45B04">
      <w:start w:val="1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10"/>
  </w:num>
  <w:num w:numId="7">
    <w:abstractNumId w:val="11"/>
  </w:num>
  <w:num w:numId="8">
    <w:abstractNumId w:val="3"/>
  </w:num>
  <w:num w:numId="9">
    <w:abstractNumId w:val="9"/>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DDD"/>
    <w:rsid w:val="00005E88"/>
    <w:rsid w:val="0000680D"/>
    <w:rsid w:val="00011041"/>
    <w:rsid w:val="00011EF1"/>
    <w:rsid w:val="00014CFF"/>
    <w:rsid w:val="000226A1"/>
    <w:rsid w:val="00022977"/>
    <w:rsid w:val="00024980"/>
    <w:rsid w:val="00027EBF"/>
    <w:rsid w:val="00030C06"/>
    <w:rsid w:val="00034FE0"/>
    <w:rsid w:val="0003533C"/>
    <w:rsid w:val="00040388"/>
    <w:rsid w:val="000451FC"/>
    <w:rsid w:val="00054C8E"/>
    <w:rsid w:val="0005557D"/>
    <w:rsid w:val="00057E49"/>
    <w:rsid w:val="00060D72"/>
    <w:rsid w:val="00063E84"/>
    <w:rsid w:val="00067DA0"/>
    <w:rsid w:val="0007291B"/>
    <w:rsid w:val="00073CE5"/>
    <w:rsid w:val="00074D78"/>
    <w:rsid w:val="00082E4E"/>
    <w:rsid w:val="0008412B"/>
    <w:rsid w:val="0008606A"/>
    <w:rsid w:val="000868C1"/>
    <w:rsid w:val="0009101D"/>
    <w:rsid w:val="00091BEA"/>
    <w:rsid w:val="000A604B"/>
    <w:rsid w:val="000A7055"/>
    <w:rsid w:val="000B1F37"/>
    <w:rsid w:val="000B2BDE"/>
    <w:rsid w:val="000B386D"/>
    <w:rsid w:val="000B45C9"/>
    <w:rsid w:val="000B69EA"/>
    <w:rsid w:val="000C0941"/>
    <w:rsid w:val="000C3497"/>
    <w:rsid w:val="000D1E44"/>
    <w:rsid w:val="000D42E2"/>
    <w:rsid w:val="000D49CF"/>
    <w:rsid w:val="000D5D23"/>
    <w:rsid w:val="000E2A58"/>
    <w:rsid w:val="000E2AAD"/>
    <w:rsid w:val="000F0367"/>
    <w:rsid w:val="000F7887"/>
    <w:rsid w:val="00101B7F"/>
    <w:rsid w:val="00113D5B"/>
    <w:rsid w:val="00117B82"/>
    <w:rsid w:val="00120816"/>
    <w:rsid w:val="0012402C"/>
    <w:rsid w:val="00125F3A"/>
    <w:rsid w:val="00127706"/>
    <w:rsid w:val="001277E1"/>
    <w:rsid w:val="00133E55"/>
    <w:rsid w:val="00140BA3"/>
    <w:rsid w:val="0014120C"/>
    <w:rsid w:val="00141644"/>
    <w:rsid w:val="00150C13"/>
    <w:rsid w:val="00151512"/>
    <w:rsid w:val="0015151D"/>
    <w:rsid w:val="00154699"/>
    <w:rsid w:val="00167678"/>
    <w:rsid w:val="00176344"/>
    <w:rsid w:val="0017761E"/>
    <w:rsid w:val="00177828"/>
    <w:rsid w:val="00180D34"/>
    <w:rsid w:val="00187446"/>
    <w:rsid w:val="00196446"/>
    <w:rsid w:val="00196C11"/>
    <w:rsid w:val="001A4E95"/>
    <w:rsid w:val="001A79A4"/>
    <w:rsid w:val="001B45C9"/>
    <w:rsid w:val="001C1DDD"/>
    <w:rsid w:val="001D1842"/>
    <w:rsid w:val="001E1522"/>
    <w:rsid w:val="001F47A1"/>
    <w:rsid w:val="00202B51"/>
    <w:rsid w:val="002047C9"/>
    <w:rsid w:val="002229C7"/>
    <w:rsid w:val="00232260"/>
    <w:rsid w:val="0024333C"/>
    <w:rsid w:val="00252270"/>
    <w:rsid w:val="002575F1"/>
    <w:rsid w:val="002576BE"/>
    <w:rsid w:val="00257AD0"/>
    <w:rsid w:val="00263110"/>
    <w:rsid w:val="002643D0"/>
    <w:rsid w:val="00271252"/>
    <w:rsid w:val="00271531"/>
    <w:rsid w:val="00273EA8"/>
    <w:rsid w:val="00280ED8"/>
    <w:rsid w:val="002864F9"/>
    <w:rsid w:val="00290AF5"/>
    <w:rsid w:val="00297664"/>
    <w:rsid w:val="002A0F4A"/>
    <w:rsid w:val="002A6D90"/>
    <w:rsid w:val="002C0276"/>
    <w:rsid w:val="002D1286"/>
    <w:rsid w:val="002E1B6C"/>
    <w:rsid w:val="002E2EFA"/>
    <w:rsid w:val="002E3BCC"/>
    <w:rsid w:val="002F270E"/>
    <w:rsid w:val="002F2AEA"/>
    <w:rsid w:val="00300472"/>
    <w:rsid w:val="00301722"/>
    <w:rsid w:val="0030560C"/>
    <w:rsid w:val="00310046"/>
    <w:rsid w:val="003116E9"/>
    <w:rsid w:val="00324C7D"/>
    <w:rsid w:val="00324EF4"/>
    <w:rsid w:val="00333257"/>
    <w:rsid w:val="003519C8"/>
    <w:rsid w:val="00354900"/>
    <w:rsid w:val="00355511"/>
    <w:rsid w:val="00356007"/>
    <w:rsid w:val="00363E52"/>
    <w:rsid w:val="00364561"/>
    <w:rsid w:val="00386110"/>
    <w:rsid w:val="00392425"/>
    <w:rsid w:val="003926D4"/>
    <w:rsid w:val="003A188C"/>
    <w:rsid w:val="003A2C7C"/>
    <w:rsid w:val="003A3B1B"/>
    <w:rsid w:val="003A529F"/>
    <w:rsid w:val="003A53BB"/>
    <w:rsid w:val="003A7783"/>
    <w:rsid w:val="003A7F30"/>
    <w:rsid w:val="003B2F2B"/>
    <w:rsid w:val="003B6E55"/>
    <w:rsid w:val="003C2A33"/>
    <w:rsid w:val="003C2F87"/>
    <w:rsid w:val="003D1B23"/>
    <w:rsid w:val="003D26CB"/>
    <w:rsid w:val="003E529B"/>
    <w:rsid w:val="003E6760"/>
    <w:rsid w:val="003F3369"/>
    <w:rsid w:val="003F3777"/>
    <w:rsid w:val="003F4268"/>
    <w:rsid w:val="003F77C7"/>
    <w:rsid w:val="004014DD"/>
    <w:rsid w:val="00405B2D"/>
    <w:rsid w:val="004075AF"/>
    <w:rsid w:val="00410CEB"/>
    <w:rsid w:val="0041218A"/>
    <w:rsid w:val="00417D8C"/>
    <w:rsid w:val="00423741"/>
    <w:rsid w:val="00425A7F"/>
    <w:rsid w:val="004425FA"/>
    <w:rsid w:val="004568DB"/>
    <w:rsid w:val="00457F1A"/>
    <w:rsid w:val="00457FB7"/>
    <w:rsid w:val="0046101A"/>
    <w:rsid w:val="00471E59"/>
    <w:rsid w:val="00472D99"/>
    <w:rsid w:val="00474AD3"/>
    <w:rsid w:val="004752FA"/>
    <w:rsid w:val="00485FA4"/>
    <w:rsid w:val="004908B4"/>
    <w:rsid w:val="004956CE"/>
    <w:rsid w:val="004B009D"/>
    <w:rsid w:val="004B5A24"/>
    <w:rsid w:val="004B76B4"/>
    <w:rsid w:val="004B7845"/>
    <w:rsid w:val="004B7898"/>
    <w:rsid w:val="004C1D96"/>
    <w:rsid w:val="004C3A73"/>
    <w:rsid w:val="004C7945"/>
    <w:rsid w:val="004E108B"/>
    <w:rsid w:val="004E1194"/>
    <w:rsid w:val="004E1A4A"/>
    <w:rsid w:val="004E26BD"/>
    <w:rsid w:val="004F142D"/>
    <w:rsid w:val="004F46FE"/>
    <w:rsid w:val="004F6154"/>
    <w:rsid w:val="004F686B"/>
    <w:rsid w:val="00506711"/>
    <w:rsid w:val="00506BD7"/>
    <w:rsid w:val="005117BC"/>
    <w:rsid w:val="00514935"/>
    <w:rsid w:val="00526CFE"/>
    <w:rsid w:val="0052741F"/>
    <w:rsid w:val="0053406A"/>
    <w:rsid w:val="00535F7E"/>
    <w:rsid w:val="005404B3"/>
    <w:rsid w:val="005415B0"/>
    <w:rsid w:val="005440B6"/>
    <w:rsid w:val="005455E1"/>
    <w:rsid w:val="0054699A"/>
    <w:rsid w:val="00550800"/>
    <w:rsid w:val="00553841"/>
    <w:rsid w:val="00557E17"/>
    <w:rsid w:val="00561EE9"/>
    <w:rsid w:val="005657F2"/>
    <w:rsid w:val="00566F80"/>
    <w:rsid w:val="00570E7B"/>
    <w:rsid w:val="005718CC"/>
    <w:rsid w:val="00575CDF"/>
    <w:rsid w:val="005778F3"/>
    <w:rsid w:val="00577DA8"/>
    <w:rsid w:val="005840BD"/>
    <w:rsid w:val="00585D56"/>
    <w:rsid w:val="0059231D"/>
    <w:rsid w:val="00594300"/>
    <w:rsid w:val="00596741"/>
    <w:rsid w:val="005A56A9"/>
    <w:rsid w:val="005B4016"/>
    <w:rsid w:val="005B5C5A"/>
    <w:rsid w:val="005C0C07"/>
    <w:rsid w:val="005C219D"/>
    <w:rsid w:val="005C3CAD"/>
    <w:rsid w:val="005C50AE"/>
    <w:rsid w:val="005C533C"/>
    <w:rsid w:val="005C71F3"/>
    <w:rsid w:val="005D6E00"/>
    <w:rsid w:val="005F2CD6"/>
    <w:rsid w:val="005F6922"/>
    <w:rsid w:val="00601626"/>
    <w:rsid w:val="0060204E"/>
    <w:rsid w:val="00602F1D"/>
    <w:rsid w:val="00611191"/>
    <w:rsid w:val="006132EB"/>
    <w:rsid w:val="00614A51"/>
    <w:rsid w:val="00615AB5"/>
    <w:rsid w:val="00616A18"/>
    <w:rsid w:val="00624DC3"/>
    <w:rsid w:val="006357C8"/>
    <w:rsid w:val="006405BC"/>
    <w:rsid w:val="00652745"/>
    <w:rsid w:val="006528F7"/>
    <w:rsid w:val="006533DB"/>
    <w:rsid w:val="006556B2"/>
    <w:rsid w:val="006606B9"/>
    <w:rsid w:val="006645C7"/>
    <w:rsid w:val="00670A3D"/>
    <w:rsid w:val="00670D94"/>
    <w:rsid w:val="00672E55"/>
    <w:rsid w:val="006874F4"/>
    <w:rsid w:val="0069413F"/>
    <w:rsid w:val="0069515A"/>
    <w:rsid w:val="00695B9E"/>
    <w:rsid w:val="006A22EE"/>
    <w:rsid w:val="006A26FE"/>
    <w:rsid w:val="006A2FCD"/>
    <w:rsid w:val="006A3B94"/>
    <w:rsid w:val="006D1BA2"/>
    <w:rsid w:val="006D53BC"/>
    <w:rsid w:val="006F123D"/>
    <w:rsid w:val="006F2905"/>
    <w:rsid w:val="00702DEA"/>
    <w:rsid w:val="00702E99"/>
    <w:rsid w:val="00713D0C"/>
    <w:rsid w:val="00717DFA"/>
    <w:rsid w:val="007205E5"/>
    <w:rsid w:val="00720DBB"/>
    <w:rsid w:val="00733BCC"/>
    <w:rsid w:val="007352F2"/>
    <w:rsid w:val="0073566F"/>
    <w:rsid w:val="00735746"/>
    <w:rsid w:val="007369F4"/>
    <w:rsid w:val="00740E31"/>
    <w:rsid w:val="00743862"/>
    <w:rsid w:val="00750B54"/>
    <w:rsid w:val="00750C3D"/>
    <w:rsid w:val="00755DA9"/>
    <w:rsid w:val="007602DC"/>
    <w:rsid w:val="00762B3D"/>
    <w:rsid w:val="00774B31"/>
    <w:rsid w:val="007851E2"/>
    <w:rsid w:val="00787FCB"/>
    <w:rsid w:val="00797022"/>
    <w:rsid w:val="0079740F"/>
    <w:rsid w:val="007A0A4A"/>
    <w:rsid w:val="007A2B52"/>
    <w:rsid w:val="007A2E94"/>
    <w:rsid w:val="007B165A"/>
    <w:rsid w:val="007B59D6"/>
    <w:rsid w:val="007C2DC2"/>
    <w:rsid w:val="007C3331"/>
    <w:rsid w:val="007D2A1B"/>
    <w:rsid w:val="007E25B2"/>
    <w:rsid w:val="007E2D71"/>
    <w:rsid w:val="007F5D3A"/>
    <w:rsid w:val="0080297B"/>
    <w:rsid w:val="00804370"/>
    <w:rsid w:val="0080452C"/>
    <w:rsid w:val="008100AF"/>
    <w:rsid w:val="008229C8"/>
    <w:rsid w:val="0082371A"/>
    <w:rsid w:val="00826D6D"/>
    <w:rsid w:val="00831891"/>
    <w:rsid w:val="00835D75"/>
    <w:rsid w:val="00835E58"/>
    <w:rsid w:val="008374D7"/>
    <w:rsid w:val="00840040"/>
    <w:rsid w:val="00843C2A"/>
    <w:rsid w:val="008442BC"/>
    <w:rsid w:val="00846F9C"/>
    <w:rsid w:val="008551C8"/>
    <w:rsid w:val="00855E25"/>
    <w:rsid w:val="00856883"/>
    <w:rsid w:val="00861000"/>
    <w:rsid w:val="0086487B"/>
    <w:rsid w:val="00865BE2"/>
    <w:rsid w:val="00866DFB"/>
    <w:rsid w:val="008723C4"/>
    <w:rsid w:val="00873CD3"/>
    <w:rsid w:val="00881D7F"/>
    <w:rsid w:val="00882D50"/>
    <w:rsid w:val="008848C4"/>
    <w:rsid w:val="00887EBE"/>
    <w:rsid w:val="00891B9D"/>
    <w:rsid w:val="0089669A"/>
    <w:rsid w:val="00896A3A"/>
    <w:rsid w:val="0089761B"/>
    <w:rsid w:val="008A02D5"/>
    <w:rsid w:val="008A4630"/>
    <w:rsid w:val="008A5547"/>
    <w:rsid w:val="008A656F"/>
    <w:rsid w:val="008C2B1F"/>
    <w:rsid w:val="008C2E05"/>
    <w:rsid w:val="008C36DE"/>
    <w:rsid w:val="008C3EF8"/>
    <w:rsid w:val="008C6DA5"/>
    <w:rsid w:val="008D0D26"/>
    <w:rsid w:val="008D1B5F"/>
    <w:rsid w:val="008D42A3"/>
    <w:rsid w:val="008D46C6"/>
    <w:rsid w:val="008D639F"/>
    <w:rsid w:val="008D6EAF"/>
    <w:rsid w:val="008E1070"/>
    <w:rsid w:val="008E25A6"/>
    <w:rsid w:val="008E6A53"/>
    <w:rsid w:val="008E7102"/>
    <w:rsid w:val="008E7DC2"/>
    <w:rsid w:val="008F0CA4"/>
    <w:rsid w:val="008F5329"/>
    <w:rsid w:val="00902B05"/>
    <w:rsid w:val="00905E5F"/>
    <w:rsid w:val="00907202"/>
    <w:rsid w:val="009125D9"/>
    <w:rsid w:val="0091294B"/>
    <w:rsid w:val="00912E94"/>
    <w:rsid w:val="009132DF"/>
    <w:rsid w:val="00915206"/>
    <w:rsid w:val="009152D4"/>
    <w:rsid w:val="00921AAE"/>
    <w:rsid w:val="00924648"/>
    <w:rsid w:val="009269D4"/>
    <w:rsid w:val="00927D68"/>
    <w:rsid w:val="00942440"/>
    <w:rsid w:val="0095022A"/>
    <w:rsid w:val="00950947"/>
    <w:rsid w:val="00953983"/>
    <w:rsid w:val="00970DE5"/>
    <w:rsid w:val="0097213D"/>
    <w:rsid w:val="009826AD"/>
    <w:rsid w:val="00985483"/>
    <w:rsid w:val="0098651A"/>
    <w:rsid w:val="00987444"/>
    <w:rsid w:val="009901AC"/>
    <w:rsid w:val="00994D14"/>
    <w:rsid w:val="0099628A"/>
    <w:rsid w:val="009A4D7F"/>
    <w:rsid w:val="009A7205"/>
    <w:rsid w:val="009B22A0"/>
    <w:rsid w:val="009B29CB"/>
    <w:rsid w:val="009B676E"/>
    <w:rsid w:val="009B7C84"/>
    <w:rsid w:val="009C0FCA"/>
    <w:rsid w:val="009C1662"/>
    <w:rsid w:val="009C7EC2"/>
    <w:rsid w:val="009D2C83"/>
    <w:rsid w:val="009D3A10"/>
    <w:rsid w:val="009D65AF"/>
    <w:rsid w:val="009E1087"/>
    <w:rsid w:val="009F0D2B"/>
    <w:rsid w:val="009F5A23"/>
    <w:rsid w:val="009F770B"/>
    <w:rsid w:val="00A034CB"/>
    <w:rsid w:val="00A061B6"/>
    <w:rsid w:val="00A113CC"/>
    <w:rsid w:val="00A11522"/>
    <w:rsid w:val="00A13E3C"/>
    <w:rsid w:val="00A142D9"/>
    <w:rsid w:val="00A149A4"/>
    <w:rsid w:val="00A14BEA"/>
    <w:rsid w:val="00A153B9"/>
    <w:rsid w:val="00A17809"/>
    <w:rsid w:val="00A179C8"/>
    <w:rsid w:val="00A33ACA"/>
    <w:rsid w:val="00A41B5A"/>
    <w:rsid w:val="00A42960"/>
    <w:rsid w:val="00A444A0"/>
    <w:rsid w:val="00A47A54"/>
    <w:rsid w:val="00A5207C"/>
    <w:rsid w:val="00A52894"/>
    <w:rsid w:val="00A5656B"/>
    <w:rsid w:val="00A56CAB"/>
    <w:rsid w:val="00A57B89"/>
    <w:rsid w:val="00A630C0"/>
    <w:rsid w:val="00A7177B"/>
    <w:rsid w:val="00A75C92"/>
    <w:rsid w:val="00A766F7"/>
    <w:rsid w:val="00A8179E"/>
    <w:rsid w:val="00A821B7"/>
    <w:rsid w:val="00A8373F"/>
    <w:rsid w:val="00A85BCE"/>
    <w:rsid w:val="00A934CD"/>
    <w:rsid w:val="00A93BA9"/>
    <w:rsid w:val="00A97BA0"/>
    <w:rsid w:val="00AC4D59"/>
    <w:rsid w:val="00AD0B16"/>
    <w:rsid w:val="00AD320E"/>
    <w:rsid w:val="00AD6058"/>
    <w:rsid w:val="00AE0B29"/>
    <w:rsid w:val="00AF202A"/>
    <w:rsid w:val="00AF265E"/>
    <w:rsid w:val="00AF34C5"/>
    <w:rsid w:val="00B00F9A"/>
    <w:rsid w:val="00B171F2"/>
    <w:rsid w:val="00B21AD6"/>
    <w:rsid w:val="00B31504"/>
    <w:rsid w:val="00B35455"/>
    <w:rsid w:val="00B37D05"/>
    <w:rsid w:val="00B522BA"/>
    <w:rsid w:val="00B53B7D"/>
    <w:rsid w:val="00B6194B"/>
    <w:rsid w:val="00B644EA"/>
    <w:rsid w:val="00B65AC3"/>
    <w:rsid w:val="00B67901"/>
    <w:rsid w:val="00B75374"/>
    <w:rsid w:val="00B756F6"/>
    <w:rsid w:val="00B761CA"/>
    <w:rsid w:val="00B77578"/>
    <w:rsid w:val="00B8071B"/>
    <w:rsid w:val="00B8397F"/>
    <w:rsid w:val="00B85763"/>
    <w:rsid w:val="00BA7B4E"/>
    <w:rsid w:val="00BB58BD"/>
    <w:rsid w:val="00BC02EF"/>
    <w:rsid w:val="00BC15D1"/>
    <w:rsid w:val="00BC307F"/>
    <w:rsid w:val="00BC7DC8"/>
    <w:rsid w:val="00BD4681"/>
    <w:rsid w:val="00BD6B10"/>
    <w:rsid w:val="00BD7B47"/>
    <w:rsid w:val="00BE0EF2"/>
    <w:rsid w:val="00BF2F47"/>
    <w:rsid w:val="00BF5799"/>
    <w:rsid w:val="00BF5A64"/>
    <w:rsid w:val="00C01C7D"/>
    <w:rsid w:val="00C04F50"/>
    <w:rsid w:val="00C14AB8"/>
    <w:rsid w:val="00C2326E"/>
    <w:rsid w:val="00C23D5D"/>
    <w:rsid w:val="00C2407C"/>
    <w:rsid w:val="00C24C31"/>
    <w:rsid w:val="00C27A19"/>
    <w:rsid w:val="00C304C7"/>
    <w:rsid w:val="00C33447"/>
    <w:rsid w:val="00C348E6"/>
    <w:rsid w:val="00C34922"/>
    <w:rsid w:val="00C36CE6"/>
    <w:rsid w:val="00C36EF5"/>
    <w:rsid w:val="00C44DBE"/>
    <w:rsid w:val="00C46B87"/>
    <w:rsid w:val="00C47425"/>
    <w:rsid w:val="00C54D3E"/>
    <w:rsid w:val="00C54DC1"/>
    <w:rsid w:val="00C611C6"/>
    <w:rsid w:val="00C762BB"/>
    <w:rsid w:val="00C92ECB"/>
    <w:rsid w:val="00CA0153"/>
    <w:rsid w:val="00CB0210"/>
    <w:rsid w:val="00CB1861"/>
    <w:rsid w:val="00CB4C0D"/>
    <w:rsid w:val="00CB569E"/>
    <w:rsid w:val="00CB6A5E"/>
    <w:rsid w:val="00CB7C7A"/>
    <w:rsid w:val="00CC01C4"/>
    <w:rsid w:val="00CD0025"/>
    <w:rsid w:val="00CD798C"/>
    <w:rsid w:val="00CE3B84"/>
    <w:rsid w:val="00CE44B9"/>
    <w:rsid w:val="00CE578B"/>
    <w:rsid w:val="00CF0089"/>
    <w:rsid w:val="00CF1E33"/>
    <w:rsid w:val="00CF3A1C"/>
    <w:rsid w:val="00CF6E62"/>
    <w:rsid w:val="00CF76BC"/>
    <w:rsid w:val="00D1291B"/>
    <w:rsid w:val="00D15919"/>
    <w:rsid w:val="00D17D4A"/>
    <w:rsid w:val="00D25B9A"/>
    <w:rsid w:val="00D35350"/>
    <w:rsid w:val="00D43A12"/>
    <w:rsid w:val="00D45024"/>
    <w:rsid w:val="00D51C98"/>
    <w:rsid w:val="00D548A9"/>
    <w:rsid w:val="00D6577C"/>
    <w:rsid w:val="00D70853"/>
    <w:rsid w:val="00D73AE0"/>
    <w:rsid w:val="00D8160B"/>
    <w:rsid w:val="00D8341B"/>
    <w:rsid w:val="00D86FB3"/>
    <w:rsid w:val="00D92306"/>
    <w:rsid w:val="00D93BD4"/>
    <w:rsid w:val="00D965A5"/>
    <w:rsid w:val="00D97E3C"/>
    <w:rsid w:val="00DA25EF"/>
    <w:rsid w:val="00DA4D79"/>
    <w:rsid w:val="00DA4E18"/>
    <w:rsid w:val="00DB02F0"/>
    <w:rsid w:val="00DB14A0"/>
    <w:rsid w:val="00DB2980"/>
    <w:rsid w:val="00DB369C"/>
    <w:rsid w:val="00DF238D"/>
    <w:rsid w:val="00E00701"/>
    <w:rsid w:val="00E01925"/>
    <w:rsid w:val="00E026EB"/>
    <w:rsid w:val="00E1320C"/>
    <w:rsid w:val="00E16F5D"/>
    <w:rsid w:val="00E22FAB"/>
    <w:rsid w:val="00E2594E"/>
    <w:rsid w:val="00E35F13"/>
    <w:rsid w:val="00E37264"/>
    <w:rsid w:val="00E373A4"/>
    <w:rsid w:val="00E41E52"/>
    <w:rsid w:val="00E44CFD"/>
    <w:rsid w:val="00E53646"/>
    <w:rsid w:val="00E54F78"/>
    <w:rsid w:val="00E61185"/>
    <w:rsid w:val="00E62E0D"/>
    <w:rsid w:val="00E646ED"/>
    <w:rsid w:val="00E661BE"/>
    <w:rsid w:val="00E73043"/>
    <w:rsid w:val="00E75CBC"/>
    <w:rsid w:val="00E75EA2"/>
    <w:rsid w:val="00E81A4A"/>
    <w:rsid w:val="00E85159"/>
    <w:rsid w:val="00E86396"/>
    <w:rsid w:val="00EA4B63"/>
    <w:rsid w:val="00EA61DC"/>
    <w:rsid w:val="00EB5641"/>
    <w:rsid w:val="00EC45A3"/>
    <w:rsid w:val="00EC4AF7"/>
    <w:rsid w:val="00EC62F8"/>
    <w:rsid w:val="00ED06DB"/>
    <w:rsid w:val="00ED072E"/>
    <w:rsid w:val="00ED325D"/>
    <w:rsid w:val="00ED59A6"/>
    <w:rsid w:val="00ED6770"/>
    <w:rsid w:val="00EE0C22"/>
    <w:rsid w:val="00EE23E9"/>
    <w:rsid w:val="00EF3012"/>
    <w:rsid w:val="00EF5E0D"/>
    <w:rsid w:val="00F00560"/>
    <w:rsid w:val="00F073EE"/>
    <w:rsid w:val="00F111A7"/>
    <w:rsid w:val="00F13851"/>
    <w:rsid w:val="00F1461B"/>
    <w:rsid w:val="00F17EBF"/>
    <w:rsid w:val="00F2067A"/>
    <w:rsid w:val="00F25044"/>
    <w:rsid w:val="00F360C4"/>
    <w:rsid w:val="00F3739A"/>
    <w:rsid w:val="00F4402A"/>
    <w:rsid w:val="00F47978"/>
    <w:rsid w:val="00F55010"/>
    <w:rsid w:val="00F65477"/>
    <w:rsid w:val="00F76228"/>
    <w:rsid w:val="00F83F1E"/>
    <w:rsid w:val="00F851B1"/>
    <w:rsid w:val="00F86797"/>
    <w:rsid w:val="00F951BC"/>
    <w:rsid w:val="00F95248"/>
    <w:rsid w:val="00F97A1B"/>
    <w:rsid w:val="00FA1731"/>
    <w:rsid w:val="00FB04B2"/>
    <w:rsid w:val="00FB42FB"/>
    <w:rsid w:val="00FC016D"/>
    <w:rsid w:val="00FC1171"/>
    <w:rsid w:val="00FC1995"/>
    <w:rsid w:val="00FC2D94"/>
    <w:rsid w:val="00FC7003"/>
    <w:rsid w:val="00FD2F16"/>
    <w:rsid w:val="00FD65DD"/>
    <w:rsid w:val="00FD760D"/>
    <w:rsid w:val="00FE0176"/>
    <w:rsid w:val="00FE141C"/>
    <w:rsid w:val="00FE1CA1"/>
    <w:rsid w:val="00FE5C70"/>
    <w:rsid w:val="00FE5FA0"/>
    <w:rsid w:val="00FE6DA5"/>
    <w:rsid w:val="00FF114B"/>
    <w:rsid w:val="00FF35A5"/>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082DEAB"/>
  <w15:docId w15:val="{C0F1ABF3-91A4-40E3-B8B2-77881C7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762BB"/>
    <w:pPr>
      <w:spacing w:after="160" w:line="259" w:lineRule="auto"/>
      <w:ind w:left="720"/>
      <w:contextualSpacing/>
    </w:pPr>
  </w:style>
  <w:style w:type="table" w:styleId="TableGrid">
    <w:name w:val="Table Grid"/>
    <w:basedOn w:val="TableNormal"/>
    <w:uiPriority w:val="39"/>
    <w:rsid w:val="002D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BCC"/>
    <w:pPr>
      <w:spacing w:after="0" w:line="240" w:lineRule="auto"/>
    </w:pPr>
  </w:style>
  <w:style w:type="paragraph" w:customStyle="1" w:styleId="b">
    <w:name w:val="b"/>
    <w:basedOn w:val="Normal"/>
    <w:uiPriority w:val="99"/>
    <w:rsid w:val="00E00701"/>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z-BottomofForm">
    <w:name w:val="HTML Bottom of Form"/>
    <w:basedOn w:val="Normal"/>
    <w:next w:val="Normal"/>
    <w:link w:val="z-BottomofFormChar"/>
    <w:hidden/>
    <w:uiPriority w:val="99"/>
    <w:rsid w:val="00A142D9"/>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A142D9"/>
    <w:rPr>
      <w:rFonts w:ascii="Arial" w:eastAsia="Times New Roman" w:hAnsi="Arial" w:cs="Arial"/>
      <w:vanish/>
      <w:sz w:val="16"/>
      <w:szCs w:val="16"/>
      <w:lang w:eastAsia="lv-LV"/>
    </w:rPr>
  </w:style>
  <w:style w:type="paragraph" w:customStyle="1" w:styleId="Standard">
    <w:name w:val="Standard"/>
    <w:rsid w:val="00A142D9"/>
    <w:pPr>
      <w:suppressAutoHyphens/>
      <w:autoSpaceDN w:val="0"/>
    </w:pPr>
    <w:rPr>
      <w:rFonts w:ascii="Calibri" w:eastAsia="Times New Roman" w:hAnsi="Calibri" w:cs="Calibri"/>
      <w:kern w:val="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1468166376">
          <w:marLeft w:val="0"/>
          <w:marRight w:val="0"/>
          <w:marTop w:val="0"/>
          <w:marBottom w:val="0"/>
          <w:divBdr>
            <w:top w:val="none" w:sz="0" w:space="0" w:color="auto"/>
            <w:left w:val="none" w:sz="0" w:space="0" w:color="auto"/>
            <w:bottom w:val="none" w:sz="0" w:space="0" w:color="auto"/>
            <w:right w:val="none" w:sz="0" w:space="0" w:color="auto"/>
          </w:divBdr>
        </w:div>
        <w:div w:id="783812822">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38827935">
      <w:bodyDiv w:val="1"/>
      <w:marLeft w:val="0"/>
      <w:marRight w:val="0"/>
      <w:marTop w:val="0"/>
      <w:marBottom w:val="0"/>
      <w:divBdr>
        <w:top w:val="none" w:sz="0" w:space="0" w:color="auto"/>
        <w:left w:val="none" w:sz="0" w:space="0" w:color="auto"/>
        <w:bottom w:val="none" w:sz="0" w:space="0" w:color="auto"/>
        <w:right w:val="none" w:sz="0" w:space="0" w:color="auto"/>
      </w:divBdr>
    </w:div>
    <w:div w:id="275412206">
      <w:bodyDiv w:val="1"/>
      <w:marLeft w:val="0"/>
      <w:marRight w:val="0"/>
      <w:marTop w:val="0"/>
      <w:marBottom w:val="0"/>
      <w:divBdr>
        <w:top w:val="none" w:sz="0" w:space="0" w:color="auto"/>
        <w:left w:val="none" w:sz="0" w:space="0" w:color="auto"/>
        <w:bottom w:val="none" w:sz="0" w:space="0" w:color="auto"/>
        <w:right w:val="none" w:sz="0" w:space="0" w:color="auto"/>
      </w:divBdr>
    </w:div>
    <w:div w:id="445851322">
      <w:bodyDiv w:val="1"/>
      <w:marLeft w:val="0"/>
      <w:marRight w:val="0"/>
      <w:marTop w:val="0"/>
      <w:marBottom w:val="0"/>
      <w:divBdr>
        <w:top w:val="none" w:sz="0" w:space="0" w:color="auto"/>
        <w:left w:val="none" w:sz="0" w:space="0" w:color="auto"/>
        <w:bottom w:val="none" w:sz="0" w:space="0" w:color="auto"/>
        <w:right w:val="none" w:sz="0" w:space="0" w:color="auto"/>
      </w:divBdr>
      <w:divsChild>
        <w:div w:id="850412853">
          <w:marLeft w:val="0"/>
          <w:marRight w:val="0"/>
          <w:marTop w:val="0"/>
          <w:marBottom w:val="0"/>
          <w:divBdr>
            <w:top w:val="none" w:sz="0" w:space="0" w:color="auto"/>
            <w:left w:val="none" w:sz="0" w:space="0" w:color="auto"/>
            <w:bottom w:val="none" w:sz="0" w:space="0" w:color="auto"/>
            <w:right w:val="none" w:sz="0" w:space="0" w:color="auto"/>
          </w:divBdr>
          <w:divsChild>
            <w:div w:id="795610364">
              <w:marLeft w:val="0"/>
              <w:marRight w:val="0"/>
              <w:marTop w:val="0"/>
              <w:marBottom w:val="0"/>
              <w:divBdr>
                <w:top w:val="none" w:sz="0" w:space="0" w:color="auto"/>
                <w:left w:val="none" w:sz="0" w:space="0" w:color="auto"/>
                <w:bottom w:val="none" w:sz="0" w:space="0" w:color="auto"/>
                <w:right w:val="none" w:sz="0" w:space="0" w:color="auto"/>
              </w:divBdr>
              <w:divsChild>
                <w:div w:id="1114321588">
                  <w:marLeft w:val="0"/>
                  <w:marRight w:val="0"/>
                  <w:marTop w:val="0"/>
                  <w:marBottom w:val="0"/>
                  <w:divBdr>
                    <w:top w:val="none" w:sz="0" w:space="0" w:color="auto"/>
                    <w:left w:val="none" w:sz="0" w:space="0" w:color="auto"/>
                    <w:bottom w:val="none" w:sz="0" w:space="0" w:color="auto"/>
                    <w:right w:val="none" w:sz="0" w:space="0" w:color="auto"/>
                  </w:divBdr>
                  <w:divsChild>
                    <w:div w:id="745686306">
                      <w:marLeft w:val="0"/>
                      <w:marRight w:val="0"/>
                      <w:marTop w:val="0"/>
                      <w:marBottom w:val="0"/>
                      <w:divBdr>
                        <w:top w:val="none" w:sz="0" w:space="0" w:color="auto"/>
                        <w:left w:val="none" w:sz="0" w:space="0" w:color="auto"/>
                        <w:bottom w:val="none" w:sz="0" w:space="0" w:color="auto"/>
                        <w:right w:val="none" w:sz="0" w:space="0" w:color="auto"/>
                      </w:divBdr>
                      <w:divsChild>
                        <w:div w:id="519242702">
                          <w:marLeft w:val="0"/>
                          <w:marRight w:val="0"/>
                          <w:marTop w:val="0"/>
                          <w:marBottom w:val="0"/>
                          <w:divBdr>
                            <w:top w:val="none" w:sz="0" w:space="0" w:color="auto"/>
                            <w:left w:val="none" w:sz="0" w:space="0" w:color="auto"/>
                            <w:bottom w:val="none" w:sz="0" w:space="0" w:color="auto"/>
                            <w:right w:val="none" w:sz="0" w:space="0" w:color="auto"/>
                          </w:divBdr>
                          <w:divsChild>
                            <w:div w:id="142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885142976">
          <w:marLeft w:val="0"/>
          <w:marRight w:val="0"/>
          <w:marTop w:val="0"/>
          <w:marBottom w:val="0"/>
          <w:divBdr>
            <w:top w:val="none" w:sz="0" w:space="0" w:color="auto"/>
            <w:left w:val="none" w:sz="0" w:space="0" w:color="auto"/>
            <w:bottom w:val="none" w:sz="0" w:space="0" w:color="auto"/>
            <w:right w:val="none" w:sz="0" w:space="0" w:color="auto"/>
          </w:divBdr>
        </w:div>
        <w:div w:id="577010981">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388">
      <w:bodyDiv w:val="1"/>
      <w:marLeft w:val="0"/>
      <w:marRight w:val="0"/>
      <w:marTop w:val="0"/>
      <w:marBottom w:val="0"/>
      <w:divBdr>
        <w:top w:val="none" w:sz="0" w:space="0" w:color="auto"/>
        <w:left w:val="none" w:sz="0" w:space="0" w:color="auto"/>
        <w:bottom w:val="none" w:sz="0" w:space="0" w:color="auto"/>
        <w:right w:val="none" w:sz="0" w:space="0" w:color="auto"/>
      </w:divBdr>
    </w:div>
    <w:div w:id="1159075606">
      <w:bodyDiv w:val="1"/>
      <w:marLeft w:val="0"/>
      <w:marRight w:val="0"/>
      <w:marTop w:val="0"/>
      <w:marBottom w:val="0"/>
      <w:divBdr>
        <w:top w:val="none" w:sz="0" w:space="0" w:color="auto"/>
        <w:left w:val="none" w:sz="0" w:space="0" w:color="auto"/>
        <w:bottom w:val="none" w:sz="0" w:space="0" w:color="auto"/>
        <w:right w:val="none" w:sz="0" w:space="0" w:color="auto"/>
      </w:divBdr>
    </w:div>
    <w:div w:id="1206019580">
      <w:bodyDiv w:val="1"/>
      <w:marLeft w:val="0"/>
      <w:marRight w:val="0"/>
      <w:marTop w:val="0"/>
      <w:marBottom w:val="0"/>
      <w:divBdr>
        <w:top w:val="none" w:sz="0" w:space="0" w:color="auto"/>
        <w:left w:val="none" w:sz="0" w:space="0" w:color="auto"/>
        <w:bottom w:val="none" w:sz="0" w:space="0" w:color="auto"/>
        <w:right w:val="none" w:sz="0" w:space="0" w:color="auto"/>
      </w:divBdr>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84839380">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75941679">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79E3-22B3-4874-9F42-A83E54F1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22908</Words>
  <Characters>13059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35896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dc:title>
  <dc:subject>Anotācija</dc:subject>
  <dc:creator>Līga Buceniece</dc:creator>
  <cp:keywords/>
  <dc:description>L.Buceniece
67147830, liga.buceniece@izm.gov.lv</dc:description>
  <cp:lastModifiedBy>Līga Buceniece</cp:lastModifiedBy>
  <cp:revision>6</cp:revision>
  <cp:lastPrinted>2016-06-20T11:40:00Z</cp:lastPrinted>
  <dcterms:created xsi:type="dcterms:W3CDTF">2016-07-01T05:34:00Z</dcterms:created>
  <dcterms:modified xsi:type="dcterms:W3CDTF">2016-07-01T10:13:00Z</dcterms:modified>
</cp:coreProperties>
</file>