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7C" w:rsidRPr="00CD4988" w:rsidRDefault="00914C7C" w:rsidP="00914C7C">
      <w:pPr>
        <w:ind w:right="-58"/>
        <w:jc w:val="center"/>
        <w:rPr>
          <w:rFonts w:eastAsia="Times New Roman"/>
          <w:b/>
          <w:bCs/>
          <w:color w:val="000000" w:themeColor="text1"/>
          <w:sz w:val="26"/>
          <w:szCs w:val="26"/>
        </w:rPr>
      </w:pPr>
      <w:bookmarkStart w:id="0" w:name="OLE_LINK1"/>
      <w:bookmarkStart w:id="1" w:name="OLE_LINK2"/>
      <w:bookmarkStart w:id="2" w:name="OLE_LINK3"/>
      <w:r w:rsidRPr="00CD4988">
        <w:rPr>
          <w:rFonts w:eastAsia="Times New Roman"/>
          <w:b/>
          <w:bCs/>
          <w:color w:val="000000" w:themeColor="text1"/>
          <w:sz w:val="26"/>
          <w:szCs w:val="26"/>
        </w:rPr>
        <w:t>Ministru kabineta noteikumu projekta</w:t>
      </w:r>
    </w:p>
    <w:p w:rsidR="00914C7C" w:rsidRPr="00CD4988" w:rsidRDefault="00914C7C" w:rsidP="00914C7C">
      <w:pPr>
        <w:ind w:right="-58"/>
        <w:jc w:val="center"/>
        <w:rPr>
          <w:rFonts w:eastAsia="Times New Roman"/>
          <w:b/>
          <w:bCs/>
          <w:color w:val="000000" w:themeColor="text1"/>
          <w:sz w:val="26"/>
          <w:szCs w:val="26"/>
        </w:rPr>
      </w:pPr>
      <w:r w:rsidRPr="00CD4988">
        <w:rPr>
          <w:rFonts w:eastAsia="Times New Roman"/>
          <w:b/>
          <w:bCs/>
          <w:color w:val="000000" w:themeColor="text1"/>
          <w:sz w:val="26"/>
          <w:szCs w:val="26"/>
        </w:rPr>
        <w:t>“Grozījumi Ministru kabineta 2012.gada 3.janvāra noteikumos Nr.28 "Valsts akciju sabiedrības "Latvijas gaisa satiksme" sniegto aeronavigācijas pakalpojumu maksas noteikšanas un iekasēšanas kārtība" sākotnējās ietekmes novērtējuma ziņojums (anotācija)</w:t>
      </w:r>
    </w:p>
    <w:bookmarkEnd w:id="0"/>
    <w:bookmarkEnd w:id="1"/>
    <w:bookmarkEnd w:id="2"/>
    <w:p w:rsidR="00831519" w:rsidRPr="00CD4988" w:rsidRDefault="00831519" w:rsidP="00831519">
      <w:pPr>
        <w:pStyle w:val="naisf"/>
        <w:spacing w:before="0" w:beforeAutospacing="0" w:after="0" w:afterAutospacing="0"/>
        <w:jc w:val="right"/>
        <w:rPr>
          <w:sz w:val="26"/>
          <w:szCs w:val="26"/>
        </w:rPr>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
        <w:gridCol w:w="2975"/>
        <w:gridCol w:w="6208"/>
      </w:tblGrid>
      <w:tr w:rsidR="00831519" w:rsidRPr="00CD4988" w:rsidTr="00DB5AD4">
        <w:trPr>
          <w:trHeight w:val="419"/>
        </w:trPr>
        <w:tc>
          <w:tcPr>
            <w:tcW w:w="5000" w:type="pct"/>
            <w:gridSpan w:val="3"/>
            <w:vAlign w:val="center"/>
          </w:tcPr>
          <w:p w:rsidR="00831519" w:rsidRPr="00CD4988" w:rsidRDefault="00831519" w:rsidP="00DB5AD4">
            <w:pPr>
              <w:pStyle w:val="naisnod"/>
              <w:spacing w:before="0" w:beforeAutospacing="0" w:after="0" w:afterAutospacing="0"/>
              <w:ind w:left="57" w:right="57"/>
              <w:jc w:val="center"/>
              <w:rPr>
                <w:b/>
                <w:sz w:val="26"/>
                <w:szCs w:val="26"/>
              </w:rPr>
            </w:pPr>
            <w:r w:rsidRPr="00CD4988">
              <w:rPr>
                <w:b/>
                <w:sz w:val="26"/>
                <w:szCs w:val="26"/>
              </w:rPr>
              <w:t>I. Tiesību akta projekta izstrādes nepieciešamība</w:t>
            </w:r>
          </w:p>
        </w:tc>
      </w:tr>
      <w:tr w:rsidR="00831519" w:rsidRPr="00CD4988" w:rsidTr="00DB5AD4">
        <w:trPr>
          <w:trHeight w:val="415"/>
        </w:trPr>
        <w:tc>
          <w:tcPr>
            <w:tcW w:w="169" w:type="pct"/>
          </w:tcPr>
          <w:p w:rsidR="00831519" w:rsidRPr="00CD4988" w:rsidRDefault="00831519" w:rsidP="00DB5AD4">
            <w:pPr>
              <w:pStyle w:val="naiskr"/>
              <w:spacing w:before="0" w:beforeAutospacing="0" w:after="0" w:afterAutospacing="0"/>
              <w:ind w:left="57" w:right="57"/>
              <w:jc w:val="center"/>
              <w:rPr>
                <w:sz w:val="26"/>
                <w:szCs w:val="26"/>
              </w:rPr>
            </w:pPr>
            <w:r w:rsidRPr="00CD4988">
              <w:rPr>
                <w:sz w:val="26"/>
                <w:szCs w:val="26"/>
              </w:rPr>
              <w:t>1.</w:t>
            </w:r>
          </w:p>
        </w:tc>
        <w:tc>
          <w:tcPr>
            <w:tcW w:w="1565" w:type="pct"/>
          </w:tcPr>
          <w:p w:rsidR="00831519" w:rsidRPr="00CD4988" w:rsidRDefault="00831519" w:rsidP="00DB5AD4">
            <w:pPr>
              <w:pStyle w:val="naiskr"/>
              <w:spacing w:before="0" w:beforeAutospacing="0" w:after="0" w:afterAutospacing="0"/>
              <w:ind w:left="57" w:right="57"/>
              <w:rPr>
                <w:sz w:val="26"/>
                <w:szCs w:val="26"/>
              </w:rPr>
            </w:pPr>
            <w:r w:rsidRPr="00CD4988">
              <w:rPr>
                <w:sz w:val="26"/>
                <w:szCs w:val="26"/>
              </w:rPr>
              <w:t>Pamatojums</w:t>
            </w:r>
          </w:p>
        </w:tc>
        <w:tc>
          <w:tcPr>
            <w:tcW w:w="3266" w:type="pct"/>
          </w:tcPr>
          <w:p w:rsidR="00434A4D" w:rsidRPr="00CD4988" w:rsidRDefault="00914C7C" w:rsidP="00912F26">
            <w:pPr>
              <w:pStyle w:val="naisc"/>
              <w:spacing w:before="0" w:after="0"/>
              <w:ind w:firstLine="590"/>
              <w:jc w:val="both"/>
              <w:rPr>
                <w:color w:val="000000"/>
                <w:sz w:val="26"/>
                <w:szCs w:val="26"/>
              </w:rPr>
            </w:pPr>
            <w:r w:rsidRPr="00CD4988">
              <w:rPr>
                <w:color w:val="000000" w:themeColor="text1"/>
                <w:sz w:val="26"/>
                <w:szCs w:val="26"/>
                <w:lang w:eastAsia="lv-LV"/>
              </w:rPr>
              <w:t xml:space="preserve">Likuma “Par aviāciju” 28.panta pirmā daļa. </w:t>
            </w:r>
          </w:p>
        </w:tc>
      </w:tr>
      <w:tr w:rsidR="00831519" w:rsidRPr="00CD4988" w:rsidTr="00DB5AD4">
        <w:trPr>
          <w:trHeight w:val="472"/>
        </w:trPr>
        <w:tc>
          <w:tcPr>
            <w:tcW w:w="169" w:type="pct"/>
          </w:tcPr>
          <w:p w:rsidR="00831519" w:rsidRPr="00CD4988" w:rsidRDefault="00831519" w:rsidP="00DB5AD4">
            <w:pPr>
              <w:pStyle w:val="naiskr"/>
              <w:spacing w:before="0" w:beforeAutospacing="0" w:after="0" w:afterAutospacing="0"/>
              <w:ind w:left="57" w:right="57"/>
              <w:jc w:val="center"/>
              <w:rPr>
                <w:sz w:val="26"/>
                <w:szCs w:val="26"/>
              </w:rPr>
            </w:pPr>
            <w:r w:rsidRPr="00CD4988">
              <w:rPr>
                <w:sz w:val="26"/>
                <w:szCs w:val="26"/>
              </w:rPr>
              <w:t>2.</w:t>
            </w:r>
          </w:p>
        </w:tc>
        <w:tc>
          <w:tcPr>
            <w:tcW w:w="1565" w:type="pct"/>
          </w:tcPr>
          <w:p w:rsidR="00831519" w:rsidRPr="00CD4988" w:rsidRDefault="00831519" w:rsidP="00DB5AD4">
            <w:pPr>
              <w:pStyle w:val="naiskr"/>
              <w:tabs>
                <w:tab w:val="left" w:pos="170"/>
              </w:tabs>
              <w:spacing w:before="0" w:beforeAutospacing="0" w:after="0" w:afterAutospacing="0"/>
              <w:ind w:left="57" w:right="57"/>
              <w:rPr>
                <w:sz w:val="26"/>
                <w:szCs w:val="26"/>
              </w:rPr>
            </w:pPr>
            <w:r w:rsidRPr="00CD4988">
              <w:rPr>
                <w:sz w:val="26"/>
                <w:szCs w:val="26"/>
              </w:rPr>
              <w:t>Pašreizējā situācija un problēmas, kuru risināšanai tiesību akta projekts izstrādāts, tiesiskā regulējuma mērķis un būtība</w:t>
            </w:r>
          </w:p>
        </w:tc>
        <w:tc>
          <w:tcPr>
            <w:tcW w:w="3266" w:type="pct"/>
          </w:tcPr>
          <w:p w:rsidR="00914C7C" w:rsidRPr="00CD4988" w:rsidRDefault="00914C7C" w:rsidP="00914C7C">
            <w:pPr>
              <w:autoSpaceDE w:val="0"/>
              <w:autoSpaceDN w:val="0"/>
              <w:adjustRightInd w:val="0"/>
              <w:ind w:right="208" w:firstLine="534"/>
              <w:jc w:val="both"/>
              <w:rPr>
                <w:rFonts w:eastAsia="Times New Roman"/>
                <w:color w:val="000000" w:themeColor="text1"/>
                <w:sz w:val="26"/>
                <w:szCs w:val="26"/>
              </w:rPr>
            </w:pPr>
            <w:r w:rsidRPr="00CD4988">
              <w:rPr>
                <w:rFonts w:eastAsia="Times New Roman"/>
                <w:color w:val="000000" w:themeColor="text1"/>
                <w:sz w:val="26"/>
                <w:szCs w:val="26"/>
              </w:rPr>
              <w:t>Termināla vienības maksa reālajās cenās ir Ministru kabineta 2012.gada 3.janvāra noteikumu Nr.28  2.2.apakšpunktā noteiktā vienības maksas likme - 89.73 EUR par vienu vienību, kas tiek piemērota jau kopš 2010.gada. Valsts akciju sabiedrības “Latvijas gaisa satiksme” (turpmāk - LGS) ieņēmumi no termināla pakalpojuma 2015.gadā bija 2</w:t>
            </w:r>
            <w:r w:rsidR="00B40107">
              <w:rPr>
                <w:rFonts w:eastAsia="Times New Roman"/>
                <w:color w:val="000000" w:themeColor="text1"/>
                <w:sz w:val="26"/>
                <w:szCs w:val="26"/>
              </w:rPr>
              <w:t> </w:t>
            </w:r>
            <w:r w:rsidRPr="00CD4988">
              <w:rPr>
                <w:rFonts w:eastAsia="Times New Roman"/>
                <w:color w:val="000000" w:themeColor="text1"/>
                <w:sz w:val="26"/>
                <w:szCs w:val="26"/>
              </w:rPr>
              <w:t>843</w:t>
            </w:r>
            <w:r w:rsidR="00B40107">
              <w:rPr>
                <w:rFonts w:eastAsia="Times New Roman"/>
                <w:color w:val="000000" w:themeColor="text1"/>
                <w:sz w:val="26"/>
                <w:szCs w:val="26"/>
              </w:rPr>
              <w:t xml:space="preserve"> 000</w:t>
            </w:r>
            <w:r w:rsidRPr="00CD4988">
              <w:rPr>
                <w:rFonts w:eastAsia="Times New Roman"/>
                <w:color w:val="000000" w:themeColor="text1"/>
                <w:sz w:val="26"/>
                <w:szCs w:val="26"/>
              </w:rPr>
              <w:t>EUR jeb 0.55 EUR uz vienu lidostā Rīga apkalpoto pasažieri.</w:t>
            </w:r>
          </w:p>
          <w:p w:rsidR="00914C7C" w:rsidRPr="00CD4988" w:rsidRDefault="00914C7C" w:rsidP="00914C7C">
            <w:pPr>
              <w:ind w:right="66" w:firstLine="534"/>
              <w:jc w:val="both"/>
              <w:rPr>
                <w:rFonts w:eastAsia="Times New Roman"/>
                <w:color w:val="000000" w:themeColor="text1"/>
                <w:sz w:val="26"/>
                <w:szCs w:val="26"/>
              </w:rPr>
            </w:pPr>
            <w:r w:rsidRPr="00CD4988">
              <w:rPr>
                <w:rFonts w:eastAsia="Times New Roman"/>
                <w:color w:val="000000" w:themeColor="text1"/>
                <w:sz w:val="26"/>
                <w:szCs w:val="26"/>
              </w:rPr>
              <w:t>Ņemot vērā kumulatīvo inflāciju, vienības maksa 2016.gada sākumā atbilda  83.51 EUR 2010.gada cenā</w:t>
            </w:r>
            <w:r w:rsidR="00B40107">
              <w:rPr>
                <w:rFonts w:eastAsia="Times New Roman"/>
                <w:color w:val="000000" w:themeColor="text1"/>
                <w:sz w:val="26"/>
                <w:szCs w:val="26"/>
              </w:rPr>
              <w:t>m</w:t>
            </w:r>
            <w:r w:rsidRPr="00CD4988">
              <w:rPr>
                <w:rFonts w:eastAsia="Times New Roman"/>
                <w:color w:val="000000" w:themeColor="text1"/>
                <w:sz w:val="26"/>
                <w:szCs w:val="26"/>
              </w:rPr>
              <w:t xml:space="preserve">. Lai kompensētu inflācijas kumulatīvo ietekmi kopš 2010.gada, vienības maksas lielumam 2016.gadā būtu jābūt vismaz 95.95 EUR. </w:t>
            </w:r>
          </w:p>
          <w:p w:rsidR="00914C7C" w:rsidRPr="00CD4988" w:rsidRDefault="00914C7C" w:rsidP="00914C7C">
            <w:pPr>
              <w:ind w:right="66" w:firstLine="534"/>
              <w:jc w:val="both"/>
              <w:rPr>
                <w:rFonts w:eastAsia="Times New Roman"/>
                <w:color w:val="000000" w:themeColor="text1"/>
                <w:sz w:val="26"/>
                <w:szCs w:val="26"/>
              </w:rPr>
            </w:pPr>
            <w:r w:rsidRPr="00CD4988">
              <w:rPr>
                <w:rFonts w:eastAsia="Times New Roman"/>
                <w:color w:val="000000" w:themeColor="text1"/>
                <w:sz w:val="26"/>
                <w:szCs w:val="26"/>
              </w:rPr>
              <w:t>Termināla pakalpojuma ieņēmumu izlietojums LGS:</w:t>
            </w:r>
          </w:p>
          <w:p w:rsidR="00914C7C" w:rsidRPr="00CD4988" w:rsidRDefault="00914C7C" w:rsidP="00914C7C">
            <w:pPr>
              <w:ind w:right="66" w:firstLine="534"/>
              <w:jc w:val="both"/>
              <w:rPr>
                <w:rFonts w:eastAsia="Times New Roman"/>
                <w:color w:val="000000" w:themeColor="text1"/>
                <w:sz w:val="26"/>
                <w:szCs w:val="26"/>
              </w:rPr>
            </w:pPr>
            <w:r w:rsidRPr="00CD4988">
              <w:rPr>
                <w:rFonts w:eastAsia="Times New Roman"/>
                <w:color w:val="000000" w:themeColor="text1"/>
                <w:sz w:val="26"/>
                <w:szCs w:val="26"/>
              </w:rPr>
              <w:t xml:space="preserve">Pašlaik ar esošo vienības maksas lielumu ir iespējams segt tikai LGS personāla izmaksas. Personāla izmaksas LGS ir - 47%, saimnieciskās darbības izmaksas - 10%, nolietojums - 25%, uzraudzības izmaksas </w:t>
            </w:r>
            <w:r w:rsidR="00B40107">
              <w:rPr>
                <w:rFonts w:eastAsia="Times New Roman"/>
                <w:color w:val="000000" w:themeColor="text1"/>
                <w:sz w:val="26"/>
                <w:szCs w:val="26"/>
              </w:rPr>
              <w:t>valsts aģentūrai “Civilās aviācijas aģentūra”</w:t>
            </w:r>
            <w:r w:rsidRPr="00CD4988">
              <w:rPr>
                <w:rFonts w:eastAsia="Times New Roman"/>
                <w:color w:val="000000" w:themeColor="text1"/>
                <w:sz w:val="26"/>
                <w:szCs w:val="26"/>
              </w:rPr>
              <w:t xml:space="preserve"> un </w:t>
            </w:r>
            <w:r w:rsidR="00B40107">
              <w:rPr>
                <w:rFonts w:eastAsia="Times New Roman"/>
                <w:color w:val="000000" w:themeColor="text1"/>
                <w:sz w:val="26"/>
                <w:szCs w:val="26"/>
              </w:rPr>
              <w:t>Transporta nelaimes gadījumu un incidentu izmeklēšanas birojam</w:t>
            </w:r>
            <w:r w:rsidR="00B40107" w:rsidRPr="00CD4988">
              <w:rPr>
                <w:rFonts w:eastAsia="Times New Roman"/>
                <w:color w:val="000000" w:themeColor="text1"/>
                <w:sz w:val="26"/>
                <w:szCs w:val="26"/>
              </w:rPr>
              <w:t xml:space="preserve"> </w:t>
            </w:r>
            <w:r w:rsidRPr="00CD4988">
              <w:rPr>
                <w:rFonts w:eastAsia="Times New Roman"/>
                <w:color w:val="000000" w:themeColor="text1"/>
                <w:sz w:val="26"/>
                <w:szCs w:val="26"/>
              </w:rPr>
              <w:t xml:space="preserve">- 10%, </w:t>
            </w:r>
            <w:r w:rsidR="00B40107">
              <w:rPr>
                <w:rFonts w:eastAsia="Times New Roman"/>
                <w:color w:val="000000" w:themeColor="text1"/>
                <w:sz w:val="26"/>
                <w:szCs w:val="26"/>
              </w:rPr>
              <w:t>v</w:t>
            </w:r>
            <w:r w:rsidR="00B40107" w:rsidRPr="006F1361">
              <w:rPr>
                <w:rFonts w:eastAsia="Times New Roman"/>
                <w:color w:val="000000" w:themeColor="text1"/>
                <w:sz w:val="26"/>
                <w:szCs w:val="26"/>
              </w:rPr>
              <w:t>alsts SIA "Latvijas Vides, ģeoloģijas un meteoroloģijas centrs"</w:t>
            </w:r>
            <w:r w:rsidR="00B40107">
              <w:rPr>
                <w:rFonts w:eastAsia="Times New Roman"/>
                <w:color w:val="000000" w:themeColor="text1"/>
                <w:sz w:val="26"/>
                <w:szCs w:val="26"/>
              </w:rPr>
              <w:t xml:space="preserve"> </w:t>
            </w:r>
            <w:r w:rsidRPr="00CD4988">
              <w:rPr>
                <w:rFonts w:eastAsia="Times New Roman"/>
                <w:color w:val="000000" w:themeColor="text1"/>
                <w:sz w:val="26"/>
                <w:szCs w:val="26"/>
              </w:rPr>
              <w:t>izmaksas - 3% un kapitāla izmaksas - 5% no kopējo uzņēmuma izmaksu apjoma.</w:t>
            </w:r>
          </w:p>
          <w:p w:rsidR="00914C7C" w:rsidRPr="00CD4988" w:rsidRDefault="00914C7C" w:rsidP="00914C7C">
            <w:pPr>
              <w:ind w:right="66" w:firstLine="534"/>
              <w:jc w:val="both"/>
              <w:rPr>
                <w:rFonts w:eastAsia="Times New Roman"/>
                <w:color w:val="000000" w:themeColor="text1"/>
                <w:sz w:val="26"/>
                <w:szCs w:val="26"/>
              </w:rPr>
            </w:pPr>
            <w:r w:rsidRPr="00CD4988">
              <w:rPr>
                <w:rFonts w:eastAsia="Times New Roman"/>
                <w:color w:val="000000" w:themeColor="text1"/>
                <w:sz w:val="26"/>
                <w:szCs w:val="26"/>
              </w:rPr>
              <w:t>Pārējās izmaksas (</w:t>
            </w:r>
            <w:r w:rsidR="00B40107">
              <w:rPr>
                <w:rFonts w:eastAsia="Times New Roman"/>
                <w:color w:val="000000" w:themeColor="text1"/>
                <w:sz w:val="26"/>
                <w:szCs w:val="26"/>
              </w:rPr>
              <w:t>tostarp</w:t>
            </w:r>
            <w:r w:rsidRPr="00CD4988">
              <w:rPr>
                <w:rFonts w:eastAsia="Times New Roman"/>
                <w:color w:val="000000" w:themeColor="text1"/>
                <w:sz w:val="26"/>
                <w:szCs w:val="26"/>
              </w:rPr>
              <w:t xml:space="preserve"> ārējās) LGS sedz no citiem iekšējiem avotiem, </w:t>
            </w:r>
            <w:r w:rsidR="00B40107">
              <w:rPr>
                <w:rFonts w:eastAsia="Times New Roman"/>
                <w:color w:val="000000" w:themeColor="text1"/>
                <w:sz w:val="26"/>
                <w:szCs w:val="26"/>
              </w:rPr>
              <w:t>tostarp</w:t>
            </w:r>
            <w:r w:rsidRPr="00CD4988">
              <w:rPr>
                <w:rFonts w:eastAsia="Times New Roman"/>
                <w:color w:val="000000" w:themeColor="text1"/>
                <w:sz w:val="26"/>
                <w:szCs w:val="26"/>
              </w:rPr>
              <w:t xml:space="preserve"> </w:t>
            </w:r>
            <w:proofErr w:type="spellStart"/>
            <w:r w:rsidRPr="00CD4988">
              <w:rPr>
                <w:rFonts w:eastAsia="Times New Roman"/>
                <w:color w:val="000000" w:themeColor="text1"/>
                <w:sz w:val="26"/>
                <w:szCs w:val="26"/>
              </w:rPr>
              <w:t>šķērssubsīdijām</w:t>
            </w:r>
            <w:proofErr w:type="spellEnd"/>
            <w:r w:rsidRPr="00CD4988">
              <w:rPr>
                <w:rFonts w:eastAsia="Times New Roman"/>
                <w:color w:val="000000" w:themeColor="text1"/>
                <w:sz w:val="26"/>
                <w:szCs w:val="26"/>
              </w:rPr>
              <w:t xml:space="preserve">. </w:t>
            </w:r>
          </w:p>
          <w:p w:rsidR="00914C7C" w:rsidRPr="00CD4988" w:rsidRDefault="00914C7C" w:rsidP="00914C7C">
            <w:pPr>
              <w:ind w:right="66" w:firstLine="534"/>
              <w:jc w:val="both"/>
              <w:rPr>
                <w:rFonts w:eastAsia="Times New Roman"/>
                <w:color w:val="000000" w:themeColor="text1"/>
                <w:sz w:val="26"/>
                <w:szCs w:val="26"/>
              </w:rPr>
            </w:pPr>
            <w:r w:rsidRPr="00CD4988">
              <w:rPr>
                <w:rFonts w:eastAsia="Times New Roman"/>
                <w:color w:val="000000" w:themeColor="text1"/>
                <w:sz w:val="26"/>
                <w:szCs w:val="26"/>
              </w:rPr>
              <w:t xml:space="preserve">Līdz ar to LGS šobrīd ir spiesta </w:t>
            </w:r>
            <w:proofErr w:type="spellStart"/>
            <w:r w:rsidRPr="00CD4988">
              <w:rPr>
                <w:rFonts w:eastAsia="Times New Roman"/>
                <w:color w:val="000000" w:themeColor="text1"/>
                <w:sz w:val="26"/>
                <w:szCs w:val="26"/>
              </w:rPr>
              <w:t>šķērssubsidēt</w:t>
            </w:r>
            <w:proofErr w:type="spellEnd"/>
            <w:r w:rsidRPr="00CD4988">
              <w:rPr>
                <w:rFonts w:eastAsia="Times New Roman"/>
                <w:color w:val="000000" w:themeColor="text1"/>
                <w:sz w:val="26"/>
                <w:szCs w:val="26"/>
              </w:rPr>
              <w:t xml:space="preserve"> termināla pakalpojumu uz LGS potenciālās (ar ES Regulām un ICAO dokumentiem pieļaujamās) peļņas rēķina un ieņēmumiem no maršrutā sniegtajiem  pakalpojumiem. </w:t>
            </w:r>
          </w:p>
          <w:p w:rsidR="00914C7C" w:rsidRPr="00CD4988" w:rsidRDefault="00914C7C" w:rsidP="00914C7C">
            <w:pPr>
              <w:ind w:right="66" w:firstLine="534"/>
              <w:jc w:val="both"/>
              <w:rPr>
                <w:rFonts w:eastAsia="Times New Roman"/>
                <w:color w:val="000000" w:themeColor="text1"/>
                <w:sz w:val="26"/>
                <w:szCs w:val="26"/>
              </w:rPr>
            </w:pPr>
            <w:r w:rsidRPr="00CD4988">
              <w:rPr>
                <w:rFonts w:eastAsia="Times New Roman"/>
                <w:color w:val="000000" w:themeColor="text1"/>
                <w:sz w:val="26"/>
                <w:szCs w:val="26"/>
              </w:rPr>
              <w:t>Arī gaisa telpas lietotāju pārstāvji divpusējās konsultācijās ir norādījuši uz problēmu, ka Rīgas lidojumu rajonā daļēji par tiem, kas lido uz Rīgu, maksā tie, kas pārlido Rīgas lidojumu informācijas rajonu, kas nav pieņemami ilgtermiņā.</w:t>
            </w:r>
          </w:p>
          <w:p w:rsidR="00914C7C" w:rsidRPr="00CD4988" w:rsidRDefault="00914C7C" w:rsidP="00914C7C">
            <w:pPr>
              <w:ind w:right="66" w:firstLine="534"/>
              <w:jc w:val="both"/>
              <w:rPr>
                <w:rFonts w:eastAsia="Times New Roman"/>
                <w:color w:val="000000" w:themeColor="text1"/>
                <w:sz w:val="26"/>
                <w:szCs w:val="26"/>
              </w:rPr>
            </w:pPr>
            <w:r w:rsidRPr="00CD4988">
              <w:rPr>
                <w:rFonts w:eastAsia="Times New Roman"/>
                <w:color w:val="000000" w:themeColor="text1"/>
                <w:sz w:val="26"/>
                <w:szCs w:val="26"/>
              </w:rPr>
              <w:t xml:space="preserve">Ilgstošs vienības maksas samazinājums ietekmē LGS investīciju plānus, bet LGS investīcijas ir kritiskas no </w:t>
            </w:r>
            <w:r w:rsidRPr="00CD4988">
              <w:rPr>
                <w:rFonts w:eastAsia="Times New Roman"/>
                <w:color w:val="000000" w:themeColor="text1"/>
                <w:sz w:val="26"/>
                <w:szCs w:val="26"/>
              </w:rPr>
              <w:lastRenderedPageBreak/>
              <w:t>drošuma viedokļa, kā arī samazina iespējas investēt efektivitātes paaugstināšanā (atgriezt līdzekļus klientiem ar efektīvākas darbības palīdzību).</w:t>
            </w:r>
          </w:p>
          <w:p w:rsidR="00914C7C" w:rsidRPr="00CD4988" w:rsidRDefault="00914C7C" w:rsidP="00914C7C">
            <w:pPr>
              <w:ind w:right="66" w:firstLine="534"/>
              <w:jc w:val="both"/>
              <w:rPr>
                <w:rFonts w:eastAsia="Times New Roman"/>
                <w:color w:val="000000" w:themeColor="text1"/>
                <w:sz w:val="26"/>
                <w:szCs w:val="26"/>
              </w:rPr>
            </w:pPr>
            <w:r w:rsidRPr="00CD4988">
              <w:rPr>
                <w:rFonts w:eastAsia="Times New Roman"/>
                <w:color w:val="000000" w:themeColor="text1"/>
                <w:sz w:val="26"/>
                <w:szCs w:val="26"/>
              </w:rPr>
              <w:t xml:space="preserve">Pašlaik LGS prioritārs projekts no drošuma viedokļa ir jauna gaisa satiksmes vadības torņa būvniecība. Lai LGS spētu finansēt šo projektu, nevēršoties pēc valsts atbalsta, kā arī novērstu </w:t>
            </w:r>
            <w:proofErr w:type="spellStart"/>
            <w:r w:rsidRPr="00CD4988">
              <w:rPr>
                <w:rFonts w:eastAsia="Times New Roman"/>
                <w:color w:val="000000" w:themeColor="text1"/>
                <w:sz w:val="26"/>
                <w:szCs w:val="26"/>
              </w:rPr>
              <w:t>šķērssubsidēšanu</w:t>
            </w:r>
            <w:proofErr w:type="spellEnd"/>
            <w:r w:rsidRPr="00CD4988">
              <w:rPr>
                <w:rFonts w:eastAsia="Times New Roman"/>
                <w:color w:val="000000" w:themeColor="text1"/>
                <w:sz w:val="26"/>
                <w:szCs w:val="26"/>
              </w:rPr>
              <w:t>, ir nepieciešams celt vienības maksu terminālā. Bet, lai samazinātu finansiālo ietekmi uz aviokompānijām, kas lido uz Rīgu, noteikumu projektā ir paredzēta pakāpeniska ikgadēja termināla vienības maksas celšana. Noteikumu projekts paredz šādas termināla vienības maksas likmes:</w:t>
            </w:r>
          </w:p>
          <w:p w:rsidR="00914C7C" w:rsidRPr="00CD4988" w:rsidRDefault="00914C7C" w:rsidP="00914C7C">
            <w:pPr>
              <w:spacing w:before="75" w:after="75"/>
              <w:ind w:left="735" w:right="66"/>
              <w:contextualSpacing/>
              <w:jc w:val="both"/>
              <w:rPr>
                <w:rFonts w:eastAsia="Times New Roman"/>
                <w:color w:val="000000" w:themeColor="text1"/>
                <w:sz w:val="26"/>
                <w:szCs w:val="26"/>
              </w:rPr>
            </w:pPr>
          </w:p>
          <w:tbl>
            <w:tblPr>
              <w:tblStyle w:val="TableGrid"/>
              <w:tblW w:w="0" w:type="auto"/>
              <w:jc w:val="center"/>
              <w:tblLook w:val="04A0" w:firstRow="1" w:lastRow="0" w:firstColumn="1" w:lastColumn="0" w:noHBand="0" w:noVBand="1"/>
            </w:tblPr>
            <w:tblGrid>
              <w:gridCol w:w="1103"/>
              <w:gridCol w:w="2552"/>
            </w:tblGrid>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p>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Gads</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Vienības maksas likme</w:t>
                  </w:r>
                </w:p>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(EUR)</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2017.</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98.73</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2018.</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103.45</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2019.</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108.16</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2020.</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112.88</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2021.</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117.59</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2022.</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122.31</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2023.</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127.02</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2024.</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131.74</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2025.</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136.45</w:t>
                  </w:r>
                </w:p>
              </w:tc>
            </w:tr>
            <w:tr w:rsidR="00914C7C" w:rsidRPr="00CD4988" w:rsidTr="003E606C">
              <w:trPr>
                <w:jc w:val="center"/>
              </w:trPr>
              <w:tc>
                <w:tcPr>
                  <w:tcW w:w="1103" w:type="dxa"/>
                </w:tcPr>
                <w:p w:rsidR="00914C7C" w:rsidRPr="00CD4988" w:rsidRDefault="00914C7C" w:rsidP="00E211D1">
                  <w:pPr>
                    <w:framePr w:hSpace="180" w:wrap="around" w:vAnchor="text" w:hAnchor="margin" w:xAlign="center" w:y="149"/>
                    <w:spacing w:before="75" w:after="75"/>
                    <w:ind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2026.</w:t>
                  </w:r>
                </w:p>
              </w:tc>
              <w:tc>
                <w:tcPr>
                  <w:tcW w:w="2552" w:type="dxa"/>
                </w:tcPr>
                <w:p w:rsidR="00914C7C" w:rsidRPr="00CD4988" w:rsidRDefault="00914C7C" w:rsidP="00E211D1">
                  <w:pPr>
                    <w:framePr w:hSpace="180" w:wrap="around" w:vAnchor="text" w:hAnchor="margin" w:xAlign="center" w:y="149"/>
                    <w:spacing w:before="75" w:after="75"/>
                    <w:ind w:left="-108" w:right="66"/>
                    <w:contextualSpacing/>
                    <w:jc w:val="center"/>
                    <w:rPr>
                      <w:rFonts w:ascii="Times New Roman" w:eastAsia="Times New Roman" w:hAnsi="Times New Roman" w:cs="Times New Roman"/>
                      <w:color w:val="000000" w:themeColor="text1"/>
                      <w:sz w:val="26"/>
                      <w:szCs w:val="26"/>
                      <w:lang w:eastAsia="lv-LV"/>
                    </w:rPr>
                  </w:pPr>
                  <w:r w:rsidRPr="00CD4988">
                    <w:rPr>
                      <w:rFonts w:ascii="Times New Roman" w:eastAsia="Times New Roman" w:hAnsi="Times New Roman" w:cs="Times New Roman"/>
                      <w:color w:val="000000" w:themeColor="text1"/>
                      <w:sz w:val="26"/>
                      <w:szCs w:val="26"/>
                      <w:lang w:eastAsia="lv-LV"/>
                    </w:rPr>
                    <w:t>141.17</w:t>
                  </w:r>
                </w:p>
              </w:tc>
            </w:tr>
          </w:tbl>
          <w:p w:rsidR="00914C7C" w:rsidRPr="00CD4988" w:rsidRDefault="00914C7C" w:rsidP="00914C7C">
            <w:pPr>
              <w:ind w:right="66" w:firstLine="534"/>
              <w:jc w:val="both"/>
              <w:rPr>
                <w:rFonts w:eastAsia="Times New Roman"/>
                <w:color w:val="000000" w:themeColor="text1"/>
                <w:sz w:val="26"/>
                <w:szCs w:val="26"/>
              </w:rPr>
            </w:pPr>
          </w:p>
          <w:p w:rsidR="00914C7C" w:rsidRPr="00CD4988" w:rsidRDefault="00914C7C" w:rsidP="00914C7C">
            <w:pPr>
              <w:ind w:right="66" w:firstLine="534"/>
              <w:jc w:val="both"/>
              <w:rPr>
                <w:rFonts w:eastAsia="Times New Roman"/>
                <w:color w:val="000000" w:themeColor="text1"/>
                <w:sz w:val="26"/>
                <w:szCs w:val="26"/>
              </w:rPr>
            </w:pPr>
            <w:r w:rsidRPr="00CD4988">
              <w:rPr>
                <w:rFonts w:eastAsia="Times New Roman"/>
                <w:color w:val="000000" w:themeColor="text1"/>
                <w:sz w:val="26"/>
                <w:szCs w:val="26"/>
              </w:rPr>
              <w:t>Noteikumu projektā tiek paredzēts, ka termināla vienības maksas pieaugums laikā no 2018. – 2026.gadam būs vidēji - 4.8%. Noslēdzoties gaisa satiksmes torņa būvniecības projektam 2024.gadā un sasniedzot vienības maksas augstāko likmi 2026.gadā, termināla vienības maksas pieaugums var tikt uz laiku apturēts, saglabājot vienības maksu 2026.gada noteiktajā līmenī.</w:t>
            </w:r>
          </w:p>
          <w:p w:rsidR="007F0BA5" w:rsidRPr="00CD4988" w:rsidRDefault="00914C7C" w:rsidP="00C6767A">
            <w:pPr>
              <w:ind w:firstLine="678"/>
              <w:jc w:val="both"/>
              <w:rPr>
                <w:rFonts w:eastAsia="Times New Roman"/>
                <w:color w:val="000000" w:themeColor="text1"/>
                <w:sz w:val="26"/>
                <w:szCs w:val="26"/>
              </w:rPr>
            </w:pPr>
            <w:r w:rsidRPr="00CD4988">
              <w:rPr>
                <w:rFonts w:eastAsia="Times New Roman"/>
                <w:color w:val="000000" w:themeColor="text1"/>
                <w:sz w:val="26"/>
                <w:szCs w:val="26"/>
              </w:rPr>
              <w:t>Pie šādām termināla vienības maksas izmaiņām izmaksas uz vienu pasažieri 2017.gadā pieaugs par aptuveni 0.06 EUR, 2026.gadā sasniedzot 0.32 EUR.</w:t>
            </w:r>
          </w:p>
          <w:p w:rsidR="00914C7C" w:rsidRPr="00CD4988" w:rsidRDefault="00914C7C" w:rsidP="00C6767A">
            <w:pPr>
              <w:ind w:firstLine="678"/>
              <w:jc w:val="both"/>
              <w:rPr>
                <w:b/>
                <w:sz w:val="26"/>
                <w:szCs w:val="26"/>
              </w:rPr>
            </w:pPr>
          </w:p>
        </w:tc>
      </w:tr>
      <w:tr w:rsidR="00831519" w:rsidRPr="00CD4988" w:rsidTr="00DB5AD4">
        <w:trPr>
          <w:trHeight w:val="476"/>
        </w:trPr>
        <w:tc>
          <w:tcPr>
            <w:tcW w:w="169" w:type="pct"/>
          </w:tcPr>
          <w:p w:rsidR="00831519" w:rsidRPr="00CD4988" w:rsidRDefault="00554716" w:rsidP="00DB5AD4">
            <w:pPr>
              <w:pStyle w:val="naiskr"/>
              <w:spacing w:before="0" w:beforeAutospacing="0" w:after="0" w:afterAutospacing="0"/>
              <w:ind w:left="57" w:right="57"/>
              <w:jc w:val="center"/>
              <w:rPr>
                <w:sz w:val="26"/>
                <w:szCs w:val="26"/>
              </w:rPr>
            </w:pPr>
            <w:r w:rsidRPr="00CD4988">
              <w:rPr>
                <w:sz w:val="26"/>
                <w:szCs w:val="26"/>
              </w:rPr>
              <w:lastRenderedPageBreak/>
              <w:t>3.</w:t>
            </w:r>
          </w:p>
        </w:tc>
        <w:tc>
          <w:tcPr>
            <w:tcW w:w="1565" w:type="pct"/>
          </w:tcPr>
          <w:p w:rsidR="00831519" w:rsidRDefault="00831519" w:rsidP="00DB5AD4">
            <w:pPr>
              <w:pStyle w:val="naiskr"/>
              <w:spacing w:before="0" w:beforeAutospacing="0" w:after="0" w:afterAutospacing="0"/>
              <w:ind w:left="57" w:right="57"/>
              <w:rPr>
                <w:sz w:val="26"/>
                <w:szCs w:val="26"/>
              </w:rPr>
            </w:pPr>
            <w:r w:rsidRPr="00CD4988">
              <w:rPr>
                <w:sz w:val="26"/>
                <w:szCs w:val="26"/>
              </w:rPr>
              <w:t>Projekta izstrādē iesaistītās institūcijas</w:t>
            </w:r>
          </w:p>
          <w:p w:rsidR="00CD4988" w:rsidRPr="00CD4988" w:rsidRDefault="00CD4988" w:rsidP="00DB5AD4">
            <w:pPr>
              <w:pStyle w:val="naiskr"/>
              <w:spacing w:before="0" w:beforeAutospacing="0" w:after="0" w:afterAutospacing="0"/>
              <w:ind w:left="57" w:right="57"/>
              <w:rPr>
                <w:sz w:val="26"/>
                <w:szCs w:val="26"/>
              </w:rPr>
            </w:pPr>
          </w:p>
        </w:tc>
        <w:tc>
          <w:tcPr>
            <w:tcW w:w="3266" w:type="pct"/>
          </w:tcPr>
          <w:p w:rsidR="00831519" w:rsidRPr="00CD4988" w:rsidRDefault="00914C7C" w:rsidP="00A70E56">
            <w:pPr>
              <w:ind w:left="57" w:right="57"/>
              <w:rPr>
                <w:sz w:val="26"/>
                <w:szCs w:val="26"/>
              </w:rPr>
            </w:pPr>
            <w:r w:rsidRPr="00CD4988">
              <w:rPr>
                <w:rFonts w:eastAsia="Times New Roman"/>
                <w:color w:val="000000" w:themeColor="text1"/>
                <w:sz w:val="26"/>
                <w:szCs w:val="26"/>
              </w:rPr>
              <w:t>VAS “ Latvijas gaisa satiksme”.</w:t>
            </w:r>
          </w:p>
        </w:tc>
      </w:tr>
      <w:tr w:rsidR="00831519" w:rsidRPr="00CD4988" w:rsidTr="00C12FA7">
        <w:tc>
          <w:tcPr>
            <w:tcW w:w="169" w:type="pct"/>
            <w:tcBorders>
              <w:bottom w:val="single" w:sz="4" w:space="0" w:color="auto"/>
            </w:tcBorders>
          </w:tcPr>
          <w:p w:rsidR="00831519" w:rsidRPr="00CD4988" w:rsidRDefault="00831519" w:rsidP="00DB5AD4">
            <w:pPr>
              <w:pStyle w:val="naiskr"/>
              <w:spacing w:before="0" w:beforeAutospacing="0" w:after="0" w:afterAutospacing="0"/>
              <w:ind w:left="57" w:right="57"/>
              <w:jc w:val="center"/>
              <w:rPr>
                <w:sz w:val="26"/>
                <w:szCs w:val="26"/>
              </w:rPr>
            </w:pPr>
            <w:r w:rsidRPr="00CD4988">
              <w:rPr>
                <w:sz w:val="26"/>
                <w:szCs w:val="26"/>
              </w:rPr>
              <w:t>4.</w:t>
            </w:r>
          </w:p>
        </w:tc>
        <w:tc>
          <w:tcPr>
            <w:tcW w:w="1565" w:type="pct"/>
            <w:tcBorders>
              <w:bottom w:val="single" w:sz="4" w:space="0" w:color="auto"/>
            </w:tcBorders>
          </w:tcPr>
          <w:p w:rsidR="00831519" w:rsidRPr="00CD4988" w:rsidRDefault="00831519" w:rsidP="00DB5AD4">
            <w:pPr>
              <w:pStyle w:val="naiskr"/>
              <w:spacing w:before="0" w:beforeAutospacing="0" w:after="0" w:afterAutospacing="0"/>
              <w:ind w:left="57" w:right="57"/>
              <w:rPr>
                <w:sz w:val="26"/>
                <w:szCs w:val="26"/>
              </w:rPr>
            </w:pPr>
            <w:r w:rsidRPr="00CD4988">
              <w:rPr>
                <w:sz w:val="26"/>
                <w:szCs w:val="26"/>
              </w:rPr>
              <w:t>Cita informācija</w:t>
            </w:r>
          </w:p>
        </w:tc>
        <w:tc>
          <w:tcPr>
            <w:tcW w:w="3266" w:type="pct"/>
            <w:tcBorders>
              <w:bottom w:val="single" w:sz="4" w:space="0" w:color="auto"/>
            </w:tcBorders>
          </w:tcPr>
          <w:p w:rsidR="00914C7C" w:rsidRPr="00CD4988" w:rsidRDefault="00914C7C" w:rsidP="00914C7C">
            <w:pPr>
              <w:ind w:right="66" w:firstLine="534"/>
              <w:jc w:val="both"/>
              <w:rPr>
                <w:rFonts w:eastAsia="Times New Roman"/>
                <w:color w:val="414142"/>
                <w:sz w:val="26"/>
                <w:szCs w:val="26"/>
              </w:rPr>
            </w:pPr>
            <w:r w:rsidRPr="00CD4988">
              <w:rPr>
                <w:rFonts w:eastAsia="Times New Roman"/>
                <w:color w:val="000000" w:themeColor="text1"/>
                <w:sz w:val="26"/>
                <w:szCs w:val="26"/>
              </w:rPr>
              <w:t>Salīdzinot termināla vienības maksas (skat. grafiks Nr.1) tuvāko gaisa satiksmes vadības bloku valstīs, ir redzams, ka LGS termināla vienības izmaksa</w:t>
            </w:r>
            <w:r w:rsidR="00B40107">
              <w:rPr>
                <w:rFonts w:eastAsia="Times New Roman"/>
                <w:color w:val="000000" w:themeColor="text1"/>
                <w:sz w:val="26"/>
                <w:szCs w:val="26"/>
              </w:rPr>
              <w:t>s</w:t>
            </w:r>
            <w:r w:rsidRPr="00CD4988">
              <w:rPr>
                <w:rFonts w:eastAsia="Times New Roman"/>
                <w:color w:val="000000" w:themeColor="text1"/>
                <w:sz w:val="26"/>
                <w:szCs w:val="26"/>
              </w:rPr>
              <w:t xml:space="preserve"> ir pa</w:t>
            </w:r>
            <w:r w:rsidR="00B40107">
              <w:rPr>
                <w:rFonts w:eastAsia="Times New Roman"/>
                <w:color w:val="000000" w:themeColor="text1"/>
                <w:sz w:val="26"/>
                <w:szCs w:val="26"/>
              </w:rPr>
              <w:t>šas</w:t>
            </w:r>
            <w:r w:rsidRPr="00CD4988">
              <w:rPr>
                <w:rFonts w:eastAsia="Times New Roman"/>
                <w:color w:val="000000" w:themeColor="text1"/>
                <w:sz w:val="26"/>
                <w:szCs w:val="26"/>
              </w:rPr>
              <w:t xml:space="preserve"> zemākā</w:t>
            </w:r>
            <w:r w:rsidR="00B40107">
              <w:rPr>
                <w:rFonts w:eastAsia="Times New Roman"/>
                <w:color w:val="000000" w:themeColor="text1"/>
                <w:sz w:val="26"/>
                <w:szCs w:val="26"/>
              </w:rPr>
              <w:t>s</w:t>
            </w:r>
            <w:r w:rsidRPr="00CD4988">
              <w:rPr>
                <w:rFonts w:eastAsia="Times New Roman"/>
                <w:color w:val="414142"/>
                <w:sz w:val="26"/>
                <w:szCs w:val="26"/>
              </w:rPr>
              <w:t>.</w:t>
            </w:r>
          </w:p>
          <w:p w:rsidR="00914C7C" w:rsidRDefault="00914C7C" w:rsidP="00914C7C">
            <w:pPr>
              <w:ind w:right="66" w:firstLine="534"/>
              <w:jc w:val="right"/>
              <w:rPr>
                <w:rFonts w:eastAsia="Times New Roman"/>
                <w:color w:val="414142"/>
                <w:sz w:val="26"/>
                <w:szCs w:val="26"/>
              </w:rPr>
            </w:pPr>
          </w:p>
          <w:p w:rsidR="00CD4988" w:rsidRDefault="00CD4988" w:rsidP="00914C7C">
            <w:pPr>
              <w:ind w:right="66" w:firstLine="534"/>
              <w:jc w:val="right"/>
              <w:rPr>
                <w:rFonts w:eastAsia="Times New Roman"/>
                <w:color w:val="414142"/>
                <w:sz w:val="26"/>
                <w:szCs w:val="26"/>
              </w:rPr>
            </w:pPr>
          </w:p>
          <w:p w:rsidR="00CD4988" w:rsidRPr="00CD4988" w:rsidRDefault="00CD4988" w:rsidP="00914C7C">
            <w:pPr>
              <w:ind w:right="66" w:firstLine="534"/>
              <w:jc w:val="right"/>
              <w:rPr>
                <w:rFonts w:eastAsia="Times New Roman"/>
                <w:color w:val="414142"/>
                <w:sz w:val="26"/>
                <w:szCs w:val="26"/>
              </w:rPr>
            </w:pPr>
          </w:p>
          <w:p w:rsidR="00914C7C" w:rsidRPr="00CD4988" w:rsidRDefault="00914C7C" w:rsidP="00914C7C">
            <w:pPr>
              <w:ind w:right="66" w:firstLine="534"/>
              <w:jc w:val="right"/>
              <w:rPr>
                <w:rFonts w:eastAsia="Times New Roman"/>
                <w:color w:val="000000" w:themeColor="text1"/>
                <w:sz w:val="26"/>
                <w:szCs w:val="26"/>
              </w:rPr>
            </w:pPr>
            <w:r w:rsidRPr="00CD4988">
              <w:rPr>
                <w:rFonts w:eastAsia="Times New Roman"/>
                <w:color w:val="000000" w:themeColor="text1"/>
                <w:sz w:val="26"/>
                <w:szCs w:val="26"/>
              </w:rPr>
              <w:t>Grafiks Nr.1</w:t>
            </w:r>
          </w:p>
          <w:p w:rsidR="00914C7C" w:rsidRPr="00CD4988" w:rsidRDefault="00914C7C" w:rsidP="00914C7C">
            <w:pPr>
              <w:ind w:firstLine="392"/>
              <w:rPr>
                <w:rFonts w:eastAsia="Times New Roman"/>
                <w:color w:val="000000" w:themeColor="text1"/>
                <w:sz w:val="26"/>
                <w:szCs w:val="26"/>
              </w:rPr>
            </w:pPr>
            <w:r w:rsidRPr="00CD4988">
              <w:rPr>
                <w:rFonts w:eastAsia="Times New Roman"/>
                <w:color w:val="000000" w:themeColor="text1"/>
                <w:sz w:val="26"/>
                <w:szCs w:val="26"/>
              </w:rPr>
              <w:t xml:space="preserve">Vienības maksu salīdzinājums NEFAB, DK/SE FAB, </w:t>
            </w:r>
            <w:proofErr w:type="spellStart"/>
            <w:r w:rsidRPr="00CD4988">
              <w:rPr>
                <w:rFonts w:eastAsia="Times New Roman"/>
                <w:color w:val="000000" w:themeColor="text1"/>
                <w:sz w:val="26"/>
                <w:szCs w:val="26"/>
              </w:rPr>
              <w:t>Baltic</w:t>
            </w:r>
            <w:proofErr w:type="spellEnd"/>
            <w:r w:rsidRPr="00CD4988">
              <w:rPr>
                <w:rFonts w:eastAsia="Times New Roman"/>
                <w:color w:val="000000" w:themeColor="text1"/>
                <w:sz w:val="26"/>
                <w:szCs w:val="26"/>
              </w:rPr>
              <w:t xml:space="preserve"> FAB</w:t>
            </w:r>
          </w:p>
          <w:p w:rsidR="00914C7C" w:rsidRPr="00CD4988" w:rsidRDefault="00914C7C" w:rsidP="00914C7C">
            <w:pPr>
              <w:ind w:firstLine="392"/>
              <w:rPr>
                <w:rFonts w:eastAsia="Times New Roman"/>
                <w:color w:val="414142"/>
                <w:sz w:val="26"/>
                <w:szCs w:val="26"/>
              </w:rPr>
            </w:pPr>
          </w:p>
          <w:p w:rsidR="00914C7C" w:rsidRPr="00CD4988" w:rsidRDefault="00914C7C" w:rsidP="00914C7C">
            <w:pPr>
              <w:ind w:firstLine="392"/>
              <w:rPr>
                <w:rFonts w:eastAsia="Times New Roman"/>
                <w:color w:val="414142"/>
                <w:sz w:val="26"/>
                <w:szCs w:val="26"/>
              </w:rPr>
            </w:pPr>
            <w:r w:rsidRPr="00CD4988">
              <w:rPr>
                <w:rFonts w:eastAsia="Times New Roman"/>
                <w:noProof/>
                <w:color w:val="414142"/>
                <w:sz w:val="26"/>
                <w:szCs w:val="26"/>
              </w:rPr>
              <w:drawing>
                <wp:inline distT="0" distB="0" distL="0" distR="0" wp14:anchorId="4E887CE1" wp14:editId="652BA3DF">
                  <wp:extent cx="2796552" cy="161282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4224" cy="1646082"/>
                          </a:xfrm>
                          <a:prstGeom prst="rect">
                            <a:avLst/>
                          </a:prstGeom>
                          <a:noFill/>
                        </pic:spPr>
                      </pic:pic>
                    </a:graphicData>
                  </a:graphic>
                </wp:inline>
              </w:drawing>
            </w:r>
          </w:p>
          <w:p w:rsidR="00914C7C" w:rsidRPr="00CD4988" w:rsidRDefault="00914C7C" w:rsidP="00914C7C">
            <w:pPr>
              <w:ind w:firstLine="392"/>
              <w:rPr>
                <w:rFonts w:eastAsia="Times New Roman"/>
                <w:color w:val="414142"/>
                <w:sz w:val="26"/>
                <w:szCs w:val="26"/>
              </w:rPr>
            </w:pPr>
          </w:p>
          <w:p w:rsidR="00914C7C" w:rsidRPr="00CD4988" w:rsidRDefault="00914C7C" w:rsidP="00914C7C">
            <w:pPr>
              <w:ind w:firstLine="392"/>
              <w:jc w:val="both"/>
              <w:rPr>
                <w:rFonts w:eastAsia="Times New Roman"/>
                <w:color w:val="000000" w:themeColor="text1"/>
                <w:sz w:val="26"/>
                <w:szCs w:val="26"/>
              </w:rPr>
            </w:pPr>
            <w:r w:rsidRPr="00CD4988">
              <w:rPr>
                <w:rFonts w:eastAsia="Times New Roman"/>
                <w:color w:val="000000" w:themeColor="text1"/>
                <w:sz w:val="26"/>
                <w:szCs w:val="26"/>
              </w:rPr>
              <w:t xml:space="preserve">Grafikā ir atspoguļotas termināla vienības maksas 2014. un 2015.gados, kā arī Latvijas gadījumā paredzētais palielinājums 2017.gadā. </w:t>
            </w:r>
          </w:p>
          <w:p w:rsidR="003D122B" w:rsidRPr="00CD4988" w:rsidRDefault="003D122B" w:rsidP="00C16C4D">
            <w:pPr>
              <w:ind w:firstLine="678"/>
              <w:jc w:val="both"/>
              <w:rPr>
                <w:sz w:val="26"/>
                <w:szCs w:val="26"/>
              </w:rPr>
            </w:pPr>
          </w:p>
        </w:tc>
      </w:tr>
      <w:tr w:rsidR="00C12FA7" w:rsidRPr="00CD4988" w:rsidTr="00C12FA7">
        <w:tc>
          <w:tcPr>
            <w:tcW w:w="5000" w:type="pct"/>
            <w:gridSpan w:val="3"/>
            <w:tcBorders>
              <w:top w:val="single" w:sz="4" w:space="0" w:color="auto"/>
              <w:left w:val="nil"/>
              <w:bottom w:val="single" w:sz="4" w:space="0" w:color="auto"/>
              <w:right w:val="nil"/>
            </w:tcBorders>
          </w:tcPr>
          <w:p w:rsidR="00C12FA7" w:rsidRPr="00CD4988" w:rsidRDefault="00C12FA7" w:rsidP="00914C7C">
            <w:pPr>
              <w:ind w:right="66" w:firstLine="534"/>
              <w:jc w:val="both"/>
              <w:rPr>
                <w:rFonts w:eastAsia="Times New Roman"/>
                <w:color w:val="000000" w:themeColor="text1"/>
                <w:sz w:val="26"/>
                <w:szCs w:val="26"/>
              </w:rPr>
            </w:pPr>
          </w:p>
        </w:tc>
      </w:tr>
    </w:tbl>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1"/>
        <w:gridCol w:w="437"/>
        <w:gridCol w:w="49"/>
        <w:gridCol w:w="2713"/>
        <w:gridCol w:w="853"/>
        <w:gridCol w:w="5466"/>
        <w:gridCol w:w="6"/>
      </w:tblGrid>
      <w:tr w:rsidR="00831519" w:rsidRPr="00CD4988" w:rsidTr="00C12FA7">
        <w:trPr>
          <w:jc w:val="center"/>
        </w:trPr>
        <w:tc>
          <w:tcPr>
            <w:tcW w:w="9535" w:type="dxa"/>
            <w:gridSpan w:val="7"/>
            <w:tcBorders>
              <w:top w:val="nil"/>
              <w:left w:val="outset" w:sz="6" w:space="0" w:color="auto"/>
              <w:bottom w:val="outset" w:sz="6" w:space="0" w:color="auto"/>
              <w:right w:val="outset" w:sz="6" w:space="0" w:color="auto"/>
            </w:tcBorders>
            <w:vAlign w:val="center"/>
          </w:tcPr>
          <w:p w:rsidR="00831519" w:rsidRPr="00CD4988" w:rsidRDefault="00914C7C" w:rsidP="00DB5AD4">
            <w:pPr>
              <w:jc w:val="center"/>
              <w:rPr>
                <w:b/>
                <w:sz w:val="26"/>
                <w:szCs w:val="26"/>
              </w:rPr>
            </w:pPr>
            <w:r w:rsidRPr="00CD4988">
              <w:rPr>
                <w:b/>
                <w:color w:val="000000" w:themeColor="text1"/>
                <w:sz w:val="26"/>
                <w:szCs w:val="26"/>
              </w:rPr>
              <w:t>II. Tiesību akta projekta ietekme uz sabiedrību, tautsaimniecības attīstību un administratīvo slogu</w:t>
            </w:r>
          </w:p>
        </w:tc>
      </w:tr>
      <w:tr w:rsidR="00914C7C" w:rsidRPr="00CD4988"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914C7C" w:rsidRPr="00CD4988" w:rsidRDefault="00914C7C" w:rsidP="00914C7C">
            <w:pPr>
              <w:ind w:left="57"/>
              <w:rPr>
                <w:sz w:val="26"/>
                <w:szCs w:val="26"/>
              </w:rPr>
            </w:pPr>
            <w:r w:rsidRPr="00CD4988">
              <w:rPr>
                <w:sz w:val="26"/>
                <w:szCs w:val="26"/>
              </w:rPr>
              <w:t>1.</w:t>
            </w:r>
          </w:p>
        </w:tc>
        <w:tc>
          <w:tcPr>
            <w:tcW w:w="2713" w:type="dxa"/>
            <w:tcBorders>
              <w:top w:val="outset" w:sz="6" w:space="0" w:color="auto"/>
              <w:left w:val="outset" w:sz="6" w:space="0" w:color="auto"/>
              <w:bottom w:val="outset" w:sz="6" w:space="0" w:color="auto"/>
              <w:right w:val="outset" w:sz="6" w:space="0" w:color="auto"/>
            </w:tcBorders>
          </w:tcPr>
          <w:p w:rsidR="00914C7C" w:rsidRPr="00CD4988" w:rsidRDefault="00914C7C" w:rsidP="00914C7C">
            <w:pPr>
              <w:ind w:left="57"/>
              <w:rPr>
                <w:sz w:val="26"/>
                <w:szCs w:val="26"/>
              </w:rPr>
            </w:pPr>
            <w:r w:rsidRPr="00CD4988">
              <w:rPr>
                <w:color w:val="000000" w:themeColor="text1"/>
                <w:sz w:val="26"/>
                <w:szCs w:val="26"/>
              </w:rPr>
              <w:t xml:space="preserve">Sabiedrības </w:t>
            </w:r>
            <w:proofErr w:type="spellStart"/>
            <w:r w:rsidRPr="00CD4988">
              <w:rPr>
                <w:color w:val="000000" w:themeColor="text1"/>
                <w:sz w:val="26"/>
                <w:szCs w:val="26"/>
              </w:rPr>
              <w:t>mērķgrupas</w:t>
            </w:r>
            <w:proofErr w:type="spellEnd"/>
            <w:r w:rsidRPr="00CD4988">
              <w:rPr>
                <w:color w:val="000000" w:themeColor="text1"/>
                <w:sz w:val="26"/>
                <w:szCs w:val="26"/>
              </w:rPr>
              <w:t>, kuras tiesiskais regulējums ietekmē vai varētu ietekmēt</w:t>
            </w:r>
          </w:p>
        </w:tc>
        <w:tc>
          <w:tcPr>
            <w:tcW w:w="6325" w:type="dxa"/>
            <w:gridSpan w:val="3"/>
            <w:tcBorders>
              <w:top w:val="outset" w:sz="6" w:space="0" w:color="auto"/>
              <w:left w:val="outset" w:sz="6" w:space="0" w:color="auto"/>
              <w:bottom w:val="outset" w:sz="6" w:space="0" w:color="auto"/>
              <w:right w:val="outset" w:sz="6" w:space="0" w:color="auto"/>
            </w:tcBorders>
          </w:tcPr>
          <w:p w:rsidR="00914C7C" w:rsidRPr="00CD4988" w:rsidRDefault="00914C7C" w:rsidP="00914C7C">
            <w:pPr>
              <w:ind w:left="57"/>
              <w:jc w:val="both"/>
              <w:rPr>
                <w:sz w:val="26"/>
                <w:szCs w:val="26"/>
              </w:rPr>
            </w:pPr>
            <w:r w:rsidRPr="00CD4988">
              <w:rPr>
                <w:rFonts w:eastAsia="Times New Roman"/>
                <w:color w:val="000000" w:themeColor="text1"/>
                <w:sz w:val="26"/>
                <w:szCs w:val="26"/>
              </w:rPr>
              <w:t xml:space="preserve">Aviokompānijas, kas veic lidojumus no Rīgas un uz Rīgu. </w:t>
            </w:r>
          </w:p>
        </w:tc>
      </w:tr>
      <w:tr w:rsidR="00914C7C" w:rsidRPr="00CD4988"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914C7C" w:rsidRPr="00CD4988" w:rsidRDefault="00914C7C" w:rsidP="00914C7C">
            <w:pPr>
              <w:ind w:left="57"/>
              <w:rPr>
                <w:sz w:val="26"/>
                <w:szCs w:val="26"/>
              </w:rPr>
            </w:pPr>
            <w:r w:rsidRPr="00CD4988">
              <w:rPr>
                <w:sz w:val="26"/>
                <w:szCs w:val="26"/>
              </w:rPr>
              <w:t>2.</w:t>
            </w:r>
          </w:p>
        </w:tc>
        <w:tc>
          <w:tcPr>
            <w:tcW w:w="2713" w:type="dxa"/>
            <w:tcBorders>
              <w:top w:val="outset" w:sz="6" w:space="0" w:color="auto"/>
              <w:left w:val="outset" w:sz="6" w:space="0" w:color="auto"/>
              <w:bottom w:val="outset" w:sz="6" w:space="0" w:color="auto"/>
              <w:right w:val="outset" w:sz="6" w:space="0" w:color="auto"/>
            </w:tcBorders>
          </w:tcPr>
          <w:p w:rsidR="00914C7C" w:rsidRPr="00CD4988" w:rsidRDefault="00914C7C" w:rsidP="00914C7C">
            <w:pPr>
              <w:ind w:left="57"/>
              <w:rPr>
                <w:sz w:val="26"/>
                <w:szCs w:val="26"/>
              </w:rPr>
            </w:pPr>
            <w:r w:rsidRPr="00CD4988">
              <w:rPr>
                <w:color w:val="000000" w:themeColor="text1"/>
                <w:sz w:val="26"/>
                <w:szCs w:val="26"/>
              </w:rPr>
              <w:t>Tiesiskā regulējuma ietekme uz tautsaimniecību un administratīvo slogu</w:t>
            </w:r>
          </w:p>
        </w:tc>
        <w:tc>
          <w:tcPr>
            <w:tcW w:w="6325" w:type="dxa"/>
            <w:gridSpan w:val="3"/>
            <w:tcBorders>
              <w:top w:val="outset" w:sz="6" w:space="0" w:color="auto"/>
              <w:left w:val="outset" w:sz="6" w:space="0" w:color="auto"/>
              <w:bottom w:val="outset" w:sz="6" w:space="0" w:color="auto"/>
              <w:right w:val="outset" w:sz="6" w:space="0" w:color="auto"/>
            </w:tcBorders>
          </w:tcPr>
          <w:p w:rsidR="00914C7C" w:rsidRPr="00CD4988" w:rsidRDefault="00914C7C" w:rsidP="00914C7C">
            <w:pPr>
              <w:ind w:left="57"/>
              <w:jc w:val="both"/>
              <w:rPr>
                <w:sz w:val="26"/>
                <w:szCs w:val="26"/>
              </w:rPr>
            </w:pPr>
            <w:r w:rsidRPr="00CD4988">
              <w:rPr>
                <w:color w:val="000000" w:themeColor="text1"/>
                <w:sz w:val="26"/>
                <w:szCs w:val="26"/>
              </w:rPr>
              <w:t>Projekts šo jomu neskar.</w:t>
            </w:r>
          </w:p>
        </w:tc>
      </w:tr>
      <w:tr w:rsidR="00914C7C" w:rsidRPr="00CD4988" w:rsidTr="0061056C">
        <w:trPr>
          <w:jc w:val="center"/>
        </w:trPr>
        <w:tc>
          <w:tcPr>
            <w:tcW w:w="497" w:type="dxa"/>
            <w:gridSpan w:val="3"/>
            <w:tcBorders>
              <w:top w:val="outset" w:sz="6" w:space="0" w:color="auto"/>
              <w:left w:val="outset" w:sz="6" w:space="0" w:color="auto"/>
              <w:bottom w:val="outset" w:sz="6" w:space="0" w:color="auto"/>
              <w:right w:val="outset" w:sz="6" w:space="0" w:color="auto"/>
            </w:tcBorders>
          </w:tcPr>
          <w:p w:rsidR="00914C7C" w:rsidRPr="00CD4988" w:rsidRDefault="00914C7C" w:rsidP="00914C7C">
            <w:pPr>
              <w:ind w:left="57"/>
              <w:rPr>
                <w:sz w:val="26"/>
                <w:szCs w:val="26"/>
              </w:rPr>
            </w:pPr>
            <w:r w:rsidRPr="00CD4988">
              <w:rPr>
                <w:sz w:val="26"/>
                <w:szCs w:val="26"/>
              </w:rPr>
              <w:t>3.</w:t>
            </w:r>
          </w:p>
        </w:tc>
        <w:tc>
          <w:tcPr>
            <w:tcW w:w="2713" w:type="dxa"/>
            <w:tcBorders>
              <w:top w:val="outset" w:sz="6" w:space="0" w:color="auto"/>
              <w:left w:val="outset" w:sz="6" w:space="0" w:color="auto"/>
              <w:bottom w:val="outset" w:sz="6" w:space="0" w:color="auto"/>
              <w:right w:val="outset" w:sz="6" w:space="0" w:color="auto"/>
            </w:tcBorders>
          </w:tcPr>
          <w:p w:rsidR="00914C7C" w:rsidRPr="00CD4988" w:rsidRDefault="00914C7C" w:rsidP="00914C7C">
            <w:pPr>
              <w:ind w:left="57"/>
              <w:rPr>
                <w:sz w:val="26"/>
                <w:szCs w:val="26"/>
              </w:rPr>
            </w:pPr>
            <w:r w:rsidRPr="00CD4988">
              <w:rPr>
                <w:color w:val="000000" w:themeColor="text1"/>
                <w:sz w:val="26"/>
                <w:szCs w:val="26"/>
              </w:rPr>
              <w:t>Administratīvo izmaksu monetārs novērtējums</w:t>
            </w:r>
          </w:p>
        </w:tc>
        <w:tc>
          <w:tcPr>
            <w:tcW w:w="6325" w:type="dxa"/>
            <w:gridSpan w:val="3"/>
            <w:tcBorders>
              <w:top w:val="outset" w:sz="6" w:space="0" w:color="auto"/>
              <w:left w:val="outset" w:sz="6" w:space="0" w:color="auto"/>
              <w:bottom w:val="outset" w:sz="6" w:space="0" w:color="auto"/>
              <w:right w:val="outset" w:sz="6" w:space="0" w:color="auto"/>
            </w:tcBorders>
          </w:tcPr>
          <w:p w:rsidR="00914C7C" w:rsidRPr="00CD4988" w:rsidRDefault="00914C7C" w:rsidP="003E4C88">
            <w:pPr>
              <w:jc w:val="both"/>
              <w:rPr>
                <w:sz w:val="26"/>
                <w:szCs w:val="26"/>
              </w:rPr>
            </w:pPr>
            <w:r w:rsidRPr="00CD4988">
              <w:rPr>
                <w:color w:val="000000" w:themeColor="text1"/>
                <w:sz w:val="26"/>
                <w:szCs w:val="26"/>
              </w:rPr>
              <w:t>Projekts šo jomu neskar.</w:t>
            </w:r>
          </w:p>
        </w:tc>
      </w:tr>
      <w:tr w:rsidR="00914C7C" w:rsidRPr="00CD4988" w:rsidTr="0061056C">
        <w:trPr>
          <w:jc w:val="center"/>
        </w:trPr>
        <w:tc>
          <w:tcPr>
            <w:tcW w:w="497" w:type="dxa"/>
            <w:gridSpan w:val="3"/>
            <w:tcBorders>
              <w:top w:val="outset" w:sz="6" w:space="0" w:color="auto"/>
              <w:left w:val="outset" w:sz="6" w:space="0" w:color="auto"/>
              <w:bottom w:val="single" w:sz="4" w:space="0" w:color="auto"/>
              <w:right w:val="outset" w:sz="6" w:space="0" w:color="auto"/>
            </w:tcBorders>
          </w:tcPr>
          <w:p w:rsidR="00914C7C" w:rsidRPr="00CD4988" w:rsidRDefault="00914C7C" w:rsidP="00914C7C">
            <w:pPr>
              <w:ind w:left="57"/>
              <w:rPr>
                <w:sz w:val="26"/>
                <w:szCs w:val="26"/>
              </w:rPr>
            </w:pPr>
            <w:r w:rsidRPr="00CD4988">
              <w:rPr>
                <w:sz w:val="26"/>
                <w:szCs w:val="26"/>
              </w:rPr>
              <w:t>4.</w:t>
            </w:r>
          </w:p>
        </w:tc>
        <w:tc>
          <w:tcPr>
            <w:tcW w:w="2713" w:type="dxa"/>
            <w:tcBorders>
              <w:top w:val="outset" w:sz="6" w:space="0" w:color="auto"/>
              <w:left w:val="outset" w:sz="6" w:space="0" w:color="auto"/>
              <w:bottom w:val="single" w:sz="4" w:space="0" w:color="auto"/>
              <w:right w:val="outset" w:sz="6" w:space="0" w:color="auto"/>
            </w:tcBorders>
          </w:tcPr>
          <w:p w:rsidR="00914C7C" w:rsidRPr="00CD4988" w:rsidRDefault="00914C7C" w:rsidP="00914C7C">
            <w:pPr>
              <w:ind w:left="57"/>
              <w:rPr>
                <w:color w:val="000000" w:themeColor="text1"/>
                <w:sz w:val="26"/>
                <w:szCs w:val="26"/>
              </w:rPr>
            </w:pPr>
            <w:r w:rsidRPr="00CD4988">
              <w:rPr>
                <w:color w:val="000000" w:themeColor="text1"/>
                <w:sz w:val="26"/>
                <w:szCs w:val="26"/>
              </w:rPr>
              <w:t>Cita informācija</w:t>
            </w:r>
          </w:p>
        </w:tc>
        <w:tc>
          <w:tcPr>
            <w:tcW w:w="6325" w:type="dxa"/>
            <w:gridSpan w:val="3"/>
            <w:tcBorders>
              <w:top w:val="outset" w:sz="6" w:space="0" w:color="auto"/>
              <w:left w:val="outset" w:sz="6" w:space="0" w:color="auto"/>
              <w:bottom w:val="single" w:sz="4" w:space="0" w:color="auto"/>
              <w:right w:val="outset" w:sz="6" w:space="0" w:color="auto"/>
            </w:tcBorders>
          </w:tcPr>
          <w:p w:rsidR="00914C7C" w:rsidRPr="00CD4988" w:rsidRDefault="00914C7C" w:rsidP="00914C7C">
            <w:pPr>
              <w:ind w:left="57"/>
              <w:jc w:val="both"/>
              <w:rPr>
                <w:color w:val="000000" w:themeColor="text1"/>
                <w:sz w:val="26"/>
                <w:szCs w:val="26"/>
              </w:rPr>
            </w:pPr>
            <w:r w:rsidRPr="00CD4988">
              <w:rPr>
                <w:rFonts w:eastAsia="Times New Roman"/>
                <w:color w:val="000000" w:themeColor="text1"/>
                <w:sz w:val="26"/>
                <w:szCs w:val="26"/>
              </w:rPr>
              <w:t>Nav.</w:t>
            </w:r>
          </w:p>
        </w:tc>
      </w:tr>
      <w:tr w:rsidR="0061056C" w:rsidRPr="00CD4988" w:rsidTr="0061056C">
        <w:trPr>
          <w:jc w:val="center"/>
        </w:trPr>
        <w:tc>
          <w:tcPr>
            <w:tcW w:w="497" w:type="dxa"/>
            <w:gridSpan w:val="3"/>
            <w:tcBorders>
              <w:top w:val="single" w:sz="4" w:space="0" w:color="auto"/>
              <w:left w:val="nil"/>
              <w:bottom w:val="single" w:sz="4" w:space="0" w:color="auto"/>
              <w:right w:val="nil"/>
            </w:tcBorders>
          </w:tcPr>
          <w:p w:rsidR="0061056C" w:rsidRPr="00CD4988" w:rsidRDefault="0061056C" w:rsidP="00914C7C">
            <w:pPr>
              <w:ind w:left="57"/>
              <w:rPr>
                <w:sz w:val="26"/>
                <w:szCs w:val="26"/>
              </w:rPr>
            </w:pPr>
          </w:p>
        </w:tc>
        <w:tc>
          <w:tcPr>
            <w:tcW w:w="2713" w:type="dxa"/>
            <w:tcBorders>
              <w:top w:val="single" w:sz="4" w:space="0" w:color="auto"/>
              <w:left w:val="nil"/>
              <w:bottom w:val="single" w:sz="4" w:space="0" w:color="auto"/>
              <w:right w:val="nil"/>
            </w:tcBorders>
          </w:tcPr>
          <w:p w:rsidR="0061056C" w:rsidRPr="00CD4988" w:rsidRDefault="0061056C" w:rsidP="00914C7C">
            <w:pPr>
              <w:ind w:left="57"/>
              <w:rPr>
                <w:color w:val="000000" w:themeColor="text1"/>
                <w:sz w:val="26"/>
                <w:szCs w:val="26"/>
              </w:rPr>
            </w:pPr>
          </w:p>
        </w:tc>
        <w:tc>
          <w:tcPr>
            <w:tcW w:w="6325" w:type="dxa"/>
            <w:gridSpan w:val="3"/>
            <w:tcBorders>
              <w:top w:val="single" w:sz="4" w:space="0" w:color="auto"/>
              <w:left w:val="nil"/>
              <w:bottom w:val="single" w:sz="4" w:space="0" w:color="auto"/>
              <w:right w:val="nil"/>
            </w:tcBorders>
          </w:tcPr>
          <w:p w:rsidR="0061056C" w:rsidRPr="00CD4988" w:rsidRDefault="0061056C" w:rsidP="00914C7C">
            <w:pPr>
              <w:ind w:left="57"/>
              <w:jc w:val="both"/>
              <w:rPr>
                <w:rFonts w:eastAsia="Times New Roman"/>
                <w:color w:val="000000" w:themeColor="text1"/>
                <w:sz w:val="26"/>
                <w:szCs w:val="26"/>
              </w:rPr>
            </w:pPr>
          </w:p>
        </w:tc>
      </w:tr>
      <w:tr w:rsidR="00831519" w:rsidRPr="00CD4988"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381"/>
          <w:jc w:val="center"/>
        </w:trPr>
        <w:tc>
          <w:tcPr>
            <w:tcW w:w="9518" w:type="dxa"/>
            <w:gridSpan w:val="5"/>
            <w:vAlign w:val="center"/>
          </w:tcPr>
          <w:p w:rsidR="00831519" w:rsidRPr="00CD4988" w:rsidRDefault="00914C7C" w:rsidP="00DB5AD4">
            <w:pPr>
              <w:pStyle w:val="naisnod"/>
              <w:spacing w:before="0" w:beforeAutospacing="0" w:after="0" w:afterAutospacing="0"/>
              <w:ind w:left="57" w:right="57"/>
              <w:jc w:val="center"/>
              <w:rPr>
                <w:sz w:val="26"/>
                <w:szCs w:val="26"/>
              </w:rPr>
            </w:pPr>
            <w:r w:rsidRPr="00CD4988">
              <w:rPr>
                <w:b/>
                <w:color w:val="000000" w:themeColor="text1"/>
                <w:sz w:val="26"/>
                <w:szCs w:val="26"/>
              </w:rPr>
              <w:t>VI. Sabiedrības līdzdalība un komunikācijas aktivitātes</w:t>
            </w:r>
          </w:p>
        </w:tc>
      </w:tr>
      <w:tr w:rsidR="00831519" w:rsidRPr="00CD4988"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Pr>
          <w:p w:rsidR="00831519" w:rsidRPr="00CD4988" w:rsidRDefault="00831519" w:rsidP="00DB5AD4">
            <w:pPr>
              <w:pStyle w:val="naisnod"/>
              <w:spacing w:before="0" w:beforeAutospacing="0" w:after="0" w:afterAutospacing="0"/>
              <w:ind w:left="57" w:right="57"/>
              <w:jc w:val="both"/>
              <w:rPr>
                <w:sz w:val="26"/>
                <w:szCs w:val="26"/>
              </w:rPr>
            </w:pPr>
            <w:r w:rsidRPr="00CD4988">
              <w:rPr>
                <w:sz w:val="26"/>
                <w:szCs w:val="26"/>
              </w:rPr>
              <w:t>1.</w:t>
            </w:r>
          </w:p>
        </w:tc>
        <w:tc>
          <w:tcPr>
            <w:tcW w:w="3615" w:type="dxa"/>
            <w:gridSpan w:val="3"/>
          </w:tcPr>
          <w:p w:rsidR="00420F8D" w:rsidRPr="00CD4988" w:rsidRDefault="00914C7C" w:rsidP="00DB5AD4">
            <w:pPr>
              <w:pStyle w:val="naisf"/>
              <w:spacing w:before="0" w:beforeAutospacing="0" w:after="0" w:afterAutospacing="0"/>
              <w:ind w:left="57" w:right="57"/>
              <w:rPr>
                <w:sz w:val="26"/>
                <w:szCs w:val="26"/>
              </w:rPr>
            </w:pPr>
            <w:r w:rsidRPr="00CD4988">
              <w:rPr>
                <w:color w:val="000000" w:themeColor="text1"/>
                <w:sz w:val="26"/>
                <w:szCs w:val="26"/>
              </w:rPr>
              <w:t>Plānotās sabiedrības līdzdalības un komunikācijas aktivitātes saistībā ar projektu</w:t>
            </w:r>
          </w:p>
        </w:tc>
        <w:tc>
          <w:tcPr>
            <w:tcW w:w="5466" w:type="dxa"/>
          </w:tcPr>
          <w:p w:rsidR="00831519" w:rsidRPr="00CD4988" w:rsidRDefault="00914C7C" w:rsidP="00DB5AD4">
            <w:pPr>
              <w:shd w:val="clear" w:color="auto" w:fill="FFFFFF"/>
              <w:jc w:val="both"/>
              <w:rPr>
                <w:sz w:val="26"/>
                <w:szCs w:val="26"/>
              </w:rPr>
            </w:pPr>
            <w:bookmarkStart w:id="3" w:name="p66"/>
            <w:bookmarkStart w:id="4" w:name="p67"/>
            <w:bookmarkStart w:id="5" w:name="p68"/>
            <w:bookmarkStart w:id="6" w:name="p69"/>
            <w:bookmarkEnd w:id="3"/>
            <w:bookmarkEnd w:id="4"/>
            <w:bookmarkEnd w:id="5"/>
            <w:bookmarkEnd w:id="6"/>
            <w:r w:rsidRPr="00CD4988">
              <w:rPr>
                <w:color w:val="000000" w:themeColor="text1"/>
                <w:sz w:val="26"/>
                <w:szCs w:val="26"/>
              </w:rPr>
              <w:t>Projekts ievietots Satiksmes ministrijas tīmekļa vietnē.</w:t>
            </w:r>
          </w:p>
        </w:tc>
      </w:tr>
      <w:tr w:rsidR="00914C7C" w:rsidRPr="00CD4988"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Pr>
          <w:p w:rsidR="00914C7C" w:rsidRPr="00CD4988" w:rsidRDefault="00914C7C" w:rsidP="00DB5AD4">
            <w:pPr>
              <w:pStyle w:val="naisnod"/>
              <w:spacing w:before="0" w:beforeAutospacing="0" w:after="0" w:afterAutospacing="0"/>
              <w:ind w:left="57" w:right="57"/>
              <w:jc w:val="both"/>
              <w:rPr>
                <w:sz w:val="26"/>
                <w:szCs w:val="26"/>
              </w:rPr>
            </w:pPr>
            <w:r w:rsidRPr="00CD4988">
              <w:rPr>
                <w:sz w:val="26"/>
                <w:szCs w:val="26"/>
              </w:rPr>
              <w:t>2.</w:t>
            </w:r>
          </w:p>
        </w:tc>
        <w:tc>
          <w:tcPr>
            <w:tcW w:w="3615" w:type="dxa"/>
            <w:gridSpan w:val="3"/>
          </w:tcPr>
          <w:p w:rsidR="00914C7C" w:rsidRPr="00CD4988" w:rsidRDefault="00914C7C" w:rsidP="00DB5AD4">
            <w:pPr>
              <w:pStyle w:val="naisf"/>
              <w:spacing w:before="0" w:beforeAutospacing="0" w:after="0" w:afterAutospacing="0"/>
              <w:ind w:left="57" w:right="57"/>
              <w:rPr>
                <w:sz w:val="26"/>
                <w:szCs w:val="26"/>
              </w:rPr>
            </w:pPr>
            <w:r w:rsidRPr="00CD4988">
              <w:rPr>
                <w:color w:val="000000" w:themeColor="text1"/>
                <w:sz w:val="26"/>
                <w:szCs w:val="26"/>
              </w:rPr>
              <w:t>Sabiedrības līdzdalība projekta izstrādē</w:t>
            </w:r>
          </w:p>
        </w:tc>
        <w:tc>
          <w:tcPr>
            <w:tcW w:w="5466" w:type="dxa"/>
          </w:tcPr>
          <w:p w:rsidR="00914C7C" w:rsidRPr="00CD4988" w:rsidRDefault="00914C7C" w:rsidP="00DB5AD4">
            <w:pPr>
              <w:shd w:val="clear" w:color="auto" w:fill="FFFFFF"/>
              <w:jc w:val="both"/>
              <w:rPr>
                <w:color w:val="000000" w:themeColor="text1"/>
                <w:sz w:val="26"/>
                <w:szCs w:val="26"/>
              </w:rPr>
            </w:pPr>
            <w:r w:rsidRPr="00CD4988">
              <w:rPr>
                <w:color w:val="000000" w:themeColor="text1"/>
                <w:sz w:val="26"/>
                <w:szCs w:val="26"/>
              </w:rPr>
              <w:t xml:space="preserve">Sabiedrībai tika dota iespēja sniegt viedokli par projektu tā izstrādes stadijā. </w:t>
            </w:r>
          </w:p>
          <w:p w:rsidR="00CD4988" w:rsidRPr="00CD4988" w:rsidRDefault="00CD4988" w:rsidP="00DB5AD4">
            <w:pPr>
              <w:shd w:val="clear" w:color="auto" w:fill="FFFFFF"/>
              <w:jc w:val="both"/>
              <w:rPr>
                <w:sz w:val="26"/>
                <w:szCs w:val="26"/>
              </w:rPr>
            </w:pPr>
          </w:p>
        </w:tc>
      </w:tr>
      <w:tr w:rsidR="00914C7C" w:rsidRPr="00CD4988"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Pr>
          <w:p w:rsidR="00914C7C" w:rsidRPr="00CD4988" w:rsidRDefault="00914C7C" w:rsidP="00DB5AD4">
            <w:pPr>
              <w:pStyle w:val="naisnod"/>
              <w:spacing w:before="0" w:beforeAutospacing="0" w:after="0" w:afterAutospacing="0"/>
              <w:ind w:left="57" w:right="57"/>
              <w:jc w:val="both"/>
              <w:rPr>
                <w:sz w:val="26"/>
                <w:szCs w:val="26"/>
              </w:rPr>
            </w:pPr>
            <w:r w:rsidRPr="00CD4988">
              <w:rPr>
                <w:sz w:val="26"/>
                <w:szCs w:val="26"/>
              </w:rPr>
              <w:lastRenderedPageBreak/>
              <w:t>3.</w:t>
            </w:r>
          </w:p>
        </w:tc>
        <w:tc>
          <w:tcPr>
            <w:tcW w:w="3615" w:type="dxa"/>
            <w:gridSpan w:val="3"/>
          </w:tcPr>
          <w:p w:rsidR="00914C7C" w:rsidRPr="00CD4988" w:rsidRDefault="00914C7C" w:rsidP="00DB5AD4">
            <w:pPr>
              <w:pStyle w:val="naisf"/>
              <w:spacing w:before="0" w:beforeAutospacing="0" w:after="0" w:afterAutospacing="0"/>
              <w:ind w:left="57" w:right="57"/>
              <w:rPr>
                <w:sz w:val="26"/>
                <w:szCs w:val="26"/>
              </w:rPr>
            </w:pPr>
            <w:r w:rsidRPr="00CD4988">
              <w:rPr>
                <w:color w:val="000000" w:themeColor="text1"/>
                <w:sz w:val="26"/>
                <w:szCs w:val="26"/>
              </w:rPr>
              <w:t>Sabiedrības līdzdalības rezultāti</w:t>
            </w:r>
          </w:p>
        </w:tc>
        <w:tc>
          <w:tcPr>
            <w:tcW w:w="5466" w:type="dxa"/>
          </w:tcPr>
          <w:p w:rsidR="00914C7C" w:rsidRPr="00CD4988" w:rsidRDefault="00C12FA7" w:rsidP="00DB5AD4">
            <w:pPr>
              <w:shd w:val="clear" w:color="auto" w:fill="FFFFFF"/>
              <w:jc w:val="both"/>
              <w:rPr>
                <w:color w:val="000000"/>
                <w:sz w:val="26"/>
                <w:szCs w:val="26"/>
              </w:rPr>
            </w:pPr>
            <w:r w:rsidRPr="00CD4988">
              <w:rPr>
                <w:color w:val="000000"/>
                <w:sz w:val="26"/>
                <w:szCs w:val="26"/>
              </w:rPr>
              <w:t>Projekta izstrādes procesā no sabiedrības pārstāvjiem priekšlikumi netika saņemti.</w:t>
            </w:r>
          </w:p>
          <w:p w:rsidR="00CD4988" w:rsidRPr="00CD4988" w:rsidRDefault="00CD4988" w:rsidP="00CD4988">
            <w:pPr>
              <w:shd w:val="clear" w:color="auto" w:fill="FFFFFF"/>
              <w:tabs>
                <w:tab w:val="left" w:pos="2811"/>
              </w:tabs>
              <w:jc w:val="both"/>
              <w:rPr>
                <w:sz w:val="26"/>
                <w:szCs w:val="26"/>
              </w:rPr>
            </w:pPr>
          </w:p>
        </w:tc>
      </w:tr>
      <w:tr w:rsidR="0061056C" w:rsidRPr="00CD4988" w:rsidTr="00CD4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Borders>
              <w:bottom w:val="single" w:sz="4" w:space="0" w:color="auto"/>
            </w:tcBorders>
          </w:tcPr>
          <w:p w:rsidR="0061056C" w:rsidRPr="00CD4988" w:rsidRDefault="0061056C" w:rsidP="00DB5AD4">
            <w:pPr>
              <w:pStyle w:val="naisnod"/>
              <w:spacing w:before="0" w:beforeAutospacing="0" w:after="0" w:afterAutospacing="0"/>
              <w:ind w:left="57" w:right="57"/>
              <w:jc w:val="both"/>
              <w:rPr>
                <w:sz w:val="26"/>
                <w:szCs w:val="26"/>
              </w:rPr>
            </w:pPr>
          </w:p>
        </w:tc>
        <w:tc>
          <w:tcPr>
            <w:tcW w:w="3615" w:type="dxa"/>
            <w:gridSpan w:val="3"/>
            <w:tcBorders>
              <w:bottom w:val="single" w:sz="4" w:space="0" w:color="auto"/>
            </w:tcBorders>
          </w:tcPr>
          <w:p w:rsidR="0061056C" w:rsidRPr="00CD4988" w:rsidRDefault="0061056C" w:rsidP="00DB5AD4">
            <w:pPr>
              <w:pStyle w:val="naisf"/>
              <w:spacing w:before="0" w:beforeAutospacing="0" w:after="0" w:afterAutospacing="0"/>
              <w:ind w:left="57" w:right="57"/>
              <w:rPr>
                <w:sz w:val="26"/>
                <w:szCs w:val="26"/>
              </w:rPr>
            </w:pPr>
            <w:r w:rsidRPr="00CD4988">
              <w:rPr>
                <w:color w:val="000000" w:themeColor="text1"/>
                <w:sz w:val="26"/>
                <w:szCs w:val="26"/>
              </w:rPr>
              <w:t>Cita informācija</w:t>
            </w:r>
          </w:p>
        </w:tc>
        <w:tc>
          <w:tcPr>
            <w:tcW w:w="5466" w:type="dxa"/>
            <w:tcBorders>
              <w:bottom w:val="single" w:sz="4" w:space="0" w:color="auto"/>
            </w:tcBorders>
          </w:tcPr>
          <w:p w:rsidR="0061056C" w:rsidRPr="00CD4988" w:rsidRDefault="0061056C" w:rsidP="00DB5AD4">
            <w:pPr>
              <w:shd w:val="clear" w:color="auto" w:fill="FFFFFF"/>
              <w:jc w:val="both"/>
              <w:rPr>
                <w:sz w:val="26"/>
                <w:szCs w:val="26"/>
              </w:rPr>
            </w:pPr>
            <w:r w:rsidRPr="00CD4988">
              <w:rPr>
                <w:color w:val="000000" w:themeColor="text1"/>
                <w:sz w:val="26"/>
                <w:szCs w:val="26"/>
              </w:rPr>
              <w:t>Nav.</w:t>
            </w:r>
          </w:p>
        </w:tc>
      </w:tr>
      <w:tr w:rsidR="00CD4988" w:rsidRPr="00CD4988" w:rsidTr="00CD4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9518" w:type="dxa"/>
            <w:gridSpan w:val="5"/>
            <w:tcBorders>
              <w:top w:val="single" w:sz="4" w:space="0" w:color="auto"/>
              <w:left w:val="nil"/>
              <w:bottom w:val="single" w:sz="4" w:space="0" w:color="auto"/>
              <w:right w:val="nil"/>
            </w:tcBorders>
          </w:tcPr>
          <w:p w:rsidR="00CD4988" w:rsidRPr="00CD4988" w:rsidRDefault="00CD4988" w:rsidP="00DB5AD4">
            <w:pPr>
              <w:shd w:val="clear" w:color="auto" w:fill="FFFFFF"/>
              <w:jc w:val="both"/>
              <w:rPr>
                <w:color w:val="000000" w:themeColor="text1"/>
                <w:sz w:val="26"/>
                <w:szCs w:val="26"/>
              </w:rPr>
            </w:pPr>
          </w:p>
        </w:tc>
      </w:tr>
      <w:tr w:rsidR="0061056C" w:rsidRPr="00CD4988" w:rsidTr="00CD4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9518" w:type="dxa"/>
            <w:gridSpan w:val="5"/>
            <w:tcBorders>
              <w:top w:val="single" w:sz="4" w:space="0" w:color="auto"/>
            </w:tcBorders>
          </w:tcPr>
          <w:p w:rsidR="0061056C" w:rsidRPr="00CD4988" w:rsidRDefault="0061056C" w:rsidP="00CD4988">
            <w:pPr>
              <w:shd w:val="clear" w:color="auto" w:fill="FFFFFF"/>
              <w:jc w:val="center"/>
              <w:rPr>
                <w:color w:val="000000" w:themeColor="text1"/>
                <w:sz w:val="26"/>
                <w:szCs w:val="26"/>
              </w:rPr>
            </w:pPr>
            <w:r w:rsidRPr="00CD4988">
              <w:rPr>
                <w:b/>
                <w:color w:val="000000" w:themeColor="text1"/>
                <w:sz w:val="26"/>
                <w:szCs w:val="26"/>
              </w:rPr>
              <w:t>VII. Tiesību akta projekta izpildes nodrošināšana un tās ietekme uz institūcijām</w:t>
            </w:r>
          </w:p>
        </w:tc>
      </w:tr>
      <w:tr w:rsidR="0061056C" w:rsidRPr="00CD4988"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Pr>
          <w:p w:rsidR="0061056C" w:rsidRPr="00CD4988" w:rsidRDefault="0061056C" w:rsidP="00DB5AD4">
            <w:pPr>
              <w:pStyle w:val="naisnod"/>
              <w:spacing w:before="0" w:beforeAutospacing="0" w:after="0" w:afterAutospacing="0"/>
              <w:ind w:left="57" w:right="57"/>
              <w:jc w:val="both"/>
              <w:rPr>
                <w:sz w:val="26"/>
                <w:szCs w:val="26"/>
              </w:rPr>
            </w:pPr>
            <w:r w:rsidRPr="00CD4988">
              <w:rPr>
                <w:sz w:val="26"/>
                <w:szCs w:val="26"/>
              </w:rPr>
              <w:t>1.</w:t>
            </w:r>
          </w:p>
        </w:tc>
        <w:tc>
          <w:tcPr>
            <w:tcW w:w="3615" w:type="dxa"/>
            <w:gridSpan w:val="3"/>
          </w:tcPr>
          <w:p w:rsidR="0061056C" w:rsidRPr="00CD4988" w:rsidRDefault="0061056C" w:rsidP="00DB5AD4">
            <w:pPr>
              <w:pStyle w:val="naisf"/>
              <w:spacing w:before="0" w:beforeAutospacing="0" w:after="0" w:afterAutospacing="0"/>
              <w:ind w:left="57" w:right="57"/>
              <w:rPr>
                <w:sz w:val="26"/>
                <w:szCs w:val="26"/>
              </w:rPr>
            </w:pPr>
            <w:r w:rsidRPr="00CD4988">
              <w:rPr>
                <w:sz w:val="26"/>
                <w:szCs w:val="26"/>
              </w:rPr>
              <w:t>Projekta izpildē iesaistītās institūcijas</w:t>
            </w:r>
          </w:p>
        </w:tc>
        <w:tc>
          <w:tcPr>
            <w:tcW w:w="5466" w:type="dxa"/>
          </w:tcPr>
          <w:p w:rsidR="0061056C" w:rsidRPr="00CD4988" w:rsidRDefault="0061056C" w:rsidP="00CD4988">
            <w:pPr>
              <w:shd w:val="clear" w:color="auto" w:fill="FFFFFF"/>
              <w:jc w:val="both"/>
              <w:rPr>
                <w:sz w:val="26"/>
                <w:szCs w:val="26"/>
              </w:rPr>
            </w:pPr>
            <w:r w:rsidRPr="00CD4988">
              <w:rPr>
                <w:sz w:val="26"/>
                <w:szCs w:val="26"/>
              </w:rPr>
              <w:t>VAS “</w:t>
            </w:r>
            <w:r w:rsidR="00CD4988">
              <w:rPr>
                <w:sz w:val="26"/>
                <w:szCs w:val="26"/>
              </w:rPr>
              <w:t>Latvijas gaisa satiksme”</w:t>
            </w:r>
            <w:r w:rsidR="00135EE6">
              <w:rPr>
                <w:sz w:val="26"/>
                <w:szCs w:val="26"/>
              </w:rPr>
              <w:t>.</w:t>
            </w:r>
          </w:p>
        </w:tc>
      </w:tr>
      <w:tr w:rsidR="0061056C" w:rsidRPr="00CD4988"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63"/>
          <w:jc w:val="center"/>
        </w:trPr>
        <w:tc>
          <w:tcPr>
            <w:tcW w:w="437" w:type="dxa"/>
          </w:tcPr>
          <w:p w:rsidR="0061056C" w:rsidRPr="00CD4988" w:rsidRDefault="0061056C" w:rsidP="00DB5AD4">
            <w:pPr>
              <w:pStyle w:val="naisnod"/>
              <w:spacing w:before="0" w:beforeAutospacing="0" w:after="0" w:afterAutospacing="0"/>
              <w:ind w:left="57" w:right="57"/>
              <w:jc w:val="both"/>
              <w:rPr>
                <w:sz w:val="26"/>
                <w:szCs w:val="26"/>
              </w:rPr>
            </w:pPr>
            <w:r w:rsidRPr="00CD4988">
              <w:rPr>
                <w:sz w:val="26"/>
                <w:szCs w:val="26"/>
              </w:rPr>
              <w:t>2.</w:t>
            </w:r>
          </w:p>
        </w:tc>
        <w:tc>
          <w:tcPr>
            <w:tcW w:w="3615" w:type="dxa"/>
            <w:gridSpan w:val="3"/>
          </w:tcPr>
          <w:p w:rsidR="0061056C" w:rsidRPr="00CD4988" w:rsidRDefault="0061056C" w:rsidP="00DB5AD4">
            <w:pPr>
              <w:pStyle w:val="naisf"/>
              <w:spacing w:before="0" w:beforeAutospacing="0" w:after="0" w:afterAutospacing="0"/>
              <w:ind w:left="57" w:right="57"/>
              <w:rPr>
                <w:sz w:val="26"/>
                <w:szCs w:val="26"/>
              </w:rPr>
            </w:pPr>
            <w:r w:rsidRPr="00CD4988">
              <w:rPr>
                <w:sz w:val="26"/>
                <w:szCs w:val="26"/>
              </w:rPr>
              <w:t>Projekta izpildes ietekme uz pār</w:t>
            </w:r>
            <w:r w:rsidRPr="00CD4988">
              <w:rPr>
                <w:sz w:val="26"/>
                <w:szCs w:val="26"/>
              </w:rPr>
              <w:softHyphen/>
              <w:t>valdes funkcijām un institucionālo struktūru.</w:t>
            </w:r>
          </w:p>
          <w:p w:rsidR="0061056C" w:rsidRPr="00CD4988" w:rsidRDefault="0061056C" w:rsidP="00DB5AD4">
            <w:pPr>
              <w:pStyle w:val="naisf"/>
              <w:spacing w:before="0" w:beforeAutospacing="0" w:after="0" w:afterAutospacing="0"/>
              <w:ind w:left="57" w:right="57"/>
              <w:rPr>
                <w:sz w:val="26"/>
                <w:szCs w:val="26"/>
              </w:rPr>
            </w:pPr>
            <w:r w:rsidRPr="00CD4988">
              <w:rPr>
                <w:sz w:val="26"/>
                <w:szCs w:val="26"/>
              </w:rPr>
              <w:t>Jaunu institūciju izveide, esošu institūciju likvidācija vai reorga</w:t>
            </w:r>
            <w:r w:rsidRPr="00CD4988">
              <w:rPr>
                <w:sz w:val="26"/>
                <w:szCs w:val="26"/>
              </w:rPr>
              <w:softHyphen/>
              <w:t>nizācija, to ietekme uz institūcijas cilvēkresursiem</w:t>
            </w:r>
          </w:p>
        </w:tc>
        <w:tc>
          <w:tcPr>
            <w:tcW w:w="5466" w:type="dxa"/>
          </w:tcPr>
          <w:p w:rsidR="0061056C" w:rsidRPr="00CD4988" w:rsidRDefault="00E95948" w:rsidP="00DB5AD4">
            <w:pPr>
              <w:shd w:val="clear" w:color="auto" w:fill="FFFFFF"/>
              <w:jc w:val="both"/>
              <w:rPr>
                <w:sz w:val="26"/>
                <w:szCs w:val="26"/>
              </w:rPr>
            </w:pPr>
            <w:r w:rsidRPr="00E95948">
              <w:rPr>
                <w:color w:val="000000" w:themeColor="text1"/>
                <w:sz w:val="26"/>
                <w:szCs w:val="26"/>
              </w:rPr>
              <w:t>Projektā paredzēto darbību īstenošanai netiks veidotas jaunas institūcijas vai reorganizētas esošās, kā arī nav paredzēta ietekme uz cilvēkresursiem</w:t>
            </w:r>
            <w:r w:rsidR="0061056C" w:rsidRPr="00CD4988">
              <w:rPr>
                <w:sz w:val="26"/>
                <w:szCs w:val="26"/>
              </w:rPr>
              <w:t>.</w:t>
            </w:r>
          </w:p>
        </w:tc>
      </w:tr>
      <w:tr w:rsidR="0061056C" w:rsidRPr="00CD4988"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02"/>
          <w:jc w:val="center"/>
        </w:trPr>
        <w:tc>
          <w:tcPr>
            <w:tcW w:w="437" w:type="dxa"/>
            <w:tcBorders>
              <w:top w:val="single" w:sz="4" w:space="0" w:color="auto"/>
              <w:left w:val="single" w:sz="4" w:space="0" w:color="auto"/>
              <w:bottom w:val="single" w:sz="4" w:space="0" w:color="auto"/>
              <w:right w:val="single" w:sz="4" w:space="0" w:color="auto"/>
            </w:tcBorders>
          </w:tcPr>
          <w:p w:rsidR="0061056C" w:rsidRPr="00CD4988" w:rsidRDefault="0061056C" w:rsidP="00DB5AD4">
            <w:pPr>
              <w:pStyle w:val="naisnod"/>
              <w:spacing w:before="0" w:beforeAutospacing="0" w:after="0" w:afterAutospacing="0"/>
              <w:ind w:left="57" w:right="57"/>
              <w:jc w:val="both"/>
              <w:rPr>
                <w:sz w:val="26"/>
                <w:szCs w:val="26"/>
              </w:rPr>
            </w:pPr>
            <w:r w:rsidRPr="00CD4988">
              <w:rPr>
                <w:sz w:val="26"/>
                <w:szCs w:val="26"/>
              </w:rPr>
              <w:t>3.</w:t>
            </w:r>
          </w:p>
        </w:tc>
        <w:tc>
          <w:tcPr>
            <w:tcW w:w="3615" w:type="dxa"/>
            <w:gridSpan w:val="3"/>
            <w:tcBorders>
              <w:top w:val="single" w:sz="4" w:space="0" w:color="auto"/>
              <w:left w:val="single" w:sz="4" w:space="0" w:color="auto"/>
              <w:bottom w:val="single" w:sz="4" w:space="0" w:color="auto"/>
              <w:right w:val="single" w:sz="4" w:space="0" w:color="auto"/>
            </w:tcBorders>
          </w:tcPr>
          <w:p w:rsidR="0061056C" w:rsidRPr="00CD4988" w:rsidRDefault="0061056C" w:rsidP="00DB5AD4">
            <w:pPr>
              <w:pStyle w:val="naisf"/>
              <w:spacing w:before="0" w:beforeAutospacing="0" w:after="0" w:afterAutospacing="0"/>
              <w:ind w:left="57" w:right="57"/>
              <w:rPr>
                <w:sz w:val="26"/>
                <w:szCs w:val="26"/>
              </w:rPr>
            </w:pPr>
            <w:r w:rsidRPr="00CD4988">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rsidR="0061056C" w:rsidRPr="00CD4988" w:rsidRDefault="0061056C" w:rsidP="00DB5AD4">
            <w:pPr>
              <w:ind w:left="57" w:right="57"/>
              <w:jc w:val="both"/>
              <w:rPr>
                <w:sz w:val="26"/>
                <w:szCs w:val="26"/>
              </w:rPr>
            </w:pPr>
            <w:r w:rsidRPr="00CD4988">
              <w:rPr>
                <w:sz w:val="26"/>
                <w:szCs w:val="26"/>
              </w:rPr>
              <w:t>Nav.</w:t>
            </w:r>
          </w:p>
        </w:tc>
      </w:tr>
    </w:tbl>
    <w:p w:rsidR="00831519" w:rsidRPr="00CD4988" w:rsidRDefault="00831519" w:rsidP="00831519">
      <w:pPr>
        <w:rPr>
          <w:sz w:val="26"/>
          <w:szCs w:val="26"/>
        </w:rPr>
      </w:pPr>
    </w:p>
    <w:p w:rsidR="00B0079E" w:rsidRPr="00CD4988" w:rsidRDefault="00B0079E" w:rsidP="00B0079E">
      <w:pPr>
        <w:jc w:val="both"/>
        <w:rPr>
          <w:rFonts w:eastAsia="Times New Roman"/>
          <w:sz w:val="26"/>
          <w:szCs w:val="26"/>
        </w:rPr>
      </w:pPr>
      <w:r w:rsidRPr="00CD4988">
        <w:rPr>
          <w:rFonts w:eastAsia="Times New Roman"/>
          <w:sz w:val="26"/>
          <w:szCs w:val="26"/>
        </w:rPr>
        <w:t xml:space="preserve">Anotācijas  III, IV </w:t>
      </w:r>
      <w:r w:rsidR="00CD4988" w:rsidRPr="00CD4988">
        <w:rPr>
          <w:rFonts w:eastAsia="Times New Roman"/>
          <w:sz w:val="26"/>
          <w:szCs w:val="26"/>
        </w:rPr>
        <w:t xml:space="preserve">un </w:t>
      </w:r>
      <w:r w:rsidRPr="00CD4988">
        <w:rPr>
          <w:rFonts w:eastAsia="Times New Roman"/>
          <w:sz w:val="26"/>
          <w:szCs w:val="26"/>
        </w:rPr>
        <w:t xml:space="preserve"> V sadaļa – </w:t>
      </w:r>
      <w:bookmarkStart w:id="7" w:name="_GoBack"/>
      <w:r w:rsidRPr="00CD4988">
        <w:rPr>
          <w:rFonts w:eastAsia="Times New Roman"/>
          <w:sz w:val="26"/>
          <w:szCs w:val="26"/>
        </w:rPr>
        <w:t>projekts</w:t>
      </w:r>
      <w:bookmarkEnd w:id="7"/>
      <w:r w:rsidRPr="00CD4988">
        <w:rPr>
          <w:rFonts w:eastAsia="Times New Roman"/>
          <w:sz w:val="26"/>
          <w:szCs w:val="26"/>
        </w:rPr>
        <w:t xml:space="preserve"> šīs jomas neskar. </w:t>
      </w:r>
    </w:p>
    <w:p w:rsidR="00831519" w:rsidRPr="00CD4988" w:rsidRDefault="00831519" w:rsidP="00831519">
      <w:pPr>
        <w:rPr>
          <w:sz w:val="26"/>
          <w:szCs w:val="26"/>
        </w:rPr>
      </w:pPr>
    </w:p>
    <w:p w:rsidR="00831519" w:rsidRPr="00CD4988" w:rsidRDefault="00831519" w:rsidP="00831519">
      <w:pPr>
        <w:rPr>
          <w:sz w:val="26"/>
          <w:szCs w:val="26"/>
        </w:rPr>
      </w:pPr>
    </w:p>
    <w:p w:rsidR="00397F3A" w:rsidRPr="00CD4988" w:rsidRDefault="00397F3A" w:rsidP="00397F3A">
      <w:pPr>
        <w:rPr>
          <w:sz w:val="26"/>
          <w:szCs w:val="26"/>
        </w:rPr>
      </w:pPr>
      <w:r w:rsidRPr="00CD4988">
        <w:rPr>
          <w:sz w:val="26"/>
          <w:szCs w:val="26"/>
        </w:rPr>
        <w:t>Satiksmes ministr</w:t>
      </w:r>
      <w:r w:rsidR="007133EF" w:rsidRPr="00CD4988">
        <w:rPr>
          <w:sz w:val="26"/>
          <w:szCs w:val="26"/>
        </w:rPr>
        <w:t>s</w:t>
      </w:r>
      <w:r w:rsidR="007133EF" w:rsidRPr="00CD4988">
        <w:rPr>
          <w:sz w:val="26"/>
          <w:szCs w:val="26"/>
        </w:rPr>
        <w:tab/>
      </w:r>
      <w:r w:rsidR="007133EF" w:rsidRPr="00CD4988">
        <w:rPr>
          <w:sz w:val="26"/>
          <w:szCs w:val="26"/>
        </w:rPr>
        <w:tab/>
      </w:r>
      <w:r w:rsidR="007133EF" w:rsidRPr="00CD4988">
        <w:rPr>
          <w:sz w:val="26"/>
          <w:szCs w:val="26"/>
        </w:rPr>
        <w:tab/>
      </w:r>
      <w:r w:rsidR="007133EF" w:rsidRPr="00CD4988">
        <w:rPr>
          <w:sz w:val="26"/>
          <w:szCs w:val="26"/>
        </w:rPr>
        <w:tab/>
      </w:r>
      <w:r w:rsidR="007133EF" w:rsidRPr="00CD4988">
        <w:rPr>
          <w:sz w:val="26"/>
          <w:szCs w:val="26"/>
        </w:rPr>
        <w:tab/>
      </w:r>
      <w:r w:rsidR="007133EF" w:rsidRPr="00CD4988">
        <w:rPr>
          <w:sz w:val="26"/>
          <w:szCs w:val="26"/>
        </w:rPr>
        <w:tab/>
      </w:r>
      <w:r w:rsidR="007133EF" w:rsidRPr="00CD4988">
        <w:rPr>
          <w:sz w:val="26"/>
          <w:szCs w:val="26"/>
        </w:rPr>
        <w:tab/>
      </w:r>
      <w:r w:rsidR="007133EF" w:rsidRPr="00CD4988">
        <w:rPr>
          <w:sz w:val="26"/>
          <w:szCs w:val="26"/>
        </w:rPr>
        <w:tab/>
      </w:r>
      <w:proofErr w:type="spellStart"/>
      <w:r w:rsidR="007133EF" w:rsidRPr="00CD4988">
        <w:rPr>
          <w:sz w:val="26"/>
          <w:szCs w:val="26"/>
        </w:rPr>
        <w:t>U.Augulis</w:t>
      </w:r>
      <w:proofErr w:type="spellEnd"/>
    </w:p>
    <w:p w:rsidR="00831519" w:rsidRPr="00CD4988" w:rsidRDefault="00831519" w:rsidP="00831519">
      <w:pPr>
        <w:tabs>
          <w:tab w:val="left" w:pos="6480"/>
        </w:tabs>
        <w:ind w:firstLine="720"/>
        <w:jc w:val="both"/>
        <w:rPr>
          <w:color w:val="000000"/>
          <w:sz w:val="26"/>
          <w:szCs w:val="26"/>
        </w:rPr>
      </w:pPr>
    </w:p>
    <w:p w:rsidR="00831519" w:rsidRPr="00CD4988" w:rsidRDefault="00831519" w:rsidP="00831519">
      <w:pPr>
        <w:tabs>
          <w:tab w:val="left" w:pos="6480"/>
        </w:tabs>
        <w:jc w:val="both"/>
        <w:rPr>
          <w:color w:val="000000"/>
          <w:sz w:val="26"/>
          <w:szCs w:val="26"/>
        </w:rPr>
      </w:pPr>
    </w:p>
    <w:p w:rsidR="00BF66BB" w:rsidRPr="00CD4988" w:rsidRDefault="00681692" w:rsidP="007133EF">
      <w:pPr>
        <w:rPr>
          <w:color w:val="000000"/>
          <w:sz w:val="26"/>
          <w:szCs w:val="26"/>
        </w:rPr>
      </w:pPr>
      <w:r w:rsidRPr="00CD4988">
        <w:rPr>
          <w:sz w:val="26"/>
          <w:szCs w:val="26"/>
          <w:lang w:val="cs-CZ"/>
        </w:rPr>
        <w:t xml:space="preserve">Vīza: </w:t>
      </w:r>
      <w:r w:rsidR="00DE02A0" w:rsidRPr="00CD4988">
        <w:rPr>
          <w:sz w:val="26"/>
          <w:szCs w:val="26"/>
          <w:lang w:val="cs-CZ"/>
        </w:rPr>
        <w:t>Valsts sekretār</w:t>
      </w:r>
      <w:r w:rsidR="007133EF" w:rsidRPr="00CD4988">
        <w:rPr>
          <w:sz w:val="26"/>
          <w:szCs w:val="26"/>
          <w:lang w:val="cs-CZ"/>
        </w:rPr>
        <w:t>s</w:t>
      </w:r>
      <w:r w:rsidR="00DE02A0" w:rsidRPr="00CD4988">
        <w:rPr>
          <w:sz w:val="26"/>
          <w:szCs w:val="26"/>
          <w:lang w:val="cs-CZ"/>
        </w:rPr>
        <w:t xml:space="preserve"> </w:t>
      </w:r>
      <w:r w:rsidR="009C04D7" w:rsidRPr="00CD4988">
        <w:rPr>
          <w:sz w:val="26"/>
          <w:szCs w:val="26"/>
          <w:lang w:val="cs-CZ"/>
        </w:rPr>
        <w:tab/>
      </w:r>
      <w:r w:rsidR="009C04D7" w:rsidRPr="00CD4988">
        <w:rPr>
          <w:sz w:val="26"/>
          <w:szCs w:val="26"/>
          <w:lang w:val="cs-CZ"/>
        </w:rPr>
        <w:tab/>
      </w:r>
      <w:r w:rsidR="009C04D7" w:rsidRPr="00CD4988">
        <w:rPr>
          <w:sz w:val="26"/>
          <w:szCs w:val="26"/>
          <w:lang w:val="cs-CZ"/>
        </w:rPr>
        <w:tab/>
      </w:r>
      <w:r w:rsidR="009C04D7" w:rsidRPr="00CD4988">
        <w:rPr>
          <w:sz w:val="26"/>
          <w:szCs w:val="26"/>
          <w:lang w:val="cs-CZ"/>
        </w:rPr>
        <w:tab/>
      </w:r>
      <w:r w:rsidR="009C04D7" w:rsidRPr="00CD4988">
        <w:rPr>
          <w:sz w:val="26"/>
          <w:szCs w:val="26"/>
          <w:lang w:val="cs-CZ"/>
        </w:rPr>
        <w:tab/>
      </w:r>
      <w:r w:rsidR="009C04D7" w:rsidRPr="00CD4988">
        <w:rPr>
          <w:sz w:val="26"/>
          <w:szCs w:val="26"/>
          <w:lang w:val="cs-CZ"/>
        </w:rPr>
        <w:tab/>
      </w:r>
      <w:r w:rsidR="007133EF" w:rsidRPr="00CD4988">
        <w:rPr>
          <w:sz w:val="26"/>
          <w:szCs w:val="26"/>
          <w:lang w:val="cs-CZ"/>
        </w:rPr>
        <w:tab/>
        <w:t>K.Ozoliņš</w:t>
      </w:r>
    </w:p>
    <w:p w:rsidR="00831519" w:rsidRDefault="00831519" w:rsidP="00831519">
      <w:pPr>
        <w:pStyle w:val="Header"/>
        <w:tabs>
          <w:tab w:val="left" w:pos="720"/>
        </w:tabs>
        <w:rPr>
          <w:rFonts w:ascii="Times New Roman" w:hAnsi="Times New Roman"/>
          <w:color w:val="000000"/>
          <w:sz w:val="24"/>
          <w:szCs w:val="24"/>
        </w:rPr>
      </w:pPr>
    </w:p>
    <w:p w:rsidR="007133EF" w:rsidRDefault="007133EF" w:rsidP="00831519">
      <w:pPr>
        <w:pStyle w:val="Header"/>
        <w:tabs>
          <w:tab w:val="left" w:pos="720"/>
        </w:tabs>
        <w:rPr>
          <w:rFonts w:ascii="Times New Roman" w:hAnsi="Times New Roman"/>
          <w:color w:val="000000"/>
          <w:sz w:val="24"/>
          <w:szCs w:val="24"/>
        </w:rPr>
      </w:pPr>
    </w:p>
    <w:p w:rsidR="007133EF" w:rsidRPr="00420F8D" w:rsidRDefault="007133EF" w:rsidP="00831519">
      <w:pPr>
        <w:pStyle w:val="Header"/>
        <w:tabs>
          <w:tab w:val="left" w:pos="720"/>
        </w:tabs>
        <w:rPr>
          <w:rFonts w:ascii="Times New Roman" w:hAnsi="Times New Roman"/>
          <w:color w:val="000000"/>
          <w:sz w:val="24"/>
          <w:szCs w:val="24"/>
        </w:rPr>
      </w:pPr>
    </w:p>
    <w:p w:rsidR="00831519" w:rsidRPr="00CD4988" w:rsidRDefault="00CD4988" w:rsidP="00831519">
      <w:pPr>
        <w:pStyle w:val="Header"/>
        <w:tabs>
          <w:tab w:val="left" w:pos="720"/>
        </w:tabs>
        <w:rPr>
          <w:rFonts w:ascii="Times New Roman" w:hAnsi="Times New Roman"/>
          <w:color w:val="000000"/>
          <w:sz w:val="20"/>
          <w:szCs w:val="20"/>
        </w:rPr>
      </w:pPr>
      <w:r w:rsidRPr="00CD4988">
        <w:rPr>
          <w:rFonts w:ascii="Times New Roman" w:hAnsi="Times New Roman"/>
          <w:color w:val="000000"/>
          <w:sz w:val="20"/>
          <w:szCs w:val="20"/>
        </w:rPr>
        <w:t>30.05</w:t>
      </w:r>
      <w:r w:rsidR="00DF7646" w:rsidRPr="00CD4988">
        <w:rPr>
          <w:rFonts w:ascii="Times New Roman" w:hAnsi="Times New Roman"/>
          <w:color w:val="000000"/>
          <w:sz w:val="20"/>
          <w:szCs w:val="20"/>
        </w:rPr>
        <w:t>.2016</w:t>
      </w:r>
      <w:r w:rsidR="00831519" w:rsidRPr="00CD4988">
        <w:rPr>
          <w:rFonts w:ascii="Times New Roman" w:hAnsi="Times New Roman"/>
          <w:color w:val="000000"/>
          <w:sz w:val="20"/>
          <w:szCs w:val="20"/>
        </w:rPr>
        <w:t xml:space="preserve"> 13:00</w:t>
      </w:r>
    </w:p>
    <w:p w:rsidR="00C16C4D" w:rsidRPr="00CD4988" w:rsidRDefault="007F1307" w:rsidP="007125C5">
      <w:pPr>
        <w:pStyle w:val="Header"/>
        <w:tabs>
          <w:tab w:val="left" w:pos="720"/>
        </w:tabs>
        <w:rPr>
          <w:rFonts w:ascii="Times New Roman" w:hAnsi="Times New Roman"/>
          <w:color w:val="000000"/>
          <w:sz w:val="20"/>
          <w:szCs w:val="20"/>
        </w:rPr>
      </w:pPr>
      <w:r>
        <w:rPr>
          <w:rFonts w:ascii="Times New Roman" w:hAnsi="Times New Roman"/>
          <w:color w:val="000000"/>
          <w:sz w:val="20"/>
          <w:szCs w:val="20"/>
        </w:rPr>
        <w:t>7</w:t>
      </w:r>
      <w:r w:rsidR="00B40107">
        <w:rPr>
          <w:rFonts w:ascii="Times New Roman" w:hAnsi="Times New Roman"/>
          <w:color w:val="000000"/>
          <w:sz w:val="20"/>
          <w:szCs w:val="20"/>
        </w:rPr>
        <w:t>37</w:t>
      </w:r>
    </w:p>
    <w:p w:rsidR="006E13A2" w:rsidRPr="00CD4988" w:rsidRDefault="00CD4988" w:rsidP="007125C5">
      <w:pPr>
        <w:pStyle w:val="Header"/>
        <w:tabs>
          <w:tab w:val="left" w:pos="720"/>
        </w:tabs>
        <w:rPr>
          <w:rFonts w:ascii="Times New Roman" w:hAnsi="Times New Roman"/>
          <w:sz w:val="20"/>
          <w:szCs w:val="20"/>
        </w:rPr>
      </w:pPr>
      <w:r w:rsidRPr="00CD4988">
        <w:rPr>
          <w:rFonts w:ascii="Times New Roman" w:hAnsi="Times New Roman"/>
          <w:sz w:val="20"/>
          <w:szCs w:val="20"/>
        </w:rPr>
        <w:t>I.Sviridovs 67028258</w:t>
      </w:r>
    </w:p>
    <w:p w:rsidR="00CD4988" w:rsidRPr="007F1307" w:rsidRDefault="00CD4988" w:rsidP="007125C5">
      <w:pPr>
        <w:pStyle w:val="Header"/>
        <w:tabs>
          <w:tab w:val="left" w:pos="720"/>
        </w:tabs>
        <w:rPr>
          <w:rFonts w:ascii="Times New Roman" w:hAnsi="Times New Roman"/>
          <w:color w:val="000000" w:themeColor="text1"/>
          <w:sz w:val="20"/>
          <w:szCs w:val="20"/>
        </w:rPr>
      </w:pPr>
      <w:r w:rsidRPr="007F1307">
        <w:rPr>
          <w:rFonts w:ascii="Times New Roman" w:hAnsi="Times New Roman"/>
          <w:color w:val="000000" w:themeColor="text1"/>
          <w:sz w:val="20"/>
          <w:szCs w:val="20"/>
        </w:rPr>
        <w:t>Ivars.</w:t>
      </w:r>
      <w:hyperlink r:id="rId10" w:history="1">
        <w:r w:rsidR="00414698" w:rsidRPr="007F1307">
          <w:rPr>
            <w:rStyle w:val="Hyperlink"/>
            <w:rFonts w:ascii="Times New Roman" w:hAnsi="Times New Roman"/>
            <w:color w:val="000000" w:themeColor="text1"/>
            <w:sz w:val="20"/>
            <w:szCs w:val="20"/>
          </w:rPr>
          <w:t>Sviridovs@lgs.lv</w:t>
        </w:r>
      </w:hyperlink>
    </w:p>
    <w:p w:rsidR="00414698" w:rsidRDefault="00414698" w:rsidP="007125C5">
      <w:pPr>
        <w:pStyle w:val="Header"/>
        <w:tabs>
          <w:tab w:val="left" w:pos="720"/>
        </w:tabs>
        <w:rPr>
          <w:rFonts w:ascii="Times New Roman" w:hAnsi="Times New Roman"/>
          <w:sz w:val="20"/>
          <w:szCs w:val="20"/>
        </w:rPr>
      </w:pPr>
      <w:r>
        <w:rPr>
          <w:rFonts w:ascii="Times New Roman" w:hAnsi="Times New Roman"/>
          <w:sz w:val="20"/>
          <w:szCs w:val="20"/>
        </w:rPr>
        <w:t>Ž.Jansone 67028258</w:t>
      </w:r>
    </w:p>
    <w:p w:rsidR="00414698" w:rsidRPr="00CD4988" w:rsidRDefault="00214DBD" w:rsidP="007125C5">
      <w:pPr>
        <w:pStyle w:val="Header"/>
        <w:tabs>
          <w:tab w:val="left" w:pos="720"/>
        </w:tabs>
        <w:rPr>
          <w:rFonts w:ascii="Times New Roman" w:hAnsi="Times New Roman"/>
          <w:sz w:val="20"/>
          <w:szCs w:val="20"/>
        </w:rPr>
      </w:pPr>
      <w:r>
        <w:rPr>
          <w:rFonts w:ascii="Times New Roman" w:hAnsi="Times New Roman"/>
          <w:sz w:val="20"/>
          <w:szCs w:val="20"/>
        </w:rPr>
        <w:t>z</w:t>
      </w:r>
      <w:r w:rsidR="00414698">
        <w:rPr>
          <w:rFonts w:ascii="Times New Roman" w:hAnsi="Times New Roman"/>
          <w:sz w:val="20"/>
          <w:szCs w:val="20"/>
        </w:rPr>
        <w:t>anete.jansone@sam.gov.lv</w:t>
      </w:r>
    </w:p>
    <w:sectPr w:rsidR="00414698" w:rsidRPr="00CD4988" w:rsidSect="00CD4988">
      <w:headerReference w:type="default" r:id="rId11"/>
      <w:footerReference w:type="default" r:id="rId12"/>
      <w:footerReference w:type="first" r:id="rId13"/>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CC" w:rsidRDefault="00B317CC" w:rsidP="0022793F">
      <w:r>
        <w:separator/>
      </w:r>
    </w:p>
  </w:endnote>
  <w:endnote w:type="continuationSeparator" w:id="0">
    <w:p w:rsidR="00B317CC" w:rsidRDefault="00B317CC" w:rsidP="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7" w:rsidRPr="002C213D" w:rsidRDefault="00C12FA7" w:rsidP="00C12FA7">
    <w:pPr>
      <w:ind w:right="-58"/>
      <w:jc w:val="both"/>
      <w:rPr>
        <w:sz w:val="20"/>
        <w:szCs w:val="20"/>
      </w:rPr>
    </w:pPr>
    <w:r w:rsidRPr="002C213D">
      <w:rPr>
        <w:sz w:val="20"/>
        <w:szCs w:val="20"/>
      </w:rPr>
      <w:t>SAMAnot_</w:t>
    </w:r>
    <w:r>
      <w:rPr>
        <w:sz w:val="20"/>
        <w:szCs w:val="20"/>
      </w:rPr>
      <w:t>3005</w:t>
    </w:r>
    <w:r w:rsidRPr="002C213D">
      <w:rPr>
        <w:sz w:val="20"/>
        <w:szCs w:val="20"/>
      </w:rPr>
      <w:t>16_</w:t>
    </w:r>
    <w:r>
      <w:rPr>
        <w:sz w:val="20"/>
        <w:szCs w:val="20"/>
      </w:rPr>
      <w:t>28</w:t>
    </w:r>
    <w:r w:rsidRPr="002C213D">
      <w:rPr>
        <w:sz w:val="20"/>
        <w:szCs w:val="20"/>
      </w:rPr>
      <w:t xml:space="preserve">; </w:t>
    </w:r>
    <w:r w:rsidRPr="00B944F0">
      <w:rPr>
        <w:rFonts w:eastAsia="Times New Roman"/>
        <w:bCs/>
        <w:color w:val="000000" w:themeColor="text1"/>
        <w:sz w:val="20"/>
        <w:szCs w:val="20"/>
      </w:rPr>
      <w:t>Ministru kabineta noteikumu projekta “Grozījumi Ministru kabineta 2012.gada 3.janvāra noteikumos Nr.28 "Valsts akciju sabiedrības "Latvijas gaisa satiksme" sniegto aeronavigācijas pakalpojumu maksas noteikšanas un iekasēšanas kārtība" sākotnējās ietekmes novērtējuma ziņojums (anotācija)</w:t>
    </w:r>
  </w:p>
  <w:p w:rsidR="00DB5AD4" w:rsidRPr="002C213D" w:rsidRDefault="00DB5AD4" w:rsidP="002C213D">
    <w:pPr>
      <w:pStyle w:val="Footer"/>
      <w:jc w:val="both"/>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03" w:rsidRPr="002C213D" w:rsidRDefault="00DE3903" w:rsidP="00C12FA7">
    <w:pPr>
      <w:ind w:right="-58"/>
      <w:jc w:val="both"/>
      <w:rPr>
        <w:sz w:val="20"/>
        <w:szCs w:val="20"/>
      </w:rPr>
    </w:pPr>
    <w:r w:rsidRPr="002C213D">
      <w:rPr>
        <w:sz w:val="20"/>
        <w:szCs w:val="20"/>
      </w:rPr>
      <w:t>SAMAnot_</w:t>
    </w:r>
    <w:r w:rsidR="00C12FA7">
      <w:rPr>
        <w:sz w:val="20"/>
        <w:szCs w:val="20"/>
      </w:rPr>
      <w:t>3005</w:t>
    </w:r>
    <w:r w:rsidR="002C213D" w:rsidRPr="002C213D">
      <w:rPr>
        <w:sz w:val="20"/>
        <w:szCs w:val="20"/>
      </w:rPr>
      <w:t>16</w:t>
    </w:r>
    <w:r w:rsidRPr="002C213D">
      <w:rPr>
        <w:sz w:val="20"/>
        <w:szCs w:val="20"/>
      </w:rPr>
      <w:t>_</w:t>
    </w:r>
    <w:r w:rsidR="00C12FA7">
      <w:rPr>
        <w:sz w:val="20"/>
        <w:szCs w:val="20"/>
      </w:rPr>
      <w:t>28</w:t>
    </w:r>
    <w:r w:rsidRPr="002C213D">
      <w:rPr>
        <w:sz w:val="20"/>
        <w:szCs w:val="20"/>
      </w:rPr>
      <w:t xml:space="preserve">; </w:t>
    </w:r>
    <w:r w:rsidR="00C12FA7" w:rsidRPr="00B944F0">
      <w:rPr>
        <w:rFonts w:eastAsia="Times New Roman"/>
        <w:bCs/>
        <w:color w:val="000000" w:themeColor="text1"/>
        <w:sz w:val="20"/>
        <w:szCs w:val="20"/>
      </w:rPr>
      <w:t>Ministru kabineta noteikumu projekta “Grozījumi Ministru kabineta 2012.gada 3.janvāra noteikumos Nr.28 "Valsts akciju sabiedrības "Latvijas gaisa satiksme" sniegto aeronavigācijas pakalpojumu maksas noteikšanas un iekasēšanas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CC" w:rsidRDefault="00B317CC" w:rsidP="0022793F">
      <w:r>
        <w:separator/>
      </w:r>
    </w:p>
  </w:footnote>
  <w:footnote w:type="continuationSeparator" w:id="0">
    <w:p w:rsidR="00B317CC" w:rsidRDefault="00B317CC" w:rsidP="0022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26" w:rsidRDefault="00912F26" w:rsidP="00CD4988">
    <w:pPr>
      <w:pStyle w:val="Header"/>
      <w:jc w:val="center"/>
    </w:pPr>
    <w:r w:rsidRPr="00912F26">
      <w:rPr>
        <w:rFonts w:ascii="Times New Roman" w:hAnsi="Times New Roman"/>
      </w:rPr>
      <w:fldChar w:fldCharType="begin"/>
    </w:r>
    <w:r w:rsidRPr="00912F26">
      <w:rPr>
        <w:rFonts w:ascii="Times New Roman" w:hAnsi="Times New Roman"/>
      </w:rPr>
      <w:instrText xml:space="preserve"> PAGE   \* MERGEFORMAT </w:instrText>
    </w:r>
    <w:r w:rsidRPr="00912F26">
      <w:rPr>
        <w:rFonts w:ascii="Times New Roman" w:hAnsi="Times New Roman"/>
      </w:rPr>
      <w:fldChar w:fldCharType="separate"/>
    </w:r>
    <w:r w:rsidR="0014505B">
      <w:rPr>
        <w:rFonts w:ascii="Times New Roman" w:hAnsi="Times New Roman"/>
        <w:noProof/>
      </w:rPr>
      <w:t>4</w:t>
    </w:r>
    <w:r w:rsidRPr="00912F26">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3811"/>
    <w:multiLevelType w:val="hybridMultilevel"/>
    <w:tmpl w:val="490CA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Bebre">
    <w15:presenceInfo w15:providerId="AD" w15:userId="S-1-5-21-3341795700-1664220827-1573029727-5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54"/>
    <w:rsid w:val="00007D16"/>
    <w:rsid w:val="00015D50"/>
    <w:rsid w:val="0003000A"/>
    <w:rsid w:val="00047D22"/>
    <w:rsid w:val="0005043E"/>
    <w:rsid w:val="00056D36"/>
    <w:rsid w:val="00061EB7"/>
    <w:rsid w:val="000B31BA"/>
    <w:rsid w:val="000C27EC"/>
    <w:rsid w:val="000D2206"/>
    <w:rsid w:val="000D2DB2"/>
    <w:rsid w:val="000E4652"/>
    <w:rsid w:val="000F28B2"/>
    <w:rsid w:val="00117A30"/>
    <w:rsid w:val="00124422"/>
    <w:rsid w:val="00135EE6"/>
    <w:rsid w:val="00143D19"/>
    <w:rsid w:val="00144674"/>
    <w:rsid w:val="0014505B"/>
    <w:rsid w:val="00164B63"/>
    <w:rsid w:val="00174CF6"/>
    <w:rsid w:val="001911D7"/>
    <w:rsid w:val="00196328"/>
    <w:rsid w:val="001A0AE0"/>
    <w:rsid w:val="001B12F6"/>
    <w:rsid w:val="001B3E60"/>
    <w:rsid w:val="001C49AC"/>
    <w:rsid w:val="001F1CB6"/>
    <w:rsid w:val="002111EB"/>
    <w:rsid w:val="00214DBD"/>
    <w:rsid w:val="0022731F"/>
    <w:rsid w:val="0022793F"/>
    <w:rsid w:val="002309A9"/>
    <w:rsid w:val="00234643"/>
    <w:rsid w:val="002554A7"/>
    <w:rsid w:val="002573ED"/>
    <w:rsid w:val="0027476E"/>
    <w:rsid w:val="002852E1"/>
    <w:rsid w:val="002913FE"/>
    <w:rsid w:val="00294D92"/>
    <w:rsid w:val="002C05DC"/>
    <w:rsid w:val="002C213D"/>
    <w:rsid w:val="002D03A3"/>
    <w:rsid w:val="002D3E91"/>
    <w:rsid w:val="002E2A39"/>
    <w:rsid w:val="002E52C1"/>
    <w:rsid w:val="002E75EE"/>
    <w:rsid w:val="00311F39"/>
    <w:rsid w:val="003414A3"/>
    <w:rsid w:val="00345F46"/>
    <w:rsid w:val="00352F02"/>
    <w:rsid w:val="00354F07"/>
    <w:rsid w:val="0037285F"/>
    <w:rsid w:val="00375D96"/>
    <w:rsid w:val="003920F0"/>
    <w:rsid w:val="00397F3A"/>
    <w:rsid w:val="003D122B"/>
    <w:rsid w:val="003D2BF9"/>
    <w:rsid w:val="003E1A3D"/>
    <w:rsid w:val="003E4C88"/>
    <w:rsid w:val="003E559B"/>
    <w:rsid w:val="003F3013"/>
    <w:rsid w:val="003F6C5E"/>
    <w:rsid w:val="004030C7"/>
    <w:rsid w:val="00414698"/>
    <w:rsid w:val="00415F00"/>
    <w:rsid w:val="00420F8D"/>
    <w:rsid w:val="00427BB7"/>
    <w:rsid w:val="00433527"/>
    <w:rsid w:val="00434A4D"/>
    <w:rsid w:val="00446320"/>
    <w:rsid w:val="00450733"/>
    <w:rsid w:val="00480E04"/>
    <w:rsid w:val="0048462A"/>
    <w:rsid w:val="004946F7"/>
    <w:rsid w:val="00494EF0"/>
    <w:rsid w:val="00496DEF"/>
    <w:rsid w:val="004A30BC"/>
    <w:rsid w:val="004A6E7C"/>
    <w:rsid w:val="004F19EB"/>
    <w:rsid w:val="004F6A97"/>
    <w:rsid w:val="00507737"/>
    <w:rsid w:val="00516016"/>
    <w:rsid w:val="005356B4"/>
    <w:rsid w:val="005455CB"/>
    <w:rsid w:val="00554716"/>
    <w:rsid w:val="00594844"/>
    <w:rsid w:val="005A0555"/>
    <w:rsid w:val="005C2EDD"/>
    <w:rsid w:val="005D2C04"/>
    <w:rsid w:val="005E181F"/>
    <w:rsid w:val="0061056C"/>
    <w:rsid w:val="006159DF"/>
    <w:rsid w:val="00617B0A"/>
    <w:rsid w:val="0062027F"/>
    <w:rsid w:val="006306DD"/>
    <w:rsid w:val="00631292"/>
    <w:rsid w:val="00650DF1"/>
    <w:rsid w:val="006808A2"/>
    <w:rsid w:val="00681692"/>
    <w:rsid w:val="006B120F"/>
    <w:rsid w:val="006C42CC"/>
    <w:rsid w:val="006D3D8D"/>
    <w:rsid w:val="006D6A82"/>
    <w:rsid w:val="006E13A2"/>
    <w:rsid w:val="006E39E3"/>
    <w:rsid w:val="006F1361"/>
    <w:rsid w:val="006F32A2"/>
    <w:rsid w:val="0070375B"/>
    <w:rsid w:val="00705A7B"/>
    <w:rsid w:val="00707DFC"/>
    <w:rsid w:val="007125C5"/>
    <w:rsid w:val="007133EF"/>
    <w:rsid w:val="00714B4D"/>
    <w:rsid w:val="00727469"/>
    <w:rsid w:val="00733F0F"/>
    <w:rsid w:val="007706A2"/>
    <w:rsid w:val="00786CB4"/>
    <w:rsid w:val="007C3F5A"/>
    <w:rsid w:val="007E14A4"/>
    <w:rsid w:val="007F0BA5"/>
    <w:rsid w:val="007F10FD"/>
    <w:rsid w:val="007F1307"/>
    <w:rsid w:val="008035A4"/>
    <w:rsid w:val="0081136E"/>
    <w:rsid w:val="00831519"/>
    <w:rsid w:val="00856F83"/>
    <w:rsid w:val="008638B5"/>
    <w:rsid w:val="00872485"/>
    <w:rsid w:val="00881CDC"/>
    <w:rsid w:val="00895642"/>
    <w:rsid w:val="008A23A7"/>
    <w:rsid w:val="008B0AF9"/>
    <w:rsid w:val="008C1521"/>
    <w:rsid w:val="008D4D16"/>
    <w:rsid w:val="008E0125"/>
    <w:rsid w:val="008E6997"/>
    <w:rsid w:val="008E705E"/>
    <w:rsid w:val="008F17D4"/>
    <w:rsid w:val="00903B8E"/>
    <w:rsid w:val="00912F26"/>
    <w:rsid w:val="00914C7C"/>
    <w:rsid w:val="00915B12"/>
    <w:rsid w:val="00947FCA"/>
    <w:rsid w:val="00967561"/>
    <w:rsid w:val="009676BC"/>
    <w:rsid w:val="009726B5"/>
    <w:rsid w:val="00973A9C"/>
    <w:rsid w:val="00983301"/>
    <w:rsid w:val="009A3524"/>
    <w:rsid w:val="009C04D7"/>
    <w:rsid w:val="009C1723"/>
    <w:rsid w:val="009D5635"/>
    <w:rsid w:val="009E0D10"/>
    <w:rsid w:val="009E5FBD"/>
    <w:rsid w:val="00A016E7"/>
    <w:rsid w:val="00A03263"/>
    <w:rsid w:val="00A06AF6"/>
    <w:rsid w:val="00A41349"/>
    <w:rsid w:val="00A431EA"/>
    <w:rsid w:val="00A6192C"/>
    <w:rsid w:val="00A659F5"/>
    <w:rsid w:val="00A7018F"/>
    <w:rsid w:val="00A70E56"/>
    <w:rsid w:val="00A71776"/>
    <w:rsid w:val="00A7517D"/>
    <w:rsid w:val="00A84537"/>
    <w:rsid w:val="00A9068C"/>
    <w:rsid w:val="00A9474E"/>
    <w:rsid w:val="00AA3BDA"/>
    <w:rsid w:val="00AC3AC9"/>
    <w:rsid w:val="00AC4B9A"/>
    <w:rsid w:val="00AF118E"/>
    <w:rsid w:val="00AF4117"/>
    <w:rsid w:val="00AF6B54"/>
    <w:rsid w:val="00B0079E"/>
    <w:rsid w:val="00B317CC"/>
    <w:rsid w:val="00B40107"/>
    <w:rsid w:val="00B42249"/>
    <w:rsid w:val="00B560BA"/>
    <w:rsid w:val="00B65ECB"/>
    <w:rsid w:val="00B80188"/>
    <w:rsid w:val="00B82904"/>
    <w:rsid w:val="00B86522"/>
    <w:rsid w:val="00B91938"/>
    <w:rsid w:val="00BA0A28"/>
    <w:rsid w:val="00BB77A2"/>
    <w:rsid w:val="00BD4642"/>
    <w:rsid w:val="00BE691D"/>
    <w:rsid w:val="00BF20B7"/>
    <w:rsid w:val="00BF487A"/>
    <w:rsid w:val="00BF66BB"/>
    <w:rsid w:val="00C026CD"/>
    <w:rsid w:val="00C12C70"/>
    <w:rsid w:val="00C12FA7"/>
    <w:rsid w:val="00C16C4D"/>
    <w:rsid w:val="00C259FF"/>
    <w:rsid w:val="00C43CCE"/>
    <w:rsid w:val="00C55FBE"/>
    <w:rsid w:val="00C6767A"/>
    <w:rsid w:val="00C87E16"/>
    <w:rsid w:val="00C9294A"/>
    <w:rsid w:val="00CA4692"/>
    <w:rsid w:val="00CC25A4"/>
    <w:rsid w:val="00CC46AC"/>
    <w:rsid w:val="00CC7A61"/>
    <w:rsid w:val="00CD3332"/>
    <w:rsid w:val="00CD3D9A"/>
    <w:rsid w:val="00CD4988"/>
    <w:rsid w:val="00CF6F22"/>
    <w:rsid w:val="00D0151D"/>
    <w:rsid w:val="00D226D9"/>
    <w:rsid w:val="00D40E30"/>
    <w:rsid w:val="00D46A65"/>
    <w:rsid w:val="00D5362D"/>
    <w:rsid w:val="00D6085F"/>
    <w:rsid w:val="00D669F6"/>
    <w:rsid w:val="00D66F8E"/>
    <w:rsid w:val="00D72CDB"/>
    <w:rsid w:val="00D72FE8"/>
    <w:rsid w:val="00D80B24"/>
    <w:rsid w:val="00D93EDB"/>
    <w:rsid w:val="00DB06D2"/>
    <w:rsid w:val="00DB5AD4"/>
    <w:rsid w:val="00DC0035"/>
    <w:rsid w:val="00DD1C6A"/>
    <w:rsid w:val="00DD53C2"/>
    <w:rsid w:val="00DE02A0"/>
    <w:rsid w:val="00DE2B47"/>
    <w:rsid w:val="00DE3903"/>
    <w:rsid w:val="00DF3098"/>
    <w:rsid w:val="00DF6FBD"/>
    <w:rsid w:val="00DF7646"/>
    <w:rsid w:val="00E211D1"/>
    <w:rsid w:val="00E23DA0"/>
    <w:rsid w:val="00E27D99"/>
    <w:rsid w:val="00E61D84"/>
    <w:rsid w:val="00E75173"/>
    <w:rsid w:val="00E877A6"/>
    <w:rsid w:val="00E95948"/>
    <w:rsid w:val="00EA33E8"/>
    <w:rsid w:val="00EA4ED9"/>
    <w:rsid w:val="00EC16DF"/>
    <w:rsid w:val="00EC38A6"/>
    <w:rsid w:val="00EF3BC6"/>
    <w:rsid w:val="00F31CBE"/>
    <w:rsid w:val="00F356F3"/>
    <w:rsid w:val="00F555AE"/>
    <w:rsid w:val="00F5598D"/>
    <w:rsid w:val="00F93E34"/>
    <w:rsid w:val="00FA4FA0"/>
    <w:rsid w:val="00FB0734"/>
    <w:rsid w:val="00FD751E"/>
    <w:rsid w:val="00FF56B9"/>
    <w:rsid w:val="00FF5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rPr>
      <w:sz w:val="24"/>
      <w:szCs w:val="24"/>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nhideWhenUsed/>
    <w:rsid w:val="00831519"/>
    <w:pPr>
      <w:tabs>
        <w:tab w:val="center" w:pos="4153"/>
        <w:tab w:val="right" w:pos="8306"/>
      </w:tabs>
    </w:pPr>
    <w:rPr>
      <w:rFonts w:ascii="Calibri" w:hAnsi="Calibri"/>
      <w:sz w:val="22"/>
      <w:szCs w:val="22"/>
      <w:lang w:eastAsia="en-US"/>
    </w:rPr>
  </w:style>
  <w:style w:type="character" w:customStyle="1" w:styleId="HeaderChar">
    <w:name w:val="Header Char"/>
    <w:link w:val="Header"/>
    <w:uiPriority w:val="99"/>
    <w:rsid w:val="00831519"/>
    <w:rPr>
      <w:rFonts w:ascii="Calibri" w:hAnsi="Calibri"/>
      <w:sz w:val="22"/>
    </w:rPr>
  </w:style>
  <w:style w:type="paragraph" w:styleId="Footer">
    <w:name w:val="footer"/>
    <w:basedOn w:val="Normal"/>
    <w:link w:val="FooterChar"/>
    <w:uiPriority w:val="99"/>
    <w:unhideWhenUsed/>
    <w:rsid w:val="00831519"/>
    <w:pPr>
      <w:tabs>
        <w:tab w:val="center" w:pos="4153"/>
        <w:tab w:val="right" w:pos="8306"/>
      </w:tabs>
    </w:pPr>
    <w:rPr>
      <w:rFonts w:ascii="Calibri" w:hAnsi="Calibri"/>
      <w:sz w:val="22"/>
      <w:szCs w:val="22"/>
      <w:lang w:eastAsia="en-US"/>
    </w:rPr>
  </w:style>
  <w:style w:type="character" w:customStyle="1" w:styleId="FooterChar">
    <w:name w:val="Footer Char"/>
    <w:link w:val="Footer"/>
    <w:uiPriority w:val="99"/>
    <w:rsid w:val="00831519"/>
    <w:rPr>
      <w:rFonts w:ascii="Calibri" w:hAnsi="Calibr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Cambria" w:eastAsia="Times New Roman" w:hAnsi="Cambria"/>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uiPriority w:val="99"/>
    <w:unhideWhenUsed/>
    <w:rsid w:val="00947FCA"/>
    <w:rPr>
      <w:strike w:val="0"/>
      <w:dstrike w:val="0"/>
      <w:color w:val="3366CC"/>
      <w:u w:val="none"/>
      <w:effect w:val="none"/>
    </w:rPr>
  </w:style>
  <w:style w:type="character" w:customStyle="1" w:styleId="super">
    <w:name w:val="super"/>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link w:val="BalloonText"/>
    <w:uiPriority w:val="99"/>
    <w:semiHidden/>
    <w:rsid w:val="002D3E91"/>
    <w:rPr>
      <w:rFonts w:ascii="Tahoma" w:hAnsi="Tahoma" w:cs="Tahoma"/>
      <w:sz w:val="16"/>
      <w:szCs w:val="16"/>
      <w:lang w:eastAsia="lv-LV"/>
    </w:rPr>
  </w:style>
  <w:style w:type="character" w:styleId="CommentReference">
    <w:name w:val="annotation reference"/>
    <w:uiPriority w:val="99"/>
    <w:semiHidden/>
    <w:unhideWhenUsed/>
    <w:rsid w:val="008035A4"/>
    <w:rPr>
      <w:sz w:val="16"/>
      <w:szCs w:val="16"/>
    </w:rPr>
  </w:style>
  <w:style w:type="paragraph" w:styleId="CommentText">
    <w:name w:val="annotation text"/>
    <w:basedOn w:val="Normal"/>
    <w:link w:val="CommentTextChar"/>
    <w:uiPriority w:val="99"/>
    <w:semiHidden/>
    <w:unhideWhenUsed/>
    <w:rsid w:val="008035A4"/>
    <w:rPr>
      <w:sz w:val="20"/>
      <w:szCs w:val="20"/>
    </w:rPr>
  </w:style>
  <w:style w:type="character" w:customStyle="1" w:styleId="CommentTextChar">
    <w:name w:val="Comment Text Char"/>
    <w:link w:val="CommentText"/>
    <w:uiPriority w:val="99"/>
    <w:semiHidden/>
    <w:rsid w:val="008035A4"/>
    <w:rPr>
      <w:rFonts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035A4"/>
    <w:rPr>
      <w:b/>
      <w:bCs/>
    </w:rPr>
  </w:style>
  <w:style w:type="character" w:customStyle="1" w:styleId="CommentSubjectChar">
    <w:name w:val="Comment Subject Char"/>
    <w:link w:val="CommentSubject"/>
    <w:uiPriority w:val="99"/>
    <w:semiHidden/>
    <w:rsid w:val="008035A4"/>
    <w:rPr>
      <w:rFonts w:cs="Times New Roman"/>
      <w:b/>
      <w:bCs/>
      <w:sz w:val="20"/>
      <w:szCs w:val="20"/>
      <w:lang w:eastAsia="lv-LV"/>
    </w:rPr>
  </w:style>
  <w:style w:type="table" w:styleId="TableGrid">
    <w:name w:val="Table Grid"/>
    <w:basedOn w:val="TableNormal"/>
    <w:uiPriority w:val="39"/>
    <w:rsid w:val="00914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01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rPr>
      <w:sz w:val="24"/>
      <w:szCs w:val="24"/>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nhideWhenUsed/>
    <w:rsid w:val="00831519"/>
    <w:pPr>
      <w:tabs>
        <w:tab w:val="center" w:pos="4153"/>
        <w:tab w:val="right" w:pos="8306"/>
      </w:tabs>
    </w:pPr>
    <w:rPr>
      <w:rFonts w:ascii="Calibri" w:hAnsi="Calibri"/>
      <w:sz w:val="22"/>
      <w:szCs w:val="22"/>
      <w:lang w:eastAsia="en-US"/>
    </w:rPr>
  </w:style>
  <w:style w:type="character" w:customStyle="1" w:styleId="HeaderChar">
    <w:name w:val="Header Char"/>
    <w:link w:val="Header"/>
    <w:uiPriority w:val="99"/>
    <w:rsid w:val="00831519"/>
    <w:rPr>
      <w:rFonts w:ascii="Calibri" w:hAnsi="Calibri"/>
      <w:sz w:val="22"/>
    </w:rPr>
  </w:style>
  <w:style w:type="paragraph" w:styleId="Footer">
    <w:name w:val="footer"/>
    <w:basedOn w:val="Normal"/>
    <w:link w:val="FooterChar"/>
    <w:uiPriority w:val="99"/>
    <w:unhideWhenUsed/>
    <w:rsid w:val="00831519"/>
    <w:pPr>
      <w:tabs>
        <w:tab w:val="center" w:pos="4153"/>
        <w:tab w:val="right" w:pos="8306"/>
      </w:tabs>
    </w:pPr>
    <w:rPr>
      <w:rFonts w:ascii="Calibri" w:hAnsi="Calibri"/>
      <w:sz w:val="22"/>
      <w:szCs w:val="22"/>
      <w:lang w:eastAsia="en-US"/>
    </w:rPr>
  </w:style>
  <w:style w:type="character" w:customStyle="1" w:styleId="FooterChar">
    <w:name w:val="Footer Char"/>
    <w:link w:val="Footer"/>
    <w:uiPriority w:val="99"/>
    <w:rsid w:val="00831519"/>
    <w:rPr>
      <w:rFonts w:ascii="Calibri" w:hAnsi="Calibr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Cambria" w:eastAsia="Times New Roman" w:hAnsi="Cambria"/>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uiPriority w:val="99"/>
    <w:unhideWhenUsed/>
    <w:rsid w:val="00947FCA"/>
    <w:rPr>
      <w:strike w:val="0"/>
      <w:dstrike w:val="0"/>
      <w:color w:val="3366CC"/>
      <w:u w:val="none"/>
      <w:effect w:val="none"/>
    </w:rPr>
  </w:style>
  <w:style w:type="character" w:customStyle="1" w:styleId="super">
    <w:name w:val="super"/>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link w:val="BalloonText"/>
    <w:uiPriority w:val="99"/>
    <w:semiHidden/>
    <w:rsid w:val="002D3E91"/>
    <w:rPr>
      <w:rFonts w:ascii="Tahoma" w:hAnsi="Tahoma" w:cs="Tahoma"/>
      <w:sz w:val="16"/>
      <w:szCs w:val="16"/>
      <w:lang w:eastAsia="lv-LV"/>
    </w:rPr>
  </w:style>
  <w:style w:type="character" w:styleId="CommentReference">
    <w:name w:val="annotation reference"/>
    <w:uiPriority w:val="99"/>
    <w:semiHidden/>
    <w:unhideWhenUsed/>
    <w:rsid w:val="008035A4"/>
    <w:rPr>
      <w:sz w:val="16"/>
      <w:szCs w:val="16"/>
    </w:rPr>
  </w:style>
  <w:style w:type="paragraph" w:styleId="CommentText">
    <w:name w:val="annotation text"/>
    <w:basedOn w:val="Normal"/>
    <w:link w:val="CommentTextChar"/>
    <w:uiPriority w:val="99"/>
    <w:semiHidden/>
    <w:unhideWhenUsed/>
    <w:rsid w:val="008035A4"/>
    <w:rPr>
      <w:sz w:val="20"/>
      <w:szCs w:val="20"/>
    </w:rPr>
  </w:style>
  <w:style w:type="character" w:customStyle="1" w:styleId="CommentTextChar">
    <w:name w:val="Comment Text Char"/>
    <w:link w:val="CommentText"/>
    <w:uiPriority w:val="99"/>
    <w:semiHidden/>
    <w:rsid w:val="008035A4"/>
    <w:rPr>
      <w:rFonts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035A4"/>
    <w:rPr>
      <w:b/>
      <w:bCs/>
    </w:rPr>
  </w:style>
  <w:style w:type="character" w:customStyle="1" w:styleId="CommentSubjectChar">
    <w:name w:val="Comment Subject Char"/>
    <w:link w:val="CommentSubject"/>
    <w:uiPriority w:val="99"/>
    <w:semiHidden/>
    <w:rsid w:val="008035A4"/>
    <w:rPr>
      <w:rFonts w:cs="Times New Roman"/>
      <w:b/>
      <w:bCs/>
      <w:sz w:val="20"/>
      <w:szCs w:val="20"/>
      <w:lang w:eastAsia="lv-LV"/>
    </w:rPr>
  </w:style>
  <w:style w:type="table" w:styleId="TableGrid">
    <w:name w:val="Table Grid"/>
    <w:basedOn w:val="TableNormal"/>
    <w:uiPriority w:val="39"/>
    <w:rsid w:val="00914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0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9786">
      <w:bodyDiv w:val="1"/>
      <w:marLeft w:val="0"/>
      <w:marRight w:val="0"/>
      <w:marTop w:val="0"/>
      <w:marBottom w:val="0"/>
      <w:divBdr>
        <w:top w:val="none" w:sz="0" w:space="0" w:color="auto"/>
        <w:left w:val="none" w:sz="0" w:space="0" w:color="auto"/>
        <w:bottom w:val="none" w:sz="0" w:space="0" w:color="auto"/>
        <w:right w:val="none" w:sz="0" w:space="0" w:color="auto"/>
      </w:divBdr>
      <w:divsChild>
        <w:div w:id="2062099158">
          <w:marLeft w:val="0"/>
          <w:marRight w:val="0"/>
          <w:marTop w:val="0"/>
          <w:marBottom w:val="0"/>
          <w:divBdr>
            <w:top w:val="none" w:sz="0" w:space="0" w:color="auto"/>
            <w:left w:val="none" w:sz="0" w:space="0" w:color="auto"/>
            <w:bottom w:val="none" w:sz="0" w:space="0" w:color="auto"/>
            <w:right w:val="none" w:sz="0" w:space="0" w:color="auto"/>
          </w:divBdr>
          <w:divsChild>
            <w:div w:id="970480096">
              <w:marLeft w:val="0"/>
              <w:marRight w:val="0"/>
              <w:marTop w:val="0"/>
              <w:marBottom w:val="0"/>
              <w:divBdr>
                <w:top w:val="none" w:sz="0" w:space="0" w:color="auto"/>
                <w:left w:val="none" w:sz="0" w:space="0" w:color="auto"/>
                <w:bottom w:val="none" w:sz="0" w:space="0" w:color="auto"/>
                <w:right w:val="none" w:sz="0" w:space="0" w:color="auto"/>
              </w:divBdr>
              <w:divsChild>
                <w:div w:id="46492054">
                  <w:marLeft w:val="0"/>
                  <w:marRight w:val="0"/>
                  <w:marTop w:val="0"/>
                  <w:marBottom w:val="0"/>
                  <w:divBdr>
                    <w:top w:val="none" w:sz="0" w:space="0" w:color="auto"/>
                    <w:left w:val="none" w:sz="0" w:space="0" w:color="auto"/>
                    <w:bottom w:val="none" w:sz="0" w:space="0" w:color="auto"/>
                    <w:right w:val="none" w:sz="0" w:space="0" w:color="auto"/>
                  </w:divBdr>
                  <w:divsChild>
                    <w:div w:id="422382443">
                      <w:marLeft w:val="0"/>
                      <w:marRight w:val="0"/>
                      <w:marTop w:val="0"/>
                      <w:marBottom w:val="0"/>
                      <w:divBdr>
                        <w:top w:val="none" w:sz="0" w:space="0" w:color="auto"/>
                        <w:left w:val="none" w:sz="0" w:space="0" w:color="auto"/>
                        <w:bottom w:val="none" w:sz="0" w:space="0" w:color="auto"/>
                        <w:right w:val="none" w:sz="0" w:space="0" w:color="auto"/>
                      </w:divBdr>
                      <w:divsChild>
                        <w:div w:id="2090878664">
                          <w:marLeft w:val="0"/>
                          <w:marRight w:val="0"/>
                          <w:marTop w:val="0"/>
                          <w:marBottom w:val="0"/>
                          <w:divBdr>
                            <w:top w:val="none" w:sz="0" w:space="0" w:color="auto"/>
                            <w:left w:val="none" w:sz="0" w:space="0" w:color="auto"/>
                            <w:bottom w:val="none" w:sz="0" w:space="0" w:color="auto"/>
                            <w:right w:val="none" w:sz="0" w:space="0" w:color="auto"/>
                          </w:divBdr>
                          <w:divsChild>
                            <w:div w:id="6332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87472">
      <w:bodyDiv w:val="1"/>
      <w:marLeft w:val="0"/>
      <w:marRight w:val="0"/>
      <w:marTop w:val="0"/>
      <w:marBottom w:val="0"/>
      <w:divBdr>
        <w:top w:val="none" w:sz="0" w:space="0" w:color="auto"/>
        <w:left w:val="none" w:sz="0" w:space="0" w:color="auto"/>
        <w:bottom w:val="none" w:sz="0" w:space="0" w:color="auto"/>
        <w:right w:val="none" w:sz="0" w:space="0" w:color="auto"/>
      </w:divBdr>
      <w:divsChild>
        <w:div w:id="1549686151">
          <w:marLeft w:val="0"/>
          <w:marRight w:val="0"/>
          <w:marTop w:val="0"/>
          <w:marBottom w:val="0"/>
          <w:divBdr>
            <w:top w:val="none" w:sz="0" w:space="0" w:color="auto"/>
            <w:left w:val="none" w:sz="0" w:space="0" w:color="auto"/>
            <w:bottom w:val="none" w:sz="0" w:space="0" w:color="auto"/>
            <w:right w:val="none" w:sz="0" w:space="0" w:color="auto"/>
          </w:divBdr>
          <w:divsChild>
            <w:div w:id="179978097">
              <w:marLeft w:val="0"/>
              <w:marRight w:val="0"/>
              <w:marTop w:val="0"/>
              <w:marBottom w:val="0"/>
              <w:divBdr>
                <w:top w:val="none" w:sz="0" w:space="0" w:color="auto"/>
                <w:left w:val="none" w:sz="0" w:space="0" w:color="auto"/>
                <w:bottom w:val="none" w:sz="0" w:space="0" w:color="auto"/>
                <w:right w:val="none" w:sz="0" w:space="0" w:color="auto"/>
              </w:divBdr>
              <w:divsChild>
                <w:div w:id="2047631650">
                  <w:marLeft w:val="0"/>
                  <w:marRight w:val="0"/>
                  <w:marTop w:val="0"/>
                  <w:marBottom w:val="0"/>
                  <w:divBdr>
                    <w:top w:val="none" w:sz="0" w:space="0" w:color="auto"/>
                    <w:left w:val="none" w:sz="0" w:space="0" w:color="auto"/>
                    <w:bottom w:val="none" w:sz="0" w:space="0" w:color="auto"/>
                    <w:right w:val="none" w:sz="0" w:space="0" w:color="auto"/>
                  </w:divBdr>
                  <w:divsChild>
                    <w:div w:id="1999453121">
                      <w:marLeft w:val="1"/>
                      <w:marRight w:val="0"/>
                      <w:marTop w:val="0"/>
                      <w:marBottom w:val="0"/>
                      <w:divBdr>
                        <w:top w:val="none" w:sz="0" w:space="0" w:color="auto"/>
                        <w:left w:val="none" w:sz="0" w:space="0" w:color="auto"/>
                        <w:bottom w:val="none" w:sz="0" w:space="0" w:color="auto"/>
                        <w:right w:val="none" w:sz="0" w:space="0" w:color="auto"/>
                      </w:divBdr>
                      <w:divsChild>
                        <w:div w:id="499008603">
                          <w:marLeft w:val="0"/>
                          <w:marRight w:val="0"/>
                          <w:marTop w:val="0"/>
                          <w:marBottom w:val="0"/>
                          <w:divBdr>
                            <w:top w:val="none" w:sz="0" w:space="0" w:color="auto"/>
                            <w:left w:val="none" w:sz="0" w:space="0" w:color="auto"/>
                            <w:bottom w:val="none" w:sz="0" w:space="0" w:color="auto"/>
                            <w:right w:val="none" w:sz="0" w:space="0" w:color="auto"/>
                          </w:divBdr>
                          <w:divsChild>
                            <w:div w:id="146898680">
                              <w:marLeft w:val="0"/>
                              <w:marRight w:val="0"/>
                              <w:marTop w:val="0"/>
                              <w:marBottom w:val="360"/>
                              <w:divBdr>
                                <w:top w:val="none" w:sz="0" w:space="0" w:color="auto"/>
                                <w:left w:val="none" w:sz="0" w:space="0" w:color="auto"/>
                                <w:bottom w:val="none" w:sz="0" w:space="0" w:color="auto"/>
                                <w:right w:val="none" w:sz="0" w:space="0" w:color="auto"/>
                              </w:divBdr>
                              <w:divsChild>
                                <w:div w:id="707529409">
                                  <w:marLeft w:val="0"/>
                                  <w:marRight w:val="0"/>
                                  <w:marTop w:val="0"/>
                                  <w:marBottom w:val="0"/>
                                  <w:divBdr>
                                    <w:top w:val="none" w:sz="0" w:space="0" w:color="auto"/>
                                    <w:left w:val="none" w:sz="0" w:space="0" w:color="auto"/>
                                    <w:bottom w:val="none" w:sz="0" w:space="0" w:color="auto"/>
                                    <w:right w:val="none" w:sz="0" w:space="0" w:color="auto"/>
                                  </w:divBdr>
                                  <w:divsChild>
                                    <w:div w:id="6954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6713">
      <w:bodyDiv w:val="1"/>
      <w:marLeft w:val="0"/>
      <w:marRight w:val="0"/>
      <w:marTop w:val="0"/>
      <w:marBottom w:val="0"/>
      <w:divBdr>
        <w:top w:val="none" w:sz="0" w:space="0" w:color="auto"/>
        <w:left w:val="none" w:sz="0" w:space="0" w:color="auto"/>
        <w:bottom w:val="none" w:sz="0" w:space="0" w:color="auto"/>
        <w:right w:val="none" w:sz="0" w:space="0" w:color="auto"/>
      </w:divBdr>
      <w:divsChild>
        <w:div w:id="878781090">
          <w:marLeft w:val="0"/>
          <w:marRight w:val="0"/>
          <w:marTop w:val="0"/>
          <w:marBottom w:val="0"/>
          <w:divBdr>
            <w:top w:val="none" w:sz="0" w:space="0" w:color="auto"/>
            <w:left w:val="none" w:sz="0" w:space="0" w:color="auto"/>
            <w:bottom w:val="none" w:sz="0" w:space="0" w:color="auto"/>
            <w:right w:val="none" w:sz="0" w:space="0" w:color="auto"/>
          </w:divBdr>
          <w:divsChild>
            <w:div w:id="564528954">
              <w:marLeft w:val="0"/>
              <w:marRight w:val="0"/>
              <w:marTop w:val="0"/>
              <w:marBottom w:val="0"/>
              <w:divBdr>
                <w:top w:val="none" w:sz="0" w:space="0" w:color="auto"/>
                <w:left w:val="none" w:sz="0" w:space="0" w:color="auto"/>
                <w:bottom w:val="none" w:sz="0" w:space="0" w:color="auto"/>
                <w:right w:val="none" w:sz="0" w:space="0" w:color="auto"/>
              </w:divBdr>
              <w:divsChild>
                <w:div w:id="1518231102">
                  <w:marLeft w:val="0"/>
                  <w:marRight w:val="0"/>
                  <w:marTop w:val="0"/>
                  <w:marBottom w:val="0"/>
                  <w:divBdr>
                    <w:top w:val="none" w:sz="0" w:space="0" w:color="auto"/>
                    <w:left w:val="none" w:sz="0" w:space="0" w:color="auto"/>
                    <w:bottom w:val="none" w:sz="0" w:space="0" w:color="auto"/>
                    <w:right w:val="none" w:sz="0" w:space="0" w:color="auto"/>
                  </w:divBdr>
                  <w:divsChild>
                    <w:div w:id="1583031644">
                      <w:marLeft w:val="1"/>
                      <w:marRight w:val="0"/>
                      <w:marTop w:val="0"/>
                      <w:marBottom w:val="0"/>
                      <w:divBdr>
                        <w:top w:val="none" w:sz="0" w:space="0" w:color="auto"/>
                        <w:left w:val="none" w:sz="0" w:space="0" w:color="auto"/>
                        <w:bottom w:val="none" w:sz="0" w:space="0" w:color="auto"/>
                        <w:right w:val="none" w:sz="0" w:space="0" w:color="auto"/>
                      </w:divBdr>
                      <w:divsChild>
                        <w:div w:id="1090346813">
                          <w:marLeft w:val="0"/>
                          <w:marRight w:val="0"/>
                          <w:marTop w:val="0"/>
                          <w:marBottom w:val="0"/>
                          <w:divBdr>
                            <w:top w:val="none" w:sz="0" w:space="0" w:color="auto"/>
                            <w:left w:val="none" w:sz="0" w:space="0" w:color="auto"/>
                            <w:bottom w:val="none" w:sz="0" w:space="0" w:color="auto"/>
                            <w:right w:val="none" w:sz="0" w:space="0" w:color="auto"/>
                          </w:divBdr>
                          <w:divsChild>
                            <w:div w:id="1968005806">
                              <w:marLeft w:val="0"/>
                              <w:marRight w:val="0"/>
                              <w:marTop w:val="0"/>
                              <w:marBottom w:val="360"/>
                              <w:divBdr>
                                <w:top w:val="none" w:sz="0" w:space="0" w:color="auto"/>
                                <w:left w:val="none" w:sz="0" w:space="0" w:color="auto"/>
                                <w:bottom w:val="none" w:sz="0" w:space="0" w:color="auto"/>
                                <w:right w:val="none" w:sz="0" w:space="0" w:color="auto"/>
                              </w:divBdr>
                              <w:divsChild>
                                <w:div w:id="271282047">
                                  <w:marLeft w:val="0"/>
                                  <w:marRight w:val="0"/>
                                  <w:marTop w:val="0"/>
                                  <w:marBottom w:val="0"/>
                                  <w:divBdr>
                                    <w:top w:val="none" w:sz="0" w:space="0" w:color="auto"/>
                                    <w:left w:val="none" w:sz="0" w:space="0" w:color="auto"/>
                                    <w:bottom w:val="none" w:sz="0" w:space="0" w:color="auto"/>
                                    <w:right w:val="none" w:sz="0" w:space="0" w:color="auto"/>
                                  </w:divBdr>
                                  <w:divsChild>
                                    <w:div w:id="4956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459394">
      <w:bodyDiv w:val="1"/>
      <w:marLeft w:val="0"/>
      <w:marRight w:val="0"/>
      <w:marTop w:val="0"/>
      <w:marBottom w:val="0"/>
      <w:divBdr>
        <w:top w:val="none" w:sz="0" w:space="0" w:color="auto"/>
        <w:left w:val="none" w:sz="0" w:space="0" w:color="auto"/>
        <w:bottom w:val="none" w:sz="0" w:space="0" w:color="auto"/>
        <w:right w:val="none" w:sz="0" w:space="0" w:color="auto"/>
      </w:divBdr>
    </w:div>
    <w:div w:id="1986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viridovs@lgs.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969D-62F5-4632-B1B0-C491D6BB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3737</Words>
  <Characters>2131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3.janvāra noteikumos Nr.28 "Valsts akciju sabiedrības "Latvijas gaisa satiksme" sniegto aeronavigācijas pakalpojumu maksas noteikšanas un iekasēšanas kārtība" sākotnējās ietekmes </vt:lpstr>
    </vt:vector>
  </TitlesOfParts>
  <Company>Satiksmes ministrija</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3.janvāra noteikumos Nr.28 "Valsts akciju sabiedrības "Latvijas gaisa satiksme" sniegto aeronavigācijas pakalpojumu maksas noteikšanas un iekasēšanas kārtība" sākotnējās ietekmes novērtējuma ziņojums (anotācija)</dc:title>
  <dc:subject>anotācija</dc:subject>
  <dc:creator>I.Sviridovs@lgs.lv;Ž.Jansone</dc:creator>
  <dc:description>Žaneta Jansone;tālr.67028258; zanete.jansone@sam.gov.lv</dc:description>
  <cp:lastModifiedBy>Žanete Jansone</cp:lastModifiedBy>
  <cp:revision>5</cp:revision>
  <cp:lastPrinted>2016-06-17T11:06:00Z</cp:lastPrinted>
  <dcterms:created xsi:type="dcterms:W3CDTF">2016-06-16T13:50:00Z</dcterms:created>
  <dcterms:modified xsi:type="dcterms:W3CDTF">2016-06-22T08:36:00Z</dcterms:modified>
  <cp:category>nav klasificēts</cp:category>
  <cp:contentStatus>nav klasificēts</cp:contentStatus>
</cp:coreProperties>
</file>