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09" w:rsidRPr="00052CCE" w:rsidRDefault="008E3E94" w:rsidP="00B426DA">
      <w:pPr>
        <w:ind w:firstLine="0"/>
        <w:jc w:val="center"/>
        <w:rPr>
          <w:b/>
          <w:bCs/>
          <w:sz w:val="24"/>
          <w:szCs w:val="24"/>
        </w:rPr>
      </w:pPr>
      <w:r w:rsidRPr="00052CCE">
        <w:rPr>
          <w:b/>
          <w:bCs/>
          <w:sz w:val="24"/>
          <w:szCs w:val="24"/>
        </w:rPr>
        <w:t>Ministru kabineta noteikumu projekta „</w:t>
      </w:r>
      <w:r w:rsidR="00B6740C" w:rsidRPr="00052CCE">
        <w:rPr>
          <w:b/>
          <w:bCs/>
          <w:sz w:val="24"/>
          <w:szCs w:val="24"/>
        </w:rPr>
        <w:t xml:space="preserve">Grozījumi Ministru kabineta </w:t>
      </w:r>
      <w:r w:rsidR="00A43648" w:rsidRPr="00052CCE">
        <w:rPr>
          <w:b/>
          <w:bCs/>
          <w:sz w:val="24"/>
          <w:szCs w:val="24"/>
        </w:rPr>
        <w:t>2012.gada 21.februāra noteikumos Nr.122 “Kārtība, kādā izsniedz, anulē vai uz laiku aptur Eiropas Kopienas atļaujas, Eiropas Kopienas atļauju kopijas un autovadītāja atestātus starptautiskajiem komercpārvadājumiem ar autotransportu Eiropas Savienības teritorijā</w:t>
      </w:r>
      <w:r w:rsidR="00B6740C" w:rsidRPr="00052CCE">
        <w:rPr>
          <w:b/>
          <w:bCs/>
          <w:sz w:val="24"/>
          <w:szCs w:val="24"/>
        </w:rPr>
        <w:t>””</w:t>
      </w:r>
      <w:r w:rsidR="003D6F09" w:rsidRPr="00052CCE">
        <w:rPr>
          <w:b/>
          <w:bCs/>
          <w:sz w:val="24"/>
          <w:szCs w:val="24"/>
        </w:rPr>
        <w:t xml:space="preserve"> sākotnējās ietekmes novērtējuma ziņojums (anotācija)</w:t>
      </w:r>
    </w:p>
    <w:p w:rsidR="00A625D4" w:rsidRPr="00052CCE" w:rsidRDefault="00A625D4" w:rsidP="00697072">
      <w:pPr>
        <w:ind w:firstLine="0"/>
        <w:jc w:val="both"/>
        <w:rPr>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411"/>
        <w:gridCol w:w="6310"/>
      </w:tblGrid>
      <w:tr w:rsidR="003D6F09" w:rsidRPr="00052CCE" w:rsidTr="003D6F0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052CCE" w:rsidRDefault="003D6F09" w:rsidP="009F0EEC">
            <w:pPr>
              <w:ind w:firstLine="0"/>
              <w:jc w:val="center"/>
              <w:rPr>
                <w:b/>
                <w:bCs/>
                <w:sz w:val="24"/>
                <w:szCs w:val="24"/>
              </w:rPr>
            </w:pPr>
            <w:r w:rsidRPr="00052CCE">
              <w:rPr>
                <w:b/>
                <w:bCs/>
                <w:sz w:val="24"/>
                <w:szCs w:val="24"/>
              </w:rPr>
              <w:t>I. Tiesību akta projekta izstrādes nepieciešamība</w:t>
            </w:r>
          </w:p>
        </w:tc>
      </w:tr>
      <w:tr w:rsidR="003D6F09" w:rsidRPr="00052CCE" w:rsidTr="006B14EF">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1.</w:t>
            </w:r>
          </w:p>
        </w:tc>
        <w:tc>
          <w:tcPr>
            <w:tcW w:w="1291"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Pamatojums</w:t>
            </w:r>
          </w:p>
        </w:tc>
        <w:tc>
          <w:tcPr>
            <w:tcW w:w="3398" w:type="pct"/>
            <w:tcBorders>
              <w:top w:val="outset" w:sz="6" w:space="0" w:color="auto"/>
              <w:left w:val="outset" w:sz="6" w:space="0" w:color="auto"/>
              <w:bottom w:val="outset" w:sz="6" w:space="0" w:color="auto"/>
              <w:right w:val="outset" w:sz="6" w:space="0" w:color="auto"/>
            </w:tcBorders>
            <w:hideMark/>
          </w:tcPr>
          <w:p w:rsidR="006B5299" w:rsidRPr="00052CCE" w:rsidRDefault="007F1673" w:rsidP="007D5972">
            <w:pPr>
              <w:ind w:firstLine="0"/>
              <w:jc w:val="both"/>
              <w:rPr>
                <w:rFonts w:eastAsia="Calibri" w:cs="Times New Roman"/>
                <w:sz w:val="24"/>
                <w:szCs w:val="24"/>
              </w:rPr>
            </w:pPr>
            <w:r w:rsidRPr="00052CCE">
              <w:rPr>
                <w:rFonts w:eastAsia="Calibri" w:cs="Times New Roman"/>
                <w:sz w:val="24"/>
                <w:szCs w:val="24"/>
              </w:rPr>
              <w:t xml:space="preserve">Autopārvadājumu likuma </w:t>
            </w:r>
            <w:r w:rsidR="001D32B4">
              <w:rPr>
                <w:rFonts w:eastAsia="Calibri" w:cs="Times New Roman"/>
                <w:sz w:val="24"/>
                <w:szCs w:val="24"/>
              </w:rPr>
              <w:t>5.</w:t>
            </w:r>
            <w:r w:rsidR="001D32B4" w:rsidRPr="001D32B4">
              <w:rPr>
                <w:rFonts w:eastAsia="Calibri" w:cs="Times New Roman"/>
                <w:sz w:val="24"/>
                <w:szCs w:val="24"/>
                <w:vertAlign w:val="superscript"/>
              </w:rPr>
              <w:t>1</w:t>
            </w:r>
            <w:r w:rsidR="001D32B4">
              <w:rPr>
                <w:rFonts w:eastAsia="Calibri" w:cs="Times New Roman"/>
                <w:sz w:val="24"/>
                <w:szCs w:val="24"/>
              </w:rPr>
              <w:t xml:space="preserve"> panta pirmās daļas 8.punkts</w:t>
            </w:r>
          </w:p>
        </w:tc>
      </w:tr>
      <w:tr w:rsidR="003D6F09" w:rsidRPr="00052CCE" w:rsidTr="006B14E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2.</w:t>
            </w:r>
          </w:p>
        </w:tc>
        <w:tc>
          <w:tcPr>
            <w:tcW w:w="1291"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Pašreizējā situācija un problēmas, kuru risināšanai tiesību akta projekts izstrādāts, tiesiskā regulējuma mērķis un būtība</w:t>
            </w:r>
          </w:p>
        </w:tc>
        <w:tc>
          <w:tcPr>
            <w:tcW w:w="3398" w:type="pct"/>
            <w:tcBorders>
              <w:top w:val="outset" w:sz="6" w:space="0" w:color="auto"/>
              <w:left w:val="outset" w:sz="6" w:space="0" w:color="auto"/>
              <w:bottom w:val="outset" w:sz="6" w:space="0" w:color="auto"/>
              <w:right w:val="outset" w:sz="6" w:space="0" w:color="auto"/>
            </w:tcBorders>
          </w:tcPr>
          <w:p w:rsidR="007D5972" w:rsidRDefault="006B5299" w:rsidP="00697072">
            <w:pPr>
              <w:ind w:firstLine="0"/>
              <w:jc w:val="both"/>
              <w:rPr>
                <w:sz w:val="24"/>
                <w:szCs w:val="24"/>
              </w:rPr>
            </w:pPr>
            <w:r w:rsidRPr="00052CCE">
              <w:rPr>
                <w:sz w:val="24"/>
                <w:szCs w:val="24"/>
              </w:rPr>
              <w:t xml:space="preserve">Eiropas Kopienas atļaujas, </w:t>
            </w:r>
            <w:r w:rsidRPr="00052CCE">
              <w:rPr>
                <w:bCs/>
                <w:sz w:val="24"/>
                <w:szCs w:val="24"/>
              </w:rPr>
              <w:t>Eiropas Kopienas atļauju kopijas un autovadītāja atestātus starptautiskajiem komercpārvadājumiem ar autotransportu Eiropas Savienības teritorijā izsniedz valsts SIA „Autotransporta direkcija” (turpmāk – Autotransporta direkcija)</w:t>
            </w:r>
            <w:r w:rsidR="00C07159">
              <w:rPr>
                <w:bCs/>
                <w:sz w:val="24"/>
                <w:szCs w:val="24"/>
              </w:rPr>
              <w:t xml:space="preserve"> saskaņā ar </w:t>
            </w:r>
            <w:r w:rsidR="007D5972" w:rsidRPr="00052CCE">
              <w:rPr>
                <w:sz w:val="24"/>
                <w:szCs w:val="24"/>
              </w:rPr>
              <w:t>Ministru kabineta 2012.gada 21.februāra noteikumi</w:t>
            </w:r>
            <w:r w:rsidR="00C07159">
              <w:rPr>
                <w:sz w:val="24"/>
                <w:szCs w:val="24"/>
              </w:rPr>
              <w:t>em</w:t>
            </w:r>
            <w:r w:rsidR="007D5972" w:rsidRPr="00052CCE">
              <w:rPr>
                <w:sz w:val="24"/>
                <w:szCs w:val="24"/>
              </w:rPr>
              <w:t xml:space="preserve"> </w:t>
            </w:r>
            <w:r w:rsidR="00A43648" w:rsidRPr="00052CCE">
              <w:rPr>
                <w:sz w:val="24"/>
                <w:szCs w:val="24"/>
              </w:rPr>
              <w:t>Nr.122 “Kārtība, kādā izsniedz, anulē vai uz laiku aptur Eiropas Kopienas atļaujas, Eiropas Kopienas atļauju kopijas un autovadītāja atestātus starptautiskajiem komercpārvadājumiem ar autotransportu Eiropas Savienības teritorijā</w:t>
            </w:r>
            <w:r w:rsidR="007D5972" w:rsidRPr="00052CCE">
              <w:rPr>
                <w:sz w:val="24"/>
                <w:szCs w:val="24"/>
              </w:rPr>
              <w:t>”</w:t>
            </w:r>
            <w:r w:rsidR="00A43648" w:rsidRPr="00052CCE">
              <w:rPr>
                <w:sz w:val="24"/>
                <w:szCs w:val="24"/>
              </w:rPr>
              <w:t xml:space="preserve"> (turpmāk – noteikumi Nr.122)</w:t>
            </w:r>
            <w:r w:rsidR="007D5972" w:rsidRPr="00052CCE">
              <w:rPr>
                <w:sz w:val="24"/>
                <w:szCs w:val="24"/>
              </w:rPr>
              <w:t>.</w:t>
            </w:r>
          </w:p>
          <w:p w:rsidR="006B5299" w:rsidRPr="00052CCE" w:rsidRDefault="007854CF" w:rsidP="00697072">
            <w:pPr>
              <w:ind w:firstLine="0"/>
              <w:jc w:val="both"/>
              <w:rPr>
                <w:sz w:val="24"/>
                <w:szCs w:val="24"/>
              </w:rPr>
            </w:pPr>
            <w:r w:rsidRPr="00052CCE">
              <w:rPr>
                <w:sz w:val="24"/>
                <w:szCs w:val="24"/>
              </w:rPr>
              <w:t>Noteikumu projekts paredz:</w:t>
            </w:r>
          </w:p>
          <w:p w:rsidR="004E2C48" w:rsidRPr="002E3B1A" w:rsidRDefault="007D5972" w:rsidP="00697072">
            <w:pPr>
              <w:ind w:firstLine="0"/>
              <w:jc w:val="both"/>
              <w:rPr>
                <w:rFonts w:eastAsia="Times New Roman" w:cs="Times New Roman"/>
                <w:sz w:val="24"/>
                <w:szCs w:val="24"/>
                <w:lang w:eastAsia="lv-LV"/>
              </w:rPr>
            </w:pPr>
            <w:r w:rsidRPr="00052CCE">
              <w:rPr>
                <w:sz w:val="24"/>
                <w:szCs w:val="24"/>
              </w:rPr>
              <w:t>1</w:t>
            </w:r>
            <w:r w:rsidR="00165773" w:rsidRPr="00052CCE">
              <w:rPr>
                <w:sz w:val="24"/>
                <w:szCs w:val="24"/>
              </w:rPr>
              <w:t xml:space="preserve">. </w:t>
            </w:r>
            <w:r w:rsidR="007854CF" w:rsidRPr="00052CCE">
              <w:rPr>
                <w:sz w:val="24"/>
                <w:szCs w:val="24"/>
              </w:rPr>
              <w:t xml:space="preserve">iespēju </w:t>
            </w:r>
            <w:r w:rsidR="007854CF" w:rsidRPr="00052CCE">
              <w:rPr>
                <w:rFonts w:eastAsia="Times New Roman" w:cs="Times New Roman"/>
                <w:sz w:val="24"/>
                <w:szCs w:val="24"/>
                <w:lang w:eastAsia="lv-LV"/>
              </w:rPr>
              <w:t xml:space="preserve">personām </w:t>
            </w:r>
            <w:r w:rsidR="007854CF" w:rsidRPr="00052CCE">
              <w:rPr>
                <w:sz w:val="24"/>
                <w:szCs w:val="24"/>
              </w:rPr>
              <w:t>Eiropas Kopienas atļauj</w:t>
            </w:r>
            <w:r w:rsidR="00FF7FD8">
              <w:rPr>
                <w:sz w:val="24"/>
                <w:szCs w:val="24"/>
              </w:rPr>
              <w:t>as</w:t>
            </w:r>
            <w:r w:rsidR="007854CF" w:rsidRPr="00052CCE">
              <w:rPr>
                <w:sz w:val="24"/>
                <w:szCs w:val="24"/>
              </w:rPr>
              <w:t>, Eiropas Kopienas atļauj</w:t>
            </w:r>
            <w:r w:rsidR="0018248F" w:rsidRPr="00052CCE">
              <w:rPr>
                <w:sz w:val="24"/>
                <w:szCs w:val="24"/>
              </w:rPr>
              <w:t>as</w:t>
            </w:r>
            <w:r w:rsidR="007854CF" w:rsidRPr="00052CCE">
              <w:rPr>
                <w:sz w:val="24"/>
                <w:szCs w:val="24"/>
              </w:rPr>
              <w:t xml:space="preserve"> kopij</w:t>
            </w:r>
            <w:r w:rsidR="00FF7FD8">
              <w:rPr>
                <w:sz w:val="24"/>
                <w:szCs w:val="24"/>
              </w:rPr>
              <w:t>as</w:t>
            </w:r>
            <w:r w:rsidR="007854CF" w:rsidRPr="00052CCE">
              <w:rPr>
                <w:sz w:val="24"/>
                <w:szCs w:val="24"/>
              </w:rPr>
              <w:t xml:space="preserve"> un autovadītāja atestāt</w:t>
            </w:r>
            <w:r w:rsidR="00FF7FD8">
              <w:rPr>
                <w:sz w:val="24"/>
                <w:szCs w:val="24"/>
              </w:rPr>
              <w:t>a</w:t>
            </w:r>
            <w:r w:rsidR="007854CF" w:rsidRPr="00052CCE">
              <w:rPr>
                <w:sz w:val="24"/>
                <w:szCs w:val="24"/>
              </w:rPr>
              <w:t xml:space="preserve"> starptautiskajiem komercpārvadājumiem ar autotransportu Eiropas Savienības teritorijā</w:t>
            </w:r>
            <w:r w:rsidR="0018248F" w:rsidRPr="00052CCE">
              <w:rPr>
                <w:sz w:val="24"/>
                <w:szCs w:val="24"/>
              </w:rPr>
              <w:t xml:space="preserve"> (turpmāk – autovadītāja atestāts)</w:t>
            </w:r>
            <w:r w:rsidR="00FF7FD8">
              <w:rPr>
                <w:sz w:val="24"/>
                <w:szCs w:val="24"/>
              </w:rPr>
              <w:t xml:space="preserve"> saņemšanai</w:t>
            </w:r>
            <w:r w:rsidR="007854CF" w:rsidRPr="00052CCE">
              <w:rPr>
                <w:sz w:val="24"/>
                <w:szCs w:val="24"/>
              </w:rPr>
              <w:t>, pieteikties</w:t>
            </w:r>
            <w:r w:rsidR="00343B64">
              <w:rPr>
                <w:sz w:val="24"/>
                <w:szCs w:val="24"/>
              </w:rPr>
              <w:t xml:space="preserve"> </w:t>
            </w:r>
            <w:r w:rsidR="00637A4B" w:rsidRPr="00052CCE">
              <w:rPr>
                <w:rFonts w:eastAsia="Times New Roman" w:cs="Times New Roman"/>
                <w:sz w:val="24"/>
                <w:szCs w:val="24"/>
                <w:lang w:eastAsia="lv-LV"/>
              </w:rPr>
              <w:t xml:space="preserve">elektroniski, aizpildot speciālu tiešsaistes formu Autotransporta direkcijas </w:t>
            </w:r>
            <w:r w:rsidR="00F32932">
              <w:rPr>
                <w:rFonts w:eastAsia="Times New Roman" w:cs="Times New Roman"/>
                <w:sz w:val="24"/>
                <w:szCs w:val="24"/>
                <w:lang w:eastAsia="lv-LV"/>
              </w:rPr>
              <w:t>tīmekļa vietnē</w:t>
            </w:r>
            <w:r w:rsidR="00F32932" w:rsidRPr="00052CCE">
              <w:rPr>
                <w:rFonts w:eastAsia="Times New Roman" w:cs="Times New Roman"/>
                <w:sz w:val="24"/>
                <w:szCs w:val="24"/>
                <w:lang w:eastAsia="lv-LV"/>
              </w:rPr>
              <w:t xml:space="preserve"> </w:t>
            </w:r>
            <w:r w:rsidR="00637A4B" w:rsidRPr="00052CCE">
              <w:rPr>
                <w:rFonts w:eastAsia="Times New Roman" w:cs="Times New Roman"/>
                <w:sz w:val="24"/>
                <w:szCs w:val="24"/>
                <w:lang w:eastAsia="lv-LV"/>
              </w:rPr>
              <w:t>(e-pakalpojums). Elektronisko dokumentu apmaiņai un personas identi</w:t>
            </w:r>
            <w:r w:rsidR="006D054E">
              <w:rPr>
                <w:rFonts w:eastAsia="Times New Roman" w:cs="Times New Roman"/>
                <w:sz w:val="24"/>
                <w:szCs w:val="24"/>
                <w:lang w:eastAsia="lv-LV"/>
              </w:rPr>
              <w:t>tāte</w:t>
            </w:r>
            <w:r w:rsidR="00637A4B" w:rsidRPr="00052CCE">
              <w:rPr>
                <w:rFonts w:eastAsia="Times New Roman" w:cs="Times New Roman"/>
                <w:sz w:val="24"/>
                <w:szCs w:val="24"/>
                <w:lang w:eastAsia="lv-LV"/>
              </w:rPr>
              <w:t xml:space="preserve">s pārbaudei </w:t>
            </w:r>
            <w:r w:rsidR="00FF7FD8">
              <w:rPr>
                <w:rFonts w:eastAsia="Times New Roman" w:cs="Times New Roman"/>
                <w:sz w:val="24"/>
                <w:szCs w:val="24"/>
                <w:lang w:eastAsia="lv-LV"/>
              </w:rPr>
              <w:t>paredzēts</w:t>
            </w:r>
            <w:r w:rsidR="00FF7FD8" w:rsidRPr="00052CCE">
              <w:rPr>
                <w:rFonts w:eastAsia="Times New Roman" w:cs="Times New Roman"/>
                <w:sz w:val="24"/>
                <w:szCs w:val="24"/>
                <w:lang w:eastAsia="lv-LV"/>
              </w:rPr>
              <w:t xml:space="preserve"> </w:t>
            </w:r>
            <w:r w:rsidR="00637A4B" w:rsidRPr="00052CCE">
              <w:rPr>
                <w:rFonts w:eastAsia="Times New Roman" w:cs="Times New Roman"/>
                <w:sz w:val="24"/>
                <w:szCs w:val="24"/>
                <w:lang w:eastAsia="lv-LV"/>
              </w:rPr>
              <w:t xml:space="preserve">izmantot Vienoto valsts un pašvaldību pakalpojumu portālu </w:t>
            </w:r>
            <w:hyperlink r:id="rId9" w:history="1">
              <w:r w:rsidR="00637A4B" w:rsidRPr="00052CCE">
                <w:rPr>
                  <w:rStyle w:val="Hyperlink"/>
                  <w:rFonts w:eastAsia="Times New Roman" w:cs="Times New Roman"/>
                  <w:sz w:val="24"/>
                  <w:szCs w:val="24"/>
                  <w:lang w:eastAsia="lv-LV"/>
                </w:rPr>
                <w:t>www.latvija.lv</w:t>
              </w:r>
            </w:hyperlink>
            <w:r w:rsidR="00A73F54">
              <w:rPr>
                <w:rFonts w:eastAsia="Times New Roman" w:cs="Times New Roman"/>
                <w:sz w:val="24"/>
                <w:szCs w:val="24"/>
                <w:lang w:eastAsia="lv-LV"/>
              </w:rPr>
              <w:t xml:space="preserve">. </w:t>
            </w:r>
            <w:r w:rsidR="00A73F54" w:rsidRPr="002E3B1A">
              <w:rPr>
                <w:rFonts w:eastAsia="Times New Roman" w:cs="Times New Roman"/>
                <w:sz w:val="24"/>
                <w:szCs w:val="24"/>
                <w:lang w:eastAsia="lv-LV"/>
              </w:rPr>
              <w:t xml:space="preserve">Saskaņā ar </w:t>
            </w:r>
            <w:r w:rsidR="00A73F54" w:rsidRPr="002E3B1A">
              <w:rPr>
                <w:rFonts w:eastAsia="Times New Roman" w:cs="Times New Roman"/>
                <w:sz w:val="24"/>
                <w:szCs w:val="24"/>
              </w:rPr>
              <w:t xml:space="preserve">Fizisko personu elektroniskās identifikācijas likuma </w:t>
            </w:r>
            <w:proofErr w:type="gramStart"/>
            <w:r w:rsidR="00A73F54" w:rsidRPr="002E3B1A">
              <w:rPr>
                <w:rFonts w:eastAsia="Times New Roman" w:cs="Times New Roman"/>
                <w:sz w:val="24"/>
                <w:szCs w:val="24"/>
              </w:rPr>
              <w:t>3.panta</w:t>
            </w:r>
            <w:proofErr w:type="gramEnd"/>
            <w:r w:rsidR="00A73F54" w:rsidRPr="002E3B1A">
              <w:rPr>
                <w:rFonts w:eastAsia="Times New Roman" w:cs="Times New Roman"/>
                <w:sz w:val="24"/>
                <w:szCs w:val="24"/>
              </w:rPr>
              <w:t xml:space="preserve"> trešās daļas 1. punktu elektroniskā identifikācija uzskatāma par notikušu un ir pielīdzināma fiziskās personas identitātes pārbaudei klātienē, uzrādot personu apliecinošu dokumentu, ja tā veikta ar kvalificētu vai kvalificētu paaugstinātas drošības elektroniskās identifikācijas līdzekli un atbilst šā likuma prasībām. Lai nodrošinātu noteikumu projektā paredzēto personas identifikācijas procesu, tiks izmantota kvalificēta personas elektroniskā identifikācija, kas būs pielīdzināma personas identitātes pārbaudei klātienē. </w:t>
            </w:r>
            <w:r w:rsidR="00036B23" w:rsidRPr="002E3B1A">
              <w:rPr>
                <w:rFonts w:eastAsia="Times New Roman"/>
                <w:sz w:val="24"/>
                <w:szCs w:val="24"/>
              </w:rPr>
              <w:t xml:space="preserve">Attiecīgā procesa īstenošana tiks veikta, pamatojoties uz sadarbības līgumu “Par autentifikācijas moduļa „Vienotā pieteikšanās” ieviešanu un darbināšanu”, kas noslēgts starp </w:t>
            </w:r>
            <w:r w:rsidR="00E421A7">
              <w:rPr>
                <w:rFonts w:eastAsia="Times New Roman"/>
                <w:sz w:val="24"/>
                <w:szCs w:val="24"/>
              </w:rPr>
              <w:t>Autotransporta direkciju</w:t>
            </w:r>
            <w:r w:rsidR="00036B23" w:rsidRPr="002E3B1A">
              <w:rPr>
                <w:rFonts w:eastAsia="Times New Roman"/>
                <w:sz w:val="24"/>
                <w:szCs w:val="24"/>
              </w:rPr>
              <w:t xml:space="preserve"> un Valsts reģionālās attīstības aģentūru.</w:t>
            </w:r>
            <w:r w:rsidR="00A73F54" w:rsidRPr="002E3B1A">
              <w:rPr>
                <w:rFonts w:eastAsia="Times New Roman" w:cs="Times New Roman"/>
                <w:sz w:val="24"/>
                <w:szCs w:val="24"/>
              </w:rPr>
              <w:t xml:space="preserve"> </w:t>
            </w:r>
          </w:p>
          <w:p w:rsidR="00950E63" w:rsidRPr="00052CCE" w:rsidRDefault="00370A75" w:rsidP="00697072">
            <w:pPr>
              <w:ind w:firstLine="0"/>
              <w:jc w:val="both"/>
              <w:rPr>
                <w:rFonts w:eastAsia="Times New Roman" w:cs="Times New Roman"/>
                <w:sz w:val="24"/>
                <w:szCs w:val="24"/>
                <w:lang w:eastAsia="lv-LV"/>
              </w:rPr>
            </w:pPr>
            <w:r>
              <w:rPr>
                <w:rFonts w:eastAsia="Times New Roman" w:cs="Times New Roman"/>
                <w:sz w:val="24"/>
                <w:szCs w:val="24"/>
                <w:lang w:eastAsia="lv-LV"/>
              </w:rPr>
              <w:t>2</w:t>
            </w:r>
            <w:r w:rsidR="00950E63" w:rsidRPr="00052CCE">
              <w:rPr>
                <w:rFonts w:eastAsia="Times New Roman" w:cs="Times New Roman"/>
                <w:sz w:val="24"/>
                <w:szCs w:val="24"/>
                <w:lang w:eastAsia="lv-LV"/>
              </w:rPr>
              <w:t xml:space="preserve">. </w:t>
            </w:r>
            <w:r w:rsidR="0043424A">
              <w:rPr>
                <w:rFonts w:eastAsia="Times New Roman" w:cs="Times New Roman"/>
                <w:sz w:val="24"/>
                <w:szCs w:val="24"/>
                <w:lang w:eastAsia="lv-LV"/>
              </w:rPr>
              <w:t>svītrot</w:t>
            </w:r>
            <w:r w:rsidR="00AA4F86" w:rsidRPr="00052CCE">
              <w:rPr>
                <w:rFonts w:eastAsia="Times New Roman" w:cs="Times New Roman"/>
                <w:sz w:val="24"/>
                <w:szCs w:val="24"/>
                <w:lang w:eastAsia="lv-LV"/>
              </w:rPr>
              <w:t xml:space="preserve"> </w:t>
            </w:r>
            <w:r w:rsidR="00F0076D">
              <w:rPr>
                <w:rFonts w:eastAsia="Times New Roman" w:cs="Times New Roman"/>
                <w:sz w:val="24"/>
                <w:szCs w:val="24"/>
                <w:lang w:eastAsia="lv-LV"/>
              </w:rPr>
              <w:t>30 dienu</w:t>
            </w:r>
            <w:r w:rsidR="00F0076D" w:rsidRPr="00052CCE">
              <w:rPr>
                <w:rFonts w:eastAsia="Times New Roman" w:cs="Times New Roman"/>
                <w:sz w:val="24"/>
                <w:szCs w:val="24"/>
                <w:lang w:eastAsia="lv-LV"/>
              </w:rPr>
              <w:t xml:space="preserve"> </w:t>
            </w:r>
            <w:r w:rsidR="00AA4F86" w:rsidRPr="00052CCE">
              <w:rPr>
                <w:rFonts w:eastAsia="Times New Roman" w:cs="Times New Roman"/>
                <w:sz w:val="24"/>
                <w:szCs w:val="24"/>
                <w:lang w:eastAsia="lv-LV"/>
              </w:rPr>
              <w:t>termiņu lēmuma pieņemšanai par Eiropas Kopienas atļaujas izsniegšanu</w:t>
            </w:r>
            <w:r w:rsidR="0043424A">
              <w:rPr>
                <w:rFonts w:eastAsia="Times New Roman" w:cs="Times New Roman"/>
                <w:sz w:val="24"/>
                <w:szCs w:val="24"/>
                <w:lang w:eastAsia="lv-LV"/>
              </w:rPr>
              <w:t>. N</w:t>
            </w:r>
            <w:r w:rsidR="00A77D5E" w:rsidRPr="00052CCE">
              <w:rPr>
                <w:rFonts w:eastAsia="Times New Roman" w:cs="Times New Roman"/>
                <w:sz w:val="24"/>
                <w:szCs w:val="24"/>
                <w:lang w:eastAsia="lv-LV"/>
              </w:rPr>
              <w:t>oteikum</w:t>
            </w:r>
            <w:r w:rsidR="0047344B" w:rsidRPr="00052CCE">
              <w:rPr>
                <w:rFonts w:eastAsia="Times New Roman" w:cs="Times New Roman"/>
                <w:sz w:val="24"/>
                <w:szCs w:val="24"/>
                <w:lang w:eastAsia="lv-LV"/>
              </w:rPr>
              <w:t>u</w:t>
            </w:r>
            <w:r w:rsidR="00A77D5E" w:rsidRPr="00052CCE">
              <w:rPr>
                <w:rFonts w:eastAsia="Times New Roman" w:cs="Times New Roman"/>
                <w:sz w:val="24"/>
                <w:szCs w:val="24"/>
                <w:lang w:eastAsia="lv-LV"/>
              </w:rPr>
              <w:t xml:space="preserve"> Nr.12</w:t>
            </w:r>
            <w:r w:rsidR="00A43648" w:rsidRPr="00052CCE">
              <w:rPr>
                <w:rFonts w:eastAsia="Times New Roman" w:cs="Times New Roman"/>
                <w:sz w:val="24"/>
                <w:szCs w:val="24"/>
                <w:lang w:eastAsia="lv-LV"/>
              </w:rPr>
              <w:t>2</w:t>
            </w:r>
            <w:r w:rsidR="00A77D5E" w:rsidRPr="00052CCE">
              <w:rPr>
                <w:rFonts w:eastAsia="Times New Roman" w:cs="Times New Roman"/>
                <w:sz w:val="24"/>
                <w:szCs w:val="24"/>
                <w:lang w:eastAsia="lv-LV"/>
              </w:rPr>
              <w:t xml:space="preserve"> </w:t>
            </w:r>
            <w:r w:rsidR="0047344B" w:rsidRPr="00052CCE">
              <w:rPr>
                <w:rFonts w:eastAsia="Times New Roman" w:cs="Times New Roman"/>
                <w:sz w:val="24"/>
                <w:szCs w:val="24"/>
                <w:lang w:eastAsia="lv-LV"/>
              </w:rPr>
              <w:t xml:space="preserve">6.punkts </w:t>
            </w:r>
            <w:r w:rsidR="00A77D5E" w:rsidRPr="00052CCE">
              <w:rPr>
                <w:rFonts w:eastAsia="Times New Roman" w:cs="Times New Roman"/>
                <w:sz w:val="24"/>
                <w:szCs w:val="24"/>
                <w:lang w:eastAsia="lv-LV"/>
              </w:rPr>
              <w:t xml:space="preserve">paredz, ka lēmumu par </w:t>
            </w:r>
            <w:r w:rsidR="00A43648" w:rsidRPr="00052CCE">
              <w:rPr>
                <w:rFonts w:eastAsia="Times New Roman" w:cs="Times New Roman"/>
                <w:sz w:val="24"/>
                <w:szCs w:val="24"/>
                <w:lang w:eastAsia="lv-LV"/>
              </w:rPr>
              <w:t>Eiropas Kopienas atļaujas</w:t>
            </w:r>
            <w:r w:rsidR="00A77D5E" w:rsidRPr="00052CCE">
              <w:rPr>
                <w:rFonts w:eastAsia="Times New Roman" w:cs="Times New Roman"/>
                <w:sz w:val="24"/>
                <w:szCs w:val="24"/>
                <w:lang w:eastAsia="lv-LV"/>
              </w:rPr>
              <w:t xml:space="preserve"> izsniegšanu Autotransporta direkcija pieņem 30 dienu laikā pēc iesnieguma saņemšanas.</w:t>
            </w:r>
            <w:r w:rsidR="0047344B" w:rsidRPr="00052CCE">
              <w:rPr>
                <w:rFonts w:eastAsia="Times New Roman" w:cs="Times New Roman"/>
                <w:sz w:val="24"/>
                <w:szCs w:val="24"/>
                <w:lang w:eastAsia="lv-LV"/>
              </w:rPr>
              <w:t xml:space="preserve"> </w:t>
            </w:r>
            <w:r w:rsidR="00601E5C">
              <w:rPr>
                <w:rFonts w:eastAsia="Times New Roman" w:cs="Times New Roman"/>
                <w:sz w:val="24"/>
                <w:szCs w:val="24"/>
                <w:lang w:eastAsia="lv-LV"/>
              </w:rPr>
              <w:t>Nereti šajā termiņā nav iespējams pieņemt</w:t>
            </w:r>
            <w:r w:rsidR="00F32932">
              <w:rPr>
                <w:rFonts w:eastAsia="Times New Roman" w:cs="Times New Roman"/>
                <w:sz w:val="24"/>
                <w:szCs w:val="24"/>
                <w:lang w:eastAsia="lv-LV"/>
              </w:rPr>
              <w:t xml:space="preserve"> </w:t>
            </w:r>
            <w:r w:rsidR="00F32932">
              <w:rPr>
                <w:rFonts w:eastAsia="Times New Roman" w:cs="Times New Roman"/>
                <w:sz w:val="24"/>
                <w:szCs w:val="24"/>
                <w:lang w:eastAsia="lv-LV"/>
              </w:rPr>
              <w:lastRenderedPageBreak/>
              <w:t>lēmumu</w:t>
            </w:r>
            <w:r w:rsidR="00601E5C">
              <w:rPr>
                <w:rFonts w:eastAsia="Times New Roman" w:cs="Times New Roman"/>
                <w:sz w:val="24"/>
                <w:szCs w:val="24"/>
                <w:lang w:eastAsia="lv-LV"/>
              </w:rPr>
              <w:t xml:space="preserve">, jo vairumā gadījumu </w:t>
            </w:r>
            <w:r w:rsidR="0047344B" w:rsidRPr="00052CCE">
              <w:rPr>
                <w:rFonts w:eastAsia="Times New Roman" w:cs="Times New Roman"/>
                <w:sz w:val="24"/>
                <w:szCs w:val="24"/>
                <w:lang w:eastAsia="lv-LV"/>
              </w:rPr>
              <w:t xml:space="preserve"> pārvadātājs </w:t>
            </w:r>
            <w:r w:rsidR="00601E5C">
              <w:rPr>
                <w:rFonts w:eastAsia="Times New Roman" w:cs="Times New Roman"/>
                <w:sz w:val="24"/>
                <w:szCs w:val="24"/>
                <w:lang w:eastAsia="lv-LV"/>
              </w:rPr>
              <w:t>iesnieg</w:t>
            </w:r>
            <w:r w:rsidR="0047344B" w:rsidRPr="00052CCE">
              <w:rPr>
                <w:rFonts w:eastAsia="Times New Roman" w:cs="Times New Roman"/>
                <w:sz w:val="24"/>
                <w:szCs w:val="24"/>
                <w:lang w:eastAsia="lv-LV"/>
              </w:rPr>
              <w:t xml:space="preserve">umu Eiropas Kopienas atļaujas saņemšanai iesniedz vienlaikus ar </w:t>
            </w:r>
            <w:r w:rsidR="00601E5C">
              <w:rPr>
                <w:rFonts w:eastAsia="Times New Roman" w:cs="Times New Roman"/>
                <w:sz w:val="24"/>
                <w:szCs w:val="24"/>
                <w:lang w:eastAsia="lv-LV"/>
              </w:rPr>
              <w:t>iesnieg</w:t>
            </w:r>
            <w:r w:rsidR="00601E5C" w:rsidRPr="00052CCE">
              <w:rPr>
                <w:rFonts w:eastAsia="Times New Roman" w:cs="Times New Roman"/>
                <w:sz w:val="24"/>
                <w:szCs w:val="24"/>
                <w:lang w:eastAsia="lv-LV"/>
              </w:rPr>
              <w:t xml:space="preserve">umu </w:t>
            </w:r>
            <w:r w:rsidR="0047344B" w:rsidRPr="00052CCE">
              <w:rPr>
                <w:rFonts w:eastAsia="Times New Roman" w:cs="Times New Roman"/>
                <w:sz w:val="24"/>
                <w:szCs w:val="24"/>
                <w:lang w:eastAsia="lv-LV"/>
              </w:rPr>
              <w:t xml:space="preserve">licences saņemšanai. </w:t>
            </w:r>
            <w:r w:rsidR="00601E5C">
              <w:rPr>
                <w:rFonts w:eastAsia="Times New Roman" w:cs="Times New Roman"/>
                <w:sz w:val="24"/>
                <w:szCs w:val="24"/>
                <w:lang w:eastAsia="lv-LV"/>
              </w:rPr>
              <w:t xml:space="preserve">Šajā gadījumā ir nepieciešams </w:t>
            </w:r>
            <w:r w:rsidR="00A77D5E" w:rsidRPr="00052CCE">
              <w:rPr>
                <w:rFonts w:eastAsia="Times New Roman" w:cs="Times New Roman"/>
                <w:sz w:val="24"/>
                <w:szCs w:val="24"/>
                <w:lang w:eastAsia="lv-LV"/>
              </w:rPr>
              <w:t xml:space="preserve">izvērtēt pārvadātāja </w:t>
            </w:r>
            <w:r w:rsidR="0047344B" w:rsidRPr="00052CCE">
              <w:rPr>
                <w:rFonts w:eastAsia="Times New Roman" w:cs="Times New Roman"/>
                <w:sz w:val="24"/>
                <w:szCs w:val="24"/>
                <w:lang w:eastAsia="lv-LV"/>
              </w:rPr>
              <w:t>labo reputāciju</w:t>
            </w:r>
            <w:r w:rsidR="00601E5C">
              <w:rPr>
                <w:rFonts w:eastAsia="Times New Roman" w:cs="Times New Roman"/>
                <w:sz w:val="24"/>
                <w:szCs w:val="24"/>
                <w:lang w:eastAsia="lv-LV"/>
              </w:rPr>
              <w:t>. Tam nolūkam</w:t>
            </w:r>
            <w:r w:rsidR="00A77D5E" w:rsidRPr="00052CCE">
              <w:rPr>
                <w:rFonts w:eastAsia="Times New Roman" w:cs="Times New Roman"/>
                <w:sz w:val="24"/>
                <w:szCs w:val="24"/>
                <w:lang w:eastAsia="lv-LV"/>
              </w:rPr>
              <w:t xml:space="preserve"> tiek nosūtīts pieprasījums Iekšlietu ministrijas Informācijas centra</w:t>
            </w:r>
            <w:r w:rsidR="006D054E">
              <w:rPr>
                <w:rFonts w:eastAsia="Times New Roman" w:cs="Times New Roman"/>
                <w:sz w:val="24"/>
                <w:szCs w:val="24"/>
                <w:lang w:eastAsia="lv-LV"/>
              </w:rPr>
              <w:t>m sniegt informāciju no</w:t>
            </w:r>
            <w:r w:rsidR="00A77D5E" w:rsidRPr="00052CCE">
              <w:rPr>
                <w:rFonts w:eastAsia="Times New Roman" w:cs="Times New Roman"/>
                <w:sz w:val="24"/>
                <w:szCs w:val="24"/>
                <w:lang w:eastAsia="lv-LV"/>
              </w:rPr>
              <w:t xml:space="preserve"> Sodu reģistra. Gadījumā</w:t>
            </w:r>
            <w:r w:rsidR="00F32932">
              <w:rPr>
                <w:rFonts w:eastAsia="Times New Roman" w:cs="Times New Roman"/>
                <w:sz w:val="24"/>
                <w:szCs w:val="24"/>
                <w:lang w:eastAsia="lv-LV"/>
              </w:rPr>
              <w:t>,</w:t>
            </w:r>
            <w:r w:rsidR="00A77D5E" w:rsidRPr="00052CCE">
              <w:rPr>
                <w:rFonts w:eastAsia="Times New Roman" w:cs="Times New Roman"/>
                <w:sz w:val="24"/>
                <w:szCs w:val="24"/>
                <w:lang w:eastAsia="lv-LV"/>
              </w:rPr>
              <w:t xml:space="preserve"> ja pieprasījumā minētā persona ir bijusi sodīta ārzemēs, tad nereti atbilde tiek saņemta laika periodā, kas ilgāks par 30 dienām</w:t>
            </w:r>
            <w:r w:rsidR="006D054E">
              <w:rPr>
                <w:rFonts w:eastAsia="Times New Roman" w:cs="Times New Roman"/>
                <w:sz w:val="24"/>
                <w:szCs w:val="24"/>
                <w:lang w:eastAsia="lv-LV"/>
              </w:rPr>
              <w:t>.</w:t>
            </w:r>
            <w:r w:rsidR="00B72DF4">
              <w:rPr>
                <w:rFonts w:eastAsia="Times New Roman" w:cs="Times New Roman"/>
                <w:sz w:val="24"/>
                <w:szCs w:val="24"/>
                <w:lang w:eastAsia="lv-LV"/>
              </w:rPr>
              <w:t xml:space="preserve"> </w:t>
            </w:r>
            <w:r w:rsidR="006D054E">
              <w:rPr>
                <w:rFonts w:eastAsia="Times New Roman" w:cs="Times New Roman"/>
                <w:sz w:val="24"/>
                <w:szCs w:val="24"/>
                <w:lang w:eastAsia="lv-LV"/>
              </w:rPr>
              <w:t xml:space="preserve">Svītrojot minēto normu, </w:t>
            </w:r>
            <w:r w:rsidR="00B72DF4">
              <w:rPr>
                <w:rFonts w:eastAsia="Times New Roman" w:cs="Times New Roman"/>
                <w:sz w:val="24"/>
                <w:szCs w:val="24"/>
                <w:lang w:eastAsia="lv-LV"/>
              </w:rPr>
              <w:t xml:space="preserve">lēmuma pieņemšanas termiņu </w:t>
            </w:r>
            <w:r w:rsidR="006D054E">
              <w:rPr>
                <w:rFonts w:eastAsia="Times New Roman" w:cs="Times New Roman"/>
                <w:sz w:val="24"/>
                <w:szCs w:val="24"/>
                <w:lang w:eastAsia="lv-LV"/>
              </w:rPr>
              <w:t xml:space="preserve">turpmāk </w:t>
            </w:r>
            <w:r w:rsidR="00B72DF4">
              <w:rPr>
                <w:rFonts w:eastAsia="Times New Roman" w:cs="Times New Roman"/>
                <w:sz w:val="24"/>
                <w:szCs w:val="24"/>
                <w:lang w:eastAsia="lv-LV"/>
              </w:rPr>
              <w:t xml:space="preserve">noteiks </w:t>
            </w:r>
            <w:r w:rsidR="00B72DF4" w:rsidRPr="00052CCE">
              <w:rPr>
                <w:rFonts w:eastAsia="Times New Roman" w:cs="Times New Roman"/>
                <w:sz w:val="24"/>
                <w:szCs w:val="24"/>
                <w:lang w:eastAsia="lv-LV"/>
              </w:rPr>
              <w:t>Administratīvā procesa likums</w:t>
            </w:r>
            <w:r w:rsidR="0047344B" w:rsidRPr="00052CCE">
              <w:rPr>
                <w:rFonts w:eastAsia="Times New Roman" w:cs="Times New Roman"/>
                <w:sz w:val="24"/>
                <w:szCs w:val="24"/>
                <w:lang w:eastAsia="lv-LV"/>
              </w:rPr>
              <w:t>;</w:t>
            </w:r>
            <w:r w:rsidR="00A77D5E" w:rsidRPr="00052CCE">
              <w:rPr>
                <w:rFonts w:eastAsia="Times New Roman" w:cs="Times New Roman"/>
                <w:sz w:val="24"/>
                <w:szCs w:val="24"/>
                <w:lang w:eastAsia="lv-LV"/>
              </w:rPr>
              <w:t xml:space="preserve"> </w:t>
            </w:r>
          </w:p>
          <w:p w:rsidR="0047344B" w:rsidRPr="009710AD" w:rsidRDefault="00370A75" w:rsidP="007E17DA">
            <w:pPr>
              <w:ind w:firstLine="0"/>
              <w:jc w:val="both"/>
              <w:rPr>
                <w:sz w:val="24"/>
                <w:szCs w:val="24"/>
              </w:rPr>
            </w:pPr>
            <w:r>
              <w:rPr>
                <w:sz w:val="24"/>
                <w:szCs w:val="24"/>
              </w:rPr>
              <w:t>3</w:t>
            </w:r>
            <w:r w:rsidR="00B92DB0" w:rsidRPr="00C25E49">
              <w:rPr>
                <w:sz w:val="24"/>
                <w:szCs w:val="24"/>
              </w:rPr>
              <w:t>.</w:t>
            </w:r>
            <w:r w:rsidR="006D5662" w:rsidRPr="00C25E49">
              <w:rPr>
                <w:sz w:val="24"/>
                <w:szCs w:val="24"/>
              </w:rPr>
              <w:t xml:space="preserve"> svītrot prasību uzrādīt autovadītāja darba atļaujas kopiju</w:t>
            </w:r>
            <w:r w:rsidR="00C25E49" w:rsidRPr="00C25E49">
              <w:rPr>
                <w:sz w:val="24"/>
                <w:szCs w:val="24"/>
              </w:rPr>
              <w:t>. Pārliecināties par to, ka personai ir atļauja strādāt Latvijā, būs iespējams Iekšlietu ministrijas Pilsonības un migrācijas lietu pārvaldes uzturētajā Darba atļauju reģistrā.</w:t>
            </w:r>
            <w:r w:rsidR="00C25E49">
              <w:rPr>
                <w:sz w:val="24"/>
                <w:szCs w:val="24"/>
              </w:rPr>
              <w:t xml:space="preserve"> </w:t>
            </w:r>
            <w:r w:rsidR="007E17DA" w:rsidRPr="009710AD">
              <w:rPr>
                <w:sz w:val="24"/>
                <w:szCs w:val="24"/>
              </w:rPr>
              <w:t>Lai Autotransporta direkcija varētu saņemt ziņas no Darba atļauju reģistra, starp Autotransporta direkciju un Pilsonības un migrācijas lietu pārvaldi paredzēts noslēgt līgumu par lietotāja tiesību piešķiršanu Darba atļauju reģistrā (skatīšanās režīmā).</w:t>
            </w:r>
          </w:p>
          <w:p w:rsidR="00A43648" w:rsidRPr="00052CCE" w:rsidRDefault="00370A75" w:rsidP="00697072">
            <w:pPr>
              <w:ind w:firstLine="0"/>
              <w:jc w:val="both"/>
              <w:rPr>
                <w:sz w:val="24"/>
                <w:szCs w:val="24"/>
              </w:rPr>
            </w:pPr>
            <w:r>
              <w:rPr>
                <w:sz w:val="24"/>
                <w:szCs w:val="24"/>
              </w:rPr>
              <w:t>4</w:t>
            </w:r>
            <w:r w:rsidR="003467BF">
              <w:rPr>
                <w:sz w:val="24"/>
                <w:szCs w:val="24"/>
              </w:rPr>
              <w:t xml:space="preserve">. precizēt dokumenta nosaukumu, ar kuru tiek apliecināta profesionālā kvalifikācija. </w:t>
            </w:r>
            <w:r w:rsidR="00B64FBB" w:rsidRPr="00052CCE">
              <w:rPr>
                <w:sz w:val="24"/>
                <w:szCs w:val="24"/>
              </w:rPr>
              <w:t>Ministru kabineta 2010.gada 2.februāra noteikumi Nr.103 “Transportlīdzekļu vadītāja tiesību iegūšanas un atjaunošanas kārtība un vadītāja apliecības izsniegšanas, apmaiņas, atjaunošanas un iznīcināšanas kārtība” paredz</w:t>
            </w:r>
            <w:r w:rsidR="00C27C81" w:rsidRPr="00052CCE">
              <w:rPr>
                <w:sz w:val="24"/>
                <w:szCs w:val="24"/>
              </w:rPr>
              <w:t>, ka transportlīdzekļu vadītājiem, kuri nav ES un EEZ pilsoņi un kuriem ir Latvijā saņemta darba atļauja, kā profesionālo kvalifikāciju apliecinošs dokuments papildus viņa ārvalsts vadītāja apliecībai tiek izsniegta vadītāja kvalifikācijas karte</w:t>
            </w:r>
            <w:r w:rsidR="00B64FBB" w:rsidRPr="00052CCE">
              <w:rPr>
                <w:sz w:val="24"/>
                <w:szCs w:val="24"/>
              </w:rPr>
              <w:t>. Attiecīgi ir jāprecizē noteikumu Nr.122 17.4.apakšpunkt</w:t>
            </w:r>
            <w:r w:rsidR="003467BF">
              <w:rPr>
                <w:sz w:val="24"/>
                <w:szCs w:val="24"/>
              </w:rPr>
              <w:t>ā minētā dokumenta nosaukums</w:t>
            </w:r>
            <w:r w:rsidR="00B64FBB" w:rsidRPr="00052CCE">
              <w:rPr>
                <w:sz w:val="24"/>
                <w:szCs w:val="24"/>
              </w:rPr>
              <w:t>;</w:t>
            </w:r>
          </w:p>
          <w:p w:rsidR="00814325" w:rsidRPr="00052CCE" w:rsidRDefault="00370A75">
            <w:pPr>
              <w:ind w:firstLine="0"/>
              <w:jc w:val="both"/>
              <w:rPr>
                <w:b/>
                <w:sz w:val="24"/>
                <w:szCs w:val="24"/>
              </w:rPr>
            </w:pPr>
            <w:r>
              <w:rPr>
                <w:sz w:val="24"/>
                <w:szCs w:val="24"/>
              </w:rPr>
              <w:t>5</w:t>
            </w:r>
            <w:r w:rsidR="005733D5" w:rsidRPr="00052CCE">
              <w:rPr>
                <w:sz w:val="24"/>
                <w:szCs w:val="24"/>
              </w:rPr>
              <w:t xml:space="preserve">. </w:t>
            </w:r>
            <w:r w:rsidR="00937238" w:rsidRPr="00052CCE">
              <w:rPr>
                <w:sz w:val="24"/>
                <w:szCs w:val="24"/>
              </w:rPr>
              <w:t>konkretizē</w:t>
            </w:r>
            <w:r w:rsidR="00BE0582" w:rsidRPr="00052CCE">
              <w:rPr>
                <w:sz w:val="24"/>
                <w:szCs w:val="24"/>
              </w:rPr>
              <w:t>t</w:t>
            </w:r>
            <w:r w:rsidR="00937238" w:rsidRPr="00052CCE">
              <w:rPr>
                <w:sz w:val="24"/>
                <w:szCs w:val="24"/>
              </w:rPr>
              <w:t xml:space="preserve"> </w:t>
            </w:r>
            <w:r w:rsidR="003467BF">
              <w:rPr>
                <w:sz w:val="24"/>
                <w:szCs w:val="24"/>
              </w:rPr>
              <w:t xml:space="preserve">nosacījumus </w:t>
            </w:r>
            <w:r w:rsidR="008423EB">
              <w:rPr>
                <w:sz w:val="24"/>
                <w:szCs w:val="24"/>
              </w:rPr>
              <w:t>un termiņus</w:t>
            </w:r>
            <w:r w:rsidR="00937238" w:rsidRPr="00052CCE">
              <w:rPr>
                <w:sz w:val="24"/>
                <w:szCs w:val="24"/>
              </w:rPr>
              <w:t xml:space="preserve">, kādos </w:t>
            </w:r>
            <w:r w:rsidR="00BD0769" w:rsidRPr="00052CCE">
              <w:rPr>
                <w:sz w:val="24"/>
                <w:szCs w:val="24"/>
              </w:rPr>
              <w:t xml:space="preserve">pārvadātājam ir jāinformē kompetentā iestāde un kādos tiek </w:t>
            </w:r>
            <w:r w:rsidR="00937238" w:rsidRPr="00052CCE">
              <w:rPr>
                <w:sz w:val="24"/>
                <w:szCs w:val="24"/>
              </w:rPr>
              <w:t>anulē</w:t>
            </w:r>
            <w:r w:rsidR="00BD0769" w:rsidRPr="00052CCE">
              <w:rPr>
                <w:sz w:val="24"/>
                <w:szCs w:val="24"/>
              </w:rPr>
              <w:t>ta</w:t>
            </w:r>
            <w:r w:rsidR="00937238" w:rsidRPr="00052CCE">
              <w:rPr>
                <w:sz w:val="24"/>
                <w:szCs w:val="24"/>
              </w:rPr>
              <w:t xml:space="preserve"> </w:t>
            </w:r>
            <w:r w:rsidR="00E04D4C" w:rsidRPr="00052CCE">
              <w:rPr>
                <w:sz w:val="24"/>
                <w:szCs w:val="24"/>
              </w:rPr>
              <w:t>Eiropas Kopienas atļauj</w:t>
            </w:r>
            <w:r w:rsidR="00BD0769" w:rsidRPr="00052CCE">
              <w:rPr>
                <w:sz w:val="24"/>
                <w:szCs w:val="24"/>
              </w:rPr>
              <w:t>a</w:t>
            </w:r>
            <w:r w:rsidR="00BE0582" w:rsidRPr="00052CCE">
              <w:rPr>
                <w:sz w:val="24"/>
                <w:szCs w:val="24"/>
              </w:rPr>
              <w:t>,</w:t>
            </w:r>
            <w:r w:rsidR="00E04D4C" w:rsidRPr="00052CCE">
              <w:rPr>
                <w:sz w:val="24"/>
                <w:szCs w:val="24"/>
              </w:rPr>
              <w:t xml:space="preserve"> Eiropas Kopienas atļauj</w:t>
            </w:r>
            <w:r w:rsidR="006B5299" w:rsidRPr="00052CCE">
              <w:rPr>
                <w:sz w:val="24"/>
                <w:szCs w:val="24"/>
              </w:rPr>
              <w:t>as</w:t>
            </w:r>
            <w:r w:rsidR="00E04D4C" w:rsidRPr="00052CCE">
              <w:rPr>
                <w:sz w:val="24"/>
                <w:szCs w:val="24"/>
              </w:rPr>
              <w:t xml:space="preserve"> kopij</w:t>
            </w:r>
            <w:r w:rsidR="00BD0769" w:rsidRPr="00052CCE">
              <w:rPr>
                <w:sz w:val="24"/>
                <w:szCs w:val="24"/>
              </w:rPr>
              <w:t>a</w:t>
            </w:r>
            <w:r w:rsidR="00BE0582" w:rsidRPr="00052CCE">
              <w:rPr>
                <w:sz w:val="24"/>
                <w:szCs w:val="24"/>
              </w:rPr>
              <w:t xml:space="preserve"> un autovadītāja atestāt</w:t>
            </w:r>
            <w:r w:rsidR="00BD0769" w:rsidRPr="00052CCE">
              <w:rPr>
                <w:sz w:val="24"/>
                <w:szCs w:val="24"/>
              </w:rPr>
              <w:t>s</w:t>
            </w:r>
            <w:r w:rsidR="00937238" w:rsidRPr="00052CCE">
              <w:rPr>
                <w:sz w:val="24"/>
                <w:szCs w:val="24"/>
              </w:rPr>
              <w:t xml:space="preserve">. </w:t>
            </w:r>
          </w:p>
        </w:tc>
      </w:tr>
      <w:tr w:rsidR="003D6F09" w:rsidRPr="00052CCE" w:rsidTr="006B14E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lastRenderedPageBreak/>
              <w:t>3.</w:t>
            </w:r>
          </w:p>
        </w:tc>
        <w:tc>
          <w:tcPr>
            <w:tcW w:w="1291"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Projekta izstrādē iesaistītās institūcijas</w:t>
            </w:r>
          </w:p>
        </w:tc>
        <w:tc>
          <w:tcPr>
            <w:tcW w:w="3398" w:type="pct"/>
            <w:tcBorders>
              <w:top w:val="outset" w:sz="6" w:space="0" w:color="auto"/>
              <w:left w:val="outset" w:sz="6" w:space="0" w:color="auto"/>
              <w:bottom w:val="outset" w:sz="6" w:space="0" w:color="auto"/>
              <w:right w:val="outset" w:sz="6" w:space="0" w:color="auto"/>
            </w:tcBorders>
            <w:hideMark/>
          </w:tcPr>
          <w:p w:rsidR="003D6F09" w:rsidRPr="00052CCE" w:rsidRDefault="00E421A7" w:rsidP="00E421A7">
            <w:pPr>
              <w:ind w:firstLine="0"/>
              <w:jc w:val="both"/>
              <w:rPr>
                <w:sz w:val="24"/>
                <w:szCs w:val="24"/>
              </w:rPr>
            </w:pPr>
            <w:r>
              <w:rPr>
                <w:sz w:val="24"/>
                <w:szCs w:val="24"/>
              </w:rPr>
              <w:t xml:space="preserve">Satiksmes ministrija, </w:t>
            </w:r>
            <w:r w:rsidR="00EF2969" w:rsidRPr="00052CCE">
              <w:rPr>
                <w:sz w:val="24"/>
                <w:szCs w:val="24"/>
              </w:rPr>
              <w:t>Autotransporta direkcija</w:t>
            </w:r>
          </w:p>
        </w:tc>
      </w:tr>
      <w:tr w:rsidR="003D6F09" w:rsidRPr="00052CCE" w:rsidTr="006B14E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4.</w:t>
            </w:r>
          </w:p>
        </w:tc>
        <w:tc>
          <w:tcPr>
            <w:tcW w:w="1291"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Cita informācija</w:t>
            </w:r>
          </w:p>
        </w:tc>
        <w:tc>
          <w:tcPr>
            <w:tcW w:w="3398" w:type="pct"/>
            <w:tcBorders>
              <w:top w:val="outset" w:sz="6" w:space="0" w:color="auto"/>
              <w:left w:val="outset" w:sz="6" w:space="0" w:color="auto"/>
              <w:bottom w:val="outset" w:sz="6" w:space="0" w:color="auto"/>
              <w:right w:val="outset" w:sz="6" w:space="0" w:color="auto"/>
            </w:tcBorders>
          </w:tcPr>
          <w:p w:rsidR="003D6F09" w:rsidRPr="00052CCE" w:rsidRDefault="001B2709" w:rsidP="00697072">
            <w:pPr>
              <w:ind w:firstLine="0"/>
              <w:jc w:val="both"/>
              <w:rPr>
                <w:sz w:val="24"/>
                <w:szCs w:val="24"/>
              </w:rPr>
            </w:pPr>
            <w:r w:rsidRPr="00052CCE">
              <w:rPr>
                <w:sz w:val="24"/>
                <w:szCs w:val="24"/>
              </w:rPr>
              <w:t>Nav</w:t>
            </w:r>
          </w:p>
        </w:tc>
      </w:tr>
    </w:tbl>
    <w:p w:rsidR="006437E1" w:rsidRPr="00052CCE" w:rsidRDefault="006437E1" w:rsidP="00697072">
      <w:pPr>
        <w:ind w:firstLine="0"/>
        <w:jc w:val="both"/>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411"/>
        <w:gridCol w:w="6310"/>
      </w:tblGrid>
      <w:tr w:rsidR="003D6F09" w:rsidRPr="00052CCE" w:rsidTr="003D6F09">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052CCE" w:rsidRDefault="003D6F09" w:rsidP="00697072">
            <w:pPr>
              <w:ind w:firstLine="0"/>
              <w:jc w:val="both"/>
              <w:rPr>
                <w:b/>
                <w:bCs/>
                <w:sz w:val="24"/>
                <w:szCs w:val="24"/>
              </w:rPr>
            </w:pPr>
            <w:r w:rsidRPr="00052CCE">
              <w:rPr>
                <w:b/>
                <w:bCs/>
                <w:sz w:val="24"/>
                <w:szCs w:val="24"/>
              </w:rPr>
              <w:t>II. Tiesību akta projekta ietekme uz sabiedrību, tautsaimniecības attīstību un administratīvo slogu</w:t>
            </w:r>
          </w:p>
        </w:tc>
      </w:tr>
      <w:tr w:rsidR="00F81D26" w:rsidRPr="00052CCE" w:rsidTr="006B14E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81D26" w:rsidRPr="00052CCE" w:rsidRDefault="00F81D26" w:rsidP="00697072">
            <w:pPr>
              <w:ind w:firstLine="0"/>
              <w:jc w:val="both"/>
              <w:rPr>
                <w:sz w:val="24"/>
                <w:szCs w:val="24"/>
              </w:rPr>
            </w:pPr>
            <w:r w:rsidRPr="00052CCE">
              <w:rPr>
                <w:sz w:val="24"/>
                <w:szCs w:val="24"/>
              </w:rPr>
              <w:t>1.</w:t>
            </w:r>
          </w:p>
        </w:tc>
        <w:tc>
          <w:tcPr>
            <w:tcW w:w="1291" w:type="pct"/>
            <w:tcBorders>
              <w:top w:val="outset" w:sz="6" w:space="0" w:color="auto"/>
              <w:left w:val="outset" w:sz="6" w:space="0" w:color="auto"/>
              <w:bottom w:val="outset" w:sz="6" w:space="0" w:color="auto"/>
              <w:right w:val="outset" w:sz="6" w:space="0" w:color="auto"/>
            </w:tcBorders>
            <w:hideMark/>
          </w:tcPr>
          <w:p w:rsidR="00F81D26" w:rsidRPr="00052CCE" w:rsidRDefault="00F81D26" w:rsidP="00697072">
            <w:pPr>
              <w:ind w:firstLine="0"/>
              <w:jc w:val="both"/>
              <w:rPr>
                <w:sz w:val="24"/>
                <w:szCs w:val="24"/>
              </w:rPr>
            </w:pPr>
            <w:r w:rsidRPr="00052CCE">
              <w:rPr>
                <w:sz w:val="24"/>
                <w:szCs w:val="24"/>
              </w:rPr>
              <w:t>Sabiedrības mērķgrupas, kuras tiesiskais regulējums ietekmē vai varētu ietekmēt</w:t>
            </w:r>
          </w:p>
        </w:tc>
        <w:tc>
          <w:tcPr>
            <w:tcW w:w="3398" w:type="pct"/>
            <w:tcBorders>
              <w:top w:val="outset" w:sz="6" w:space="0" w:color="auto"/>
              <w:left w:val="outset" w:sz="6" w:space="0" w:color="auto"/>
              <w:bottom w:val="outset" w:sz="6" w:space="0" w:color="auto"/>
              <w:right w:val="outset" w:sz="6" w:space="0" w:color="auto"/>
            </w:tcBorders>
            <w:hideMark/>
          </w:tcPr>
          <w:p w:rsidR="00F8190F" w:rsidRPr="00052CCE" w:rsidRDefault="00F8190F" w:rsidP="00F8190F">
            <w:pPr>
              <w:spacing w:before="68" w:after="68"/>
              <w:ind w:firstLine="0"/>
              <w:jc w:val="both"/>
              <w:rPr>
                <w:rFonts w:eastAsia="Times New Roman"/>
                <w:sz w:val="24"/>
                <w:szCs w:val="24"/>
                <w:lang w:eastAsia="lv-LV"/>
              </w:rPr>
            </w:pPr>
            <w:r w:rsidRPr="00F8190F">
              <w:rPr>
                <w:rFonts w:eastAsia="Times New Roman"/>
                <w:sz w:val="24"/>
                <w:szCs w:val="24"/>
                <w:lang w:eastAsia="lv-LV"/>
              </w:rPr>
              <w:t>2016.gada janvāra sākum</w:t>
            </w:r>
            <w:r w:rsidR="001B572C">
              <w:rPr>
                <w:rFonts w:eastAsia="Times New Roman"/>
                <w:sz w:val="24"/>
                <w:szCs w:val="24"/>
                <w:lang w:eastAsia="lv-LV"/>
              </w:rPr>
              <w:t>ā saskaņā ar</w:t>
            </w:r>
            <w:r w:rsidRPr="00052CCE">
              <w:rPr>
                <w:rFonts w:eastAsia="Times New Roman"/>
                <w:sz w:val="24"/>
                <w:szCs w:val="24"/>
                <w:lang w:eastAsia="lv-LV"/>
              </w:rPr>
              <w:t xml:space="preserve"> Autotransporta direkcijas datiem bija </w:t>
            </w:r>
            <w:r>
              <w:rPr>
                <w:rFonts w:eastAsia="Times New Roman"/>
                <w:sz w:val="24"/>
                <w:szCs w:val="24"/>
                <w:lang w:eastAsia="lv-LV"/>
              </w:rPr>
              <w:t>4636</w:t>
            </w:r>
            <w:r w:rsidRPr="00052CCE">
              <w:rPr>
                <w:rFonts w:eastAsia="Times New Roman"/>
                <w:sz w:val="24"/>
                <w:szCs w:val="24"/>
                <w:lang w:eastAsia="lv-LV"/>
              </w:rPr>
              <w:t xml:space="preserve"> licencēti autopārvadātāji un </w:t>
            </w:r>
            <w:r>
              <w:rPr>
                <w:rFonts w:eastAsia="Times New Roman"/>
                <w:sz w:val="24"/>
                <w:szCs w:val="24"/>
                <w:lang w:eastAsia="lv-LV"/>
              </w:rPr>
              <w:t>3659</w:t>
            </w:r>
            <w:r w:rsidRPr="00052CCE">
              <w:rPr>
                <w:rFonts w:eastAsia="Times New Roman"/>
                <w:sz w:val="24"/>
                <w:szCs w:val="24"/>
                <w:lang w:eastAsia="lv-LV"/>
              </w:rPr>
              <w:t xml:space="preserve"> pārvadātāji, kas saņēmuši Eiropas Kopienas atļaujas. To rīcībā ir </w:t>
            </w:r>
            <w:r>
              <w:rPr>
                <w:rFonts w:eastAsia="Times New Roman"/>
                <w:sz w:val="24"/>
                <w:szCs w:val="24"/>
                <w:lang w:eastAsia="lv-LV"/>
              </w:rPr>
              <w:t>21927</w:t>
            </w:r>
            <w:r w:rsidRPr="00052CCE">
              <w:rPr>
                <w:rFonts w:eastAsia="Times New Roman"/>
                <w:sz w:val="24"/>
                <w:szCs w:val="24"/>
                <w:lang w:eastAsia="lv-LV"/>
              </w:rPr>
              <w:t xml:space="preserve"> autotransporta līdzekļu, kuriem izsniegtas </w:t>
            </w:r>
            <w:r>
              <w:rPr>
                <w:rFonts w:eastAsia="Times New Roman"/>
                <w:sz w:val="24"/>
                <w:szCs w:val="24"/>
                <w:lang w:eastAsia="lv-LV"/>
              </w:rPr>
              <w:t>7700</w:t>
            </w:r>
            <w:r w:rsidRPr="00052CCE">
              <w:rPr>
                <w:rFonts w:eastAsia="Times New Roman"/>
                <w:sz w:val="24"/>
                <w:szCs w:val="24"/>
                <w:lang w:eastAsia="lv-LV"/>
              </w:rPr>
              <w:t xml:space="preserve"> licences kartītes un </w:t>
            </w:r>
            <w:r>
              <w:rPr>
                <w:rFonts w:eastAsia="Times New Roman"/>
                <w:sz w:val="24"/>
                <w:szCs w:val="24"/>
                <w:lang w:eastAsia="lv-LV"/>
              </w:rPr>
              <w:t>14227</w:t>
            </w:r>
            <w:r w:rsidRPr="00052CCE">
              <w:rPr>
                <w:rFonts w:eastAsia="Times New Roman"/>
                <w:sz w:val="24"/>
                <w:szCs w:val="24"/>
                <w:lang w:eastAsia="lv-LV"/>
              </w:rPr>
              <w:t xml:space="preserve"> Eiropas Kopienas atļaujas kopijas. Vidēji gadā tiek izsniegtas </w:t>
            </w:r>
            <w:r>
              <w:rPr>
                <w:rFonts w:eastAsia="Times New Roman"/>
                <w:sz w:val="24"/>
                <w:szCs w:val="24"/>
                <w:lang w:eastAsia="lv-LV"/>
              </w:rPr>
              <w:t>vairāk nekā 900</w:t>
            </w:r>
            <w:r w:rsidRPr="00052CCE">
              <w:rPr>
                <w:rFonts w:eastAsia="Times New Roman"/>
                <w:sz w:val="24"/>
                <w:szCs w:val="24"/>
                <w:lang w:eastAsia="lv-LV"/>
              </w:rPr>
              <w:t xml:space="preserve"> Eiropas Kopienas atļaujas un </w:t>
            </w:r>
            <w:r>
              <w:rPr>
                <w:rFonts w:eastAsia="Times New Roman"/>
                <w:sz w:val="24"/>
                <w:szCs w:val="24"/>
                <w:lang w:eastAsia="lv-LV"/>
              </w:rPr>
              <w:t>18000</w:t>
            </w:r>
            <w:r w:rsidRPr="00052CCE">
              <w:rPr>
                <w:rFonts w:eastAsia="Times New Roman"/>
                <w:sz w:val="24"/>
                <w:szCs w:val="24"/>
                <w:lang w:eastAsia="lv-LV"/>
              </w:rPr>
              <w:t xml:space="preserve"> Eiropas Kopienas atļaujas kopijas.</w:t>
            </w:r>
          </w:p>
          <w:p w:rsidR="004A59B7" w:rsidRPr="00052CCE" w:rsidRDefault="00F8190F">
            <w:pPr>
              <w:spacing w:before="68" w:after="68"/>
              <w:ind w:firstLine="0"/>
              <w:jc w:val="both"/>
              <w:rPr>
                <w:rFonts w:eastAsia="Times New Roman"/>
                <w:color w:val="FF0000"/>
                <w:sz w:val="24"/>
                <w:szCs w:val="24"/>
                <w:lang w:eastAsia="lv-LV"/>
              </w:rPr>
            </w:pPr>
            <w:r w:rsidRPr="00C90224">
              <w:rPr>
                <w:rFonts w:eastAsia="Times New Roman"/>
                <w:sz w:val="24"/>
                <w:szCs w:val="24"/>
                <w:lang w:eastAsia="lv-LV"/>
              </w:rPr>
              <w:lastRenderedPageBreak/>
              <w:t>2016.gada janvāra sākum</w:t>
            </w:r>
            <w:r w:rsidR="001B572C">
              <w:rPr>
                <w:rFonts w:eastAsia="Times New Roman"/>
                <w:sz w:val="24"/>
                <w:szCs w:val="24"/>
                <w:lang w:eastAsia="lv-LV"/>
              </w:rPr>
              <w:t>ā</w:t>
            </w:r>
            <w:r w:rsidRPr="00C90224">
              <w:rPr>
                <w:rFonts w:eastAsia="Times New Roman"/>
                <w:sz w:val="24"/>
                <w:szCs w:val="24"/>
                <w:lang w:eastAsia="lv-LV"/>
              </w:rPr>
              <w:t xml:space="preserve"> </w:t>
            </w:r>
            <w:r>
              <w:rPr>
                <w:rFonts w:eastAsia="Times New Roman"/>
                <w:sz w:val="24"/>
                <w:szCs w:val="24"/>
                <w:lang w:eastAsia="lv-LV"/>
              </w:rPr>
              <w:t xml:space="preserve">ir </w:t>
            </w:r>
            <w:r w:rsidR="00E5669E">
              <w:rPr>
                <w:rFonts w:eastAsia="Times New Roman"/>
                <w:sz w:val="24"/>
                <w:szCs w:val="24"/>
                <w:lang w:eastAsia="lv-LV"/>
              </w:rPr>
              <w:t xml:space="preserve">spēkā </w:t>
            </w:r>
            <w:r>
              <w:rPr>
                <w:rFonts w:eastAsia="Times New Roman"/>
                <w:sz w:val="24"/>
                <w:szCs w:val="24"/>
                <w:lang w:eastAsia="lv-LV"/>
              </w:rPr>
              <w:t>1762</w:t>
            </w:r>
            <w:r w:rsidRPr="00052CCE">
              <w:rPr>
                <w:rFonts w:eastAsia="Times New Roman"/>
                <w:sz w:val="24"/>
                <w:szCs w:val="24"/>
                <w:lang w:eastAsia="lv-LV"/>
              </w:rPr>
              <w:t xml:space="preserve"> autovadītāju atestāti starptautiskajiem autopārvadājumiem ar autotransportu. Katru gadu izsniedz </w:t>
            </w:r>
            <w:r>
              <w:rPr>
                <w:rFonts w:eastAsia="Times New Roman"/>
                <w:sz w:val="24"/>
                <w:szCs w:val="24"/>
                <w:lang w:eastAsia="lv-LV"/>
              </w:rPr>
              <w:t>vairāk nekā 2000</w:t>
            </w:r>
            <w:r w:rsidRPr="00052CCE">
              <w:rPr>
                <w:rFonts w:eastAsia="Times New Roman"/>
                <w:sz w:val="24"/>
                <w:szCs w:val="24"/>
                <w:lang w:eastAsia="lv-LV"/>
              </w:rPr>
              <w:t xml:space="preserve"> autovadītāju atestātus.</w:t>
            </w:r>
          </w:p>
        </w:tc>
      </w:tr>
      <w:tr w:rsidR="003D6F09" w:rsidRPr="00052CCE" w:rsidTr="006B14EF">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lastRenderedPageBreak/>
              <w:t>2.</w:t>
            </w:r>
          </w:p>
        </w:tc>
        <w:tc>
          <w:tcPr>
            <w:tcW w:w="1291"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Tiesiskā regulējuma ietekme uz tautsaimniecību un administratīvo slogu</w:t>
            </w:r>
          </w:p>
        </w:tc>
        <w:tc>
          <w:tcPr>
            <w:tcW w:w="3398" w:type="pct"/>
            <w:tcBorders>
              <w:top w:val="outset" w:sz="6" w:space="0" w:color="auto"/>
              <w:left w:val="outset" w:sz="6" w:space="0" w:color="auto"/>
              <w:bottom w:val="outset" w:sz="6" w:space="0" w:color="auto"/>
              <w:right w:val="outset" w:sz="6" w:space="0" w:color="auto"/>
            </w:tcBorders>
            <w:hideMark/>
          </w:tcPr>
          <w:p w:rsidR="00E2450B" w:rsidRDefault="00E2450B" w:rsidP="00697072">
            <w:pPr>
              <w:ind w:firstLine="0"/>
              <w:jc w:val="both"/>
              <w:rPr>
                <w:rFonts w:cs="Times New Roman"/>
                <w:sz w:val="24"/>
                <w:szCs w:val="24"/>
                <w:lang w:eastAsia="lv-LV"/>
              </w:rPr>
            </w:pPr>
            <w:r w:rsidRPr="00052CCE">
              <w:rPr>
                <w:rFonts w:cs="Times New Roman"/>
                <w:sz w:val="24"/>
                <w:szCs w:val="24"/>
                <w:lang w:eastAsia="lv-LV"/>
              </w:rPr>
              <w:t xml:space="preserve">Tiks nodrošināta iespēja pakalpojumu saņemšanai pieteikties elektroniski, izmantojot e-pakalpojumu </w:t>
            </w:r>
            <w:r w:rsidRPr="00052CCE">
              <w:rPr>
                <w:rFonts w:eastAsia="Times New Roman" w:cs="Times New Roman"/>
                <w:sz w:val="24"/>
                <w:szCs w:val="24"/>
                <w:lang w:eastAsia="lv-LV"/>
              </w:rPr>
              <w:t xml:space="preserve">Autotransporta direkcijas </w:t>
            </w:r>
            <w:r w:rsidR="00FB6506">
              <w:rPr>
                <w:rFonts w:eastAsia="Times New Roman" w:cs="Times New Roman"/>
                <w:sz w:val="24"/>
                <w:szCs w:val="24"/>
                <w:lang w:eastAsia="lv-LV"/>
              </w:rPr>
              <w:t>tīmekļa vietnē</w:t>
            </w:r>
            <w:r w:rsidRPr="00052CCE">
              <w:rPr>
                <w:rFonts w:cs="Times New Roman"/>
                <w:sz w:val="24"/>
                <w:szCs w:val="24"/>
                <w:lang w:eastAsia="lv-LV"/>
              </w:rPr>
              <w:t xml:space="preserve">, tādējādi samazinot administratīvo slogu pārvadātājiem </w:t>
            </w:r>
            <w:r>
              <w:rPr>
                <w:rFonts w:cs="Times New Roman"/>
                <w:sz w:val="24"/>
                <w:szCs w:val="24"/>
                <w:lang w:eastAsia="lv-LV"/>
              </w:rPr>
              <w:t xml:space="preserve">un </w:t>
            </w:r>
            <w:r w:rsidRPr="00052CCE">
              <w:rPr>
                <w:rFonts w:cs="Times New Roman"/>
                <w:sz w:val="24"/>
                <w:szCs w:val="24"/>
                <w:lang w:eastAsia="lv-LV"/>
              </w:rPr>
              <w:t xml:space="preserve">uzlabojot </w:t>
            </w:r>
            <w:r w:rsidRPr="00052CCE">
              <w:rPr>
                <w:rFonts w:eastAsia="Times New Roman" w:cs="Times New Roman"/>
                <w:sz w:val="24"/>
                <w:szCs w:val="24"/>
                <w:lang w:eastAsia="lv-LV"/>
              </w:rPr>
              <w:t>Autotransporta d</w:t>
            </w:r>
            <w:r w:rsidRPr="00052CCE">
              <w:rPr>
                <w:rFonts w:cs="Times New Roman"/>
                <w:sz w:val="24"/>
                <w:szCs w:val="24"/>
                <w:lang w:eastAsia="lv-LV"/>
              </w:rPr>
              <w:t>irekcijas darba efektivitāti.</w:t>
            </w:r>
          </w:p>
          <w:p w:rsidR="00F06820" w:rsidRPr="00052CCE" w:rsidRDefault="002349E6" w:rsidP="002E3B1A">
            <w:pPr>
              <w:ind w:firstLine="0"/>
              <w:jc w:val="both"/>
              <w:rPr>
                <w:sz w:val="24"/>
                <w:szCs w:val="24"/>
              </w:rPr>
            </w:pPr>
            <w:r w:rsidRPr="000F3717">
              <w:rPr>
                <w:sz w:val="24"/>
                <w:szCs w:val="24"/>
              </w:rPr>
              <w:t xml:space="preserve">Projekta </w:t>
            </w:r>
            <w:r w:rsidR="002E3B1A">
              <w:rPr>
                <w:sz w:val="24"/>
                <w:szCs w:val="24"/>
              </w:rPr>
              <w:t>10</w:t>
            </w:r>
            <w:r w:rsidR="00E2450B" w:rsidRPr="000F3717">
              <w:rPr>
                <w:sz w:val="24"/>
                <w:szCs w:val="24"/>
              </w:rPr>
              <w:t xml:space="preserve">.punkts </w:t>
            </w:r>
            <w:r w:rsidR="001B572C">
              <w:rPr>
                <w:sz w:val="24"/>
                <w:szCs w:val="24"/>
              </w:rPr>
              <w:t>nosaka</w:t>
            </w:r>
            <w:r w:rsidR="001B572C" w:rsidRPr="000F3717">
              <w:rPr>
                <w:sz w:val="24"/>
                <w:szCs w:val="24"/>
              </w:rPr>
              <w:t xml:space="preserve"> </w:t>
            </w:r>
            <w:r w:rsidR="00E2450B" w:rsidRPr="000F3717">
              <w:rPr>
                <w:sz w:val="24"/>
                <w:szCs w:val="24"/>
              </w:rPr>
              <w:t xml:space="preserve">pienākumu pārvadātājam informēt kompetento iestādi tādos gadījumos, kas var iestāties, bet var arī neiestāties, t.i., ja </w:t>
            </w:r>
            <w:r w:rsidR="00B20108" w:rsidRPr="000F3717">
              <w:rPr>
                <w:sz w:val="24"/>
                <w:szCs w:val="24"/>
              </w:rPr>
              <w:t xml:space="preserve">pārvadātājs </w:t>
            </w:r>
            <w:r w:rsidR="00E2450B" w:rsidRPr="000F3717">
              <w:rPr>
                <w:sz w:val="24"/>
                <w:szCs w:val="24"/>
              </w:rPr>
              <w:t>ir pārtraucis komercdarbību</w:t>
            </w:r>
            <w:r w:rsidR="002C0C75">
              <w:rPr>
                <w:sz w:val="24"/>
                <w:szCs w:val="24"/>
              </w:rPr>
              <w:t>,</w:t>
            </w:r>
            <w:r w:rsidR="00E2450B" w:rsidRPr="000F3717">
              <w:rPr>
                <w:sz w:val="24"/>
                <w:szCs w:val="24"/>
              </w:rPr>
              <w:t xml:space="preserve"> ja autotransporta līdzeklis vairs netiek izmantots komercpārvadājumu veikšanai, vai arī ja transportlīdzekļa vadītājs, kuram izsniegts transportlīdzekļa vadītāja atestāts, vairs netiek nodarbināts atbilstoši </w:t>
            </w:r>
            <w:r w:rsidR="004E0454" w:rsidRPr="009F0EEC">
              <w:rPr>
                <w:rStyle w:val="Strong"/>
                <w:rFonts w:cs="Times New Roman"/>
                <w:b w:val="0"/>
                <w:color w:val="444444"/>
                <w:sz w:val="24"/>
                <w:szCs w:val="24"/>
              </w:rPr>
              <w:t xml:space="preserve">Eiropas Parlamenta un Padomes </w:t>
            </w:r>
            <w:r w:rsidR="004E0454" w:rsidRPr="00B62181">
              <w:rPr>
                <w:rStyle w:val="Strong"/>
                <w:rFonts w:cs="Times New Roman"/>
                <w:b w:val="0"/>
                <w:color w:val="444444"/>
                <w:sz w:val="24"/>
                <w:szCs w:val="24"/>
              </w:rPr>
              <w:t>2009. gada 21. oktobr</w:t>
            </w:r>
            <w:r w:rsidR="004E0454">
              <w:rPr>
                <w:rStyle w:val="Strong"/>
                <w:rFonts w:cs="Times New Roman"/>
                <w:b w:val="0"/>
                <w:color w:val="444444"/>
                <w:sz w:val="24"/>
                <w:szCs w:val="24"/>
              </w:rPr>
              <w:t>a</w:t>
            </w:r>
            <w:r w:rsidR="004E0454" w:rsidRPr="004E0454">
              <w:rPr>
                <w:rStyle w:val="Strong"/>
                <w:rFonts w:cs="Times New Roman"/>
                <w:b w:val="0"/>
                <w:color w:val="444444"/>
                <w:sz w:val="24"/>
                <w:szCs w:val="24"/>
              </w:rPr>
              <w:t xml:space="preserve"> </w:t>
            </w:r>
            <w:r w:rsidR="004E0454" w:rsidRPr="009F0EEC">
              <w:rPr>
                <w:rStyle w:val="Strong"/>
                <w:rFonts w:cs="Times New Roman"/>
                <w:b w:val="0"/>
                <w:color w:val="444444"/>
                <w:sz w:val="24"/>
                <w:szCs w:val="24"/>
              </w:rPr>
              <w:t>Regula</w:t>
            </w:r>
            <w:r w:rsidR="004E0454">
              <w:rPr>
                <w:rStyle w:val="Strong"/>
                <w:rFonts w:cs="Times New Roman"/>
                <w:b w:val="0"/>
                <w:color w:val="444444"/>
                <w:sz w:val="24"/>
                <w:szCs w:val="24"/>
              </w:rPr>
              <w:t>s</w:t>
            </w:r>
            <w:r w:rsidR="004E0454" w:rsidRPr="009F0EEC">
              <w:rPr>
                <w:rStyle w:val="Strong"/>
                <w:rFonts w:cs="Times New Roman"/>
                <w:b w:val="0"/>
                <w:color w:val="444444"/>
                <w:sz w:val="24"/>
                <w:szCs w:val="24"/>
              </w:rPr>
              <w:t xml:space="preserve"> (EK) Nr. 1072/2009</w:t>
            </w:r>
            <w:proofErr w:type="gramStart"/>
            <w:r w:rsidR="004E0454" w:rsidRPr="009F0EEC">
              <w:rPr>
                <w:rStyle w:val="Strong"/>
                <w:rFonts w:cs="Times New Roman"/>
                <w:b w:val="0"/>
                <w:color w:val="444444"/>
                <w:sz w:val="24"/>
                <w:szCs w:val="24"/>
              </w:rPr>
              <w:t xml:space="preserve">  </w:t>
            </w:r>
            <w:proofErr w:type="gramEnd"/>
            <w:r w:rsidR="004E0454" w:rsidRPr="009F0EEC">
              <w:rPr>
                <w:rStyle w:val="Strong"/>
                <w:rFonts w:cs="Times New Roman"/>
                <w:b w:val="0"/>
                <w:color w:val="444444"/>
                <w:sz w:val="24"/>
                <w:szCs w:val="24"/>
              </w:rPr>
              <w:t>par kopīgiem noteikumiem attiecībā uz piekļuvi starptautisko kravas autopārvadājumu tirgum</w:t>
            </w:r>
            <w:r w:rsidR="004E0454" w:rsidRPr="000F3717">
              <w:rPr>
                <w:sz w:val="24"/>
                <w:szCs w:val="24"/>
              </w:rPr>
              <w:t xml:space="preserve"> </w:t>
            </w:r>
            <w:r w:rsidR="00E2450B" w:rsidRPr="000F3717">
              <w:rPr>
                <w:sz w:val="24"/>
                <w:szCs w:val="24"/>
              </w:rPr>
              <w:t xml:space="preserve">5. panta 1. punktā minētajiem nosacījumiem. </w:t>
            </w:r>
            <w:r w:rsidR="0030172D" w:rsidRPr="000F3717">
              <w:rPr>
                <w:sz w:val="24"/>
                <w:szCs w:val="24"/>
              </w:rPr>
              <w:t>Pēc šāda iesnieguma saņemšanas kompetentā iestāde attiecīgo dokumentu (Eiropas Kopienas atļauju, Eiropas Kopienas atļaujas kopiju vai autovadītāja atestātu) anulē.</w:t>
            </w:r>
          </w:p>
        </w:tc>
      </w:tr>
      <w:tr w:rsidR="003D6F09" w:rsidRPr="00052CCE" w:rsidTr="006B14EF">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3.</w:t>
            </w:r>
          </w:p>
        </w:tc>
        <w:tc>
          <w:tcPr>
            <w:tcW w:w="1291"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Administratīvo izmaksu monetārs novērtējums</w:t>
            </w:r>
          </w:p>
        </w:tc>
        <w:tc>
          <w:tcPr>
            <w:tcW w:w="3398" w:type="pct"/>
            <w:tcBorders>
              <w:top w:val="outset" w:sz="6" w:space="0" w:color="auto"/>
              <w:left w:val="outset" w:sz="6" w:space="0" w:color="auto"/>
              <w:bottom w:val="outset" w:sz="6" w:space="0" w:color="auto"/>
              <w:right w:val="outset" w:sz="6" w:space="0" w:color="auto"/>
            </w:tcBorders>
            <w:hideMark/>
          </w:tcPr>
          <w:p w:rsidR="002C2042" w:rsidRPr="00052CCE" w:rsidRDefault="002C2042" w:rsidP="0074450B">
            <w:pPr>
              <w:ind w:firstLine="0"/>
              <w:jc w:val="both"/>
              <w:rPr>
                <w:rFonts w:eastAsia="Times New Roman"/>
                <w:sz w:val="24"/>
                <w:szCs w:val="24"/>
                <w:lang w:eastAsia="lv-LV"/>
              </w:rPr>
            </w:pPr>
            <w:r w:rsidRPr="00052CCE">
              <w:rPr>
                <w:rFonts w:eastAsia="Times New Roman"/>
                <w:sz w:val="24"/>
                <w:szCs w:val="24"/>
                <w:lang w:eastAsia="lv-LV"/>
              </w:rPr>
              <w:t>Administratīv</w:t>
            </w:r>
            <w:r w:rsidR="00696A72" w:rsidRPr="00052CCE">
              <w:rPr>
                <w:rFonts w:eastAsia="Times New Roman"/>
                <w:sz w:val="24"/>
                <w:szCs w:val="24"/>
                <w:lang w:eastAsia="lv-LV"/>
              </w:rPr>
              <w:t>o</w:t>
            </w:r>
            <w:r w:rsidRPr="00052CCE">
              <w:rPr>
                <w:rFonts w:eastAsia="Times New Roman"/>
                <w:sz w:val="24"/>
                <w:szCs w:val="24"/>
                <w:lang w:eastAsia="lv-LV"/>
              </w:rPr>
              <w:t xml:space="preserve"> izmaksu </w:t>
            </w:r>
            <w:r w:rsidR="002971B4">
              <w:rPr>
                <w:rFonts w:eastAsia="Times New Roman"/>
                <w:sz w:val="24"/>
                <w:szCs w:val="24"/>
                <w:lang w:eastAsia="lv-LV"/>
              </w:rPr>
              <w:t>izmaiņas</w:t>
            </w:r>
            <w:r w:rsidRPr="00052CCE">
              <w:rPr>
                <w:rFonts w:eastAsia="Times New Roman"/>
                <w:sz w:val="24"/>
                <w:szCs w:val="24"/>
                <w:lang w:eastAsia="lv-LV"/>
              </w:rPr>
              <w:t xml:space="preserve"> gada laikā autopārvadātājiem nepārsniedz 2000 </w:t>
            </w:r>
            <w:proofErr w:type="spellStart"/>
            <w:r w:rsidRPr="00052CCE">
              <w:rPr>
                <w:rFonts w:eastAsia="Times New Roman"/>
                <w:i/>
                <w:sz w:val="24"/>
                <w:szCs w:val="24"/>
                <w:lang w:eastAsia="lv-LV"/>
              </w:rPr>
              <w:t>euro</w:t>
            </w:r>
            <w:proofErr w:type="spellEnd"/>
            <w:r w:rsidRPr="00052CCE">
              <w:rPr>
                <w:rFonts w:eastAsia="Times New Roman"/>
                <w:sz w:val="24"/>
                <w:szCs w:val="24"/>
                <w:lang w:eastAsia="lv-LV"/>
              </w:rPr>
              <w:t xml:space="preserve">. </w:t>
            </w:r>
          </w:p>
          <w:p w:rsidR="003D6F09" w:rsidRPr="00052CCE" w:rsidRDefault="002C2042" w:rsidP="0074450B">
            <w:pPr>
              <w:ind w:firstLine="0"/>
              <w:jc w:val="both"/>
              <w:rPr>
                <w:sz w:val="24"/>
                <w:szCs w:val="24"/>
              </w:rPr>
            </w:pPr>
            <w:r w:rsidRPr="00052CCE">
              <w:rPr>
                <w:rFonts w:eastAsia="Times New Roman"/>
                <w:sz w:val="24"/>
                <w:szCs w:val="24"/>
                <w:lang w:eastAsia="lv-LV"/>
              </w:rPr>
              <w:t>Tiesiskais regulējums Autotransporta direkcijai nerada papildus izmaksas saistībā ar informācijas pieņemšanas, apstrādes vai uzglabāšanas pienākumiem.</w:t>
            </w:r>
          </w:p>
        </w:tc>
      </w:tr>
      <w:tr w:rsidR="003D6F09" w:rsidRPr="00052CCE" w:rsidTr="006B14EF">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4.</w:t>
            </w:r>
          </w:p>
        </w:tc>
        <w:tc>
          <w:tcPr>
            <w:tcW w:w="1291"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Cita informācija</w:t>
            </w:r>
          </w:p>
        </w:tc>
        <w:tc>
          <w:tcPr>
            <w:tcW w:w="3398" w:type="pct"/>
            <w:tcBorders>
              <w:top w:val="outset" w:sz="6" w:space="0" w:color="auto"/>
              <w:left w:val="outset" w:sz="6" w:space="0" w:color="auto"/>
              <w:bottom w:val="outset" w:sz="6" w:space="0" w:color="auto"/>
              <w:right w:val="outset" w:sz="6" w:space="0" w:color="auto"/>
            </w:tcBorders>
            <w:hideMark/>
          </w:tcPr>
          <w:p w:rsidR="003D6F09" w:rsidRPr="00052CCE" w:rsidRDefault="0009515D" w:rsidP="00697072">
            <w:pPr>
              <w:ind w:firstLine="0"/>
              <w:jc w:val="both"/>
              <w:rPr>
                <w:sz w:val="24"/>
                <w:szCs w:val="24"/>
              </w:rPr>
            </w:pPr>
            <w:r w:rsidRPr="00052CCE">
              <w:rPr>
                <w:sz w:val="24"/>
                <w:szCs w:val="24"/>
              </w:rPr>
              <w:t>Nav</w:t>
            </w:r>
          </w:p>
        </w:tc>
      </w:tr>
    </w:tbl>
    <w:p w:rsidR="006437E1" w:rsidRPr="00052CCE" w:rsidRDefault="006437E1" w:rsidP="00697FE5">
      <w:pPr>
        <w:ind w:firstLine="0"/>
        <w:jc w:val="both"/>
        <w:rPr>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409"/>
        <w:gridCol w:w="6312"/>
      </w:tblGrid>
      <w:tr w:rsidR="003D6F09" w:rsidRPr="00052CCE" w:rsidTr="003D6F09">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052CCE" w:rsidRDefault="003D6F09" w:rsidP="009F0EEC">
            <w:pPr>
              <w:ind w:firstLine="0"/>
              <w:jc w:val="center"/>
              <w:rPr>
                <w:b/>
                <w:bCs/>
                <w:sz w:val="24"/>
                <w:szCs w:val="24"/>
              </w:rPr>
            </w:pPr>
            <w:r w:rsidRPr="00052CCE">
              <w:rPr>
                <w:b/>
                <w:bCs/>
                <w:sz w:val="24"/>
                <w:szCs w:val="24"/>
              </w:rPr>
              <w:t>VI. Sabiedrības līdzdalība un komunikācijas aktivitātes</w:t>
            </w:r>
          </w:p>
        </w:tc>
      </w:tr>
      <w:tr w:rsidR="003D6F09" w:rsidRPr="00052CCE" w:rsidTr="006437E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1.</w:t>
            </w:r>
          </w:p>
        </w:tc>
        <w:tc>
          <w:tcPr>
            <w:tcW w:w="1290"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Plānotās sabiedrības līdzdalības un komunikācijas aktivitātes saistībā ar projektu</w:t>
            </w:r>
          </w:p>
        </w:tc>
        <w:tc>
          <w:tcPr>
            <w:tcW w:w="3398" w:type="pct"/>
            <w:tcBorders>
              <w:top w:val="outset" w:sz="6" w:space="0" w:color="auto"/>
              <w:left w:val="outset" w:sz="6" w:space="0" w:color="auto"/>
              <w:bottom w:val="outset" w:sz="6" w:space="0" w:color="auto"/>
              <w:right w:val="outset" w:sz="6" w:space="0" w:color="auto"/>
            </w:tcBorders>
            <w:hideMark/>
          </w:tcPr>
          <w:p w:rsidR="00656C09" w:rsidRDefault="00DB7280" w:rsidP="00DB7280">
            <w:pPr>
              <w:ind w:firstLine="0"/>
              <w:jc w:val="both"/>
              <w:rPr>
                <w:sz w:val="24"/>
                <w:szCs w:val="24"/>
              </w:rPr>
            </w:pPr>
            <w:r w:rsidRPr="00CB7046">
              <w:rPr>
                <w:rFonts w:cs="Times New Roman"/>
                <w:bCs/>
                <w:sz w:val="24"/>
                <w:szCs w:val="24"/>
              </w:rPr>
              <w:t xml:space="preserve">Paziņojums par līdzdalības iespējām tiesību akta izstrādes procesā ievietots Satiksmes ministrijas </w:t>
            </w:r>
            <w:r>
              <w:rPr>
                <w:rFonts w:cs="Times New Roman"/>
                <w:bCs/>
                <w:sz w:val="24"/>
                <w:szCs w:val="24"/>
              </w:rPr>
              <w:t>tīmekļa vietnē</w:t>
            </w:r>
            <w:r w:rsidRPr="00CB7046">
              <w:rPr>
                <w:rFonts w:cs="Times New Roman"/>
                <w:bCs/>
                <w:sz w:val="24"/>
                <w:szCs w:val="24"/>
              </w:rPr>
              <w:t xml:space="preserve"> </w:t>
            </w:r>
            <w:r>
              <w:rPr>
                <w:sz w:val="24"/>
                <w:szCs w:val="24"/>
              </w:rPr>
              <w:t>2016.gada 9.februārī.</w:t>
            </w:r>
            <w:r w:rsidR="00656C09">
              <w:rPr>
                <w:sz w:val="24"/>
                <w:szCs w:val="24"/>
              </w:rPr>
              <w:t xml:space="preserve"> </w:t>
            </w:r>
          </w:p>
          <w:p w:rsidR="003D6F09" w:rsidRPr="00052CCE" w:rsidRDefault="00656C09" w:rsidP="009F0EEC">
            <w:pPr>
              <w:ind w:firstLine="0"/>
              <w:jc w:val="both"/>
              <w:rPr>
                <w:sz w:val="24"/>
                <w:szCs w:val="24"/>
              </w:rPr>
            </w:pPr>
            <w:r>
              <w:rPr>
                <w:sz w:val="24"/>
                <w:szCs w:val="24"/>
              </w:rPr>
              <w:t xml:space="preserve">Noteikumu projekts tika nosūtīts biedrībai </w:t>
            </w:r>
            <w:r w:rsidRPr="00052CCE">
              <w:rPr>
                <w:sz w:val="24"/>
                <w:szCs w:val="24"/>
              </w:rPr>
              <w:t>„</w:t>
            </w:r>
            <w:r>
              <w:rPr>
                <w:sz w:val="24"/>
                <w:szCs w:val="24"/>
              </w:rPr>
              <w:t xml:space="preserve">Autopārvadātāju Asociācija </w:t>
            </w:r>
            <w:r w:rsidRPr="00052CCE">
              <w:rPr>
                <w:sz w:val="24"/>
                <w:szCs w:val="24"/>
              </w:rPr>
              <w:t>„</w:t>
            </w:r>
            <w:r>
              <w:rPr>
                <w:sz w:val="24"/>
                <w:szCs w:val="24"/>
              </w:rPr>
              <w:t>Latvijas auto”</w:t>
            </w:r>
            <w:r w:rsidR="009F0EEC">
              <w:rPr>
                <w:sz w:val="24"/>
                <w:szCs w:val="24"/>
              </w:rPr>
              <w:t>”</w:t>
            </w:r>
            <w:r>
              <w:rPr>
                <w:sz w:val="24"/>
                <w:szCs w:val="24"/>
              </w:rPr>
              <w:t xml:space="preserve"> un biedrībai </w:t>
            </w:r>
            <w:r w:rsidRPr="00052CCE">
              <w:rPr>
                <w:sz w:val="24"/>
                <w:szCs w:val="24"/>
              </w:rPr>
              <w:t>„</w:t>
            </w:r>
            <w:r>
              <w:rPr>
                <w:sz w:val="24"/>
                <w:szCs w:val="24"/>
              </w:rPr>
              <w:t>Latvijas Pasažieru pārvadātāju asociācija”</w:t>
            </w:r>
            <w:r w:rsidR="009F0EEC">
              <w:rPr>
                <w:sz w:val="24"/>
                <w:szCs w:val="24"/>
              </w:rPr>
              <w:t xml:space="preserve"> saskaņošanai.</w:t>
            </w:r>
          </w:p>
        </w:tc>
      </w:tr>
      <w:tr w:rsidR="003D6F09" w:rsidRPr="00052CCE" w:rsidTr="006437E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2.</w:t>
            </w:r>
          </w:p>
        </w:tc>
        <w:tc>
          <w:tcPr>
            <w:tcW w:w="1290"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Sabiedrības līdzdalība projekta izstrādē</w:t>
            </w:r>
          </w:p>
        </w:tc>
        <w:tc>
          <w:tcPr>
            <w:tcW w:w="3398" w:type="pct"/>
            <w:tcBorders>
              <w:top w:val="outset" w:sz="6" w:space="0" w:color="auto"/>
              <w:left w:val="outset" w:sz="6" w:space="0" w:color="auto"/>
              <w:bottom w:val="outset" w:sz="6" w:space="0" w:color="auto"/>
              <w:right w:val="outset" w:sz="6" w:space="0" w:color="auto"/>
            </w:tcBorders>
            <w:hideMark/>
          </w:tcPr>
          <w:p w:rsidR="00DB7280" w:rsidRPr="00052CCE" w:rsidRDefault="0091747F">
            <w:pPr>
              <w:ind w:firstLine="0"/>
              <w:jc w:val="both"/>
              <w:rPr>
                <w:sz w:val="24"/>
                <w:szCs w:val="24"/>
              </w:rPr>
            </w:pPr>
            <w:r w:rsidRPr="00052CCE">
              <w:rPr>
                <w:sz w:val="24"/>
                <w:szCs w:val="24"/>
              </w:rPr>
              <w:t>Atbilstoši Ministru kabineta 2009.gada 25.augusta noteikumu Nr.970 „Sabiedrības līdzdalības kārtība attīstības plānošanas procesā” 7.4.</w:t>
            </w:r>
            <w:r w:rsidRPr="00052CCE">
              <w:rPr>
                <w:sz w:val="24"/>
                <w:szCs w:val="24"/>
                <w:vertAlign w:val="superscript"/>
              </w:rPr>
              <w:t xml:space="preserve">1 </w:t>
            </w:r>
            <w:r w:rsidRPr="00052CCE">
              <w:rPr>
                <w:sz w:val="24"/>
                <w:szCs w:val="24"/>
              </w:rPr>
              <w:t>apakšpunktam, sabiedrībai tik</w:t>
            </w:r>
            <w:r w:rsidR="00DB7280">
              <w:rPr>
                <w:sz w:val="24"/>
                <w:szCs w:val="24"/>
              </w:rPr>
              <w:t>a</w:t>
            </w:r>
            <w:r w:rsidRPr="00052CCE">
              <w:rPr>
                <w:sz w:val="24"/>
                <w:szCs w:val="24"/>
              </w:rPr>
              <w:t xml:space="preserve"> dota iespēja rakstiski sniegt viedokli par noteikumu projektu tā izstrādes stadijā.</w:t>
            </w:r>
          </w:p>
        </w:tc>
      </w:tr>
      <w:tr w:rsidR="003D6F09" w:rsidRPr="00052CCE" w:rsidTr="006437E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3.</w:t>
            </w:r>
          </w:p>
        </w:tc>
        <w:tc>
          <w:tcPr>
            <w:tcW w:w="1290"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Sabiedrības līdzdalības rezultāti</w:t>
            </w:r>
          </w:p>
        </w:tc>
        <w:tc>
          <w:tcPr>
            <w:tcW w:w="3398" w:type="pct"/>
            <w:tcBorders>
              <w:top w:val="outset" w:sz="6" w:space="0" w:color="auto"/>
              <w:left w:val="outset" w:sz="6" w:space="0" w:color="auto"/>
              <w:bottom w:val="outset" w:sz="6" w:space="0" w:color="auto"/>
              <w:right w:val="outset" w:sz="6" w:space="0" w:color="auto"/>
            </w:tcBorders>
            <w:hideMark/>
          </w:tcPr>
          <w:p w:rsidR="003D6F09" w:rsidRPr="00052CCE" w:rsidRDefault="00DB7280" w:rsidP="00697072">
            <w:pPr>
              <w:ind w:firstLine="0"/>
              <w:jc w:val="both"/>
              <w:rPr>
                <w:sz w:val="24"/>
                <w:szCs w:val="24"/>
                <w:highlight w:val="yellow"/>
              </w:rPr>
            </w:pPr>
            <w:r w:rsidRPr="009F0EEC">
              <w:rPr>
                <w:sz w:val="24"/>
                <w:szCs w:val="24"/>
              </w:rPr>
              <w:t>Iebildumi un priekšlikumi nav saņemti.</w:t>
            </w:r>
          </w:p>
        </w:tc>
      </w:tr>
      <w:tr w:rsidR="003D6F09" w:rsidRPr="00052CCE" w:rsidTr="006437E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4.</w:t>
            </w:r>
          </w:p>
        </w:tc>
        <w:tc>
          <w:tcPr>
            <w:tcW w:w="1290"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Cita informācija</w:t>
            </w:r>
          </w:p>
        </w:tc>
        <w:tc>
          <w:tcPr>
            <w:tcW w:w="3398" w:type="pct"/>
            <w:tcBorders>
              <w:top w:val="outset" w:sz="6" w:space="0" w:color="auto"/>
              <w:left w:val="outset" w:sz="6" w:space="0" w:color="auto"/>
              <w:bottom w:val="outset" w:sz="6" w:space="0" w:color="auto"/>
              <w:right w:val="outset" w:sz="6" w:space="0" w:color="auto"/>
            </w:tcBorders>
            <w:hideMark/>
          </w:tcPr>
          <w:p w:rsidR="003D6F09" w:rsidRPr="00052CCE" w:rsidRDefault="00A054CD" w:rsidP="00697072">
            <w:pPr>
              <w:ind w:firstLine="0"/>
              <w:jc w:val="both"/>
              <w:rPr>
                <w:sz w:val="24"/>
                <w:szCs w:val="24"/>
              </w:rPr>
            </w:pPr>
            <w:r w:rsidRPr="00052CCE">
              <w:rPr>
                <w:sz w:val="24"/>
                <w:szCs w:val="24"/>
              </w:rPr>
              <w:t>Nav</w:t>
            </w:r>
          </w:p>
        </w:tc>
      </w:tr>
    </w:tbl>
    <w:p w:rsidR="00D07FE8" w:rsidRPr="00052CCE" w:rsidRDefault="00D07FE8" w:rsidP="00697072">
      <w:pPr>
        <w:ind w:firstLine="0"/>
        <w:jc w:val="both"/>
        <w:rPr>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411"/>
        <w:gridCol w:w="6310"/>
      </w:tblGrid>
      <w:tr w:rsidR="003D6F09" w:rsidRPr="00052CCE" w:rsidTr="003D6F0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052CCE" w:rsidRDefault="003D6F09" w:rsidP="009F0EEC">
            <w:pPr>
              <w:ind w:firstLine="0"/>
              <w:jc w:val="center"/>
              <w:rPr>
                <w:b/>
                <w:bCs/>
                <w:sz w:val="24"/>
                <w:szCs w:val="24"/>
              </w:rPr>
            </w:pPr>
            <w:r w:rsidRPr="00052CCE">
              <w:rPr>
                <w:b/>
                <w:bCs/>
                <w:sz w:val="24"/>
                <w:szCs w:val="24"/>
              </w:rPr>
              <w:t>VII. Tiesību akta projekta izpildes nodrošināšana un tās ietekme uz institūcijām</w:t>
            </w:r>
          </w:p>
        </w:tc>
      </w:tr>
      <w:tr w:rsidR="00E73F67" w:rsidRPr="00052CCE" w:rsidTr="006437E1">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73F67" w:rsidRPr="00052CCE" w:rsidRDefault="00E73F67" w:rsidP="00697072">
            <w:pPr>
              <w:ind w:firstLine="0"/>
              <w:jc w:val="both"/>
              <w:rPr>
                <w:sz w:val="24"/>
                <w:szCs w:val="24"/>
              </w:rPr>
            </w:pPr>
            <w:r w:rsidRPr="00052CCE">
              <w:rPr>
                <w:sz w:val="24"/>
                <w:szCs w:val="24"/>
              </w:rPr>
              <w:t>1.</w:t>
            </w:r>
          </w:p>
        </w:tc>
        <w:tc>
          <w:tcPr>
            <w:tcW w:w="1291" w:type="pct"/>
            <w:tcBorders>
              <w:top w:val="outset" w:sz="6" w:space="0" w:color="auto"/>
              <w:left w:val="outset" w:sz="6" w:space="0" w:color="auto"/>
              <w:bottom w:val="outset" w:sz="6" w:space="0" w:color="auto"/>
              <w:right w:val="outset" w:sz="6" w:space="0" w:color="auto"/>
            </w:tcBorders>
            <w:hideMark/>
          </w:tcPr>
          <w:p w:rsidR="00E73F67" w:rsidRPr="00052CCE" w:rsidRDefault="00E73F67" w:rsidP="00697072">
            <w:pPr>
              <w:ind w:firstLine="0"/>
              <w:jc w:val="both"/>
              <w:rPr>
                <w:sz w:val="24"/>
                <w:szCs w:val="24"/>
              </w:rPr>
            </w:pPr>
            <w:r w:rsidRPr="00052CCE">
              <w:rPr>
                <w:sz w:val="24"/>
                <w:szCs w:val="24"/>
              </w:rPr>
              <w:t>Projekta izpildē iesaistītās institūcijas</w:t>
            </w:r>
          </w:p>
        </w:tc>
        <w:tc>
          <w:tcPr>
            <w:tcW w:w="3398" w:type="pct"/>
            <w:tcBorders>
              <w:top w:val="outset" w:sz="6" w:space="0" w:color="auto"/>
              <w:left w:val="outset" w:sz="6" w:space="0" w:color="auto"/>
              <w:bottom w:val="outset" w:sz="6" w:space="0" w:color="auto"/>
              <w:right w:val="outset" w:sz="6" w:space="0" w:color="auto"/>
            </w:tcBorders>
            <w:hideMark/>
          </w:tcPr>
          <w:p w:rsidR="00E73F67" w:rsidRPr="00052CCE" w:rsidRDefault="00E73F67" w:rsidP="00E421A7">
            <w:pPr>
              <w:ind w:firstLine="0"/>
              <w:jc w:val="both"/>
              <w:rPr>
                <w:sz w:val="24"/>
                <w:szCs w:val="24"/>
              </w:rPr>
            </w:pPr>
            <w:r w:rsidRPr="00052CCE">
              <w:rPr>
                <w:sz w:val="24"/>
                <w:szCs w:val="24"/>
              </w:rPr>
              <w:t xml:space="preserve">Satiksmes ministrija, </w:t>
            </w:r>
            <w:r w:rsidR="00657506" w:rsidRPr="00052CCE">
              <w:rPr>
                <w:sz w:val="24"/>
                <w:szCs w:val="24"/>
              </w:rPr>
              <w:t>Autotransporta direkcija</w:t>
            </w:r>
          </w:p>
        </w:tc>
      </w:tr>
      <w:tr w:rsidR="003D6F09" w:rsidRPr="00052CCE" w:rsidTr="006437E1">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2.</w:t>
            </w:r>
          </w:p>
        </w:tc>
        <w:tc>
          <w:tcPr>
            <w:tcW w:w="1291"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 xml:space="preserve">Projekta izpildes ietekme uz pārvaldes funkcijām un institucionālo struktūru. </w:t>
            </w:r>
          </w:p>
          <w:p w:rsidR="003D6F09" w:rsidRPr="00052CCE" w:rsidRDefault="003D6F09" w:rsidP="00697072">
            <w:pPr>
              <w:ind w:firstLine="0"/>
              <w:jc w:val="both"/>
              <w:rPr>
                <w:sz w:val="24"/>
                <w:szCs w:val="24"/>
              </w:rPr>
            </w:pPr>
            <w:r w:rsidRPr="00052CCE">
              <w:rPr>
                <w:sz w:val="24"/>
                <w:szCs w:val="24"/>
              </w:rPr>
              <w:t>Jaunu institūciju izveide, esošu institūciju likvidācija vai reorganizācija, to ietekme uz institūcijas cilvēkresursiem</w:t>
            </w:r>
          </w:p>
        </w:tc>
        <w:tc>
          <w:tcPr>
            <w:tcW w:w="3398" w:type="pct"/>
            <w:tcBorders>
              <w:top w:val="outset" w:sz="6" w:space="0" w:color="auto"/>
              <w:left w:val="outset" w:sz="6" w:space="0" w:color="auto"/>
              <w:bottom w:val="outset" w:sz="6" w:space="0" w:color="auto"/>
              <w:right w:val="outset" w:sz="6" w:space="0" w:color="auto"/>
            </w:tcBorders>
            <w:hideMark/>
          </w:tcPr>
          <w:p w:rsidR="003D6F09" w:rsidRPr="00052CCE" w:rsidRDefault="00656C09">
            <w:pPr>
              <w:ind w:firstLine="0"/>
              <w:jc w:val="both"/>
              <w:rPr>
                <w:sz w:val="24"/>
                <w:szCs w:val="24"/>
              </w:rPr>
            </w:pPr>
            <w:r>
              <w:rPr>
                <w:sz w:val="24"/>
                <w:szCs w:val="24"/>
              </w:rPr>
              <w:t>Noteikumu projekta īstenošana tiks veikta esošo cilvēkresursu ietvaros. Saistībā ar projekta izpildi nebūs nepieciešams veidot jaunas institūcijas vai likvidēt vai reorganizēt esošās.</w:t>
            </w:r>
          </w:p>
        </w:tc>
      </w:tr>
      <w:tr w:rsidR="003D6F09" w:rsidRPr="00052CCE" w:rsidTr="006437E1">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3.</w:t>
            </w:r>
          </w:p>
        </w:tc>
        <w:tc>
          <w:tcPr>
            <w:tcW w:w="1291" w:type="pct"/>
            <w:tcBorders>
              <w:top w:val="outset" w:sz="6" w:space="0" w:color="auto"/>
              <w:left w:val="outset" w:sz="6" w:space="0" w:color="auto"/>
              <w:bottom w:val="outset" w:sz="6" w:space="0" w:color="auto"/>
              <w:right w:val="outset" w:sz="6" w:space="0" w:color="auto"/>
            </w:tcBorders>
            <w:hideMark/>
          </w:tcPr>
          <w:p w:rsidR="003D6F09" w:rsidRPr="00052CCE" w:rsidRDefault="003D6F09" w:rsidP="00697072">
            <w:pPr>
              <w:ind w:firstLine="0"/>
              <w:jc w:val="both"/>
              <w:rPr>
                <w:sz w:val="24"/>
                <w:szCs w:val="24"/>
              </w:rPr>
            </w:pPr>
            <w:r w:rsidRPr="00052CCE">
              <w:rPr>
                <w:sz w:val="24"/>
                <w:szCs w:val="24"/>
              </w:rPr>
              <w:t>Cita informācija</w:t>
            </w:r>
          </w:p>
        </w:tc>
        <w:tc>
          <w:tcPr>
            <w:tcW w:w="3398" w:type="pct"/>
            <w:tcBorders>
              <w:top w:val="outset" w:sz="6" w:space="0" w:color="auto"/>
              <w:left w:val="outset" w:sz="6" w:space="0" w:color="auto"/>
              <w:bottom w:val="outset" w:sz="6" w:space="0" w:color="auto"/>
              <w:right w:val="outset" w:sz="6" w:space="0" w:color="auto"/>
            </w:tcBorders>
            <w:hideMark/>
          </w:tcPr>
          <w:p w:rsidR="003D6F09" w:rsidRPr="00052CCE" w:rsidRDefault="00E73F67" w:rsidP="00697072">
            <w:pPr>
              <w:ind w:firstLine="0"/>
              <w:jc w:val="both"/>
              <w:rPr>
                <w:sz w:val="24"/>
                <w:szCs w:val="24"/>
              </w:rPr>
            </w:pPr>
            <w:r w:rsidRPr="00052CCE">
              <w:rPr>
                <w:sz w:val="24"/>
                <w:szCs w:val="24"/>
              </w:rPr>
              <w:t>Nav</w:t>
            </w:r>
          </w:p>
        </w:tc>
      </w:tr>
    </w:tbl>
    <w:p w:rsidR="006437E1" w:rsidRPr="00052CCE" w:rsidRDefault="006437E1" w:rsidP="002A1AFA">
      <w:pPr>
        <w:jc w:val="both"/>
        <w:rPr>
          <w:sz w:val="24"/>
          <w:szCs w:val="24"/>
        </w:rPr>
      </w:pPr>
    </w:p>
    <w:p w:rsidR="002A1AFA" w:rsidRPr="00052CCE" w:rsidRDefault="002A1AFA" w:rsidP="002A1AFA">
      <w:pPr>
        <w:jc w:val="both"/>
        <w:rPr>
          <w:sz w:val="24"/>
          <w:szCs w:val="24"/>
        </w:rPr>
      </w:pPr>
      <w:r w:rsidRPr="00052CCE">
        <w:rPr>
          <w:sz w:val="24"/>
          <w:szCs w:val="24"/>
        </w:rPr>
        <w:t>Anotācijas III</w:t>
      </w:r>
      <w:r w:rsidR="004269D6" w:rsidRPr="00052CCE">
        <w:rPr>
          <w:sz w:val="24"/>
          <w:szCs w:val="24"/>
        </w:rPr>
        <w:t>,</w:t>
      </w:r>
      <w:r w:rsidRPr="00052CCE">
        <w:rPr>
          <w:sz w:val="24"/>
          <w:szCs w:val="24"/>
        </w:rPr>
        <w:t xml:space="preserve"> IV </w:t>
      </w:r>
      <w:r w:rsidR="004269D6" w:rsidRPr="00052CCE">
        <w:rPr>
          <w:sz w:val="24"/>
          <w:szCs w:val="24"/>
        </w:rPr>
        <w:t xml:space="preserve">un V </w:t>
      </w:r>
      <w:r w:rsidRPr="00052CCE">
        <w:rPr>
          <w:sz w:val="24"/>
          <w:szCs w:val="24"/>
        </w:rPr>
        <w:t>sadaļa – projekts šīs jomas neskar.</w:t>
      </w:r>
    </w:p>
    <w:p w:rsidR="006441A3" w:rsidRDefault="006441A3" w:rsidP="00697072">
      <w:pPr>
        <w:ind w:firstLine="0"/>
        <w:jc w:val="both"/>
        <w:rPr>
          <w:sz w:val="24"/>
          <w:szCs w:val="24"/>
        </w:rPr>
      </w:pPr>
    </w:p>
    <w:p w:rsidR="00F65054" w:rsidRPr="00052CCE" w:rsidRDefault="00F65054" w:rsidP="00697072">
      <w:pPr>
        <w:ind w:firstLine="0"/>
        <w:jc w:val="both"/>
        <w:rPr>
          <w:sz w:val="24"/>
          <w:szCs w:val="24"/>
        </w:rPr>
      </w:pPr>
    </w:p>
    <w:p w:rsidR="00C24318" w:rsidRPr="00C24318" w:rsidRDefault="00C24318" w:rsidP="000D10ED">
      <w:pPr>
        <w:pStyle w:val="BodyTextIndent"/>
        <w:tabs>
          <w:tab w:val="left" w:pos="720"/>
        </w:tabs>
        <w:spacing w:after="0"/>
        <w:ind w:left="0"/>
        <w:jc w:val="both"/>
        <w:rPr>
          <w:bCs/>
        </w:rPr>
      </w:pPr>
      <w:r w:rsidRPr="00C24318">
        <w:rPr>
          <w:bCs/>
        </w:rPr>
        <w:t>Satiksmes ministr</w:t>
      </w:r>
      <w:r w:rsidR="004C4D3A">
        <w:rPr>
          <w:bCs/>
        </w:rPr>
        <w:t>s</w:t>
      </w:r>
      <w:r w:rsidRPr="00C24318">
        <w:rPr>
          <w:bCs/>
        </w:rPr>
        <w:tab/>
      </w:r>
      <w:r w:rsidRPr="00C24318">
        <w:rPr>
          <w:bCs/>
        </w:rPr>
        <w:tab/>
      </w:r>
      <w:r w:rsidRPr="00C24318">
        <w:rPr>
          <w:bCs/>
        </w:rPr>
        <w:tab/>
      </w:r>
      <w:r w:rsidRPr="00C24318">
        <w:rPr>
          <w:bCs/>
        </w:rPr>
        <w:tab/>
      </w:r>
      <w:r w:rsidRPr="00C24318">
        <w:rPr>
          <w:bCs/>
        </w:rPr>
        <w:tab/>
      </w:r>
      <w:r w:rsidRPr="00C24318">
        <w:rPr>
          <w:bCs/>
        </w:rPr>
        <w:tab/>
      </w:r>
      <w:r w:rsidR="004C4D3A">
        <w:rPr>
          <w:bCs/>
        </w:rPr>
        <w:tab/>
        <w:t>U.Augulis</w:t>
      </w:r>
    </w:p>
    <w:p w:rsidR="00C24318" w:rsidRPr="00C24318" w:rsidRDefault="00C24318" w:rsidP="00C24318">
      <w:pPr>
        <w:pStyle w:val="BodyTextIndent"/>
        <w:tabs>
          <w:tab w:val="left" w:pos="720"/>
        </w:tabs>
        <w:jc w:val="both"/>
        <w:rPr>
          <w:bCs/>
        </w:rPr>
      </w:pPr>
    </w:p>
    <w:p w:rsidR="00C24318" w:rsidRPr="00C24318" w:rsidRDefault="00C24318" w:rsidP="000D10ED">
      <w:pPr>
        <w:pStyle w:val="BodyTextIndent"/>
        <w:tabs>
          <w:tab w:val="left" w:pos="720"/>
        </w:tabs>
        <w:ind w:left="0"/>
        <w:jc w:val="both"/>
        <w:rPr>
          <w:bCs/>
        </w:rPr>
      </w:pPr>
      <w:r w:rsidRPr="00C24318">
        <w:rPr>
          <w:bCs/>
        </w:rPr>
        <w:t>Vīza: valsts sekretārs</w:t>
      </w:r>
      <w:r w:rsidRPr="00C24318">
        <w:rPr>
          <w:bCs/>
        </w:rPr>
        <w:tab/>
      </w:r>
      <w:r w:rsidRPr="00C24318">
        <w:rPr>
          <w:bCs/>
        </w:rPr>
        <w:tab/>
      </w:r>
      <w:r w:rsidRPr="00C24318">
        <w:rPr>
          <w:bCs/>
        </w:rPr>
        <w:tab/>
      </w:r>
      <w:r w:rsidR="000D10ED">
        <w:rPr>
          <w:bCs/>
        </w:rPr>
        <w:tab/>
      </w:r>
      <w:r w:rsidRPr="00C24318">
        <w:rPr>
          <w:bCs/>
        </w:rPr>
        <w:tab/>
      </w:r>
      <w:r w:rsidRPr="00C24318">
        <w:rPr>
          <w:bCs/>
        </w:rPr>
        <w:tab/>
      </w:r>
      <w:r w:rsidRPr="00C24318">
        <w:rPr>
          <w:bCs/>
        </w:rPr>
        <w:tab/>
        <w:t>K.Ozoliņš</w:t>
      </w:r>
    </w:p>
    <w:p w:rsidR="006B14EF" w:rsidRDefault="006B14EF" w:rsidP="00697072">
      <w:pPr>
        <w:pStyle w:val="BodyTextIndent"/>
        <w:tabs>
          <w:tab w:val="left" w:pos="720"/>
        </w:tabs>
        <w:spacing w:after="0"/>
        <w:ind w:left="0"/>
        <w:jc w:val="both"/>
      </w:pPr>
    </w:p>
    <w:p w:rsidR="006B14EF" w:rsidRDefault="006B14EF" w:rsidP="00697072">
      <w:pPr>
        <w:pStyle w:val="BodyTextIndent"/>
        <w:tabs>
          <w:tab w:val="left" w:pos="720"/>
        </w:tabs>
        <w:spacing w:after="0"/>
        <w:ind w:left="0"/>
        <w:jc w:val="both"/>
      </w:pPr>
    </w:p>
    <w:p w:rsidR="00A433DD" w:rsidRPr="00893EFB" w:rsidRDefault="00A433DD" w:rsidP="00697072">
      <w:pPr>
        <w:pStyle w:val="BodyTextIndent"/>
        <w:tabs>
          <w:tab w:val="left" w:pos="720"/>
        </w:tabs>
        <w:spacing w:after="0"/>
        <w:ind w:left="0"/>
        <w:jc w:val="both"/>
      </w:pPr>
    </w:p>
    <w:p w:rsidR="00D850BE" w:rsidRPr="00052CCE" w:rsidRDefault="009710AD" w:rsidP="00697072">
      <w:pPr>
        <w:ind w:firstLine="0"/>
        <w:jc w:val="both"/>
        <w:rPr>
          <w:rFonts w:eastAsia="Times New Roman"/>
          <w:sz w:val="20"/>
          <w:szCs w:val="20"/>
        </w:rPr>
      </w:pPr>
      <w:r>
        <w:rPr>
          <w:rFonts w:eastAsia="Times New Roman"/>
          <w:sz w:val="20"/>
          <w:szCs w:val="20"/>
        </w:rPr>
        <w:t>25</w:t>
      </w:r>
      <w:r w:rsidR="00CA555B" w:rsidRPr="00052CCE">
        <w:rPr>
          <w:rFonts w:eastAsia="Times New Roman"/>
          <w:sz w:val="20"/>
          <w:szCs w:val="20"/>
        </w:rPr>
        <w:t>.</w:t>
      </w:r>
      <w:r w:rsidR="00061A34">
        <w:rPr>
          <w:rFonts w:eastAsia="Times New Roman"/>
          <w:sz w:val="20"/>
          <w:szCs w:val="20"/>
        </w:rPr>
        <w:t>0</w:t>
      </w:r>
      <w:r w:rsidR="0061379C">
        <w:rPr>
          <w:rFonts w:eastAsia="Times New Roman"/>
          <w:sz w:val="20"/>
          <w:szCs w:val="20"/>
        </w:rPr>
        <w:t>4</w:t>
      </w:r>
      <w:r w:rsidR="00D850BE" w:rsidRPr="00052CCE">
        <w:rPr>
          <w:rFonts w:eastAsia="Times New Roman"/>
          <w:sz w:val="20"/>
          <w:szCs w:val="20"/>
        </w:rPr>
        <w:t>.201</w:t>
      </w:r>
      <w:r w:rsidR="0007512E" w:rsidRPr="00052CCE">
        <w:rPr>
          <w:rFonts w:eastAsia="Times New Roman"/>
          <w:sz w:val="20"/>
          <w:szCs w:val="20"/>
        </w:rPr>
        <w:t>6</w:t>
      </w:r>
      <w:r w:rsidR="00D850BE" w:rsidRPr="00052CCE">
        <w:rPr>
          <w:rFonts w:eastAsia="Times New Roman"/>
          <w:sz w:val="20"/>
          <w:szCs w:val="20"/>
        </w:rPr>
        <w:t xml:space="preserve"> 15:00</w:t>
      </w:r>
    </w:p>
    <w:p w:rsidR="00D850BE" w:rsidRPr="00052CCE" w:rsidRDefault="00130499" w:rsidP="001D32B4">
      <w:pPr>
        <w:tabs>
          <w:tab w:val="left" w:pos="3548"/>
        </w:tabs>
        <w:ind w:firstLine="0"/>
        <w:jc w:val="both"/>
        <w:rPr>
          <w:rFonts w:eastAsia="Times New Roman"/>
          <w:sz w:val="20"/>
          <w:szCs w:val="20"/>
        </w:rPr>
      </w:pPr>
      <w:r>
        <w:rPr>
          <w:rFonts w:eastAsia="Times New Roman"/>
          <w:sz w:val="20"/>
          <w:szCs w:val="20"/>
        </w:rPr>
        <w:t>100</w:t>
      </w:r>
      <w:r w:rsidR="00207F8C">
        <w:rPr>
          <w:rFonts w:eastAsia="Times New Roman"/>
          <w:sz w:val="20"/>
          <w:szCs w:val="20"/>
        </w:rPr>
        <w:t>5</w:t>
      </w:r>
      <w:bookmarkStart w:id="0" w:name="_GoBack"/>
      <w:bookmarkEnd w:id="0"/>
      <w:r w:rsidR="001D32B4">
        <w:rPr>
          <w:rFonts w:eastAsia="Times New Roman"/>
          <w:sz w:val="20"/>
          <w:szCs w:val="20"/>
        </w:rPr>
        <w:tab/>
      </w:r>
    </w:p>
    <w:p w:rsidR="007B4E77" w:rsidRDefault="007B4E77" w:rsidP="00697072">
      <w:pPr>
        <w:ind w:firstLine="0"/>
        <w:jc w:val="both"/>
        <w:rPr>
          <w:rFonts w:eastAsia="Times New Roman"/>
          <w:sz w:val="20"/>
          <w:szCs w:val="20"/>
        </w:rPr>
      </w:pPr>
      <w:r>
        <w:rPr>
          <w:rFonts w:eastAsia="Times New Roman"/>
          <w:sz w:val="20"/>
          <w:szCs w:val="20"/>
        </w:rPr>
        <w:t>I.Pētersone 67028324</w:t>
      </w:r>
    </w:p>
    <w:p w:rsidR="007B4E77" w:rsidRDefault="007B4E77" w:rsidP="00697072">
      <w:pPr>
        <w:ind w:firstLine="0"/>
        <w:jc w:val="both"/>
        <w:rPr>
          <w:rFonts w:eastAsia="Times New Roman"/>
          <w:sz w:val="20"/>
          <w:szCs w:val="20"/>
        </w:rPr>
      </w:pPr>
      <w:r>
        <w:rPr>
          <w:rFonts w:eastAsia="Times New Roman"/>
          <w:sz w:val="20"/>
          <w:szCs w:val="20"/>
        </w:rPr>
        <w:t>Inara.petersone@sam.gov.lv</w:t>
      </w:r>
    </w:p>
    <w:p w:rsidR="00D850BE" w:rsidRPr="00052CCE" w:rsidRDefault="002F3137" w:rsidP="00697072">
      <w:pPr>
        <w:ind w:firstLine="0"/>
        <w:jc w:val="both"/>
        <w:rPr>
          <w:rFonts w:eastAsia="Times New Roman"/>
          <w:b/>
          <w:sz w:val="20"/>
          <w:szCs w:val="20"/>
          <w:u w:val="single"/>
        </w:rPr>
      </w:pPr>
      <w:r>
        <w:rPr>
          <w:rFonts w:eastAsia="Times New Roman"/>
          <w:sz w:val="20"/>
          <w:szCs w:val="20"/>
        </w:rPr>
        <w:t>S.Tanne</w:t>
      </w:r>
      <w:r w:rsidR="00D850BE" w:rsidRPr="00052CCE">
        <w:rPr>
          <w:rFonts w:eastAsia="Times New Roman"/>
          <w:sz w:val="20"/>
          <w:szCs w:val="20"/>
        </w:rPr>
        <w:t xml:space="preserve"> </w:t>
      </w:r>
      <w:r w:rsidR="0007512E" w:rsidRPr="00052CCE">
        <w:rPr>
          <w:rFonts w:eastAsia="Times New Roman"/>
          <w:sz w:val="20"/>
          <w:szCs w:val="20"/>
        </w:rPr>
        <w:t>6</w:t>
      </w:r>
      <w:r w:rsidR="00D850BE" w:rsidRPr="00052CCE">
        <w:rPr>
          <w:rFonts w:eastAsia="Times New Roman"/>
          <w:sz w:val="20"/>
          <w:szCs w:val="20"/>
        </w:rPr>
        <w:t>7686480,</w:t>
      </w:r>
      <w:r w:rsidR="00D850BE" w:rsidRPr="00052CCE">
        <w:rPr>
          <w:rFonts w:eastAsia="Times New Roman"/>
          <w:b/>
          <w:sz w:val="20"/>
          <w:szCs w:val="20"/>
          <w:u w:val="single"/>
        </w:rPr>
        <w:t xml:space="preserve"> </w:t>
      </w:r>
    </w:p>
    <w:p w:rsidR="00D850BE" w:rsidRPr="00052CCE" w:rsidRDefault="00D850BE" w:rsidP="00697072">
      <w:pPr>
        <w:ind w:firstLine="0"/>
        <w:jc w:val="both"/>
        <w:rPr>
          <w:rFonts w:eastAsia="Times New Roman"/>
          <w:sz w:val="20"/>
          <w:szCs w:val="20"/>
        </w:rPr>
      </w:pPr>
      <w:r w:rsidRPr="00052CCE">
        <w:rPr>
          <w:rFonts w:eastAsia="Times New Roman"/>
          <w:sz w:val="20"/>
          <w:szCs w:val="20"/>
        </w:rPr>
        <w:t>sandra.tanne@atd.lv</w:t>
      </w:r>
    </w:p>
    <w:p w:rsidR="00AB24BA" w:rsidRPr="00052CCE" w:rsidRDefault="002F3137" w:rsidP="00697072">
      <w:pPr>
        <w:ind w:firstLine="0"/>
        <w:jc w:val="both"/>
        <w:rPr>
          <w:sz w:val="20"/>
          <w:szCs w:val="20"/>
        </w:rPr>
      </w:pPr>
      <w:proofErr w:type="spellStart"/>
      <w:r>
        <w:rPr>
          <w:sz w:val="20"/>
          <w:szCs w:val="20"/>
        </w:rPr>
        <w:t>M.Vaics</w:t>
      </w:r>
      <w:proofErr w:type="spellEnd"/>
      <w:r w:rsidR="00AB24BA" w:rsidRPr="00052CCE">
        <w:rPr>
          <w:sz w:val="20"/>
          <w:szCs w:val="20"/>
        </w:rPr>
        <w:t xml:space="preserve"> 67686454</w:t>
      </w:r>
    </w:p>
    <w:p w:rsidR="00AB24BA" w:rsidRPr="00052CCE" w:rsidRDefault="00AB24BA" w:rsidP="00697072">
      <w:pPr>
        <w:ind w:firstLine="0"/>
        <w:jc w:val="both"/>
        <w:rPr>
          <w:sz w:val="20"/>
          <w:szCs w:val="20"/>
        </w:rPr>
      </w:pPr>
      <w:r w:rsidRPr="00052CCE">
        <w:rPr>
          <w:sz w:val="20"/>
          <w:szCs w:val="20"/>
        </w:rPr>
        <w:t>maris.vaics@atd.lv</w:t>
      </w:r>
    </w:p>
    <w:sectPr w:rsidR="00AB24BA" w:rsidRPr="00052CCE" w:rsidSect="00241323">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8A" w:rsidRDefault="00EE7D8A" w:rsidP="008E3E94">
      <w:r>
        <w:separator/>
      </w:r>
    </w:p>
  </w:endnote>
  <w:endnote w:type="continuationSeparator" w:id="0">
    <w:p w:rsidR="00EE7D8A" w:rsidRDefault="00EE7D8A" w:rsidP="008E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E2" w:rsidRPr="0091747F" w:rsidRDefault="0006791B" w:rsidP="0091747F">
    <w:pPr>
      <w:pStyle w:val="Footer"/>
      <w:ind w:firstLine="0"/>
      <w:jc w:val="both"/>
    </w:pPr>
    <w:r>
      <w:rPr>
        <w:sz w:val="20"/>
        <w:szCs w:val="20"/>
      </w:rPr>
      <w:t>SAManot_</w:t>
    </w:r>
    <w:r w:rsidR="009710AD">
      <w:rPr>
        <w:sz w:val="20"/>
        <w:szCs w:val="20"/>
      </w:rPr>
      <w:t>25</w:t>
    </w:r>
    <w:r w:rsidR="0061379C">
      <w:rPr>
        <w:sz w:val="20"/>
        <w:szCs w:val="20"/>
      </w:rPr>
      <w:t>04</w:t>
    </w:r>
    <w:r w:rsidR="00DF2E26">
      <w:rPr>
        <w:sz w:val="20"/>
        <w:szCs w:val="20"/>
      </w:rPr>
      <w:t>16</w:t>
    </w:r>
    <w:r w:rsidR="0091747F">
      <w:rPr>
        <w:sz w:val="20"/>
        <w:szCs w:val="20"/>
      </w:rPr>
      <w:t>_</w:t>
    </w:r>
    <w:r w:rsidR="008B1FC5">
      <w:rPr>
        <w:sz w:val="20"/>
        <w:szCs w:val="20"/>
      </w:rPr>
      <w:t>122_161</w:t>
    </w:r>
    <w:r w:rsidR="0091747F">
      <w:rPr>
        <w:sz w:val="20"/>
        <w:szCs w:val="20"/>
      </w:rPr>
      <w:t xml:space="preserve">; </w:t>
    </w:r>
    <w:r w:rsidR="0091747F" w:rsidRPr="0091747F">
      <w:rPr>
        <w:sz w:val="20"/>
        <w:szCs w:val="20"/>
      </w:rPr>
      <w:t xml:space="preserve">Ministru kabineta noteikumu projekta „Grozījumi Ministru kabineta </w:t>
    </w:r>
    <w:proofErr w:type="gramStart"/>
    <w:r w:rsidR="0091747F" w:rsidRPr="0091747F">
      <w:rPr>
        <w:sz w:val="20"/>
        <w:szCs w:val="20"/>
      </w:rPr>
      <w:t>2012.gada</w:t>
    </w:r>
    <w:proofErr w:type="gramEnd"/>
    <w:r w:rsidR="0091747F" w:rsidRPr="0091747F">
      <w:rPr>
        <w:sz w:val="20"/>
        <w:szCs w:val="20"/>
      </w:rPr>
      <w:t xml:space="preserve"> 21.februāra noteikumos Nr.122 “Kārtība, kādā izsniedz, anulē vai uz laiku aptur Eiropas Kopienas atļaujas, Eiropas Kopienas atļauju kopijas un autovadītāja atestātus starptautiskajiem komercpārvadājumiem ar autotransportu Eiropas Savienības teritorijā””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23" w:rsidRPr="008E3E94" w:rsidRDefault="00241323" w:rsidP="00241323">
    <w:pPr>
      <w:pStyle w:val="Footer"/>
      <w:ind w:firstLine="0"/>
      <w:jc w:val="both"/>
      <w:rPr>
        <w:sz w:val="20"/>
        <w:szCs w:val="20"/>
      </w:rPr>
    </w:pPr>
    <w:r>
      <w:rPr>
        <w:sz w:val="20"/>
        <w:szCs w:val="20"/>
      </w:rPr>
      <w:t>SAManot_</w:t>
    </w:r>
    <w:r w:rsidR="009710AD">
      <w:rPr>
        <w:sz w:val="20"/>
        <w:szCs w:val="20"/>
      </w:rPr>
      <w:t>25</w:t>
    </w:r>
    <w:r w:rsidR="0061379C">
      <w:rPr>
        <w:sz w:val="20"/>
        <w:szCs w:val="20"/>
      </w:rPr>
      <w:t>04</w:t>
    </w:r>
    <w:r w:rsidR="00E12EAA">
      <w:rPr>
        <w:sz w:val="20"/>
        <w:szCs w:val="20"/>
      </w:rPr>
      <w:t>16</w:t>
    </w:r>
    <w:r>
      <w:rPr>
        <w:sz w:val="20"/>
        <w:szCs w:val="20"/>
      </w:rPr>
      <w:t>_</w:t>
    </w:r>
    <w:r w:rsidR="008B1FC5">
      <w:rPr>
        <w:sz w:val="20"/>
        <w:szCs w:val="20"/>
      </w:rPr>
      <w:t>122_161</w:t>
    </w:r>
    <w:r>
      <w:rPr>
        <w:sz w:val="20"/>
        <w:szCs w:val="20"/>
      </w:rPr>
      <w:t xml:space="preserve">; </w:t>
    </w:r>
    <w:r w:rsidR="0091747F" w:rsidRPr="0091747F">
      <w:rPr>
        <w:sz w:val="20"/>
        <w:szCs w:val="20"/>
      </w:rPr>
      <w:t xml:space="preserve">Ministru kabineta noteikumu projekta „Grozījumi Ministru kabineta </w:t>
    </w:r>
    <w:proofErr w:type="gramStart"/>
    <w:r w:rsidR="0091747F" w:rsidRPr="0091747F">
      <w:rPr>
        <w:sz w:val="20"/>
        <w:szCs w:val="20"/>
      </w:rPr>
      <w:t>2012.gada</w:t>
    </w:r>
    <w:proofErr w:type="gramEnd"/>
    <w:r w:rsidR="0091747F" w:rsidRPr="0091747F">
      <w:rPr>
        <w:sz w:val="20"/>
        <w:szCs w:val="20"/>
      </w:rPr>
      <w:t xml:space="preserve"> 21.februāra noteikumos Nr.122 “Kārtība, kādā izsniedz, anulē vai uz laiku aptur Eiropas Kopienas atļaujas, Eiropas Kopienas atļauju kopijas un autovadītāja atestātus starptautiskajiem komercpārvadājumiem ar autotransportu Eiropas Savienības teritorijā””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8A" w:rsidRDefault="00EE7D8A" w:rsidP="008E3E94">
      <w:r>
        <w:separator/>
      </w:r>
    </w:p>
  </w:footnote>
  <w:footnote w:type="continuationSeparator" w:id="0">
    <w:p w:rsidR="00EE7D8A" w:rsidRDefault="00EE7D8A" w:rsidP="008E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rsidR="00241323" w:rsidRDefault="00241323">
        <w:pPr>
          <w:pStyle w:val="Header"/>
          <w:jc w:val="center"/>
        </w:pPr>
        <w:r>
          <w:fldChar w:fldCharType="begin"/>
        </w:r>
        <w:r>
          <w:instrText xml:space="preserve"> PAGE   \* MERGEFORMAT </w:instrText>
        </w:r>
        <w:r>
          <w:fldChar w:fldCharType="separate"/>
        </w:r>
        <w:r w:rsidR="00207F8C">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9FF228E"/>
    <w:multiLevelType w:val="hybridMultilevel"/>
    <w:tmpl w:val="8F6CC6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09"/>
    <w:rsid w:val="00012B56"/>
    <w:rsid w:val="00015DD1"/>
    <w:rsid w:val="00022F29"/>
    <w:rsid w:val="00023AA0"/>
    <w:rsid w:val="00026975"/>
    <w:rsid w:val="00026D12"/>
    <w:rsid w:val="00027033"/>
    <w:rsid w:val="00036B23"/>
    <w:rsid w:val="00042D07"/>
    <w:rsid w:val="000504FB"/>
    <w:rsid w:val="00052CCE"/>
    <w:rsid w:val="00055207"/>
    <w:rsid w:val="00061A34"/>
    <w:rsid w:val="000660B8"/>
    <w:rsid w:val="0006791B"/>
    <w:rsid w:val="0007512E"/>
    <w:rsid w:val="0008117E"/>
    <w:rsid w:val="0008402A"/>
    <w:rsid w:val="000932F8"/>
    <w:rsid w:val="0009515D"/>
    <w:rsid w:val="000B54DF"/>
    <w:rsid w:val="000C1D87"/>
    <w:rsid w:val="000C1FA4"/>
    <w:rsid w:val="000C3997"/>
    <w:rsid w:val="000C778A"/>
    <w:rsid w:val="000D10ED"/>
    <w:rsid w:val="000D346E"/>
    <w:rsid w:val="000E390F"/>
    <w:rsid w:val="000E4B3B"/>
    <w:rsid w:val="000E6406"/>
    <w:rsid w:val="000F28FC"/>
    <w:rsid w:val="000F3717"/>
    <w:rsid w:val="000F6A81"/>
    <w:rsid w:val="001003FD"/>
    <w:rsid w:val="00103027"/>
    <w:rsid w:val="001042E9"/>
    <w:rsid w:val="00105CF2"/>
    <w:rsid w:val="0010638B"/>
    <w:rsid w:val="00106DF4"/>
    <w:rsid w:val="00107D39"/>
    <w:rsid w:val="00122246"/>
    <w:rsid w:val="001232D4"/>
    <w:rsid w:val="00130499"/>
    <w:rsid w:val="001364BA"/>
    <w:rsid w:val="001478D9"/>
    <w:rsid w:val="00150DD5"/>
    <w:rsid w:val="001531F1"/>
    <w:rsid w:val="00161994"/>
    <w:rsid w:val="00165773"/>
    <w:rsid w:val="001748C6"/>
    <w:rsid w:val="001752A1"/>
    <w:rsid w:val="001816C5"/>
    <w:rsid w:val="0018248F"/>
    <w:rsid w:val="001921A2"/>
    <w:rsid w:val="00195BD4"/>
    <w:rsid w:val="001B2709"/>
    <w:rsid w:val="001B572C"/>
    <w:rsid w:val="001C068F"/>
    <w:rsid w:val="001C1202"/>
    <w:rsid w:val="001C3CF7"/>
    <w:rsid w:val="001C4900"/>
    <w:rsid w:val="001C6818"/>
    <w:rsid w:val="001D32B4"/>
    <w:rsid w:val="001E0833"/>
    <w:rsid w:val="00200300"/>
    <w:rsid w:val="00207F8C"/>
    <w:rsid w:val="00210B33"/>
    <w:rsid w:val="00216622"/>
    <w:rsid w:val="00222D19"/>
    <w:rsid w:val="00231D0F"/>
    <w:rsid w:val="002349E6"/>
    <w:rsid w:val="0023579B"/>
    <w:rsid w:val="00236D86"/>
    <w:rsid w:val="00241323"/>
    <w:rsid w:val="0024789D"/>
    <w:rsid w:val="002553DF"/>
    <w:rsid w:val="00266190"/>
    <w:rsid w:val="0026672A"/>
    <w:rsid w:val="00270112"/>
    <w:rsid w:val="00270D55"/>
    <w:rsid w:val="002847EF"/>
    <w:rsid w:val="00290DD4"/>
    <w:rsid w:val="00292197"/>
    <w:rsid w:val="00296C63"/>
    <w:rsid w:val="002971B4"/>
    <w:rsid w:val="002971FC"/>
    <w:rsid w:val="002A1AFA"/>
    <w:rsid w:val="002A2796"/>
    <w:rsid w:val="002A693C"/>
    <w:rsid w:val="002A7343"/>
    <w:rsid w:val="002B134D"/>
    <w:rsid w:val="002B5B6D"/>
    <w:rsid w:val="002B7B0C"/>
    <w:rsid w:val="002C0C75"/>
    <w:rsid w:val="002C11AC"/>
    <w:rsid w:val="002C2042"/>
    <w:rsid w:val="002C6573"/>
    <w:rsid w:val="002C6900"/>
    <w:rsid w:val="002D3AFA"/>
    <w:rsid w:val="002E3B1A"/>
    <w:rsid w:val="002E404F"/>
    <w:rsid w:val="002E40B3"/>
    <w:rsid w:val="002E6856"/>
    <w:rsid w:val="002F0255"/>
    <w:rsid w:val="002F3137"/>
    <w:rsid w:val="002F43A9"/>
    <w:rsid w:val="002F5A73"/>
    <w:rsid w:val="0030172D"/>
    <w:rsid w:val="003044C5"/>
    <w:rsid w:val="00321EDE"/>
    <w:rsid w:val="0032446C"/>
    <w:rsid w:val="003320F7"/>
    <w:rsid w:val="00340EB5"/>
    <w:rsid w:val="00343B64"/>
    <w:rsid w:val="003467BF"/>
    <w:rsid w:val="00353C0E"/>
    <w:rsid w:val="00355A5C"/>
    <w:rsid w:val="00370A75"/>
    <w:rsid w:val="003720A4"/>
    <w:rsid w:val="003750F2"/>
    <w:rsid w:val="003A2DF4"/>
    <w:rsid w:val="003B7D06"/>
    <w:rsid w:val="003D37BE"/>
    <w:rsid w:val="003D6F09"/>
    <w:rsid w:val="003E041C"/>
    <w:rsid w:val="003F198C"/>
    <w:rsid w:val="0040181E"/>
    <w:rsid w:val="0040505B"/>
    <w:rsid w:val="00406D6B"/>
    <w:rsid w:val="004269D6"/>
    <w:rsid w:val="00427E90"/>
    <w:rsid w:val="00431AD6"/>
    <w:rsid w:val="00433B3F"/>
    <w:rsid w:val="0043424A"/>
    <w:rsid w:val="004418C9"/>
    <w:rsid w:val="00445984"/>
    <w:rsid w:val="00453F46"/>
    <w:rsid w:val="0046649D"/>
    <w:rsid w:val="0047344B"/>
    <w:rsid w:val="00486B52"/>
    <w:rsid w:val="00490EDD"/>
    <w:rsid w:val="0049181F"/>
    <w:rsid w:val="00494EBF"/>
    <w:rsid w:val="004A56CA"/>
    <w:rsid w:val="004A59B7"/>
    <w:rsid w:val="004A6405"/>
    <w:rsid w:val="004B2208"/>
    <w:rsid w:val="004B270E"/>
    <w:rsid w:val="004B3EE8"/>
    <w:rsid w:val="004B5EEF"/>
    <w:rsid w:val="004C4D3A"/>
    <w:rsid w:val="004C60A6"/>
    <w:rsid w:val="004C667C"/>
    <w:rsid w:val="004C6B1C"/>
    <w:rsid w:val="004D745A"/>
    <w:rsid w:val="004E0454"/>
    <w:rsid w:val="004E2013"/>
    <w:rsid w:val="004E2C48"/>
    <w:rsid w:val="004E2D03"/>
    <w:rsid w:val="004E4878"/>
    <w:rsid w:val="004F15CE"/>
    <w:rsid w:val="004F19C3"/>
    <w:rsid w:val="004F429E"/>
    <w:rsid w:val="00502F50"/>
    <w:rsid w:val="0051015D"/>
    <w:rsid w:val="00510705"/>
    <w:rsid w:val="005108F7"/>
    <w:rsid w:val="005231BE"/>
    <w:rsid w:val="005477DA"/>
    <w:rsid w:val="00550C5E"/>
    <w:rsid w:val="00555AB0"/>
    <w:rsid w:val="00565A96"/>
    <w:rsid w:val="00567D12"/>
    <w:rsid w:val="005733D5"/>
    <w:rsid w:val="0058613E"/>
    <w:rsid w:val="00590030"/>
    <w:rsid w:val="00591D17"/>
    <w:rsid w:val="0059332D"/>
    <w:rsid w:val="005A0055"/>
    <w:rsid w:val="005B003A"/>
    <w:rsid w:val="005B536E"/>
    <w:rsid w:val="005B5C28"/>
    <w:rsid w:val="005B6D32"/>
    <w:rsid w:val="005C524B"/>
    <w:rsid w:val="005D31AD"/>
    <w:rsid w:val="005E3B87"/>
    <w:rsid w:val="005F26D3"/>
    <w:rsid w:val="005F40FA"/>
    <w:rsid w:val="005F7D17"/>
    <w:rsid w:val="00601E5C"/>
    <w:rsid w:val="00602C7E"/>
    <w:rsid w:val="00611733"/>
    <w:rsid w:val="0061379C"/>
    <w:rsid w:val="006179C2"/>
    <w:rsid w:val="00620331"/>
    <w:rsid w:val="0062162B"/>
    <w:rsid w:val="00622001"/>
    <w:rsid w:val="006341E7"/>
    <w:rsid w:val="00637A4B"/>
    <w:rsid w:val="006437E1"/>
    <w:rsid w:val="006441A3"/>
    <w:rsid w:val="00656C09"/>
    <w:rsid w:val="00657506"/>
    <w:rsid w:val="0066225B"/>
    <w:rsid w:val="00670AAF"/>
    <w:rsid w:val="0067151E"/>
    <w:rsid w:val="00682CEE"/>
    <w:rsid w:val="00696A72"/>
    <w:rsid w:val="00697072"/>
    <w:rsid w:val="00697FE5"/>
    <w:rsid w:val="006A0B86"/>
    <w:rsid w:val="006A5057"/>
    <w:rsid w:val="006A5EC0"/>
    <w:rsid w:val="006B14EF"/>
    <w:rsid w:val="006B43D6"/>
    <w:rsid w:val="006B474C"/>
    <w:rsid w:val="006B5299"/>
    <w:rsid w:val="006B7AFF"/>
    <w:rsid w:val="006D054E"/>
    <w:rsid w:val="006D08ED"/>
    <w:rsid w:val="006D5662"/>
    <w:rsid w:val="006E25D9"/>
    <w:rsid w:val="006E2D94"/>
    <w:rsid w:val="006E2DCB"/>
    <w:rsid w:val="006E526D"/>
    <w:rsid w:val="006F461F"/>
    <w:rsid w:val="006F5215"/>
    <w:rsid w:val="00711064"/>
    <w:rsid w:val="007157B8"/>
    <w:rsid w:val="0071695F"/>
    <w:rsid w:val="00721B53"/>
    <w:rsid w:val="0074450B"/>
    <w:rsid w:val="00745B01"/>
    <w:rsid w:val="00746CB2"/>
    <w:rsid w:val="00750D9B"/>
    <w:rsid w:val="007711F0"/>
    <w:rsid w:val="00776DBA"/>
    <w:rsid w:val="00777C9C"/>
    <w:rsid w:val="00782BA1"/>
    <w:rsid w:val="007854CF"/>
    <w:rsid w:val="00792E5B"/>
    <w:rsid w:val="007B4E77"/>
    <w:rsid w:val="007B7178"/>
    <w:rsid w:val="007C500B"/>
    <w:rsid w:val="007C59D6"/>
    <w:rsid w:val="007D3B72"/>
    <w:rsid w:val="007D5972"/>
    <w:rsid w:val="007D6259"/>
    <w:rsid w:val="007D680F"/>
    <w:rsid w:val="007E17DA"/>
    <w:rsid w:val="007E6D3B"/>
    <w:rsid w:val="007E76FE"/>
    <w:rsid w:val="007F1673"/>
    <w:rsid w:val="007F4A83"/>
    <w:rsid w:val="008010FC"/>
    <w:rsid w:val="00810F38"/>
    <w:rsid w:val="00814325"/>
    <w:rsid w:val="00826B7B"/>
    <w:rsid w:val="00827D32"/>
    <w:rsid w:val="00831DB4"/>
    <w:rsid w:val="00841147"/>
    <w:rsid w:val="008423EB"/>
    <w:rsid w:val="00862419"/>
    <w:rsid w:val="00874B80"/>
    <w:rsid w:val="00896F6A"/>
    <w:rsid w:val="008B0B42"/>
    <w:rsid w:val="008B1FC5"/>
    <w:rsid w:val="008B2949"/>
    <w:rsid w:val="008B31A4"/>
    <w:rsid w:val="008B7AA1"/>
    <w:rsid w:val="008C5A4D"/>
    <w:rsid w:val="008D436D"/>
    <w:rsid w:val="008D63AD"/>
    <w:rsid w:val="008E0C9C"/>
    <w:rsid w:val="008E3E94"/>
    <w:rsid w:val="00913DE7"/>
    <w:rsid w:val="0091747F"/>
    <w:rsid w:val="00917731"/>
    <w:rsid w:val="00923570"/>
    <w:rsid w:val="0092615D"/>
    <w:rsid w:val="009275B9"/>
    <w:rsid w:val="00934146"/>
    <w:rsid w:val="00936DD6"/>
    <w:rsid w:val="00937238"/>
    <w:rsid w:val="00941458"/>
    <w:rsid w:val="0094794D"/>
    <w:rsid w:val="00950E63"/>
    <w:rsid w:val="009710AD"/>
    <w:rsid w:val="00974F77"/>
    <w:rsid w:val="009841C7"/>
    <w:rsid w:val="00985B76"/>
    <w:rsid w:val="00985DD7"/>
    <w:rsid w:val="009935C6"/>
    <w:rsid w:val="009B20DB"/>
    <w:rsid w:val="009C644D"/>
    <w:rsid w:val="009C78B2"/>
    <w:rsid w:val="009E7B36"/>
    <w:rsid w:val="009F0EEC"/>
    <w:rsid w:val="009F1070"/>
    <w:rsid w:val="009F411B"/>
    <w:rsid w:val="009F456F"/>
    <w:rsid w:val="009F4636"/>
    <w:rsid w:val="009F4E9B"/>
    <w:rsid w:val="00A0013D"/>
    <w:rsid w:val="00A054CD"/>
    <w:rsid w:val="00A05EEA"/>
    <w:rsid w:val="00A05FCF"/>
    <w:rsid w:val="00A1604C"/>
    <w:rsid w:val="00A21961"/>
    <w:rsid w:val="00A264FC"/>
    <w:rsid w:val="00A34AA6"/>
    <w:rsid w:val="00A37CE2"/>
    <w:rsid w:val="00A433DD"/>
    <w:rsid w:val="00A43648"/>
    <w:rsid w:val="00A45F15"/>
    <w:rsid w:val="00A46A70"/>
    <w:rsid w:val="00A4736E"/>
    <w:rsid w:val="00A5385F"/>
    <w:rsid w:val="00A544AA"/>
    <w:rsid w:val="00A625D4"/>
    <w:rsid w:val="00A73F54"/>
    <w:rsid w:val="00A74FDF"/>
    <w:rsid w:val="00A77D5E"/>
    <w:rsid w:val="00A824D8"/>
    <w:rsid w:val="00AA4F86"/>
    <w:rsid w:val="00AA74C7"/>
    <w:rsid w:val="00AA792B"/>
    <w:rsid w:val="00AB24BA"/>
    <w:rsid w:val="00AB24D8"/>
    <w:rsid w:val="00AC4A53"/>
    <w:rsid w:val="00AD0AB6"/>
    <w:rsid w:val="00AE7404"/>
    <w:rsid w:val="00AE7FCC"/>
    <w:rsid w:val="00AF1583"/>
    <w:rsid w:val="00B0282E"/>
    <w:rsid w:val="00B04530"/>
    <w:rsid w:val="00B07DD7"/>
    <w:rsid w:val="00B20108"/>
    <w:rsid w:val="00B35A58"/>
    <w:rsid w:val="00B4035D"/>
    <w:rsid w:val="00B426DA"/>
    <w:rsid w:val="00B459D5"/>
    <w:rsid w:val="00B550F7"/>
    <w:rsid w:val="00B566BD"/>
    <w:rsid w:val="00B605FE"/>
    <w:rsid w:val="00B632A1"/>
    <w:rsid w:val="00B64A7E"/>
    <w:rsid w:val="00B64FBB"/>
    <w:rsid w:val="00B6740C"/>
    <w:rsid w:val="00B676F2"/>
    <w:rsid w:val="00B71AD1"/>
    <w:rsid w:val="00B72DF4"/>
    <w:rsid w:val="00B736B5"/>
    <w:rsid w:val="00B92DB0"/>
    <w:rsid w:val="00B94406"/>
    <w:rsid w:val="00BA0B82"/>
    <w:rsid w:val="00BA73E4"/>
    <w:rsid w:val="00BB1A73"/>
    <w:rsid w:val="00BB1A98"/>
    <w:rsid w:val="00BB7C74"/>
    <w:rsid w:val="00BC5C4D"/>
    <w:rsid w:val="00BD0769"/>
    <w:rsid w:val="00BD2D7E"/>
    <w:rsid w:val="00BD30CD"/>
    <w:rsid w:val="00BD42E8"/>
    <w:rsid w:val="00BE0582"/>
    <w:rsid w:val="00BE7C1A"/>
    <w:rsid w:val="00BF0795"/>
    <w:rsid w:val="00C02BD5"/>
    <w:rsid w:val="00C05047"/>
    <w:rsid w:val="00C07159"/>
    <w:rsid w:val="00C071DB"/>
    <w:rsid w:val="00C104FD"/>
    <w:rsid w:val="00C17112"/>
    <w:rsid w:val="00C24318"/>
    <w:rsid w:val="00C25E49"/>
    <w:rsid w:val="00C27C81"/>
    <w:rsid w:val="00C348B0"/>
    <w:rsid w:val="00C34BEC"/>
    <w:rsid w:val="00C4345E"/>
    <w:rsid w:val="00C4652B"/>
    <w:rsid w:val="00C72C85"/>
    <w:rsid w:val="00C72C88"/>
    <w:rsid w:val="00C7601F"/>
    <w:rsid w:val="00C77FD4"/>
    <w:rsid w:val="00C90852"/>
    <w:rsid w:val="00C910D9"/>
    <w:rsid w:val="00C91BD2"/>
    <w:rsid w:val="00C91F6C"/>
    <w:rsid w:val="00C9204C"/>
    <w:rsid w:val="00C934E3"/>
    <w:rsid w:val="00C94A00"/>
    <w:rsid w:val="00CA555B"/>
    <w:rsid w:val="00CA7330"/>
    <w:rsid w:val="00CB32D6"/>
    <w:rsid w:val="00CB589D"/>
    <w:rsid w:val="00CB6617"/>
    <w:rsid w:val="00CC22A7"/>
    <w:rsid w:val="00CC502B"/>
    <w:rsid w:val="00CD02EE"/>
    <w:rsid w:val="00CD22BA"/>
    <w:rsid w:val="00CD7523"/>
    <w:rsid w:val="00CD7BF3"/>
    <w:rsid w:val="00CE32A1"/>
    <w:rsid w:val="00CF0AAC"/>
    <w:rsid w:val="00CF772E"/>
    <w:rsid w:val="00D0752C"/>
    <w:rsid w:val="00D07FE8"/>
    <w:rsid w:val="00D244A9"/>
    <w:rsid w:val="00D364C3"/>
    <w:rsid w:val="00D36B80"/>
    <w:rsid w:val="00D61F93"/>
    <w:rsid w:val="00D65933"/>
    <w:rsid w:val="00D724DB"/>
    <w:rsid w:val="00D80E33"/>
    <w:rsid w:val="00D8252E"/>
    <w:rsid w:val="00D850BE"/>
    <w:rsid w:val="00DA2D1E"/>
    <w:rsid w:val="00DA2F71"/>
    <w:rsid w:val="00DA6D2E"/>
    <w:rsid w:val="00DB7280"/>
    <w:rsid w:val="00DC0C1A"/>
    <w:rsid w:val="00DC468F"/>
    <w:rsid w:val="00DC4944"/>
    <w:rsid w:val="00DD17BF"/>
    <w:rsid w:val="00DF2E26"/>
    <w:rsid w:val="00DF31D9"/>
    <w:rsid w:val="00E04862"/>
    <w:rsid w:val="00E04D4C"/>
    <w:rsid w:val="00E108A4"/>
    <w:rsid w:val="00E12EAA"/>
    <w:rsid w:val="00E16E0D"/>
    <w:rsid w:val="00E23C28"/>
    <w:rsid w:val="00E2450B"/>
    <w:rsid w:val="00E32CF5"/>
    <w:rsid w:val="00E3418D"/>
    <w:rsid w:val="00E376CB"/>
    <w:rsid w:val="00E41D00"/>
    <w:rsid w:val="00E421A7"/>
    <w:rsid w:val="00E433DD"/>
    <w:rsid w:val="00E51E95"/>
    <w:rsid w:val="00E5669E"/>
    <w:rsid w:val="00E71C86"/>
    <w:rsid w:val="00E73F67"/>
    <w:rsid w:val="00E82136"/>
    <w:rsid w:val="00E94F11"/>
    <w:rsid w:val="00E975C3"/>
    <w:rsid w:val="00EA242B"/>
    <w:rsid w:val="00EB5A8F"/>
    <w:rsid w:val="00EC637E"/>
    <w:rsid w:val="00EE7D8A"/>
    <w:rsid w:val="00EF2969"/>
    <w:rsid w:val="00EF2A0C"/>
    <w:rsid w:val="00EF7E47"/>
    <w:rsid w:val="00F0076D"/>
    <w:rsid w:val="00F06820"/>
    <w:rsid w:val="00F13E2A"/>
    <w:rsid w:val="00F15964"/>
    <w:rsid w:val="00F32932"/>
    <w:rsid w:val="00F40597"/>
    <w:rsid w:val="00F42DD7"/>
    <w:rsid w:val="00F63375"/>
    <w:rsid w:val="00F64E59"/>
    <w:rsid w:val="00F65054"/>
    <w:rsid w:val="00F70900"/>
    <w:rsid w:val="00F7384E"/>
    <w:rsid w:val="00F746A0"/>
    <w:rsid w:val="00F8190F"/>
    <w:rsid w:val="00F81D26"/>
    <w:rsid w:val="00F9004E"/>
    <w:rsid w:val="00FA1FA1"/>
    <w:rsid w:val="00FA27AF"/>
    <w:rsid w:val="00FB5DC9"/>
    <w:rsid w:val="00FB6506"/>
    <w:rsid w:val="00FD3B90"/>
    <w:rsid w:val="00FF36A7"/>
    <w:rsid w:val="00FF4834"/>
    <w:rsid w:val="00FF49AF"/>
    <w:rsid w:val="00FF4E90"/>
    <w:rsid w:val="00FF5931"/>
    <w:rsid w:val="00FF7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8E3E94"/>
    <w:pPr>
      <w:tabs>
        <w:tab w:val="center" w:pos="4153"/>
        <w:tab w:val="right" w:pos="8306"/>
      </w:tabs>
    </w:pPr>
  </w:style>
  <w:style w:type="character" w:customStyle="1" w:styleId="FooterChar">
    <w:name w:val="Footer Char"/>
    <w:basedOn w:val="DefaultParagraphFont"/>
    <w:link w:val="Footer"/>
    <w:uiPriority w:val="99"/>
    <w:rsid w:val="008E3E94"/>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 Char, C"/>
    <w:basedOn w:val="Normal"/>
    <w:link w:val="FootnoteTextChar1"/>
    <w:rsid w:val="00015DD1"/>
    <w:pPr>
      <w:ind w:firstLine="0"/>
    </w:pPr>
    <w:rPr>
      <w:rFonts w:eastAsia="Times New Roman" w:cs="Times New Roman"/>
      <w:sz w:val="20"/>
      <w:szCs w:val="20"/>
      <w:lang w:val="x-none"/>
    </w:rPr>
  </w:style>
  <w:style w:type="character" w:customStyle="1" w:styleId="FootnoteTextChar">
    <w:name w:val="Footnote Text Char"/>
    <w:basedOn w:val="DefaultParagraphFont"/>
    <w:uiPriority w:val="99"/>
    <w:semiHidden/>
    <w:rsid w:val="00015DD1"/>
    <w:rPr>
      <w:sz w:val="20"/>
      <w:szCs w:val="20"/>
    </w:rPr>
  </w:style>
  <w:style w:type="character" w:styleId="FootnoteReference">
    <w:name w:val="footnote reference"/>
    <w:aliases w:val="Footnote Reference Number,SUPERS,Footnote symbol"/>
    <w:rsid w:val="00015DD1"/>
    <w:rPr>
      <w:vertAlign w:val="superscript"/>
    </w:rPr>
  </w:style>
  <w:style w:type="character" w:customStyle="1" w:styleId="FootnoteTextChar1">
    <w:name w:val="Footnote Text Char1"/>
    <w:aliases w:val="Footnote Char,Fußnote Char,Char Char,Char Rakstz. Rakstz. Rakstz. Char,Footnote Text Char2 Char,Footnote Text Char1 Char Char,Footnote Text Char1 Char Char Char Char,Footnote Text Char1 Char Char Char Rakstz. Rakstz. Char,Cha Char"/>
    <w:link w:val="FootnoteText"/>
    <w:locked/>
    <w:rsid w:val="00015DD1"/>
    <w:rPr>
      <w:rFonts w:eastAsia="Times New Roman" w:cs="Times New Roman"/>
      <w:sz w:val="20"/>
      <w:szCs w:val="20"/>
      <w:lang w:val="x-none"/>
    </w:rPr>
  </w:style>
  <w:style w:type="paragraph" w:styleId="ListParagraph">
    <w:name w:val="List Paragraph"/>
    <w:basedOn w:val="Normal"/>
    <w:uiPriority w:val="34"/>
    <w:qFormat/>
    <w:rsid w:val="006E2DCB"/>
    <w:pPr>
      <w:ind w:left="720"/>
      <w:contextualSpacing/>
    </w:pPr>
  </w:style>
  <w:style w:type="paragraph" w:styleId="BalloonText">
    <w:name w:val="Balloon Text"/>
    <w:basedOn w:val="Normal"/>
    <w:link w:val="BalloonTextChar"/>
    <w:uiPriority w:val="99"/>
    <w:semiHidden/>
    <w:unhideWhenUsed/>
    <w:rsid w:val="00590030"/>
    <w:rPr>
      <w:rFonts w:ascii="Tahoma" w:hAnsi="Tahoma" w:cs="Tahoma"/>
      <w:sz w:val="16"/>
      <w:szCs w:val="16"/>
    </w:rPr>
  </w:style>
  <w:style w:type="character" w:customStyle="1" w:styleId="BalloonTextChar">
    <w:name w:val="Balloon Text Char"/>
    <w:basedOn w:val="DefaultParagraphFont"/>
    <w:link w:val="BalloonText"/>
    <w:uiPriority w:val="99"/>
    <w:semiHidden/>
    <w:rsid w:val="00590030"/>
    <w:rPr>
      <w:rFonts w:ascii="Tahoma" w:hAnsi="Tahoma" w:cs="Tahoma"/>
      <w:sz w:val="16"/>
      <w:szCs w:val="16"/>
    </w:rPr>
  </w:style>
  <w:style w:type="character" w:styleId="Strong">
    <w:name w:val="Strong"/>
    <w:basedOn w:val="DefaultParagraphFont"/>
    <w:uiPriority w:val="22"/>
    <w:qFormat/>
    <w:rsid w:val="004E0454"/>
    <w:rPr>
      <w:b/>
      <w:bCs/>
    </w:rPr>
  </w:style>
  <w:style w:type="character" w:styleId="CommentReference">
    <w:name w:val="annotation reference"/>
    <w:basedOn w:val="DefaultParagraphFont"/>
    <w:uiPriority w:val="99"/>
    <w:semiHidden/>
    <w:unhideWhenUsed/>
    <w:rsid w:val="005F7D17"/>
    <w:rPr>
      <w:sz w:val="16"/>
      <w:szCs w:val="16"/>
    </w:rPr>
  </w:style>
  <w:style w:type="paragraph" w:styleId="CommentText">
    <w:name w:val="annotation text"/>
    <w:basedOn w:val="Normal"/>
    <w:link w:val="CommentTextChar"/>
    <w:uiPriority w:val="99"/>
    <w:semiHidden/>
    <w:unhideWhenUsed/>
    <w:rsid w:val="005F7D17"/>
    <w:rPr>
      <w:sz w:val="20"/>
      <w:szCs w:val="20"/>
    </w:rPr>
  </w:style>
  <w:style w:type="character" w:customStyle="1" w:styleId="CommentTextChar">
    <w:name w:val="Comment Text Char"/>
    <w:basedOn w:val="DefaultParagraphFont"/>
    <w:link w:val="CommentText"/>
    <w:uiPriority w:val="99"/>
    <w:semiHidden/>
    <w:rsid w:val="005F7D17"/>
    <w:rPr>
      <w:sz w:val="20"/>
      <w:szCs w:val="20"/>
    </w:rPr>
  </w:style>
  <w:style w:type="paragraph" w:styleId="CommentSubject">
    <w:name w:val="annotation subject"/>
    <w:basedOn w:val="CommentText"/>
    <w:next w:val="CommentText"/>
    <w:link w:val="CommentSubjectChar"/>
    <w:uiPriority w:val="99"/>
    <w:semiHidden/>
    <w:unhideWhenUsed/>
    <w:rsid w:val="005F7D17"/>
    <w:rPr>
      <w:b/>
      <w:bCs/>
    </w:rPr>
  </w:style>
  <w:style w:type="character" w:customStyle="1" w:styleId="CommentSubjectChar">
    <w:name w:val="Comment Subject Char"/>
    <w:basedOn w:val="CommentTextChar"/>
    <w:link w:val="CommentSubject"/>
    <w:uiPriority w:val="99"/>
    <w:semiHidden/>
    <w:rsid w:val="005F7D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8E3E94"/>
    <w:pPr>
      <w:tabs>
        <w:tab w:val="center" w:pos="4153"/>
        <w:tab w:val="right" w:pos="8306"/>
      </w:tabs>
    </w:pPr>
  </w:style>
  <w:style w:type="character" w:customStyle="1" w:styleId="FooterChar">
    <w:name w:val="Footer Char"/>
    <w:basedOn w:val="DefaultParagraphFont"/>
    <w:link w:val="Footer"/>
    <w:uiPriority w:val="99"/>
    <w:rsid w:val="008E3E94"/>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 Char, C"/>
    <w:basedOn w:val="Normal"/>
    <w:link w:val="FootnoteTextChar1"/>
    <w:rsid w:val="00015DD1"/>
    <w:pPr>
      <w:ind w:firstLine="0"/>
    </w:pPr>
    <w:rPr>
      <w:rFonts w:eastAsia="Times New Roman" w:cs="Times New Roman"/>
      <w:sz w:val="20"/>
      <w:szCs w:val="20"/>
      <w:lang w:val="x-none"/>
    </w:rPr>
  </w:style>
  <w:style w:type="character" w:customStyle="1" w:styleId="FootnoteTextChar">
    <w:name w:val="Footnote Text Char"/>
    <w:basedOn w:val="DefaultParagraphFont"/>
    <w:uiPriority w:val="99"/>
    <w:semiHidden/>
    <w:rsid w:val="00015DD1"/>
    <w:rPr>
      <w:sz w:val="20"/>
      <w:szCs w:val="20"/>
    </w:rPr>
  </w:style>
  <w:style w:type="character" w:styleId="FootnoteReference">
    <w:name w:val="footnote reference"/>
    <w:aliases w:val="Footnote Reference Number,SUPERS,Footnote symbol"/>
    <w:rsid w:val="00015DD1"/>
    <w:rPr>
      <w:vertAlign w:val="superscript"/>
    </w:rPr>
  </w:style>
  <w:style w:type="character" w:customStyle="1" w:styleId="FootnoteTextChar1">
    <w:name w:val="Footnote Text Char1"/>
    <w:aliases w:val="Footnote Char,Fußnote Char,Char Char,Char Rakstz. Rakstz. Rakstz. Char,Footnote Text Char2 Char,Footnote Text Char1 Char Char,Footnote Text Char1 Char Char Char Char,Footnote Text Char1 Char Char Char Rakstz. Rakstz. Char,Cha Char"/>
    <w:link w:val="FootnoteText"/>
    <w:locked/>
    <w:rsid w:val="00015DD1"/>
    <w:rPr>
      <w:rFonts w:eastAsia="Times New Roman" w:cs="Times New Roman"/>
      <w:sz w:val="20"/>
      <w:szCs w:val="20"/>
      <w:lang w:val="x-none"/>
    </w:rPr>
  </w:style>
  <w:style w:type="paragraph" w:styleId="ListParagraph">
    <w:name w:val="List Paragraph"/>
    <w:basedOn w:val="Normal"/>
    <w:uiPriority w:val="34"/>
    <w:qFormat/>
    <w:rsid w:val="006E2DCB"/>
    <w:pPr>
      <w:ind w:left="720"/>
      <w:contextualSpacing/>
    </w:pPr>
  </w:style>
  <w:style w:type="paragraph" w:styleId="BalloonText">
    <w:name w:val="Balloon Text"/>
    <w:basedOn w:val="Normal"/>
    <w:link w:val="BalloonTextChar"/>
    <w:uiPriority w:val="99"/>
    <w:semiHidden/>
    <w:unhideWhenUsed/>
    <w:rsid w:val="00590030"/>
    <w:rPr>
      <w:rFonts w:ascii="Tahoma" w:hAnsi="Tahoma" w:cs="Tahoma"/>
      <w:sz w:val="16"/>
      <w:szCs w:val="16"/>
    </w:rPr>
  </w:style>
  <w:style w:type="character" w:customStyle="1" w:styleId="BalloonTextChar">
    <w:name w:val="Balloon Text Char"/>
    <w:basedOn w:val="DefaultParagraphFont"/>
    <w:link w:val="BalloonText"/>
    <w:uiPriority w:val="99"/>
    <w:semiHidden/>
    <w:rsid w:val="00590030"/>
    <w:rPr>
      <w:rFonts w:ascii="Tahoma" w:hAnsi="Tahoma" w:cs="Tahoma"/>
      <w:sz w:val="16"/>
      <w:szCs w:val="16"/>
    </w:rPr>
  </w:style>
  <w:style w:type="character" w:styleId="Strong">
    <w:name w:val="Strong"/>
    <w:basedOn w:val="DefaultParagraphFont"/>
    <w:uiPriority w:val="22"/>
    <w:qFormat/>
    <w:rsid w:val="004E0454"/>
    <w:rPr>
      <w:b/>
      <w:bCs/>
    </w:rPr>
  </w:style>
  <w:style w:type="character" w:styleId="CommentReference">
    <w:name w:val="annotation reference"/>
    <w:basedOn w:val="DefaultParagraphFont"/>
    <w:uiPriority w:val="99"/>
    <w:semiHidden/>
    <w:unhideWhenUsed/>
    <w:rsid w:val="005F7D17"/>
    <w:rPr>
      <w:sz w:val="16"/>
      <w:szCs w:val="16"/>
    </w:rPr>
  </w:style>
  <w:style w:type="paragraph" w:styleId="CommentText">
    <w:name w:val="annotation text"/>
    <w:basedOn w:val="Normal"/>
    <w:link w:val="CommentTextChar"/>
    <w:uiPriority w:val="99"/>
    <w:semiHidden/>
    <w:unhideWhenUsed/>
    <w:rsid w:val="005F7D17"/>
    <w:rPr>
      <w:sz w:val="20"/>
      <w:szCs w:val="20"/>
    </w:rPr>
  </w:style>
  <w:style w:type="character" w:customStyle="1" w:styleId="CommentTextChar">
    <w:name w:val="Comment Text Char"/>
    <w:basedOn w:val="DefaultParagraphFont"/>
    <w:link w:val="CommentText"/>
    <w:uiPriority w:val="99"/>
    <w:semiHidden/>
    <w:rsid w:val="005F7D17"/>
    <w:rPr>
      <w:sz w:val="20"/>
      <w:szCs w:val="20"/>
    </w:rPr>
  </w:style>
  <w:style w:type="paragraph" w:styleId="CommentSubject">
    <w:name w:val="annotation subject"/>
    <w:basedOn w:val="CommentText"/>
    <w:next w:val="CommentText"/>
    <w:link w:val="CommentSubjectChar"/>
    <w:uiPriority w:val="99"/>
    <w:semiHidden/>
    <w:unhideWhenUsed/>
    <w:rsid w:val="005F7D17"/>
    <w:rPr>
      <w:b/>
      <w:bCs/>
    </w:rPr>
  </w:style>
  <w:style w:type="character" w:customStyle="1" w:styleId="CommentSubjectChar">
    <w:name w:val="Comment Subject Char"/>
    <w:basedOn w:val="CommentTextChar"/>
    <w:link w:val="CommentSubject"/>
    <w:uiPriority w:val="99"/>
    <w:semiHidden/>
    <w:rsid w:val="005F7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7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6CE8-188D-46EA-9420-F80C7B70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5625</Words>
  <Characters>3207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21.februāra noteikumos Nr.122 “Kārtība, kādā izsniedz, anulē vai uz laiku aptur Eiropas Kopienas atļaujas, Eiropas Kopienas atļauju kopijas un autovadītāja atestātus starptautiska</vt:lpstr>
    </vt:vector>
  </TitlesOfParts>
  <Company>Satiksmes ministrija</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21.februāra noteikumos Nr.122 “Kārtība, kādā izsniedz, anulē vai uz laiku aptur Eiropas Kopienas atļaujas, Eiropas Kopienas atļauju kopijas un autovadītāja atestātus starptautiskajiem komercpārvadājumiem ar autotransportu Eiropas Savienības teritorijā”” sākotnējās ietekmes novērtējuma ziņojums (anotācija)</dc:title>
  <dc:subject>Ministru kabineta noteikumu projekts</dc:subject>
  <dc:creator>I.Pētersone , S.Tanne, M.Vaics</dc:creator>
  <dc:description>I.Pētersone 67028324
Inara.petersone@sam.gov.lv
S.Tanne, 7686480, 
sandra.tanne@atd.lv
M.Vaics, 67686454
maris.vaics@atd.lv</dc:description>
  <cp:lastModifiedBy>Sandra Tanne</cp:lastModifiedBy>
  <cp:revision>13</cp:revision>
  <cp:lastPrinted>2016-04-25T08:44:00Z</cp:lastPrinted>
  <dcterms:created xsi:type="dcterms:W3CDTF">2016-04-12T13:29:00Z</dcterms:created>
  <dcterms:modified xsi:type="dcterms:W3CDTF">2016-04-26T12:05:00Z</dcterms:modified>
</cp:coreProperties>
</file>