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1" w:rsidRPr="00246611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6"/>
          <w:szCs w:val="26"/>
          <w:lang w:eastAsia="lv-LV"/>
        </w:rPr>
      </w:pPr>
      <w:bookmarkStart w:id="0" w:name="_GoBack"/>
      <w:bookmarkEnd w:id="0"/>
      <w:r w:rsidRPr="00246611">
        <w:rPr>
          <w:rFonts w:eastAsia="Calibri" w:cs="Times New Roman"/>
          <w:bCs/>
          <w:i/>
          <w:sz w:val="26"/>
          <w:szCs w:val="26"/>
          <w:lang w:eastAsia="lv-LV"/>
        </w:rPr>
        <w:t>Projekts</w:t>
      </w: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6"/>
          <w:szCs w:val="26"/>
          <w:lang w:eastAsia="lv-LV"/>
        </w:rPr>
      </w:pPr>
    </w:p>
    <w:p w:rsidR="00AC1DA1" w:rsidRPr="00246611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6"/>
          <w:szCs w:val="26"/>
          <w:lang w:eastAsia="lv-LV"/>
        </w:rPr>
      </w:pPr>
      <w:proofErr w:type="gramStart"/>
      <w:r w:rsidRPr="00246611">
        <w:rPr>
          <w:rFonts w:eastAsia="Calibri" w:cs="Times New Roman"/>
          <w:bCs/>
          <w:sz w:val="26"/>
          <w:szCs w:val="26"/>
          <w:lang w:eastAsia="lv-LV"/>
        </w:rPr>
        <w:t>LATVIJAS REPUBLIKAS MINISTRU KABINETS</w:t>
      </w:r>
      <w:proofErr w:type="gramEnd"/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6"/>
          <w:szCs w:val="26"/>
          <w:lang w:eastAsia="lv-LV"/>
        </w:rPr>
      </w:pP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6"/>
          <w:szCs w:val="26"/>
        </w:rPr>
      </w:pPr>
      <w:proofErr w:type="gramStart"/>
      <w:r w:rsidRPr="00246611">
        <w:rPr>
          <w:rFonts w:eastAsia="Calibri" w:cs="Times New Roman"/>
          <w:bCs/>
          <w:sz w:val="26"/>
          <w:szCs w:val="26"/>
          <w:lang w:eastAsia="lv-LV"/>
        </w:rPr>
        <w:t>2016.gada</w:t>
      </w:r>
      <w:proofErr w:type="gramEnd"/>
      <w:r w:rsidRPr="00246611">
        <w:rPr>
          <w:rFonts w:eastAsia="Calibri" w:cs="Times New Roman"/>
          <w:bCs/>
          <w:sz w:val="26"/>
          <w:szCs w:val="26"/>
          <w:lang w:eastAsia="lv-LV"/>
        </w:rPr>
        <w:t xml:space="preserve"> ___. __________________</w:t>
      </w:r>
      <w:r w:rsidR="00F84C18">
        <w:rPr>
          <w:rFonts w:eastAsia="Calibri" w:cs="Times New Roman"/>
          <w:bCs/>
          <w:sz w:val="26"/>
          <w:szCs w:val="26"/>
          <w:lang w:eastAsia="lv-LV"/>
        </w:rPr>
        <w:tab/>
      </w:r>
      <w:r w:rsidR="00F84C18">
        <w:rPr>
          <w:rFonts w:eastAsia="Calibri" w:cs="Times New Roman"/>
          <w:bCs/>
          <w:sz w:val="26"/>
          <w:szCs w:val="26"/>
          <w:lang w:eastAsia="lv-LV"/>
        </w:rPr>
        <w:tab/>
      </w:r>
      <w:r w:rsidR="00F84C18">
        <w:rPr>
          <w:rFonts w:eastAsia="Calibri" w:cs="Times New Roman"/>
          <w:bCs/>
          <w:sz w:val="26"/>
          <w:szCs w:val="26"/>
          <w:lang w:eastAsia="lv-LV"/>
        </w:rPr>
        <w:tab/>
      </w:r>
      <w:r w:rsidR="00F84C18">
        <w:rPr>
          <w:rFonts w:eastAsia="Calibri" w:cs="Times New Roman"/>
          <w:bCs/>
          <w:sz w:val="26"/>
          <w:szCs w:val="26"/>
          <w:lang w:eastAsia="lv-LV"/>
        </w:rPr>
        <w:tab/>
      </w:r>
      <w:r w:rsidRPr="00246611">
        <w:rPr>
          <w:rFonts w:eastAsia="Calibri" w:cs="Times New Roman"/>
          <w:bCs/>
          <w:sz w:val="26"/>
          <w:szCs w:val="26"/>
          <w:lang w:eastAsia="lv-LV"/>
        </w:rPr>
        <w:t>Rīkojums Nr.</w:t>
      </w:r>
      <w:r w:rsidRPr="00246611">
        <w:rPr>
          <w:rFonts w:eastAsia="Calibri" w:cs="Times New Roman"/>
          <w:bCs/>
          <w:sz w:val="26"/>
          <w:szCs w:val="26"/>
        </w:rPr>
        <w:t> _______</w:t>
      </w: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6"/>
          <w:szCs w:val="26"/>
        </w:rPr>
      </w:pPr>
      <w:r w:rsidRPr="00246611">
        <w:rPr>
          <w:rFonts w:eastAsia="Calibri" w:cs="Times New Roman"/>
          <w:bCs/>
          <w:sz w:val="26"/>
          <w:szCs w:val="26"/>
        </w:rPr>
        <w:t>Rīgā</w:t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5F1247" w:rsidRPr="00246611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="00F84C18">
        <w:rPr>
          <w:rFonts w:eastAsia="Calibri" w:cs="Times New Roman"/>
          <w:bCs/>
          <w:sz w:val="26"/>
          <w:szCs w:val="26"/>
        </w:rPr>
        <w:tab/>
      </w:r>
      <w:r w:rsidRPr="00246611">
        <w:rPr>
          <w:rFonts w:eastAsia="Calibri" w:cs="Times New Roman"/>
          <w:bCs/>
          <w:sz w:val="26"/>
          <w:szCs w:val="26"/>
        </w:rPr>
        <w:t>(prot. Nr. ___ ___.§)</w:t>
      </w: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6"/>
          <w:szCs w:val="26"/>
        </w:rPr>
      </w:pPr>
    </w:p>
    <w:p w:rsidR="00AC1DA1" w:rsidRPr="00246611" w:rsidRDefault="00A52C24" w:rsidP="00A52C24">
      <w:pPr>
        <w:ind w:firstLine="709"/>
        <w:jc w:val="center"/>
        <w:rPr>
          <w:b/>
          <w:sz w:val="26"/>
          <w:szCs w:val="26"/>
        </w:rPr>
      </w:pPr>
      <w:r w:rsidRPr="00246611">
        <w:rPr>
          <w:b/>
          <w:sz w:val="26"/>
          <w:szCs w:val="26"/>
        </w:rPr>
        <w:t xml:space="preserve">Par apropriācijas pārdali </w:t>
      </w:r>
      <w:r w:rsidR="00637269" w:rsidRPr="00246611">
        <w:rPr>
          <w:rFonts w:cs="Times New Roman"/>
          <w:b/>
          <w:sz w:val="26"/>
          <w:szCs w:val="26"/>
        </w:rPr>
        <w:t xml:space="preserve">Tieslietu ministrijas </w:t>
      </w:r>
      <w:r w:rsidR="00637269" w:rsidRPr="00246611">
        <w:rPr>
          <w:rFonts w:eastAsia="Times New Roman" w:cs="Times New Roman"/>
          <w:b/>
          <w:sz w:val="26"/>
          <w:szCs w:val="26"/>
          <w:lang w:eastAsia="lv-LV"/>
        </w:rPr>
        <w:t>budžeta apakšprogrammā 04.01.00 „Ieslodzījumu vietas”</w:t>
      </w:r>
    </w:p>
    <w:p w:rsidR="00A52C24" w:rsidRPr="00246611" w:rsidRDefault="00A52C24" w:rsidP="00AC1DA1">
      <w:pPr>
        <w:ind w:firstLine="709"/>
        <w:rPr>
          <w:rFonts w:eastAsia="Calibri" w:cs="Times New Roman"/>
          <w:sz w:val="26"/>
          <w:szCs w:val="26"/>
          <w:lang w:eastAsia="lv-LV"/>
        </w:rPr>
      </w:pPr>
    </w:p>
    <w:p w:rsidR="00631926" w:rsidRPr="00246611" w:rsidRDefault="00631926" w:rsidP="00631926">
      <w:pPr>
        <w:ind w:firstLine="709"/>
        <w:contextualSpacing/>
        <w:rPr>
          <w:rFonts w:eastAsia="Times New Roman" w:cs="Times New Roman"/>
          <w:sz w:val="26"/>
          <w:szCs w:val="26"/>
        </w:rPr>
      </w:pPr>
      <w:r w:rsidRPr="00246611">
        <w:rPr>
          <w:rFonts w:eastAsia="Times New Roman" w:cs="Times New Roman"/>
          <w:sz w:val="26"/>
          <w:szCs w:val="26"/>
        </w:rPr>
        <w:t>1.</w:t>
      </w:r>
      <w:r w:rsidR="00920257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Atbalstīt Tieslietu ministrijas budžeta apakšprogrammā 04.01.00 „Ieslodzījuma vietas” 2014.</w:t>
      </w:r>
      <w:r w:rsidR="00A50246" w:rsidRPr="00F2696E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gadā uzsāktajai jaunajai politikas iniciatīvai „Mutvārdu un procesuālo dokumentu tulkošana atbilstoši Kriminālprocesa likumam” paredzētās apropriācijas 342 383 </w:t>
      </w:r>
      <w:proofErr w:type="spellStart"/>
      <w:r w:rsidRPr="00246611">
        <w:rPr>
          <w:rFonts w:eastAsia="Times New Roman" w:cs="Times New Roman"/>
          <w:i/>
          <w:sz w:val="26"/>
          <w:szCs w:val="26"/>
        </w:rPr>
        <w:t>euro</w:t>
      </w:r>
      <w:proofErr w:type="spellEnd"/>
      <w:r w:rsidRPr="00246611">
        <w:rPr>
          <w:rFonts w:eastAsia="Times New Roman" w:cs="Times New Roman"/>
          <w:sz w:val="26"/>
          <w:szCs w:val="26"/>
        </w:rPr>
        <w:t xml:space="preserve"> apmērā pārdali apakšprogrammas ietvaros, tai skaitā izdevumiem atlīdzībai 224 500 </w:t>
      </w:r>
      <w:proofErr w:type="spellStart"/>
      <w:r w:rsidRPr="00246611">
        <w:rPr>
          <w:rFonts w:eastAsia="Times New Roman" w:cs="Times New Roman"/>
          <w:i/>
          <w:sz w:val="26"/>
          <w:szCs w:val="26"/>
        </w:rPr>
        <w:t>euro</w:t>
      </w:r>
      <w:proofErr w:type="spellEnd"/>
      <w:r w:rsidRPr="00246611">
        <w:rPr>
          <w:rFonts w:eastAsia="Times New Roman" w:cs="Times New Roman"/>
          <w:sz w:val="26"/>
          <w:szCs w:val="26"/>
        </w:rPr>
        <w:t xml:space="preserve"> apmērā (tai skaitā atalgojumam 181 649 </w:t>
      </w:r>
      <w:proofErr w:type="spellStart"/>
      <w:r w:rsidRPr="00246611">
        <w:rPr>
          <w:rFonts w:eastAsia="Times New Roman" w:cs="Times New Roman"/>
          <w:i/>
          <w:sz w:val="26"/>
          <w:szCs w:val="26"/>
        </w:rPr>
        <w:t>euro</w:t>
      </w:r>
      <w:proofErr w:type="spellEnd"/>
      <w:r w:rsidRPr="00246611">
        <w:rPr>
          <w:rFonts w:eastAsia="Times New Roman" w:cs="Times New Roman"/>
          <w:i/>
          <w:sz w:val="26"/>
          <w:szCs w:val="26"/>
        </w:rPr>
        <w:t>)</w:t>
      </w:r>
      <w:r w:rsidRPr="00246611">
        <w:rPr>
          <w:rFonts w:eastAsia="Times New Roman" w:cs="Times New Roman"/>
          <w:sz w:val="26"/>
          <w:szCs w:val="26"/>
        </w:rPr>
        <w:t>, lai nodrošinātu mēnešalgas palielināšanu Ieslodzījuma vietu pārvaldes darbiniekiem un izdevumiem precēm un pakalpojumiem 117 883 </w:t>
      </w:r>
      <w:proofErr w:type="spellStart"/>
      <w:r w:rsidRPr="00246611">
        <w:rPr>
          <w:rFonts w:eastAsia="Times New Roman" w:cs="Times New Roman"/>
          <w:i/>
          <w:sz w:val="26"/>
          <w:szCs w:val="26"/>
        </w:rPr>
        <w:t>euro</w:t>
      </w:r>
      <w:proofErr w:type="spellEnd"/>
      <w:r w:rsidRPr="00246611">
        <w:rPr>
          <w:rFonts w:eastAsia="Times New Roman" w:cs="Times New Roman"/>
          <w:sz w:val="26"/>
          <w:szCs w:val="26"/>
        </w:rPr>
        <w:t xml:space="preserve"> apmērā Jēkabpils cietuma 7.vienības remontam un aprīkošanai.</w:t>
      </w:r>
    </w:p>
    <w:p w:rsidR="00631926" w:rsidRPr="00246611" w:rsidRDefault="00631926" w:rsidP="00631926">
      <w:pPr>
        <w:ind w:firstLine="709"/>
        <w:rPr>
          <w:sz w:val="26"/>
          <w:szCs w:val="26"/>
        </w:rPr>
      </w:pPr>
      <w:r w:rsidRPr="00246611">
        <w:rPr>
          <w:sz w:val="26"/>
          <w:szCs w:val="26"/>
        </w:rPr>
        <w:t>2.</w:t>
      </w:r>
      <w:r w:rsidR="00920257">
        <w:rPr>
          <w:sz w:val="26"/>
          <w:szCs w:val="26"/>
        </w:rPr>
        <w:t> </w:t>
      </w:r>
      <w:r w:rsidRPr="00246611">
        <w:rPr>
          <w:sz w:val="26"/>
          <w:szCs w:val="26"/>
        </w:rPr>
        <w:t>Tieslietu ministrijai:</w:t>
      </w:r>
    </w:p>
    <w:p w:rsidR="00631926" w:rsidRPr="00246611" w:rsidRDefault="00631926" w:rsidP="00631926">
      <w:pPr>
        <w:ind w:firstLine="709"/>
        <w:rPr>
          <w:sz w:val="26"/>
          <w:szCs w:val="26"/>
        </w:rPr>
      </w:pPr>
      <w:r w:rsidRPr="00246611">
        <w:rPr>
          <w:sz w:val="26"/>
          <w:szCs w:val="26"/>
        </w:rPr>
        <w:t>2.1.</w:t>
      </w:r>
      <w:r w:rsidR="00920257">
        <w:rPr>
          <w:sz w:val="26"/>
          <w:szCs w:val="26"/>
        </w:rPr>
        <w:t> </w:t>
      </w:r>
      <w:r w:rsidRPr="00246611">
        <w:rPr>
          <w:sz w:val="26"/>
          <w:szCs w:val="26"/>
        </w:rPr>
        <w:t>nodrošināt šā rīkojuma 1.</w:t>
      </w:r>
      <w:r w:rsidR="00920257">
        <w:rPr>
          <w:sz w:val="26"/>
          <w:szCs w:val="26"/>
        </w:rPr>
        <w:t> </w:t>
      </w:r>
      <w:r w:rsidRPr="00246611">
        <w:rPr>
          <w:sz w:val="26"/>
          <w:szCs w:val="26"/>
        </w:rPr>
        <w:t xml:space="preserve">punktā </w:t>
      </w:r>
      <w:r w:rsidR="00CC3A60" w:rsidRPr="00CC3A60">
        <w:rPr>
          <w:sz w:val="26"/>
          <w:szCs w:val="26"/>
        </w:rPr>
        <w:t>minēt</w:t>
      </w:r>
      <w:r w:rsidR="00CC3A60">
        <w:rPr>
          <w:sz w:val="26"/>
          <w:szCs w:val="26"/>
        </w:rPr>
        <w:t>ās</w:t>
      </w:r>
      <w:r w:rsidRPr="00246611">
        <w:rPr>
          <w:sz w:val="26"/>
          <w:szCs w:val="26"/>
        </w:rPr>
        <w:t xml:space="preserve"> mēnešalgas palielināšanu Ieslodzījuma vietu pārvaldes darbiniekiem 2017.</w:t>
      </w:r>
      <w:r w:rsidR="00A50246" w:rsidRPr="00F2696E">
        <w:rPr>
          <w:rFonts w:eastAsia="Times New Roman" w:cs="Times New Roman"/>
          <w:sz w:val="26"/>
          <w:szCs w:val="26"/>
        </w:rPr>
        <w:t> </w:t>
      </w:r>
      <w:r w:rsidRPr="00246611">
        <w:rPr>
          <w:sz w:val="26"/>
          <w:szCs w:val="26"/>
        </w:rPr>
        <w:t xml:space="preserve">gadā un turpmāk </w:t>
      </w:r>
      <w:r w:rsidR="00CC3A60">
        <w:rPr>
          <w:sz w:val="26"/>
          <w:szCs w:val="26"/>
        </w:rPr>
        <w:t xml:space="preserve">no </w:t>
      </w:r>
      <w:r w:rsidRPr="00246611">
        <w:rPr>
          <w:sz w:val="26"/>
          <w:szCs w:val="26"/>
        </w:rPr>
        <w:t>2015.</w:t>
      </w:r>
      <w:r w:rsidR="00A50246" w:rsidRPr="00F2696E">
        <w:rPr>
          <w:rFonts w:eastAsia="Times New Roman" w:cs="Times New Roman"/>
          <w:sz w:val="26"/>
          <w:szCs w:val="26"/>
        </w:rPr>
        <w:t> </w:t>
      </w:r>
      <w:r w:rsidR="00CC3A60" w:rsidRPr="00CC3A60">
        <w:rPr>
          <w:sz w:val="26"/>
          <w:szCs w:val="26"/>
        </w:rPr>
        <w:t>gadā uzsākt</w:t>
      </w:r>
      <w:r w:rsidR="00CC3A60">
        <w:rPr>
          <w:sz w:val="26"/>
          <w:szCs w:val="26"/>
        </w:rPr>
        <w:t>ās</w:t>
      </w:r>
      <w:r w:rsidR="00CC3A60" w:rsidRPr="00CC3A60">
        <w:rPr>
          <w:sz w:val="26"/>
          <w:szCs w:val="26"/>
        </w:rPr>
        <w:t xml:space="preserve"> jaun</w:t>
      </w:r>
      <w:r w:rsidR="00CC3A60">
        <w:rPr>
          <w:sz w:val="26"/>
          <w:szCs w:val="26"/>
        </w:rPr>
        <w:t xml:space="preserve">ās </w:t>
      </w:r>
      <w:r w:rsidR="00CC3A60" w:rsidRPr="00CC3A60">
        <w:rPr>
          <w:sz w:val="26"/>
          <w:szCs w:val="26"/>
        </w:rPr>
        <w:t>politikas iniciatīva</w:t>
      </w:r>
      <w:r w:rsidR="00CC3A60">
        <w:rPr>
          <w:sz w:val="26"/>
          <w:szCs w:val="26"/>
        </w:rPr>
        <w:t>s</w:t>
      </w:r>
      <w:r w:rsidRPr="00246611">
        <w:rPr>
          <w:sz w:val="26"/>
          <w:szCs w:val="26"/>
        </w:rPr>
        <w:t xml:space="preserve"> „Uz vienlīdzīgiem principiem balstītas atlīdzības nodrošināšana Ieslodzījuma vietu pārvaldei, tai skaitā ārstniecības personām</w:t>
      </w:r>
      <w:r w:rsidR="00CC3A60" w:rsidRPr="00CC3A60">
        <w:rPr>
          <w:sz w:val="26"/>
          <w:szCs w:val="26"/>
        </w:rPr>
        <w:t>”</w:t>
      </w:r>
      <w:r w:rsidR="00CC3A60">
        <w:rPr>
          <w:sz w:val="26"/>
          <w:szCs w:val="26"/>
        </w:rPr>
        <w:t xml:space="preserve"> piešķirtā finansējuma</w:t>
      </w:r>
      <w:r w:rsidRPr="00246611">
        <w:rPr>
          <w:sz w:val="26"/>
          <w:szCs w:val="26"/>
        </w:rPr>
        <w:t>;</w:t>
      </w:r>
    </w:p>
    <w:p w:rsidR="00631926" w:rsidRPr="00246611" w:rsidRDefault="00631926" w:rsidP="00631926">
      <w:pPr>
        <w:ind w:firstLine="709"/>
        <w:rPr>
          <w:rFonts w:eastAsia="Times New Roman" w:cs="Times New Roman"/>
          <w:sz w:val="26"/>
          <w:szCs w:val="26"/>
        </w:rPr>
      </w:pPr>
      <w:r w:rsidRPr="00246611">
        <w:rPr>
          <w:sz w:val="26"/>
          <w:szCs w:val="26"/>
        </w:rPr>
        <w:t>2.2.</w:t>
      </w:r>
      <w:r w:rsidR="00920257">
        <w:rPr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normatīvajos aktos noteiktajā kārtībā sagatavot un iesniegt Finanšu ministrijā pieprasījumu valsts budžeta apropriācijas pārdalei atbilstoši šā rīkojuma 1.punktam;</w:t>
      </w:r>
    </w:p>
    <w:p w:rsidR="00631926" w:rsidRPr="00246611" w:rsidRDefault="00631926" w:rsidP="00631926">
      <w:pPr>
        <w:ind w:firstLine="709"/>
        <w:rPr>
          <w:sz w:val="26"/>
          <w:szCs w:val="26"/>
        </w:rPr>
      </w:pPr>
      <w:r w:rsidRPr="00246611">
        <w:rPr>
          <w:rFonts w:eastAsia="Times New Roman" w:cs="Times New Roman"/>
          <w:sz w:val="26"/>
          <w:szCs w:val="26"/>
        </w:rPr>
        <w:t>2.3.</w:t>
      </w:r>
      <w:r w:rsidR="00920257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nodrošināt jaunās politikas iniciatīvas „Mutvārdu un procesuālo dokumentu tulkošana atbilstoši Kriminālprocesa likumam” izpildi 2016.</w:t>
      </w:r>
      <w:r w:rsidR="00A50246" w:rsidRPr="00F2696E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gadā un turpmāk tai piešķirto valsts budžeta līdzekļu ietvaros.</w:t>
      </w:r>
    </w:p>
    <w:p w:rsidR="00631926" w:rsidRPr="00246611" w:rsidRDefault="00631926" w:rsidP="00631926">
      <w:pPr>
        <w:rPr>
          <w:rFonts w:eastAsia="Times New Roman" w:cs="Times New Roman"/>
          <w:sz w:val="26"/>
          <w:szCs w:val="26"/>
        </w:rPr>
      </w:pPr>
      <w:r w:rsidRPr="00246611">
        <w:rPr>
          <w:rFonts w:eastAsia="Times New Roman" w:cs="Times New Roman"/>
          <w:sz w:val="26"/>
          <w:szCs w:val="26"/>
        </w:rPr>
        <w:t>3.</w:t>
      </w:r>
      <w:r w:rsidR="00920257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Finanšu ministram normatīvajos aktos noteiktajā kārtībā informēt Saeimas Budžeta un finanšu (nodokļu) komisiju par šā rīkojuma 1.</w:t>
      </w:r>
      <w:r w:rsidR="00920257">
        <w:rPr>
          <w:rFonts w:eastAsia="Times New Roman" w:cs="Times New Roman"/>
          <w:sz w:val="26"/>
          <w:szCs w:val="26"/>
        </w:rPr>
        <w:t> </w:t>
      </w:r>
      <w:r w:rsidRPr="00246611">
        <w:rPr>
          <w:rFonts w:eastAsia="Times New Roman" w:cs="Times New Roman"/>
          <w:sz w:val="26"/>
          <w:szCs w:val="26"/>
        </w:rPr>
        <w:t>punktā minēto apropriācijas pārdali un pēc Saeimas Budžeta un finanšu (nodokļu) komisijas atļaujas saņemšanas veikt apropriācijas pārdali.</w:t>
      </w:r>
    </w:p>
    <w:p w:rsidR="00A52C24" w:rsidRPr="00246611" w:rsidRDefault="00A52C24" w:rsidP="00EA61F4">
      <w:pPr>
        <w:ind w:firstLine="709"/>
        <w:rPr>
          <w:sz w:val="26"/>
          <w:szCs w:val="26"/>
        </w:rPr>
      </w:pP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  <w:r w:rsidRPr="00246611">
        <w:rPr>
          <w:rFonts w:eastAsia="Times New Roman" w:cs="Times New Roman"/>
          <w:bCs/>
          <w:sz w:val="26"/>
          <w:szCs w:val="26"/>
          <w:lang w:eastAsia="lv-LV"/>
        </w:rPr>
        <w:t>Ministru prezidents</w:t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A52C24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F84C18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F84C18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>Māris Kučinskis</w:t>
      </w:r>
    </w:p>
    <w:p w:rsidR="00AC1DA1" w:rsidRPr="00246611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  <w:r w:rsidRPr="00246611">
        <w:rPr>
          <w:rFonts w:eastAsia="Times New Roman" w:cs="Times New Roman"/>
          <w:bCs/>
          <w:sz w:val="26"/>
          <w:szCs w:val="26"/>
          <w:lang w:eastAsia="lv-LV"/>
        </w:rPr>
        <w:t>Tieslietu ministrs</w:t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A52C24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F84C18">
        <w:rPr>
          <w:rFonts w:eastAsia="Times New Roman" w:cs="Times New Roman"/>
          <w:bCs/>
          <w:sz w:val="26"/>
          <w:szCs w:val="26"/>
          <w:lang w:eastAsia="lv-LV"/>
        </w:rPr>
        <w:tab/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F84C18">
        <w:rPr>
          <w:rFonts w:eastAsia="Times New Roman" w:cs="Times New Roman"/>
          <w:bCs/>
          <w:sz w:val="26"/>
          <w:szCs w:val="26"/>
          <w:lang w:eastAsia="lv-LV"/>
        </w:rPr>
        <w:t>D</w:t>
      </w:r>
      <w:r w:rsidRPr="00246611">
        <w:rPr>
          <w:rFonts w:eastAsia="Times New Roman" w:cs="Times New Roman"/>
          <w:bCs/>
          <w:sz w:val="26"/>
          <w:szCs w:val="26"/>
          <w:lang w:eastAsia="lv-LV"/>
        </w:rPr>
        <w:t>zintars Rasnačs</w:t>
      </w:r>
    </w:p>
    <w:p w:rsidR="00AC1DA1" w:rsidRPr="00246611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</w:p>
    <w:p w:rsidR="00AC1DA1" w:rsidRPr="00246611" w:rsidRDefault="00AC1DA1" w:rsidP="00AC1DA1">
      <w:pPr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  <w:r w:rsidRPr="00246611">
        <w:rPr>
          <w:rFonts w:eastAsia="Times New Roman" w:cs="Times New Roman"/>
          <w:bCs/>
          <w:sz w:val="26"/>
          <w:szCs w:val="26"/>
          <w:lang w:eastAsia="lv-LV"/>
        </w:rPr>
        <w:t>Iesniedzējs:</w:t>
      </w:r>
    </w:p>
    <w:p w:rsidR="00B63ACE" w:rsidRPr="00246611" w:rsidRDefault="00946B8F" w:rsidP="00B63ACE">
      <w:pPr>
        <w:spacing w:line="276" w:lineRule="auto"/>
        <w:ind w:firstLine="0"/>
        <w:jc w:val="left"/>
        <w:rPr>
          <w:rFonts w:eastAsia="Times New Roman" w:cs="Times New Roman"/>
          <w:bCs/>
          <w:sz w:val="26"/>
          <w:szCs w:val="26"/>
          <w:lang w:eastAsia="lv-LV"/>
        </w:rPr>
      </w:pPr>
      <w:r w:rsidRPr="00246611">
        <w:rPr>
          <w:rFonts w:eastAsia="Times New Roman" w:cs="Times New Roman"/>
          <w:bCs/>
          <w:sz w:val="26"/>
          <w:szCs w:val="26"/>
          <w:lang w:eastAsia="lv-LV"/>
        </w:rPr>
        <w:t>t</w:t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>ieslietu ministrs</w:t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F84C18">
        <w:rPr>
          <w:rFonts w:eastAsia="Times New Roman" w:cs="Times New Roman"/>
          <w:bCs/>
          <w:sz w:val="26"/>
          <w:szCs w:val="26"/>
          <w:lang w:eastAsia="lv-LV"/>
        </w:rPr>
        <w:tab/>
      </w:r>
      <w:r w:rsidR="00B63ACE" w:rsidRPr="00246611">
        <w:rPr>
          <w:rFonts w:eastAsia="Times New Roman" w:cs="Times New Roman"/>
          <w:bCs/>
          <w:sz w:val="26"/>
          <w:szCs w:val="26"/>
          <w:lang w:eastAsia="lv-LV"/>
        </w:rPr>
        <w:t>Dzintars Rasnačs</w:t>
      </w:r>
    </w:p>
    <w:p w:rsidR="003D6CD4" w:rsidRDefault="003D6CD4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AC1DA1" w:rsidRPr="002E7875" w:rsidRDefault="005C5122" w:rsidP="00246611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06</w:t>
      </w:r>
      <w:r w:rsidR="00901073" w:rsidRPr="002E7875">
        <w:rPr>
          <w:rFonts w:eastAsia="Calibri" w:cs="Times New Roman"/>
          <w:bCs/>
          <w:sz w:val="20"/>
          <w:szCs w:val="20"/>
          <w:lang w:eastAsia="lv-LV"/>
        </w:rPr>
        <w:t>.06</w:t>
      </w:r>
      <w:r w:rsidR="00AC1DA1" w:rsidRPr="002E7875">
        <w:rPr>
          <w:rFonts w:eastAsia="Calibri" w:cs="Times New Roman"/>
          <w:bCs/>
          <w:sz w:val="20"/>
          <w:szCs w:val="20"/>
          <w:lang w:eastAsia="lv-LV"/>
        </w:rPr>
        <w:t xml:space="preserve">.2016. </w:t>
      </w:r>
      <w:r>
        <w:rPr>
          <w:rFonts w:eastAsia="Calibri" w:cs="Times New Roman"/>
          <w:bCs/>
          <w:sz w:val="20"/>
          <w:szCs w:val="20"/>
          <w:lang w:eastAsia="lv-LV"/>
        </w:rPr>
        <w:t>09</w:t>
      </w:r>
      <w:r w:rsidR="00901073" w:rsidRPr="002E7875">
        <w:rPr>
          <w:rFonts w:eastAsia="Calibri" w:cs="Times New Roman"/>
          <w:bCs/>
          <w:sz w:val="20"/>
          <w:szCs w:val="20"/>
          <w:lang w:eastAsia="lv-LV"/>
        </w:rPr>
        <w:t>:</w:t>
      </w:r>
      <w:r w:rsidR="009D63F4">
        <w:rPr>
          <w:rFonts w:eastAsia="Calibri" w:cs="Times New Roman"/>
          <w:bCs/>
          <w:sz w:val="20"/>
          <w:szCs w:val="20"/>
          <w:lang w:eastAsia="lv-LV"/>
        </w:rPr>
        <w:t>14</w:t>
      </w:r>
    </w:p>
    <w:p w:rsidR="00AC1DA1" w:rsidRPr="002E7875" w:rsidRDefault="006E09B1" w:rsidP="00246611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23</w:t>
      </w:r>
      <w:r w:rsidR="00920257">
        <w:rPr>
          <w:rFonts w:eastAsia="Calibri" w:cs="Times New Roman"/>
          <w:bCs/>
          <w:sz w:val="20"/>
          <w:szCs w:val="20"/>
          <w:lang w:eastAsia="lv-LV"/>
        </w:rPr>
        <w:t>4</w:t>
      </w:r>
    </w:p>
    <w:p w:rsidR="000559C4" w:rsidRDefault="000F212B" w:rsidP="00631926">
      <w:pPr>
        <w:ind w:firstLine="0"/>
        <w:rPr>
          <w:sz w:val="20"/>
        </w:rPr>
      </w:pPr>
      <w:r>
        <w:rPr>
          <w:sz w:val="20"/>
        </w:rPr>
        <w:t xml:space="preserve">I.Vavilova </w:t>
      </w:r>
    </w:p>
    <w:p w:rsidR="000F212B" w:rsidRPr="003D6CD4" w:rsidRDefault="000F212B" w:rsidP="005C5122">
      <w:pPr>
        <w:ind w:firstLine="0"/>
        <w:rPr>
          <w:rFonts w:eastAsia="Calibri" w:cs="Times New Roman"/>
          <w:bCs/>
          <w:sz w:val="20"/>
          <w:szCs w:val="20"/>
          <w:lang w:eastAsia="lv-LV"/>
        </w:rPr>
      </w:pPr>
      <w:r>
        <w:rPr>
          <w:sz w:val="20"/>
        </w:rPr>
        <w:t>67036752</w:t>
      </w:r>
      <w:r w:rsidR="000559C4">
        <w:rPr>
          <w:sz w:val="20"/>
        </w:rPr>
        <w:t>,</w:t>
      </w:r>
      <w:r w:rsidR="000559C4" w:rsidRPr="009D63F4">
        <w:rPr>
          <w:sz w:val="20"/>
        </w:rPr>
        <w:t xml:space="preserve"> </w:t>
      </w:r>
      <w:hyperlink r:id="rId9" w:history="1">
        <w:r w:rsidRPr="009D63F4">
          <w:rPr>
            <w:rStyle w:val="Hipersaite"/>
            <w:color w:val="auto"/>
            <w:sz w:val="20"/>
            <w:u w:val="none"/>
          </w:rPr>
          <w:t>Inga.Vavilova@tm.gov.lv</w:t>
        </w:r>
      </w:hyperlink>
    </w:p>
    <w:sectPr w:rsidR="000F212B" w:rsidRPr="003D6CD4" w:rsidSect="005F124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98" w:rsidRDefault="00523298" w:rsidP="00AC1DA1">
      <w:r>
        <w:separator/>
      </w:r>
    </w:p>
  </w:endnote>
  <w:endnote w:type="continuationSeparator" w:id="0">
    <w:p w:rsidR="00523298" w:rsidRDefault="00523298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9" w:rsidRDefault="00824D99">
    <w:pPr>
      <w:pStyle w:val="Kjen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6" w:rsidRPr="00A50246" w:rsidRDefault="005C5122" w:rsidP="00B63ACE">
    <w:pPr>
      <w:ind w:firstLine="0"/>
      <w:rPr>
        <w:sz w:val="20"/>
        <w:szCs w:val="20"/>
      </w:rPr>
    </w:pPr>
    <w:r>
      <w:rPr>
        <w:sz w:val="20"/>
        <w:szCs w:val="20"/>
      </w:rPr>
      <w:t>TMRik_</w:t>
    </w:r>
    <w:r w:rsidR="00920257">
      <w:rPr>
        <w:sz w:val="20"/>
        <w:szCs w:val="20"/>
      </w:rPr>
      <w:t>100616</w:t>
    </w:r>
    <w:r w:rsidR="00A50246">
      <w:rPr>
        <w:sz w:val="20"/>
        <w:szCs w:val="20"/>
      </w:rPr>
      <w:t xml:space="preserve">_IeVP; </w:t>
    </w:r>
    <w:r w:rsidR="00A50246" w:rsidRPr="00A50246">
      <w:rPr>
        <w:sz w:val="20"/>
        <w:szCs w:val="20"/>
      </w:rPr>
      <w:t xml:space="preserve">Ministru kabineta rīkojuma projekts </w:t>
    </w:r>
    <w:r w:rsidRPr="00A50246">
      <w:rPr>
        <w:sz w:val="20"/>
        <w:szCs w:val="20"/>
      </w:rPr>
      <w:t>„</w:t>
    </w:r>
    <w:r w:rsidR="00A50246" w:rsidRPr="00A50246">
      <w:rPr>
        <w:sz w:val="20"/>
        <w:szCs w:val="20"/>
      </w:rPr>
      <w:t>Par apropriācijas pārdali Tieslietu ministrijas budžeta apakšprogrammā 04.01.00 „Ieslodzījumu vietas”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98" w:rsidRDefault="00523298" w:rsidP="00AC1DA1">
      <w:r>
        <w:separator/>
      </w:r>
    </w:p>
  </w:footnote>
  <w:footnote w:type="continuationSeparator" w:id="0">
    <w:p w:rsidR="00523298" w:rsidRDefault="00523298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9" w:rsidRDefault="00824D9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122">
      <w:rPr>
        <w:noProof/>
      </w:rPr>
      <w:t>2</w:t>
    </w:r>
    <w:r>
      <w:fldChar w:fldCharType="end"/>
    </w:r>
  </w:p>
  <w:p w:rsidR="00824D99" w:rsidRDefault="00824D9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1"/>
    <w:rsid w:val="00006B49"/>
    <w:rsid w:val="00030759"/>
    <w:rsid w:val="000559C4"/>
    <w:rsid w:val="000A3C31"/>
    <w:rsid w:val="000B41B5"/>
    <w:rsid w:val="000F212B"/>
    <w:rsid w:val="000F5950"/>
    <w:rsid w:val="001026E8"/>
    <w:rsid w:val="00141358"/>
    <w:rsid w:val="001D1CDD"/>
    <w:rsid w:val="0021382A"/>
    <w:rsid w:val="002235CE"/>
    <w:rsid w:val="00246611"/>
    <w:rsid w:val="00267FCD"/>
    <w:rsid w:val="002C010B"/>
    <w:rsid w:val="002D09CC"/>
    <w:rsid w:val="002D48CE"/>
    <w:rsid w:val="002E7875"/>
    <w:rsid w:val="003021AF"/>
    <w:rsid w:val="00336A64"/>
    <w:rsid w:val="003D6CD4"/>
    <w:rsid w:val="004A7807"/>
    <w:rsid w:val="00523298"/>
    <w:rsid w:val="00573B9E"/>
    <w:rsid w:val="00574AC3"/>
    <w:rsid w:val="005C5122"/>
    <w:rsid w:val="005D1002"/>
    <w:rsid w:val="005F1247"/>
    <w:rsid w:val="005F7FDD"/>
    <w:rsid w:val="00631926"/>
    <w:rsid w:val="00637269"/>
    <w:rsid w:val="006E09B1"/>
    <w:rsid w:val="006F16F9"/>
    <w:rsid w:val="00751E28"/>
    <w:rsid w:val="00792583"/>
    <w:rsid w:val="007B250A"/>
    <w:rsid w:val="007D795A"/>
    <w:rsid w:val="00824D99"/>
    <w:rsid w:val="00854937"/>
    <w:rsid w:val="008B7EA0"/>
    <w:rsid w:val="008D6367"/>
    <w:rsid w:val="00900CA7"/>
    <w:rsid w:val="00901073"/>
    <w:rsid w:val="00920257"/>
    <w:rsid w:val="00946B8F"/>
    <w:rsid w:val="009D63F4"/>
    <w:rsid w:val="00A2608F"/>
    <w:rsid w:val="00A50246"/>
    <w:rsid w:val="00A52C24"/>
    <w:rsid w:val="00AC1DA1"/>
    <w:rsid w:val="00B439FF"/>
    <w:rsid w:val="00B63ACE"/>
    <w:rsid w:val="00B64D0C"/>
    <w:rsid w:val="00B67840"/>
    <w:rsid w:val="00BB7E3D"/>
    <w:rsid w:val="00CB6D2B"/>
    <w:rsid w:val="00CC3A60"/>
    <w:rsid w:val="00D27A21"/>
    <w:rsid w:val="00E47FA9"/>
    <w:rsid w:val="00E65D25"/>
    <w:rsid w:val="00EA61F4"/>
    <w:rsid w:val="00ED4535"/>
    <w:rsid w:val="00F055C6"/>
    <w:rsid w:val="00F84C18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Sarakstarindkopa">
    <w:name w:val="List Paragraph"/>
    <w:basedOn w:val="Parasts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Noklusjumarindkopasfonts"/>
    <w:uiPriority w:val="99"/>
    <w:rsid w:val="00EA61F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25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250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250D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25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ipersaite">
    <w:name w:val="Hyperlink"/>
    <w:uiPriority w:val="99"/>
    <w:rsid w:val="002235CE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267F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Sarakstarindkopa">
    <w:name w:val="List Paragraph"/>
    <w:basedOn w:val="Parasts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Noklusjumarindkopasfonts"/>
    <w:uiPriority w:val="99"/>
    <w:rsid w:val="00EA61F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25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250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250D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25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ipersaite">
    <w:name w:val="Hyperlink"/>
    <w:uiPriority w:val="99"/>
    <w:rsid w:val="002235CE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267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a.Vavilova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7B54-A26A-4993-A9C2-3973CB0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apropriācijas pārdali Tieslietu ministrijas budžeta apakšprogrammā 04.01.00 „Ieslodzījumu vietas”</vt:lpstr>
    </vt:vector>
  </TitlesOfParts>
  <Company>Tieslietu Sektors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Tieslietu ministrijas budžeta apakšprogrammā 04.01.00 „Ieslodzījumu vietas”</dc:title>
  <dc:subject>Ministru kabineta rīkojuma projekts</dc:subject>
  <dc:creator>I.Vavilova</dc:creator>
  <dc:description>67036752, Inga.Vavilova@tm.gov.lv</dc:description>
  <cp:lastModifiedBy>Liga Kalnina</cp:lastModifiedBy>
  <cp:revision>2</cp:revision>
  <cp:lastPrinted>2016-04-08T11:13:00Z</cp:lastPrinted>
  <dcterms:created xsi:type="dcterms:W3CDTF">2016-06-09T08:29:00Z</dcterms:created>
  <dcterms:modified xsi:type="dcterms:W3CDTF">2016-06-09T08:29:00Z</dcterms:modified>
</cp:coreProperties>
</file>