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14" w:rsidRDefault="003D031A" w:rsidP="002B1114">
      <w:pPr>
        <w:pStyle w:val="Title"/>
      </w:pPr>
      <w:r>
        <w:t>M</w:t>
      </w:r>
      <w:r w:rsidR="000B7CDC" w:rsidRPr="002B1114">
        <w:t>inistru kabineta noteikumu projekta</w:t>
      </w:r>
      <w:r w:rsidR="002B1114" w:rsidRPr="002B1114">
        <w:t xml:space="preserve"> </w:t>
      </w:r>
    </w:p>
    <w:p w:rsidR="002B1114" w:rsidRPr="00217625" w:rsidRDefault="002B1114" w:rsidP="002B1114">
      <w:pPr>
        <w:pStyle w:val="Title"/>
      </w:pPr>
      <w:r w:rsidRPr="00217625">
        <w:t>„</w:t>
      </w:r>
      <w:r w:rsidR="00217625" w:rsidRPr="00217625">
        <w:t>Īpašās vides prasības celulozes, papīra vai kartona ražošanai</w:t>
      </w:r>
      <w:r w:rsidRPr="00217625">
        <w:t xml:space="preserve">” </w:t>
      </w:r>
    </w:p>
    <w:p w:rsidR="002B1114" w:rsidRPr="002B1114" w:rsidRDefault="002B1114" w:rsidP="002B1114">
      <w:pPr>
        <w:pStyle w:val="Title"/>
      </w:pPr>
      <w:r w:rsidRPr="002B1114">
        <w:t xml:space="preserve">sākotnējās ietekmes novērtējuma </w:t>
      </w:r>
      <w:smartTag w:uri="schemas-tilde-lv/tildestengine" w:element="veidnes">
        <w:smartTagPr>
          <w:attr w:name="text" w:val="ziņojums"/>
          <w:attr w:name="baseform" w:val="ziņojums"/>
          <w:attr w:name="id" w:val="-1"/>
        </w:smartTagPr>
        <w:r w:rsidRPr="002B1114">
          <w:t>ziņojums</w:t>
        </w:r>
      </w:smartTag>
      <w:r w:rsidRPr="002B1114">
        <w:t xml:space="preserve"> (anotācija)</w:t>
      </w:r>
    </w:p>
    <w:p w:rsidR="000B7CDC" w:rsidRPr="000B7CDC" w:rsidRDefault="000B7CDC" w:rsidP="000B7CDC">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7336"/>
      </w:tblGrid>
      <w:tr w:rsidR="000B7CDC" w:rsidRPr="000B7CDC" w:rsidTr="002613D7">
        <w:tc>
          <w:tcPr>
            <w:tcW w:w="9463" w:type="dxa"/>
            <w:gridSpan w:val="3"/>
          </w:tcPr>
          <w:p w:rsidR="000B7CDC" w:rsidRPr="000B7CDC" w:rsidRDefault="000B7CDC" w:rsidP="001132D1">
            <w:pPr>
              <w:jc w:val="center"/>
              <w:rPr>
                <w:b/>
              </w:rPr>
            </w:pPr>
            <w:r w:rsidRPr="000B7CDC">
              <w:rPr>
                <w:b/>
              </w:rPr>
              <w:t>I. Tiesību akta projekta izstrādes nepieciešamība</w:t>
            </w:r>
          </w:p>
        </w:tc>
      </w:tr>
      <w:tr w:rsidR="000B7CDC" w:rsidRPr="000B7CDC" w:rsidTr="002613D7">
        <w:trPr>
          <w:trHeight w:val="1014"/>
        </w:trPr>
        <w:tc>
          <w:tcPr>
            <w:tcW w:w="568" w:type="dxa"/>
          </w:tcPr>
          <w:p w:rsidR="000B7CDC" w:rsidRPr="000B7CDC" w:rsidRDefault="002B1114" w:rsidP="00E4400F">
            <w:pPr>
              <w:jc w:val="center"/>
            </w:pPr>
            <w:r>
              <w:t>1</w:t>
            </w:r>
            <w:r w:rsidR="004C3F4C">
              <w:t>.</w:t>
            </w:r>
          </w:p>
        </w:tc>
        <w:tc>
          <w:tcPr>
            <w:tcW w:w="1559" w:type="dxa"/>
          </w:tcPr>
          <w:p w:rsidR="00293372" w:rsidRDefault="000B7CDC" w:rsidP="001132D1">
            <w:r w:rsidRPr="000B7CDC">
              <w:t>Pamatojums</w:t>
            </w:r>
          </w:p>
          <w:p w:rsidR="000B7CDC" w:rsidRPr="004C3F4C" w:rsidRDefault="000B7CDC" w:rsidP="004C3F4C"/>
        </w:tc>
        <w:tc>
          <w:tcPr>
            <w:tcW w:w="7336" w:type="dxa"/>
          </w:tcPr>
          <w:p w:rsidR="000B7CDC" w:rsidRPr="00F309BF" w:rsidRDefault="00747CE0" w:rsidP="00F309BF">
            <w:pPr>
              <w:pStyle w:val="naislab"/>
              <w:spacing w:before="0" w:after="0"/>
              <w:jc w:val="both"/>
            </w:pPr>
            <w:r>
              <w:t>Ministru kabineta n</w:t>
            </w:r>
            <w:r w:rsidRPr="00953DF7">
              <w:t xml:space="preserve">oteikumu </w:t>
            </w:r>
            <w:r w:rsidR="002B1114" w:rsidRPr="00953DF7">
              <w:t>projekts „</w:t>
            </w:r>
            <w:r w:rsidR="00217625" w:rsidRPr="00217625">
              <w:rPr>
                <w:bCs/>
              </w:rPr>
              <w:t>Īpašās vides prasības celulozes, papīra vai kartona ražošanai</w:t>
            </w:r>
            <w:r w:rsidR="002B1114" w:rsidRPr="00953DF7">
              <w:rPr>
                <w:bCs/>
              </w:rPr>
              <w:t>” (turpmāk</w:t>
            </w:r>
            <w:r w:rsidR="00F309BF">
              <w:rPr>
                <w:bCs/>
              </w:rPr>
              <w:t xml:space="preserve"> </w:t>
            </w:r>
            <w:r w:rsidR="00F309BF">
              <w:rPr>
                <w:rFonts w:eastAsia="Calibri"/>
                <w:bCs/>
                <w:color w:val="000000"/>
                <w:lang w:eastAsia="en-US"/>
              </w:rPr>
              <w:t>–</w:t>
            </w:r>
            <w:r w:rsidR="002B1114" w:rsidRPr="00953DF7">
              <w:rPr>
                <w:bCs/>
              </w:rPr>
              <w:t xml:space="preserve"> noteikumu projekts) izstrādāts </w:t>
            </w:r>
            <w:r w:rsidR="002B1114">
              <w:t xml:space="preserve">saskaņā ar </w:t>
            </w:r>
            <w:r w:rsidR="002B1114" w:rsidRPr="00953DF7">
              <w:t>likuma „Par piesārņojumu” 24.</w:t>
            </w:r>
            <w:r w:rsidR="002B1114" w:rsidRPr="00953DF7">
              <w:rPr>
                <w:vertAlign w:val="superscript"/>
              </w:rPr>
              <w:t xml:space="preserve">2 </w:t>
            </w:r>
            <w:r w:rsidR="002B1114" w:rsidRPr="00953DF7">
              <w:t>panta otro daļu</w:t>
            </w:r>
            <w:r w:rsidR="002B1114">
              <w:t xml:space="preserve">. </w:t>
            </w:r>
            <w:r w:rsidR="002B1114">
              <w:rPr>
                <w:sz w:val="28"/>
                <w:szCs w:val="28"/>
              </w:rPr>
              <w:t xml:space="preserve"> </w:t>
            </w:r>
          </w:p>
        </w:tc>
      </w:tr>
      <w:tr w:rsidR="002B1114" w:rsidRPr="000B7CDC" w:rsidTr="0021147A">
        <w:trPr>
          <w:trHeight w:val="556"/>
        </w:trPr>
        <w:tc>
          <w:tcPr>
            <w:tcW w:w="568" w:type="dxa"/>
          </w:tcPr>
          <w:p w:rsidR="002B1114" w:rsidRPr="000B7CDC" w:rsidRDefault="002B1114" w:rsidP="001132D1">
            <w:pPr>
              <w:jc w:val="center"/>
            </w:pPr>
            <w:r w:rsidRPr="000B7CDC">
              <w:t>2.</w:t>
            </w:r>
          </w:p>
        </w:tc>
        <w:tc>
          <w:tcPr>
            <w:tcW w:w="1559" w:type="dxa"/>
          </w:tcPr>
          <w:p w:rsidR="002B1114" w:rsidRPr="000B7CDC" w:rsidRDefault="002B1114" w:rsidP="001132D1">
            <w:r w:rsidRPr="000B7CDC">
              <w:t>Pašreizējā situācija un problēmas, kuru risināšanai tiesību akta projekts izstrādāts, tiesiskā regulējuma mērķis un būtība</w:t>
            </w:r>
          </w:p>
        </w:tc>
        <w:tc>
          <w:tcPr>
            <w:tcW w:w="7336" w:type="dxa"/>
          </w:tcPr>
          <w:p w:rsidR="004C3F4C" w:rsidRPr="00853F6B" w:rsidRDefault="004C3F4C" w:rsidP="00230938">
            <w:pPr>
              <w:autoSpaceDE w:val="0"/>
              <w:autoSpaceDN w:val="0"/>
              <w:adjustRightInd w:val="0"/>
              <w:jc w:val="both"/>
              <w:rPr>
                <w:rFonts w:eastAsia="Calibri"/>
                <w:color w:val="000000"/>
                <w:lang w:eastAsia="en-US"/>
              </w:rPr>
            </w:pPr>
            <w:r w:rsidRPr="00853F6B">
              <w:rPr>
                <w:rFonts w:eastAsia="Calibri"/>
                <w:lang w:eastAsia="en-US"/>
              </w:rPr>
              <w:t>2</w:t>
            </w:r>
            <w:r w:rsidR="00217625">
              <w:rPr>
                <w:rFonts w:eastAsia="Calibri"/>
                <w:lang w:eastAsia="en-US"/>
              </w:rPr>
              <w:t xml:space="preserve">014.gada 26.septembrī </w:t>
            </w:r>
            <w:r w:rsidRPr="00853F6B">
              <w:rPr>
                <w:rFonts w:eastAsia="Calibri"/>
                <w:lang w:eastAsia="en-US"/>
              </w:rPr>
              <w:t>tika pieņemts Eiropas Komisijas īstenošanas lēmums</w:t>
            </w:r>
            <w:r w:rsidR="00853F6B" w:rsidRPr="00853F6B">
              <w:rPr>
                <w:rFonts w:eastAsia="Calibri"/>
                <w:lang w:eastAsia="en-US"/>
              </w:rPr>
              <w:t xml:space="preserve"> </w:t>
            </w:r>
            <w:r w:rsidR="00217625">
              <w:rPr>
                <w:rFonts w:eastAsia="Calibri"/>
                <w:color w:val="000000"/>
                <w:lang w:eastAsia="en-US"/>
              </w:rPr>
              <w:t>2014/687/ES</w:t>
            </w:r>
            <w:r w:rsidR="00853F6B" w:rsidRPr="00853F6B">
              <w:rPr>
                <w:rFonts w:eastAsia="Calibri"/>
                <w:color w:val="000000"/>
                <w:lang w:eastAsia="en-US"/>
              </w:rPr>
              <w:t xml:space="preserve">, </w:t>
            </w:r>
            <w:r w:rsidR="00853F6B" w:rsidRPr="004C3F4C">
              <w:rPr>
                <w:rFonts w:eastAsia="Calibri"/>
                <w:bCs/>
                <w:color w:val="000000"/>
                <w:lang w:eastAsia="en-US"/>
              </w:rPr>
              <w:t xml:space="preserve">ar ko pieņem labāko pieejamo tehnisko paņēmienu </w:t>
            </w:r>
            <w:r w:rsidR="008C581C">
              <w:rPr>
                <w:rFonts w:eastAsia="Calibri"/>
                <w:bCs/>
                <w:color w:val="000000"/>
                <w:lang w:eastAsia="en-US"/>
              </w:rPr>
              <w:t>(</w:t>
            </w:r>
            <w:r w:rsidR="00853F6B" w:rsidRPr="004C3F4C">
              <w:rPr>
                <w:rFonts w:eastAsia="Calibri"/>
                <w:bCs/>
                <w:color w:val="000000"/>
                <w:lang w:eastAsia="en-US"/>
              </w:rPr>
              <w:t xml:space="preserve">LPTP) secinājumus </w:t>
            </w:r>
            <w:r w:rsidR="00D630FE">
              <w:rPr>
                <w:rFonts w:eastAsia="Calibri"/>
                <w:bCs/>
                <w:color w:val="000000"/>
                <w:lang w:eastAsia="en-US"/>
              </w:rPr>
              <w:t>celulozes, papīra un kartona ražošanas nozarē</w:t>
            </w:r>
            <w:r w:rsidR="00853F6B" w:rsidRPr="004C3F4C">
              <w:rPr>
                <w:rFonts w:eastAsia="Calibri"/>
                <w:bCs/>
                <w:color w:val="000000"/>
                <w:lang w:eastAsia="en-US"/>
              </w:rPr>
              <w:t xml:space="preserve"> saskaņā ar Eiropas Parlamenta un Padomes Direktīvu 2010/75</w:t>
            </w:r>
            <w:r w:rsidR="00EF27D2">
              <w:rPr>
                <w:rFonts w:eastAsia="Calibri"/>
                <w:bCs/>
                <w:color w:val="000000"/>
                <w:lang w:eastAsia="en-US"/>
              </w:rPr>
              <w:t>/ES par rūpnieciskajām emisijām</w:t>
            </w:r>
            <w:r w:rsidR="00747CE0">
              <w:rPr>
                <w:rFonts w:eastAsia="Calibri"/>
                <w:bCs/>
                <w:color w:val="000000"/>
                <w:lang w:eastAsia="en-US"/>
              </w:rPr>
              <w:t xml:space="preserve"> (turpmāk –</w:t>
            </w:r>
            <w:r w:rsidR="00F309BF">
              <w:rPr>
                <w:rFonts w:eastAsia="Calibri"/>
                <w:bCs/>
                <w:color w:val="000000"/>
                <w:lang w:eastAsia="en-US"/>
              </w:rPr>
              <w:t xml:space="preserve"> </w:t>
            </w:r>
            <w:r w:rsidR="002B59C5">
              <w:rPr>
                <w:rFonts w:eastAsia="Calibri"/>
                <w:bCs/>
                <w:color w:val="000000"/>
                <w:lang w:eastAsia="en-US"/>
              </w:rPr>
              <w:t>Ī</w:t>
            </w:r>
            <w:r w:rsidR="00747CE0">
              <w:rPr>
                <w:rFonts w:eastAsia="Calibri"/>
                <w:bCs/>
                <w:color w:val="000000"/>
                <w:lang w:eastAsia="en-US"/>
              </w:rPr>
              <w:t>stenošanas lēmums)</w:t>
            </w:r>
            <w:r w:rsidR="00EF27D2">
              <w:rPr>
                <w:rFonts w:eastAsia="Calibri"/>
                <w:bCs/>
                <w:color w:val="000000"/>
                <w:lang w:eastAsia="en-US"/>
              </w:rPr>
              <w:t xml:space="preserve">. </w:t>
            </w:r>
          </w:p>
          <w:p w:rsidR="002B1114" w:rsidRPr="00853F6B" w:rsidRDefault="00355040" w:rsidP="00230938">
            <w:pPr>
              <w:autoSpaceDE w:val="0"/>
              <w:autoSpaceDN w:val="0"/>
              <w:adjustRightInd w:val="0"/>
              <w:jc w:val="both"/>
            </w:pPr>
            <w:r>
              <w:t>Īstenošanas l</w:t>
            </w:r>
            <w:r w:rsidR="002B1114" w:rsidRPr="00853F6B">
              <w:t>ēmuma oficiālā publikācija ir pieejama šādā tīmekļa vietnē</w:t>
            </w:r>
            <w:r w:rsidR="008C581C">
              <w:t>:</w:t>
            </w:r>
          </w:p>
          <w:p w:rsidR="00D630FE" w:rsidRDefault="00B84B1D" w:rsidP="00230938">
            <w:pPr>
              <w:autoSpaceDE w:val="0"/>
              <w:autoSpaceDN w:val="0"/>
              <w:adjustRightInd w:val="0"/>
              <w:jc w:val="both"/>
            </w:pPr>
            <w:hyperlink r:id="rId8" w:history="1">
              <w:r w:rsidR="00D630FE" w:rsidRPr="001E7421">
                <w:rPr>
                  <w:rStyle w:val="Hyperlink"/>
                </w:rPr>
                <w:t>http://eur-lex.europa.eu/legal-content/LV/TXT/PDF/?uri=CELEX:32014D0687&amp;from=LV</w:t>
              </w:r>
            </w:hyperlink>
            <w:r w:rsidR="00D630FE">
              <w:t xml:space="preserve"> </w:t>
            </w:r>
          </w:p>
          <w:p w:rsidR="00D630FE" w:rsidRDefault="00D630FE" w:rsidP="00230938">
            <w:pPr>
              <w:autoSpaceDE w:val="0"/>
              <w:autoSpaceDN w:val="0"/>
              <w:adjustRightInd w:val="0"/>
              <w:jc w:val="both"/>
            </w:pPr>
          </w:p>
          <w:p w:rsidR="002B1114" w:rsidRDefault="008C581C" w:rsidP="00230938">
            <w:pPr>
              <w:autoSpaceDE w:val="0"/>
              <w:autoSpaceDN w:val="0"/>
              <w:adjustRightInd w:val="0"/>
              <w:jc w:val="both"/>
            </w:pPr>
            <w:r>
              <w:t xml:space="preserve">Īstenošanas </w:t>
            </w:r>
            <w:r w:rsidR="002B1114" w:rsidRPr="00853F6B">
              <w:t>Lēmums ir adresēts dalībvalstīm, līdz ar to ir izstrādāts</w:t>
            </w:r>
            <w:r w:rsidR="0021147A">
              <w:t xml:space="preserve"> </w:t>
            </w:r>
            <w:r w:rsidR="00747CE0">
              <w:t>noteikumu projekts</w:t>
            </w:r>
            <w:r w:rsidR="0021147A">
              <w:t>,</w:t>
            </w:r>
            <w:r w:rsidR="002B1114" w:rsidRPr="00853F6B">
              <w:t xml:space="preserve"> lai šī lēmuma saturu padarītu saistošu tām privātpersonām, uz kurām lēmuma saturs </w:t>
            </w:r>
            <w:r w:rsidR="00034FEA">
              <w:t>varētu būt</w:t>
            </w:r>
            <w:r w:rsidR="002B1114" w:rsidRPr="00853F6B">
              <w:t xml:space="preserve"> attiecināms.  </w:t>
            </w:r>
          </w:p>
          <w:p w:rsidR="007C5E7F" w:rsidRDefault="001F7EBE" w:rsidP="00230938">
            <w:pPr>
              <w:pStyle w:val="CM1"/>
              <w:jc w:val="both"/>
              <w:rPr>
                <w:bCs/>
                <w:color w:val="000000"/>
              </w:rPr>
            </w:pPr>
            <w:r w:rsidRPr="00C3085B">
              <w:rPr>
                <w:color w:val="000000"/>
              </w:rPr>
              <w:t>Līdz šim īpašas vides prasības</w:t>
            </w:r>
            <w:r w:rsidRPr="00C3085B">
              <w:rPr>
                <w:bCs/>
                <w:color w:val="000000"/>
              </w:rPr>
              <w:t xml:space="preserve"> </w:t>
            </w:r>
            <w:r>
              <w:rPr>
                <w:bCs/>
                <w:color w:val="000000"/>
              </w:rPr>
              <w:t xml:space="preserve">celulozes, papīra un kartona  </w:t>
            </w:r>
            <w:r w:rsidRPr="00C3085B">
              <w:rPr>
                <w:color w:val="000000"/>
              </w:rPr>
              <w:t xml:space="preserve">ražošanai bija iekļautas Eiropas Komisijas vadlīniju dokumentā </w:t>
            </w:r>
            <w:r w:rsidRPr="00BD2BBD">
              <w:rPr>
                <w:color w:val="000000"/>
              </w:rPr>
              <w:t>„Celulozes un papīra rūpniecība” (turpmāk – vadlīniju dokuments).</w:t>
            </w:r>
            <w:r w:rsidRPr="00C3085B">
              <w:rPr>
                <w:color w:val="000000"/>
              </w:rPr>
              <w:t xml:space="preserve"> Pienākums piemērot šī vadlīniju dokumenta prasības iekļauts gan likuma „Par piesārņojumu”, gan Ministru kabineta 2010.gada 30.novembra noteikumu Nr.1082 „</w:t>
            </w:r>
            <w:r w:rsidRPr="00C3085B">
              <w:rPr>
                <w:bCs/>
                <w:color w:val="000000"/>
              </w:rPr>
              <w:t xml:space="preserve">Kārtība, kādā piesakāmas A, B un C kategorijas piesārņojošas darbības un izsniedzamas atļaujas A un B kategorijas piesārņojošo darbību veikšanai” regulējumā, taču problēmas radīja vadlīniju dokumenta ieteikuma raksturs.  </w:t>
            </w:r>
          </w:p>
          <w:p w:rsidR="007C5E7F" w:rsidRDefault="007C5E7F" w:rsidP="00230938">
            <w:pPr>
              <w:pStyle w:val="CM1"/>
              <w:jc w:val="both"/>
            </w:pPr>
            <w:r>
              <w:t xml:space="preserve"> </w:t>
            </w:r>
          </w:p>
          <w:p w:rsidR="007C5E7F" w:rsidRDefault="007C5E7F" w:rsidP="00230938">
            <w:pPr>
              <w:pStyle w:val="CM1"/>
              <w:jc w:val="both"/>
              <w:rPr>
                <w:rFonts w:ascii="Times New Roman" w:hAnsi="Times New Roman"/>
              </w:rPr>
            </w:pPr>
            <w:r>
              <w:t xml:space="preserve">Saskaņā ar </w:t>
            </w:r>
            <w:r w:rsidRPr="00BF3F03">
              <w:t>Eiropas Parlamenta un Padomes 2010. gada 24. novembra Direktīvas 2010/75/ES par rūpnieciskajām emisijām (piesārņojuma integrēta novēršana un kontrole) (turpmāk – Direktīva 2010/75/ES) 21. panta</w:t>
            </w:r>
            <w:r>
              <w:t xml:space="preserve"> </w:t>
            </w:r>
            <w:r w:rsidRPr="007C5E7F">
              <w:rPr>
                <w:rFonts w:ascii="Times New Roman" w:hAnsi="Times New Roman"/>
              </w:rPr>
              <w:t>3.daļu</w:t>
            </w:r>
            <w:r w:rsidR="002B1114" w:rsidRPr="007C5E7F">
              <w:rPr>
                <w:rFonts w:ascii="Times New Roman" w:hAnsi="Times New Roman"/>
              </w:rPr>
              <w:t>, 4 gadu laikā</w:t>
            </w:r>
            <w:r w:rsidR="002B1114" w:rsidRPr="00853F6B">
              <w:rPr>
                <w:rFonts w:ascii="Times New Roman" w:hAnsi="Times New Roman"/>
              </w:rPr>
              <w:t xml:space="preserve"> pēc lēmuma par LPTP secinājumiem publicēšanas kompetentajai iestādei ir jāpārskata un, ja nepieciešams, jāatjaunina visi atļaujas nosacījumi un iekārtas operatoram jānodrošina iekārtas atbilstība šādas atļaujas nosacījumiem. </w:t>
            </w:r>
          </w:p>
          <w:p w:rsidR="00D630FE" w:rsidRPr="00F309BF" w:rsidRDefault="002B1114" w:rsidP="00230938">
            <w:pPr>
              <w:pStyle w:val="CM1"/>
              <w:jc w:val="both"/>
              <w:rPr>
                <w:bCs/>
                <w:color w:val="000000"/>
              </w:rPr>
            </w:pPr>
            <w:r w:rsidRPr="00853F6B">
              <w:rPr>
                <w:rFonts w:ascii="Times New Roman" w:hAnsi="Times New Roman"/>
              </w:rPr>
              <w:t>Līdz ar to noteikumu projektā ir ietverts regulējums, kas nosaka, ka iekārtas darbības atbilstība jānodrošina un atļaujas nosacījumi jāpārskata un nepieciešamība</w:t>
            </w:r>
            <w:r w:rsidR="00853F6B">
              <w:rPr>
                <w:rFonts w:ascii="Times New Roman" w:hAnsi="Times New Roman"/>
              </w:rPr>
              <w:t xml:space="preserve">s gadījumā jāatjaunina līdz </w:t>
            </w:r>
            <w:r w:rsidR="00D630FE" w:rsidRPr="00F309BF">
              <w:rPr>
                <w:rFonts w:ascii="Times New Roman" w:hAnsi="Times New Roman"/>
              </w:rPr>
              <w:t>2018.</w:t>
            </w:r>
            <w:r w:rsidR="00F309BF">
              <w:rPr>
                <w:rFonts w:ascii="Times New Roman" w:hAnsi="Times New Roman"/>
              </w:rPr>
              <w:t> </w:t>
            </w:r>
            <w:r w:rsidR="00D630FE" w:rsidRPr="00F309BF">
              <w:rPr>
                <w:rFonts w:ascii="Times New Roman" w:hAnsi="Times New Roman"/>
              </w:rPr>
              <w:t>gada 30.</w:t>
            </w:r>
            <w:r w:rsidR="00F309BF">
              <w:rPr>
                <w:rFonts w:ascii="Times New Roman" w:hAnsi="Times New Roman"/>
              </w:rPr>
              <w:t> </w:t>
            </w:r>
            <w:r w:rsidR="00D630FE" w:rsidRPr="00F309BF">
              <w:rPr>
                <w:rFonts w:ascii="Times New Roman" w:hAnsi="Times New Roman"/>
              </w:rPr>
              <w:t xml:space="preserve">septembrim. </w:t>
            </w:r>
          </w:p>
          <w:p w:rsidR="00D630FE" w:rsidRPr="00F309BF" w:rsidRDefault="00853F6B" w:rsidP="00CE33F7">
            <w:pPr>
              <w:pStyle w:val="CM1"/>
              <w:jc w:val="both"/>
              <w:rPr>
                <w:rFonts w:ascii="Times New Roman" w:hAnsi="Times New Roman"/>
              </w:rPr>
            </w:pPr>
            <w:r w:rsidRPr="00F309BF">
              <w:t>Jānorāda, ka noteikumu</w:t>
            </w:r>
            <w:r w:rsidR="00285F10" w:rsidRPr="00F309BF">
              <w:t xml:space="preserve"> projektā ietvertās prasības attiecināmas uz likuma „Par piesārņojumu” 1.pielikuma </w:t>
            </w:r>
            <w:r w:rsidR="0080262B" w:rsidRPr="00F309BF">
              <w:t>6.</w:t>
            </w:r>
            <w:r w:rsidR="00D630FE" w:rsidRPr="00F309BF">
              <w:t>1</w:t>
            </w:r>
            <w:r w:rsidR="0080262B" w:rsidRPr="00F309BF">
              <w:t>.</w:t>
            </w:r>
            <w:r w:rsidR="00D630FE" w:rsidRPr="00F309BF">
              <w:t xml:space="preserve"> a) un b) apakšpunktos </w:t>
            </w:r>
            <w:r w:rsidR="0080262B" w:rsidRPr="00F309BF">
              <w:t>defi</w:t>
            </w:r>
            <w:r w:rsidR="00EF27D2" w:rsidRPr="00F309BF">
              <w:t>nēt</w:t>
            </w:r>
            <w:r w:rsidR="00D630FE" w:rsidRPr="00F309BF">
              <w:t>ajām piesārņojošām darbībām:</w:t>
            </w:r>
          </w:p>
          <w:p w:rsidR="00D630FE" w:rsidRPr="00F309BF" w:rsidRDefault="00F309BF" w:rsidP="00D630FE">
            <w:pPr>
              <w:pStyle w:val="tvhtml"/>
              <w:shd w:val="clear" w:color="auto" w:fill="FFFFFF"/>
              <w:spacing w:before="0" w:beforeAutospacing="0" w:after="0" w:afterAutospacing="0"/>
              <w:ind w:firstLine="301"/>
              <w:jc w:val="both"/>
              <w:rPr>
                <w:lang w:val="lv-LV"/>
              </w:rPr>
            </w:pPr>
            <w:r>
              <w:rPr>
                <w:lang w:val="lv-LV"/>
              </w:rPr>
              <w:t>a)</w:t>
            </w:r>
            <w:r w:rsidR="00D630FE" w:rsidRPr="00F309BF">
              <w:rPr>
                <w:lang w:val="lv-LV"/>
              </w:rPr>
              <w:t xml:space="preserve"> iekārtas celulozes ražošanai no koksnes vai citām šķiedrvielām;</w:t>
            </w:r>
          </w:p>
          <w:p w:rsidR="00D630FE" w:rsidRPr="00F309BF" w:rsidRDefault="00D630FE" w:rsidP="00D630FE">
            <w:pPr>
              <w:pStyle w:val="tvhtml"/>
              <w:shd w:val="clear" w:color="auto" w:fill="FFFFFF"/>
              <w:spacing w:before="0" w:beforeAutospacing="0" w:after="0" w:afterAutospacing="0"/>
              <w:ind w:firstLine="301"/>
              <w:jc w:val="both"/>
              <w:rPr>
                <w:lang w:val="lv-LV"/>
              </w:rPr>
            </w:pPr>
            <w:r w:rsidRPr="00F309BF">
              <w:rPr>
                <w:lang w:val="lv-LV"/>
              </w:rPr>
              <w:t xml:space="preserve">b) iekārtas papīra vai kartona ražošanai, kas var saražot vairāk nekā 20 tonnas produkcijas dienā. </w:t>
            </w:r>
          </w:p>
          <w:p w:rsidR="00034FEA" w:rsidRPr="00F309BF" w:rsidRDefault="00034FEA" w:rsidP="00230938">
            <w:pPr>
              <w:pStyle w:val="CM1"/>
              <w:jc w:val="both"/>
              <w:rPr>
                <w:rFonts w:ascii="Times New Roman" w:hAnsi="Times New Roman"/>
              </w:rPr>
            </w:pPr>
          </w:p>
          <w:p w:rsidR="00EF27D2" w:rsidRPr="00F309BF" w:rsidRDefault="00EF27D2" w:rsidP="00230938">
            <w:pPr>
              <w:pStyle w:val="Default"/>
              <w:jc w:val="both"/>
              <w:rPr>
                <w:rFonts w:ascii="Times New Roman" w:hAnsi="Times New Roman" w:cs="Times New Roman"/>
              </w:rPr>
            </w:pPr>
            <w:r w:rsidRPr="00F309BF">
              <w:rPr>
                <w:rFonts w:ascii="Times New Roman" w:hAnsi="Times New Roman" w:cs="Times New Roman"/>
              </w:rPr>
              <w:t>Vienlaikus jāatzīmē, ka Latvijā šobrīd nav šāda mēroga</w:t>
            </w:r>
            <w:r w:rsidR="001F7EBE" w:rsidRPr="00F309BF">
              <w:rPr>
                <w:rFonts w:ascii="Times New Roman" w:hAnsi="Times New Roman" w:cs="Times New Roman"/>
              </w:rPr>
              <w:t xml:space="preserve"> piesārņojošās darbības veicēji (AS „Līgatnes papīrfabrika” ir </w:t>
            </w:r>
            <w:r w:rsidR="00A84D43" w:rsidRPr="00F309BF">
              <w:rPr>
                <w:rFonts w:ascii="Times New Roman" w:hAnsi="Times New Roman" w:cs="Times New Roman"/>
              </w:rPr>
              <w:t>likvidēta)</w:t>
            </w:r>
            <w:r w:rsidR="001F7EBE" w:rsidRPr="00F309BF">
              <w:rPr>
                <w:rFonts w:ascii="Times New Roman" w:hAnsi="Times New Roman" w:cs="Times New Roman"/>
              </w:rPr>
              <w:t xml:space="preserve">. </w:t>
            </w:r>
          </w:p>
          <w:p w:rsidR="002B1114" w:rsidRDefault="002B1114" w:rsidP="00173C2E">
            <w:pPr>
              <w:pStyle w:val="CM1"/>
              <w:jc w:val="both"/>
              <w:rPr>
                <w:rFonts w:ascii="Times New Roman" w:hAnsi="Times New Roman"/>
              </w:rPr>
            </w:pPr>
            <w:r w:rsidRPr="001F7EBE">
              <w:rPr>
                <w:rFonts w:ascii="Times New Roman" w:hAnsi="Times New Roman"/>
              </w:rPr>
              <w:t>Ņemot vērā to, ka šīs prasības ir pieņemtas</w:t>
            </w:r>
            <w:r w:rsidRPr="00853F6B">
              <w:rPr>
                <w:rFonts w:ascii="Times New Roman" w:hAnsi="Times New Roman"/>
              </w:rPr>
              <w:t xml:space="preserve"> </w:t>
            </w:r>
            <w:r w:rsidRPr="0081685B">
              <w:rPr>
                <w:rFonts w:ascii="Times New Roman" w:hAnsi="Times New Roman"/>
              </w:rPr>
              <w:t xml:space="preserve">ar Eiropas Komisijas </w:t>
            </w:r>
            <w:r w:rsidR="002B59C5" w:rsidRPr="0081685B">
              <w:rPr>
                <w:rFonts w:ascii="Times New Roman" w:hAnsi="Times New Roman"/>
              </w:rPr>
              <w:t xml:space="preserve">Īstenošanas </w:t>
            </w:r>
            <w:r w:rsidRPr="0081685B">
              <w:rPr>
                <w:rFonts w:ascii="Times New Roman" w:hAnsi="Times New Roman"/>
              </w:rPr>
              <w:t>lēmumu, E</w:t>
            </w:r>
            <w:r w:rsidR="002B59C5" w:rsidRPr="0081685B">
              <w:rPr>
                <w:rFonts w:ascii="Times New Roman" w:hAnsi="Times New Roman"/>
              </w:rPr>
              <w:t xml:space="preserve">iropas </w:t>
            </w:r>
            <w:r w:rsidRPr="0081685B">
              <w:rPr>
                <w:rFonts w:ascii="Times New Roman" w:hAnsi="Times New Roman"/>
              </w:rPr>
              <w:t>S</w:t>
            </w:r>
            <w:r w:rsidR="002B59C5" w:rsidRPr="0081685B">
              <w:rPr>
                <w:rFonts w:ascii="Times New Roman" w:hAnsi="Times New Roman"/>
              </w:rPr>
              <w:t>avienības</w:t>
            </w:r>
            <w:r w:rsidRPr="0081685B">
              <w:rPr>
                <w:rFonts w:ascii="Times New Roman" w:hAnsi="Times New Roman"/>
              </w:rPr>
              <w:t xml:space="preserve"> dalībvalstīm netiek dota </w:t>
            </w:r>
            <w:r w:rsidR="0081685B" w:rsidRPr="0081685B">
              <w:rPr>
                <w:rFonts w:ascii="Times New Roman" w:hAnsi="Times New Roman"/>
              </w:rPr>
              <w:t>rīcības</w:t>
            </w:r>
            <w:r w:rsidRPr="0081685B">
              <w:rPr>
                <w:rFonts w:ascii="Times New Roman" w:hAnsi="Times New Roman"/>
              </w:rPr>
              <w:t xml:space="preserve"> </w:t>
            </w:r>
            <w:r w:rsidRPr="0081685B">
              <w:rPr>
                <w:rFonts w:ascii="Times New Roman" w:hAnsi="Times New Roman"/>
              </w:rPr>
              <w:lastRenderedPageBreak/>
              <w:t xml:space="preserve">brīvība attiecībā uz </w:t>
            </w:r>
            <w:r w:rsidR="002B59C5" w:rsidRPr="0081685B">
              <w:rPr>
                <w:rFonts w:ascii="Times New Roman" w:hAnsi="Times New Roman"/>
              </w:rPr>
              <w:t xml:space="preserve">šī </w:t>
            </w:r>
            <w:r w:rsidRPr="0081685B">
              <w:rPr>
                <w:rFonts w:ascii="Times New Roman" w:hAnsi="Times New Roman"/>
              </w:rPr>
              <w:t>lēmuma saturu.</w:t>
            </w:r>
          </w:p>
          <w:p w:rsidR="00C86A0E" w:rsidRDefault="00C86A0E" w:rsidP="00C86A0E">
            <w:pPr>
              <w:pStyle w:val="Default"/>
            </w:pPr>
          </w:p>
          <w:p w:rsidR="00C86A0E" w:rsidRPr="00C86A0E" w:rsidRDefault="00C86A0E" w:rsidP="00C86A0E">
            <w:pPr>
              <w:pStyle w:val="Default"/>
              <w:jc w:val="both"/>
              <w:rPr>
                <w:rFonts w:ascii="Times New Roman" w:hAnsi="Times New Roman" w:cs="Times New Roman"/>
              </w:rPr>
            </w:pPr>
            <w:r>
              <w:rPr>
                <w:rFonts w:ascii="Times New Roman" w:eastAsiaTheme="minorHAnsi" w:hAnsi="Times New Roman" w:cs="Times New Roman"/>
              </w:rPr>
              <w:t xml:space="preserve">Vienlaikus norādāms, ka </w:t>
            </w:r>
            <w:r w:rsidRPr="00C86A0E">
              <w:rPr>
                <w:rFonts w:ascii="Times New Roman" w:eastAsiaTheme="minorHAnsi" w:hAnsi="Times New Roman" w:cs="Times New Roman"/>
              </w:rPr>
              <w:t xml:space="preserve">Energoefektivitātes likums, visiem komersantiem, kuru ikgadējais elektroenerģijas patēriņš pārsniedz 500 megavatstundas (lielajiem elektroenerģijas patērētājiem), nosaka pienākumu ieviest un uzturēt sertificētu </w:t>
            </w:r>
            <w:proofErr w:type="spellStart"/>
            <w:r w:rsidRPr="00C86A0E">
              <w:rPr>
                <w:rFonts w:ascii="Times New Roman" w:eastAsiaTheme="minorHAnsi" w:hAnsi="Times New Roman" w:cs="Times New Roman"/>
              </w:rPr>
              <w:t>energopārvaldības</w:t>
            </w:r>
            <w:proofErr w:type="spellEnd"/>
            <w:r w:rsidRPr="00C86A0E">
              <w:rPr>
                <w:rFonts w:ascii="Times New Roman" w:eastAsiaTheme="minorHAnsi" w:hAnsi="Times New Roman" w:cs="Times New Roman"/>
              </w:rPr>
              <w:t xml:space="preserve"> sistēmu. Prasību var neattiecināt, ja līdz 2016.gada 29.martam ir bijusi ieviesta vides pārvaldības sistēma un tā tiek papildināta un sertificēta, lai kontrolētu un samazinātu enerģijas patēriņu, aptverot vismaz 90 procentus no kopējā enerģijas galapatēriņa. Tāpat prasību var neattiecināt, ja regulāri (vismaz reizi četros gados) tiek veikts </w:t>
            </w:r>
            <w:proofErr w:type="spellStart"/>
            <w:r w:rsidRPr="00C86A0E">
              <w:rPr>
                <w:rFonts w:ascii="Times New Roman" w:eastAsiaTheme="minorHAnsi" w:hAnsi="Times New Roman" w:cs="Times New Roman"/>
              </w:rPr>
              <w:t>energoaudits</w:t>
            </w:r>
            <w:proofErr w:type="spellEnd"/>
            <w:r w:rsidRPr="00C86A0E">
              <w:rPr>
                <w:rFonts w:ascii="Times New Roman" w:eastAsiaTheme="minorHAnsi" w:hAnsi="Times New Roman" w:cs="Times New Roman"/>
              </w:rPr>
              <w:t xml:space="preserve">. Ņemot vērā to, ka noteikumu projekta pielikuma 8.4.1. punktā minētais 1.paņēmiens praktiski ietver prasības, ko lielajiem elektroenerģijas patērētājiem nosaka Energoefektivitātes likums, </w:t>
            </w:r>
            <w:r>
              <w:rPr>
                <w:rFonts w:ascii="Times New Roman" w:eastAsiaTheme="minorHAnsi" w:hAnsi="Times New Roman" w:cs="Times New Roman"/>
              </w:rPr>
              <w:t>tad tiek noteikts, ka 8</w:t>
            </w:r>
            <w:r w:rsidRPr="00C86A0E">
              <w:rPr>
                <w:rFonts w:ascii="Times New Roman" w:eastAsiaTheme="minorHAnsi" w:hAnsi="Times New Roman" w:cs="Times New Roman"/>
              </w:rPr>
              <w:t>.4.1. punktā minētais 1.paņē</w:t>
            </w:r>
            <w:r>
              <w:rPr>
                <w:rFonts w:ascii="Times New Roman" w:eastAsiaTheme="minorHAnsi" w:hAnsi="Times New Roman" w:cs="Times New Roman"/>
              </w:rPr>
              <w:t>miens</w:t>
            </w:r>
            <w:r w:rsidRPr="00C86A0E">
              <w:rPr>
                <w:rFonts w:ascii="Times New Roman" w:eastAsiaTheme="minorHAnsi" w:hAnsi="Times New Roman" w:cs="Times New Roman"/>
              </w:rPr>
              <w:t xml:space="preserve"> </w:t>
            </w:r>
            <w:r>
              <w:rPr>
                <w:rFonts w:ascii="Times New Roman" w:eastAsiaTheme="minorHAnsi" w:hAnsi="Times New Roman" w:cs="Times New Roman"/>
              </w:rPr>
              <w:t>ir obligāts.”</w:t>
            </w:r>
          </w:p>
        </w:tc>
      </w:tr>
      <w:tr w:rsidR="002B1114" w:rsidRPr="000B7CDC" w:rsidTr="002613D7">
        <w:tc>
          <w:tcPr>
            <w:tcW w:w="568" w:type="dxa"/>
          </w:tcPr>
          <w:p w:rsidR="002B1114" w:rsidRPr="000B7CDC" w:rsidRDefault="002B1114" w:rsidP="001132D1">
            <w:pPr>
              <w:jc w:val="center"/>
            </w:pPr>
            <w:r w:rsidRPr="000B7CDC">
              <w:lastRenderedPageBreak/>
              <w:t>3.</w:t>
            </w:r>
          </w:p>
        </w:tc>
        <w:tc>
          <w:tcPr>
            <w:tcW w:w="1559" w:type="dxa"/>
          </w:tcPr>
          <w:p w:rsidR="002B1114" w:rsidRPr="000B7CDC" w:rsidRDefault="002B1114" w:rsidP="001132D1">
            <w:r w:rsidRPr="000B7CDC">
              <w:t>Projekta izstrādē iesaistītās institūcijas</w:t>
            </w:r>
          </w:p>
        </w:tc>
        <w:tc>
          <w:tcPr>
            <w:tcW w:w="7336" w:type="dxa"/>
          </w:tcPr>
          <w:p w:rsidR="002B1114" w:rsidRPr="000B7CDC" w:rsidRDefault="002B59C5" w:rsidP="0081685B">
            <w:pPr>
              <w:pStyle w:val="naiskr"/>
              <w:spacing w:before="0" w:after="0"/>
              <w:jc w:val="both"/>
            </w:pPr>
            <w:r>
              <w:t>Vides aizsardzības un reģionālās attīstības ministrija.</w:t>
            </w:r>
            <w:r w:rsidR="002B1114">
              <w:t xml:space="preserve"> </w:t>
            </w:r>
          </w:p>
        </w:tc>
      </w:tr>
      <w:tr w:rsidR="002B1114" w:rsidRPr="000B7CDC" w:rsidTr="002613D7">
        <w:trPr>
          <w:trHeight w:val="571"/>
        </w:trPr>
        <w:tc>
          <w:tcPr>
            <w:tcW w:w="568" w:type="dxa"/>
          </w:tcPr>
          <w:p w:rsidR="002B1114" w:rsidRPr="000B7CDC" w:rsidRDefault="002B1114" w:rsidP="001132D1">
            <w:pPr>
              <w:jc w:val="center"/>
            </w:pPr>
            <w:r w:rsidRPr="000B7CDC">
              <w:t>4.</w:t>
            </w:r>
          </w:p>
        </w:tc>
        <w:tc>
          <w:tcPr>
            <w:tcW w:w="1559" w:type="dxa"/>
          </w:tcPr>
          <w:p w:rsidR="002B1114" w:rsidRPr="000B7CDC" w:rsidRDefault="002B1114" w:rsidP="001132D1">
            <w:r w:rsidRPr="000B7CDC">
              <w:t>Cita informācija</w:t>
            </w:r>
          </w:p>
        </w:tc>
        <w:tc>
          <w:tcPr>
            <w:tcW w:w="7336" w:type="dxa"/>
          </w:tcPr>
          <w:p w:rsidR="002B1114" w:rsidRPr="000B7CDC" w:rsidRDefault="002B1114" w:rsidP="001132D1">
            <w:pPr>
              <w:jc w:val="both"/>
            </w:pPr>
            <w:r w:rsidRPr="000B7CDC">
              <w:t>Nav.</w:t>
            </w:r>
          </w:p>
        </w:tc>
      </w:tr>
    </w:tbl>
    <w:p w:rsidR="000B7CDC" w:rsidRPr="000B7CDC" w:rsidRDefault="000B7CDC" w:rsidP="000B7CDC">
      <w:pPr>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2406"/>
        <w:gridCol w:w="6485"/>
      </w:tblGrid>
      <w:tr w:rsidR="000B7CDC" w:rsidRPr="000B7CDC" w:rsidTr="002613D7">
        <w:tc>
          <w:tcPr>
            <w:tcW w:w="9463" w:type="dxa"/>
            <w:gridSpan w:val="3"/>
          </w:tcPr>
          <w:p w:rsidR="000B7CDC" w:rsidRPr="000B7CDC" w:rsidRDefault="000B7CDC" w:rsidP="001132D1">
            <w:pPr>
              <w:jc w:val="center"/>
              <w:rPr>
                <w:b/>
              </w:rPr>
            </w:pPr>
            <w:r w:rsidRPr="000B7CDC">
              <w:rPr>
                <w:b/>
              </w:rPr>
              <w:t>II. Tiesību akta projekta ietekme uz sabiedrību</w:t>
            </w:r>
          </w:p>
        </w:tc>
      </w:tr>
      <w:tr w:rsidR="002B1114" w:rsidRPr="000B7CDC" w:rsidTr="00A42212">
        <w:tc>
          <w:tcPr>
            <w:tcW w:w="572" w:type="dxa"/>
          </w:tcPr>
          <w:p w:rsidR="002B1114" w:rsidRPr="00A42212" w:rsidRDefault="002B1114" w:rsidP="001132D1">
            <w:pPr>
              <w:jc w:val="center"/>
            </w:pPr>
            <w:r w:rsidRPr="00A42212">
              <w:t>1.</w:t>
            </w:r>
          </w:p>
        </w:tc>
        <w:tc>
          <w:tcPr>
            <w:tcW w:w="2406" w:type="dxa"/>
          </w:tcPr>
          <w:p w:rsidR="002B1114" w:rsidRPr="00A42212" w:rsidRDefault="002B1114" w:rsidP="001132D1">
            <w:r w:rsidRPr="00A42212">
              <w:t>Sabiedrības mērķgrupas, kuras tiesiskais regulējums  ietekmē vai varētu ietekmēt</w:t>
            </w:r>
          </w:p>
        </w:tc>
        <w:tc>
          <w:tcPr>
            <w:tcW w:w="6485" w:type="dxa"/>
            <w:shd w:val="clear" w:color="auto" w:fill="auto"/>
          </w:tcPr>
          <w:p w:rsidR="002B1114" w:rsidRPr="00A42212" w:rsidRDefault="002B1114" w:rsidP="00A42212">
            <w:pPr>
              <w:pStyle w:val="naiskr"/>
              <w:spacing w:before="0" w:after="0"/>
              <w:ind w:left="-57"/>
              <w:jc w:val="both"/>
            </w:pPr>
            <w:r w:rsidRPr="001F7EBE">
              <w:t xml:space="preserve">Noteikumu projekta  normas </w:t>
            </w:r>
            <w:r w:rsidR="00A42212" w:rsidRPr="001F7EBE">
              <w:t>šobrīd nav attiecināmas ne uz vienu piesārņojošas darbības veicēju.</w:t>
            </w:r>
            <w:r w:rsidR="00A42212" w:rsidRPr="00A42212">
              <w:t xml:space="preserve"> </w:t>
            </w:r>
          </w:p>
        </w:tc>
      </w:tr>
      <w:tr w:rsidR="002B1114" w:rsidRPr="000B7CDC" w:rsidTr="002613D7">
        <w:tc>
          <w:tcPr>
            <w:tcW w:w="572" w:type="dxa"/>
            <w:shd w:val="clear" w:color="auto" w:fill="auto"/>
          </w:tcPr>
          <w:p w:rsidR="002B1114" w:rsidRPr="000B7CDC" w:rsidRDefault="002B1114" w:rsidP="001132D1">
            <w:pPr>
              <w:jc w:val="center"/>
              <w:rPr>
                <w:highlight w:val="yellow"/>
              </w:rPr>
            </w:pPr>
            <w:r w:rsidRPr="000B7CDC">
              <w:t>2.</w:t>
            </w:r>
          </w:p>
        </w:tc>
        <w:tc>
          <w:tcPr>
            <w:tcW w:w="2406" w:type="dxa"/>
            <w:shd w:val="clear" w:color="auto" w:fill="FFFFFF"/>
          </w:tcPr>
          <w:p w:rsidR="002B1114" w:rsidRPr="000B7CDC" w:rsidRDefault="002B1114" w:rsidP="001132D1">
            <w:pPr>
              <w:rPr>
                <w:highlight w:val="yellow"/>
              </w:rPr>
            </w:pPr>
            <w:r w:rsidRPr="000B7CDC">
              <w:t>Tiesiskā regulējuma ietekme uz tautsaimniecību un administratīvo slogu</w:t>
            </w:r>
          </w:p>
        </w:tc>
        <w:tc>
          <w:tcPr>
            <w:tcW w:w="6485" w:type="dxa"/>
            <w:shd w:val="clear" w:color="auto" w:fill="auto"/>
          </w:tcPr>
          <w:p w:rsidR="00A4490F" w:rsidRPr="00CC7B27" w:rsidRDefault="00A4490F" w:rsidP="00A42212">
            <w:pPr>
              <w:pStyle w:val="tv2131"/>
              <w:spacing w:before="0" w:line="240" w:lineRule="auto"/>
              <w:ind w:firstLine="0"/>
              <w:rPr>
                <w:rFonts w:ascii="Times New Roman" w:hAnsi="Times New Roman"/>
                <w:sz w:val="24"/>
                <w:szCs w:val="24"/>
                <w:lang w:val="lv-LV"/>
              </w:rPr>
            </w:pPr>
            <w:r w:rsidRPr="00CC7B27">
              <w:rPr>
                <w:rFonts w:ascii="Times New Roman" w:hAnsi="Times New Roman"/>
                <w:sz w:val="24"/>
                <w:szCs w:val="24"/>
                <w:lang w:val="lv-LV"/>
              </w:rPr>
              <w:t>Noteikumu projekta normas nerada ietekmi uz valsts budžetu</w:t>
            </w:r>
            <w:r w:rsidR="00A42212" w:rsidRPr="00CC7B27">
              <w:rPr>
                <w:rFonts w:ascii="Times New Roman" w:hAnsi="Times New Roman"/>
                <w:sz w:val="24"/>
                <w:szCs w:val="24"/>
                <w:lang w:val="lv-LV"/>
              </w:rPr>
              <w:t>.</w:t>
            </w:r>
            <w:r w:rsidRPr="00CC7B27">
              <w:rPr>
                <w:rFonts w:ascii="Times New Roman" w:hAnsi="Times New Roman"/>
                <w:sz w:val="24"/>
                <w:szCs w:val="24"/>
                <w:lang w:val="lv-LV"/>
              </w:rPr>
              <w:t xml:space="preserve"> Noteikumu projekta nosacījumi nodrošinās vides aizsardzības prasību īstenošanu, tai skaitā radīs kvalitatīvāku dzīves vidi iekārtas darbības rezultātā samazinot piesārņojošo vielu emisijas vidē, kā arī iespējamu izejvielu un citu resursu ietaupījumu, nodrošinot ekonomiskāku ražošanas procesu veikšanu iekārtā.</w:t>
            </w:r>
          </w:p>
        </w:tc>
      </w:tr>
      <w:tr w:rsidR="002B1114" w:rsidRPr="000B7CDC" w:rsidTr="002613D7">
        <w:tc>
          <w:tcPr>
            <w:tcW w:w="572" w:type="dxa"/>
          </w:tcPr>
          <w:p w:rsidR="002B1114" w:rsidRPr="000B7CDC" w:rsidRDefault="002B1114" w:rsidP="001132D1">
            <w:pPr>
              <w:jc w:val="center"/>
            </w:pPr>
            <w:r w:rsidRPr="000B7CDC">
              <w:t>3.</w:t>
            </w:r>
          </w:p>
        </w:tc>
        <w:tc>
          <w:tcPr>
            <w:tcW w:w="2406" w:type="dxa"/>
          </w:tcPr>
          <w:p w:rsidR="002B1114" w:rsidRPr="000B7CDC" w:rsidRDefault="002B1114" w:rsidP="001132D1">
            <w:r w:rsidRPr="000B7CDC">
              <w:t>Administratīvo izmaksu monetārs novērtējums</w:t>
            </w:r>
          </w:p>
        </w:tc>
        <w:tc>
          <w:tcPr>
            <w:tcW w:w="6485" w:type="dxa"/>
          </w:tcPr>
          <w:p w:rsidR="002B1114" w:rsidRPr="00632D8B" w:rsidRDefault="002B1114" w:rsidP="001132D1">
            <w:pPr>
              <w:jc w:val="both"/>
              <w:rPr>
                <w:highlight w:val="yellow"/>
              </w:rPr>
            </w:pPr>
            <w:r w:rsidRPr="00CC7B27">
              <w:t>Noteikumu projekts šo jomu neskar, tā kā netiek ieviestas jaunas administratīvās procedūras.</w:t>
            </w:r>
            <w:r w:rsidR="003E47EE" w:rsidRPr="00CC7B27">
              <w:t xml:space="preserve"> Projekta regulējums  neparedz izmaiņas administratīvajās procedūrās.</w:t>
            </w:r>
          </w:p>
        </w:tc>
      </w:tr>
      <w:tr w:rsidR="002B1114" w:rsidRPr="000B7CDC" w:rsidTr="002613D7">
        <w:tc>
          <w:tcPr>
            <w:tcW w:w="572" w:type="dxa"/>
          </w:tcPr>
          <w:p w:rsidR="002B1114" w:rsidRPr="000B7CDC" w:rsidRDefault="002B1114" w:rsidP="001132D1">
            <w:pPr>
              <w:jc w:val="center"/>
            </w:pPr>
            <w:r w:rsidRPr="000B7CDC">
              <w:t>4.</w:t>
            </w:r>
          </w:p>
        </w:tc>
        <w:tc>
          <w:tcPr>
            <w:tcW w:w="2406" w:type="dxa"/>
          </w:tcPr>
          <w:p w:rsidR="002B1114" w:rsidRPr="000B7CDC" w:rsidRDefault="002B1114" w:rsidP="001132D1">
            <w:r w:rsidRPr="000B7CDC">
              <w:t>Cita informācija</w:t>
            </w:r>
          </w:p>
        </w:tc>
        <w:tc>
          <w:tcPr>
            <w:tcW w:w="6485" w:type="dxa"/>
          </w:tcPr>
          <w:p w:rsidR="002B1114" w:rsidRPr="000B7CDC" w:rsidRDefault="002B1114" w:rsidP="001132D1">
            <w:pPr>
              <w:jc w:val="both"/>
            </w:pPr>
            <w:r w:rsidRPr="000B7CDC">
              <w:t>Nav.</w:t>
            </w:r>
          </w:p>
        </w:tc>
      </w:tr>
    </w:tbl>
    <w:p w:rsidR="000B7CDC" w:rsidRPr="000B7CDC" w:rsidRDefault="000B7CDC" w:rsidP="000B7CDC"/>
    <w:p w:rsidR="000B7CDC" w:rsidRPr="000B7CDC" w:rsidRDefault="000B7CDC" w:rsidP="000B7CDC"/>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296"/>
        <w:gridCol w:w="6577"/>
      </w:tblGrid>
      <w:tr w:rsidR="000B7CDC" w:rsidRPr="000B7CDC" w:rsidTr="001132D1">
        <w:trPr>
          <w:jc w:val="center"/>
        </w:trPr>
        <w:tc>
          <w:tcPr>
            <w:tcW w:w="9396" w:type="dxa"/>
            <w:gridSpan w:val="3"/>
          </w:tcPr>
          <w:p w:rsidR="000B7CDC" w:rsidRPr="000B7CDC" w:rsidRDefault="000B7CDC" w:rsidP="001132D1">
            <w:pPr>
              <w:pStyle w:val="naisnod"/>
              <w:spacing w:before="0" w:after="0"/>
            </w:pPr>
            <w:r w:rsidRPr="000B7CDC">
              <w:t>V. Tiesību akta projekta atbilstība Latvijas Republikas starptautiskajām saistībām</w:t>
            </w:r>
          </w:p>
        </w:tc>
      </w:tr>
      <w:tr w:rsidR="000B7CDC" w:rsidRPr="000B7CDC" w:rsidTr="001132D1">
        <w:trPr>
          <w:jc w:val="center"/>
        </w:trPr>
        <w:tc>
          <w:tcPr>
            <w:tcW w:w="523" w:type="dxa"/>
          </w:tcPr>
          <w:p w:rsidR="000B7CDC" w:rsidRPr="000B7CDC" w:rsidRDefault="000B7CDC" w:rsidP="001132D1">
            <w:pPr>
              <w:pStyle w:val="naiskr"/>
              <w:tabs>
                <w:tab w:val="left" w:pos="2628"/>
              </w:tabs>
              <w:spacing w:before="0" w:after="0"/>
              <w:jc w:val="both"/>
            </w:pPr>
            <w:r w:rsidRPr="000B7CDC">
              <w:t>1.</w:t>
            </w:r>
          </w:p>
        </w:tc>
        <w:tc>
          <w:tcPr>
            <w:tcW w:w="2296" w:type="dxa"/>
          </w:tcPr>
          <w:p w:rsidR="000B7CDC" w:rsidRPr="000B7CDC" w:rsidRDefault="000B7CDC" w:rsidP="001132D1">
            <w:pPr>
              <w:pStyle w:val="naiskr"/>
              <w:tabs>
                <w:tab w:val="left" w:pos="2628"/>
              </w:tabs>
              <w:spacing w:before="0" w:after="0"/>
              <w:jc w:val="both"/>
            </w:pPr>
            <w:r w:rsidRPr="000B7CDC">
              <w:t>Saistības pret Eiropas Savienību</w:t>
            </w:r>
          </w:p>
        </w:tc>
        <w:tc>
          <w:tcPr>
            <w:tcW w:w="6577" w:type="dxa"/>
          </w:tcPr>
          <w:p w:rsidR="000B7CDC" w:rsidRPr="002831BA" w:rsidRDefault="003E47EE" w:rsidP="00CC2F9B">
            <w:pPr>
              <w:autoSpaceDE w:val="0"/>
              <w:autoSpaceDN w:val="0"/>
              <w:adjustRightInd w:val="0"/>
              <w:jc w:val="both"/>
              <w:rPr>
                <w:rFonts w:eastAsia="Calibri"/>
                <w:color w:val="000000"/>
                <w:lang w:eastAsia="en-US"/>
              </w:rPr>
            </w:pPr>
            <w:r w:rsidRPr="002831BA">
              <w:t xml:space="preserve">Noteikumu projekts satur normas, kas izriet no </w:t>
            </w:r>
            <w:r w:rsidR="00CC2F9B">
              <w:rPr>
                <w:rFonts w:eastAsia="Calibri"/>
                <w:color w:val="000000"/>
                <w:lang w:eastAsia="en-US"/>
              </w:rPr>
              <w:t>2014.gada 26.septembra Komisijas īstenošanas lēmuma</w:t>
            </w:r>
            <w:r w:rsidR="002831BA" w:rsidRPr="002831BA">
              <w:rPr>
                <w:rFonts w:eastAsia="Calibri"/>
                <w:color w:val="000000"/>
                <w:lang w:eastAsia="en-US"/>
              </w:rPr>
              <w:t xml:space="preserve"> (</w:t>
            </w:r>
            <w:r w:rsidR="00CC2F9B">
              <w:rPr>
                <w:rFonts w:eastAsia="Calibri"/>
                <w:color w:val="000000"/>
                <w:lang w:eastAsia="en-US"/>
              </w:rPr>
              <w:t>2014/687/ES</w:t>
            </w:r>
            <w:r w:rsidR="002831BA" w:rsidRPr="002831BA">
              <w:rPr>
                <w:rFonts w:eastAsia="Calibri"/>
                <w:color w:val="000000"/>
                <w:lang w:eastAsia="en-US"/>
              </w:rPr>
              <w:t xml:space="preserve">) </w:t>
            </w:r>
            <w:r w:rsidR="002831BA" w:rsidRPr="002831BA">
              <w:rPr>
                <w:rFonts w:eastAsia="Calibri"/>
                <w:bCs/>
                <w:color w:val="000000"/>
                <w:lang w:eastAsia="en-US"/>
              </w:rPr>
              <w:t xml:space="preserve">ar ko pieņem labāko pieejamo tehnisko paņēmienu (LPTP) secinājumus </w:t>
            </w:r>
            <w:r w:rsidR="00CC2F9B">
              <w:rPr>
                <w:rFonts w:eastAsia="Calibri"/>
                <w:bCs/>
                <w:color w:val="000000"/>
                <w:lang w:eastAsia="en-US"/>
              </w:rPr>
              <w:t>celulozes, papīra un kartona ražošanas nozarē</w:t>
            </w:r>
            <w:r w:rsidR="002831BA" w:rsidRPr="002831BA">
              <w:rPr>
                <w:rFonts w:eastAsia="Calibri"/>
                <w:bCs/>
                <w:color w:val="000000"/>
                <w:lang w:eastAsia="en-US"/>
              </w:rPr>
              <w:t xml:space="preserve"> saskaņā ar Eiropas Parlamenta un Padomes Direktīvu 2010/75/ES par rūpnieciskajām emisijām </w:t>
            </w:r>
          </w:p>
        </w:tc>
      </w:tr>
      <w:tr w:rsidR="000B7CDC" w:rsidRPr="000B7CDC" w:rsidTr="001132D1">
        <w:trPr>
          <w:jc w:val="center"/>
        </w:trPr>
        <w:tc>
          <w:tcPr>
            <w:tcW w:w="523" w:type="dxa"/>
          </w:tcPr>
          <w:p w:rsidR="000B7CDC" w:rsidRPr="000B7CDC" w:rsidRDefault="000B7CDC" w:rsidP="001132D1">
            <w:pPr>
              <w:pStyle w:val="naiskr"/>
              <w:tabs>
                <w:tab w:val="left" w:pos="2628"/>
              </w:tabs>
              <w:spacing w:before="0" w:after="0"/>
              <w:jc w:val="both"/>
            </w:pPr>
            <w:r w:rsidRPr="000B7CDC">
              <w:t>2.</w:t>
            </w:r>
          </w:p>
        </w:tc>
        <w:tc>
          <w:tcPr>
            <w:tcW w:w="2296" w:type="dxa"/>
          </w:tcPr>
          <w:p w:rsidR="000B7CDC" w:rsidRPr="000B7CDC" w:rsidRDefault="000B7CDC" w:rsidP="001132D1">
            <w:pPr>
              <w:pStyle w:val="naiskr"/>
              <w:tabs>
                <w:tab w:val="left" w:pos="2628"/>
              </w:tabs>
              <w:spacing w:before="0" w:after="0"/>
              <w:jc w:val="both"/>
            </w:pPr>
            <w:r w:rsidRPr="000B7CDC">
              <w:t>Citas starptautiskās saistības</w:t>
            </w:r>
          </w:p>
        </w:tc>
        <w:tc>
          <w:tcPr>
            <w:tcW w:w="6577" w:type="dxa"/>
          </w:tcPr>
          <w:p w:rsidR="000B7CDC" w:rsidRPr="000B7CDC" w:rsidRDefault="000B7CDC" w:rsidP="001132D1">
            <w:pPr>
              <w:pStyle w:val="naiskr"/>
              <w:tabs>
                <w:tab w:val="left" w:pos="2628"/>
              </w:tabs>
              <w:spacing w:before="0" w:after="0"/>
              <w:jc w:val="both"/>
            </w:pPr>
            <w:r w:rsidRPr="000B7CDC">
              <w:t>Projekts šo jomu neskar.</w:t>
            </w:r>
          </w:p>
        </w:tc>
      </w:tr>
      <w:tr w:rsidR="000B7CDC" w:rsidRPr="000B7CDC" w:rsidTr="001132D1">
        <w:trPr>
          <w:jc w:val="center"/>
        </w:trPr>
        <w:tc>
          <w:tcPr>
            <w:tcW w:w="523" w:type="dxa"/>
          </w:tcPr>
          <w:p w:rsidR="000B7CDC" w:rsidRPr="000B7CDC" w:rsidRDefault="000B7CDC" w:rsidP="001132D1">
            <w:pPr>
              <w:pStyle w:val="naiskr"/>
              <w:tabs>
                <w:tab w:val="left" w:pos="2628"/>
              </w:tabs>
              <w:spacing w:before="0" w:after="0"/>
              <w:jc w:val="both"/>
            </w:pPr>
            <w:r w:rsidRPr="000B7CDC">
              <w:t>3.</w:t>
            </w:r>
          </w:p>
        </w:tc>
        <w:tc>
          <w:tcPr>
            <w:tcW w:w="2296" w:type="dxa"/>
          </w:tcPr>
          <w:p w:rsidR="000B7CDC" w:rsidRPr="000B7CDC" w:rsidRDefault="000B7CDC" w:rsidP="001132D1">
            <w:pPr>
              <w:pStyle w:val="naiskr"/>
              <w:tabs>
                <w:tab w:val="left" w:pos="2628"/>
              </w:tabs>
              <w:spacing w:before="0" w:after="0"/>
              <w:jc w:val="both"/>
            </w:pPr>
            <w:r w:rsidRPr="000B7CDC">
              <w:t>Cita informācija</w:t>
            </w:r>
          </w:p>
        </w:tc>
        <w:tc>
          <w:tcPr>
            <w:tcW w:w="6577" w:type="dxa"/>
          </w:tcPr>
          <w:p w:rsidR="000B7CDC" w:rsidRPr="000B7CDC" w:rsidRDefault="000B7CDC" w:rsidP="001132D1">
            <w:pPr>
              <w:pStyle w:val="naiskr"/>
              <w:tabs>
                <w:tab w:val="left" w:pos="2628"/>
              </w:tabs>
              <w:spacing w:before="0" w:after="0"/>
              <w:jc w:val="both"/>
            </w:pPr>
            <w:r w:rsidRPr="000B7CDC">
              <w:t>Nav.</w:t>
            </w:r>
          </w:p>
        </w:tc>
      </w:tr>
    </w:tbl>
    <w:p w:rsidR="000B7CDC" w:rsidRPr="000B7CDC" w:rsidRDefault="000B7CDC" w:rsidP="000B7CDC">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44"/>
        <w:gridCol w:w="2977"/>
        <w:gridCol w:w="1417"/>
        <w:gridCol w:w="2317"/>
      </w:tblGrid>
      <w:tr w:rsidR="000B7CDC" w:rsidRPr="000B7CDC" w:rsidTr="000A0F1D">
        <w:trPr>
          <w:trHeight w:val="523"/>
          <w:jc w:val="center"/>
        </w:trPr>
        <w:tc>
          <w:tcPr>
            <w:tcW w:w="9455" w:type="dxa"/>
            <w:gridSpan w:val="4"/>
            <w:vAlign w:val="center"/>
          </w:tcPr>
          <w:p w:rsidR="000B7CDC" w:rsidRPr="000B7CDC" w:rsidRDefault="000B7CDC" w:rsidP="001132D1">
            <w:pPr>
              <w:pStyle w:val="naisnod"/>
              <w:spacing w:before="0" w:after="0"/>
            </w:pPr>
            <w:r w:rsidRPr="000B7CDC">
              <w:lastRenderedPageBreak/>
              <w:t>1.tabula</w:t>
            </w:r>
          </w:p>
          <w:p w:rsidR="000B7CDC" w:rsidRPr="000B7CDC" w:rsidRDefault="000B7CDC" w:rsidP="001132D1">
            <w:pPr>
              <w:pStyle w:val="naisnod"/>
              <w:spacing w:before="0" w:after="0"/>
              <w:rPr>
                <w:i/>
              </w:rPr>
            </w:pPr>
            <w:r w:rsidRPr="000B7CDC">
              <w:t>Tiesību akta projekta atbilstība ES tiesību aktiem</w:t>
            </w:r>
          </w:p>
        </w:tc>
      </w:tr>
      <w:tr w:rsidR="003E47EE" w:rsidRPr="000B7CDC" w:rsidTr="000A0F1D">
        <w:trPr>
          <w:trHeight w:val="1252"/>
          <w:jc w:val="center"/>
        </w:trPr>
        <w:tc>
          <w:tcPr>
            <w:tcW w:w="2744" w:type="dxa"/>
            <w:vAlign w:val="center"/>
          </w:tcPr>
          <w:p w:rsidR="003E47EE" w:rsidRPr="000B7CDC" w:rsidRDefault="003E47EE" w:rsidP="001132D1">
            <w:pPr>
              <w:pStyle w:val="naiskr"/>
              <w:spacing w:before="0" w:after="0"/>
              <w:ind w:hanging="10"/>
              <w:jc w:val="both"/>
            </w:pPr>
            <w:r w:rsidRPr="000B7CDC">
              <w:t>Attiecīgā ES tiesību akta datums, numurs un nosaukums</w:t>
            </w:r>
          </w:p>
        </w:tc>
        <w:tc>
          <w:tcPr>
            <w:tcW w:w="6711" w:type="dxa"/>
            <w:gridSpan w:val="3"/>
            <w:vAlign w:val="center"/>
          </w:tcPr>
          <w:p w:rsidR="003E47EE" w:rsidRPr="00A84D43" w:rsidRDefault="00CC2F9B" w:rsidP="00CE33F7">
            <w:pPr>
              <w:pStyle w:val="naiskr"/>
              <w:spacing w:before="0" w:after="0"/>
              <w:jc w:val="both"/>
              <w:rPr>
                <w:rFonts w:eastAsia="Calibri"/>
                <w:bCs/>
                <w:color w:val="000000"/>
                <w:lang w:eastAsia="en-US"/>
              </w:rPr>
            </w:pPr>
            <w:r w:rsidRPr="00A84D43">
              <w:rPr>
                <w:rFonts w:eastAsia="Calibri"/>
                <w:color w:val="000000"/>
                <w:lang w:eastAsia="en-US"/>
              </w:rPr>
              <w:t xml:space="preserve">2014.gada 26.septembra Komisijas īstenošanas lēmuma (2014/687/ES) </w:t>
            </w:r>
            <w:r w:rsidRPr="00A84D43">
              <w:rPr>
                <w:rFonts w:eastAsia="Calibri"/>
                <w:bCs/>
                <w:color w:val="000000"/>
                <w:lang w:eastAsia="en-US"/>
              </w:rPr>
              <w:t xml:space="preserve">ar ko pieņem labāko pieejamo tehnisko paņēmienu (LPTP) secinājumus </w:t>
            </w:r>
            <w:r w:rsidR="00CE33F7" w:rsidRPr="00A84D43">
              <w:rPr>
                <w:rFonts w:eastAsia="Calibri"/>
                <w:bCs/>
                <w:color w:val="000000"/>
                <w:lang w:eastAsia="en-US"/>
              </w:rPr>
              <w:t>pulpas</w:t>
            </w:r>
            <w:r w:rsidRPr="00A84D43">
              <w:rPr>
                <w:rFonts w:eastAsia="Calibri"/>
                <w:bCs/>
                <w:color w:val="000000"/>
                <w:lang w:eastAsia="en-US"/>
              </w:rPr>
              <w:t xml:space="preserve">, papīra un kartona ražošanas nozarē saskaņā ar Eiropas Parlamenta un Padomes Direktīvu 2010/75/ES par rūpnieciskajām emisijām </w:t>
            </w:r>
            <w:r w:rsidR="00A84D43">
              <w:rPr>
                <w:rFonts w:eastAsia="Calibri"/>
                <w:bCs/>
                <w:color w:val="000000"/>
                <w:lang w:eastAsia="en-US"/>
              </w:rPr>
              <w:t>(lēmums 2014/687/ES)</w:t>
            </w:r>
          </w:p>
          <w:p w:rsidR="00A84D43" w:rsidRPr="00A84D43" w:rsidRDefault="00A84D43" w:rsidP="00CE33F7">
            <w:pPr>
              <w:pStyle w:val="naiskr"/>
              <w:spacing w:before="0" w:after="0"/>
              <w:jc w:val="both"/>
              <w:rPr>
                <w:rFonts w:eastAsia="Calibri"/>
                <w:b/>
                <w:bCs/>
                <w:color w:val="000000"/>
                <w:lang w:eastAsia="en-US"/>
              </w:rPr>
            </w:pPr>
          </w:p>
          <w:p w:rsidR="00A84D43" w:rsidRPr="00A84D43" w:rsidRDefault="00A84D43" w:rsidP="00A84D43">
            <w:pPr>
              <w:pStyle w:val="naiskr"/>
              <w:spacing w:before="0" w:after="0"/>
              <w:jc w:val="both"/>
              <w:rPr>
                <w:b/>
                <w:i/>
              </w:rPr>
            </w:pPr>
            <w:r w:rsidRPr="00A84D43">
              <w:t xml:space="preserve">Eiropas Parlamenta un Padomes 2010. gada 24. novembra Direktīva 2010/75/ES par rūpnieciskajām emisijām (piesārņojuma integrēta novēršana un kontrole) </w:t>
            </w:r>
          </w:p>
        </w:tc>
      </w:tr>
      <w:tr w:rsidR="003E47EE" w:rsidRPr="000B7CDC" w:rsidTr="002F20DA">
        <w:trPr>
          <w:trHeight w:val="165"/>
          <w:jc w:val="center"/>
        </w:trPr>
        <w:tc>
          <w:tcPr>
            <w:tcW w:w="2744" w:type="dxa"/>
            <w:vAlign w:val="center"/>
          </w:tcPr>
          <w:p w:rsidR="003E47EE" w:rsidRPr="000B7CDC" w:rsidRDefault="003E47EE" w:rsidP="00F309BF">
            <w:pPr>
              <w:pStyle w:val="naiskr"/>
              <w:spacing w:before="0" w:after="0"/>
              <w:jc w:val="center"/>
            </w:pPr>
            <w:r w:rsidRPr="000B7CDC">
              <w:t>A</w:t>
            </w:r>
          </w:p>
        </w:tc>
        <w:tc>
          <w:tcPr>
            <w:tcW w:w="2977" w:type="dxa"/>
            <w:vAlign w:val="center"/>
          </w:tcPr>
          <w:p w:rsidR="003E47EE" w:rsidRPr="000B7CDC" w:rsidRDefault="003E47EE" w:rsidP="00F309BF">
            <w:pPr>
              <w:pStyle w:val="naiskr"/>
              <w:spacing w:before="0" w:after="0"/>
              <w:jc w:val="center"/>
            </w:pPr>
            <w:r w:rsidRPr="000B7CDC">
              <w:t>B</w:t>
            </w:r>
          </w:p>
        </w:tc>
        <w:tc>
          <w:tcPr>
            <w:tcW w:w="1417" w:type="dxa"/>
            <w:vAlign w:val="center"/>
          </w:tcPr>
          <w:p w:rsidR="003E47EE" w:rsidRPr="000B7CDC" w:rsidRDefault="003E47EE" w:rsidP="00F309BF">
            <w:pPr>
              <w:pStyle w:val="naiskr"/>
              <w:spacing w:before="0" w:after="0"/>
              <w:jc w:val="center"/>
            </w:pPr>
            <w:r w:rsidRPr="000B7CDC">
              <w:t>C</w:t>
            </w:r>
          </w:p>
        </w:tc>
        <w:tc>
          <w:tcPr>
            <w:tcW w:w="2317" w:type="dxa"/>
            <w:vAlign w:val="center"/>
          </w:tcPr>
          <w:p w:rsidR="003E47EE" w:rsidRPr="000B7CDC" w:rsidRDefault="003E47EE" w:rsidP="00F309BF">
            <w:pPr>
              <w:pStyle w:val="naiskr"/>
              <w:spacing w:before="0" w:after="0"/>
              <w:jc w:val="center"/>
            </w:pPr>
            <w:r w:rsidRPr="000B7CDC">
              <w:t>D</w:t>
            </w:r>
          </w:p>
        </w:tc>
      </w:tr>
      <w:tr w:rsidR="003E47EE" w:rsidRPr="007D127E" w:rsidTr="002F20DA">
        <w:trPr>
          <w:trHeight w:val="410"/>
          <w:jc w:val="center"/>
        </w:trPr>
        <w:tc>
          <w:tcPr>
            <w:tcW w:w="2744" w:type="dxa"/>
            <w:vAlign w:val="center"/>
          </w:tcPr>
          <w:p w:rsidR="003E47EE" w:rsidRPr="007D127E" w:rsidRDefault="00A84D43" w:rsidP="00144F7B">
            <w:pPr>
              <w:pStyle w:val="naiskr"/>
              <w:spacing w:before="0" w:after="0"/>
              <w:jc w:val="both"/>
            </w:pPr>
            <w:r w:rsidRPr="00A84D43">
              <w:t>Eiropas Parlamenta un Padomes 2010. gada 24. novembra Direktīva</w:t>
            </w:r>
            <w:r>
              <w:t xml:space="preserve">s </w:t>
            </w:r>
            <w:r w:rsidRPr="00A84D43">
              <w:t xml:space="preserve"> 2010/75/ES par rūpnieciskajām emisijām (piesārņojuma integrēta novēršana un kontrole)</w:t>
            </w:r>
            <w:r>
              <w:t xml:space="preserve"> 21.panta 3.punkts </w:t>
            </w:r>
          </w:p>
        </w:tc>
        <w:tc>
          <w:tcPr>
            <w:tcW w:w="2977" w:type="dxa"/>
            <w:vAlign w:val="center"/>
          </w:tcPr>
          <w:p w:rsidR="003E47EE" w:rsidRPr="007D127E" w:rsidRDefault="003E47EE" w:rsidP="007751F5">
            <w:pPr>
              <w:pStyle w:val="naiskr"/>
              <w:spacing w:before="0" w:after="0"/>
              <w:jc w:val="both"/>
            </w:pPr>
            <w:r w:rsidRPr="007D127E">
              <w:t xml:space="preserve">Noteikumu </w:t>
            </w:r>
            <w:r w:rsidR="007751F5" w:rsidRPr="007D127E">
              <w:t>6</w:t>
            </w:r>
            <w:r w:rsidRPr="007D127E">
              <w:t xml:space="preserve">.punkts </w:t>
            </w:r>
          </w:p>
        </w:tc>
        <w:tc>
          <w:tcPr>
            <w:tcW w:w="1417" w:type="dxa"/>
            <w:vAlign w:val="center"/>
          </w:tcPr>
          <w:p w:rsidR="003E47EE" w:rsidRPr="007D127E" w:rsidRDefault="003E47EE" w:rsidP="00144F7B">
            <w:pPr>
              <w:pStyle w:val="naiskr"/>
              <w:spacing w:before="0" w:after="0"/>
              <w:jc w:val="both"/>
            </w:pPr>
            <w:r w:rsidRPr="007D127E">
              <w:t xml:space="preserve">Atbilst </w:t>
            </w:r>
          </w:p>
          <w:p w:rsidR="003E47EE" w:rsidRPr="007D127E" w:rsidRDefault="003E47EE" w:rsidP="00144F7B">
            <w:pPr>
              <w:pStyle w:val="naiskr"/>
              <w:spacing w:before="0" w:after="0"/>
              <w:jc w:val="both"/>
            </w:pPr>
          </w:p>
        </w:tc>
        <w:tc>
          <w:tcPr>
            <w:tcW w:w="2317" w:type="dxa"/>
            <w:vAlign w:val="center"/>
          </w:tcPr>
          <w:p w:rsidR="003E47EE" w:rsidRPr="007D127E" w:rsidRDefault="003E47EE" w:rsidP="00144F7B">
            <w:pPr>
              <w:pStyle w:val="naiskr"/>
              <w:spacing w:before="0" w:after="0"/>
              <w:jc w:val="both"/>
            </w:pPr>
            <w:r w:rsidRPr="007D127E">
              <w:t>Netiek noteiktas stingrākas prasības</w:t>
            </w:r>
          </w:p>
        </w:tc>
      </w:tr>
      <w:tr w:rsidR="00BA07D9" w:rsidRPr="007751F5" w:rsidTr="002F20DA">
        <w:trPr>
          <w:trHeight w:val="313"/>
          <w:jc w:val="center"/>
        </w:trPr>
        <w:tc>
          <w:tcPr>
            <w:tcW w:w="2744" w:type="dxa"/>
            <w:vAlign w:val="center"/>
          </w:tcPr>
          <w:p w:rsidR="00A84D43" w:rsidRDefault="00A84D43" w:rsidP="00BA07D9">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BA07D9" w:rsidRPr="00BA07D9" w:rsidRDefault="00BA07D9" w:rsidP="0033040E">
            <w:pPr>
              <w:pStyle w:val="naiskr"/>
              <w:spacing w:before="0" w:after="0"/>
              <w:jc w:val="both"/>
            </w:pPr>
            <w:r w:rsidRPr="00BA07D9">
              <w:rPr>
                <w:rFonts w:eastAsia="Calibri"/>
                <w:color w:val="000000"/>
                <w:lang w:eastAsia="en-US"/>
              </w:rPr>
              <w:t xml:space="preserve">1.1. </w:t>
            </w:r>
            <w:r w:rsidR="00A84D43">
              <w:rPr>
                <w:rFonts w:eastAsia="Calibri"/>
                <w:color w:val="000000"/>
                <w:lang w:eastAsia="en-US"/>
              </w:rPr>
              <w:t>pu</w:t>
            </w:r>
            <w:r w:rsidR="0033040E">
              <w:rPr>
                <w:rFonts w:eastAsia="Calibri"/>
                <w:color w:val="000000"/>
                <w:lang w:eastAsia="en-US"/>
              </w:rPr>
              <w:t xml:space="preserve">nkts </w:t>
            </w:r>
          </w:p>
        </w:tc>
        <w:tc>
          <w:tcPr>
            <w:tcW w:w="2977" w:type="dxa"/>
            <w:vAlign w:val="center"/>
          </w:tcPr>
          <w:p w:rsidR="00BA07D9" w:rsidRPr="00BA07D9" w:rsidRDefault="00BA07D9" w:rsidP="00BA07D9">
            <w:pPr>
              <w:pStyle w:val="naiskr"/>
              <w:spacing w:before="0" w:after="0"/>
              <w:jc w:val="both"/>
            </w:pPr>
            <w:r w:rsidRPr="00BA07D9">
              <w:t>Pielikuma 8.punkts</w:t>
            </w:r>
          </w:p>
        </w:tc>
        <w:tc>
          <w:tcPr>
            <w:tcW w:w="1417" w:type="dxa"/>
            <w:vAlign w:val="center"/>
          </w:tcPr>
          <w:p w:rsidR="00BA07D9" w:rsidRPr="00BA07D9" w:rsidRDefault="00BA07D9" w:rsidP="00144F7B">
            <w:pPr>
              <w:pStyle w:val="naiskr"/>
              <w:spacing w:before="0" w:after="0"/>
              <w:jc w:val="both"/>
            </w:pPr>
            <w:r w:rsidRPr="00BA07D9">
              <w:t>Atbilst</w:t>
            </w:r>
          </w:p>
        </w:tc>
        <w:tc>
          <w:tcPr>
            <w:tcW w:w="2317" w:type="dxa"/>
            <w:vAlign w:val="center"/>
          </w:tcPr>
          <w:p w:rsidR="00BA07D9" w:rsidRPr="00BA07D9" w:rsidRDefault="00BA07D9" w:rsidP="00144F7B">
            <w:pPr>
              <w:pStyle w:val="naiskr"/>
              <w:spacing w:before="0" w:after="0"/>
              <w:jc w:val="both"/>
            </w:pPr>
            <w:r w:rsidRPr="00BA07D9">
              <w:t>Netiek noteiktas stingrākas prasības</w:t>
            </w:r>
          </w:p>
        </w:tc>
      </w:tr>
      <w:tr w:rsidR="00BA07D9" w:rsidRPr="007751F5"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BA07D9" w:rsidRPr="00681478" w:rsidRDefault="00BA07D9" w:rsidP="0033040E">
            <w:pPr>
              <w:pStyle w:val="naiskr"/>
              <w:spacing w:before="0" w:after="0"/>
              <w:jc w:val="both"/>
            </w:pPr>
            <w:r w:rsidRPr="00681478">
              <w:rPr>
                <w:rFonts w:eastAsia="Calibri"/>
                <w:color w:val="000000"/>
                <w:lang w:eastAsia="en-US"/>
              </w:rPr>
              <w:t xml:space="preserve">1.1.1. </w:t>
            </w:r>
            <w:r w:rsidR="0033040E">
              <w:rPr>
                <w:rFonts w:eastAsia="Calibri"/>
                <w:color w:val="000000"/>
                <w:lang w:eastAsia="en-US"/>
              </w:rPr>
              <w:t xml:space="preserve">punkts </w:t>
            </w:r>
          </w:p>
        </w:tc>
        <w:tc>
          <w:tcPr>
            <w:tcW w:w="2977" w:type="dxa"/>
          </w:tcPr>
          <w:p w:rsidR="00BA07D9" w:rsidRPr="00681478" w:rsidRDefault="00681478" w:rsidP="007751F5">
            <w:pPr>
              <w:pStyle w:val="naiskr"/>
              <w:spacing w:before="0" w:after="0"/>
              <w:jc w:val="both"/>
            </w:pPr>
            <w:r w:rsidRPr="00681478">
              <w:t>Pielikuma 8</w:t>
            </w:r>
            <w:r w:rsidR="00BA07D9" w:rsidRPr="00681478">
              <w:t xml:space="preserve">.1. punkts </w:t>
            </w:r>
          </w:p>
        </w:tc>
        <w:tc>
          <w:tcPr>
            <w:tcW w:w="1417" w:type="dxa"/>
            <w:vAlign w:val="center"/>
          </w:tcPr>
          <w:p w:rsidR="00BA07D9" w:rsidRPr="00681478" w:rsidRDefault="00BA07D9" w:rsidP="007751F5">
            <w:pPr>
              <w:pStyle w:val="naiskr"/>
              <w:spacing w:before="0" w:after="0"/>
              <w:jc w:val="both"/>
            </w:pPr>
            <w:r w:rsidRPr="00681478">
              <w:t>Atbilst</w:t>
            </w:r>
          </w:p>
        </w:tc>
        <w:tc>
          <w:tcPr>
            <w:tcW w:w="2317" w:type="dxa"/>
            <w:vAlign w:val="center"/>
          </w:tcPr>
          <w:p w:rsidR="00BA07D9" w:rsidRPr="007751F5" w:rsidRDefault="00BA07D9" w:rsidP="007751F5">
            <w:pPr>
              <w:pStyle w:val="naiskr"/>
              <w:spacing w:before="0" w:after="0"/>
              <w:jc w:val="both"/>
            </w:pPr>
            <w:r w:rsidRPr="00681478">
              <w:t>Netiek noteiktas stingrākas prasības</w:t>
            </w:r>
          </w:p>
        </w:tc>
      </w:tr>
      <w:tr w:rsidR="004C0403" w:rsidRPr="007751F5"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4C0403" w:rsidRPr="007751F5" w:rsidRDefault="004C0403" w:rsidP="0033040E">
            <w:pPr>
              <w:pStyle w:val="naiskr"/>
              <w:spacing w:before="0" w:after="0"/>
              <w:jc w:val="both"/>
            </w:pPr>
            <w:r>
              <w:t xml:space="preserve">1.1.2. </w:t>
            </w:r>
            <w:r w:rsidR="0033040E">
              <w:t xml:space="preserve">punkts </w:t>
            </w:r>
            <w:r>
              <w:t xml:space="preserve"> </w:t>
            </w:r>
          </w:p>
        </w:tc>
        <w:tc>
          <w:tcPr>
            <w:tcW w:w="2977" w:type="dxa"/>
          </w:tcPr>
          <w:p w:rsidR="004C0403" w:rsidRPr="007751F5" w:rsidRDefault="004C0403" w:rsidP="007751F5">
            <w:pPr>
              <w:pStyle w:val="naiskr"/>
              <w:spacing w:before="0" w:after="0"/>
              <w:jc w:val="both"/>
            </w:pPr>
            <w:r>
              <w:t xml:space="preserve">Pielikuma 8.2. punkts </w:t>
            </w:r>
          </w:p>
        </w:tc>
        <w:tc>
          <w:tcPr>
            <w:tcW w:w="1417" w:type="dxa"/>
            <w:vAlign w:val="center"/>
          </w:tcPr>
          <w:p w:rsidR="004C0403" w:rsidRPr="00681478" w:rsidRDefault="004C0403" w:rsidP="009A72FA">
            <w:pPr>
              <w:pStyle w:val="naiskr"/>
              <w:spacing w:before="0" w:after="0"/>
              <w:jc w:val="both"/>
            </w:pPr>
            <w:r w:rsidRPr="00681478">
              <w:t>Atbilst</w:t>
            </w:r>
          </w:p>
        </w:tc>
        <w:tc>
          <w:tcPr>
            <w:tcW w:w="2317" w:type="dxa"/>
            <w:vAlign w:val="center"/>
          </w:tcPr>
          <w:p w:rsidR="004C0403" w:rsidRPr="007751F5" w:rsidRDefault="004C0403" w:rsidP="009A72FA">
            <w:pPr>
              <w:pStyle w:val="naiskr"/>
              <w:spacing w:before="0" w:after="0"/>
              <w:jc w:val="both"/>
            </w:pPr>
            <w:r w:rsidRPr="00681478">
              <w:t>Netiek noteiktas stingrākas prasības</w:t>
            </w:r>
          </w:p>
        </w:tc>
      </w:tr>
      <w:tr w:rsidR="00B97113" w:rsidRPr="007751F5"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B97113" w:rsidRPr="007751F5" w:rsidRDefault="00B97113" w:rsidP="0033040E">
            <w:pPr>
              <w:pStyle w:val="naiskr"/>
              <w:spacing w:before="0" w:after="0"/>
              <w:jc w:val="both"/>
            </w:pPr>
            <w:r>
              <w:t xml:space="preserve">1.1.3. </w:t>
            </w:r>
            <w:r w:rsidR="0033040E">
              <w:t xml:space="preserve">punkts </w:t>
            </w:r>
            <w:r>
              <w:t xml:space="preserve"> </w:t>
            </w:r>
          </w:p>
        </w:tc>
        <w:tc>
          <w:tcPr>
            <w:tcW w:w="2977" w:type="dxa"/>
          </w:tcPr>
          <w:p w:rsidR="00B97113" w:rsidRPr="007751F5" w:rsidRDefault="00B97113" w:rsidP="007751F5">
            <w:pPr>
              <w:pStyle w:val="naiskr"/>
              <w:spacing w:before="0" w:after="0"/>
              <w:jc w:val="both"/>
            </w:pPr>
            <w:r>
              <w:t xml:space="preserve">Pielikuma 8.3.punkts </w:t>
            </w:r>
          </w:p>
        </w:tc>
        <w:tc>
          <w:tcPr>
            <w:tcW w:w="1417" w:type="dxa"/>
            <w:vAlign w:val="center"/>
          </w:tcPr>
          <w:p w:rsidR="00B97113" w:rsidRPr="00681478" w:rsidRDefault="00B97113" w:rsidP="009A72FA">
            <w:pPr>
              <w:pStyle w:val="naiskr"/>
              <w:spacing w:before="0" w:after="0"/>
              <w:jc w:val="both"/>
            </w:pPr>
            <w:r w:rsidRPr="00681478">
              <w:t>Atbilst</w:t>
            </w:r>
          </w:p>
        </w:tc>
        <w:tc>
          <w:tcPr>
            <w:tcW w:w="2317" w:type="dxa"/>
            <w:vAlign w:val="center"/>
          </w:tcPr>
          <w:p w:rsidR="00B97113" w:rsidRPr="007751F5" w:rsidRDefault="00B97113" w:rsidP="009A72FA">
            <w:pPr>
              <w:pStyle w:val="naiskr"/>
              <w:spacing w:before="0" w:after="0"/>
              <w:jc w:val="both"/>
            </w:pPr>
            <w:r w:rsidRPr="00681478">
              <w:t>Netiek noteiktas stingrākas prasības</w:t>
            </w:r>
          </w:p>
        </w:tc>
      </w:tr>
      <w:tr w:rsidR="00B97113" w:rsidRPr="007751F5"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B97113" w:rsidRPr="007751F5" w:rsidRDefault="00B97113" w:rsidP="0033040E">
            <w:pPr>
              <w:pStyle w:val="naiskr"/>
              <w:spacing w:before="0" w:after="0"/>
              <w:jc w:val="both"/>
            </w:pPr>
            <w:r>
              <w:t xml:space="preserve">1.1.4. </w:t>
            </w:r>
            <w:r w:rsidR="0033040E">
              <w:t xml:space="preserve">punkts </w:t>
            </w:r>
            <w:r>
              <w:t xml:space="preserve"> </w:t>
            </w:r>
          </w:p>
        </w:tc>
        <w:tc>
          <w:tcPr>
            <w:tcW w:w="2977" w:type="dxa"/>
          </w:tcPr>
          <w:p w:rsidR="00B97113" w:rsidRPr="007751F5" w:rsidRDefault="00B97113" w:rsidP="001132D1">
            <w:pPr>
              <w:pStyle w:val="naiskr"/>
              <w:spacing w:before="0" w:after="0"/>
              <w:jc w:val="both"/>
            </w:pPr>
            <w:r>
              <w:t>Pielikuma 8.4</w:t>
            </w:r>
            <w:r w:rsidR="00C60F9E">
              <w:t>.</w:t>
            </w:r>
            <w:r>
              <w:t xml:space="preserve"> punkts</w:t>
            </w:r>
          </w:p>
        </w:tc>
        <w:tc>
          <w:tcPr>
            <w:tcW w:w="1417" w:type="dxa"/>
            <w:vAlign w:val="center"/>
          </w:tcPr>
          <w:p w:rsidR="00B97113" w:rsidRPr="00681478" w:rsidRDefault="00B97113" w:rsidP="009A72FA">
            <w:pPr>
              <w:pStyle w:val="naiskr"/>
              <w:spacing w:before="0" w:after="0"/>
              <w:jc w:val="both"/>
            </w:pPr>
            <w:r w:rsidRPr="00681478">
              <w:t>Atbilst</w:t>
            </w:r>
          </w:p>
        </w:tc>
        <w:tc>
          <w:tcPr>
            <w:tcW w:w="2317" w:type="dxa"/>
            <w:vAlign w:val="center"/>
          </w:tcPr>
          <w:p w:rsidR="00B97113" w:rsidRPr="007751F5" w:rsidRDefault="00B97113" w:rsidP="009A72FA">
            <w:pPr>
              <w:pStyle w:val="naiskr"/>
              <w:spacing w:before="0" w:after="0"/>
              <w:jc w:val="both"/>
            </w:pPr>
            <w:r w:rsidRPr="00681478">
              <w:t>Netiek noteiktas stingrākas prasības</w:t>
            </w:r>
          </w:p>
        </w:tc>
      </w:tr>
      <w:tr w:rsidR="00C60F9E" w:rsidRPr="000B7CDC"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C60F9E" w:rsidRPr="000B7CDC" w:rsidRDefault="00C60F9E" w:rsidP="0033040E">
            <w:pPr>
              <w:pStyle w:val="naiskr"/>
              <w:spacing w:before="0" w:after="0"/>
              <w:jc w:val="both"/>
            </w:pPr>
            <w:r>
              <w:t xml:space="preserve">1.1.5. </w:t>
            </w:r>
            <w:r w:rsidR="0033040E">
              <w:t xml:space="preserve">punkts </w:t>
            </w:r>
            <w:r>
              <w:t xml:space="preserve"> </w:t>
            </w:r>
          </w:p>
        </w:tc>
        <w:tc>
          <w:tcPr>
            <w:tcW w:w="2977" w:type="dxa"/>
          </w:tcPr>
          <w:p w:rsidR="00C60F9E" w:rsidRPr="000B7CDC" w:rsidRDefault="00C60F9E" w:rsidP="001132D1">
            <w:pPr>
              <w:pStyle w:val="naiskr"/>
              <w:spacing w:before="0" w:after="0"/>
              <w:jc w:val="both"/>
            </w:pPr>
            <w:r>
              <w:t xml:space="preserve">Pielikuma 8.5. punkts </w:t>
            </w:r>
          </w:p>
        </w:tc>
        <w:tc>
          <w:tcPr>
            <w:tcW w:w="1417" w:type="dxa"/>
            <w:vAlign w:val="center"/>
          </w:tcPr>
          <w:p w:rsidR="00C60F9E" w:rsidRPr="00681478" w:rsidRDefault="00C60F9E" w:rsidP="00D84D8B">
            <w:pPr>
              <w:pStyle w:val="naiskr"/>
              <w:spacing w:before="0" w:after="0"/>
              <w:jc w:val="both"/>
            </w:pPr>
            <w:r w:rsidRPr="00681478">
              <w:t>Atbilst</w:t>
            </w:r>
          </w:p>
        </w:tc>
        <w:tc>
          <w:tcPr>
            <w:tcW w:w="2317" w:type="dxa"/>
            <w:vAlign w:val="center"/>
          </w:tcPr>
          <w:p w:rsidR="00C60F9E" w:rsidRPr="007751F5" w:rsidRDefault="00C60F9E" w:rsidP="00D84D8B">
            <w:pPr>
              <w:pStyle w:val="naiskr"/>
              <w:spacing w:before="0" w:after="0"/>
              <w:jc w:val="both"/>
            </w:pPr>
            <w:r w:rsidRPr="00681478">
              <w:t>Netiek noteiktas stingrākas prasības</w:t>
            </w:r>
          </w:p>
        </w:tc>
      </w:tr>
      <w:tr w:rsidR="00C60F9E" w:rsidRPr="000B7CDC"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C60F9E" w:rsidRPr="000B7CDC" w:rsidRDefault="00C60F9E" w:rsidP="0033040E">
            <w:pPr>
              <w:pStyle w:val="naiskr"/>
              <w:spacing w:before="0" w:after="0"/>
              <w:jc w:val="both"/>
            </w:pPr>
            <w:r>
              <w:t xml:space="preserve">1.1.6. </w:t>
            </w:r>
            <w:r w:rsidR="0033040E">
              <w:t xml:space="preserve">punkts </w:t>
            </w:r>
            <w:r>
              <w:t xml:space="preserve"> </w:t>
            </w:r>
          </w:p>
        </w:tc>
        <w:tc>
          <w:tcPr>
            <w:tcW w:w="2977" w:type="dxa"/>
          </w:tcPr>
          <w:p w:rsidR="00C60F9E" w:rsidRPr="000B7CDC" w:rsidRDefault="00C60F9E" w:rsidP="001132D1">
            <w:pPr>
              <w:pStyle w:val="naiskr"/>
              <w:spacing w:before="0" w:after="0"/>
              <w:jc w:val="both"/>
            </w:pPr>
            <w:r>
              <w:t xml:space="preserve">Pielikuma 8.6. punkts </w:t>
            </w:r>
          </w:p>
        </w:tc>
        <w:tc>
          <w:tcPr>
            <w:tcW w:w="1417" w:type="dxa"/>
            <w:vAlign w:val="center"/>
          </w:tcPr>
          <w:p w:rsidR="00C60F9E" w:rsidRPr="00681478" w:rsidRDefault="00C60F9E" w:rsidP="00D84D8B">
            <w:pPr>
              <w:pStyle w:val="naiskr"/>
              <w:spacing w:before="0" w:after="0"/>
              <w:jc w:val="both"/>
            </w:pPr>
            <w:r w:rsidRPr="00681478">
              <w:t>Atbilst</w:t>
            </w:r>
          </w:p>
        </w:tc>
        <w:tc>
          <w:tcPr>
            <w:tcW w:w="2317" w:type="dxa"/>
            <w:vAlign w:val="center"/>
          </w:tcPr>
          <w:p w:rsidR="00C60F9E" w:rsidRPr="007751F5" w:rsidRDefault="00C60F9E" w:rsidP="00D84D8B">
            <w:pPr>
              <w:pStyle w:val="naiskr"/>
              <w:spacing w:before="0" w:after="0"/>
              <w:jc w:val="both"/>
            </w:pPr>
            <w:r w:rsidRPr="00681478">
              <w:t>Netiek noteiktas stingrākas prasības</w:t>
            </w:r>
          </w:p>
        </w:tc>
      </w:tr>
      <w:tr w:rsidR="00C60F9E" w:rsidRPr="000B7CDC"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C60F9E" w:rsidRPr="000B7CDC" w:rsidRDefault="00C60F9E" w:rsidP="0033040E">
            <w:pPr>
              <w:pStyle w:val="naiskr"/>
              <w:spacing w:before="0" w:after="0"/>
              <w:jc w:val="both"/>
            </w:pPr>
            <w:r>
              <w:t xml:space="preserve">1.1.7. </w:t>
            </w:r>
            <w:r w:rsidR="0033040E">
              <w:t xml:space="preserve">punkts </w:t>
            </w:r>
            <w:r>
              <w:t xml:space="preserve"> </w:t>
            </w:r>
          </w:p>
        </w:tc>
        <w:tc>
          <w:tcPr>
            <w:tcW w:w="2977" w:type="dxa"/>
          </w:tcPr>
          <w:p w:rsidR="00C60F9E" w:rsidRPr="000B7CDC" w:rsidRDefault="00C60F9E" w:rsidP="001132D1">
            <w:pPr>
              <w:pStyle w:val="naiskr"/>
              <w:spacing w:before="0" w:after="0"/>
              <w:jc w:val="both"/>
            </w:pPr>
            <w:r>
              <w:t xml:space="preserve">Pielikuma 8.7. punkts </w:t>
            </w:r>
          </w:p>
        </w:tc>
        <w:tc>
          <w:tcPr>
            <w:tcW w:w="1417" w:type="dxa"/>
            <w:vAlign w:val="center"/>
          </w:tcPr>
          <w:p w:rsidR="00C60F9E" w:rsidRPr="00681478" w:rsidRDefault="00C60F9E" w:rsidP="00D84D8B">
            <w:pPr>
              <w:pStyle w:val="naiskr"/>
              <w:spacing w:before="0" w:after="0"/>
              <w:jc w:val="both"/>
            </w:pPr>
            <w:r w:rsidRPr="00681478">
              <w:t>Atbilst</w:t>
            </w:r>
          </w:p>
        </w:tc>
        <w:tc>
          <w:tcPr>
            <w:tcW w:w="2317" w:type="dxa"/>
            <w:vAlign w:val="center"/>
          </w:tcPr>
          <w:p w:rsidR="00C60F9E" w:rsidRPr="007751F5" w:rsidRDefault="00C60F9E" w:rsidP="00D84D8B">
            <w:pPr>
              <w:pStyle w:val="naiskr"/>
              <w:spacing w:before="0" w:after="0"/>
              <w:jc w:val="both"/>
            </w:pPr>
            <w:r w:rsidRPr="00681478">
              <w:t>Netiek noteiktas stingrākas prasības</w:t>
            </w:r>
          </w:p>
        </w:tc>
      </w:tr>
      <w:tr w:rsidR="00C60F9E" w:rsidRPr="000B7CDC"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C60F9E" w:rsidRPr="000B7CDC" w:rsidRDefault="00FB21D6" w:rsidP="0033040E">
            <w:pPr>
              <w:pStyle w:val="naiskr"/>
              <w:spacing w:before="0" w:after="0"/>
              <w:jc w:val="both"/>
            </w:pPr>
            <w:r>
              <w:t xml:space="preserve">1.1.8. </w:t>
            </w:r>
            <w:r w:rsidR="0033040E">
              <w:t xml:space="preserve">punkts </w:t>
            </w:r>
            <w:r>
              <w:t xml:space="preserve"> </w:t>
            </w:r>
          </w:p>
        </w:tc>
        <w:tc>
          <w:tcPr>
            <w:tcW w:w="2977" w:type="dxa"/>
          </w:tcPr>
          <w:p w:rsidR="00C60F9E" w:rsidRPr="000B7CDC" w:rsidRDefault="00FB21D6" w:rsidP="001132D1">
            <w:pPr>
              <w:pStyle w:val="naiskr"/>
              <w:spacing w:before="0" w:after="0"/>
              <w:jc w:val="both"/>
            </w:pPr>
            <w:r>
              <w:t xml:space="preserve">Pielikuma 8.8.punkts </w:t>
            </w:r>
          </w:p>
        </w:tc>
        <w:tc>
          <w:tcPr>
            <w:tcW w:w="1417" w:type="dxa"/>
            <w:vAlign w:val="center"/>
          </w:tcPr>
          <w:p w:rsidR="00C60F9E" w:rsidRPr="00681478" w:rsidRDefault="00C60F9E" w:rsidP="00D84D8B">
            <w:pPr>
              <w:pStyle w:val="naiskr"/>
              <w:spacing w:before="0" w:after="0"/>
              <w:jc w:val="both"/>
            </w:pPr>
            <w:r w:rsidRPr="00681478">
              <w:t>Atbilst</w:t>
            </w:r>
          </w:p>
        </w:tc>
        <w:tc>
          <w:tcPr>
            <w:tcW w:w="2317" w:type="dxa"/>
            <w:vAlign w:val="center"/>
          </w:tcPr>
          <w:p w:rsidR="00C60F9E" w:rsidRPr="007751F5" w:rsidRDefault="00C60F9E" w:rsidP="00D84D8B">
            <w:pPr>
              <w:pStyle w:val="naiskr"/>
              <w:spacing w:before="0" w:after="0"/>
              <w:jc w:val="both"/>
            </w:pPr>
            <w:r w:rsidRPr="00681478">
              <w:t>Netiek noteiktas stingrākas prasības</w:t>
            </w:r>
          </w:p>
        </w:tc>
      </w:tr>
      <w:tr w:rsidR="00C60F9E" w:rsidRPr="000B7CDC" w:rsidTr="002F20DA">
        <w:trPr>
          <w:trHeight w:val="313"/>
          <w:jc w:val="center"/>
        </w:trPr>
        <w:tc>
          <w:tcPr>
            <w:tcW w:w="2744" w:type="dxa"/>
          </w:tcPr>
          <w:p w:rsidR="0033040E" w:rsidRDefault="0033040E" w:rsidP="0033040E">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C60F9E" w:rsidRPr="000B7CDC" w:rsidRDefault="00FB21D6" w:rsidP="0033040E">
            <w:pPr>
              <w:pStyle w:val="naiskr"/>
              <w:spacing w:before="0" w:after="0"/>
              <w:jc w:val="both"/>
            </w:pPr>
            <w:r>
              <w:t>1.1.9.</w:t>
            </w:r>
            <w:r w:rsidR="0033040E">
              <w:t xml:space="preserve">punkts </w:t>
            </w:r>
            <w:r>
              <w:t xml:space="preserve"> </w:t>
            </w:r>
          </w:p>
        </w:tc>
        <w:tc>
          <w:tcPr>
            <w:tcW w:w="2977" w:type="dxa"/>
          </w:tcPr>
          <w:p w:rsidR="00C60F9E" w:rsidRPr="000B7CDC" w:rsidRDefault="00FB21D6" w:rsidP="001132D1">
            <w:pPr>
              <w:pStyle w:val="naiskr"/>
              <w:spacing w:before="0" w:after="0"/>
              <w:jc w:val="both"/>
            </w:pPr>
            <w:r>
              <w:t xml:space="preserve">Pielikuma 8.9. punkts </w:t>
            </w:r>
          </w:p>
        </w:tc>
        <w:tc>
          <w:tcPr>
            <w:tcW w:w="1417" w:type="dxa"/>
            <w:vAlign w:val="center"/>
          </w:tcPr>
          <w:p w:rsidR="00C60F9E" w:rsidRPr="00681478" w:rsidRDefault="00C60F9E" w:rsidP="00D84D8B">
            <w:pPr>
              <w:pStyle w:val="naiskr"/>
              <w:spacing w:before="0" w:after="0"/>
              <w:jc w:val="both"/>
            </w:pPr>
            <w:r w:rsidRPr="00681478">
              <w:t>Atbilst</w:t>
            </w:r>
          </w:p>
        </w:tc>
        <w:tc>
          <w:tcPr>
            <w:tcW w:w="2317" w:type="dxa"/>
            <w:vAlign w:val="center"/>
          </w:tcPr>
          <w:p w:rsidR="00C60F9E" w:rsidRPr="007751F5" w:rsidRDefault="00C60F9E" w:rsidP="00D84D8B">
            <w:pPr>
              <w:pStyle w:val="naiskr"/>
              <w:spacing w:before="0" w:after="0"/>
              <w:jc w:val="both"/>
            </w:pPr>
            <w:r w:rsidRPr="00681478">
              <w:t>Netiek noteiktas stingrākas prasības</w:t>
            </w:r>
          </w:p>
        </w:tc>
      </w:tr>
      <w:tr w:rsidR="00C60F9E" w:rsidRPr="00FF5ED0"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lastRenderedPageBreak/>
              <w:t xml:space="preserve">Lēmuma 2014/687/ES </w:t>
            </w:r>
            <w:r w:rsidRPr="00A84D43">
              <w:rPr>
                <w:sz w:val="25"/>
                <w:szCs w:val="25"/>
              </w:rPr>
              <w:t xml:space="preserve">pielikuma </w:t>
            </w:r>
          </w:p>
          <w:p w:rsidR="00C60F9E" w:rsidRPr="00FF5ED0" w:rsidRDefault="00FB21D6" w:rsidP="0033040E">
            <w:pPr>
              <w:pStyle w:val="naiskr"/>
              <w:spacing w:before="0" w:after="0"/>
              <w:jc w:val="both"/>
            </w:pPr>
            <w:r>
              <w:t xml:space="preserve">1.1.10. </w:t>
            </w:r>
            <w:r w:rsidR="0033040E">
              <w:t xml:space="preserve">punkts </w:t>
            </w:r>
            <w:r>
              <w:t xml:space="preserve"> </w:t>
            </w:r>
          </w:p>
        </w:tc>
        <w:tc>
          <w:tcPr>
            <w:tcW w:w="2977" w:type="dxa"/>
          </w:tcPr>
          <w:p w:rsidR="00C60F9E" w:rsidRPr="00FF5ED0" w:rsidRDefault="00FB21D6" w:rsidP="001132D1">
            <w:pPr>
              <w:pStyle w:val="naiskr"/>
              <w:spacing w:before="0" w:after="0"/>
              <w:jc w:val="both"/>
            </w:pPr>
            <w:r>
              <w:t>Pielikuma 8.10. punkts</w:t>
            </w:r>
          </w:p>
        </w:tc>
        <w:tc>
          <w:tcPr>
            <w:tcW w:w="1417" w:type="dxa"/>
            <w:vAlign w:val="center"/>
          </w:tcPr>
          <w:p w:rsidR="00C60F9E" w:rsidRPr="00681478" w:rsidRDefault="00C60F9E" w:rsidP="00D84D8B">
            <w:pPr>
              <w:pStyle w:val="naiskr"/>
              <w:spacing w:before="0" w:after="0"/>
              <w:jc w:val="both"/>
            </w:pPr>
            <w:r w:rsidRPr="00681478">
              <w:t>Atbilst</w:t>
            </w:r>
          </w:p>
        </w:tc>
        <w:tc>
          <w:tcPr>
            <w:tcW w:w="2317" w:type="dxa"/>
            <w:vAlign w:val="center"/>
          </w:tcPr>
          <w:p w:rsidR="00C60F9E" w:rsidRPr="007751F5" w:rsidRDefault="00C60F9E" w:rsidP="00D84D8B">
            <w:pPr>
              <w:pStyle w:val="naiskr"/>
              <w:spacing w:before="0" w:after="0"/>
              <w:jc w:val="both"/>
            </w:pPr>
            <w:r w:rsidRPr="00681478">
              <w:t>Netiek noteiktas stingrākas prasības</w:t>
            </w:r>
          </w:p>
        </w:tc>
      </w:tr>
      <w:tr w:rsidR="00C60F9E" w:rsidRPr="006E26AB"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C60F9E" w:rsidRPr="006E26AB" w:rsidRDefault="00FB21D6" w:rsidP="0033040E">
            <w:pPr>
              <w:pStyle w:val="naiskr"/>
              <w:spacing w:before="0" w:after="0"/>
              <w:jc w:val="both"/>
            </w:pPr>
            <w:r>
              <w:t xml:space="preserve">1.2. </w:t>
            </w:r>
            <w:r w:rsidR="0033040E">
              <w:t xml:space="preserve">punkts </w:t>
            </w:r>
            <w:r>
              <w:t xml:space="preserve"> </w:t>
            </w:r>
          </w:p>
        </w:tc>
        <w:tc>
          <w:tcPr>
            <w:tcW w:w="2977" w:type="dxa"/>
          </w:tcPr>
          <w:p w:rsidR="00C60F9E" w:rsidRPr="006E26AB" w:rsidRDefault="00FB21D6" w:rsidP="001132D1">
            <w:pPr>
              <w:pStyle w:val="naiskr"/>
              <w:spacing w:before="0" w:after="0"/>
              <w:jc w:val="both"/>
            </w:pPr>
            <w:r>
              <w:t xml:space="preserve">Pielikuma 9.punkts </w:t>
            </w:r>
          </w:p>
        </w:tc>
        <w:tc>
          <w:tcPr>
            <w:tcW w:w="1417" w:type="dxa"/>
            <w:vAlign w:val="center"/>
          </w:tcPr>
          <w:p w:rsidR="00C60F9E" w:rsidRPr="00681478" w:rsidRDefault="00C60F9E" w:rsidP="00D84D8B">
            <w:pPr>
              <w:pStyle w:val="naiskr"/>
              <w:spacing w:before="0" w:after="0"/>
              <w:jc w:val="both"/>
            </w:pPr>
            <w:r w:rsidRPr="00681478">
              <w:t>Atbilst</w:t>
            </w:r>
          </w:p>
        </w:tc>
        <w:tc>
          <w:tcPr>
            <w:tcW w:w="2317" w:type="dxa"/>
            <w:vAlign w:val="center"/>
          </w:tcPr>
          <w:p w:rsidR="00C60F9E" w:rsidRPr="007751F5" w:rsidRDefault="00C60F9E" w:rsidP="00D84D8B">
            <w:pPr>
              <w:pStyle w:val="naiskr"/>
              <w:spacing w:before="0" w:after="0"/>
              <w:jc w:val="both"/>
            </w:pPr>
            <w:r w:rsidRPr="00681478">
              <w:t>Netiek noteiktas stingrākas prasības</w:t>
            </w:r>
          </w:p>
        </w:tc>
      </w:tr>
      <w:tr w:rsidR="00C60F9E" w:rsidRPr="000B7CDC"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C60F9E" w:rsidRPr="000B7CDC" w:rsidRDefault="00FB21D6" w:rsidP="0033040E">
            <w:pPr>
              <w:pStyle w:val="naiskr"/>
              <w:spacing w:before="0" w:after="0"/>
              <w:jc w:val="both"/>
            </w:pPr>
            <w:r>
              <w:t xml:space="preserve">1.2.1. </w:t>
            </w:r>
            <w:r w:rsidR="0033040E">
              <w:t xml:space="preserve">punkts </w:t>
            </w:r>
            <w:r>
              <w:t xml:space="preserve"> </w:t>
            </w:r>
          </w:p>
        </w:tc>
        <w:tc>
          <w:tcPr>
            <w:tcW w:w="2977" w:type="dxa"/>
          </w:tcPr>
          <w:p w:rsidR="00C60F9E" w:rsidRPr="000B7CDC" w:rsidRDefault="00FB21D6" w:rsidP="00FB21D6">
            <w:pPr>
              <w:pStyle w:val="naiskr"/>
              <w:spacing w:before="0" w:after="0"/>
              <w:jc w:val="both"/>
            </w:pPr>
            <w:r>
              <w:t xml:space="preserve">Pielikuma 9.1. punkts </w:t>
            </w:r>
          </w:p>
        </w:tc>
        <w:tc>
          <w:tcPr>
            <w:tcW w:w="1417" w:type="dxa"/>
            <w:vAlign w:val="center"/>
          </w:tcPr>
          <w:p w:rsidR="00C60F9E" w:rsidRPr="00681478" w:rsidRDefault="00C60F9E" w:rsidP="00D84D8B">
            <w:pPr>
              <w:pStyle w:val="naiskr"/>
              <w:spacing w:before="0" w:after="0"/>
              <w:jc w:val="both"/>
            </w:pPr>
            <w:r w:rsidRPr="00681478">
              <w:t>Atbilst</w:t>
            </w:r>
          </w:p>
        </w:tc>
        <w:tc>
          <w:tcPr>
            <w:tcW w:w="2317" w:type="dxa"/>
            <w:vAlign w:val="center"/>
          </w:tcPr>
          <w:p w:rsidR="00C60F9E" w:rsidRPr="007751F5" w:rsidRDefault="00C60F9E" w:rsidP="00D84D8B">
            <w:pPr>
              <w:pStyle w:val="naiskr"/>
              <w:spacing w:before="0" w:after="0"/>
              <w:jc w:val="both"/>
            </w:pPr>
            <w:r w:rsidRPr="00681478">
              <w:t>Netiek noteiktas stingrākas prasības</w:t>
            </w:r>
          </w:p>
        </w:tc>
      </w:tr>
      <w:tr w:rsidR="00FB21D6" w:rsidRPr="006E26AB"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FB21D6" w:rsidRPr="006E26AB" w:rsidRDefault="00FB21D6" w:rsidP="0033040E">
            <w:pPr>
              <w:pStyle w:val="naiskr"/>
              <w:spacing w:before="0" w:after="0"/>
              <w:jc w:val="both"/>
            </w:pPr>
            <w:r>
              <w:t xml:space="preserve">1.2.2. </w:t>
            </w:r>
            <w:r w:rsidR="0033040E">
              <w:t xml:space="preserve">punkts </w:t>
            </w:r>
            <w:r>
              <w:t xml:space="preserve"> </w:t>
            </w:r>
          </w:p>
        </w:tc>
        <w:tc>
          <w:tcPr>
            <w:tcW w:w="2977" w:type="dxa"/>
          </w:tcPr>
          <w:p w:rsidR="00FB21D6" w:rsidRPr="006E26AB" w:rsidRDefault="00FB21D6" w:rsidP="001132D1">
            <w:pPr>
              <w:pStyle w:val="naiskr"/>
              <w:spacing w:before="0" w:after="0"/>
              <w:jc w:val="both"/>
            </w:pPr>
            <w:r>
              <w:t>Pielikuma 9.2. punkts</w:t>
            </w:r>
          </w:p>
        </w:tc>
        <w:tc>
          <w:tcPr>
            <w:tcW w:w="1417" w:type="dxa"/>
            <w:vAlign w:val="center"/>
          </w:tcPr>
          <w:p w:rsidR="00FB21D6" w:rsidRPr="00681478" w:rsidRDefault="00FB21D6" w:rsidP="00D84D8B">
            <w:pPr>
              <w:pStyle w:val="naiskr"/>
              <w:spacing w:before="0" w:after="0"/>
              <w:jc w:val="both"/>
            </w:pPr>
            <w:r w:rsidRPr="00681478">
              <w:t>Atbilst</w:t>
            </w:r>
          </w:p>
        </w:tc>
        <w:tc>
          <w:tcPr>
            <w:tcW w:w="2317" w:type="dxa"/>
            <w:vAlign w:val="center"/>
          </w:tcPr>
          <w:p w:rsidR="00FB21D6" w:rsidRPr="007751F5" w:rsidRDefault="00FB21D6" w:rsidP="00D84D8B">
            <w:pPr>
              <w:pStyle w:val="naiskr"/>
              <w:spacing w:before="0" w:after="0"/>
              <w:jc w:val="both"/>
            </w:pPr>
            <w:r w:rsidRPr="00681478">
              <w:t>Netiek noteiktas stingrākas prasības</w:t>
            </w:r>
          </w:p>
        </w:tc>
      </w:tr>
      <w:tr w:rsidR="00790BF2" w:rsidRPr="000B7CDC"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790BF2" w:rsidRPr="000B7CDC" w:rsidRDefault="00790BF2" w:rsidP="0033040E">
            <w:pPr>
              <w:pStyle w:val="naiskr"/>
              <w:spacing w:before="0" w:after="0"/>
              <w:jc w:val="both"/>
            </w:pPr>
            <w:r>
              <w:t xml:space="preserve">1.2.3. </w:t>
            </w:r>
            <w:r w:rsidR="0033040E">
              <w:t xml:space="preserve">punkts </w:t>
            </w:r>
            <w:r>
              <w:t xml:space="preserve"> </w:t>
            </w:r>
          </w:p>
        </w:tc>
        <w:tc>
          <w:tcPr>
            <w:tcW w:w="2977" w:type="dxa"/>
          </w:tcPr>
          <w:p w:rsidR="00790BF2" w:rsidRPr="000B7CDC" w:rsidRDefault="00790BF2" w:rsidP="00166067">
            <w:pPr>
              <w:pStyle w:val="naiskr"/>
              <w:spacing w:before="0" w:after="0"/>
              <w:jc w:val="both"/>
            </w:pPr>
            <w:r>
              <w:t>Pielikuma 9.3. punkts</w:t>
            </w:r>
          </w:p>
        </w:tc>
        <w:tc>
          <w:tcPr>
            <w:tcW w:w="1417" w:type="dxa"/>
            <w:vAlign w:val="center"/>
          </w:tcPr>
          <w:p w:rsidR="00790BF2" w:rsidRPr="00681478" w:rsidRDefault="00790BF2" w:rsidP="00166067">
            <w:pPr>
              <w:pStyle w:val="naiskr"/>
              <w:spacing w:before="0" w:after="0"/>
              <w:jc w:val="both"/>
            </w:pPr>
            <w:r w:rsidRPr="00681478">
              <w:t>Atbilst</w:t>
            </w:r>
          </w:p>
        </w:tc>
        <w:tc>
          <w:tcPr>
            <w:tcW w:w="2317" w:type="dxa"/>
            <w:vAlign w:val="center"/>
          </w:tcPr>
          <w:p w:rsidR="00790BF2" w:rsidRPr="007751F5" w:rsidRDefault="00790BF2" w:rsidP="00166067">
            <w:pPr>
              <w:pStyle w:val="naiskr"/>
              <w:spacing w:before="0" w:after="0"/>
              <w:jc w:val="both"/>
            </w:pPr>
            <w:r w:rsidRPr="00681478">
              <w:t>Netiek noteiktas stingrākas prasības</w:t>
            </w:r>
          </w:p>
        </w:tc>
      </w:tr>
      <w:tr w:rsidR="00790BF2" w:rsidRPr="000A0F1D" w:rsidTr="00B1630F">
        <w:trPr>
          <w:trHeight w:val="578"/>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790BF2" w:rsidRPr="000A0F1D" w:rsidRDefault="00790BF2" w:rsidP="00A5039C">
            <w:pPr>
              <w:pStyle w:val="naiskr"/>
              <w:spacing w:before="0" w:after="0"/>
              <w:jc w:val="both"/>
            </w:pPr>
            <w:r>
              <w:t xml:space="preserve">1.2.4. </w:t>
            </w:r>
            <w:r w:rsidR="0033040E">
              <w:t xml:space="preserve">punkts </w:t>
            </w:r>
          </w:p>
        </w:tc>
        <w:tc>
          <w:tcPr>
            <w:tcW w:w="2977" w:type="dxa"/>
          </w:tcPr>
          <w:p w:rsidR="00790BF2" w:rsidRPr="000A0F1D" w:rsidRDefault="00790BF2" w:rsidP="00166067">
            <w:pPr>
              <w:pStyle w:val="naiskr"/>
              <w:spacing w:before="0" w:after="0"/>
              <w:jc w:val="both"/>
            </w:pPr>
            <w:r>
              <w:t>Pielikuma 9.4.</w:t>
            </w:r>
            <w:r w:rsidR="00082398">
              <w:t xml:space="preserve"> </w:t>
            </w:r>
            <w:r>
              <w:t xml:space="preserve">punkts </w:t>
            </w:r>
          </w:p>
        </w:tc>
        <w:tc>
          <w:tcPr>
            <w:tcW w:w="1417" w:type="dxa"/>
            <w:vAlign w:val="center"/>
          </w:tcPr>
          <w:p w:rsidR="00790BF2" w:rsidRPr="00681478" w:rsidRDefault="00790BF2" w:rsidP="00166067">
            <w:pPr>
              <w:pStyle w:val="naiskr"/>
              <w:spacing w:before="0" w:after="0"/>
              <w:jc w:val="both"/>
            </w:pPr>
            <w:r w:rsidRPr="00681478">
              <w:t>Atbilst</w:t>
            </w:r>
          </w:p>
        </w:tc>
        <w:tc>
          <w:tcPr>
            <w:tcW w:w="2317" w:type="dxa"/>
            <w:vAlign w:val="center"/>
          </w:tcPr>
          <w:p w:rsidR="00790BF2" w:rsidRPr="007751F5" w:rsidRDefault="00790BF2" w:rsidP="00166067">
            <w:pPr>
              <w:pStyle w:val="naiskr"/>
              <w:spacing w:before="0" w:after="0"/>
              <w:jc w:val="both"/>
            </w:pPr>
            <w:r w:rsidRPr="00681478">
              <w:t>Netiek noteiktas stingrākas prasības</w:t>
            </w:r>
          </w:p>
        </w:tc>
      </w:tr>
      <w:tr w:rsidR="00790BF2" w:rsidRPr="009119B6"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790BF2" w:rsidRPr="009119B6" w:rsidRDefault="00B1630F" w:rsidP="0033040E">
            <w:pPr>
              <w:pStyle w:val="naiskr"/>
              <w:spacing w:before="0" w:after="0"/>
              <w:jc w:val="both"/>
              <w:rPr>
                <w:rFonts w:eastAsia="Calibri"/>
                <w:color w:val="000000"/>
                <w:lang w:eastAsia="en-US"/>
              </w:rPr>
            </w:pPr>
            <w:r w:rsidRPr="009119B6">
              <w:rPr>
                <w:rFonts w:eastAsia="Calibri"/>
                <w:color w:val="000000"/>
                <w:lang w:eastAsia="en-US"/>
              </w:rPr>
              <w:t xml:space="preserve">1.3. </w:t>
            </w:r>
            <w:r w:rsidR="0033040E">
              <w:rPr>
                <w:rFonts w:eastAsia="Calibri"/>
                <w:color w:val="000000"/>
                <w:lang w:eastAsia="en-US"/>
              </w:rPr>
              <w:t xml:space="preserve">punkts </w:t>
            </w:r>
            <w:r w:rsidRPr="009119B6">
              <w:rPr>
                <w:rFonts w:eastAsia="Calibri"/>
                <w:color w:val="000000"/>
                <w:lang w:eastAsia="en-US"/>
              </w:rPr>
              <w:t xml:space="preserve"> </w:t>
            </w:r>
          </w:p>
        </w:tc>
        <w:tc>
          <w:tcPr>
            <w:tcW w:w="2977" w:type="dxa"/>
          </w:tcPr>
          <w:p w:rsidR="00790BF2" w:rsidRPr="009119B6" w:rsidRDefault="00B1630F" w:rsidP="00166067">
            <w:pPr>
              <w:pStyle w:val="naiskr"/>
              <w:spacing w:before="0" w:after="0"/>
              <w:jc w:val="both"/>
            </w:pPr>
            <w:r w:rsidRPr="009119B6">
              <w:t xml:space="preserve">Pielikuma </w:t>
            </w:r>
            <w:r w:rsidR="009119B6" w:rsidRPr="009119B6">
              <w:t>10.</w:t>
            </w:r>
            <w:r w:rsidR="00082398">
              <w:t xml:space="preserve"> </w:t>
            </w:r>
            <w:r w:rsidR="009119B6" w:rsidRPr="009119B6">
              <w:t xml:space="preserve">punkts </w:t>
            </w:r>
          </w:p>
        </w:tc>
        <w:tc>
          <w:tcPr>
            <w:tcW w:w="1417" w:type="dxa"/>
            <w:vAlign w:val="center"/>
          </w:tcPr>
          <w:p w:rsidR="00790BF2" w:rsidRPr="009119B6" w:rsidRDefault="00790BF2" w:rsidP="00166067">
            <w:pPr>
              <w:pStyle w:val="naiskr"/>
              <w:spacing w:before="0" w:after="0"/>
              <w:jc w:val="both"/>
            </w:pPr>
            <w:r w:rsidRPr="009119B6">
              <w:t>Atbilst</w:t>
            </w:r>
          </w:p>
        </w:tc>
        <w:tc>
          <w:tcPr>
            <w:tcW w:w="2317" w:type="dxa"/>
            <w:vAlign w:val="center"/>
          </w:tcPr>
          <w:p w:rsidR="00790BF2" w:rsidRPr="009119B6" w:rsidRDefault="00790BF2" w:rsidP="00166067">
            <w:pPr>
              <w:pStyle w:val="naiskr"/>
              <w:spacing w:before="0" w:after="0"/>
              <w:jc w:val="both"/>
            </w:pPr>
            <w:r w:rsidRPr="009119B6">
              <w:t>Netiek noteiktas stingrākas prasības</w:t>
            </w:r>
          </w:p>
        </w:tc>
      </w:tr>
      <w:tr w:rsidR="00790BF2" w:rsidRPr="009119B6"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790BF2" w:rsidRPr="009119B6" w:rsidRDefault="009119B6" w:rsidP="0033040E">
            <w:pPr>
              <w:pStyle w:val="naiskr"/>
              <w:spacing w:before="0" w:after="0"/>
              <w:jc w:val="both"/>
              <w:rPr>
                <w:rFonts w:eastAsia="Calibri"/>
                <w:color w:val="000000"/>
                <w:lang w:eastAsia="en-US"/>
              </w:rPr>
            </w:pPr>
            <w:r>
              <w:rPr>
                <w:rFonts w:eastAsia="Calibri"/>
                <w:color w:val="000000"/>
                <w:lang w:eastAsia="en-US"/>
              </w:rPr>
              <w:t xml:space="preserve">1.3.1. </w:t>
            </w:r>
            <w:r w:rsidR="0033040E">
              <w:rPr>
                <w:rFonts w:eastAsia="Calibri"/>
                <w:color w:val="000000"/>
                <w:lang w:eastAsia="en-US"/>
              </w:rPr>
              <w:t xml:space="preserve">punkts </w:t>
            </w:r>
          </w:p>
        </w:tc>
        <w:tc>
          <w:tcPr>
            <w:tcW w:w="2977" w:type="dxa"/>
          </w:tcPr>
          <w:p w:rsidR="00790BF2" w:rsidRPr="009119B6" w:rsidRDefault="009119B6" w:rsidP="00166067">
            <w:pPr>
              <w:pStyle w:val="naiskr"/>
              <w:spacing w:before="0" w:after="0"/>
              <w:jc w:val="both"/>
            </w:pPr>
            <w:r>
              <w:t>Pielikuma 10.1. punkts</w:t>
            </w:r>
          </w:p>
        </w:tc>
        <w:tc>
          <w:tcPr>
            <w:tcW w:w="1417" w:type="dxa"/>
            <w:vAlign w:val="center"/>
          </w:tcPr>
          <w:p w:rsidR="00790BF2" w:rsidRPr="009119B6" w:rsidRDefault="00790BF2" w:rsidP="00166067">
            <w:pPr>
              <w:pStyle w:val="naiskr"/>
              <w:spacing w:before="0" w:after="0"/>
              <w:jc w:val="both"/>
            </w:pPr>
            <w:r w:rsidRPr="009119B6">
              <w:t>Atbilst</w:t>
            </w:r>
          </w:p>
        </w:tc>
        <w:tc>
          <w:tcPr>
            <w:tcW w:w="2317" w:type="dxa"/>
            <w:vAlign w:val="center"/>
          </w:tcPr>
          <w:p w:rsidR="00790BF2" w:rsidRPr="009119B6" w:rsidRDefault="00790BF2" w:rsidP="00166067">
            <w:pPr>
              <w:pStyle w:val="naiskr"/>
              <w:spacing w:before="0" w:after="0"/>
              <w:jc w:val="both"/>
            </w:pPr>
            <w:r w:rsidRPr="009119B6">
              <w:t>Netiek noteiktas stingrākas prasības</w:t>
            </w:r>
          </w:p>
        </w:tc>
      </w:tr>
      <w:tr w:rsidR="00790BF2" w:rsidRPr="009119B6"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790BF2" w:rsidRPr="009119B6" w:rsidRDefault="009119B6" w:rsidP="0033040E">
            <w:pPr>
              <w:pStyle w:val="naiskr"/>
              <w:spacing w:before="0" w:after="0"/>
              <w:jc w:val="both"/>
              <w:rPr>
                <w:rFonts w:eastAsia="Calibri"/>
                <w:color w:val="000000"/>
                <w:lang w:eastAsia="en-US"/>
              </w:rPr>
            </w:pPr>
            <w:r>
              <w:rPr>
                <w:rFonts w:eastAsia="Calibri"/>
                <w:color w:val="000000"/>
                <w:lang w:eastAsia="en-US"/>
              </w:rPr>
              <w:t xml:space="preserve">1.3.2. </w:t>
            </w:r>
            <w:r w:rsidR="0033040E">
              <w:rPr>
                <w:rFonts w:eastAsia="Calibri"/>
                <w:color w:val="000000"/>
                <w:lang w:eastAsia="en-US"/>
              </w:rPr>
              <w:t xml:space="preserve">punkts </w:t>
            </w:r>
            <w:r>
              <w:rPr>
                <w:rFonts w:eastAsia="Calibri"/>
                <w:color w:val="000000"/>
                <w:lang w:eastAsia="en-US"/>
              </w:rPr>
              <w:t xml:space="preserve"> </w:t>
            </w:r>
          </w:p>
        </w:tc>
        <w:tc>
          <w:tcPr>
            <w:tcW w:w="2977" w:type="dxa"/>
          </w:tcPr>
          <w:p w:rsidR="00790BF2" w:rsidRPr="009119B6" w:rsidRDefault="009119B6" w:rsidP="00166067">
            <w:pPr>
              <w:pStyle w:val="naiskr"/>
              <w:spacing w:before="0" w:after="0"/>
              <w:jc w:val="both"/>
            </w:pPr>
            <w:r>
              <w:t xml:space="preserve">Pielikuma 10.2. punkts </w:t>
            </w:r>
          </w:p>
        </w:tc>
        <w:tc>
          <w:tcPr>
            <w:tcW w:w="1417" w:type="dxa"/>
            <w:vAlign w:val="center"/>
          </w:tcPr>
          <w:p w:rsidR="00790BF2" w:rsidRPr="009119B6" w:rsidRDefault="00790BF2" w:rsidP="00166067">
            <w:pPr>
              <w:pStyle w:val="naiskr"/>
              <w:spacing w:before="0" w:after="0"/>
              <w:jc w:val="both"/>
            </w:pPr>
            <w:r w:rsidRPr="009119B6">
              <w:t>Atbilst</w:t>
            </w:r>
          </w:p>
        </w:tc>
        <w:tc>
          <w:tcPr>
            <w:tcW w:w="2317" w:type="dxa"/>
            <w:vAlign w:val="center"/>
          </w:tcPr>
          <w:p w:rsidR="00790BF2" w:rsidRPr="009119B6" w:rsidRDefault="00790BF2" w:rsidP="00166067">
            <w:pPr>
              <w:pStyle w:val="naiskr"/>
              <w:spacing w:before="0" w:after="0"/>
              <w:jc w:val="both"/>
            </w:pPr>
            <w:r w:rsidRPr="009119B6">
              <w:t>Netiek noteiktas stingrākas prasības</w:t>
            </w:r>
          </w:p>
        </w:tc>
      </w:tr>
      <w:tr w:rsidR="00790BF2" w:rsidRPr="009119B6"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790BF2" w:rsidRPr="009119B6" w:rsidRDefault="00082398" w:rsidP="0033040E">
            <w:pPr>
              <w:pStyle w:val="naiskr"/>
              <w:spacing w:before="0" w:after="0"/>
              <w:jc w:val="both"/>
              <w:rPr>
                <w:rFonts w:eastAsia="Calibri"/>
                <w:color w:val="000000"/>
                <w:lang w:eastAsia="en-US"/>
              </w:rPr>
            </w:pPr>
            <w:r>
              <w:rPr>
                <w:rFonts w:eastAsia="Calibri"/>
                <w:color w:val="000000"/>
                <w:lang w:eastAsia="en-US"/>
              </w:rPr>
              <w:t xml:space="preserve">1.3.3. </w:t>
            </w:r>
            <w:r w:rsidR="0033040E">
              <w:rPr>
                <w:rFonts w:eastAsia="Calibri"/>
                <w:color w:val="000000"/>
                <w:lang w:eastAsia="en-US"/>
              </w:rPr>
              <w:t xml:space="preserve">punkts </w:t>
            </w:r>
            <w:r>
              <w:rPr>
                <w:rFonts w:eastAsia="Calibri"/>
                <w:color w:val="000000"/>
                <w:lang w:eastAsia="en-US"/>
              </w:rPr>
              <w:t xml:space="preserve"> </w:t>
            </w:r>
          </w:p>
        </w:tc>
        <w:tc>
          <w:tcPr>
            <w:tcW w:w="2977" w:type="dxa"/>
          </w:tcPr>
          <w:p w:rsidR="00790BF2" w:rsidRPr="009119B6" w:rsidRDefault="00082398" w:rsidP="00166067">
            <w:pPr>
              <w:pStyle w:val="naiskr"/>
              <w:spacing w:before="0" w:after="0"/>
              <w:jc w:val="both"/>
            </w:pPr>
            <w:r>
              <w:t xml:space="preserve">Pielikuma 10.3. punkts </w:t>
            </w:r>
          </w:p>
        </w:tc>
        <w:tc>
          <w:tcPr>
            <w:tcW w:w="1417" w:type="dxa"/>
            <w:vAlign w:val="center"/>
          </w:tcPr>
          <w:p w:rsidR="00790BF2" w:rsidRPr="009119B6" w:rsidRDefault="00790BF2" w:rsidP="00166067">
            <w:pPr>
              <w:pStyle w:val="naiskr"/>
              <w:spacing w:before="0" w:after="0"/>
              <w:jc w:val="both"/>
            </w:pPr>
            <w:r w:rsidRPr="009119B6">
              <w:t>Atbilst</w:t>
            </w:r>
          </w:p>
        </w:tc>
        <w:tc>
          <w:tcPr>
            <w:tcW w:w="2317" w:type="dxa"/>
            <w:vAlign w:val="center"/>
          </w:tcPr>
          <w:p w:rsidR="00790BF2" w:rsidRPr="009119B6" w:rsidRDefault="00790BF2" w:rsidP="00166067">
            <w:pPr>
              <w:pStyle w:val="naiskr"/>
              <w:spacing w:before="0" w:after="0"/>
              <w:jc w:val="both"/>
            </w:pPr>
            <w:r w:rsidRPr="009119B6">
              <w:t>Netiek noteiktas stingrākas prasības</w:t>
            </w:r>
          </w:p>
        </w:tc>
      </w:tr>
      <w:tr w:rsidR="00790BF2" w:rsidRPr="009119B6" w:rsidTr="002F20DA">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790BF2" w:rsidRPr="009119B6" w:rsidRDefault="00441A71" w:rsidP="0033040E">
            <w:pPr>
              <w:pStyle w:val="naiskr"/>
              <w:spacing w:before="0" w:after="0"/>
              <w:jc w:val="both"/>
              <w:rPr>
                <w:rFonts w:eastAsia="Calibri"/>
                <w:color w:val="000000"/>
                <w:lang w:eastAsia="en-US"/>
              </w:rPr>
            </w:pPr>
            <w:r>
              <w:rPr>
                <w:rFonts w:eastAsia="Calibri"/>
                <w:color w:val="000000"/>
                <w:lang w:eastAsia="en-US"/>
              </w:rPr>
              <w:t xml:space="preserve">1.4. </w:t>
            </w:r>
            <w:r w:rsidR="0033040E">
              <w:rPr>
                <w:rFonts w:eastAsia="Calibri"/>
                <w:color w:val="000000"/>
                <w:lang w:eastAsia="en-US"/>
              </w:rPr>
              <w:t xml:space="preserve">punkts </w:t>
            </w:r>
            <w:r>
              <w:rPr>
                <w:rFonts w:eastAsia="Calibri"/>
                <w:color w:val="000000"/>
                <w:lang w:eastAsia="en-US"/>
              </w:rPr>
              <w:t xml:space="preserve"> </w:t>
            </w:r>
          </w:p>
        </w:tc>
        <w:tc>
          <w:tcPr>
            <w:tcW w:w="2977" w:type="dxa"/>
          </w:tcPr>
          <w:p w:rsidR="00790BF2" w:rsidRPr="009119B6" w:rsidRDefault="00441A71" w:rsidP="00166067">
            <w:pPr>
              <w:pStyle w:val="naiskr"/>
              <w:spacing w:before="0" w:after="0"/>
              <w:jc w:val="both"/>
            </w:pPr>
            <w:r>
              <w:t xml:space="preserve">Pielikuma 11.punkts </w:t>
            </w:r>
          </w:p>
        </w:tc>
        <w:tc>
          <w:tcPr>
            <w:tcW w:w="1417" w:type="dxa"/>
            <w:vAlign w:val="center"/>
          </w:tcPr>
          <w:p w:rsidR="00790BF2" w:rsidRPr="009119B6" w:rsidRDefault="00790BF2" w:rsidP="00166067">
            <w:pPr>
              <w:pStyle w:val="naiskr"/>
              <w:spacing w:before="0" w:after="0"/>
              <w:jc w:val="both"/>
            </w:pPr>
            <w:r w:rsidRPr="009119B6">
              <w:t>Atbilst</w:t>
            </w:r>
          </w:p>
        </w:tc>
        <w:tc>
          <w:tcPr>
            <w:tcW w:w="2317" w:type="dxa"/>
            <w:vAlign w:val="center"/>
          </w:tcPr>
          <w:p w:rsidR="00790BF2" w:rsidRPr="009119B6" w:rsidRDefault="00790BF2" w:rsidP="00166067">
            <w:pPr>
              <w:pStyle w:val="naiskr"/>
              <w:spacing w:before="0" w:after="0"/>
              <w:jc w:val="both"/>
            </w:pPr>
            <w:r w:rsidRPr="009119B6">
              <w:t>Netiek noteiktas stingrākas prasības</w:t>
            </w:r>
          </w:p>
        </w:tc>
      </w:tr>
      <w:tr w:rsidR="00441A71" w:rsidRPr="00166067" w:rsidTr="00166067">
        <w:trPr>
          <w:trHeight w:val="731"/>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441A71" w:rsidRPr="00166067" w:rsidRDefault="00441A71" w:rsidP="0033040E">
            <w:pPr>
              <w:autoSpaceDE w:val="0"/>
              <w:autoSpaceDN w:val="0"/>
              <w:adjustRightInd w:val="0"/>
              <w:rPr>
                <w:rFonts w:eastAsia="Calibri"/>
                <w:color w:val="000000"/>
                <w:lang w:eastAsia="en-US"/>
              </w:rPr>
            </w:pPr>
            <w:r w:rsidRPr="00166067">
              <w:rPr>
                <w:rFonts w:eastAsia="Calibri"/>
                <w:color w:val="000000"/>
                <w:lang w:eastAsia="en-US"/>
              </w:rPr>
              <w:t xml:space="preserve">1.4.1. </w:t>
            </w:r>
            <w:r w:rsidR="0033040E">
              <w:rPr>
                <w:rFonts w:eastAsia="Calibri"/>
                <w:color w:val="000000"/>
                <w:lang w:eastAsia="en-US"/>
              </w:rPr>
              <w:t xml:space="preserve">punkts </w:t>
            </w:r>
          </w:p>
        </w:tc>
        <w:tc>
          <w:tcPr>
            <w:tcW w:w="2977" w:type="dxa"/>
          </w:tcPr>
          <w:p w:rsidR="00441A71" w:rsidRPr="00166067" w:rsidRDefault="00441A71" w:rsidP="00F95DE3">
            <w:pPr>
              <w:pStyle w:val="naiskr"/>
              <w:spacing w:before="0" w:after="0"/>
              <w:jc w:val="both"/>
            </w:pPr>
            <w:r w:rsidRPr="00166067">
              <w:t xml:space="preserve">Pielikuma 11.1. punkts </w:t>
            </w:r>
          </w:p>
        </w:tc>
        <w:tc>
          <w:tcPr>
            <w:tcW w:w="1417" w:type="dxa"/>
          </w:tcPr>
          <w:p w:rsidR="00441A71" w:rsidRPr="00166067" w:rsidRDefault="00441A71" w:rsidP="00F95DE3">
            <w:pPr>
              <w:pStyle w:val="naiskr"/>
              <w:spacing w:before="0" w:after="0"/>
              <w:jc w:val="both"/>
            </w:pPr>
            <w:r w:rsidRPr="00166067">
              <w:t>Atbilst</w:t>
            </w:r>
          </w:p>
        </w:tc>
        <w:tc>
          <w:tcPr>
            <w:tcW w:w="2317" w:type="dxa"/>
          </w:tcPr>
          <w:p w:rsidR="00441A71" w:rsidRPr="00166067" w:rsidRDefault="00441A71" w:rsidP="00F95DE3">
            <w:pPr>
              <w:pStyle w:val="naiskr"/>
              <w:spacing w:before="0" w:after="0"/>
              <w:jc w:val="both"/>
            </w:pPr>
            <w:r w:rsidRPr="00166067">
              <w:t>Netiek noteiktas stingrākas prasības</w:t>
            </w:r>
          </w:p>
        </w:tc>
      </w:tr>
      <w:tr w:rsidR="00F95DE3" w:rsidRPr="009119B6"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F95DE3" w:rsidRPr="009119B6" w:rsidRDefault="00F95DE3" w:rsidP="0033040E">
            <w:pPr>
              <w:autoSpaceDE w:val="0"/>
              <w:autoSpaceDN w:val="0"/>
              <w:adjustRightInd w:val="0"/>
              <w:rPr>
                <w:rFonts w:ascii="EUAlbertina" w:eastAsia="Calibri" w:hAnsi="EUAlbertina" w:cs="EUAlbertina"/>
                <w:color w:val="000000"/>
                <w:lang w:eastAsia="en-US"/>
              </w:rPr>
            </w:pPr>
            <w:r>
              <w:rPr>
                <w:rFonts w:ascii="EUAlbertina" w:eastAsia="Calibri" w:hAnsi="EUAlbertina" w:cs="EUAlbertina"/>
                <w:color w:val="000000"/>
                <w:lang w:eastAsia="en-US"/>
              </w:rPr>
              <w:t xml:space="preserve">1.4.2. </w:t>
            </w:r>
            <w:r w:rsidR="0033040E">
              <w:rPr>
                <w:rFonts w:ascii="EUAlbertina" w:eastAsia="Calibri" w:hAnsi="EUAlbertina" w:cs="EUAlbertina"/>
                <w:color w:val="000000"/>
                <w:lang w:eastAsia="en-US"/>
              </w:rPr>
              <w:t xml:space="preserve">punkts </w:t>
            </w:r>
            <w:r>
              <w:rPr>
                <w:rFonts w:ascii="EUAlbertina" w:eastAsia="Calibri" w:hAnsi="EUAlbertina" w:cs="EUAlbertina"/>
                <w:color w:val="000000"/>
                <w:lang w:eastAsia="en-US"/>
              </w:rPr>
              <w:t xml:space="preserve"> </w:t>
            </w:r>
          </w:p>
        </w:tc>
        <w:tc>
          <w:tcPr>
            <w:tcW w:w="2977" w:type="dxa"/>
          </w:tcPr>
          <w:p w:rsidR="00F95DE3" w:rsidRPr="009119B6" w:rsidRDefault="00F95DE3" w:rsidP="00166067">
            <w:pPr>
              <w:pStyle w:val="naiskr"/>
              <w:spacing w:before="0" w:after="0"/>
              <w:jc w:val="both"/>
            </w:pPr>
            <w:r>
              <w:t xml:space="preserve">Pielikuma 11.2. punkts </w:t>
            </w:r>
          </w:p>
        </w:tc>
        <w:tc>
          <w:tcPr>
            <w:tcW w:w="1417" w:type="dxa"/>
          </w:tcPr>
          <w:p w:rsidR="00F95DE3" w:rsidRPr="00166067" w:rsidRDefault="00F95DE3" w:rsidP="00D84D8B">
            <w:pPr>
              <w:pStyle w:val="naiskr"/>
              <w:spacing w:before="0" w:after="0"/>
              <w:jc w:val="both"/>
            </w:pPr>
            <w:r w:rsidRPr="00166067">
              <w:t>Atbilst</w:t>
            </w:r>
          </w:p>
        </w:tc>
        <w:tc>
          <w:tcPr>
            <w:tcW w:w="2317" w:type="dxa"/>
          </w:tcPr>
          <w:p w:rsidR="00F95DE3" w:rsidRPr="00166067" w:rsidRDefault="00F95DE3" w:rsidP="00D84D8B">
            <w:pPr>
              <w:pStyle w:val="naiskr"/>
              <w:spacing w:before="0" w:after="0"/>
              <w:jc w:val="both"/>
            </w:pPr>
            <w:r w:rsidRPr="00166067">
              <w:t>Netiek noteiktas stingrākas prasības</w:t>
            </w:r>
          </w:p>
        </w:tc>
      </w:tr>
      <w:tr w:rsidR="00F95DE3" w:rsidRPr="009119B6"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F95DE3" w:rsidRPr="009119B6" w:rsidRDefault="00F95DE3" w:rsidP="0033040E">
            <w:pPr>
              <w:autoSpaceDE w:val="0"/>
              <w:autoSpaceDN w:val="0"/>
              <w:adjustRightInd w:val="0"/>
              <w:rPr>
                <w:rFonts w:ascii="EUAlbertina" w:eastAsia="Calibri" w:hAnsi="EUAlbertina" w:cs="EUAlbertina"/>
                <w:color w:val="000000"/>
                <w:lang w:eastAsia="en-US"/>
              </w:rPr>
            </w:pPr>
            <w:r>
              <w:rPr>
                <w:rFonts w:ascii="EUAlbertina" w:eastAsia="Calibri" w:hAnsi="EUAlbertina" w:cs="EUAlbertina"/>
                <w:color w:val="000000"/>
                <w:lang w:eastAsia="en-US"/>
              </w:rPr>
              <w:t xml:space="preserve">1.5. </w:t>
            </w:r>
            <w:r w:rsidR="0033040E">
              <w:rPr>
                <w:rFonts w:ascii="EUAlbertina" w:eastAsia="Calibri" w:hAnsi="EUAlbertina" w:cs="EUAlbertina"/>
                <w:color w:val="000000"/>
                <w:lang w:eastAsia="en-US"/>
              </w:rPr>
              <w:t xml:space="preserve">punkts </w:t>
            </w:r>
            <w:r>
              <w:rPr>
                <w:rFonts w:ascii="EUAlbertina" w:eastAsia="Calibri" w:hAnsi="EUAlbertina" w:cs="EUAlbertina"/>
                <w:color w:val="000000"/>
                <w:lang w:eastAsia="en-US"/>
              </w:rPr>
              <w:t xml:space="preserve"> </w:t>
            </w:r>
          </w:p>
        </w:tc>
        <w:tc>
          <w:tcPr>
            <w:tcW w:w="2977" w:type="dxa"/>
          </w:tcPr>
          <w:p w:rsidR="00F95DE3" w:rsidRPr="009119B6" w:rsidRDefault="00F95DE3" w:rsidP="00166067">
            <w:pPr>
              <w:pStyle w:val="naiskr"/>
              <w:spacing w:before="0" w:after="0"/>
              <w:jc w:val="both"/>
            </w:pPr>
            <w:r>
              <w:t xml:space="preserve">Pielikuma 12. punkts </w:t>
            </w:r>
          </w:p>
        </w:tc>
        <w:tc>
          <w:tcPr>
            <w:tcW w:w="1417" w:type="dxa"/>
          </w:tcPr>
          <w:p w:rsidR="00F95DE3" w:rsidRPr="00166067" w:rsidRDefault="00F95DE3" w:rsidP="00D84D8B">
            <w:pPr>
              <w:pStyle w:val="naiskr"/>
              <w:spacing w:before="0" w:after="0"/>
              <w:jc w:val="both"/>
            </w:pPr>
            <w:r w:rsidRPr="00166067">
              <w:t>Atbilst</w:t>
            </w:r>
          </w:p>
        </w:tc>
        <w:tc>
          <w:tcPr>
            <w:tcW w:w="2317" w:type="dxa"/>
          </w:tcPr>
          <w:p w:rsidR="00F95DE3" w:rsidRPr="00166067" w:rsidRDefault="00F95DE3" w:rsidP="00D84D8B">
            <w:pPr>
              <w:pStyle w:val="naiskr"/>
              <w:spacing w:before="0" w:after="0"/>
              <w:jc w:val="both"/>
            </w:pPr>
            <w:r w:rsidRPr="00166067">
              <w:t>Netiek noteiktas stingrākas prasības</w:t>
            </w:r>
          </w:p>
        </w:tc>
      </w:tr>
      <w:tr w:rsidR="00F95DE3" w:rsidRPr="00F95DE3"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F95DE3" w:rsidRPr="00F95DE3" w:rsidRDefault="00F95DE3" w:rsidP="0033040E">
            <w:pPr>
              <w:autoSpaceDE w:val="0"/>
              <w:autoSpaceDN w:val="0"/>
              <w:adjustRightInd w:val="0"/>
              <w:rPr>
                <w:rFonts w:eastAsia="Calibri"/>
                <w:color w:val="000000"/>
                <w:lang w:eastAsia="en-US"/>
              </w:rPr>
            </w:pPr>
            <w:r w:rsidRPr="00F95DE3">
              <w:rPr>
                <w:rFonts w:eastAsia="Calibri"/>
                <w:color w:val="000000"/>
                <w:lang w:eastAsia="en-US"/>
              </w:rPr>
              <w:t xml:space="preserve">1.5.1. </w:t>
            </w:r>
            <w:r w:rsidR="0033040E">
              <w:rPr>
                <w:rFonts w:eastAsia="Calibri"/>
                <w:color w:val="000000"/>
                <w:lang w:eastAsia="en-US"/>
              </w:rPr>
              <w:t xml:space="preserve">punkts </w:t>
            </w:r>
            <w:r w:rsidRPr="00F95DE3">
              <w:rPr>
                <w:rFonts w:eastAsia="Calibri"/>
                <w:color w:val="000000"/>
                <w:lang w:eastAsia="en-US"/>
              </w:rPr>
              <w:t xml:space="preserve"> </w:t>
            </w:r>
          </w:p>
        </w:tc>
        <w:tc>
          <w:tcPr>
            <w:tcW w:w="2977" w:type="dxa"/>
          </w:tcPr>
          <w:p w:rsidR="00F95DE3" w:rsidRPr="00F95DE3" w:rsidRDefault="00F95DE3" w:rsidP="00F95DE3">
            <w:pPr>
              <w:pStyle w:val="naiskr"/>
              <w:spacing w:before="0" w:after="0"/>
              <w:jc w:val="both"/>
            </w:pPr>
            <w:r w:rsidRPr="00F95DE3">
              <w:t xml:space="preserve">Pielikuma 12.1. punkts </w:t>
            </w:r>
          </w:p>
        </w:tc>
        <w:tc>
          <w:tcPr>
            <w:tcW w:w="1417" w:type="dxa"/>
          </w:tcPr>
          <w:p w:rsidR="00F95DE3" w:rsidRPr="00F95DE3" w:rsidRDefault="00F95DE3" w:rsidP="00F95DE3">
            <w:pPr>
              <w:pStyle w:val="naiskr"/>
              <w:spacing w:before="0" w:after="0"/>
              <w:jc w:val="both"/>
            </w:pPr>
            <w:r w:rsidRPr="00F95DE3">
              <w:t>Atbilst</w:t>
            </w:r>
          </w:p>
        </w:tc>
        <w:tc>
          <w:tcPr>
            <w:tcW w:w="2317" w:type="dxa"/>
          </w:tcPr>
          <w:p w:rsidR="00F95DE3" w:rsidRPr="00F95DE3" w:rsidRDefault="00F95DE3" w:rsidP="00F95DE3">
            <w:pPr>
              <w:pStyle w:val="naiskr"/>
              <w:spacing w:before="0" w:after="0"/>
              <w:jc w:val="both"/>
            </w:pPr>
            <w:r w:rsidRPr="00F95DE3">
              <w:t>Netiek noteiktas stingrākas prasības</w:t>
            </w:r>
          </w:p>
        </w:tc>
      </w:tr>
      <w:tr w:rsidR="00F95DE3" w:rsidRPr="00F95DE3"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F95DE3" w:rsidRPr="00F95DE3" w:rsidRDefault="00F95DE3" w:rsidP="0033040E">
            <w:pPr>
              <w:autoSpaceDE w:val="0"/>
              <w:autoSpaceDN w:val="0"/>
              <w:adjustRightInd w:val="0"/>
              <w:rPr>
                <w:rFonts w:eastAsia="Calibri"/>
                <w:color w:val="000000"/>
                <w:lang w:eastAsia="en-US"/>
              </w:rPr>
            </w:pPr>
            <w:r w:rsidRPr="00F95DE3">
              <w:rPr>
                <w:rFonts w:eastAsia="Calibri"/>
                <w:color w:val="000000"/>
                <w:lang w:eastAsia="en-US"/>
              </w:rPr>
              <w:t xml:space="preserve">1.5.2. </w:t>
            </w:r>
            <w:r w:rsidR="0033040E">
              <w:rPr>
                <w:rFonts w:eastAsia="Calibri"/>
                <w:color w:val="000000"/>
                <w:lang w:eastAsia="en-US"/>
              </w:rPr>
              <w:t xml:space="preserve">punkts </w:t>
            </w:r>
          </w:p>
        </w:tc>
        <w:tc>
          <w:tcPr>
            <w:tcW w:w="2977" w:type="dxa"/>
          </w:tcPr>
          <w:p w:rsidR="00F95DE3" w:rsidRPr="00F95DE3" w:rsidRDefault="00F95DE3" w:rsidP="00F95DE3">
            <w:pPr>
              <w:pStyle w:val="naiskr"/>
              <w:spacing w:before="0" w:after="0"/>
              <w:jc w:val="both"/>
            </w:pPr>
            <w:r w:rsidRPr="00F95DE3">
              <w:t xml:space="preserve">Pielikuma 12.2. punkts </w:t>
            </w:r>
          </w:p>
        </w:tc>
        <w:tc>
          <w:tcPr>
            <w:tcW w:w="1417" w:type="dxa"/>
          </w:tcPr>
          <w:p w:rsidR="00F95DE3" w:rsidRPr="00F95DE3" w:rsidRDefault="00F95DE3" w:rsidP="00F95DE3">
            <w:pPr>
              <w:pStyle w:val="naiskr"/>
              <w:spacing w:before="0" w:after="0"/>
              <w:jc w:val="both"/>
            </w:pPr>
            <w:r w:rsidRPr="00F95DE3">
              <w:t>Atbilst</w:t>
            </w:r>
          </w:p>
        </w:tc>
        <w:tc>
          <w:tcPr>
            <w:tcW w:w="2317" w:type="dxa"/>
          </w:tcPr>
          <w:p w:rsidR="00F95DE3" w:rsidRPr="00F95DE3" w:rsidRDefault="00F95DE3" w:rsidP="00F95DE3">
            <w:pPr>
              <w:pStyle w:val="naiskr"/>
              <w:spacing w:before="0" w:after="0"/>
              <w:jc w:val="both"/>
            </w:pPr>
            <w:r w:rsidRPr="00F95DE3">
              <w:t>Netiek noteiktas stingrākas prasības</w:t>
            </w:r>
          </w:p>
        </w:tc>
      </w:tr>
      <w:tr w:rsidR="00F95DE3" w:rsidRPr="00F95DE3"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F95DE3" w:rsidRPr="00F95DE3" w:rsidRDefault="00F95DE3" w:rsidP="0033040E">
            <w:pPr>
              <w:autoSpaceDE w:val="0"/>
              <w:autoSpaceDN w:val="0"/>
              <w:adjustRightInd w:val="0"/>
              <w:rPr>
                <w:rFonts w:eastAsia="Calibri"/>
                <w:color w:val="000000"/>
                <w:lang w:eastAsia="en-US"/>
              </w:rPr>
            </w:pPr>
            <w:r w:rsidRPr="00F95DE3">
              <w:rPr>
                <w:rFonts w:eastAsia="Calibri"/>
                <w:color w:val="000000"/>
                <w:lang w:eastAsia="en-US"/>
              </w:rPr>
              <w:lastRenderedPageBreak/>
              <w:t xml:space="preserve">1.5.3. </w:t>
            </w:r>
            <w:r w:rsidR="0033040E">
              <w:rPr>
                <w:rFonts w:eastAsia="Calibri"/>
                <w:color w:val="000000"/>
                <w:lang w:eastAsia="en-US"/>
              </w:rPr>
              <w:t xml:space="preserve">punkts </w:t>
            </w:r>
          </w:p>
        </w:tc>
        <w:tc>
          <w:tcPr>
            <w:tcW w:w="2977" w:type="dxa"/>
          </w:tcPr>
          <w:p w:rsidR="00F95DE3" w:rsidRPr="00F95DE3" w:rsidRDefault="00F95DE3" w:rsidP="00F95DE3">
            <w:pPr>
              <w:pStyle w:val="naiskr"/>
              <w:spacing w:before="0" w:after="0"/>
              <w:jc w:val="both"/>
            </w:pPr>
            <w:r w:rsidRPr="00F95DE3">
              <w:lastRenderedPageBreak/>
              <w:t xml:space="preserve">Pielikuma 12.3. punkts </w:t>
            </w:r>
          </w:p>
        </w:tc>
        <w:tc>
          <w:tcPr>
            <w:tcW w:w="1417" w:type="dxa"/>
          </w:tcPr>
          <w:p w:rsidR="00F95DE3" w:rsidRPr="00F95DE3" w:rsidRDefault="00F95DE3" w:rsidP="00F95DE3">
            <w:pPr>
              <w:pStyle w:val="naiskr"/>
              <w:spacing w:before="0" w:after="0"/>
              <w:jc w:val="both"/>
            </w:pPr>
            <w:r w:rsidRPr="00F95DE3">
              <w:t>Atbilst</w:t>
            </w:r>
          </w:p>
        </w:tc>
        <w:tc>
          <w:tcPr>
            <w:tcW w:w="2317" w:type="dxa"/>
          </w:tcPr>
          <w:p w:rsidR="00F95DE3" w:rsidRPr="00F95DE3" w:rsidRDefault="00F95DE3" w:rsidP="00F95DE3">
            <w:pPr>
              <w:pStyle w:val="naiskr"/>
              <w:spacing w:before="0" w:after="0"/>
              <w:jc w:val="both"/>
            </w:pPr>
            <w:r w:rsidRPr="00F95DE3">
              <w:t>Netiek noteiktas stingrākas prasības</w:t>
            </w:r>
          </w:p>
        </w:tc>
      </w:tr>
      <w:tr w:rsidR="00F95DE3" w:rsidRPr="00F95DE3"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lastRenderedPageBreak/>
              <w:t xml:space="preserve">Lēmuma 2014/687/ES </w:t>
            </w:r>
            <w:r w:rsidRPr="00A84D43">
              <w:rPr>
                <w:sz w:val="25"/>
                <w:szCs w:val="25"/>
              </w:rPr>
              <w:t xml:space="preserve">pielikuma </w:t>
            </w:r>
          </w:p>
          <w:p w:rsidR="00F95DE3" w:rsidRPr="00F95DE3" w:rsidRDefault="00F95DE3" w:rsidP="0033040E">
            <w:pPr>
              <w:autoSpaceDE w:val="0"/>
              <w:autoSpaceDN w:val="0"/>
              <w:adjustRightInd w:val="0"/>
              <w:rPr>
                <w:rFonts w:eastAsia="Calibri"/>
                <w:color w:val="000000"/>
                <w:lang w:eastAsia="en-US"/>
              </w:rPr>
            </w:pPr>
            <w:r w:rsidRPr="00F95DE3">
              <w:rPr>
                <w:rFonts w:eastAsia="Calibri"/>
                <w:color w:val="000000"/>
                <w:lang w:eastAsia="en-US"/>
              </w:rPr>
              <w:t>1.6.</w:t>
            </w:r>
            <w:r w:rsidR="0033040E">
              <w:rPr>
                <w:rFonts w:eastAsia="Calibri"/>
                <w:color w:val="000000"/>
                <w:lang w:eastAsia="en-US"/>
              </w:rPr>
              <w:t xml:space="preserve">punkts </w:t>
            </w:r>
            <w:r w:rsidRPr="00F95DE3">
              <w:rPr>
                <w:rFonts w:eastAsia="Calibri"/>
                <w:color w:val="000000"/>
                <w:lang w:eastAsia="en-US"/>
              </w:rPr>
              <w:t xml:space="preserve"> </w:t>
            </w:r>
          </w:p>
        </w:tc>
        <w:tc>
          <w:tcPr>
            <w:tcW w:w="2977" w:type="dxa"/>
          </w:tcPr>
          <w:p w:rsidR="00F95DE3" w:rsidRPr="00F95DE3" w:rsidRDefault="00F95DE3" w:rsidP="00F95DE3">
            <w:pPr>
              <w:pStyle w:val="naiskr"/>
              <w:spacing w:before="0" w:after="0"/>
              <w:jc w:val="both"/>
            </w:pPr>
            <w:r w:rsidRPr="00F95DE3">
              <w:t xml:space="preserve">Pielikuma 13. punkts </w:t>
            </w:r>
          </w:p>
        </w:tc>
        <w:tc>
          <w:tcPr>
            <w:tcW w:w="1417" w:type="dxa"/>
          </w:tcPr>
          <w:p w:rsidR="00F95DE3" w:rsidRPr="00F95DE3" w:rsidRDefault="00F95DE3" w:rsidP="00F95DE3">
            <w:pPr>
              <w:pStyle w:val="naiskr"/>
              <w:spacing w:before="0" w:after="0"/>
              <w:jc w:val="both"/>
            </w:pPr>
            <w:r w:rsidRPr="00F95DE3">
              <w:t>Atbilst</w:t>
            </w:r>
          </w:p>
        </w:tc>
        <w:tc>
          <w:tcPr>
            <w:tcW w:w="2317" w:type="dxa"/>
          </w:tcPr>
          <w:p w:rsidR="00F95DE3" w:rsidRPr="00F95DE3" w:rsidRDefault="00F95DE3" w:rsidP="00F95DE3">
            <w:pPr>
              <w:pStyle w:val="naiskr"/>
              <w:spacing w:before="0" w:after="0"/>
              <w:jc w:val="both"/>
            </w:pPr>
            <w:r w:rsidRPr="00F95DE3">
              <w:t>Netiek noteiktas stingrākas prasības</w:t>
            </w:r>
          </w:p>
        </w:tc>
      </w:tr>
      <w:tr w:rsidR="00F95DE3" w:rsidRPr="00F95DE3"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F95DE3" w:rsidRPr="00F95DE3" w:rsidRDefault="00F95DE3" w:rsidP="0033040E">
            <w:pPr>
              <w:autoSpaceDE w:val="0"/>
              <w:autoSpaceDN w:val="0"/>
              <w:adjustRightInd w:val="0"/>
              <w:rPr>
                <w:rFonts w:eastAsia="Calibri"/>
                <w:color w:val="000000"/>
                <w:lang w:eastAsia="en-US"/>
              </w:rPr>
            </w:pPr>
            <w:r>
              <w:rPr>
                <w:rFonts w:eastAsia="Calibri"/>
                <w:color w:val="000000"/>
                <w:lang w:eastAsia="en-US"/>
              </w:rPr>
              <w:t xml:space="preserve">1.6.1. </w:t>
            </w:r>
            <w:r w:rsidR="0033040E">
              <w:rPr>
                <w:rFonts w:eastAsia="Calibri"/>
                <w:color w:val="000000"/>
                <w:lang w:eastAsia="en-US"/>
              </w:rPr>
              <w:t xml:space="preserve">punkts </w:t>
            </w:r>
            <w:r>
              <w:rPr>
                <w:rFonts w:eastAsia="Calibri"/>
                <w:color w:val="000000"/>
                <w:lang w:eastAsia="en-US"/>
              </w:rPr>
              <w:t xml:space="preserve"> </w:t>
            </w:r>
          </w:p>
        </w:tc>
        <w:tc>
          <w:tcPr>
            <w:tcW w:w="2977" w:type="dxa"/>
          </w:tcPr>
          <w:p w:rsidR="00F95DE3" w:rsidRPr="00F95DE3" w:rsidRDefault="00F95DE3" w:rsidP="00F95DE3">
            <w:pPr>
              <w:pStyle w:val="naiskr"/>
              <w:spacing w:before="0" w:after="0"/>
              <w:jc w:val="both"/>
            </w:pPr>
            <w:r>
              <w:t xml:space="preserve">Pielikuma 13.1. punkts </w:t>
            </w:r>
          </w:p>
        </w:tc>
        <w:tc>
          <w:tcPr>
            <w:tcW w:w="1417" w:type="dxa"/>
          </w:tcPr>
          <w:p w:rsidR="00F95DE3" w:rsidRPr="00F95DE3" w:rsidRDefault="00F95DE3" w:rsidP="00F95DE3">
            <w:pPr>
              <w:pStyle w:val="naiskr"/>
              <w:spacing w:before="0" w:after="0"/>
              <w:jc w:val="both"/>
            </w:pPr>
            <w:r w:rsidRPr="00F95DE3">
              <w:t>Atbilst</w:t>
            </w:r>
          </w:p>
        </w:tc>
        <w:tc>
          <w:tcPr>
            <w:tcW w:w="2317" w:type="dxa"/>
          </w:tcPr>
          <w:p w:rsidR="00F95DE3" w:rsidRPr="00F95DE3" w:rsidRDefault="00F95DE3" w:rsidP="00F95DE3">
            <w:pPr>
              <w:pStyle w:val="naiskr"/>
              <w:spacing w:before="0" w:after="0"/>
              <w:jc w:val="both"/>
            </w:pPr>
            <w:r w:rsidRPr="00F95DE3">
              <w:t>Netiek noteiktas stingrākas prasības</w:t>
            </w:r>
          </w:p>
        </w:tc>
      </w:tr>
      <w:tr w:rsidR="00F95DE3" w:rsidRPr="00F95DE3"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F95DE3" w:rsidRPr="00F95DE3" w:rsidRDefault="00F95DE3" w:rsidP="0033040E">
            <w:pPr>
              <w:autoSpaceDE w:val="0"/>
              <w:autoSpaceDN w:val="0"/>
              <w:adjustRightInd w:val="0"/>
              <w:rPr>
                <w:rFonts w:eastAsia="Calibri"/>
                <w:color w:val="000000"/>
                <w:lang w:eastAsia="en-US"/>
              </w:rPr>
            </w:pPr>
            <w:r>
              <w:rPr>
                <w:rFonts w:eastAsia="Calibri"/>
                <w:color w:val="000000"/>
                <w:lang w:eastAsia="en-US"/>
              </w:rPr>
              <w:t xml:space="preserve">1.6.2. </w:t>
            </w:r>
            <w:r w:rsidR="0033040E">
              <w:rPr>
                <w:rFonts w:eastAsia="Calibri"/>
                <w:color w:val="000000"/>
                <w:lang w:eastAsia="en-US"/>
              </w:rPr>
              <w:t xml:space="preserve">punkts </w:t>
            </w:r>
            <w:r>
              <w:rPr>
                <w:rFonts w:eastAsia="Calibri"/>
                <w:color w:val="000000"/>
                <w:lang w:eastAsia="en-US"/>
              </w:rPr>
              <w:t xml:space="preserve"> </w:t>
            </w:r>
          </w:p>
        </w:tc>
        <w:tc>
          <w:tcPr>
            <w:tcW w:w="2977" w:type="dxa"/>
          </w:tcPr>
          <w:p w:rsidR="00F95DE3" w:rsidRPr="00F95DE3" w:rsidRDefault="00F95DE3" w:rsidP="00F95DE3">
            <w:pPr>
              <w:pStyle w:val="naiskr"/>
              <w:spacing w:before="0" w:after="0"/>
              <w:jc w:val="both"/>
            </w:pPr>
            <w:r>
              <w:t xml:space="preserve">Pielikuma 13.2. punkts </w:t>
            </w:r>
          </w:p>
        </w:tc>
        <w:tc>
          <w:tcPr>
            <w:tcW w:w="1417" w:type="dxa"/>
          </w:tcPr>
          <w:p w:rsidR="00F95DE3" w:rsidRPr="00F95DE3" w:rsidRDefault="00F95DE3" w:rsidP="00F95DE3">
            <w:pPr>
              <w:pStyle w:val="naiskr"/>
              <w:spacing w:before="0" w:after="0"/>
              <w:jc w:val="both"/>
            </w:pPr>
            <w:r w:rsidRPr="00F95DE3">
              <w:t>Atbilst</w:t>
            </w:r>
          </w:p>
        </w:tc>
        <w:tc>
          <w:tcPr>
            <w:tcW w:w="2317" w:type="dxa"/>
          </w:tcPr>
          <w:p w:rsidR="00F95DE3" w:rsidRPr="00F95DE3" w:rsidRDefault="00F95DE3" w:rsidP="00F95DE3">
            <w:pPr>
              <w:pStyle w:val="naiskr"/>
              <w:spacing w:before="0" w:after="0"/>
              <w:jc w:val="both"/>
            </w:pPr>
            <w:r w:rsidRPr="00F95DE3">
              <w:t>Netiek noteiktas stingrākas prasības</w:t>
            </w:r>
          </w:p>
        </w:tc>
      </w:tr>
      <w:tr w:rsidR="00F95DE3" w:rsidRPr="00F95DE3"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F95DE3" w:rsidRPr="00F95DE3" w:rsidRDefault="00F95DE3" w:rsidP="0033040E">
            <w:pPr>
              <w:autoSpaceDE w:val="0"/>
              <w:autoSpaceDN w:val="0"/>
              <w:adjustRightInd w:val="0"/>
              <w:rPr>
                <w:rFonts w:eastAsia="Calibri"/>
                <w:color w:val="000000"/>
                <w:lang w:eastAsia="en-US"/>
              </w:rPr>
            </w:pPr>
            <w:r>
              <w:rPr>
                <w:rFonts w:eastAsia="Calibri"/>
                <w:color w:val="000000"/>
                <w:lang w:eastAsia="en-US"/>
              </w:rPr>
              <w:t xml:space="preserve">1.6.3. </w:t>
            </w:r>
            <w:r w:rsidR="0033040E">
              <w:rPr>
                <w:rFonts w:eastAsia="Calibri"/>
                <w:color w:val="000000"/>
                <w:lang w:eastAsia="en-US"/>
              </w:rPr>
              <w:t xml:space="preserve">punkts </w:t>
            </w:r>
            <w:r>
              <w:rPr>
                <w:rFonts w:eastAsia="Calibri"/>
                <w:color w:val="000000"/>
                <w:lang w:eastAsia="en-US"/>
              </w:rPr>
              <w:t xml:space="preserve"> </w:t>
            </w:r>
          </w:p>
        </w:tc>
        <w:tc>
          <w:tcPr>
            <w:tcW w:w="2977" w:type="dxa"/>
          </w:tcPr>
          <w:p w:rsidR="00F95DE3" w:rsidRPr="00F95DE3" w:rsidRDefault="00F95DE3" w:rsidP="00F95DE3">
            <w:pPr>
              <w:pStyle w:val="naiskr"/>
              <w:spacing w:before="0" w:after="0"/>
              <w:jc w:val="both"/>
            </w:pPr>
            <w:r>
              <w:t xml:space="preserve">Pielikuma 13.3. punkts </w:t>
            </w:r>
          </w:p>
        </w:tc>
        <w:tc>
          <w:tcPr>
            <w:tcW w:w="1417" w:type="dxa"/>
          </w:tcPr>
          <w:p w:rsidR="00F95DE3" w:rsidRPr="00F95DE3" w:rsidRDefault="00F95DE3" w:rsidP="00F95DE3">
            <w:pPr>
              <w:pStyle w:val="naiskr"/>
              <w:spacing w:before="0" w:after="0"/>
              <w:jc w:val="both"/>
            </w:pPr>
            <w:r w:rsidRPr="00F95DE3">
              <w:t>Atbilst</w:t>
            </w:r>
          </w:p>
        </w:tc>
        <w:tc>
          <w:tcPr>
            <w:tcW w:w="2317" w:type="dxa"/>
          </w:tcPr>
          <w:p w:rsidR="00F95DE3" w:rsidRPr="00F95DE3" w:rsidRDefault="00F95DE3" w:rsidP="00F95DE3">
            <w:pPr>
              <w:pStyle w:val="naiskr"/>
              <w:spacing w:before="0" w:after="0"/>
              <w:jc w:val="both"/>
            </w:pPr>
            <w:r w:rsidRPr="00F95DE3">
              <w:t>Netiek noteiktas stingrākas prasības</w:t>
            </w:r>
          </w:p>
        </w:tc>
      </w:tr>
      <w:tr w:rsidR="00F95DE3" w:rsidRPr="006E26AB"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F95DE3" w:rsidRPr="00981C40" w:rsidRDefault="00F95DE3" w:rsidP="0033040E">
            <w:pPr>
              <w:autoSpaceDE w:val="0"/>
              <w:autoSpaceDN w:val="0"/>
              <w:adjustRightInd w:val="0"/>
              <w:rPr>
                <w:rFonts w:eastAsia="Calibri"/>
                <w:color w:val="000000"/>
                <w:lang w:eastAsia="en-US"/>
              </w:rPr>
            </w:pPr>
            <w:r>
              <w:rPr>
                <w:rFonts w:eastAsia="Calibri"/>
                <w:color w:val="000000"/>
                <w:lang w:eastAsia="en-US"/>
              </w:rPr>
              <w:t xml:space="preserve">1.6.4. </w:t>
            </w:r>
            <w:r w:rsidR="0033040E">
              <w:rPr>
                <w:rFonts w:eastAsia="Calibri"/>
                <w:color w:val="000000"/>
                <w:lang w:eastAsia="en-US"/>
              </w:rPr>
              <w:t xml:space="preserve">punkts </w:t>
            </w:r>
            <w:r>
              <w:rPr>
                <w:rFonts w:eastAsia="Calibri"/>
                <w:color w:val="000000"/>
                <w:lang w:eastAsia="en-US"/>
              </w:rPr>
              <w:t xml:space="preserve"> </w:t>
            </w:r>
          </w:p>
        </w:tc>
        <w:tc>
          <w:tcPr>
            <w:tcW w:w="2977" w:type="dxa"/>
          </w:tcPr>
          <w:p w:rsidR="00F95DE3" w:rsidRDefault="00F95DE3" w:rsidP="00F95DE3">
            <w:pPr>
              <w:pStyle w:val="naiskr"/>
              <w:spacing w:before="0" w:after="0"/>
              <w:jc w:val="both"/>
            </w:pPr>
            <w:r>
              <w:t xml:space="preserve">Pielikuma 13.4. punkts </w:t>
            </w:r>
          </w:p>
        </w:tc>
        <w:tc>
          <w:tcPr>
            <w:tcW w:w="1417" w:type="dxa"/>
          </w:tcPr>
          <w:p w:rsidR="00F95DE3" w:rsidRPr="00F95DE3" w:rsidRDefault="00F95DE3" w:rsidP="00F95DE3">
            <w:pPr>
              <w:pStyle w:val="naiskr"/>
              <w:spacing w:before="0" w:after="0"/>
              <w:jc w:val="both"/>
            </w:pPr>
            <w:r w:rsidRPr="00F95DE3">
              <w:t>Atbilst</w:t>
            </w:r>
          </w:p>
        </w:tc>
        <w:tc>
          <w:tcPr>
            <w:tcW w:w="2317" w:type="dxa"/>
          </w:tcPr>
          <w:p w:rsidR="00F95DE3" w:rsidRPr="00F95DE3" w:rsidRDefault="00F95DE3" w:rsidP="00F95DE3">
            <w:pPr>
              <w:pStyle w:val="naiskr"/>
              <w:spacing w:before="0" w:after="0"/>
              <w:jc w:val="both"/>
            </w:pPr>
            <w:r w:rsidRPr="00F95DE3">
              <w:t>Netiek noteiktas stingrākas prasības</w:t>
            </w:r>
          </w:p>
        </w:tc>
      </w:tr>
      <w:tr w:rsidR="00F95DE3" w:rsidRPr="006E26AB"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F95DE3" w:rsidRPr="00F95DE3" w:rsidRDefault="00F95DE3" w:rsidP="0033040E">
            <w:pPr>
              <w:autoSpaceDE w:val="0"/>
              <w:autoSpaceDN w:val="0"/>
              <w:adjustRightInd w:val="0"/>
              <w:rPr>
                <w:rFonts w:ascii="EUAlbertina" w:eastAsia="Calibri" w:hAnsi="EUAlbertina" w:cs="EUAlbertina"/>
                <w:color w:val="000000"/>
                <w:lang w:eastAsia="en-US"/>
              </w:rPr>
            </w:pPr>
            <w:r>
              <w:rPr>
                <w:rFonts w:ascii="EUAlbertina" w:eastAsia="Calibri" w:hAnsi="EUAlbertina" w:cs="EUAlbertina"/>
                <w:color w:val="000000"/>
                <w:lang w:eastAsia="en-US"/>
              </w:rPr>
              <w:t xml:space="preserve">1.7. </w:t>
            </w:r>
            <w:r w:rsidR="0033040E">
              <w:rPr>
                <w:rFonts w:ascii="EUAlbertina" w:eastAsia="Calibri" w:hAnsi="EUAlbertina" w:cs="EUAlbertina"/>
                <w:color w:val="000000"/>
                <w:lang w:eastAsia="en-US"/>
              </w:rPr>
              <w:t xml:space="preserve">punkts </w:t>
            </w:r>
            <w:r>
              <w:rPr>
                <w:rFonts w:ascii="EUAlbertina" w:eastAsia="Calibri" w:hAnsi="EUAlbertina" w:cs="EUAlbertina"/>
                <w:color w:val="000000"/>
                <w:lang w:eastAsia="en-US"/>
              </w:rPr>
              <w:t xml:space="preserve"> </w:t>
            </w:r>
          </w:p>
        </w:tc>
        <w:tc>
          <w:tcPr>
            <w:tcW w:w="2977" w:type="dxa"/>
          </w:tcPr>
          <w:p w:rsidR="00F95DE3" w:rsidRDefault="00F95DE3" w:rsidP="00F95DE3">
            <w:pPr>
              <w:pStyle w:val="naiskr"/>
              <w:spacing w:before="0" w:after="0"/>
              <w:jc w:val="both"/>
            </w:pPr>
            <w:r>
              <w:t xml:space="preserve">Pielikuma 14.punkts </w:t>
            </w:r>
          </w:p>
        </w:tc>
        <w:tc>
          <w:tcPr>
            <w:tcW w:w="1417" w:type="dxa"/>
          </w:tcPr>
          <w:p w:rsidR="00F95DE3" w:rsidRPr="00F95DE3" w:rsidRDefault="00F95DE3" w:rsidP="00D84D8B">
            <w:pPr>
              <w:pStyle w:val="naiskr"/>
              <w:spacing w:before="0" w:after="0"/>
              <w:jc w:val="both"/>
            </w:pPr>
            <w:r w:rsidRPr="00F95DE3">
              <w:t>Atbilst</w:t>
            </w:r>
          </w:p>
        </w:tc>
        <w:tc>
          <w:tcPr>
            <w:tcW w:w="2317" w:type="dxa"/>
          </w:tcPr>
          <w:p w:rsidR="00F95DE3" w:rsidRPr="00F95DE3" w:rsidRDefault="00F95DE3" w:rsidP="00D84D8B">
            <w:pPr>
              <w:pStyle w:val="naiskr"/>
              <w:spacing w:before="0" w:after="0"/>
              <w:jc w:val="both"/>
            </w:pPr>
            <w:r w:rsidRPr="00F95DE3">
              <w:t>Netiek noteiktas stingrākas prasības</w:t>
            </w:r>
          </w:p>
        </w:tc>
      </w:tr>
      <w:tr w:rsidR="0096299E" w:rsidRPr="0033040E" w:rsidTr="00D84D8B">
        <w:trPr>
          <w:trHeight w:val="313"/>
          <w:jc w:val="center"/>
        </w:trPr>
        <w:tc>
          <w:tcPr>
            <w:tcW w:w="2744" w:type="dxa"/>
          </w:tcPr>
          <w:p w:rsidR="00A94FEA" w:rsidRPr="0033040E" w:rsidRDefault="00A94FEA" w:rsidP="0033040E">
            <w:pPr>
              <w:pStyle w:val="naiskr"/>
              <w:spacing w:before="0" w:after="0"/>
              <w:jc w:val="both"/>
            </w:pPr>
            <w:r w:rsidRPr="0033040E">
              <w:t xml:space="preserve">Lēmuma 2014/687/ES pielikuma </w:t>
            </w:r>
          </w:p>
          <w:p w:rsidR="0096299E" w:rsidRPr="0033040E" w:rsidRDefault="0096299E" w:rsidP="0033040E">
            <w:pPr>
              <w:autoSpaceDE w:val="0"/>
              <w:autoSpaceDN w:val="0"/>
              <w:adjustRightInd w:val="0"/>
              <w:rPr>
                <w:rFonts w:eastAsia="Calibri"/>
                <w:color w:val="000000"/>
                <w:lang w:eastAsia="en-US"/>
              </w:rPr>
            </w:pPr>
            <w:r w:rsidRPr="0033040E">
              <w:rPr>
                <w:rFonts w:eastAsia="Calibri"/>
                <w:color w:val="000000"/>
                <w:lang w:eastAsia="en-US"/>
              </w:rPr>
              <w:t xml:space="preserve">1.7.1. </w:t>
            </w:r>
            <w:r w:rsidR="0033040E" w:rsidRPr="0033040E">
              <w:rPr>
                <w:rFonts w:eastAsia="Calibri"/>
                <w:color w:val="000000"/>
                <w:lang w:eastAsia="en-US"/>
              </w:rPr>
              <w:t xml:space="preserve">punkts </w:t>
            </w:r>
            <w:r w:rsidRPr="0033040E">
              <w:rPr>
                <w:rFonts w:eastAsia="Calibri"/>
                <w:color w:val="000000"/>
                <w:lang w:eastAsia="en-US"/>
              </w:rPr>
              <w:t xml:space="preserve"> </w:t>
            </w:r>
          </w:p>
        </w:tc>
        <w:tc>
          <w:tcPr>
            <w:tcW w:w="2977" w:type="dxa"/>
          </w:tcPr>
          <w:p w:rsidR="0096299E" w:rsidRPr="0033040E" w:rsidRDefault="0096299E" w:rsidP="0033040E">
            <w:pPr>
              <w:pStyle w:val="naiskr"/>
              <w:spacing w:before="0" w:after="0"/>
              <w:jc w:val="both"/>
            </w:pPr>
            <w:r w:rsidRPr="0033040E">
              <w:t xml:space="preserve">Pielikuma 14.1. punkts </w:t>
            </w:r>
          </w:p>
        </w:tc>
        <w:tc>
          <w:tcPr>
            <w:tcW w:w="1417" w:type="dxa"/>
          </w:tcPr>
          <w:p w:rsidR="0096299E" w:rsidRPr="0033040E" w:rsidRDefault="0096299E" w:rsidP="0033040E">
            <w:pPr>
              <w:pStyle w:val="naiskr"/>
              <w:spacing w:before="0" w:after="0"/>
              <w:jc w:val="both"/>
            </w:pPr>
            <w:r w:rsidRPr="0033040E">
              <w:t>Atbilst</w:t>
            </w:r>
          </w:p>
        </w:tc>
        <w:tc>
          <w:tcPr>
            <w:tcW w:w="2317" w:type="dxa"/>
          </w:tcPr>
          <w:p w:rsidR="0096299E" w:rsidRPr="0033040E" w:rsidRDefault="0096299E" w:rsidP="0033040E">
            <w:pPr>
              <w:pStyle w:val="naiskr"/>
              <w:spacing w:before="0" w:after="0"/>
              <w:jc w:val="both"/>
            </w:pPr>
            <w:r w:rsidRPr="0033040E">
              <w:t>Netiek noteiktas stingrākas prasības</w:t>
            </w:r>
          </w:p>
        </w:tc>
      </w:tr>
      <w:tr w:rsidR="0096299E" w:rsidRPr="00981C40" w:rsidTr="00D84D8B">
        <w:trPr>
          <w:trHeight w:val="313"/>
          <w:jc w:val="center"/>
        </w:trPr>
        <w:tc>
          <w:tcPr>
            <w:tcW w:w="2744" w:type="dxa"/>
          </w:tcPr>
          <w:p w:rsidR="00A94FEA" w:rsidRDefault="00A94FEA" w:rsidP="00A94FEA">
            <w:pPr>
              <w:pStyle w:val="naiskr"/>
              <w:spacing w:before="0" w:after="0"/>
              <w:jc w:val="both"/>
              <w:rPr>
                <w:sz w:val="25"/>
                <w:szCs w:val="25"/>
              </w:rPr>
            </w:pPr>
            <w:r w:rsidRPr="00BF3F03">
              <w:rPr>
                <w:sz w:val="25"/>
                <w:szCs w:val="25"/>
              </w:rPr>
              <w:t xml:space="preserve">Lēmuma 2014/687/ES </w:t>
            </w:r>
            <w:r w:rsidRPr="00A84D43">
              <w:rPr>
                <w:sz w:val="25"/>
                <w:szCs w:val="25"/>
              </w:rPr>
              <w:t xml:space="preserve">pielikuma </w:t>
            </w:r>
          </w:p>
          <w:p w:rsidR="0096299E" w:rsidRPr="00981C40" w:rsidRDefault="0096299E" w:rsidP="0033040E">
            <w:pPr>
              <w:autoSpaceDE w:val="0"/>
              <w:autoSpaceDN w:val="0"/>
              <w:adjustRightInd w:val="0"/>
              <w:rPr>
                <w:rFonts w:eastAsia="Calibri"/>
                <w:color w:val="000000"/>
                <w:lang w:eastAsia="en-US"/>
              </w:rPr>
            </w:pPr>
            <w:r>
              <w:rPr>
                <w:rFonts w:eastAsia="Calibri"/>
                <w:color w:val="000000"/>
                <w:lang w:eastAsia="en-US"/>
              </w:rPr>
              <w:t xml:space="preserve">1.7.2. </w:t>
            </w:r>
            <w:r w:rsidR="0033040E">
              <w:rPr>
                <w:rFonts w:eastAsia="Calibri"/>
                <w:color w:val="000000"/>
                <w:lang w:eastAsia="en-US"/>
              </w:rPr>
              <w:t xml:space="preserve">punkts </w:t>
            </w:r>
            <w:r>
              <w:rPr>
                <w:rFonts w:eastAsia="Calibri"/>
                <w:color w:val="000000"/>
                <w:lang w:eastAsia="en-US"/>
              </w:rPr>
              <w:t xml:space="preserve"> </w:t>
            </w:r>
          </w:p>
        </w:tc>
        <w:tc>
          <w:tcPr>
            <w:tcW w:w="2977" w:type="dxa"/>
          </w:tcPr>
          <w:p w:rsidR="0096299E" w:rsidRPr="00981C40" w:rsidRDefault="0096299E" w:rsidP="0096299E">
            <w:pPr>
              <w:pStyle w:val="naiskr"/>
              <w:spacing w:before="0" w:after="0"/>
              <w:jc w:val="both"/>
            </w:pPr>
            <w:r>
              <w:t xml:space="preserve">Pielikuma 14.2. punkts </w:t>
            </w:r>
          </w:p>
        </w:tc>
        <w:tc>
          <w:tcPr>
            <w:tcW w:w="1417" w:type="dxa"/>
          </w:tcPr>
          <w:p w:rsidR="0096299E" w:rsidRPr="00F95DE3" w:rsidRDefault="0096299E" w:rsidP="0096299E">
            <w:pPr>
              <w:pStyle w:val="naiskr"/>
              <w:spacing w:before="0" w:after="0"/>
              <w:jc w:val="both"/>
            </w:pPr>
            <w:r w:rsidRPr="00F95DE3">
              <w:t>Atbilst</w:t>
            </w:r>
          </w:p>
        </w:tc>
        <w:tc>
          <w:tcPr>
            <w:tcW w:w="2317" w:type="dxa"/>
          </w:tcPr>
          <w:p w:rsidR="0096299E" w:rsidRPr="00F95DE3" w:rsidRDefault="0096299E" w:rsidP="0096299E">
            <w:pPr>
              <w:pStyle w:val="naiskr"/>
              <w:spacing w:before="0" w:after="0"/>
              <w:jc w:val="both"/>
            </w:pPr>
            <w:r w:rsidRPr="00F95DE3">
              <w:t>Netiek noteiktas stingrākas prasības</w:t>
            </w:r>
          </w:p>
        </w:tc>
      </w:tr>
      <w:tr w:rsidR="00253489" w:rsidRPr="0033040E" w:rsidTr="00D84D8B">
        <w:trPr>
          <w:trHeight w:val="313"/>
          <w:jc w:val="center"/>
        </w:trPr>
        <w:tc>
          <w:tcPr>
            <w:tcW w:w="2744" w:type="dxa"/>
          </w:tcPr>
          <w:p w:rsidR="00A94FEA" w:rsidRPr="0033040E" w:rsidRDefault="00A94FEA" w:rsidP="0033040E">
            <w:pPr>
              <w:pStyle w:val="naiskr"/>
              <w:spacing w:before="0" w:after="0"/>
              <w:jc w:val="both"/>
            </w:pPr>
            <w:r w:rsidRPr="0033040E">
              <w:t xml:space="preserve">Lēmuma 2014/687/ES pielikuma </w:t>
            </w:r>
          </w:p>
          <w:p w:rsidR="00253489" w:rsidRPr="0033040E" w:rsidRDefault="00253489" w:rsidP="0033040E">
            <w:pPr>
              <w:autoSpaceDE w:val="0"/>
              <w:autoSpaceDN w:val="0"/>
              <w:adjustRightInd w:val="0"/>
              <w:rPr>
                <w:rFonts w:eastAsia="Calibri"/>
                <w:color w:val="000000"/>
                <w:lang w:eastAsia="en-US"/>
              </w:rPr>
            </w:pPr>
            <w:r w:rsidRPr="0033040E">
              <w:rPr>
                <w:rFonts w:eastAsia="Calibri"/>
                <w:color w:val="000000"/>
                <w:lang w:eastAsia="en-US"/>
              </w:rPr>
              <w:t xml:space="preserve">1.7.3. </w:t>
            </w:r>
            <w:r w:rsidR="0033040E" w:rsidRPr="0033040E">
              <w:rPr>
                <w:rFonts w:eastAsia="Calibri"/>
                <w:color w:val="000000"/>
                <w:lang w:eastAsia="en-US"/>
              </w:rPr>
              <w:t xml:space="preserve">punkts </w:t>
            </w:r>
          </w:p>
        </w:tc>
        <w:tc>
          <w:tcPr>
            <w:tcW w:w="2977" w:type="dxa"/>
          </w:tcPr>
          <w:p w:rsidR="00253489" w:rsidRPr="0033040E" w:rsidRDefault="00253489" w:rsidP="0033040E">
            <w:pPr>
              <w:pStyle w:val="naiskr"/>
              <w:spacing w:before="0" w:after="0"/>
              <w:jc w:val="both"/>
            </w:pPr>
            <w:r w:rsidRPr="0033040E">
              <w:t xml:space="preserve">Pielikuma 14.3. punkts </w:t>
            </w:r>
          </w:p>
        </w:tc>
        <w:tc>
          <w:tcPr>
            <w:tcW w:w="1417" w:type="dxa"/>
          </w:tcPr>
          <w:p w:rsidR="00253489" w:rsidRPr="0033040E" w:rsidRDefault="00253489" w:rsidP="0033040E">
            <w:pPr>
              <w:pStyle w:val="naiskr"/>
              <w:spacing w:before="0" w:after="0"/>
              <w:jc w:val="both"/>
            </w:pPr>
            <w:r w:rsidRPr="0033040E">
              <w:t>Atbilst</w:t>
            </w:r>
          </w:p>
        </w:tc>
        <w:tc>
          <w:tcPr>
            <w:tcW w:w="2317" w:type="dxa"/>
          </w:tcPr>
          <w:p w:rsidR="00253489" w:rsidRPr="0033040E" w:rsidRDefault="00253489" w:rsidP="0033040E">
            <w:pPr>
              <w:pStyle w:val="naiskr"/>
              <w:spacing w:before="0" w:after="0"/>
              <w:jc w:val="both"/>
            </w:pPr>
            <w:r w:rsidRPr="0033040E">
              <w:t>Netiek noteiktas stingrākas prasības</w:t>
            </w:r>
          </w:p>
        </w:tc>
      </w:tr>
    </w:tbl>
    <w:p w:rsidR="000B7CDC" w:rsidRPr="000B7CDC" w:rsidRDefault="000B7CDC" w:rsidP="000B7CDC">
      <w:pPr>
        <w:pStyle w:val="naisf"/>
        <w:spacing w:before="0" w:after="0"/>
        <w:ind w:firstLine="0"/>
      </w:pPr>
    </w:p>
    <w:tbl>
      <w:tblPr>
        <w:tblW w:w="952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2"/>
        <w:gridCol w:w="992"/>
        <w:gridCol w:w="3827"/>
        <w:gridCol w:w="3001"/>
      </w:tblGrid>
      <w:tr w:rsidR="000B7CDC" w:rsidRPr="000B7CDC" w:rsidTr="001132D1">
        <w:trPr>
          <w:trHeight w:val="281"/>
          <w:tblCellSpacing w:w="0" w:type="dxa"/>
        </w:trPr>
        <w:tc>
          <w:tcPr>
            <w:tcW w:w="2694" w:type="dxa"/>
            <w:gridSpan w:val="2"/>
            <w:tcBorders>
              <w:top w:val="outset" w:sz="6" w:space="0" w:color="auto"/>
              <w:left w:val="outset" w:sz="6" w:space="0" w:color="auto"/>
              <w:bottom w:val="outset" w:sz="6" w:space="0" w:color="auto"/>
              <w:right w:val="outset" w:sz="6" w:space="0" w:color="auto"/>
            </w:tcBorders>
            <w:vAlign w:val="center"/>
          </w:tcPr>
          <w:p w:rsidR="000B7CDC" w:rsidRPr="000B7CDC" w:rsidRDefault="000B7CDC" w:rsidP="001132D1">
            <w:pPr>
              <w:pStyle w:val="naiskr"/>
              <w:spacing w:before="0" w:after="0"/>
              <w:jc w:val="both"/>
            </w:pPr>
            <w:r w:rsidRPr="000B7CDC">
              <w:t> Kā ir izmantota ES tiesību aktā paredzētā rīcības brīvība dalībvalstij pārņemt vai ieviest noteiktas ES tiesību akta normas.</w:t>
            </w:r>
          </w:p>
          <w:p w:rsidR="000B7CDC" w:rsidRPr="000B7CDC" w:rsidRDefault="000B7CDC" w:rsidP="001132D1">
            <w:pPr>
              <w:pStyle w:val="naiskr"/>
              <w:spacing w:before="0" w:after="0"/>
              <w:jc w:val="both"/>
            </w:pPr>
            <w:r w:rsidRPr="000B7CDC">
              <w:t>Kādēļ?</w:t>
            </w:r>
          </w:p>
        </w:tc>
        <w:tc>
          <w:tcPr>
            <w:tcW w:w="6828" w:type="dxa"/>
            <w:gridSpan w:val="2"/>
            <w:tcBorders>
              <w:top w:val="outset" w:sz="6" w:space="0" w:color="auto"/>
              <w:left w:val="outset" w:sz="6" w:space="0" w:color="auto"/>
              <w:bottom w:val="outset" w:sz="6" w:space="0" w:color="auto"/>
              <w:right w:val="outset" w:sz="6" w:space="0" w:color="auto"/>
            </w:tcBorders>
          </w:tcPr>
          <w:p w:rsidR="000B7CDC" w:rsidRPr="000B7CDC" w:rsidRDefault="000B7CDC" w:rsidP="001132D1">
            <w:pPr>
              <w:jc w:val="both"/>
            </w:pPr>
            <w:r w:rsidRPr="000B7CDC">
              <w:rPr>
                <w:b/>
              </w:rPr>
              <w:t xml:space="preserve"> </w:t>
            </w:r>
            <w:r w:rsidRPr="002831BA">
              <w:t>Ar noteikumu projektu transponējamās tiesību normas neparedz rīcības brīvību dalībvalstīm.</w:t>
            </w:r>
          </w:p>
        </w:tc>
      </w:tr>
      <w:tr w:rsidR="000B7CDC" w:rsidRPr="000B7CDC" w:rsidTr="001132D1">
        <w:trPr>
          <w:trHeight w:val="913"/>
          <w:tblCellSpacing w:w="0" w:type="dxa"/>
        </w:trPr>
        <w:tc>
          <w:tcPr>
            <w:tcW w:w="6521" w:type="dxa"/>
            <w:gridSpan w:val="3"/>
            <w:tcBorders>
              <w:top w:val="outset" w:sz="6" w:space="0" w:color="auto"/>
              <w:left w:val="outset" w:sz="6" w:space="0" w:color="auto"/>
              <w:bottom w:val="outset" w:sz="6" w:space="0" w:color="auto"/>
              <w:right w:val="outset" w:sz="6" w:space="0" w:color="auto"/>
            </w:tcBorders>
            <w:vAlign w:val="center"/>
          </w:tcPr>
          <w:p w:rsidR="000B7CDC" w:rsidRPr="000B7CDC" w:rsidRDefault="000B7CDC" w:rsidP="001132D1">
            <w:pPr>
              <w:pStyle w:val="naiskr"/>
              <w:spacing w:before="0" w:after="0"/>
              <w:jc w:val="both"/>
            </w:pPr>
            <w:r w:rsidRPr="000B7CD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01" w:type="dxa"/>
            <w:tcBorders>
              <w:top w:val="outset" w:sz="6" w:space="0" w:color="auto"/>
              <w:left w:val="outset" w:sz="6" w:space="0" w:color="auto"/>
              <w:bottom w:val="outset" w:sz="6" w:space="0" w:color="auto"/>
              <w:right w:val="outset" w:sz="6" w:space="0" w:color="auto"/>
            </w:tcBorders>
          </w:tcPr>
          <w:p w:rsidR="000B7CDC" w:rsidRPr="000B7CDC" w:rsidRDefault="000B7CDC" w:rsidP="001132D1">
            <w:pPr>
              <w:pStyle w:val="naiskr"/>
              <w:spacing w:before="0" w:after="0"/>
            </w:pPr>
            <w:r w:rsidRPr="000B7CDC">
              <w:t> Projekts šo jomu neskar.</w:t>
            </w:r>
          </w:p>
        </w:tc>
      </w:tr>
      <w:tr w:rsidR="000B7CDC" w:rsidRPr="000B7CDC" w:rsidTr="001132D1">
        <w:trPr>
          <w:trHeight w:val="579"/>
          <w:tblCellSpacing w:w="0" w:type="dxa"/>
        </w:trPr>
        <w:tc>
          <w:tcPr>
            <w:tcW w:w="1702" w:type="dxa"/>
            <w:tcBorders>
              <w:top w:val="outset" w:sz="6" w:space="0" w:color="auto"/>
              <w:left w:val="outset" w:sz="6" w:space="0" w:color="auto"/>
              <w:bottom w:val="outset" w:sz="6" w:space="0" w:color="auto"/>
              <w:right w:val="outset" w:sz="6" w:space="0" w:color="auto"/>
            </w:tcBorders>
          </w:tcPr>
          <w:p w:rsidR="000B7CDC" w:rsidRPr="000B7CDC" w:rsidRDefault="000B7CDC" w:rsidP="001132D1">
            <w:pPr>
              <w:pStyle w:val="naiskr"/>
              <w:spacing w:before="0" w:after="0"/>
            </w:pPr>
            <w:r w:rsidRPr="000B7CDC">
              <w:t> Cita informācija</w:t>
            </w:r>
          </w:p>
        </w:tc>
        <w:tc>
          <w:tcPr>
            <w:tcW w:w="7820" w:type="dxa"/>
            <w:gridSpan w:val="3"/>
            <w:tcBorders>
              <w:top w:val="outset" w:sz="6" w:space="0" w:color="auto"/>
              <w:left w:val="outset" w:sz="6" w:space="0" w:color="auto"/>
              <w:bottom w:val="outset" w:sz="6" w:space="0" w:color="auto"/>
              <w:right w:val="outset" w:sz="6" w:space="0" w:color="auto"/>
            </w:tcBorders>
          </w:tcPr>
          <w:p w:rsidR="000B7CDC" w:rsidRPr="000B7CDC" w:rsidRDefault="003E47EE" w:rsidP="006F0D3C">
            <w:pPr>
              <w:autoSpaceDE w:val="0"/>
              <w:autoSpaceDN w:val="0"/>
              <w:adjustRightInd w:val="0"/>
              <w:jc w:val="both"/>
              <w:rPr>
                <w:rFonts w:eastAsia="Calibri"/>
                <w:lang w:eastAsia="en-US"/>
              </w:rPr>
            </w:pPr>
            <w:r>
              <w:rPr>
                <w:rFonts w:eastAsia="Calibri"/>
                <w:lang w:eastAsia="en-US"/>
              </w:rPr>
              <w:t xml:space="preserve">Nav. </w:t>
            </w:r>
          </w:p>
        </w:tc>
      </w:tr>
    </w:tbl>
    <w:p w:rsidR="000B7CDC" w:rsidRPr="000B7CDC" w:rsidRDefault="000B7CDC" w:rsidP="000B7CDC">
      <w:pPr>
        <w:pStyle w:val="naisf"/>
        <w:ind w:firstLine="0"/>
      </w:pPr>
    </w:p>
    <w:tbl>
      <w:tblPr>
        <w:tblW w:w="950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502"/>
      </w:tblGrid>
      <w:tr w:rsidR="000B7CDC" w:rsidRPr="000B7CDC" w:rsidTr="00A90D44">
        <w:trPr>
          <w:trHeight w:val="792"/>
          <w:tblCellSpacing w:w="0" w:type="dxa"/>
        </w:trPr>
        <w:tc>
          <w:tcPr>
            <w:tcW w:w="9502" w:type="dxa"/>
            <w:tcBorders>
              <w:top w:val="outset" w:sz="6" w:space="0" w:color="auto"/>
              <w:left w:val="outset" w:sz="6" w:space="0" w:color="auto"/>
              <w:bottom w:val="outset" w:sz="6" w:space="0" w:color="auto"/>
              <w:right w:val="outset" w:sz="6" w:space="0" w:color="auto"/>
            </w:tcBorders>
            <w:vAlign w:val="center"/>
          </w:tcPr>
          <w:p w:rsidR="000B7CDC" w:rsidRPr="000B7CDC" w:rsidRDefault="000B7CDC" w:rsidP="001132D1">
            <w:pPr>
              <w:pStyle w:val="naisnod"/>
              <w:spacing w:before="0" w:after="0"/>
            </w:pPr>
            <w:r w:rsidRPr="000B7CDC">
              <w:t> 2.tabula</w:t>
            </w:r>
          </w:p>
          <w:p w:rsidR="000B7CDC" w:rsidRPr="000B7CDC" w:rsidRDefault="000B7CDC" w:rsidP="001132D1">
            <w:pPr>
              <w:pStyle w:val="naisnod"/>
              <w:spacing w:before="0" w:after="0"/>
            </w:pPr>
            <w:r w:rsidRPr="000B7CDC">
              <w:t>Ar tiesību akta projektu uzņemtās saistības, kas izriet no starptautiskajiem tiesību aktiem vai starptautiskas institūcijas vai organizācijas dokumentiem</w:t>
            </w:r>
          </w:p>
          <w:p w:rsidR="000B7CDC" w:rsidRPr="000B7CDC" w:rsidRDefault="000B7CDC" w:rsidP="001132D1">
            <w:pPr>
              <w:pStyle w:val="naisnod"/>
              <w:spacing w:before="0" w:after="0"/>
            </w:pPr>
            <w:r w:rsidRPr="000B7CDC">
              <w:t>Pasākumi šo saistību izpildei</w:t>
            </w:r>
          </w:p>
        </w:tc>
      </w:tr>
      <w:tr w:rsidR="000B7CDC" w:rsidRPr="000B7CDC" w:rsidTr="00A90D44">
        <w:trPr>
          <w:trHeight w:val="792"/>
          <w:tblCellSpacing w:w="0" w:type="dxa"/>
        </w:trPr>
        <w:tc>
          <w:tcPr>
            <w:tcW w:w="9502" w:type="dxa"/>
            <w:tcBorders>
              <w:top w:val="outset" w:sz="6" w:space="0" w:color="auto"/>
              <w:left w:val="outset" w:sz="6" w:space="0" w:color="auto"/>
              <w:bottom w:val="outset" w:sz="6" w:space="0" w:color="auto"/>
              <w:right w:val="outset" w:sz="6" w:space="0" w:color="auto"/>
            </w:tcBorders>
            <w:vAlign w:val="center"/>
          </w:tcPr>
          <w:p w:rsidR="000B7CDC" w:rsidRPr="000B7CDC" w:rsidRDefault="000B7CDC" w:rsidP="001132D1">
            <w:pPr>
              <w:pStyle w:val="naisnod"/>
              <w:spacing w:before="0" w:after="0"/>
              <w:rPr>
                <w:b w:val="0"/>
              </w:rPr>
            </w:pPr>
            <w:r w:rsidRPr="000B7CDC">
              <w:rPr>
                <w:b w:val="0"/>
              </w:rPr>
              <w:t>Projekts šo jomu neskar</w:t>
            </w:r>
          </w:p>
        </w:tc>
      </w:tr>
    </w:tbl>
    <w:p w:rsidR="000B7CDC" w:rsidRPr="000B7CDC" w:rsidRDefault="000B7CDC" w:rsidP="000B7CDC"/>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4568"/>
        <w:gridCol w:w="4419"/>
      </w:tblGrid>
      <w:tr w:rsidR="000B7CDC" w:rsidRPr="000B7CDC" w:rsidTr="001132D1">
        <w:trPr>
          <w:jc w:val="center"/>
        </w:trPr>
        <w:tc>
          <w:tcPr>
            <w:tcW w:w="9472" w:type="dxa"/>
            <w:gridSpan w:val="3"/>
            <w:tcMar>
              <w:top w:w="57" w:type="dxa"/>
              <w:left w:w="57" w:type="dxa"/>
              <w:bottom w:w="57" w:type="dxa"/>
              <w:right w:w="57" w:type="dxa"/>
            </w:tcMar>
          </w:tcPr>
          <w:p w:rsidR="000B7CDC" w:rsidRPr="000B7CDC" w:rsidRDefault="000B7CDC" w:rsidP="001132D1">
            <w:pPr>
              <w:pStyle w:val="naisnod"/>
              <w:spacing w:before="0" w:after="0"/>
              <w:ind w:left="57" w:right="57"/>
            </w:pPr>
            <w:r w:rsidRPr="000B7CDC">
              <w:lastRenderedPageBreak/>
              <w:t>VI. Sabiedrības līdzdalība un komunikācijas aktivitātes</w:t>
            </w:r>
          </w:p>
        </w:tc>
      </w:tr>
      <w:tr w:rsidR="000B7CDC" w:rsidRPr="000B7CDC" w:rsidTr="001132D1">
        <w:trPr>
          <w:trHeight w:val="553"/>
          <w:jc w:val="center"/>
        </w:trPr>
        <w:tc>
          <w:tcPr>
            <w:tcW w:w="485" w:type="dxa"/>
            <w:tcMar>
              <w:top w:w="57" w:type="dxa"/>
              <w:left w:w="57" w:type="dxa"/>
              <w:bottom w:w="57" w:type="dxa"/>
              <w:right w:w="57" w:type="dxa"/>
            </w:tcMar>
          </w:tcPr>
          <w:p w:rsidR="000B7CDC" w:rsidRPr="000B7CDC" w:rsidRDefault="000B7CDC" w:rsidP="001132D1">
            <w:pPr>
              <w:pStyle w:val="naiskr"/>
              <w:spacing w:before="0" w:after="0"/>
              <w:ind w:left="57" w:right="57"/>
              <w:rPr>
                <w:bCs/>
              </w:rPr>
            </w:pPr>
            <w:r w:rsidRPr="000B7CDC">
              <w:rPr>
                <w:bCs/>
              </w:rPr>
              <w:t>1.</w:t>
            </w:r>
          </w:p>
        </w:tc>
        <w:tc>
          <w:tcPr>
            <w:tcW w:w="4568" w:type="dxa"/>
            <w:tcMar>
              <w:top w:w="57" w:type="dxa"/>
              <w:left w:w="57" w:type="dxa"/>
              <w:bottom w:w="57" w:type="dxa"/>
              <w:right w:w="57" w:type="dxa"/>
            </w:tcMar>
          </w:tcPr>
          <w:p w:rsidR="000B7CDC" w:rsidRPr="000B7CDC" w:rsidRDefault="000B7CDC" w:rsidP="001132D1">
            <w:pPr>
              <w:pStyle w:val="naiskr"/>
              <w:tabs>
                <w:tab w:val="left" w:pos="170"/>
              </w:tabs>
              <w:spacing w:before="0" w:after="0"/>
              <w:ind w:left="57" w:right="57"/>
            </w:pPr>
            <w:r w:rsidRPr="000B7CDC">
              <w:t>Plānotās sabiedrības līdzdalības un komunikācijas aktivitātes saistībā ar projektu</w:t>
            </w:r>
          </w:p>
        </w:tc>
        <w:tc>
          <w:tcPr>
            <w:tcW w:w="4419" w:type="dxa"/>
            <w:tcMar>
              <w:top w:w="57" w:type="dxa"/>
              <w:left w:w="57" w:type="dxa"/>
              <w:bottom w:w="57" w:type="dxa"/>
              <w:right w:w="57" w:type="dxa"/>
            </w:tcMar>
          </w:tcPr>
          <w:p w:rsidR="000B7CDC" w:rsidRPr="00253489" w:rsidRDefault="000832D1" w:rsidP="00253489">
            <w:pPr>
              <w:pStyle w:val="naiskr"/>
              <w:spacing w:before="0" w:after="0"/>
              <w:ind w:left="57" w:right="57"/>
              <w:jc w:val="both"/>
            </w:pPr>
            <w:r w:rsidRPr="00A9017D">
              <w:t xml:space="preserve"> </w:t>
            </w:r>
            <w:r>
              <w:t xml:space="preserve">Ministrijas tīmekļa vietnē </w:t>
            </w:r>
            <w:hyperlink r:id="rId9" w:history="1">
              <w:r w:rsidRPr="008247FE">
                <w:rPr>
                  <w:rStyle w:val="Hyperlink"/>
                </w:rPr>
                <w:t>www.varam.gov.lv</w:t>
              </w:r>
            </w:hyperlink>
            <w:r>
              <w:t xml:space="preserve"> sadaļā „Sabiedrības līdzdalība” tika publiskots paziņojums par sabiedrības līdzdalības iespējām noteikumu projekta izstrādes procesā, līdz ar to ieinteresētajām personām ir iespēja izteikt savu viedokli un sniegt priekšlikumus.</w:t>
            </w:r>
          </w:p>
        </w:tc>
      </w:tr>
      <w:tr w:rsidR="000B7CDC" w:rsidRPr="000B7CDC" w:rsidTr="001132D1">
        <w:trPr>
          <w:trHeight w:val="339"/>
          <w:jc w:val="center"/>
        </w:trPr>
        <w:tc>
          <w:tcPr>
            <w:tcW w:w="485" w:type="dxa"/>
            <w:tcMar>
              <w:top w:w="57" w:type="dxa"/>
              <w:left w:w="57" w:type="dxa"/>
              <w:bottom w:w="57" w:type="dxa"/>
              <w:right w:w="57" w:type="dxa"/>
            </w:tcMar>
          </w:tcPr>
          <w:p w:rsidR="000B7CDC" w:rsidRPr="000B7CDC" w:rsidRDefault="000B7CDC" w:rsidP="001132D1">
            <w:pPr>
              <w:pStyle w:val="naiskr"/>
              <w:spacing w:before="0" w:after="0"/>
              <w:ind w:left="57" w:right="57"/>
              <w:rPr>
                <w:bCs/>
              </w:rPr>
            </w:pPr>
            <w:r w:rsidRPr="000B7CDC">
              <w:rPr>
                <w:bCs/>
              </w:rPr>
              <w:t>2.</w:t>
            </w:r>
          </w:p>
        </w:tc>
        <w:tc>
          <w:tcPr>
            <w:tcW w:w="4568" w:type="dxa"/>
            <w:tcMar>
              <w:top w:w="57" w:type="dxa"/>
              <w:left w:w="57" w:type="dxa"/>
              <w:bottom w:w="57" w:type="dxa"/>
              <w:right w:w="57" w:type="dxa"/>
            </w:tcMar>
          </w:tcPr>
          <w:p w:rsidR="000B7CDC" w:rsidRPr="000B7CDC" w:rsidRDefault="000B7CDC" w:rsidP="001132D1">
            <w:pPr>
              <w:pStyle w:val="naiskr"/>
              <w:spacing w:before="0" w:after="0"/>
              <w:ind w:left="57" w:right="57"/>
            </w:pPr>
            <w:r w:rsidRPr="000B7CDC">
              <w:t xml:space="preserve">Sabiedrības līdzdalība projekta izstrādē </w:t>
            </w:r>
          </w:p>
        </w:tc>
        <w:tc>
          <w:tcPr>
            <w:tcW w:w="4419" w:type="dxa"/>
            <w:tcMar>
              <w:top w:w="57" w:type="dxa"/>
              <w:left w:w="57" w:type="dxa"/>
              <w:bottom w:w="57" w:type="dxa"/>
              <w:right w:w="57" w:type="dxa"/>
            </w:tcMar>
          </w:tcPr>
          <w:p w:rsidR="000B7CDC" w:rsidRPr="00BE3C64" w:rsidRDefault="006F0D3C" w:rsidP="000832D1">
            <w:pPr>
              <w:pStyle w:val="naiskr"/>
              <w:spacing w:before="0" w:after="0"/>
              <w:ind w:left="57" w:right="57"/>
              <w:jc w:val="both"/>
            </w:pPr>
            <w:r w:rsidRPr="00253489">
              <w:t>Noteikumu projekts 2015.gada 6.novembr</w:t>
            </w:r>
            <w:r>
              <w:t>ī</w:t>
            </w:r>
            <w:r w:rsidRPr="00253489">
              <w:t xml:space="preserve"> </w:t>
            </w:r>
            <w:r>
              <w:t>ievietots</w:t>
            </w:r>
            <w:r w:rsidRPr="00253489">
              <w:t xml:space="preserve"> </w:t>
            </w:r>
            <w:r>
              <w:t>vides aizsardzības un reģionālās attīstības ministrija tīmekļa vietnē</w:t>
            </w:r>
            <w:r w:rsidRPr="00253489">
              <w:t xml:space="preserve"> </w:t>
            </w:r>
            <w:hyperlink r:id="rId10" w:history="1">
              <w:r w:rsidRPr="00253489">
                <w:rPr>
                  <w:rStyle w:val="Hyperlink"/>
                  <w:color w:val="auto"/>
                </w:rPr>
                <w:t>www.varam.gov.lv</w:t>
              </w:r>
            </w:hyperlink>
            <w:r w:rsidRPr="00253489">
              <w:t>,</w:t>
            </w:r>
            <w:r w:rsidR="000832D1">
              <w:t xml:space="preserve"> aicinot</w:t>
            </w:r>
            <w:r w:rsidRPr="00253489">
              <w:t xml:space="preserve"> ieinteresētajām personām izteikt viedokli un sniegt priekšlikumus.</w:t>
            </w:r>
          </w:p>
        </w:tc>
      </w:tr>
      <w:tr w:rsidR="000B7CDC" w:rsidRPr="000B7CDC" w:rsidTr="001132D1">
        <w:trPr>
          <w:trHeight w:val="375"/>
          <w:jc w:val="center"/>
        </w:trPr>
        <w:tc>
          <w:tcPr>
            <w:tcW w:w="485" w:type="dxa"/>
            <w:tcMar>
              <w:top w:w="57" w:type="dxa"/>
              <w:left w:w="57" w:type="dxa"/>
              <w:bottom w:w="57" w:type="dxa"/>
              <w:right w:w="57" w:type="dxa"/>
            </w:tcMar>
          </w:tcPr>
          <w:p w:rsidR="000B7CDC" w:rsidRPr="000B7CDC" w:rsidRDefault="000B7CDC" w:rsidP="001132D1">
            <w:pPr>
              <w:pStyle w:val="naiskr"/>
              <w:spacing w:before="0" w:after="0"/>
              <w:ind w:left="57" w:right="57"/>
              <w:rPr>
                <w:bCs/>
              </w:rPr>
            </w:pPr>
            <w:r w:rsidRPr="000B7CDC">
              <w:rPr>
                <w:bCs/>
              </w:rPr>
              <w:t>3.</w:t>
            </w:r>
          </w:p>
        </w:tc>
        <w:tc>
          <w:tcPr>
            <w:tcW w:w="4568" w:type="dxa"/>
            <w:tcMar>
              <w:top w:w="57" w:type="dxa"/>
              <w:left w:w="57" w:type="dxa"/>
              <w:bottom w:w="57" w:type="dxa"/>
              <w:right w:w="57" w:type="dxa"/>
            </w:tcMar>
          </w:tcPr>
          <w:p w:rsidR="000B7CDC" w:rsidRPr="000B7CDC" w:rsidRDefault="000B7CDC" w:rsidP="001132D1">
            <w:pPr>
              <w:pStyle w:val="naiskr"/>
              <w:spacing w:before="0" w:after="0"/>
              <w:ind w:left="57" w:right="57"/>
            </w:pPr>
            <w:r w:rsidRPr="000B7CDC">
              <w:t xml:space="preserve">Sabiedrības līdzdalības rezultāti </w:t>
            </w:r>
          </w:p>
        </w:tc>
        <w:tc>
          <w:tcPr>
            <w:tcW w:w="4419" w:type="dxa"/>
            <w:tcMar>
              <w:top w:w="57" w:type="dxa"/>
              <w:left w:w="57" w:type="dxa"/>
              <w:bottom w:w="57" w:type="dxa"/>
              <w:right w:w="57" w:type="dxa"/>
            </w:tcMar>
          </w:tcPr>
          <w:p w:rsidR="000B7CDC" w:rsidRPr="000B7CDC" w:rsidRDefault="000B7CDC" w:rsidP="001132D1">
            <w:pPr>
              <w:pStyle w:val="naiskr"/>
              <w:spacing w:before="0" w:after="0"/>
              <w:ind w:right="57"/>
              <w:jc w:val="both"/>
            </w:pPr>
            <w:r w:rsidRPr="000B7CDC">
              <w:t>Saņemtie priekšlikumi pēc izvērtēšanas tiks iestrādāti noteikumu projektā vai arī tiks sniegts pamatojums, kāpēc sabiedrības priekšlikumi nav iekļaujami noteikumu projektā.</w:t>
            </w:r>
          </w:p>
        </w:tc>
      </w:tr>
      <w:tr w:rsidR="000B7CDC" w:rsidRPr="000B7CDC" w:rsidTr="001132D1">
        <w:trPr>
          <w:trHeight w:val="476"/>
          <w:jc w:val="center"/>
        </w:trPr>
        <w:tc>
          <w:tcPr>
            <w:tcW w:w="485" w:type="dxa"/>
            <w:tcMar>
              <w:top w:w="57" w:type="dxa"/>
              <w:left w:w="57" w:type="dxa"/>
              <w:bottom w:w="57" w:type="dxa"/>
              <w:right w:w="57" w:type="dxa"/>
            </w:tcMar>
          </w:tcPr>
          <w:p w:rsidR="000B7CDC" w:rsidRPr="000B7CDC" w:rsidRDefault="000B7CDC" w:rsidP="001132D1">
            <w:pPr>
              <w:pStyle w:val="naiskr"/>
              <w:spacing w:before="0" w:after="0"/>
              <w:ind w:left="57" w:right="57"/>
              <w:rPr>
                <w:bCs/>
              </w:rPr>
            </w:pPr>
            <w:r w:rsidRPr="000B7CDC">
              <w:rPr>
                <w:bCs/>
              </w:rPr>
              <w:t>4.</w:t>
            </w:r>
          </w:p>
        </w:tc>
        <w:tc>
          <w:tcPr>
            <w:tcW w:w="4568" w:type="dxa"/>
            <w:tcMar>
              <w:top w:w="57" w:type="dxa"/>
              <w:left w:w="57" w:type="dxa"/>
              <w:bottom w:w="57" w:type="dxa"/>
              <w:right w:w="57" w:type="dxa"/>
            </w:tcMar>
          </w:tcPr>
          <w:p w:rsidR="000B7CDC" w:rsidRPr="000B7CDC" w:rsidRDefault="000B7CDC" w:rsidP="001132D1">
            <w:pPr>
              <w:pStyle w:val="naiskr"/>
              <w:spacing w:before="0" w:after="0"/>
              <w:ind w:left="57" w:right="57"/>
            </w:pPr>
            <w:r w:rsidRPr="000B7CDC">
              <w:t>Cita informācija</w:t>
            </w:r>
          </w:p>
        </w:tc>
        <w:tc>
          <w:tcPr>
            <w:tcW w:w="4419" w:type="dxa"/>
            <w:tcMar>
              <w:top w:w="57" w:type="dxa"/>
              <w:left w:w="57" w:type="dxa"/>
              <w:bottom w:w="57" w:type="dxa"/>
              <w:right w:w="57" w:type="dxa"/>
            </w:tcMar>
          </w:tcPr>
          <w:p w:rsidR="000B7CDC" w:rsidRPr="000B7CDC" w:rsidRDefault="000B7CDC" w:rsidP="001132D1">
            <w:pPr>
              <w:pStyle w:val="naiskr"/>
              <w:spacing w:before="0" w:after="0"/>
              <w:ind w:right="57"/>
              <w:jc w:val="both"/>
            </w:pPr>
            <w:r w:rsidRPr="000B7CDC">
              <w:t>Nav.</w:t>
            </w:r>
          </w:p>
        </w:tc>
      </w:tr>
    </w:tbl>
    <w:p w:rsidR="000B7CDC" w:rsidRPr="000B7CDC" w:rsidRDefault="000B7CDC" w:rsidP="000B7CDC"/>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6"/>
        <w:gridCol w:w="4570"/>
        <w:gridCol w:w="4418"/>
      </w:tblGrid>
      <w:tr w:rsidR="000B7CDC" w:rsidRPr="000B7CDC" w:rsidTr="001132D1">
        <w:trPr>
          <w:jc w:val="center"/>
        </w:trPr>
        <w:tc>
          <w:tcPr>
            <w:tcW w:w="9474" w:type="dxa"/>
            <w:gridSpan w:val="3"/>
            <w:tcBorders>
              <w:top w:val="single" w:sz="4" w:space="0" w:color="auto"/>
            </w:tcBorders>
            <w:tcMar>
              <w:top w:w="57" w:type="dxa"/>
              <w:left w:w="57" w:type="dxa"/>
              <w:bottom w:w="57" w:type="dxa"/>
              <w:right w:w="57" w:type="dxa"/>
            </w:tcMar>
          </w:tcPr>
          <w:p w:rsidR="000B7CDC" w:rsidRPr="000B7CDC" w:rsidRDefault="000B7CDC" w:rsidP="001132D1">
            <w:pPr>
              <w:pStyle w:val="naisnod"/>
              <w:spacing w:before="0" w:after="0"/>
              <w:ind w:left="57" w:right="57"/>
            </w:pPr>
            <w:r w:rsidRPr="000B7CDC">
              <w:t>VII. Tiesību akta projekta izpildes nodrošināšana un tās ietekme uz institūcijām</w:t>
            </w:r>
          </w:p>
        </w:tc>
      </w:tr>
      <w:tr w:rsidR="000B7CDC" w:rsidRPr="000B7CDC" w:rsidTr="001132D1">
        <w:trPr>
          <w:trHeight w:val="427"/>
          <w:jc w:val="center"/>
        </w:trPr>
        <w:tc>
          <w:tcPr>
            <w:tcW w:w="486" w:type="dxa"/>
            <w:tcMar>
              <w:top w:w="57" w:type="dxa"/>
              <w:left w:w="57" w:type="dxa"/>
              <w:bottom w:w="57" w:type="dxa"/>
              <w:right w:w="57" w:type="dxa"/>
            </w:tcMar>
          </w:tcPr>
          <w:p w:rsidR="000B7CDC" w:rsidRPr="000B7CDC" w:rsidRDefault="000B7CDC" w:rsidP="001132D1">
            <w:pPr>
              <w:pStyle w:val="naisnod"/>
              <w:spacing w:before="0" w:after="0"/>
              <w:ind w:left="57" w:right="57"/>
              <w:jc w:val="left"/>
              <w:rPr>
                <w:b w:val="0"/>
              </w:rPr>
            </w:pPr>
            <w:r w:rsidRPr="000B7CDC">
              <w:rPr>
                <w:b w:val="0"/>
              </w:rPr>
              <w:t>1.</w:t>
            </w:r>
          </w:p>
        </w:tc>
        <w:tc>
          <w:tcPr>
            <w:tcW w:w="4570" w:type="dxa"/>
            <w:tcMar>
              <w:top w:w="57" w:type="dxa"/>
              <w:left w:w="57" w:type="dxa"/>
              <w:bottom w:w="57" w:type="dxa"/>
              <w:right w:w="57" w:type="dxa"/>
            </w:tcMar>
          </w:tcPr>
          <w:p w:rsidR="000B7CDC" w:rsidRPr="000B7CDC" w:rsidRDefault="000B7CDC" w:rsidP="001132D1">
            <w:pPr>
              <w:pStyle w:val="naisf"/>
              <w:spacing w:before="0" w:after="0"/>
              <w:ind w:left="57" w:right="57" w:firstLine="0"/>
              <w:jc w:val="left"/>
            </w:pPr>
            <w:r w:rsidRPr="000B7CDC">
              <w:t xml:space="preserve">Projekta izpildē iesaistītās institūcijas </w:t>
            </w:r>
          </w:p>
        </w:tc>
        <w:tc>
          <w:tcPr>
            <w:tcW w:w="4418" w:type="dxa"/>
            <w:tcMar>
              <w:top w:w="57" w:type="dxa"/>
              <w:left w:w="57" w:type="dxa"/>
              <w:bottom w:w="57" w:type="dxa"/>
              <w:right w:w="57" w:type="dxa"/>
            </w:tcMar>
          </w:tcPr>
          <w:p w:rsidR="003E47EE" w:rsidRDefault="00F309BF" w:rsidP="003E47EE">
            <w:pPr>
              <w:pStyle w:val="naisnod"/>
              <w:spacing w:before="0" w:after="0"/>
              <w:ind w:left="57" w:right="57"/>
              <w:jc w:val="both"/>
              <w:rPr>
                <w:b w:val="0"/>
              </w:rPr>
            </w:pPr>
            <w:r>
              <w:rPr>
                <w:b w:val="0"/>
              </w:rPr>
              <w:t>Noteikumu projekta</w:t>
            </w:r>
            <w:r w:rsidR="003E47EE">
              <w:rPr>
                <w:b w:val="0"/>
              </w:rPr>
              <w:t xml:space="preserve"> prasību izpildi nodrošinās </w:t>
            </w:r>
            <w:r w:rsidR="003E47EE" w:rsidRPr="002843AD">
              <w:rPr>
                <w:b w:val="0"/>
              </w:rPr>
              <w:t>Valsts vides dienests</w:t>
            </w:r>
            <w:r w:rsidR="003E47EE">
              <w:rPr>
                <w:b w:val="0"/>
              </w:rPr>
              <w:t xml:space="preserve">. </w:t>
            </w:r>
          </w:p>
          <w:p w:rsidR="000B7CDC" w:rsidRPr="000B7CDC" w:rsidRDefault="000B7CDC" w:rsidP="003E47EE">
            <w:pPr>
              <w:pStyle w:val="naisc"/>
              <w:spacing w:before="0" w:after="0"/>
              <w:jc w:val="both"/>
            </w:pPr>
          </w:p>
        </w:tc>
      </w:tr>
      <w:tr w:rsidR="000B7CDC" w:rsidRPr="000B7CDC" w:rsidTr="001132D1">
        <w:trPr>
          <w:trHeight w:val="463"/>
          <w:jc w:val="center"/>
        </w:trPr>
        <w:tc>
          <w:tcPr>
            <w:tcW w:w="486" w:type="dxa"/>
            <w:tcMar>
              <w:top w:w="57" w:type="dxa"/>
              <w:left w:w="57" w:type="dxa"/>
              <w:bottom w:w="57" w:type="dxa"/>
              <w:right w:w="57" w:type="dxa"/>
            </w:tcMar>
          </w:tcPr>
          <w:p w:rsidR="000B7CDC" w:rsidRPr="000B7CDC" w:rsidRDefault="000B7CDC" w:rsidP="001132D1">
            <w:pPr>
              <w:pStyle w:val="naisnod"/>
              <w:spacing w:before="0" w:after="0"/>
              <w:ind w:left="57" w:right="57"/>
              <w:jc w:val="left"/>
              <w:rPr>
                <w:b w:val="0"/>
              </w:rPr>
            </w:pPr>
            <w:r w:rsidRPr="000B7CDC">
              <w:rPr>
                <w:b w:val="0"/>
              </w:rPr>
              <w:t>2.</w:t>
            </w:r>
          </w:p>
        </w:tc>
        <w:tc>
          <w:tcPr>
            <w:tcW w:w="4570" w:type="dxa"/>
            <w:tcMar>
              <w:top w:w="57" w:type="dxa"/>
              <w:left w:w="57" w:type="dxa"/>
              <w:bottom w:w="57" w:type="dxa"/>
              <w:right w:w="57" w:type="dxa"/>
            </w:tcMar>
          </w:tcPr>
          <w:p w:rsidR="000B7CDC" w:rsidRPr="00CE33F7" w:rsidRDefault="000B7CDC" w:rsidP="001132D1">
            <w:pPr>
              <w:pStyle w:val="naisf"/>
              <w:spacing w:before="0" w:after="0"/>
              <w:ind w:left="57" w:right="57" w:firstLine="0"/>
              <w:jc w:val="left"/>
            </w:pPr>
            <w:r w:rsidRPr="00CE33F7">
              <w:t>Projekta izpildes ietekme uz pārvaldes funkcijām un institucionālo struktūru</w:t>
            </w:r>
          </w:p>
        </w:tc>
        <w:tc>
          <w:tcPr>
            <w:tcW w:w="4418" w:type="dxa"/>
            <w:tcMar>
              <w:top w:w="57" w:type="dxa"/>
              <w:left w:w="57" w:type="dxa"/>
              <w:bottom w:w="57" w:type="dxa"/>
              <w:right w:w="57" w:type="dxa"/>
            </w:tcMar>
          </w:tcPr>
          <w:p w:rsidR="003E47EE" w:rsidRPr="00CE33F7" w:rsidRDefault="000832D1" w:rsidP="003E47EE">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Valsts vides dienests</w:t>
            </w:r>
            <w:r w:rsidR="003E47EE" w:rsidRPr="00CE33F7">
              <w:rPr>
                <w:rFonts w:ascii="Times New Roman" w:hAnsi="Times New Roman"/>
                <w:b w:val="0"/>
                <w:sz w:val="24"/>
                <w:szCs w:val="24"/>
              </w:rPr>
              <w:t xml:space="preserve"> jau pašreiz pilda likumā „Par piesārņojumu” un </w:t>
            </w:r>
            <w:r w:rsidRPr="00CE33F7">
              <w:rPr>
                <w:rFonts w:ascii="Times New Roman" w:hAnsi="Times New Roman"/>
                <w:b w:val="0"/>
                <w:sz w:val="24"/>
                <w:szCs w:val="24"/>
              </w:rPr>
              <w:t>M</w:t>
            </w:r>
            <w:r>
              <w:rPr>
                <w:rFonts w:ascii="Times New Roman" w:hAnsi="Times New Roman"/>
                <w:b w:val="0"/>
                <w:sz w:val="24"/>
                <w:szCs w:val="24"/>
              </w:rPr>
              <w:t>inistru kabineta</w:t>
            </w:r>
            <w:r w:rsidRPr="00CE33F7">
              <w:rPr>
                <w:rFonts w:ascii="Times New Roman" w:hAnsi="Times New Roman"/>
                <w:b w:val="0"/>
                <w:sz w:val="24"/>
                <w:szCs w:val="24"/>
              </w:rPr>
              <w:t xml:space="preserve"> </w:t>
            </w:r>
            <w:r w:rsidR="003E47EE" w:rsidRPr="00CE33F7">
              <w:rPr>
                <w:rFonts w:ascii="Times New Roman" w:hAnsi="Times New Roman"/>
                <w:b w:val="0"/>
                <w:sz w:val="24"/>
                <w:szCs w:val="24"/>
              </w:rPr>
              <w:t xml:space="preserve">noteikumos Nr.1082 „Kārtība, kādā piesakāmas A, B un C kategorijas piesārņojošas darbības un izsniedzamas atļaujas A un B kategorijas piesārņojošo darbību veikšanai” noteiktās funkcijas. </w:t>
            </w:r>
          </w:p>
          <w:p w:rsidR="000B7CDC" w:rsidRPr="00CE33F7" w:rsidRDefault="000832D1" w:rsidP="008C581C">
            <w:pPr>
              <w:pStyle w:val="naisnod"/>
              <w:spacing w:before="0" w:after="0"/>
              <w:ind w:right="57"/>
              <w:jc w:val="both"/>
              <w:rPr>
                <w:b w:val="0"/>
              </w:rPr>
            </w:pPr>
            <w:r>
              <w:rPr>
                <w:b w:val="0"/>
              </w:rPr>
              <w:t xml:space="preserve">Ar </w:t>
            </w:r>
            <w:r w:rsidR="003E47EE" w:rsidRPr="00CE33F7">
              <w:rPr>
                <w:b w:val="0"/>
              </w:rPr>
              <w:t xml:space="preserve">noteikumu projekta pieņemšanu kā juridiski saistošas tiks noteiktas normas par labāko pieejamo tehnisko paņēmienu piemērošanu, </w:t>
            </w:r>
            <w:r>
              <w:rPr>
                <w:b w:val="0"/>
              </w:rPr>
              <w:t xml:space="preserve">kas nozīmē, ka </w:t>
            </w:r>
            <w:r w:rsidRPr="00CE33F7">
              <w:rPr>
                <w:b w:val="0"/>
              </w:rPr>
              <w:t xml:space="preserve">tiks noteikts </w:t>
            </w:r>
            <w:r w:rsidR="003E47EE" w:rsidRPr="00CE33F7">
              <w:rPr>
                <w:b w:val="0"/>
              </w:rPr>
              <w:t xml:space="preserve">juridisks ietvars piesārņojošas darbības atļaujas </w:t>
            </w:r>
            <w:r w:rsidRPr="00CE33F7">
              <w:rPr>
                <w:b w:val="0"/>
              </w:rPr>
              <w:t>izsniegšan</w:t>
            </w:r>
            <w:r>
              <w:rPr>
                <w:b w:val="0"/>
              </w:rPr>
              <w:t>ai</w:t>
            </w:r>
            <w:r w:rsidR="003E47EE" w:rsidRPr="00CE33F7">
              <w:rPr>
                <w:b w:val="0"/>
              </w:rPr>
              <w:t xml:space="preserve">. Līdz šim iestādes ir </w:t>
            </w:r>
            <w:r>
              <w:rPr>
                <w:b w:val="0"/>
              </w:rPr>
              <w:t>ņēmušas vērā</w:t>
            </w:r>
            <w:r w:rsidRPr="00CE33F7">
              <w:rPr>
                <w:b w:val="0"/>
              </w:rPr>
              <w:t xml:space="preserve"> </w:t>
            </w:r>
            <w:r w:rsidR="003E47EE" w:rsidRPr="00CE33F7">
              <w:rPr>
                <w:b w:val="0"/>
              </w:rPr>
              <w:t xml:space="preserve">Eiropas Komisijas </w:t>
            </w:r>
            <w:r w:rsidR="008C581C">
              <w:rPr>
                <w:b w:val="0"/>
              </w:rPr>
              <w:t xml:space="preserve">izstrādātās </w:t>
            </w:r>
            <w:r w:rsidR="008C581C" w:rsidRPr="00CE33F7">
              <w:rPr>
                <w:b w:val="0"/>
              </w:rPr>
              <w:t>vadlīnij</w:t>
            </w:r>
            <w:r w:rsidR="008C581C">
              <w:rPr>
                <w:b w:val="0"/>
              </w:rPr>
              <w:t>as</w:t>
            </w:r>
            <w:r w:rsidR="008C581C" w:rsidRPr="00CE33F7">
              <w:rPr>
                <w:b w:val="0"/>
              </w:rPr>
              <w:t xml:space="preserve"> nozare</w:t>
            </w:r>
            <w:r w:rsidR="008C581C">
              <w:rPr>
                <w:b w:val="0"/>
              </w:rPr>
              <w:t>s dokumentiem</w:t>
            </w:r>
            <w:r w:rsidR="003E47EE" w:rsidRPr="00CE33F7">
              <w:rPr>
                <w:b w:val="0"/>
              </w:rPr>
              <w:t xml:space="preserve">, </w:t>
            </w:r>
            <w:r w:rsidR="008C581C" w:rsidRPr="00CE33F7">
              <w:rPr>
                <w:b w:val="0"/>
              </w:rPr>
              <w:t>k</w:t>
            </w:r>
            <w:r w:rsidR="008C581C">
              <w:rPr>
                <w:b w:val="0"/>
              </w:rPr>
              <w:t>urā</w:t>
            </w:r>
            <w:r w:rsidR="008C581C" w:rsidRPr="00CE33F7">
              <w:rPr>
                <w:b w:val="0"/>
              </w:rPr>
              <w:t xml:space="preserve"> </w:t>
            </w:r>
            <w:r w:rsidR="008C581C">
              <w:rPr>
                <w:b w:val="0"/>
              </w:rPr>
              <w:t>netiek izvirzītas</w:t>
            </w:r>
            <w:r w:rsidR="003E47EE" w:rsidRPr="00CE33F7">
              <w:rPr>
                <w:b w:val="0"/>
              </w:rPr>
              <w:t xml:space="preserve"> tiešas juridiskas saistības piesārņojošas darbības veicējam – operatoram (šobrīd Latvijā </w:t>
            </w:r>
            <w:r w:rsidR="00CC7B27" w:rsidRPr="00CE33F7">
              <w:rPr>
                <w:b w:val="0"/>
              </w:rPr>
              <w:t>nav šādas iekārtas)</w:t>
            </w:r>
            <w:r w:rsidR="003E47EE" w:rsidRPr="00CE33F7">
              <w:rPr>
                <w:b w:val="0"/>
              </w:rPr>
              <w:t>.</w:t>
            </w:r>
          </w:p>
        </w:tc>
      </w:tr>
      <w:tr w:rsidR="000B7CDC" w:rsidRPr="000B7CDC" w:rsidTr="001132D1">
        <w:trPr>
          <w:trHeight w:val="476"/>
          <w:jc w:val="center"/>
        </w:trPr>
        <w:tc>
          <w:tcPr>
            <w:tcW w:w="486" w:type="dxa"/>
            <w:tcMar>
              <w:top w:w="57" w:type="dxa"/>
              <w:left w:w="57" w:type="dxa"/>
              <w:bottom w:w="57" w:type="dxa"/>
              <w:right w:w="57" w:type="dxa"/>
            </w:tcMar>
          </w:tcPr>
          <w:p w:rsidR="000B7CDC" w:rsidRPr="000B7CDC" w:rsidRDefault="000B7CDC" w:rsidP="001132D1">
            <w:pPr>
              <w:pStyle w:val="naiskr"/>
              <w:spacing w:before="0" w:after="0"/>
              <w:ind w:left="57" w:right="57"/>
            </w:pPr>
            <w:r w:rsidRPr="000B7CDC">
              <w:t>3.</w:t>
            </w:r>
          </w:p>
        </w:tc>
        <w:tc>
          <w:tcPr>
            <w:tcW w:w="4570" w:type="dxa"/>
            <w:tcMar>
              <w:top w:w="57" w:type="dxa"/>
              <w:left w:w="57" w:type="dxa"/>
              <w:bottom w:w="57" w:type="dxa"/>
              <w:right w:w="57" w:type="dxa"/>
            </w:tcMar>
          </w:tcPr>
          <w:p w:rsidR="000B7CDC" w:rsidRPr="000B7CDC" w:rsidRDefault="000B7CDC" w:rsidP="001132D1">
            <w:pPr>
              <w:pStyle w:val="naiskr"/>
              <w:spacing w:before="0" w:after="0"/>
              <w:ind w:left="57" w:right="57"/>
            </w:pPr>
            <w:r w:rsidRPr="000B7CDC">
              <w:t>Cita informācija</w:t>
            </w:r>
          </w:p>
        </w:tc>
        <w:tc>
          <w:tcPr>
            <w:tcW w:w="4418" w:type="dxa"/>
            <w:tcMar>
              <w:top w:w="57" w:type="dxa"/>
              <w:left w:w="57" w:type="dxa"/>
              <w:bottom w:w="57" w:type="dxa"/>
              <w:right w:w="57" w:type="dxa"/>
            </w:tcMar>
          </w:tcPr>
          <w:p w:rsidR="000B7CDC" w:rsidRPr="000B7CDC" w:rsidRDefault="000B7CDC" w:rsidP="001132D1">
            <w:pPr>
              <w:pStyle w:val="naiskr"/>
              <w:spacing w:before="0" w:after="0"/>
              <w:ind w:left="57" w:right="57"/>
            </w:pPr>
            <w:r w:rsidRPr="000B7CDC">
              <w:t>Nav.</w:t>
            </w:r>
          </w:p>
        </w:tc>
      </w:tr>
    </w:tbl>
    <w:p w:rsidR="000B7CDC" w:rsidRPr="000B7CDC" w:rsidRDefault="000B7CDC" w:rsidP="000B7CDC">
      <w:pPr>
        <w:pStyle w:val="naisf"/>
        <w:spacing w:before="0" w:after="0"/>
        <w:ind w:firstLine="374"/>
        <w:rPr>
          <w:b/>
        </w:rPr>
      </w:pPr>
    </w:p>
    <w:p w:rsidR="000B7CDC" w:rsidRPr="000B7CDC" w:rsidRDefault="000B7CDC" w:rsidP="000B7CDC">
      <w:pPr>
        <w:pStyle w:val="tvhtml1"/>
        <w:jc w:val="both"/>
        <w:rPr>
          <w:rFonts w:ascii="Times New Roman" w:hAnsi="Times New Roman"/>
          <w:sz w:val="24"/>
          <w:szCs w:val="24"/>
          <w:lang w:val="lv-LV"/>
        </w:rPr>
      </w:pPr>
      <w:r w:rsidRPr="000B7CDC">
        <w:rPr>
          <w:rFonts w:ascii="Times New Roman" w:hAnsi="Times New Roman"/>
          <w:b/>
          <w:sz w:val="24"/>
          <w:szCs w:val="24"/>
          <w:lang w:val="lv-LV"/>
        </w:rPr>
        <w:lastRenderedPageBreak/>
        <w:t xml:space="preserve">Anotācijas III un IV sadaļa - </w:t>
      </w:r>
      <w:r w:rsidRPr="000B7CDC">
        <w:rPr>
          <w:rFonts w:ascii="Times New Roman" w:hAnsi="Times New Roman"/>
          <w:sz w:val="24"/>
          <w:szCs w:val="24"/>
          <w:lang w:val="lv-LV"/>
        </w:rPr>
        <w:t>proje</w:t>
      </w:r>
      <w:r w:rsidRPr="000B7CDC">
        <w:rPr>
          <w:rFonts w:ascii="Times New Roman" w:hAnsi="Times New Roman"/>
          <w:iCs/>
          <w:sz w:val="24"/>
          <w:szCs w:val="24"/>
          <w:lang w:val="lv-LV"/>
        </w:rPr>
        <w:t>kts šo jomu neskar.</w:t>
      </w:r>
    </w:p>
    <w:p w:rsidR="000B7CDC" w:rsidRPr="000B7CDC" w:rsidRDefault="000B7CDC" w:rsidP="000B7CDC">
      <w:pPr>
        <w:pStyle w:val="naisf"/>
        <w:spacing w:before="0" w:after="0"/>
        <w:ind w:firstLine="374"/>
        <w:rPr>
          <w:b/>
        </w:rPr>
      </w:pPr>
    </w:p>
    <w:p w:rsidR="000B7CDC" w:rsidRPr="000B7CDC" w:rsidRDefault="000B7CDC" w:rsidP="000B7CDC">
      <w:pPr>
        <w:pStyle w:val="naisf"/>
        <w:spacing w:before="0" w:after="0"/>
        <w:ind w:firstLine="374"/>
        <w:rPr>
          <w:b/>
        </w:rPr>
      </w:pPr>
    </w:p>
    <w:p w:rsidR="000B7CDC" w:rsidRPr="000B7CDC" w:rsidRDefault="000B7CDC" w:rsidP="000B7CDC">
      <w:pPr>
        <w:pStyle w:val="tv2161"/>
        <w:spacing w:before="0" w:line="240" w:lineRule="auto"/>
        <w:ind w:firstLine="0"/>
        <w:jc w:val="both"/>
        <w:rPr>
          <w:rFonts w:ascii="Times New Roman" w:hAnsi="Times New Roman"/>
          <w:sz w:val="24"/>
          <w:szCs w:val="24"/>
        </w:rPr>
      </w:pPr>
      <w:r w:rsidRPr="000B7CDC">
        <w:rPr>
          <w:rFonts w:ascii="Times New Roman" w:hAnsi="Times New Roman"/>
          <w:sz w:val="24"/>
          <w:szCs w:val="24"/>
        </w:rPr>
        <w:t xml:space="preserve">Vides aizsardzības un </w:t>
      </w:r>
    </w:p>
    <w:p w:rsidR="000B7CDC" w:rsidRPr="000B7CDC" w:rsidRDefault="000B7CDC" w:rsidP="000B7CDC">
      <w:r w:rsidRPr="000B7CDC">
        <w:t>reģionālās att</w:t>
      </w:r>
      <w:r w:rsidR="00110030">
        <w:t>īstības ministrs</w:t>
      </w:r>
      <w:r w:rsidR="00110030">
        <w:tab/>
      </w:r>
      <w:r w:rsidR="00110030">
        <w:tab/>
      </w:r>
      <w:r w:rsidR="00110030">
        <w:tab/>
      </w:r>
      <w:r w:rsidR="00110030">
        <w:tab/>
      </w:r>
      <w:r w:rsidR="00110030">
        <w:tab/>
      </w:r>
      <w:r w:rsidR="00110030">
        <w:tab/>
      </w:r>
      <w:r w:rsidR="00110030">
        <w:tab/>
        <w:t>K.Gerhards</w:t>
      </w:r>
    </w:p>
    <w:p w:rsidR="000B7CDC" w:rsidRPr="000B7CDC" w:rsidRDefault="000B7CDC" w:rsidP="000B7CDC"/>
    <w:p w:rsidR="000B7CDC" w:rsidRPr="000B7CDC" w:rsidRDefault="000B7CDC" w:rsidP="000B7CDC">
      <w:r w:rsidRPr="000B7CDC">
        <w:t>Iesniedzējs:</w:t>
      </w:r>
    </w:p>
    <w:p w:rsidR="000B7CDC" w:rsidRPr="000B7CDC" w:rsidRDefault="000B7CDC" w:rsidP="000B7CDC"/>
    <w:p w:rsidR="000B7CDC" w:rsidRPr="000B7CDC" w:rsidRDefault="000B7CDC" w:rsidP="000B7CDC">
      <w:pPr>
        <w:pStyle w:val="tv2161"/>
        <w:spacing w:before="0" w:line="240" w:lineRule="auto"/>
        <w:ind w:firstLine="0"/>
        <w:jc w:val="both"/>
        <w:rPr>
          <w:rFonts w:ascii="Times New Roman" w:hAnsi="Times New Roman"/>
          <w:sz w:val="24"/>
          <w:szCs w:val="24"/>
        </w:rPr>
      </w:pPr>
      <w:r w:rsidRPr="000B7CDC">
        <w:rPr>
          <w:rFonts w:ascii="Times New Roman" w:hAnsi="Times New Roman"/>
          <w:sz w:val="24"/>
          <w:szCs w:val="24"/>
        </w:rPr>
        <w:t xml:space="preserve">Vides aizsardzības un </w:t>
      </w:r>
    </w:p>
    <w:p w:rsidR="000B7CDC" w:rsidRPr="000B7CDC" w:rsidRDefault="000B7CDC" w:rsidP="000B7CDC">
      <w:r w:rsidRPr="000B7CDC">
        <w:t>reģionālās att</w:t>
      </w:r>
      <w:r w:rsidR="00110030">
        <w:t>īstības ministrs</w:t>
      </w:r>
      <w:r w:rsidR="00110030">
        <w:tab/>
      </w:r>
      <w:r w:rsidR="00110030">
        <w:tab/>
      </w:r>
      <w:r w:rsidR="00110030">
        <w:tab/>
      </w:r>
      <w:r w:rsidR="00110030">
        <w:tab/>
      </w:r>
      <w:r w:rsidR="00110030">
        <w:tab/>
      </w:r>
      <w:r w:rsidR="00110030">
        <w:tab/>
      </w:r>
      <w:r w:rsidR="00110030">
        <w:tab/>
        <w:t>K.Gerhards</w:t>
      </w:r>
    </w:p>
    <w:p w:rsidR="000B7CDC" w:rsidRPr="000B7CDC" w:rsidRDefault="000B7CDC" w:rsidP="000B7CDC"/>
    <w:p w:rsidR="000B7CDC" w:rsidRPr="000B7CDC" w:rsidRDefault="000B7CDC" w:rsidP="000B7CDC">
      <w:r w:rsidRPr="000B7CDC">
        <w:t>Vīza:</w:t>
      </w:r>
    </w:p>
    <w:p w:rsidR="000B7CDC" w:rsidRPr="000B7CDC" w:rsidRDefault="000B7CDC" w:rsidP="000B7CDC">
      <w:r w:rsidRPr="000B7CDC">
        <w:t>Valsts sekretārs</w:t>
      </w:r>
      <w:r w:rsidRPr="000B7CDC">
        <w:tab/>
      </w:r>
      <w:r w:rsidRPr="000B7CDC">
        <w:tab/>
      </w:r>
      <w:r w:rsidRPr="000B7CDC">
        <w:tab/>
      </w:r>
      <w:r w:rsidRPr="000B7CDC">
        <w:tab/>
      </w:r>
      <w:r w:rsidRPr="000B7CDC">
        <w:tab/>
      </w:r>
      <w:r w:rsidRPr="000B7CDC">
        <w:tab/>
      </w:r>
      <w:r w:rsidRPr="000B7CDC">
        <w:tab/>
      </w:r>
      <w:r w:rsidRPr="000B7CDC">
        <w:tab/>
      </w:r>
      <w:r w:rsidR="0033040E">
        <w:t xml:space="preserve">R.Muciņš </w:t>
      </w:r>
    </w:p>
    <w:p w:rsidR="000B7CDC" w:rsidRPr="000B7CDC" w:rsidRDefault="000B7CDC" w:rsidP="000B7CDC">
      <w:pPr>
        <w:pStyle w:val="tv2131"/>
        <w:spacing w:before="0" w:line="240" w:lineRule="auto"/>
        <w:ind w:firstLine="0"/>
        <w:rPr>
          <w:rFonts w:ascii="Times New Roman" w:hAnsi="Times New Roman"/>
          <w:sz w:val="24"/>
          <w:szCs w:val="24"/>
          <w:lang w:val="lv-LV"/>
        </w:rPr>
      </w:pPr>
    </w:p>
    <w:p w:rsidR="000B7CDC" w:rsidRDefault="000B7CDC" w:rsidP="000B7CDC">
      <w:pPr>
        <w:pStyle w:val="tv2161"/>
        <w:spacing w:before="0" w:line="240" w:lineRule="auto"/>
        <w:ind w:firstLine="0"/>
        <w:jc w:val="both"/>
        <w:rPr>
          <w:rFonts w:ascii="Times New Roman" w:hAnsi="Times New Roman"/>
          <w:sz w:val="24"/>
          <w:szCs w:val="24"/>
        </w:rPr>
      </w:pPr>
      <w:bookmarkStart w:id="0" w:name="p2008"/>
      <w:bookmarkEnd w:id="0"/>
    </w:p>
    <w:p w:rsidR="00F309BF" w:rsidRDefault="00F309BF" w:rsidP="000B7CDC">
      <w:pPr>
        <w:pStyle w:val="tv2161"/>
        <w:spacing w:before="0" w:line="240" w:lineRule="auto"/>
        <w:ind w:firstLine="0"/>
        <w:jc w:val="both"/>
        <w:rPr>
          <w:rFonts w:ascii="Times New Roman" w:hAnsi="Times New Roman"/>
          <w:sz w:val="24"/>
          <w:szCs w:val="24"/>
        </w:rPr>
      </w:pPr>
    </w:p>
    <w:p w:rsidR="00F309BF" w:rsidRDefault="00F309BF" w:rsidP="000B7CDC">
      <w:pPr>
        <w:pStyle w:val="tv2161"/>
        <w:spacing w:before="0" w:line="240" w:lineRule="auto"/>
        <w:ind w:firstLine="0"/>
        <w:jc w:val="both"/>
        <w:rPr>
          <w:rFonts w:ascii="Times New Roman" w:hAnsi="Times New Roman"/>
          <w:sz w:val="24"/>
          <w:szCs w:val="24"/>
        </w:rPr>
      </w:pPr>
    </w:p>
    <w:p w:rsidR="00F309BF" w:rsidRPr="000B7CDC" w:rsidRDefault="00F309BF" w:rsidP="000B7CDC">
      <w:pPr>
        <w:pStyle w:val="tv2161"/>
        <w:spacing w:before="0" w:line="240" w:lineRule="auto"/>
        <w:ind w:firstLine="0"/>
        <w:jc w:val="both"/>
        <w:rPr>
          <w:rFonts w:ascii="Times New Roman" w:hAnsi="Times New Roman"/>
          <w:sz w:val="24"/>
          <w:szCs w:val="24"/>
        </w:rPr>
      </w:pPr>
    </w:p>
    <w:p w:rsidR="005F7394" w:rsidRDefault="005F7394" w:rsidP="000B7CDC">
      <w:pPr>
        <w:tabs>
          <w:tab w:val="left" w:pos="3465"/>
        </w:tabs>
        <w:rPr>
          <w:sz w:val="20"/>
          <w:szCs w:val="20"/>
          <w:lang w:eastAsia="en-US"/>
        </w:rPr>
      </w:pPr>
      <w:r>
        <w:rPr>
          <w:sz w:val="20"/>
          <w:szCs w:val="20"/>
          <w:lang w:eastAsia="en-US"/>
        </w:rPr>
        <w:t>2016.05.19. 14:13</w:t>
      </w:r>
    </w:p>
    <w:p w:rsidR="000B7CDC" w:rsidRPr="00C67DCD" w:rsidRDefault="00F309BF" w:rsidP="000B7CDC">
      <w:pPr>
        <w:tabs>
          <w:tab w:val="left" w:pos="3465"/>
        </w:tabs>
        <w:rPr>
          <w:sz w:val="20"/>
          <w:szCs w:val="20"/>
        </w:rPr>
      </w:pPr>
      <w:bookmarkStart w:id="1" w:name="_GoBack"/>
      <w:bookmarkEnd w:id="1"/>
      <w:r>
        <w:rPr>
          <w:sz w:val="20"/>
          <w:szCs w:val="20"/>
        </w:rPr>
        <w:t>1585</w:t>
      </w:r>
      <w:r w:rsidR="000B7CDC" w:rsidRPr="00C67DCD">
        <w:rPr>
          <w:sz w:val="20"/>
          <w:szCs w:val="20"/>
        </w:rPr>
        <w:tab/>
      </w:r>
    </w:p>
    <w:p w:rsidR="000B7CDC" w:rsidRPr="00C67DCD" w:rsidRDefault="002B1114" w:rsidP="000B7CDC">
      <w:pPr>
        <w:rPr>
          <w:sz w:val="20"/>
          <w:szCs w:val="20"/>
        </w:rPr>
      </w:pPr>
      <w:r w:rsidRPr="00C67DCD">
        <w:rPr>
          <w:sz w:val="20"/>
          <w:szCs w:val="20"/>
        </w:rPr>
        <w:t xml:space="preserve">G.Šmerliņa </w:t>
      </w:r>
    </w:p>
    <w:p w:rsidR="001132D1" w:rsidRPr="00C67DCD" w:rsidRDefault="002B1114">
      <w:pPr>
        <w:rPr>
          <w:sz w:val="20"/>
          <w:szCs w:val="20"/>
        </w:rPr>
      </w:pPr>
      <w:r w:rsidRPr="00C67DCD">
        <w:rPr>
          <w:sz w:val="20"/>
          <w:szCs w:val="20"/>
        </w:rPr>
        <w:t>67026578</w:t>
      </w:r>
      <w:r w:rsidR="00F309BF">
        <w:rPr>
          <w:sz w:val="20"/>
          <w:szCs w:val="20"/>
        </w:rPr>
        <w:t xml:space="preserve">, </w:t>
      </w:r>
      <w:r w:rsidRPr="00C67DCD">
        <w:rPr>
          <w:sz w:val="20"/>
          <w:szCs w:val="20"/>
        </w:rPr>
        <w:t>guna.smerlina@varam.gov.lv</w:t>
      </w:r>
    </w:p>
    <w:sectPr w:rsidR="001132D1" w:rsidRPr="00C67DCD" w:rsidSect="00F309BF">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D64" w:rsidRDefault="009D5D64" w:rsidP="000B7CDC">
      <w:r>
        <w:separator/>
      </w:r>
    </w:p>
  </w:endnote>
  <w:endnote w:type="continuationSeparator" w:id="0">
    <w:p w:rsidR="009D5D64" w:rsidRDefault="009D5D64" w:rsidP="000B7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D1" w:rsidRPr="00F309BF" w:rsidRDefault="00CE33F7" w:rsidP="001132D1">
    <w:pPr>
      <w:pStyle w:val="Title"/>
      <w:jc w:val="both"/>
      <w:rPr>
        <w:b w:val="0"/>
        <w:sz w:val="22"/>
        <w:szCs w:val="22"/>
      </w:rPr>
    </w:pPr>
    <w:r w:rsidRPr="00F309BF">
      <w:rPr>
        <w:b w:val="0"/>
        <w:sz w:val="22"/>
        <w:szCs w:val="22"/>
      </w:rPr>
      <w:t>VARAMAnot_</w:t>
    </w:r>
    <w:r w:rsidR="005F7394">
      <w:rPr>
        <w:b w:val="0"/>
        <w:sz w:val="22"/>
        <w:szCs w:val="22"/>
      </w:rPr>
      <w:t>19</w:t>
    </w:r>
    <w:r w:rsidR="00173C2E" w:rsidRPr="00F309BF">
      <w:rPr>
        <w:b w:val="0"/>
        <w:sz w:val="22"/>
        <w:szCs w:val="22"/>
      </w:rPr>
      <w:t>05</w:t>
    </w:r>
    <w:r w:rsidR="002A6A21" w:rsidRPr="00F309BF">
      <w:rPr>
        <w:b w:val="0"/>
        <w:sz w:val="22"/>
        <w:szCs w:val="22"/>
      </w:rPr>
      <w:t>16</w:t>
    </w:r>
    <w:r w:rsidR="00217625" w:rsidRPr="00F309BF">
      <w:rPr>
        <w:b w:val="0"/>
        <w:sz w:val="22"/>
        <w:szCs w:val="22"/>
      </w:rPr>
      <w:t>_papirs</w:t>
    </w:r>
    <w:r w:rsidR="002B1114" w:rsidRPr="00F309BF">
      <w:rPr>
        <w:b w:val="0"/>
        <w:sz w:val="22"/>
        <w:szCs w:val="22"/>
      </w:rPr>
      <w:t>; Tiesību akta projekta sākotnējās ietekmes novērtējuma ziņojums par noteikumu projektu „</w:t>
    </w:r>
    <w:r w:rsidR="00217625" w:rsidRPr="00F309BF">
      <w:rPr>
        <w:b w:val="0"/>
        <w:sz w:val="22"/>
        <w:szCs w:val="22"/>
      </w:rPr>
      <w:t xml:space="preserve">Īpašās vides prasības celulozes, papīra vai kartona ražošanai”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BF" w:rsidRPr="00F309BF" w:rsidRDefault="005F7394" w:rsidP="00F309BF">
    <w:pPr>
      <w:pStyle w:val="Title"/>
      <w:jc w:val="both"/>
      <w:rPr>
        <w:b w:val="0"/>
        <w:sz w:val="22"/>
        <w:szCs w:val="22"/>
      </w:rPr>
    </w:pPr>
    <w:r>
      <w:rPr>
        <w:b w:val="0"/>
        <w:sz w:val="22"/>
        <w:szCs w:val="22"/>
      </w:rPr>
      <w:t>VARAMAnot_19</w:t>
    </w:r>
    <w:r w:rsidR="00F309BF" w:rsidRPr="00F309BF">
      <w:rPr>
        <w:b w:val="0"/>
        <w:sz w:val="22"/>
        <w:szCs w:val="22"/>
      </w:rPr>
      <w:t xml:space="preserve">0516_papirs; Tiesību akta projekta sākotnējās ietekmes novērtējuma ziņojums par noteikumu projektu „Īpašās vides prasības celulozes, papīra vai kartona ražošanai”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D64" w:rsidRDefault="009D5D64" w:rsidP="000B7CDC">
      <w:r>
        <w:separator/>
      </w:r>
    </w:p>
  </w:footnote>
  <w:footnote w:type="continuationSeparator" w:id="0">
    <w:p w:rsidR="009D5D64" w:rsidRDefault="009D5D64" w:rsidP="000B7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D1" w:rsidRDefault="001132D1">
    <w:pPr>
      <w:pStyle w:val="Header"/>
    </w:pPr>
    <w:r w:rsidRPr="00013525">
      <w:rPr>
        <w:rStyle w:val="PageNumber"/>
      </w:rPr>
      <w:tab/>
      <w:t xml:space="preserve"> </w:t>
    </w:r>
    <w:r w:rsidR="00B84B1D" w:rsidRPr="00013525">
      <w:rPr>
        <w:rStyle w:val="PageNumber"/>
      </w:rPr>
      <w:fldChar w:fldCharType="begin"/>
    </w:r>
    <w:r w:rsidRPr="00013525">
      <w:rPr>
        <w:rStyle w:val="PageNumber"/>
      </w:rPr>
      <w:instrText xml:space="preserve"> PAGE </w:instrText>
    </w:r>
    <w:r w:rsidR="00B84B1D" w:rsidRPr="00013525">
      <w:rPr>
        <w:rStyle w:val="PageNumber"/>
      </w:rPr>
      <w:fldChar w:fldCharType="separate"/>
    </w:r>
    <w:r w:rsidR="003D031A">
      <w:rPr>
        <w:rStyle w:val="PageNumber"/>
        <w:noProof/>
      </w:rPr>
      <w:t>7</w:t>
    </w:r>
    <w:r w:rsidR="00B84B1D" w:rsidRPr="00013525">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F5FCD"/>
    <w:multiLevelType w:val="hybridMultilevel"/>
    <w:tmpl w:val="C908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B7CDC"/>
    <w:rsid w:val="00005437"/>
    <w:rsid w:val="00034FEA"/>
    <w:rsid w:val="000429F8"/>
    <w:rsid w:val="00082398"/>
    <w:rsid w:val="00082AC1"/>
    <w:rsid w:val="000832D1"/>
    <w:rsid w:val="000A0F1D"/>
    <w:rsid w:val="000A31FE"/>
    <w:rsid w:val="000B0060"/>
    <w:rsid w:val="000B7CDC"/>
    <w:rsid w:val="000F0088"/>
    <w:rsid w:val="00110030"/>
    <w:rsid w:val="001132D1"/>
    <w:rsid w:val="00121FD8"/>
    <w:rsid w:val="00123F27"/>
    <w:rsid w:val="00144F7B"/>
    <w:rsid w:val="00166067"/>
    <w:rsid w:val="00173C2E"/>
    <w:rsid w:val="00182C10"/>
    <w:rsid w:val="001A1719"/>
    <w:rsid w:val="001C4B39"/>
    <w:rsid w:val="001F0EB4"/>
    <w:rsid w:val="001F7EBE"/>
    <w:rsid w:val="0021147A"/>
    <w:rsid w:val="00217625"/>
    <w:rsid w:val="00230938"/>
    <w:rsid w:val="00234599"/>
    <w:rsid w:val="00253489"/>
    <w:rsid w:val="002613D7"/>
    <w:rsid w:val="00280F66"/>
    <w:rsid w:val="00281F29"/>
    <w:rsid w:val="002831BA"/>
    <w:rsid w:val="00285F10"/>
    <w:rsid w:val="00293372"/>
    <w:rsid w:val="002A6A21"/>
    <w:rsid w:val="002B1114"/>
    <w:rsid w:val="002B59C5"/>
    <w:rsid w:val="002C49F5"/>
    <w:rsid w:val="002E18A7"/>
    <w:rsid w:val="002F20DA"/>
    <w:rsid w:val="00311541"/>
    <w:rsid w:val="0033040E"/>
    <w:rsid w:val="00355040"/>
    <w:rsid w:val="0035582D"/>
    <w:rsid w:val="003A5B5F"/>
    <w:rsid w:val="003D031A"/>
    <w:rsid w:val="003E47EE"/>
    <w:rsid w:val="003F62B2"/>
    <w:rsid w:val="00412F87"/>
    <w:rsid w:val="00441A71"/>
    <w:rsid w:val="00453C1B"/>
    <w:rsid w:val="0046283C"/>
    <w:rsid w:val="004C0403"/>
    <w:rsid w:val="004C3F4C"/>
    <w:rsid w:val="0052782B"/>
    <w:rsid w:val="005877A1"/>
    <w:rsid w:val="005F7394"/>
    <w:rsid w:val="0061093E"/>
    <w:rsid w:val="00632D8B"/>
    <w:rsid w:val="006355D3"/>
    <w:rsid w:val="00681478"/>
    <w:rsid w:val="006E26AB"/>
    <w:rsid w:val="006F0D3C"/>
    <w:rsid w:val="007215E8"/>
    <w:rsid w:val="00724325"/>
    <w:rsid w:val="007335D4"/>
    <w:rsid w:val="00747A63"/>
    <w:rsid w:val="00747CE0"/>
    <w:rsid w:val="00774DB3"/>
    <w:rsid w:val="007751F5"/>
    <w:rsid w:val="00790BF2"/>
    <w:rsid w:val="00792705"/>
    <w:rsid w:val="007B7E2C"/>
    <w:rsid w:val="007C5E7F"/>
    <w:rsid w:val="007D127E"/>
    <w:rsid w:val="007F30EE"/>
    <w:rsid w:val="00801925"/>
    <w:rsid w:val="0080262B"/>
    <w:rsid w:val="0081685B"/>
    <w:rsid w:val="0085325C"/>
    <w:rsid w:val="00853F6B"/>
    <w:rsid w:val="008C581C"/>
    <w:rsid w:val="008F561D"/>
    <w:rsid w:val="009119B6"/>
    <w:rsid w:val="00912218"/>
    <w:rsid w:val="00932E0E"/>
    <w:rsid w:val="0096299E"/>
    <w:rsid w:val="00975414"/>
    <w:rsid w:val="00981C40"/>
    <w:rsid w:val="0099367D"/>
    <w:rsid w:val="009A72FA"/>
    <w:rsid w:val="009D5D64"/>
    <w:rsid w:val="00A3180D"/>
    <w:rsid w:val="00A370D2"/>
    <w:rsid w:val="00A42212"/>
    <w:rsid w:val="00A4490F"/>
    <w:rsid w:val="00A5039C"/>
    <w:rsid w:val="00A84D43"/>
    <w:rsid w:val="00A90D44"/>
    <w:rsid w:val="00A94FEA"/>
    <w:rsid w:val="00A97E24"/>
    <w:rsid w:val="00AC365D"/>
    <w:rsid w:val="00B1630F"/>
    <w:rsid w:val="00B17144"/>
    <w:rsid w:val="00B31753"/>
    <w:rsid w:val="00B84B1D"/>
    <w:rsid w:val="00B97113"/>
    <w:rsid w:val="00BA04FF"/>
    <w:rsid w:val="00BA07D9"/>
    <w:rsid w:val="00BE3C64"/>
    <w:rsid w:val="00BE498C"/>
    <w:rsid w:val="00C312E9"/>
    <w:rsid w:val="00C60F9E"/>
    <w:rsid w:val="00C64A56"/>
    <w:rsid w:val="00C67DCD"/>
    <w:rsid w:val="00C76E6B"/>
    <w:rsid w:val="00C7749E"/>
    <w:rsid w:val="00C86A0E"/>
    <w:rsid w:val="00C948B7"/>
    <w:rsid w:val="00C95BF7"/>
    <w:rsid w:val="00CA2D93"/>
    <w:rsid w:val="00CC2F9B"/>
    <w:rsid w:val="00CC6944"/>
    <w:rsid w:val="00CC7B27"/>
    <w:rsid w:val="00CE2E83"/>
    <w:rsid w:val="00CE33F7"/>
    <w:rsid w:val="00D630FE"/>
    <w:rsid w:val="00D64128"/>
    <w:rsid w:val="00D730A8"/>
    <w:rsid w:val="00D84D8B"/>
    <w:rsid w:val="00DA1E05"/>
    <w:rsid w:val="00DB0A2A"/>
    <w:rsid w:val="00DE3161"/>
    <w:rsid w:val="00E4400F"/>
    <w:rsid w:val="00EF27D2"/>
    <w:rsid w:val="00F17A0F"/>
    <w:rsid w:val="00F309BF"/>
    <w:rsid w:val="00F504BC"/>
    <w:rsid w:val="00F63664"/>
    <w:rsid w:val="00F70202"/>
    <w:rsid w:val="00F95DE3"/>
    <w:rsid w:val="00F97499"/>
    <w:rsid w:val="00FB21D6"/>
    <w:rsid w:val="00FC5414"/>
    <w:rsid w:val="00FF5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CDC"/>
    <w:pPr>
      <w:tabs>
        <w:tab w:val="center" w:pos="4153"/>
        <w:tab w:val="right" w:pos="8306"/>
      </w:tabs>
    </w:pPr>
  </w:style>
  <w:style w:type="character" w:customStyle="1" w:styleId="HeaderChar">
    <w:name w:val="Header Char"/>
    <w:link w:val="Header"/>
    <w:rsid w:val="000B7CDC"/>
    <w:rPr>
      <w:rFonts w:ascii="Times New Roman" w:eastAsia="Times New Roman" w:hAnsi="Times New Roman" w:cs="Times New Roman"/>
      <w:sz w:val="24"/>
      <w:szCs w:val="24"/>
      <w:lang w:val="lv-LV" w:eastAsia="lv-LV"/>
    </w:rPr>
  </w:style>
  <w:style w:type="paragraph" w:customStyle="1" w:styleId="naisf">
    <w:name w:val="naisf"/>
    <w:basedOn w:val="Normal"/>
    <w:rsid w:val="000B7CDC"/>
    <w:pPr>
      <w:spacing w:before="75" w:after="75"/>
      <w:ind w:firstLine="375"/>
      <w:jc w:val="both"/>
    </w:pPr>
  </w:style>
  <w:style w:type="character" w:styleId="PageNumber">
    <w:name w:val="page number"/>
    <w:basedOn w:val="DefaultParagraphFont"/>
    <w:rsid w:val="000B7CDC"/>
  </w:style>
  <w:style w:type="character" w:styleId="Hyperlink">
    <w:name w:val="Hyperlink"/>
    <w:uiPriority w:val="99"/>
    <w:rsid w:val="000B7CDC"/>
    <w:rPr>
      <w:rFonts w:cs="Times New Roman"/>
      <w:color w:val="0000FF"/>
      <w:u w:val="single"/>
    </w:rPr>
  </w:style>
  <w:style w:type="paragraph" w:customStyle="1" w:styleId="naisnod">
    <w:name w:val="naisnod"/>
    <w:basedOn w:val="Normal"/>
    <w:uiPriority w:val="99"/>
    <w:rsid w:val="000B7CDC"/>
    <w:pPr>
      <w:spacing w:before="150" w:after="150"/>
      <w:jc w:val="center"/>
    </w:pPr>
    <w:rPr>
      <w:b/>
      <w:bCs/>
    </w:rPr>
  </w:style>
  <w:style w:type="paragraph" w:customStyle="1" w:styleId="naiskr">
    <w:name w:val="naiskr"/>
    <w:basedOn w:val="Normal"/>
    <w:rsid w:val="000B7CDC"/>
    <w:pPr>
      <w:spacing w:before="75" w:after="75"/>
    </w:pPr>
  </w:style>
  <w:style w:type="paragraph" w:styleId="Title">
    <w:name w:val="Title"/>
    <w:basedOn w:val="Normal"/>
    <w:link w:val="TitleChar"/>
    <w:qFormat/>
    <w:rsid w:val="000B7CDC"/>
    <w:pPr>
      <w:jc w:val="center"/>
    </w:pPr>
    <w:rPr>
      <w:b/>
      <w:bCs/>
    </w:rPr>
  </w:style>
  <w:style w:type="character" w:customStyle="1" w:styleId="TitleChar">
    <w:name w:val="Title Char"/>
    <w:link w:val="Title"/>
    <w:rsid w:val="000B7CDC"/>
    <w:rPr>
      <w:rFonts w:ascii="Times New Roman" w:eastAsia="Times New Roman" w:hAnsi="Times New Roman" w:cs="Times New Roman"/>
      <w:b/>
      <w:bCs/>
      <w:sz w:val="24"/>
      <w:szCs w:val="24"/>
      <w:lang w:val="lv-LV"/>
    </w:rPr>
  </w:style>
  <w:style w:type="paragraph" w:customStyle="1" w:styleId="naisc">
    <w:name w:val="naisc"/>
    <w:basedOn w:val="Normal"/>
    <w:rsid w:val="000B7CDC"/>
    <w:pPr>
      <w:spacing w:before="75" w:after="75"/>
      <w:jc w:val="center"/>
    </w:pPr>
  </w:style>
  <w:style w:type="character" w:styleId="Emphasis">
    <w:name w:val="Emphasis"/>
    <w:uiPriority w:val="20"/>
    <w:qFormat/>
    <w:rsid w:val="000B7CDC"/>
    <w:rPr>
      <w:i/>
      <w:iCs/>
    </w:rPr>
  </w:style>
  <w:style w:type="paragraph" w:customStyle="1" w:styleId="tvhtml1">
    <w:name w:val="tv_html1"/>
    <w:basedOn w:val="Normal"/>
    <w:rsid w:val="000B7CDC"/>
    <w:pPr>
      <w:spacing w:before="100" w:beforeAutospacing="1" w:line="360" w:lineRule="auto"/>
    </w:pPr>
    <w:rPr>
      <w:rFonts w:ascii="Verdana" w:hAnsi="Verdana"/>
      <w:sz w:val="18"/>
      <w:szCs w:val="18"/>
      <w:lang w:val="en-US" w:eastAsia="en-US"/>
    </w:rPr>
  </w:style>
  <w:style w:type="character" w:styleId="Strong">
    <w:name w:val="Strong"/>
    <w:uiPriority w:val="22"/>
    <w:qFormat/>
    <w:rsid w:val="000B7CDC"/>
    <w:rPr>
      <w:b/>
      <w:bCs/>
    </w:rPr>
  </w:style>
  <w:style w:type="paragraph" w:customStyle="1" w:styleId="tv2131">
    <w:name w:val="tv2131"/>
    <w:basedOn w:val="Normal"/>
    <w:rsid w:val="000B7CDC"/>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0B7CDC"/>
    <w:pPr>
      <w:spacing w:before="240" w:line="360" w:lineRule="auto"/>
      <w:ind w:firstLine="259"/>
      <w:jc w:val="right"/>
    </w:pPr>
    <w:rPr>
      <w:rFonts w:ascii="Verdana" w:hAnsi="Verdana"/>
      <w:sz w:val="16"/>
      <w:szCs w:val="16"/>
      <w:lang w:eastAsia="en-US"/>
    </w:rPr>
  </w:style>
  <w:style w:type="paragraph" w:customStyle="1" w:styleId="Normal1">
    <w:name w:val="Normal1"/>
    <w:basedOn w:val="Normal"/>
    <w:rsid w:val="000B7CDC"/>
    <w:pPr>
      <w:spacing w:before="120"/>
      <w:jc w:val="both"/>
    </w:pPr>
    <w:rPr>
      <w:sz w:val="18"/>
      <w:szCs w:val="18"/>
      <w:lang w:val="en-US" w:eastAsia="en-US"/>
    </w:rPr>
  </w:style>
  <w:style w:type="paragraph" w:styleId="ListParagraph">
    <w:name w:val="List Paragraph"/>
    <w:basedOn w:val="Normal"/>
    <w:uiPriority w:val="34"/>
    <w:qFormat/>
    <w:rsid w:val="000B7CDC"/>
    <w:pPr>
      <w:ind w:left="720"/>
      <w:contextualSpacing/>
    </w:pPr>
  </w:style>
  <w:style w:type="table" w:styleId="TableGrid">
    <w:name w:val="Table Grid"/>
    <w:basedOn w:val="TableNormal"/>
    <w:uiPriority w:val="59"/>
    <w:rsid w:val="000B7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B7CDC"/>
    <w:pPr>
      <w:tabs>
        <w:tab w:val="center" w:pos="4320"/>
        <w:tab w:val="right" w:pos="8640"/>
      </w:tabs>
    </w:pPr>
  </w:style>
  <w:style w:type="character" w:customStyle="1" w:styleId="FooterChar">
    <w:name w:val="Footer Char"/>
    <w:link w:val="Footer"/>
    <w:uiPriority w:val="99"/>
    <w:rsid w:val="000B7CDC"/>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975414"/>
    <w:rPr>
      <w:sz w:val="20"/>
      <w:szCs w:val="20"/>
    </w:rPr>
  </w:style>
  <w:style w:type="character" w:customStyle="1" w:styleId="EndnoteTextChar">
    <w:name w:val="Endnote Text Char"/>
    <w:link w:val="EndnoteText"/>
    <w:uiPriority w:val="99"/>
    <w:semiHidden/>
    <w:rsid w:val="00975414"/>
    <w:rPr>
      <w:rFonts w:ascii="Times New Roman" w:eastAsia="Times New Roman" w:hAnsi="Times New Roman"/>
      <w:lang w:val="lv-LV" w:eastAsia="lv-LV"/>
    </w:rPr>
  </w:style>
  <w:style w:type="character" w:styleId="EndnoteReference">
    <w:name w:val="endnote reference"/>
    <w:uiPriority w:val="99"/>
    <w:semiHidden/>
    <w:unhideWhenUsed/>
    <w:rsid w:val="00975414"/>
    <w:rPr>
      <w:vertAlign w:val="superscript"/>
    </w:rPr>
  </w:style>
  <w:style w:type="paragraph" w:styleId="FootnoteText">
    <w:name w:val="footnote text"/>
    <w:basedOn w:val="Normal"/>
    <w:link w:val="FootnoteTextChar"/>
    <w:uiPriority w:val="99"/>
    <w:unhideWhenUsed/>
    <w:rsid w:val="00975414"/>
    <w:rPr>
      <w:sz w:val="20"/>
      <w:szCs w:val="20"/>
    </w:rPr>
  </w:style>
  <w:style w:type="character" w:customStyle="1" w:styleId="FootnoteTextChar">
    <w:name w:val="Footnote Text Char"/>
    <w:link w:val="FootnoteText"/>
    <w:uiPriority w:val="99"/>
    <w:rsid w:val="00975414"/>
    <w:rPr>
      <w:rFonts w:ascii="Times New Roman" w:eastAsia="Times New Roman" w:hAnsi="Times New Roman"/>
      <w:lang w:val="lv-LV" w:eastAsia="lv-LV"/>
    </w:rPr>
  </w:style>
  <w:style w:type="character" w:styleId="FootnoteReference">
    <w:name w:val="footnote reference"/>
    <w:uiPriority w:val="99"/>
    <w:semiHidden/>
    <w:unhideWhenUsed/>
    <w:rsid w:val="00975414"/>
    <w:rPr>
      <w:vertAlign w:val="superscript"/>
    </w:rPr>
  </w:style>
  <w:style w:type="paragraph" w:customStyle="1" w:styleId="norm">
    <w:name w:val="norm"/>
    <w:basedOn w:val="Normal"/>
    <w:rsid w:val="00975414"/>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293372"/>
    <w:rPr>
      <w:rFonts w:ascii="Segoe UI" w:hAnsi="Segoe UI"/>
      <w:sz w:val="18"/>
      <w:szCs w:val="18"/>
    </w:rPr>
  </w:style>
  <w:style w:type="character" w:customStyle="1" w:styleId="BalloonTextChar">
    <w:name w:val="Balloon Text Char"/>
    <w:link w:val="BalloonText"/>
    <w:uiPriority w:val="99"/>
    <w:semiHidden/>
    <w:rsid w:val="00293372"/>
    <w:rPr>
      <w:rFonts w:ascii="Segoe UI" w:eastAsia="Times New Roman" w:hAnsi="Segoe UI" w:cs="Segoe UI"/>
      <w:sz w:val="18"/>
      <w:szCs w:val="18"/>
    </w:rPr>
  </w:style>
  <w:style w:type="paragraph" w:customStyle="1" w:styleId="naislab">
    <w:name w:val="naislab"/>
    <w:basedOn w:val="Normal"/>
    <w:uiPriority w:val="99"/>
    <w:rsid w:val="002B1114"/>
    <w:pPr>
      <w:spacing w:before="75" w:after="75"/>
      <w:jc w:val="right"/>
    </w:pPr>
  </w:style>
  <w:style w:type="paragraph" w:customStyle="1" w:styleId="Default">
    <w:name w:val="Default"/>
    <w:rsid w:val="002B1114"/>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2B1114"/>
    <w:rPr>
      <w:rFonts w:cs="Times New Roman"/>
      <w:color w:val="auto"/>
    </w:rPr>
  </w:style>
  <w:style w:type="character" w:styleId="FollowedHyperlink">
    <w:name w:val="FollowedHyperlink"/>
    <w:basedOn w:val="DefaultParagraphFont"/>
    <w:uiPriority w:val="99"/>
    <w:semiHidden/>
    <w:unhideWhenUsed/>
    <w:rsid w:val="002B1114"/>
    <w:rPr>
      <w:color w:val="800080"/>
      <w:u w:val="single"/>
    </w:rPr>
  </w:style>
  <w:style w:type="paragraph" w:styleId="CommentText">
    <w:name w:val="annotation text"/>
    <w:basedOn w:val="Normal"/>
    <w:link w:val="CommentTextChar"/>
    <w:uiPriority w:val="99"/>
    <w:rsid w:val="002B1114"/>
    <w:rPr>
      <w:sz w:val="20"/>
      <w:szCs w:val="20"/>
      <w:lang w:val="en-US" w:eastAsia="en-US"/>
    </w:rPr>
  </w:style>
  <w:style w:type="character" w:customStyle="1" w:styleId="CommentTextChar">
    <w:name w:val="Comment Text Char"/>
    <w:basedOn w:val="DefaultParagraphFont"/>
    <w:link w:val="CommentText"/>
    <w:uiPriority w:val="99"/>
    <w:rsid w:val="002B1114"/>
    <w:rPr>
      <w:rFonts w:ascii="Times New Roman" w:eastAsia="Times New Roman" w:hAnsi="Times New Roman"/>
    </w:rPr>
  </w:style>
  <w:style w:type="character" w:styleId="CommentReference">
    <w:name w:val="annotation reference"/>
    <w:basedOn w:val="DefaultParagraphFont"/>
    <w:uiPriority w:val="99"/>
    <w:semiHidden/>
    <w:rsid w:val="002B1114"/>
    <w:rPr>
      <w:rFonts w:cs="Times New Roman"/>
      <w:sz w:val="16"/>
      <w:szCs w:val="16"/>
    </w:rPr>
  </w:style>
  <w:style w:type="paragraph" w:customStyle="1" w:styleId="tv20787921">
    <w:name w:val="tv207_87_921"/>
    <w:basedOn w:val="Normal"/>
    <w:uiPriority w:val="99"/>
    <w:rsid w:val="003E47EE"/>
    <w:pPr>
      <w:spacing w:after="567" w:line="360" w:lineRule="auto"/>
      <w:jc w:val="center"/>
    </w:pPr>
    <w:rPr>
      <w:rFonts w:ascii="Verdana" w:hAnsi="Verdana"/>
      <w:b/>
      <w:bCs/>
      <w:sz w:val="28"/>
      <w:szCs w:val="28"/>
    </w:rPr>
  </w:style>
  <w:style w:type="paragraph" w:customStyle="1" w:styleId="CM3">
    <w:name w:val="CM3"/>
    <w:basedOn w:val="Default"/>
    <w:next w:val="Default"/>
    <w:uiPriority w:val="99"/>
    <w:rsid w:val="002831BA"/>
    <w:rPr>
      <w:rFonts w:eastAsia="Calibri" w:cs="Times New Roman"/>
      <w:color w:val="auto"/>
      <w:lang w:val="en-US" w:eastAsia="en-US"/>
    </w:rPr>
  </w:style>
  <w:style w:type="paragraph" w:customStyle="1" w:styleId="CM4">
    <w:name w:val="CM4"/>
    <w:basedOn w:val="Default"/>
    <w:next w:val="Default"/>
    <w:uiPriority w:val="99"/>
    <w:rsid w:val="002831BA"/>
    <w:rPr>
      <w:rFonts w:eastAsia="Calibri" w:cs="Times New Roman"/>
      <w:color w:val="auto"/>
      <w:lang w:val="en-US" w:eastAsia="en-US"/>
    </w:rPr>
  </w:style>
  <w:style w:type="paragraph" w:customStyle="1" w:styleId="tvhtml">
    <w:name w:val="tv_html"/>
    <w:basedOn w:val="Normal"/>
    <w:rsid w:val="00D630FE"/>
    <w:pPr>
      <w:spacing w:before="100" w:beforeAutospacing="1" w:after="100" w:afterAutospacing="1"/>
    </w:pPr>
    <w:rPr>
      <w:lang w:val="en-US" w:eastAsia="en-US"/>
    </w:rPr>
  </w:style>
  <w:style w:type="paragraph" w:styleId="CommentSubject">
    <w:name w:val="annotation subject"/>
    <w:basedOn w:val="CommentText"/>
    <w:next w:val="CommentText"/>
    <w:link w:val="CommentSubjectChar"/>
    <w:uiPriority w:val="99"/>
    <w:semiHidden/>
    <w:unhideWhenUsed/>
    <w:rsid w:val="00747CE0"/>
    <w:rPr>
      <w:b/>
      <w:bCs/>
      <w:lang w:val="lv-LV" w:eastAsia="lv-LV"/>
    </w:rPr>
  </w:style>
  <w:style w:type="character" w:customStyle="1" w:styleId="CommentSubjectChar">
    <w:name w:val="Comment Subject Char"/>
    <w:basedOn w:val="CommentTextChar"/>
    <w:link w:val="CommentSubject"/>
    <w:uiPriority w:val="99"/>
    <w:semiHidden/>
    <w:rsid w:val="00747CE0"/>
    <w:rPr>
      <w:rFonts w:ascii="Times New Roman" w:eastAsia="Times New Roman" w:hAnsi="Times New Roman"/>
      <w:b/>
      <w:bCs/>
    </w:rPr>
  </w:style>
  <w:style w:type="paragraph" w:styleId="Revision">
    <w:name w:val="Revision"/>
    <w:hidden/>
    <w:uiPriority w:val="99"/>
    <w:semiHidden/>
    <w:rsid w:val="00A97E2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773069">
      <w:bodyDiv w:val="1"/>
      <w:marLeft w:val="0"/>
      <w:marRight w:val="0"/>
      <w:marTop w:val="0"/>
      <w:marBottom w:val="0"/>
      <w:divBdr>
        <w:top w:val="none" w:sz="0" w:space="0" w:color="auto"/>
        <w:left w:val="none" w:sz="0" w:space="0" w:color="auto"/>
        <w:bottom w:val="none" w:sz="0" w:space="0" w:color="auto"/>
        <w:right w:val="none" w:sz="0" w:space="0" w:color="auto"/>
      </w:divBdr>
    </w:div>
    <w:div w:id="1243754931">
      <w:bodyDiv w:val="1"/>
      <w:marLeft w:val="0"/>
      <w:marRight w:val="0"/>
      <w:marTop w:val="0"/>
      <w:marBottom w:val="0"/>
      <w:divBdr>
        <w:top w:val="none" w:sz="0" w:space="0" w:color="auto"/>
        <w:left w:val="none" w:sz="0" w:space="0" w:color="auto"/>
        <w:bottom w:val="none" w:sz="0" w:space="0" w:color="auto"/>
        <w:right w:val="none" w:sz="0" w:space="0" w:color="auto"/>
      </w:divBdr>
      <w:divsChild>
        <w:div w:id="487283331">
          <w:marLeft w:val="480"/>
          <w:marRight w:val="0"/>
          <w:marTop w:val="0"/>
          <w:marBottom w:val="0"/>
          <w:divBdr>
            <w:top w:val="none" w:sz="0" w:space="0" w:color="auto"/>
            <w:left w:val="none" w:sz="0" w:space="0" w:color="auto"/>
            <w:bottom w:val="none" w:sz="0" w:space="0" w:color="auto"/>
            <w:right w:val="none" w:sz="0" w:space="0" w:color="auto"/>
          </w:divBdr>
        </w:div>
        <w:div w:id="913272111">
          <w:marLeft w:val="480"/>
          <w:marRight w:val="0"/>
          <w:marTop w:val="0"/>
          <w:marBottom w:val="0"/>
          <w:divBdr>
            <w:top w:val="none" w:sz="0" w:space="0" w:color="auto"/>
            <w:left w:val="none" w:sz="0" w:space="0" w:color="auto"/>
            <w:bottom w:val="none" w:sz="0" w:space="0" w:color="auto"/>
            <w:right w:val="none" w:sz="0" w:space="0" w:color="auto"/>
          </w:divBdr>
        </w:div>
        <w:div w:id="970787974">
          <w:marLeft w:val="480"/>
          <w:marRight w:val="0"/>
          <w:marTop w:val="0"/>
          <w:marBottom w:val="0"/>
          <w:divBdr>
            <w:top w:val="none" w:sz="0" w:space="0" w:color="auto"/>
            <w:left w:val="none" w:sz="0" w:space="0" w:color="auto"/>
            <w:bottom w:val="none" w:sz="0" w:space="0" w:color="auto"/>
            <w:right w:val="none" w:sz="0" w:space="0" w:color="auto"/>
          </w:divBdr>
        </w:div>
        <w:div w:id="1316841767">
          <w:marLeft w:val="480"/>
          <w:marRight w:val="0"/>
          <w:marTop w:val="0"/>
          <w:marBottom w:val="0"/>
          <w:divBdr>
            <w:top w:val="none" w:sz="0" w:space="0" w:color="auto"/>
            <w:left w:val="none" w:sz="0" w:space="0" w:color="auto"/>
            <w:bottom w:val="none" w:sz="0" w:space="0" w:color="auto"/>
            <w:right w:val="none" w:sz="0" w:space="0" w:color="auto"/>
          </w:divBdr>
        </w:div>
        <w:div w:id="1978797009">
          <w:marLeft w:val="480"/>
          <w:marRight w:val="0"/>
          <w:marTop w:val="0"/>
          <w:marBottom w:val="0"/>
          <w:divBdr>
            <w:top w:val="none" w:sz="0" w:space="0" w:color="auto"/>
            <w:left w:val="none" w:sz="0" w:space="0" w:color="auto"/>
            <w:bottom w:val="none" w:sz="0" w:space="0" w:color="auto"/>
            <w:right w:val="none" w:sz="0" w:space="0" w:color="auto"/>
          </w:divBdr>
        </w:div>
        <w:div w:id="2051684827">
          <w:marLeft w:val="480"/>
          <w:marRight w:val="0"/>
          <w:marTop w:val="0"/>
          <w:marBottom w:val="0"/>
          <w:divBdr>
            <w:top w:val="none" w:sz="0" w:space="0" w:color="auto"/>
            <w:left w:val="none" w:sz="0" w:space="0" w:color="auto"/>
            <w:bottom w:val="none" w:sz="0" w:space="0" w:color="auto"/>
            <w:right w:val="none" w:sz="0" w:space="0" w:color="auto"/>
          </w:divBdr>
        </w:div>
        <w:div w:id="2056078150">
          <w:marLeft w:val="480"/>
          <w:marRight w:val="0"/>
          <w:marTop w:val="0"/>
          <w:marBottom w:val="0"/>
          <w:divBdr>
            <w:top w:val="none" w:sz="0" w:space="0" w:color="auto"/>
            <w:left w:val="none" w:sz="0" w:space="0" w:color="auto"/>
            <w:bottom w:val="none" w:sz="0" w:space="0" w:color="auto"/>
            <w:right w:val="none" w:sz="0" w:space="0" w:color="auto"/>
          </w:divBdr>
        </w:div>
      </w:divsChild>
    </w:div>
    <w:div w:id="16862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PDF/?uri=CELEX:32014D0687&amp;from=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9E90E-5592-421E-BAF3-2F800F8F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13639</CharactersWithSpaces>
  <SharedDoc>false</SharedDoc>
  <HLinks>
    <vt:vector size="12" baseType="variant">
      <vt:variant>
        <vt:i4>1048649</vt:i4>
      </vt:variant>
      <vt:variant>
        <vt:i4>3</vt:i4>
      </vt:variant>
      <vt:variant>
        <vt:i4>0</vt:i4>
      </vt:variant>
      <vt:variant>
        <vt:i4>5</vt:i4>
      </vt:variant>
      <vt:variant>
        <vt:lpwstr>http://www.varam.gov.lv/</vt:lpwstr>
      </vt:variant>
      <vt:variant>
        <vt:lpwstr/>
      </vt:variant>
      <vt:variant>
        <vt:i4>3211296</vt:i4>
      </vt:variant>
      <vt:variant>
        <vt:i4>0</vt:i4>
      </vt:variant>
      <vt:variant>
        <vt:i4>0</vt:i4>
      </vt:variant>
      <vt:variant>
        <vt:i4>5</vt:i4>
      </vt:variant>
      <vt:variant>
        <vt:lpwstr>http://eur-lex.europa.eu/legal-content/LV/TXT/PDF/?uri=CELEX:32014D0687&amp;from=LV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Donina</dc:creator>
  <cp:lastModifiedBy>larisat</cp:lastModifiedBy>
  <cp:revision>3</cp:revision>
  <cp:lastPrinted>2015-11-30T10:37:00Z</cp:lastPrinted>
  <dcterms:created xsi:type="dcterms:W3CDTF">2016-05-19T11:13:00Z</dcterms:created>
  <dcterms:modified xsi:type="dcterms:W3CDTF">2016-05-24T07:06:00Z</dcterms:modified>
</cp:coreProperties>
</file>