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204" w:rsidRPr="00253F5A" w:rsidRDefault="00DA7204" w:rsidP="00D92421">
      <w:pPr>
        <w:ind w:firstLine="720"/>
        <w:jc w:val="center"/>
        <w:rPr>
          <w:b/>
        </w:rPr>
      </w:pPr>
      <w:r w:rsidRPr="00253F5A">
        <w:rPr>
          <w:b/>
        </w:rPr>
        <w:t>Ministru kabineta noteikumu projekta</w:t>
      </w:r>
    </w:p>
    <w:p w:rsidR="00DA7204" w:rsidRPr="00253F5A" w:rsidRDefault="00DA7204" w:rsidP="00D92421">
      <w:pPr>
        <w:ind w:firstLine="720"/>
        <w:jc w:val="center"/>
        <w:rPr>
          <w:b/>
        </w:rPr>
      </w:pPr>
      <w:bookmarkStart w:id="0" w:name="OLE_LINK1"/>
      <w:bookmarkStart w:id="1" w:name="OLE_LINK2"/>
      <w:r w:rsidRPr="00253F5A">
        <w:rPr>
          <w:b/>
        </w:rPr>
        <w:t>„Meža inventarizācijas veicēju sertifikācijas un sertificēto personu darbības uzraudzības kārtība</w:t>
      </w:r>
      <w:r w:rsidRPr="00253F5A">
        <w:rPr>
          <w:b/>
          <w:bCs/>
        </w:rPr>
        <w:t xml:space="preserve">” </w:t>
      </w:r>
      <w:bookmarkEnd w:id="0"/>
      <w:bookmarkEnd w:id="1"/>
      <w:r w:rsidRPr="00253F5A">
        <w:rPr>
          <w:b/>
        </w:rPr>
        <w:t>sākotnējās ietekmes novērtējuma ziņojums (anotācija)</w:t>
      </w:r>
    </w:p>
    <w:p w:rsidR="00DA7204" w:rsidRPr="00253F5A" w:rsidRDefault="00DA7204" w:rsidP="00DA7204">
      <w:pPr>
        <w:jc w:val="both"/>
        <w:rPr>
          <w:b/>
        </w:rPr>
      </w:pPr>
    </w:p>
    <w:tbl>
      <w:tblPr>
        <w:tblW w:w="9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268"/>
        <w:gridCol w:w="6263"/>
      </w:tblGrid>
      <w:tr w:rsidR="00DA7204" w:rsidRPr="00253F5A" w:rsidTr="00AD124D">
        <w:trPr>
          <w:trHeight w:val="305"/>
        </w:trPr>
        <w:tc>
          <w:tcPr>
            <w:tcW w:w="9240" w:type="dxa"/>
            <w:gridSpan w:val="3"/>
          </w:tcPr>
          <w:p w:rsidR="00DA7204" w:rsidRPr="00253F5A" w:rsidRDefault="00DA7204" w:rsidP="00DA7204">
            <w:pPr>
              <w:numPr>
                <w:ilvl w:val="0"/>
                <w:numId w:val="1"/>
              </w:numPr>
              <w:jc w:val="center"/>
            </w:pPr>
            <w:r w:rsidRPr="00253F5A">
              <w:rPr>
                <w:b/>
                <w:bCs/>
              </w:rPr>
              <w:t>Tiesību akta projekta izstrādes nepieciešamība</w:t>
            </w:r>
          </w:p>
        </w:tc>
      </w:tr>
      <w:tr w:rsidR="00DA7204" w:rsidRPr="00253F5A" w:rsidTr="00AD124D">
        <w:trPr>
          <w:trHeight w:val="305"/>
        </w:trPr>
        <w:tc>
          <w:tcPr>
            <w:tcW w:w="709" w:type="dxa"/>
          </w:tcPr>
          <w:p w:rsidR="00DA7204" w:rsidRPr="00253F5A" w:rsidRDefault="00DA7204" w:rsidP="00225AA6">
            <w:pPr>
              <w:jc w:val="both"/>
              <w:rPr>
                <w:color w:val="000000"/>
              </w:rPr>
            </w:pPr>
            <w:r w:rsidRPr="00253F5A">
              <w:rPr>
                <w:color w:val="000000"/>
              </w:rPr>
              <w:t>1.</w:t>
            </w:r>
          </w:p>
        </w:tc>
        <w:tc>
          <w:tcPr>
            <w:tcW w:w="2268" w:type="dxa"/>
          </w:tcPr>
          <w:p w:rsidR="00DA7204" w:rsidRPr="00253F5A" w:rsidRDefault="00DA7204" w:rsidP="00225AA6">
            <w:pPr>
              <w:jc w:val="both"/>
              <w:rPr>
                <w:color w:val="000000"/>
              </w:rPr>
            </w:pPr>
            <w:r w:rsidRPr="00253F5A">
              <w:rPr>
                <w:color w:val="000000"/>
              </w:rPr>
              <w:t>Pamatojums</w:t>
            </w:r>
          </w:p>
        </w:tc>
        <w:tc>
          <w:tcPr>
            <w:tcW w:w="6263" w:type="dxa"/>
          </w:tcPr>
          <w:p w:rsidR="00DA7204" w:rsidRPr="00253F5A" w:rsidRDefault="00DA7204" w:rsidP="00225AA6">
            <w:pPr>
              <w:jc w:val="both"/>
              <w:rPr>
                <w:lang w:eastAsia="en-US"/>
              </w:rPr>
            </w:pPr>
            <w:r w:rsidRPr="00253F5A">
              <w:t>Meža likuma 34.</w:t>
            </w:r>
            <w:r w:rsidRPr="00253F5A">
              <w:rPr>
                <w:vertAlign w:val="superscript"/>
              </w:rPr>
              <w:t xml:space="preserve"> </w:t>
            </w:r>
            <w:r w:rsidRPr="00253F5A">
              <w:t>panta pirmā daļa.</w:t>
            </w:r>
          </w:p>
        </w:tc>
      </w:tr>
      <w:tr w:rsidR="00DA7204" w:rsidRPr="00253F5A" w:rsidTr="00AD124D">
        <w:trPr>
          <w:trHeight w:val="3534"/>
        </w:trPr>
        <w:tc>
          <w:tcPr>
            <w:tcW w:w="709" w:type="dxa"/>
          </w:tcPr>
          <w:p w:rsidR="00DA7204" w:rsidRPr="00253F5A" w:rsidRDefault="00DA7204" w:rsidP="00225AA6">
            <w:pPr>
              <w:jc w:val="both"/>
              <w:rPr>
                <w:color w:val="000000"/>
              </w:rPr>
            </w:pPr>
            <w:r w:rsidRPr="00253F5A">
              <w:rPr>
                <w:color w:val="000000"/>
              </w:rPr>
              <w:t>2.</w:t>
            </w:r>
          </w:p>
        </w:tc>
        <w:tc>
          <w:tcPr>
            <w:tcW w:w="2268" w:type="dxa"/>
          </w:tcPr>
          <w:p w:rsidR="00DA7204" w:rsidRPr="00253F5A" w:rsidRDefault="00DA7204" w:rsidP="00225AA6">
            <w:pPr>
              <w:jc w:val="both"/>
              <w:rPr>
                <w:color w:val="000000"/>
              </w:rPr>
            </w:pPr>
            <w:r w:rsidRPr="00253F5A">
              <w:t>Pašreizējā situācija un problēmas, kuru risināšanai tiesību akta projekts izstrādāts, tiesiskā regulējuma mērķis un būtība</w:t>
            </w:r>
          </w:p>
        </w:tc>
        <w:tc>
          <w:tcPr>
            <w:tcW w:w="6263" w:type="dxa"/>
          </w:tcPr>
          <w:p w:rsidR="00DA7204" w:rsidRPr="00253F5A" w:rsidRDefault="00DA7204" w:rsidP="0083012C">
            <w:pPr>
              <w:pStyle w:val="naislab"/>
              <w:spacing w:before="0" w:beforeAutospacing="0" w:after="0" w:afterAutospacing="0"/>
              <w:jc w:val="both"/>
            </w:pPr>
            <w:r w:rsidRPr="00253F5A">
              <w:t xml:space="preserve">Tiesisko regulējumu meža inventarizācijas veicēju sertifikācijas un sertificēto personu darbības uzraudzības jomā nodrošina </w:t>
            </w:r>
            <w:r w:rsidR="00F461E1" w:rsidRPr="00253F5A">
              <w:t xml:space="preserve">Ministru kabineta </w:t>
            </w:r>
            <w:r w:rsidRPr="00253F5A">
              <w:t>2013.gada 23.aprīļa noteikumi Nr.226 „Meža inventarizācijas veicēju sertifikācijas un sertificēto personu darbības uzraudzības kārtība” (turpmāk</w:t>
            </w:r>
            <w:r w:rsidR="00585895">
              <w:t xml:space="preserve"> –</w:t>
            </w:r>
            <w:r w:rsidRPr="00253F5A">
              <w:t xml:space="preserve">Noteikumi </w:t>
            </w:r>
            <w:r w:rsidR="00F461E1" w:rsidRPr="00253F5A">
              <w:t>Nr.</w:t>
            </w:r>
            <w:r w:rsidRPr="00253F5A">
              <w:t>226). Tie nosaka minimālās prasības meža inventarizācijas veicēju profesionālajai kvalifikācijai, meža inventarizācijas veicēju sertifikācijas un sertificēto personu darbības uzraudzības kārtību.</w:t>
            </w:r>
          </w:p>
          <w:p w:rsidR="00DA7204" w:rsidRPr="00253F5A" w:rsidRDefault="00DA7204" w:rsidP="0083012C">
            <w:pPr>
              <w:jc w:val="both"/>
            </w:pPr>
            <w:r w:rsidRPr="00253F5A">
              <w:t xml:space="preserve">Noteikumos Nr.226 ir nepieciešams </w:t>
            </w:r>
            <w:r w:rsidR="00585895">
              <w:t>izdarīt</w:t>
            </w:r>
            <w:r w:rsidRPr="00253F5A">
              <w:t xml:space="preserve"> grozījumus</w:t>
            </w:r>
            <w:r w:rsidR="00F461E1" w:rsidRPr="00253F5A">
              <w:t>, precizējot</w:t>
            </w:r>
            <w:r w:rsidRPr="00253F5A">
              <w:t xml:space="preserve"> sertificētas personas darbības uzraudzību</w:t>
            </w:r>
            <w:r w:rsidR="00F461E1" w:rsidRPr="00253F5A">
              <w:t xml:space="preserve"> un</w:t>
            </w:r>
            <w:r w:rsidRPr="00253F5A">
              <w:t xml:space="preserve"> </w:t>
            </w:r>
            <w:r w:rsidR="00F461E1" w:rsidRPr="00253F5A">
              <w:t>kārtību</w:t>
            </w:r>
            <w:r w:rsidR="003A2553">
              <w:t>,</w:t>
            </w:r>
            <w:r w:rsidR="00F461E1" w:rsidRPr="00253F5A">
              <w:t xml:space="preserve"> kā tiek uzskaitītas un izvērtētas sūdzības un no Valsts meža dienesta saņemtie lēmumi par atteikumu reģistrēt meža valsts reģistrā meža inventarizācijas datus. Nepieciešams </w:t>
            </w:r>
            <w:r w:rsidRPr="00253F5A">
              <w:t>noteikt kritērijus, pēc kuriem izvērtē un pieņem lēmumu attiecīb</w:t>
            </w:r>
            <w:r w:rsidR="00CA1F7C" w:rsidRPr="00253F5A">
              <w:t>ā</w:t>
            </w:r>
            <w:r w:rsidRPr="00253F5A">
              <w:t xml:space="preserve"> uz </w:t>
            </w:r>
            <w:r w:rsidR="00B36444" w:rsidRPr="00253F5A">
              <w:t>sertificētās personas darba kvalitāti</w:t>
            </w:r>
            <w:r w:rsidRPr="00253F5A">
              <w:t>.</w:t>
            </w:r>
          </w:p>
          <w:p w:rsidR="00DA7204" w:rsidRPr="00253F5A" w:rsidRDefault="00DA7204" w:rsidP="00843C6A">
            <w:pPr>
              <w:jc w:val="both"/>
            </w:pPr>
            <w:r w:rsidRPr="00253F5A">
              <w:t xml:space="preserve">Tā kā nepieciešamo grozījumu apjoms ir </w:t>
            </w:r>
            <w:r w:rsidR="0083012C">
              <w:t>lielāks par pusi no noteikumiem</w:t>
            </w:r>
            <w:r w:rsidRPr="00253F5A">
              <w:t xml:space="preserve">, ir </w:t>
            </w:r>
            <w:r w:rsidR="00585895">
              <w:t>sagatavo</w:t>
            </w:r>
            <w:r w:rsidRPr="00253F5A">
              <w:t>ts jauns noteikumu projekts „Meža inventarizācijas veicēju sertifikācijas un sertificēto personu darbības uzraudzības kārtība”</w:t>
            </w:r>
            <w:r w:rsidR="00A859EF">
              <w:t xml:space="preserve"> (turpmāk – noteikumu projekts)</w:t>
            </w:r>
            <w:r w:rsidR="003A2553">
              <w:t>.</w:t>
            </w:r>
            <w:r w:rsidR="00A859EF">
              <w:t xml:space="preserve"> </w:t>
            </w:r>
          </w:p>
          <w:p w:rsidR="00DA7204" w:rsidRDefault="00DA7204" w:rsidP="00843C6A">
            <w:pPr>
              <w:jc w:val="both"/>
            </w:pPr>
            <w:r w:rsidRPr="00253F5A">
              <w:t>Noteikumu projekts nemaina noteikumu Nr.226 būtību, bet ievieš precizējumus meža inventarizācijas veicēju sertifikācijas un sertificēto personu darbības uzraudzības kārtībā.</w:t>
            </w:r>
          </w:p>
          <w:p w:rsidR="00473996" w:rsidRPr="007202DC" w:rsidRDefault="00473996" w:rsidP="0083012C">
            <w:pPr>
              <w:jc w:val="both"/>
            </w:pPr>
            <w:r w:rsidRPr="007202DC">
              <w:t xml:space="preserve">Noteikumu projektā </w:t>
            </w:r>
            <w:r w:rsidR="00585895">
              <w:t xml:space="preserve">ir </w:t>
            </w:r>
            <w:r w:rsidRPr="007202DC">
              <w:t xml:space="preserve">precizētas </w:t>
            </w:r>
            <w:r w:rsidR="00BC10A3" w:rsidRPr="007202DC">
              <w:t xml:space="preserve">izglītības </w:t>
            </w:r>
            <w:r w:rsidRPr="007202DC">
              <w:t>prasības fiziskai personai</w:t>
            </w:r>
            <w:r w:rsidR="00C04224" w:rsidRPr="007202DC">
              <w:t>, kas vēlas iegūt sertifikātu (turpmāk</w:t>
            </w:r>
            <w:r w:rsidR="00585895">
              <w:t xml:space="preserve"> – </w:t>
            </w:r>
            <w:r w:rsidR="00C04224" w:rsidRPr="007202DC">
              <w:t>pretendents)</w:t>
            </w:r>
            <w:r w:rsidR="007C6D53" w:rsidRPr="007202DC">
              <w:t>.</w:t>
            </w:r>
            <w:r w:rsidR="00805663" w:rsidRPr="007202DC">
              <w:t xml:space="preserve"> </w:t>
            </w:r>
            <w:r w:rsidR="0083012C" w:rsidRPr="007202DC">
              <w:t>L</w:t>
            </w:r>
            <w:r w:rsidR="009243A2" w:rsidRPr="007202DC">
              <w:t xml:space="preserve">īdz 2015.gadam </w:t>
            </w:r>
            <w:r w:rsidR="00F27CB9" w:rsidRPr="007202DC">
              <w:t>Valsts meža dienestā bija reģistrējušies aptuveni 41</w:t>
            </w:r>
            <w:r w:rsidR="0083012C" w:rsidRPr="007202DC">
              <w:t xml:space="preserve">0 meža inventarizācijas veicēji, bet </w:t>
            </w:r>
            <w:r w:rsidR="00585895">
              <w:t xml:space="preserve">patlaban </w:t>
            </w:r>
            <w:r w:rsidR="0083012C" w:rsidRPr="007202DC">
              <w:t>sertifikātu ir ieguvušas 470 fiziskas personas.</w:t>
            </w:r>
            <w:r w:rsidR="00F27CB9" w:rsidRPr="007202DC">
              <w:t xml:space="preserve"> </w:t>
            </w:r>
            <w:r w:rsidR="00BA5593" w:rsidRPr="007202DC">
              <w:t>Ņemot vērā p</w:t>
            </w:r>
            <w:r w:rsidR="00805663" w:rsidRPr="007202DC">
              <w:t>retendentu skait</w:t>
            </w:r>
            <w:r w:rsidR="00BA5593" w:rsidRPr="007202DC">
              <w:t>a</w:t>
            </w:r>
            <w:r w:rsidR="00805663" w:rsidRPr="007202DC">
              <w:t xml:space="preserve"> </w:t>
            </w:r>
            <w:r w:rsidR="00620C19" w:rsidRPr="007202DC">
              <w:t>samazinā</w:t>
            </w:r>
            <w:r w:rsidR="00BA5593" w:rsidRPr="007202DC">
              <w:t>šanos</w:t>
            </w:r>
            <w:r w:rsidR="00620C19" w:rsidRPr="007202DC">
              <w:t xml:space="preserve">, </w:t>
            </w:r>
            <w:r w:rsidR="00C04224" w:rsidRPr="007202DC">
              <w:t>sertificēšanas atbi</w:t>
            </w:r>
            <w:r w:rsidR="00BA5593" w:rsidRPr="007202DC">
              <w:t>lstības novērtēšanas institūcijas</w:t>
            </w:r>
            <w:r w:rsidR="00C04224" w:rsidRPr="007202DC">
              <w:t xml:space="preserve"> (turpmāk – sertificēšanas institūcija)</w:t>
            </w:r>
            <w:r w:rsidR="00BC10A3" w:rsidRPr="007202DC">
              <w:t xml:space="preserve">, lai nokomplektētu kursu grupu, </w:t>
            </w:r>
            <w:r w:rsidR="008B3824">
              <w:t xml:space="preserve">retāk </w:t>
            </w:r>
            <w:r w:rsidR="00805663" w:rsidRPr="007202DC">
              <w:t xml:space="preserve">organizē mācību kursus, </w:t>
            </w:r>
            <w:r w:rsidR="00585895">
              <w:t>bet</w:t>
            </w:r>
            <w:r w:rsidR="00A04444" w:rsidRPr="007202DC">
              <w:t xml:space="preserve"> </w:t>
            </w:r>
            <w:r w:rsidR="00585895">
              <w:t xml:space="preserve">tas </w:t>
            </w:r>
            <w:r w:rsidR="00A04444" w:rsidRPr="007202DC">
              <w:t xml:space="preserve">savukārt </w:t>
            </w:r>
            <w:r w:rsidR="00585895">
              <w:t xml:space="preserve">sadārdzina </w:t>
            </w:r>
            <w:r w:rsidR="008B3824" w:rsidRPr="007202DC">
              <w:t>izmaks</w:t>
            </w:r>
            <w:r w:rsidR="008B3824">
              <w:t>as</w:t>
            </w:r>
            <w:r w:rsidR="008B3824" w:rsidRPr="007202DC">
              <w:t xml:space="preserve"> </w:t>
            </w:r>
            <w:r w:rsidR="00C367E4" w:rsidRPr="007202DC">
              <w:t>pretendentiem</w:t>
            </w:r>
            <w:r w:rsidR="00BA5593" w:rsidRPr="007202DC">
              <w:t xml:space="preserve"> un pagarina laikposmu sertifikāta iegūšanai</w:t>
            </w:r>
            <w:r w:rsidR="00A04444" w:rsidRPr="007202DC">
              <w:t>.</w:t>
            </w:r>
            <w:r w:rsidR="00554740" w:rsidRPr="007202DC">
              <w:t xml:space="preserve"> </w:t>
            </w:r>
            <w:r w:rsidR="00554740" w:rsidRPr="007202DC">
              <w:rPr>
                <w:color w:val="000000"/>
              </w:rPr>
              <w:t>Spēkā esošā prasība noklausīties sertifikācijas institūcijas organizētus mācību kursus pēc būtības nepaaugstina sertifikāt</w:t>
            </w:r>
            <w:r w:rsidR="00585895">
              <w:rPr>
                <w:color w:val="000000"/>
              </w:rPr>
              <w:t>a pretendenta</w:t>
            </w:r>
            <w:r w:rsidR="00554740" w:rsidRPr="007202DC">
              <w:rPr>
                <w:color w:val="000000"/>
              </w:rPr>
              <w:t xml:space="preserve"> prasmes un zināšanas, kuru līmeni apliecina šī pretendenta iegūt</w:t>
            </w:r>
            <w:r w:rsidR="00585895">
              <w:rPr>
                <w:color w:val="000000"/>
              </w:rPr>
              <w:t>ā</w:t>
            </w:r>
            <w:r w:rsidR="00554740" w:rsidRPr="007202DC">
              <w:rPr>
                <w:color w:val="000000"/>
              </w:rPr>
              <w:t xml:space="preserve"> izglītība mežsaimniecībā.</w:t>
            </w:r>
            <w:r w:rsidR="00554740" w:rsidRPr="007202DC">
              <w:t xml:space="preserve"> </w:t>
            </w:r>
            <w:r w:rsidR="00636622" w:rsidRPr="007202DC">
              <w:t>Sertifikāta iegūšanas laikposma pa</w:t>
            </w:r>
            <w:r w:rsidR="00585895">
              <w:t>garināšanās</w:t>
            </w:r>
            <w:r w:rsidR="00636622" w:rsidRPr="007202DC">
              <w:t xml:space="preserve"> kavē darba tiesisku attiecību izveidošanu, jo p</w:t>
            </w:r>
            <w:r w:rsidR="00922DC2" w:rsidRPr="007202DC">
              <w:t xml:space="preserve">raksē </w:t>
            </w:r>
            <w:r w:rsidR="00A04444" w:rsidRPr="007202DC">
              <w:t>mežsaimnieciskie uzņēmumi bieži vien uzsāk darba tiesiskās attiecības ar fizisku personu</w:t>
            </w:r>
            <w:r w:rsidR="0083012C" w:rsidRPr="007202DC">
              <w:t xml:space="preserve"> tad</w:t>
            </w:r>
            <w:r w:rsidR="00A04444" w:rsidRPr="007202DC">
              <w:t>, kad ir iegūts sertifikāts meža inventarizācijas darbu veikšanai</w:t>
            </w:r>
            <w:r w:rsidR="00554740" w:rsidRPr="007202DC">
              <w:t>,</w:t>
            </w:r>
            <w:r w:rsidR="00554740" w:rsidRPr="007202DC">
              <w:rPr>
                <w:color w:val="000000"/>
              </w:rPr>
              <w:t xml:space="preserve"> </w:t>
            </w:r>
            <w:r w:rsidR="00585895">
              <w:rPr>
                <w:color w:val="000000"/>
              </w:rPr>
              <w:t>tādēļ</w:t>
            </w:r>
            <w:r w:rsidR="00554740" w:rsidRPr="007202DC">
              <w:rPr>
                <w:color w:val="000000"/>
              </w:rPr>
              <w:t xml:space="preserve"> var tikt kavēta mežsaimnieciskā darbība un tautsaimniecības </w:t>
            </w:r>
            <w:r w:rsidR="00554740" w:rsidRPr="007202DC">
              <w:rPr>
                <w:color w:val="000000"/>
              </w:rPr>
              <w:lastRenderedPageBreak/>
              <w:t xml:space="preserve">attīstība. </w:t>
            </w:r>
          </w:p>
          <w:p w:rsidR="00CB7CEA" w:rsidRPr="00253F5A" w:rsidRDefault="00CB7CEA" w:rsidP="0083012C">
            <w:pPr>
              <w:jc w:val="both"/>
            </w:pPr>
            <w:r w:rsidRPr="00253F5A">
              <w:t>Noteikumu projekts precizē laikposmu, kad fiziska persona nevar pretendēt uz sertifikāta iegūšanu, ja ti</w:t>
            </w:r>
            <w:r w:rsidR="0081596D">
              <w:t>cis</w:t>
            </w:r>
            <w:r w:rsidRPr="00253F5A">
              <w:t xml:space="preserve"> pieņemts lēmums par sertifikāta atcelšanu.</w:t>
            </w:r>
          </w:p>
          <w:p w:rsidR="00DA7204" w:rsidRPr="00253F5A" w:rsidRDefault="00DA7204" w:rsidP="0083012C">
            <w:pPr>
              <w:jc w:val="both"/>
            </w:pPr>
            <w:r w:rsidRPr="00253F5A">
              <w:t xml:space="preserve">Lai nodrošinātu vienādus nosacījumus </w:t>
            </w:r>
            <w:r w:rsidR="0081596D">
              <w:t xml:space="preserve">gan </w:t>
            </w:r>
            <w:r w:rsidRPr="00253F5A">
              <w:t>pretendent</w:t>
            </w:r>
            <w:r w:rsidR="00C04224">
              <w:t>am</w:t>
            </w:r>
            <w:r w:rsidRPr="00253F5A">
              <w:t>, gan novērtēšanas institūcijām, noteikumu projekt</w:t>
            </w:r>
            <w:r w:rsidR="0081596D">
              <w:t>ā</w:t>
            </w:r>
            <w:r w:rsidRPr="00253F5A">
              <w:t xml:space="preserve"> ir </w:t>
            </w:r>
            <w:r w:rsidR="0081596D">
              <w:t>ietverts nosacījums</w:t>
            </w:r>
            <w:r w:rsidRPr="00253F5A">
              <w:t xml:space="preserve"> </w:t>
            </w:r>
            <w:r w:rsidR="0081596D">
              <w:t>p</w:t>
            </w:r>
            <w:r w:rsidRPr="00253F5A">
              <w:t xml:space="preserve">ar teorētisku un praktisku mācību stundu skaitu kursiem, kurus </w:t>
            </w:r>
            <w:r w:rsidRPr="007202DC">
              <w:t>pretendentam jānoklausās</w:t>
            </w:r>
            <w:r w:rsidR="0083012C" w:rsidRPr="007202DC">
              <w:t>,</w:t>
            </w:r>
            <w:r w:rsidRPr="007202DC">
              <w:t xml:space="preserve"> </w:t>
            </w:r>
            <w:r w:rsidR="0081596D">
              <w:t xml:space="preserve">lai </w:t>
            </w:r>
            <w:r w:rsidRPr="007202DC">
              <w:t>pagarin</w:t>
            </w:r>
            <w:r w:rsidR="0081596D">
              <w:t>ātu</w:t>
            </w:r>
            <w:r w:rsidRPr="007202DC">
              <w:t xml:space="preserve"> sertifikāta derīguma termiņu.</w:t>
            </w:r>
          </w:p>
          <w:p w:rsidR="00DA7204" w:rsidRPr="00253F5A" w:rsidRDefault="00B9502E" w:rsidP="0083012C">
            <w:pPr>
              <w:jc w:val="both"/>
            </w:pPr>
            <w:r>
              <w:t>Noteikumu projektā precizēti</w:t>
            </w:r>
            <w:r w:rsidR="00DA7204" w:rsidRPr="00253F5A">
              <w:t xml:space="preserve"> </w:t>
            </w:r>
            <w:r w:rsidR="0081596D">
              <w:t xml:space="preserve">arī </w:t>
            </w:r>
            <w:r w:rsidR="00DA7204" w:rsidRPr="00253F5A">
              <w:t>sertificēšan</w:t>
            </w:r>
            <w:r w:rsidR="00CA1F7C" w:rsidRPr="00253F5A">
              <w:t>a</w:t>
            </w:r>
            <w:r w:rsidR="00DA7204" w:rsidRPr="00253F5A">
              <w:t>s pārbaudes teorētiskās un praktiskās daļas saturs un nosacījumi</w:t>
            </w:r>
            <w:r w:rsidR="0081596D">
              <w:t>, kā arī</w:t>
            </w:r>
            <w:r w:rsidR="00DA7204" w:rsidRPr="00253F5A">
              <w:t xml:space="preserve"> </w:t>
            </w:r>
            <w:r w:rsidR="0081596D">
              <w:t>n</w:t>
            </w:r>
            <w:r w:rsidR="00DA7204" w:rsidRPr="00253F5A">
              <w:t>oteikt</w:t>
            </w:r>
            <w:r w:rsidR="00CA1F7C" w:rsidRPr="00253F5A">
              <w:t>as</w:t>
            </w:r>
            <w:r w:rsidR="00DA7204" w:rsidRPr="00253F5A">
              <w:t xml:space="preserve"> </w:t>
            </w:r>
            <w:r w:rsidR="00B36444" w:rsidRPr="00253F5A">
              <w:t xml:space="preserve">teorētiskās pārbaudes </w:t>
            </w:r>
            <w:r w:rsidR="00DA7204" w:rsidRPr="00253F5A">
              <w:t xml:space="preserve">jautājumu tēmas un </w:t>
            </w:r>
            <w:r w:rsidR="00B36444" w:rsidRPr="00253F5A">
              <w:t>jautājumu skaits par attiecīgo tēmu.</w:t>
            </w:r>
          </w:p>
          <w:p w:rsidR="003F45F8" w:rsidRPr="00253F5A" w:rsidRDefault="004158FD" w:rsidP="0083012C">
            <w:pPr>
              <w:jc w:val="both"/>
            </w:pPr>
            <w:r w:rsidRPr="00253F5A">
              <w:t>Noteikumos Nr.226 nav skaidri noteikta rīcība gadījumā,</w:t>
            </w:r>
            <w:r w:rsidR="00706FD8" w:rsidRPr="00253F5A">
              <w:t xml:space="preserve"> </w:t>
            </w:r>
            <w:r w:rsidR="00BE1ED3" w:rsidRPr="00253F5A">
              <w:t xml:space="preserve">ja sertificētā persona izsaka vēlmi veikt pārreģistrāciju citā </w:t>
            </w:r>
            <w:r w:rsidR="00706FD8" w:rsidRPr="00253F5A">
              <w:t xml:space="preserve">sertificēšanas </w:t>
            </w:r>
            <w:r w:rsidR="00B76960" w:rsidRPr="00253F5A">
              <w:t>institūcij</w:t>
            </w:r>
            <w:r w:rsidRPr="00253F5A">
              <w:t>ā</w:t>
            </w:r>
            <w:r w:rsidR="00B76960" w:rsidRPr="00253F5A">
              <w:t>.</w:t>
            </w:r>
            <w:r w:rsidR="00B63A87" w:rsidRPr="00253F5A">
              <w:t xml:space="preserve"> </w:t>
            </w:r>
            <w:r w:rsidRPr="00253F5A">
              <w:t>Tāpēc noteikumu projektā paredzēts, ka</w:t>
            </w:r>
            <w:r w:rsidRPr="00253F5A" w:rsidDel="00ED7EDD">
              <w:t xml:space="preserve"> </w:t>
            </w:r>
            <w:r w:rsidRPr="00253F5A">
              <w:t>institūcija, kurā sertificētā persona bijusi reģistrēta līdz tam, nodod jaunajai sertifi</w:t>
            </w:r>
            <w:r w:rsidR="00706FD8" w:rsidRPr="00253F5A">
              <w:t>cēšanas</w:t>
            </w:r>
            <w:r w:rsidRPr="00253F5A">
              <w:t xml:space="preserve"> institūcijai visu sertificētās personas lietu, </w:t>
            </w:r>
            <w:r w:rsidR="00D71E6A" w:rsidRPr="00253F5A">
              <w:t>arī</w:t>
            </w:r>
            <w:r w:rsidR="00B63A87" w:rsidRPr="00253F5A">
              <w:t xml:space="preserve"> iepriekšēj</w:t>
            </w:r>
            <w:r w:rsidR="00B03DC7" w:rsidRPr="00253F5A">
              <w:t>ā</w:t>
            </w:r>
            <w:r w:rsidR="00B63A87" w:rsidRPr="00253F5A">
              <w:t xml:space="preserve">s </w:t>
            </w:r>
            <w:r w:rsidR="00706FD8" w:rsidRPr="00253F5A">
              <w:t xml:space="preserve">sertificēšanas </w:t>
            </w:r>
            <w:r w:rsidR="00B63A87" w:rsidRPr="00253F5A">
              <w:t>institūcijas veikt</w:t>
            </w:r>
            <w:r w:rsidR="00B03DC7" w:rsidRPr="00253F5A">
              <w:t>ā</w:t>
            </w:r>
            <w:r w:rsidR="00B63A87" w:rsidRPr="00253F5A">
              <w:t>s uzraudzība</w:t>
            </w:r>
            <w:r w:rsidR="00F03F8E" w:rsidRPr="00253F5A">
              <w:t xml:space="preserve">s pārbaudes atzinumus </w:t>
            </w:r>
            <w:r w:rsidRPr="00253F5A">
              <w:t>un no Valsts meža dienesta saņemtos lēmumus par atteikumus reģistrēt meža inventarizācijas datus Meža valsts reģistrā (turpmāk tekstā – atteikumi). Jaunā sertifi</w:t>
            </w:r>
            <w:r w:rsidR="00706FD8" w:rsidRPr="00253F5A">
              <w:t>cēšanas</w:t>
            </w:r>
            <w:r w:rsidRPr="00253F5A">
              <w:t xml:space="preserve"> institūcija </w:t>
            </w:r>
            <w:r w:rsidR="00F03F8E" w:rsidRPr="00253F5A">
              <w:t>turpina</w:t>
            </w:r>
            <w:r w:rsidR="00B03DC7" w:rsidRPr="00253F5A">
              <w:t xml:space="preserve"> uzskaitīt </w:t>
            </w:r>
            <w:r w:rsidRPr="00253F5A">
              <w:t>atteikumos</w:t>
            </w:r>
            <w:r w:rsidR="001B3FF3" w:rsidRPr="00253F5A">
              <w:t xml:space="preserve"> </w:t>
            </w:r>
            <w:r w:rsidR="00B03DC7" w:rsidRPr="00253F5A">
              <w:t>konstatētās kļūdas</w:t>
            </w:r>
            <w:r w:rsidRPr="00253F5A">
              <w:t>.</w:t>
            </w:r>
            <w:r w:rsidR="00B03DC7" w:rsidRPr="00253F5A">
              <w:t xml:space="preserve"> </w:t>
            </w:r>
            <w:r w:rsidRPr="00253F5A">
              <w:t>Arī uzraudzības pārbaudes atzinum</w:t>
            </w:r>
            <w:r w:rsidR="0081596D">
              <w:t>i tiek</w:t>
            </w:r>
            <w:r w:rsidRPr="00253F5A">
              <w:t xml:space="preserve"> attiecin</w:t>
            </w:r>
            <w:r w:rsidR="0081596D">
              <w:t>āti</w:t>
            </w:r>
            <w:r w:rsidRPr="00253F5A">
              <w:t xml:space="preserve"> uz visu sertifikāta derīguma termiņu neatkarīgi no sertificēšanas institūciju nomaiņas.</w:t>
            </w:r>
          </w:p>
          <w:p w:rsidR="009C4785" w:rsidRPr="00253F5A" w:rsidRDefault="00DA7204" w:rsidP="0083012C">
            <w:pPr>
              <w:pStyle w:val="Bezatstarpm"/>
              <w:jc w:val="both"/>
              <w:rPr>
                <w:rFonts w:ascii="Times New Roman" w:hAnsi="Times New Roman"/>
                <w:bCs/>
                <w:color w:val="000000"/>
                <w:sz w:val="24"/>
                <w:szCs w:val="24"/>
                <w:lang w:val="lv-LV"/>
              </w:rPr>
            </w:pPr>
            <w:r w:rsidRPr="00253F5A">
              <w:rPr>
                <w:rFonts w:ascii="Times New Roman" w:hAnsi="Times New Roman"/>
                <w:bCs/>
                <w:color w:val="000000"/>
                <w:sz w:val="24"/>
                <w:szCs w:val="24"/>
                <w:lang w:val="lv-LV"/>
              </w:rPr>
              <w:t xml:space="preserve">Praksē bieži vien rodas neskaidrības </w:t>
            </w:r>
            <w:r w:rsidR="0081596D">
              <w:rPr>
                <w:rFonts w:ascii="Times New Roman" w:hAnsi="Times New Roman"/>
                <w:bCs/>
                <w:color w:val="000000"/>
                <w:sz w:val="24"/>
                <w:szCs w:val="24"/>
                <w:lang w:val="lv-LV"/>
              </w:rPr>
              <w:t xml:space="preserve">par </w:t>
            </w:r>
            <w:r w:rsidR="00706FD8" w:rsidRPr="00253F5A">
              <w:rPr>
                <w:rFonts w:ascii="Times New Roman" w:hAnsi="Times New Roman"/>
                <w:bCs/>
                <w:color w:val="000000"/>
                <w:sz w:val="24"/>
                <w:szCs w:val="24"/>
                <w:lang w:val="lv-LV"/>
              </w:rPr>
              <w:t xml:space="preserve">sertificēšanas </w:t>
            </w:r>
            <w:r w:rsidRPr="00253F5A">
              <w:rPr>
                <w:rFonts w:ascii="Times New Roman" w:hAnsi="Times New Roman"/>
                <w:bCs/>
                <w:color w:val="000000"/>
                <w:sz w:val="24"/>
                <w:szCs w:val="24"/>
                <w:lang w:val="lv-LV"/>
              </w:rPr>
              <w:t>institūcijas rīcību</w:t>
            </w:r>
            <w:r w:rsidR="00D77F47">
              <w:rPr>
                <w:rFonts w:ascii="Times New Roman" w:hAnsi="Times New Roman"/>
                <w:bCs/>
                <w:color w:val="000000"/>
                <w:sz w:val="24"/>
                <w:szCs w:val="24"/>
                <w:lang w:val="lv-LV"/>
              </w:rPr>
              <w:t>,</w:t>
            </w:r>
            <w:r w:rsidRPr="00253F5A">
              <w:rPr>
                <w:rFonts w:ascii="Times New Roman" w:hAnsi="Times New Roman"/>
                <w:bCs/>
                <w:color w:val="000000"/>
                <w:sz w:val="24"/>
                <w:szCs w:val="24"/>
                <w:lang w:val="lv-LV"/>
              </w:rPr>
              <w:t xml:space="preserve"> </w:t>
            </w:r>
            <w:r w:rsidR="0081596D">
              <w:rPr>
                <w:rFonts w:ascii="Times New Roman" w:hAnsi="Times New Roman"/>
                <w:bCs/>
                <w:color w:val="000000"/>
                <w:sz w:val="24"/>
                <w:szCs w:val="24"/>
                <w:lang w:val="lv-LV"/>
              </w:rPr>
              <w:t xml:space="preserve">kad tā </w:t>
            </w:r>
            <w:r w:rsidR="00706FD8" w:rsidRPr="00253F5A">
              <w:rPr>
                <w:rFonts w:ascii="Times New Roman" w:hAnsi="Times New Roman"/>
                <w:bCs/>
                <w:color w:val="000000"/>
                <w:sz w:val="24"/>
                <w:szCs w:val="24"/>
                <w:lang w:val="lv-LV"/>
              </w:rPr>
              <w:t>no Valsts meža dienesta</w:t>
            </w:r>
            <w:r w:rsidRPr="00253F5A">
              <w:rPr>
                <w:rFonts w:ascii="Times New Roman" w:hAnsi="Times New Roman"/>
                <w:bCs/>
                <w:color w:val="000000"/>
                <w:sz w:val="24"/>
                <w:szCs w:val="24"/>
                <w:lang w:val="lv-LV"/>
              </w:rPr>
              <w:t xml:space="preserve"> </w:t>
            </w:r>
            <w:r w:rsidR="0081596D">
              <w:rPr>
                <w:rFonts w:ascii="Times New Roman" w:hAnsi="Times New Roman"/>
                <w:bCs/>
                <w:color w:val="000000"/>
                <w:sz w:val="24"/>
                <w:szCs w:val="24"/>
                <w:lang w:val="lv-LV"/>
              </w:rPr>
              <w:t>saņem</w:t>
            </w:r>
            <w:r w:rsidR="0081596D" w:rsidRPr="00253F5A">
              <w:rPr>
                <w:rFonts w:ascii="Times New Roman" w:hAnsi="Times New Roman"/>
                <w:bCs/>
                <w:color w:val="000000"/>
                <w:sz w:val="24"/>
                <w:szCs w:val="24"/>
                <w:lang w:val="lv-LV"/>
              </w:rPr>
              <w:t xml:space="preserve"> </w:t>
            </w:r>
            <w:r w:rsidR="00706FD8" w:rsidRPr="00253F5A">
              <w:rPr>
                <w:rFonts w:ascii="Times New Roman" w:hAnsi="Times New Roman"/>
                <w:bCs/>
                <w:color w:val="000000"/>
                <w:sz w:val="24"/>
                <w:szCs w:val="24"/>
                <w:lang w:val="lv-LV"/>
              </w:rPr>
              <w:t>informāciju par atteikumiem.</w:t>
            </w:r>
            <w:r w:rsidRPr="00253F5A">
              <w:rPr>
                <w:rFonts w:ascii="Times New Roman" w:hAnsi="Times New Roman"/>
                <w:bCs/>
                <w:color w:val="000000"/>
                <w:sz w:val="24"/>
                <w:szCs w:val="24"/>
                <w:lang w:val="lv-LV"/>
              </w:rPr>
              <w:t xml:space="preserve"> </w:t>
            </w:r>
            <w:r w:rsidR="001B3FF3" w:rsidRPr="00253F5A">
              <w:rPr>
                <w:rFonts w:ascii="Times New Roman" w:hAnsi="Times New Roman"/>
                <w:bCs/>
                <w:color w:val="000000"/>
                <w:sz w:val="24"/>
                <w:szCs w:val="24"/>
                <w:lang w:val="lv-LV"/>
              </w:rPr>
              <w:t>Tāpēc n</w:t>
            </w:r>
            <w:r w:rsidRPr="00253F5A">
              <w:rPr>
                <w:rFonts w:ascii="Times New Roman" w:hAnsi="Times New Roman"/>
                <w:bCs/>
                <w:color w:val="000000"/>
                <w:sz w:val="24"/>
                <w:szCs w:val="24"/>
                <w:lang w:val="lv-LV"/>
              </w:rPr>
              <w:t>oteikumu projekts paredz, ka sertificēšan</w:t>
            </w:r>
            <w:r w:rsidR="00CA1F7C" w:rsidRPr="00253F5A">
              <w:rPr>
                <w:rFonts w:ascii="Times New Roman" w:hAnsi="Times New Roman"/>
                <w:bCs/>
                <w:color w:val="000000"/>
                <w:sz w:val="24"/>
                <w:szCs w:val="24"/>
                <w:lang w:val="lv-LV"/>
              </w:rPr>
              <w:t>a</w:t>
            </w:r>
            <w:r w:rsidRPr="00253F5A">
              <w:rPr>
                <w:rFonts w:ascii="Times New Roman" w:hAnsi="Times New Roman"/>
                <w:bCs/>
                <w:color w:val="000000"/>
                <w:sz w:val="24"/>
                <w:szCs w:val="24"/>
                <w:lang w:val="lv-LV"/>
              </w:rPr>
              <w:t xml:space="preserve">s institūcija sertifikāta derīguma termiņa laikā nosaka sertificētai personai </w:t>
            </w:r>
            <w:r w:rsidR="0081596D">
              <w:rPr>
                <w:rFonts w:ascii="Times New Roman" w:hAnsi="Times New Roman"/>
                <w:bCs/>
                <w:color w:val="000000"/>
                <w:sz w:val="24"/>
                <w:szCs w:val="24"/>
                <w:lang w:val="lv-LV"/>
              </w:rPr>
              <w:t>nokārto</w:t>
            </w:r>
            <w:r w:rsidRPr="00253F5A">
              <w:rPr>
                <w:rFonts w:ascii="Times New Roman" w:hAnsi="Times New Roman"/>
                <w:bCs/>
                <w:color w:val="000000"/>
                <w:sz w:val="24"/>
                <w:szCs w:val="24"/>
                <w:lang w:val="lv-LV"/>
              </w:rPr>
              <w:t>t teorētisk</w:t>
            </w:r>
            <w:r w:rsidR="0081596D">
              <w:rPr>
                <w:rFonts w:ascii="Times New Roman" w:hAnsi="Times New Roman"/>
                <w:bCs/>
                <w:color w:val="000000"/>
                <w:sz w:val="24"/>
                <w:szCs w:val="24"/>
                <w:lang w:val="lv-LV"/>
              </w:rPr>
              <w:t>o</w:t>
            </w:r>
            <w:r w:rsidRPr="00253F5A">
              <w:rPr>
                <w:rFonts w:ascii="Times New Roman" w:hAnsi="Times New Roman"/>
                <w:bCs/>
                <w:color w:val="000000"/>
                <w:sz w:val="24"/>
                <w:szCs w:val="24"/>
                <w:lang w:val="lv-LV"/>
              </w:rPr>
              <w:t xml:space="preserve"> un praktisk</w:t>
            </w:r>
            <w:r w:rsidR="0081596D">
              <w:rPr>
                <w:rFonts w:ascii="Times New Roman" w:hAnsi="Times New Roman"/>
                <w:bCs/>
                <w:color w:val="000000"/>
                <w:sz w:val="24"/>
                <w:szCs w:val="24"/>
                <w:lang w:val="lv-LV"/>
              </w:rPr>
              <w:t>o</w:t>
            </w:r>
            <w:r w:rsidRPr="00253F5A">
              <w:rPr>
                <w:rFonts w:ascii="Times New Roman" w:hAnsi="Times New Roman"/>
                <w:bCs/>
                <w:color w:val="000000"/>
                <w:sz w:val="24"/>
                <w:szCs w:val="24"/>
                <w:lang w:val="lv-LV"/>
              </w:rPr>
              <w:t xml:space="preserve"> pārbaud</w:t>
            </w:r>
            <w:r w:rsidR="0081596D">
              <w:rPr>
                <w:rFonts w:ascii="Times New Roman" w:hAnsi="Times New Roman"/>
                <w:bCs/>
                <w:color w:val="000000"/>
                <w:sz w:val="24"/>
                <w:szCs w:val="24"/>
                <w:lang w:val="lv-LV"/>
              </w:rPr>
              <w:t>i</w:t>
            </w:r>
            <w:r w:rsidRPr="00253F5A">
              <w:rPr>
                <w:rFonts w:ascii="Times New Roman" w:hAnsi="Times New Roman"/>
                <w:bCs/>
                <w:color w:val="000000"/>
                <w:sz w:val="24"/>
                <w:szCs w:val="24"/>
                <w:lang w:val="lv-LV"/>
              </w:rPr>
              <w:t xml:space="preserve">, ja </w:t>
            </w:r>
            <w:r w:rsidR="009C4785" w:rsidRPr="00253F5A">
              <w:rPr>
                <w:rFonts w:ascii="Times New Roman" w:hAnsi="Times New Roman"/>
                <w:bCs/>
                <w:color w:val="000000"/>
                <w:sz w:val="24"/>
                <w:szCs w:val="24"/>
                <w:lang w:val="lv-LV"/>
              </w:rPr>
              <w:t xml:space="preserve">kalendāra gada laikā </w:t>
            </w:r>
            <w:r w:rsidRPr="00253F5A">
              <w:rPr>
                <w:rFonts w:ascii="Times New Roman" w:hAnsi="Times New Roman"/>
                <w:bCs/>
                <w:color w:val="000000"/>
                <w:sz w:val="24"/>
                <w:szCs w:val="24"/>
                <w:lang w:val="lv-LV"/>
              </w:rPr>
              <w:t>tiek sasniegts k</w:t>
            </w:r>
            <w:r w:rsidR="0081596D">
              <w:rPr>
                <w:rFonts w:ascii="Times New Roman" w:hAnsi="Times New Roman"/>
                <w:bCs/>
                <w:color w:val="000000"/>
                <w:sz w:val="24"/>
                <w:szCs w:val="24"/>
                <w:lang w:val="lv-LV"/>
              </w:rPr>
              <w:t>onkrē</w:t>
            </w:r>
            <w:r w:rsidRPr="00253F5A">
              <w:rPr>
                <w:rFonts w:ascii="Times New Roman" w:hAnsi="Times New Roman"/>
                <w:bCs/>
                <w:color w:val="000000"/>
                <w:sz w:val="24"/>
                <w:szCs w:val="24"/>
                <w:lang w:val="lv-LV"/>
              </w:rPr>
              <w:t xml:space="preserve">ts </w:t>
            </w:r>
            <w:r w:rsidR="00706FD8" w:rsidRPr="00253F5A">
              <w:rPr>
                <w:rFonts w:ascii="Times New Roman" w:hAnsi="Times New Roman"/>
                <w:bCs/>
                <w:color w:val="000000"/>
                <w:sz w:val="24"/>
                <w:szCs w:val="24"/>
                <w:lang w:val="lv-LV"/>
              </w:rPr>
              <w:t xml:space="preserve">atteikumos norādīto </w:t>
            </w:r>
            <w:r w:rsidRPr="00253F5A">
              <w:rPr>
                <w:rFonts w:ascii="Times New Roman" w:hAnsi="Times New Roman"/>
                <w:bCs/>
                <w:color w:val="000000"/>
                <w:sz w:val="24"/>
                <w:szCs w:val="24"/>
                <w:lang w:val="lv-LV"/>
              </w:rPr>
              <w:t>kļūdu skaits</w:t>
            </w:r>
            <w:r w:rsidR="00706FD8" w:rsidRPr="00253F5A">
              <w:rPr>
                <w:rFonts w:ascii="Times New Roman" w:hAnsi="Times New Roman"/>
                <w:bCs/>
                <w:color w:val="000000"/>
                <w:sz w:val="24"/>
                <w:szCs w:val="24"/>
                <w:lang w:val="lv-LV"/>
              </w:rPr>
              <w:t>.</w:t>
            </w:r>
            <w:r w:rsidR="00A26E83" w:rsidRPr="00253F5A">
              <w:rPr>
                <w:rFonts w:ascii="Times New Roman" w:hAnsi="Times New Roman"/>
                <w:bCs/>
                <w:color w:val="000000"/>
                <w:sz w:val="24"/>
                <w:szCs w:val="24"/>
                <w:lang w:val="lv-LV"/>
              </w:rPr>
              <w:t xml:space="preserve"> Noteikumu projekts papildināts ar pielikumu, kurā </w:t>
            </w:r>
            <w:r w:rsidR="00843C6A">
              <w:rPr>
                <w:rFonts w:ascii="Times New Roman" w:hAnsi="Times New Roman"/>
                <w:bCs/>
                <w:color w:val="000000"/>
                <w:sz w:val="24"/>
                <w:szCs w:val="24"/>
                <w:lang w:val="lv-LV"/>
              </w:rPr>
              <w:t>iekļautas</w:t>
            </w:r>
            <w:r w:rsidR="00CA4D2C" w:rsidRPr="00253F5A">
              <w:rPr>
                <w:rFonts w:ascii="Times New Roman" w:hAnsi="Times New Roman"/>
                <w:bCs/>
                <w:color w:val="000000"/>
                <w:sz w:val="24"/>
                <w:szCs w:val="24"/>
                <w:lang w:val="lv-LV"/>
              </w:rPr>
              <w:t xml:space="preserve"> </w:t>
            </w:r>
            <w:r w:rsidR="001B3FF3" w:rsidRPr="00253F5A">
              <w:rPr>
                <w:rFonts w:ascii="Times New Roman" w:hAnsi="Times New Roman"/>
                <w:bCs/>
                <w:color w:val="000000"/>
                <w:sz w:val="24"/>
                <w:szCs w:val="24"/>
                <w:lang w:val="lv-LV"/>
              </w:rPr>
              <w:t xml:space="preserve">tās </w:t>
            </w:r>
            <w:r w:rsidR="00CA4D2C" w:rsidRPr="00253F5A">
              <w:rPr>
                <w:rFonts w:ascii="Times New Roman" w:hAnsi="Times New Roman"/>
                <w:sz w:val="24"/>
                <w:szCs w:val="24"/>
                <w:lang w:val="lv-LV"/>
              </w:rPr>
              <w:t>meža inventarizācijas datu neatbilstības</w:t>
            </w:r>
            <w:r w:rsidR="001B3FF3" w:rsidRPr="00253F5A">
              <w:rPr>
                <w:rFonts w:ascii="Times New Roman" w:eastAsia="Times New Roman" w:hAnsi="Times New Roman"/>
                <w:sz w:val="24"/>
                <w:szCs w:val="24"/>
                <w:lang w:val="lv-LV" w:eastAsia="lv-LV"/>
              </w:rPr>
              <w:t>, kuras</w:t>
            </w:r>
            <w:r w:rsidR="00843C6A">
              <w:rPr>
                <w:rFonts w:ascii="Times New Roman" w:eastAsia="Times New Roman" w:hAnsi="Times New Roman"/>
                <w:sz w:val="24"/>
                <w:szCs w:val="24"/>
                <w:lang w:val="lv-LV" w:eastAsia="lv-LV"/>
              </w:rPr>
              <w:t xml:space="preserve">, sasniedzot noteikumu projektā minēto apjomu, ir </w:t>
            </w:r>
            <w:r w:rsidR="0081596D">
              <w:rPr>
                <w:rFonts w:ascii="Times New Roman" w:eastAsia="Times New Roman" w:hAnsi="Times New Roman"/>
                <w:sz w:val="24"/>
                <w:szCs w:val="24"/>
                <w:lang w:val="lv-LV" w:eastAsia="lv-LV"/>
              </w:rPr>
              <w:t xml:space="preserve">par </w:t>
            </w:r>
            <w:r w:rsidR="00843C6A">
              <w:rPr>
                <w:rFonts w:ascii="Times New Roman" w:eastAsia="Times New Roman" w:hAnsi="Times New Roman"/>
                <w:sz w:val="24"/>
                <w:szCs w:val="24"/>
                <w:lang w:val="lv-LV" w:eastAsia="lv-LV"/>
              </w:rPr>
              <w:t>pamatu</w:t>
            </w:r>
            <w:r w:rsidR="001B3FF3" w:rsidRPr="00253F5A">
              <w:rPr>
                <w:rFonts w:ascii="Times New Roman" w:eastAsia="Times New Roman" w:hAnsi="Times New Roman"/>
                <w:sz w:val="24"/>
                <w:szCs w:val="24"/>
                <w:lang w:val="lv-LV" w:eastAsia="lv-LV"/>
              </w:rPr>
              <w:t xml:space="preserve"> </w:t>
            </w:r>
            <w:r w:rsidR="00843C6A" w:rsidRPr="00253F5A">
              <w:rPr>
                <w:rFonts w:ascii="Times New Roman" w:hAnsi="Times New Roman"/>
                <w:bCs/>
                <w:color w:val="000000"/>
                <w:sz w:val="24"/>
                <w:szCs w:val="24"/>
                <w:lang w:val="lv-LV"/>
              </w:rPr>
              <w:t>teorētiskās un praktiskās pārbaudes kārtošan</w:t>
            </w:r>
            <w:r w:rsidR="00843C6A">
              <w:rPr>
                <w:rFonts w:ascii="Times New Roman" w:hAnsi="Times New Roman"/>
                <w:bCs/>
                <w:color w:val="000000"/>
                <w:sz w:val="24"/>
                <w:szCs w:val="24"/>
                <w:lang w:val="lv-LV"/>
              </w:rPr>
              <w:t>ai</w:t>
            </w:r>
            <w:r w:rsidR="001B3FF3" w:rsidRPr="00253F5A">
              <w:rPr>
                <w:rFonts w:ascii="Times New Roman" w:eastAsia="Times New Roman" w:hAnsi="Times New Roman"/>
                <w:sz w:val="24"/>
                <w:szCs w:val="24"/>
                <w:lang w:val="lv-LV" w:eastAsia="lv-LV"/>
              </w:rPr>
              <w:t>.</w:t>
            </w:r>
            <w:r w:rsidR="00CA4D2C" w:rsidRPr="00253F5A">
              <w:rPr>
                <w:rFonts w:ascii="Times New Roman" w:hAnsi="Times New Roman"/>
                <w:bCs/>
                <w:color w:val="000000"/>
                <w:sz w:val="24"/>
                <w:szCs w:val="24"/>
                <w:lang w:val="lv-LV"/>
              </w:rPr>
              <w:t xml:space="preserve"> </w:t>
            </w:r>
            <w:r w:rsidR="001B3FF3" w:rsidRPr="00253F5A">
              <w:rPr>
                <w:rFonts w:ascii="Times New Roman" w:hAnsi="Times New Roman"/>
                <w:bCs/>
                <w:color w:val="000000"/>
                <w:sz w:val="24"/>
                <w:szCs w:val="24"/>
                <w:lang w:val="lv-LV"/>
              </w:rPr>
              <w:t xml:space="preserve">Tā tiks </w:t>
            </w:r>
            <w:r w:rsidR="00CA4D2C" w:rsidRPr="00253F5A">
              <w:rPr>
                <w:rFonts w:ascii="Times New Roman" w:hAnsi="Times New Roman"/>
                <w:bCs/>
                <w:color w:val="000000"/>
                <w:sz w:val="24"/>
                <w:szCs w:val="24"/>
                <w:lang w:val="lv-LV"/>
              </w:rPr>
              <w:t>nodrošin</w:t>
            </w:r>
            <w:r w:rsidR="001B3FF3" w:rsidRPr="00253F5A">
              <w:rPr>
                <w:rFonts w:ascii="Times New Roman" w:hAnsi="Times New Roman"/>
                <w:bCs/>
                <w:color w:val="000000"/>
                <w:sz w:val="24"/>
                <w:szCs w:val="24"/>
                <w:lang w:val="lv-LV"/>
              </w:rPr>
              <w:t>ā</w:t>
            </w:r>
            <w:r w:rsidR="00CA4D2C" w:rsidRPr="00253F5A">
              <w:rPr>
                <w:rFonts w:ascii="Times New Roman" w:hAnsi="Times New Roman"/>
                <w:bCs/>
                <w:color w:val="000000"/>
                <w:sz w:val="24"/>
                <w:szCs w:val="24"/>
                <w:lang w:val="lv-LV"/>
              </w:rPr>
              <w:t>t</w:t>
            </w:r>
            <w:r w:rsidR="001B3FF3" w:rsidRPr="00253F5A">
              <w:rPr>
                <w:rFonts w:ascii="Times New Roman" w:hAnsi="Times New Roman"/>
                <w:bCs/>
                <w:color w:val="000000"/>
                <w:sz w:val="24"/>
                <w:szCs w:val="24"/>
                <w:lang w:val="lv-LV"/>
              </w:rPr>
              <w:t>i</w:t>
            </w:r>
            <w:r w:rsidR="00CA4D2C" w:rsidRPr="00253F5A">
              <w:rPr>
                <w:rFonts w:ascii="Times New Roman" w:hAnsi="Times New Roman"/>
                <w:bCs/>
                <w:color w:val="000000"/>
                <w:sz w:val="24"/>
                <w:szCs w:val="24"/>
                <w:lang w:val="lv-LV"/>
              </w:rPr>
              <w:t xml:space="preserve"> </w:t>
            </w:r>
            <w:r w:rsidR="001B3FF3" w:rsidRPr="00253F5A">
              <w:rPr>
                <w:rFonts w:ascii="Times New Roman" w:hAnsi="Times New Roman"/>
                <w:bCs/>
                <w:color w:val="000000"/>
                <w:sz w:val="24"/>
                <w:szCs w:val="24"/>
                <w:lang w:val="lv-LV"/>
              </w:rPr>
              <w:t xml:space="preserve">vienādi </w:t>
            </w:r>
            <w:r w:rsidR="00CA4D2C" w:rsidRPr="00253F5A">
              <w:rPr>
                <w:rFonts w:ascii="Times New Roman" w:hAnsi="Times New Roman"/>
                <w:bCs/>
                <w:color w:val="000000"/>
                <w:sz w:val="24"/>
                <w:szCs w:val="24"/>
                <w:lang w:val="lv-LV"/>
              </w:rPr>
              <w:t xml:space="preserve">vērtēšanās </w:t>
            </w:r>
            <w:r w:rsidR="001B3FF3" w:rsidRPr="00253F5A">
              <w:rPr>
                <w:rFonts w:ascii="Times New Roman" w:hAnsi="Times New Roman"/>
                <w:bCs/>
                <w:color w:val="000000"/>
                <w:sz w:val="24"/>
                <w:szCs w:val="24"/>
                <w:lang w:val="lv-LV"/>
              </w:rPr>
              <w:t xml:space="preserve">kritēriji </w:t>
            </w:r>
            <w:r w:rsidR="009C4785" w:rsidRPr="00253F5A">
              <w:rPr>
                <w:rFonts w:ascii="Times New Roman" w:hAnsi="Times New Roman"/>
                <w:bCs/>
                <w:color w:val="000000"/>
                <w:sz w:val="24"/>
                <w:szCs w:val="24"/>
                <w:lang w:val="lv-LV"/>
              </w:rPr>
              <w:t>un rīcība attiecībā uz atteikumos norādītajām kļūdām.</w:t>
            </w:r>
            <w:r w:rsidR="00706FD8" w:rsidRPr="00253F5A">
              <w:rPr>
                <w:rFonts w:ascii="Times New Roman" w:hAnsi="Times New Roman"/>
                <w:bCs/>
                <w:color w:val="000000"/>
                <w:sz w:val="24"/>
                <w:szCs w:val="24"/>
                <w:lang w:val="lv-LV"/>
              </w:rPr>
              <w:t xml:space="preserve"> </w:t>
            </w:r>
          </w:p>
          <w:p w:rsidR="0028778D" w:rsidRPr="007202DC" w:rsidRDefault="00DA7204" w:rsidP="0083012C">
            <w:pPr>
              <w:pStyle w:val="Bezatstarpm"/>
              <w:jc w:val="both"/>
              <w:rPr>
                <w:rFonts w:ascii="Times New Roman" w:hAnsi="Times New Roman"/>
                <w:bCs/>
                <w:color w:val="000000"/>
                <w:sz w:val="24"/>
                <w:szCs w:val="24"/>
                <w:lang w:val="lv-LV"/>
              </w:rPr>
            </w:pPr>
            <w:r w:rsidRPr="00253F5A">
              <w:rPr>
                <w:rFonts w:ascii="Times New Roman" w:hAnsi="Times New Roman"/>
                <w:bCs/>
                <w:color w:val="000000"/>
                <w:sz w:val="24"/>
                <w:szCs w:val="24"/>
                <w:lang w:val="lv-LV"/>
              </w:rPr>
              <w:t>Savukārt uzraudzības pārbaudes veic</w:t>
            </w:r>
            <w:r w:rsidR="00400654" w:rsidRPr="00253F5A">
              <w:rPr>
                <w:rFonts w:ascii="Times New Roman" w:hAnsi="Times New Roman"/>
                <w:bCs/>
                <w:color w:val="000000"/>
                <w:sz w:val="24"/>
                <w:szCs w:val="24"/>
                <w:lang w:val="lv-LV"/>
              </w:rPr>
              <w:t>,</w:t>
            </w:r>
            <w:r w:rsidRPr="00253F5A">
              <w:rPr>
                <w:rFonts w:ascii="Times New Roman" w:hAnsi="Times New Roman"/>
                <w:bCs/>
                <w:color w:val="000000"/>
                <w:sz w:val="24"/>
                <w:szCs w:val="24"/>
                <w:lang w:val="lv-LV"/>
              </w:rPr>
              <w:t xml:space="preserve"> izskatot saņemtos iesniegumus (sūdzības) un plānveida </w:t>
            </w:r>
            <w:r w:rsidR="009C4785" w:rsidRPr="00253F5A">
              <w:rPr>
                <w:rFonts w:ascii="Times New Roman" w:hAnsi="Times New Roman"/>
                <w:bCs/>
                <w:color w:val="000000"/>
                <w:sz w:val="24"/>
                <w:szCs w:val="24"/>
                <w:lang w:val="lv-LV"/>
              </w:rPr>
              <w:t>kārtībā pārbaudot sertificēto personu</w:t>
            </w:r>
            <w:r w:rsidRPr="00253F5A">
              <w:rPr>
                <w:rFonts w:ascii="Times New Roman" w:hAnsi="Times New Roman"/>
                <w:bCs/>
                <w:color w:val="000000"/>
                <w:sz w:val="24"/>
                <w:szCs w:val="24"/>
                <w:lang w:val="lv-LV"/>
              </w:rPr>
              <w:t xml:space="preserve">. </w:t>
            </w:r>
            <w:r w:rsidRPr="00E95016">
              <w:rPr>
                <w:rFonts w:ascii="Times New Roman" w:hAnsi="Times New Roman"/>
                <w:bCs/>
                <w:color w:val="000000"/>
                <w:sz w:val="24"/>
                <w:szCs w:val="24"/>
                <w:lang w:val="lv-LV"/>
              </w:rPr>
              <w:t>Sūdzības sertifikācijas institūcijā par sertificēto personu var iesniegt jebkura persona, kas saistīta ar sertificētās personas profesionālo darbību.</w:t>
            </w:r>
            <w:r w:rsidR="002E7935">
              <w:rPr>
                <w:rFonts w:ascii="Times New Roman" w:hAnsi="Times New Roman"/>
                <w:bCs/>
                <w:color w:val="000000"/>
                <w:sz w:val="24"/>
                <w:szCs w:val="24"/>
                <w:lang w:val="lv-LV"/>
              </w:rPr>
              <w:t xml:space="preserve"> </w:t>
            </w:r>
            <w:r w:rsidR="00631279" w:rsidRPr="007202DC">
              <w:rPr>
                <w:rFonts w:ascii="Times New Roman" w:hAnsi="Times New Roman"/>
                <w:bCs/>
                <w:color w:val="000000"/>
                <w:sz w:val="24"/>
                <w:szCs w:val="24"/>
                <w:lang w:val="lv-LV"/>
              </w:rPr>
              <w:t>Atbilstoši Meža likuma 29.panta piektajai daļai un 34.panta otrajai daļai meža inventarizācijas veicēju darbības uzraudzību veic akreditētas atbilstības novērtēšanas institūcijas (sertificēšanas institūcijas). Tāpēc s</w:t>
            </w:r>
            <w:r w:rsidR="002E7935" w:rsidRPr="007202DC">
              <w:rPr>
                <w:rFonts w:ascii="Times New Roman" w:hAnsi="Times New Roman"/>
                <w:bCs/>
                <w:color w:val="000000"/>
                <w:sz w:val="24"/>
                <w:szCs w:val="24"/>
                <w:lang w:val="lv-LV"/>
              </w:rPr>
              <w:t>ertificēšanas institūcijai ir jāizvērtē vis</w:t>
            </w:r>
            <w:r w:rsidR="00981C45">
              <w:rPr>
                <w:rFonts w:ascii="Times New Roman" w:hAnsi="Times New Roman"/>
                <w:bCs/>
                <w:color w:val="000000"/>
                <w:sz w:val="24"/>
                <w:szCs w:val="24"/>
                <w:lang w:val="lv-LV"/>
              </w:rPr>
              <w:t>a</w:t>
            </w:r>
            <w:r w:rsidR="002E7935" w:rsidRPr="007202DC">
              <w:rPr>
                <w:rFonts w:ascii="Times New Roman" w:hAnsi="Times New Roman"/>
                <w:bCs/>
                <w:color w:val="000000"/>
                <w:sz w:val="24"/>
                <w:szCs w:val="24"/>
                <w:lang w:val="lv-LV"/>
              </w:rPr>
              <w:t xml:space="preserve"> saņemt</w:t>
            </w:r>
            <w:r w:rsidR="00981C45">
              <w:rPr>
                <w:rFonts w:ascii="Times New Roman" w:hAnsi="Times New Roman"/>
                <w:bCs/>
                <w:color w:val="000000"/>
                <w:sz w:val="24"/>
                <w:szCs w:val="24"/>
                <w:lang w:val="lv-LV"/>
              </w:rPr>
              <w:t>ā</w:t>
            </w:r>
            <w:r w:rsidR="002E7935" w:rsidRPr="007202DC">
              <w:rPr>
                <w:rFonts w:ascii="Times New Roman" w:hAnsi="Times New Roman"/>
                <w:bCs/>
                <w:color w:val="000000"/>
                <w:sz w:val="24"/>
                <w:szCs w:val="24"/>
                <w:lang w:val="lv-LV"/>
              </w:rPr>
              <w:t xml:space="preserve"> informācij</w:t>
            </w:r>
            <w:r w:rsidR="00981C45">
              <w:rPr>
                <w:rFonts w:ascii="Times New Roman" w:hAnsi="Times New Roman"/>
                <w:bCs/>
                <w:color w:val="000000"/>
                <w:sz w:val="24"/>
                <w:szCs w:val="24"/>
                <w:lang w:val="lv-LV"/>
              </w:rPr>
              <w:t>a</w:t>
            </w:r>
            <w:r w:rsidR="002E7935" w:rsidRPr="007202DC">
              <w:rPr>
                <w:rFonts w:ascii="Times New Roman" w:hAnsi="Times New Roman"/>
                <w:bCs/>
                <w:color w:val="000000"/>
                <w:sz w:val="24"/>
                <w:szCs w:val="24"/>
                <w:lang w:val="lv-LV"/>
              </w:rPr>
              <w:t xml:space="preserve"> par sertificēto personu visā sertifikāta derīguma termiņa laikā.</w:t>
            </w:r>
            <w:r w:rsidRPr="007202DC">
              <w:rPr>
                <w:rFonts w:ascii="Times New Roman" w:hAnsi="Times New Roman"/>
                <w:bCs/>
                <w:color w:val="000000"/>
                <w:sz w:val="24"/>
                <w:szCs w:val="24"/>
                <w:lang w:val="lv-LV"/>
              </w:rPr>
              <w:t xml:space="preserve"> </w:t>
            </w:r>
            <w:r w:rsidR="00E95016" w:rsidRPr="007202DC">
              <w:rPr>
                <w:rFonts w:ascii="Times New Roman" w:hAnsi="Times New Roman"/>
                <w:bCs/>
                <w:color w:val="000000"/>
                <w:sz w:val="24"/>
                <w:szCs w:val="24"/>
                <w:lang w:val="lv-LV"/>
              </w:rPr>
              <w:t xml:space="preserve">Izskatot sūdzību, sertificēšanas institūcija </w:t>
            </w:r>
            <w:r w:rsidR="00DD509B" w:rsidRPr="007202DC">
              <w:rPr>
                <w:rFonts w:ascii="Times New Roman" w:hAnsi="Times New Roman"/>
                <w:bCs/>
                <w:color w:val="000000"/>
                <w:sz w:val="24"/>
                <w:szCs w:val="24"/>
                <w:lang w:val="lv-LV"/>
              </w:rPr>
              <w:t xml:space="preserve">veic </w:t>
            </w:r>
            <w:r w:rsidR="00E95016" w:rsidRPr="007202DC">
              <w:rPr>
                <w:rFonts w:ascii="Times New Roman" w:hAnsi="Times New Roman"/>
                <w:bCs/>
                <w:color w:val="000000"/>
                <w:sz w:val="24"/>
                <w:szCs w:val="24"/>
                <w:lang w:val="lv-LV"/>
              </w:rPr>
              <w:lastRenderedPageBreak/>
              <w:t>uzraudzības pārbaud</w:t>
            </w:r>
            <w:r w:rsidR="00DD509B" w:rsidRPr="007202DC">
              <w:rPr>
                <w:rFonts w:ascii="Times New Roman" w:hAnsi="Times New Roman"/>
                <w:bCs/>
                <w:color w:val="000000"/>
                <w:sz w:val="24"/>
                <w:szCs w:val="24"/>
                <w:lang w:val="lv-LV"/>
              </w:rPr>
              <w:t>i,</w:t>
            </w:r>
            <w:r w:rsidR="00E95016" w:rsidRPr="007202DC">
              <w:rPr>
                <w:rFonts w:ascii="Times New Roman" w:hAnsi="Times New Roman"/>
                <w:bCs/>
                <w:color w:val="000000"/>
                <w:sz w:val="24"/>
                <w:szCs w:val="24"/>
                <w:lang w:val="lv-LV"/>
              </w:rPr>
              <w:t xml:space="preserve"> pārbaudot sūdzībā minēto, ja nepieciešams</w:t>
            </w:r>
            <w:r w:rsidR="00214C43" w:rsidRPr="007202DC">
              <w:rPr>
                <w:rFonts w:ascii="Times New Roman" w:hAnsi="Times New Roman"/>
                <w:bCs/>
                <w:color w:val="000000"/>
                <w:sz w:val="24"/>
                <w:szCs w:val="24"/>
                <w:lang w:val="lv-LV"/>
              </w:rPr>
              <w:t xml:space="preserve">, </w:t>
            </w:r>
            <w:r w:rsidR="00981C45">
              <w:rPr>
                <w:rFonts w:ascii="Times New Roman" w:hAnsi="Times New Roman"/>
                <w:bCs/>
                <w:color w:val="000000"/>
                <w:sz w:val="24"/>
                <w:szCs w:val="24"/>
                <w:lang w:val="lv-LV"/>
              </w:rPr>
              <w:t>arī</w:t>
            </w:r>
            <w:r w:rsidR="00214C43" w:rsidRPr="007202DC">
              <w:rPr>
                <w:rFonts w:ascii="Times New Roman" w:hAnsi="Times New Roman"/>
                <w:bCs/>
                <w:color w:val="000000"/>
                <w:sz w:val="24"/>
                <w:szCs w:val="24"/>
                <w:lang w:val="lv-LV"/>
              </w:rPr>
              <w:t xml:space="preserve"> dabā</w:t>
            </w:r>
            <w:r w:rsidR="00E95016" w:rsidRPr="007202DC">
              <w:rPr>
                <w:rFonts w:ascii="Times New Roman" w:hAnsi="Times New Roman"/>
                <w:bCs/>
                <w:color w:val="000000"/>
                <w:sz w:val="24"/>
                <w:szCs w:val="24"/>
                <w:lang w:val="lv-LV"/>
              </w:rPr>
              <w:t>.</w:t>
            </w:r>
          </w:p>
          <w:p w:rsidR="00382153" w:rsidRPr="008B3824" w:rsidRDefault="00EB264E" w:rsidP="0083012C">
            <w:pPr>
              <w:pStyle w:val="Bezatstarpm"/>
              <w:jc w:val="both"/>
              <w:rPr>
                <w:rFonts w:ascii="Times New Roman" w:hAnsi="Times New Roman"/>
                <w:bCs/>
                <w:sz w:val="24"/>
                <w:szCs w:val="24"/>
                <w:lang w:val="lv-LV"/>
              </w:rPr>
            </w:pPr>
            <w:r w:rsidRPr="0028778D">
              <w:rPr>
                <w:rFonts w:ascii="Times New Roman" w:hAnsi="Times New Roman"/>
                <w:bCs/>
                <w:color w:val="000000"/>
                <w:sz w:val="24"/>
                <w:szCs w:val="24"/>
                <w:lang w:val="lv-LV"/>
              </w:rPr>
              <w:t xml:space="preserve">Noteikumu projektā ir </w:t>
            </w:r>
            <w:r w:rsidR="009C4785" w:rsidRPr="0028778D">
              <w:rPr>
                <w:rFonts w:ascii="Times New Roman" w:hAnsi="Times New Roman"/>
                <w:bCs/>
                <w:color w:val="000000"/>
                <w:sz w:val="24"/>
                <w:szCs w:val="24"/>
                <w:lang w:val="lv-LV"/>
              </w:rPr>
              <w:t xml:space="preserve">paredzēts minimālais </w:t>
            </w:r>
            <w:r w:rsidRPr="0028778D">
              <w:rPr>
                <w:rFonts w:ascii="Times New Roman" w:hAnsi="Times New Roman"/>
                <w:bCs/>
                <w:color w:val="000000"/>
                <w:sz w:val="24"/>
                <w:szCs w:val="24"/>
                <w:lang w:val="lv-LV"/>
              </w:rPr>
              <w:t>plānveida sertificēto personu uzraudzība</w:t>
            </w:r>
            <w:r w:rsidR="009C4785" w:rsidRPr="0028778D">
              <w:rPr>
                <w:rFonts w:ascii="Times New Roman" w:hAnsi="Times New Roman"/>
                <w:bCs/>
                <w:color w:val="000000"/>
                <w:sz w:val="24"/>
                <w:szCs w:val="24"/>
                <w:lang w:val="lv-LV"/>
              </w:rPr>
              <w:t>s apjoms</w:t>
            </w:r>
            <w:r w:rsidRPr="0028778D">
              <w:rPr>
                <w:rFonts w:ascii="Times New Roman" w:hAnsi="Times New Roman"/>
                <w:bCs/>
                <w:color w:val="000000"/>
                <w:sz w:val="24"/>
                <w:szCs w:val="24"/>
                <w:lang w:val="lv-LV"/>
              </w:rPr>
              <w:t xml:space="preserve">, </w:t>
            </w:r>
            <w:r w:rsidR="00981C45">
              <w:rPr>
                <w:rFonts w:ascii="Times New Roman" w:hAnsi="Times New Roman"/>
                <w:bCs/>
                <w:color w:val="000000"/>
                <w:sz w:val="24"/>
                <w:szCs w:val="24"/>
                <w:lang w:val="lv-LV"/>
              </w:rPr>
              <w:t>t.i.,</w:t>
            </w:r>
            <w:r w:rsidRPr="0028778D">
              <w:rPr>
                <w:rFonts w:ascii="Times New Roman" w:hAnsi="Times New Roman"/>
                <w:bCs/>
                <w:color w:val="000000"/>
                <w:sz w:val="24"/>
                <w:szCs w:val="24"/>
                <w:lang w:val="lv-LV"/>
              </w:rPr>
              <w:t xml:space="preserve"> vismaz vienu reizi piecos gados pārbaudīt</w:t>
            </w:r>
            <w:r w:rsidR="000B4F2D" w:rsidRPr="0028778D">
              <w:rPr>
                <w:rFonts w:ascii="Times New Roman" w:hAnsi="Times New Roman"/>
                <w:bCs/>
                <w:color w:val="000000"/>
                <w:sz w:val="24"/>
                <w:szCs w:val="24"/>
                <w:lang w:val="lv-LV"/>
              </w:rPr>
              <w:t xml:space="preserve"> sertificētas personas sagatavotos meža inventarizācijas datus</w:t>
            </w:r>
            <w:r w:rsidRPr="0028778D">
              <w:rPr>
                <w:rFonts w:ascii="Times New Roman" w:hAnsi="Times New Roman"/>
                <w:bCs/>
                <w:color w:val="000000"/>
                <w:sz w:val="24"/>
                <w:szCs w:val="24"/>
                <w:lang w:val="lv-LV"/>
              </w:rPr>
              <w:t xml:space="preserve"> ne mazāk kā 10 hektāros </w:t>
            </w:r>
            <w:r w:rsidRPr="0028778D">
              <w:rPr>
                <w:rFonts w:ascii="Times New Roman" w:eastAsia="Times New Roman" w:hAnsi="Times New Roman"/>
                <w:bCs/>
                <w:color w:val="000000"/>
                <w:sz w:val="24"/>
                <w:szCs w:val="24"/>
                <w:lang w:val="lv-LV" w:eastAsia="lv-LV"/>
              </w:rPr>
              <w:t>un 10 nogabalos vismaz trijos atsevišķos meža īpašumos, bet, ja inventarizācija veikta mazāk nekā trijos meža īpašumos</w:t>
            </w:r>
            <w:r w:rsidR="00981C45">
              <w:rPr>
                <w:rFonts w:ascii="Times New Roman" w:eastAsia="Times New Roman" w:hAnsi="Times New Roman"/>
                <w:bCs/>
                <w:color w:val="000000"/>
                <w:sz w:val="24"/>
                <w:szCs w:val="24"/>
                <w:lang w:val="lv-LV" w:eastAsia="lv-LV"/>
              </w:rPr>
              <w:t>,</w:t>
            </w:r>
            <w:r w:rsidRPr="0028778D">
              <w:rPr>
                <w:rFonts w:ascii="Times New Roman" w:eastAsia="Times New Roman" w:hAnsi="Times New Roman"/>
                <w:bCs/>
                <w:color w:val="000000"/>
                <w:sz w:val="24"/>
                <w:szCs w:val="24"/>
                <w:lang w:val="lv-LV" w:eastAsia="lv-LV"/>
              </w:rPr>
              <w:t xml:space="preserve"> – vismaz trijās atsevišķās </w:t>
            </w:r>
            <w:r w:rsidR="00843C6A">
              <w:rPr>
                <w:rFonts w:ascii="Times New Roman" w:eastAsia="Times New Roman" w:hAnsi="Times New Roman"/>
                <w:bCs/>
                <w:color w:val="000000"/>
                <w:sz w:val="24"/>
                <w:szCs w:val="24"/>
                <w:lang w:val="lv-LV" w:eastAsia="lv-LV"/>
              </w:rPr>
              <w:t>zemes</w:t>
            </w:r>
            <w:r w:rsidRPr="0028778D">
              <w:rPr>
                <w:rFonts w:ascii="Times New Roman" w:eastAsia="Times New Roman" w:hAnsi="Times New Roman"/>
                <w:bCs/>
                <w:color w:val="000000"/>
                <w:sz w:val="24"/>
                <w:szCs w:val="24"/>
                <w:lang w:val="lv-LV" w:eastAsia="lv-LV"/>
              </w:rPr>
              <w:t xml:space="preserve"> vienībās</w:t>
            </w:r>
            <w:r w:rsidR="00805A33" w:rsidRPr="0028778D">
              <w:rPr>
                <w:rFonts w:ascii="Times New Roman" w:eastAsia="Times New Roman" w:hAnsi="Times New Roman"/>
                <w:bCs/>
                <w:color w:val="000000"/>
                <w:sz w:val="24"/>
                <w:szCs w:val="24"/>
                <w:lang w:val="lv-LV" w:eastAsia="lv-LV"/>
              </w:rPr>
              <w:t>.</w:t>
            </w:r>
            <w:r w:rsidR="008201D8" w:rsidRPr="0028778D">
              <w:rPr>
                <w:rFonts w:ascii="Times New Roman" w:eastAsia="Times New Roman" w:hAnsi="Times New Roman"/>
                <w:bCs/>
                <w:color w:val="000000"/>
                <w:sz w:val="24"/>
                <w:szCs w:val="24"/>
                <w:lang w:val="lv-LV" w:eastAsia="lv-LV"/>
              </w:rPr>
              <w:t xml:space="preserve"> </w:t>
            </w:r>
            <w:r w:rsidR="00382153" w:rsidRPr="008B3824">
              <w:rPr>
                <w:rFonts w:ascii="Times New Roman" w:hAnsi="Times New Roman"/>
                <w:bCs/>
                <w:sz w:val="24"/>
                <w:szCs w:val="24"/>
                <w:lang w:val="lv-LV"/>
              </w:rPr>
              <w:t xml:space="preserve">Noteikumu projektā paredzēts, ka turpmāk plānveida pārbaudi sertificēšanas institūcija veiks </w:t>
            </w:r>
            <w:r w:rsidR="00382153" w:rsidRPr="00981C45">
              <w:rPr>
                <w:rFonts w:ascii="Times New Roman" w:eastAsia="Times New Roman" w:hAnsi="Times New Roman"/>
                <w:sz w:val="24"/>
                <w:szCs w:val="24"/>
                <w:lang w:val="lv-LV" w:eastAsia="lv-LV"/>
              </w:rPr>
              <w:t>vismaz reizi piecos gados</w:t>
            </w:r>
            <w:r w:rsidR="00981C45" w:rsidRPr="00981C45">
              <w:rPr>
                <w:rFonts w:ascii="Times New Roman" w:eastAsia="Times New Roman" w:hAnsi="Times New Roman"/>
                <w:sz w:val="24"/>
                <w:szCs w:val="24"/>
                <w:lang w:val="lv-LV" w:eastAsia="lv-LV"/>
              </w:rPr>
              <w:t>,</w:t>
            </w:r>
            <w:r w:rsidR="00382153" w:rsidRPr="008B3824">
              <w:rPr>
                <w:rFonts w:ascii="Times New Roman" w:hAnsi="Times New Roman"/>
                <w:bCs/>
                <w:sz w:val="24"/>
                <w:szCs w:val="24"/>
                <w:lang w:val="lv-LV"/>
              </w:rPr>
              <w:t xml:space="preserve"> nevis </w:t>
            </w:r>
            <w:r w:rsidR="00382153" w:rsidRPr="00981C45">
              <w:rPr>
                <w:rFonts w:ascii="Times New Roman" w:eastAsia="Times New Roman" w:hAnsi="Times New Roman"/>
                <w:sz w:val="24"/>
                <w:szCs w:val="24"/>
                <w:lang w:val="lv-LV" w:eastAsia="lv-LV"/>
              </w:rPr>
              <w:t>vismaz reizi trijos gados, kā tas ir noteikts šobrīd.</w:t>
            </w:r>
            <w:r w:rsidR="00382153" w:rsidRPr="008B3824">
              <w:rPr>
                <w:rFonts w:ascii="Times New Roman" w:hAnsi="Times New Roman"/>
                <w:bCs/>
                <w:sz w:val="24"/>
                <w:szCs w:val="24"/>
                <w:lang w:val="lv-LV"/>
              </w:rPr>
              <w:t xml:space="preserve"> Minētās izmaiņas nepieciešamas, lai saskaņotu plānveida pārbaužu veikšanas biežumu ar sertifikāta derīguma termiņu. </w:t>
            </w:r>
            <w:r w:rsidR="00981C45" w:rsidRPr="008B3824">
              <w:rPr>
                <w:rFonts w:ascii="Times New Roman" w:hAnsi="Times New Roman"/>
                <w:bCs/>
                <w:sz w:val="24"/>
                <w:szCs w:val="24"/>
                <w:lang w:val="lv-LV"/>
              </w:rPr>
              <w:t>Šo grozījumu dēļ nemazināsies</w:t>
            </w:r>
            <w:r w:rsidR="00382153" w:rsidRPr="008B3824">
              <w:rPr>
                <w:rFonts w:ascii="Times New Roman" w:hAnsi="Times New Roman"/>
                <w:bCs/>
                <w:sz w:val="24"/>
                <w:szCs w:val="24"/>
                <w:lang w:val="lv-LV"/>
              </w:rPr>
              <w:t xml:space="preserve"> kontro</w:t>
            </w:r>
            <w:r w:rsidR="00981C45" w:rsidRPr="008B3824">
              <w:rPr>
                <w:rFonts w:ascii="Times New Roman" w:hAnsi="Times New Roman"/>
                <w:bCs/>
                <w:sz w:val="24"/>
                <w:szCs w:val="24"/>
                <w:lang w:val="lv-LV"/>
              </w:rPr>
              <w:t>ļu</w:t>
            </w:r>
            <w:r w:rsidR="00382153" w:rsidRPr="008B3824">
              <w:rPr>
                <w:rFonts w:ascii="Times New Roman" w:hAnsi="Times New Roman"/>
                <w:bCs/>
                <w:sz w:val="24"/>
                <w:szCs w:val="24"/>
                <w:lang w:val="lv-LV"/>
              </w:rPr>
              <w:t xml:space="preserve"> s</w:t>
            </w:r>
            <w:r w:rsidR="00981C45" w:rsidRPr="008B3824">
              <w:rPr>
                <w:rFonts w:ascii="Times New Roman" w:hAnsi="Times New Roman"/>
                <w:bCs/>
                <w:sz w:val="24"/>
                <w:szCs w:val="24"/>
                <w:lang w:val="lv-LV"/>
              </w:rPr>
              <w:t>kaits</w:t>
            </w:r>
            <w:r w:rsidR="00382153" w:rsidRPr="008B3824">
              <w:rPr>
                <w:rFonts w:ascii="Times New Roman" w:hAnsi="Times New Roman"/>
                <w:bCs/>
                <w:sz w:val="24"/>
                <w:szCs w:val="24"/>
                <w:lang w:val="lv-LV"/>
              </w:rPr>
              <w:t>, jo noteikumu projekts paredz, ka sertificēšanas institūcija sertificētās personas darbību turpmāk uzraudzīs</w:t>
            </w:r>
            <w:r w:rsidR="00981C45" w:rsidRPr="008B3824">
              <w:rPr>
                <w:rFonts w:ascii="Times New Roman" w:hAnsi="Times New Roman"/>
                <w:bCs/>
                <w:sz w:val="24"/>
                <w:szCs w:val="24"/>
                <w:lang w:val="lv-LV"/>
              </w:rPr>
              <w:t>,</w:t>
            </w:r>
            <w:r w:rsidR="00382153" w:rsidRPr="008B3824">
              <w:rPr>
                <w:rFonts w:ascii="Times New Roman" w:hAnsi="Times New Roman"/>
                <w:bCs/>
                <w:sz w:val="24"/>
                <w:szCs w:val="24"/>
                <w:lang w:val="lv-LV"/>
              </w:rPr>
              <w:t xml:space="preserve"> arī ik gadu vērtējot no Valsts meža dienesta saņemtos atteikumus reģistrēt meža inventarizācijas lietas.</w:t>
            </w:r>
          </w:p>
          <w:p w:rsidR="00382153" w:rsidRPr="007202DC" w:rsidRDefault="00382153" w:rsidP="0083012C">
            <w:pPr>
              <w:pStyle w:val="Bezatstarpm"/>
              <w:jc w:val="both"/>
              <w:rPr>
                <w:rFonts w:ascii="Times New Roman" w:eastAsia="Times New Roman" w:hAnsi="Times New Roman"/>
                <w:bCs/>
                <w:color w:val="000000"/>
                <w:sz w:val="24"/>
                <w:szCs w:val="24"/>
                <w:lang w:val="lv-LV" w:eastAsia="lv-LV"/>
              </w:rPr>
            </w:pPr>
            <w:r w:rsidRPr="008B3824">
              <w:rPr>
                <w:rFonts w:ascii="Times New Roman" w:hAnsi="Times New Roman"/>
                <w:bCs/>
                <w:sz w:val="24"/>
                <w:szCs w:val="24"/>
                <w:lang w:val="lv-LV"/>
              </w:rPr>
              <w:t>Plānveida</w:t>
            </w:r>
            <w:r w:rsidRPr="007202DC">
              <w:rPr>
                <w:rFonts w:ascii="Times New Roman" w:hAnsi="Times New Roman"/>
                <w:bCs/>
                <w:lang w:val="lv-LV"/>
              </w:rPr>
              <w:t xml:space="preserve"> p</w:t>
            </w:r>
            <w:r w:rsidR="00EB264E" w:rsidRPr="0028778D">
              <w:rPr>
                <w:rFonts w:ascii="Times New Roman" w:eastAsia="Times New Roman" w:hAnsi="Times New Roman"/>
                <w:bCs/>
                <w:color w:val="000000"/>
                <w:sz w:val="24"/>
                <w:szCs w:val="24"/>
                <w:lang w:val="lv-LV" w:eastAsia="lv-LV"/>
              </w:rPr>
              <w:t>ārbaudes laikā sertificēšanas institūcija izvērtē sertificētās personas sagatavotu meža inventarizācijas lietu atbilstību meža apsaimniekošanu un izmantošanu regulējošo normatīvu aktu prasībām un situācijai dabā.</w:t>
            </w:r>
            <w:r>
              <w:rPr>
                <w:rFonts w:ascii="Times New Roman" w:eastAsia="Times New Roman" w:hAnsi="Times New Roman"/>
                <w:bCs/>
                <w:color w:val="000000"/>
                <w:sz w:val="24"/>
                <w:szCs w:val="24"/>
                <w:lang w:val="lv-LV" w:eastAsia="lv-LV"/>
              </w:rPr>
              <w:t xml:space="preserve"> Noteikumu projekts paredz, ka </w:t>
            </w:r>
            <w:r w:rsidR="00442CF5" w:rsidRPr="007202DC">
              <w:rPr>
                <w:rFonts w:ascii="Times New Roman" w:eastAsia="Times New Roman" w:hAnsi="Times New Roman"/>
                <w:sz w:val="24"/>
                <w:szCs w:val="24"/>
                <w:lang w:val="lv-LV" w:eastAsia="lv-LV"/>
              </w:rPr>
              <w:t>p</w:t>
            </w:r>
            <w:r w:rsidRPr="007202DC">
              <w:rPr>
                <w:rFonts w:ascii="Times New Roman" w:eastAsia="Times New Roman" w:hAnsi="Times New Roman"/>
                <w:sz w:val="24"/>
                <w:szCs w:val="24"/>
                <w:lang w:val="lv-LV" w:eastAsia="lv-LV"/>
              </w:rPr>
              <w:t xml:space="preserve">ārbaudei izvēlas meža inventarizācijas lietas, kas sagatavotas pēdējo 12 mēnešu laikā. </w:t>
            </w:r>
            <w:r w:rsidR="0081596D">
              <w:rPr>
                <w:rFonts w:ascii="Times New Roman" w:eastAsia="Times New Roman" w:hAnsi="Times New Roman"/>
                <w:sz w:val="24"/>
                <w:szCs w:val="24"/>
                <w:lang w:val="lv-LV" w:eastAsia="lv-LV"/>
              </w:rPr>
              <w:t>Tā kā</w:t>
            </w:r>
            <w:r w:rsidRPr="007202DC">
              <w:rPr>
                <w:rFonts w:ascii="Times New Roman" w:eastAsia="Times New Roman" w:hAnsi="Times New Roman"/>
                <w:sz w:val="24"/>
                <w:szCs w:val="24"/>
                <w:lang w:val="lv-LV" w:eastAsia="lv-LV"/>
              </w:rPr>
              <w:t xml:space="preserve"> pēc inventarizācijas veikšanas meža īpašnieks, iespējams</w:t>
            </w:r>
            <w:r w:rsidR="001F3C1A" w:rsidRPr="007202DC">
              <w:rPr>
                <w:rFonts w:ascii="Times New Roman" w:eastAsia="Times New Roman" w:hAnsi="Times New Roman"/>
                <w:sz w:val="24"/>
                <w:szCs w:val="24"/>
                <w:lang w:val="lv-LV" w:eastAsia="lv-LV"/>
              </w:rPr>
              <w:t>,</w:t>
            </w:r>
            <w:r w:rsidRPr="007202DC">
              <w:rPr>
                <w:rFonts w:ascii="Times New Roman" w:eastAsia="Times New Roman" w:hAnsi="Times New Roman"/>
                <w:sz w:val="24"/>
                <w:szCs w:val="24"/>
                <w:lang w:val="lv-LV" w:eastAsia="lv-LV"/>
              </w:rPr>
              <w:t xml:space="preserve"> būs veicis saimniecisko darbību, sertificēšanas institūcija pārbaudīs tos </w:t>
            </w:r>
            <w:r w:rsidR="001F3C1A" w:rsidRPr="007202DC">
              <w:rPr>
                <w:rFonts w:ascii="Times New Roman" w:eastAsia="Times New Roman" w:hAnsi="Times New Roman"/>
                <w:sz w:val="24"/>
                <w:szCs w:val="24"/>
                <w:lang w:val="lv-LV" w:eastAsia="lv-LV"/>
              </w:rPr>
              <w:t>rādītājus, kurus būs iespējams pārbaudīt. Atsevišķi meža inventarizācijas veicēji inventarizāciju veic nelielā apjomā vai neveic nemaz, tāpēc noteikumu projektā paredzēts, ka</w:t>
            </w:r>
            <w:r w:rsidR="00981C45">
              <w:rPr>
                <w:rFonts w:ascii="Times New Roman" w:eastAsia="Times New Roman" w:hAnsi="Times New Roman"/>
                <w:sz w:val="24"/>
                <w:szCs w:val="24"/>
                <w:lang w:val="lv-LV" w:eastAsia="lv-LV"/>
              </w:rPr>
              <w:t xml:space="preserve"> </w:t>
            </w:r>
            <w:r w:rsidR="00981C45" w:rsidRPr="007202DC">
              <w:rPr>
                <w:rFonts w:ascii="Times New Roman" w:eastAsia="Times New Roman" w:hAnsi="Times New Roman"/>
                <w:sz w:val="24"/>
                <w:szCs w:val="24"/>
                <w:lang w:val="lv-LV" w:eastAsia="lv-LV"/>
              </w:rPr>
              <w:t>pārbaud</w:t>
            </w:r>
            <w:r w:rsidR="00981C45">
              <w:rPr>
                <w:rFonts w:ascii="Times New Roman" w:eastAsia="Times New Roman" w:hAnsi="Times New Roman"/>
                <w:sz w:val="24"/>
                <w:szCs w:val="24"/>
                <w:lang w:val="lv-LV" w:eastAsia="lv-LV"/>
              </w:rPr>
              <w:t>āma</w:t>
            </w:r>
            <w:r w:rsidR="00981C45" w:rsidRPr="007202DC">
              <w:rPr>
                <w:rFonts w:ascii="Times New Roman" w:eastAsia="Times New Roman" w:hAnsi="Times New Roman"/>
                <w:sz w:val="24"/>
                <w:szCs w:val="24"/>
                <w:lang w:val="lv-LV" w:eastAsia="lv-LV"/>
              </w:rPr>
              <w:t xml:space="preserve"> vis</w:t>
            </w:r>
            <w:r w:rsidR="00981C45">
              <w:rPr>
                <w:rFonts w:ascii="Times New Roman" w:eastAsia="Times New Roman" w:hAnsi="Times New Roman"/>
                <w:sz w:val="24"/>
                <w:szCs w:val="24"/>
                <w:lang w:val="lv-LV" w:eastAsia="lv-LV"/>
              </w:rPr>
              <w:t>a</w:t>
            </w:r>
            <w:r w:rsidR="00981C45" w:rsidRPr="007202DC">
              <w:rPr>
                <w:rFonts w:ascii="Times New Roman" w:eastAsia="Times New Roman" w:hAnsi="Times New Roman"/>
                <w:sz w:val="24"/>
                <w:szCs w:val="24"/>
                <w:lang w:val="lv-LV" w:eastAsia="lv-LV"/>
              </w:rPr>
              <w:t xml:space="preserve"> inventarizēt</w:t>
            </w:r>
            <w:r w:rsidR="00981C45">
              <w:rPr>
                <w:rFonts w:ascii="Times New Roman" w:eastAsia="Times New Roman" w:hAnsi="Times New Roman"/>
                <w:sz w:val="24"/>
                <w:szCs w:val="24"/>
                <w:lang w:val="lv-LV" w:eastAsia="lv-LV"/>
              </w:rPr>
              <w:t>ā</w:t>
            </w:r>
            <w:r w:rsidR="00981C45" w:rsidRPr="007202DC">
              <w:rPr>
                <w:rFonts w:ascii="Times New Roman" w:eastAsia="Times New Roman" w:hAnsi="Times New Roman"/>
                <w:sz w:val="24"/>
                <w:szCs w:val="24"/>
                <w:lang w:val="lv-LV" w:eastAsia="lv-LV"/>
              </w:rPr>
              <w:t xml:space="preserve"> platīb</w:t>
            </w:r>
            <w:r w:rsidR="00981C45">
              <w:rPr>
                <w:rFonts w:ascii="Times New Roman" w:eastAsia="Times New Roman" w:hAnsi="Times New Roman"/>
                <w:sz w:val="24"/>
                <w:szCs w:val="24"/>
                <w:lang w:val="lv-LV" w:eastAsia="lv-LV"/>
              </w:rPr>
              <w:t>a</w:t>
            </w:r>
            <w:r w:rsidR="001F3C1A" w:rsidRPr="007202DC">
              <w:rPr>
                <w:rFonts w:ascii="Times New Roman" w:eastAsia="Times New Roman" w:hAnsi="Times New Roman"/>
                <w:sz w:val="24"/>
                <w:szCs w:val="24"/>
                <w:lang w:val="lv-LV" w:eastAsia="lv-LV"/>
              </w:rPr>
              <w:t>, j</w:t>
            </w:r>
            <w:r w:rsidRPr="007202DC">
              <w:rPr>
                <w:rFonts w:ascii="Times New Roman" w:eastAsia="Times New Roman" w:hAnsi="Times New Roman"/>
                <w:sz w:val="24"/>
                <w:szCs w:val="24"/>
                <w:lang w:val="lv-LV" w:eastAsia="lv-LV"/>
              </w:rPr>
              <w:t>a inventarizācija veikta mazāk nekā 10 hektāros un 10 nogabalos</w:t>
            </w:r>
            <w:r w:rsidR="001F3C1A" w:rsidRPr="007202DC">
              <w:rPr>
                <w:rFonts w:ascii="Times New Roman" w:eastAsia="Times New Roman" w:hAnsi="Times New Roman"/>
                <w:sz w:val="24"/>
                <w:szCs w:val="24"/>
                <w:lang w:val="lv-LV" w:eastAsia="lv-LV"/>
              </w:rPr>
              <w:t>.</w:t>
            </w:r>
          </w:p>
          <w:p w:rsidR="00442CF5" w:rsidRDefault="008D7715" w:rsidP="00442CF5">
            <w:pPr>
              <w:pStyle w:val="Bezatstarpm"/>
              <w:jc w:val="both"/>
              <w:rPr>
                <w:rFonts w:ascii="Times New Roman" w:eastAsia="Times New Roman" w:hAnsi="Times New Roman"/>
                <w:bCs/>
                <w:color w:val="000000"/>
                <w:sz w:val="24"/>
                <w:szCs w:val="24"/>
                <w:lang w:val="lv-LV" w:eastAsia="lv-LV"/>
              </w:rPr>
            </w:pPr>
            <w:r w:rsidRPr="008D7715">
              <w:rPr>
                <w:rFonts w:ascii="Times New Roman" w:eastAsia="Times New Roman" w:hAnsi="Times New Roman"/>
                <w:bCs/>
                <w:color w:val="000000"/>
                <w:sz w:val="24"/>
                <w:szCs w:val="24"/>
                <w:lang w:val="lv-LV" w:eastAsia="lv-LV"/>
              </w:rPr>
              <w:t>Lai sertificēšanas institūcija varētu izvērtēt atteikumos norādīto kļūdu skaitu un pieņemt lēmumu par nepieciešamību uzlikt par pienākumu sertificētajai personai kārtot sertificēšanas teorētisko un praktisko pārbaudi, Valsts meža dienests sagatavo</w:t>
            </w:r>
            <w:r>
              <w:rPr>
                <w:rFonts w:ascii="Times New Roman" w:eastAsia="Times New Roman" w:hAnsi="Times New Roman"/>
                <w:bCs/>
                <w:color w:val="000000"/>
                <w:sz w:val="24"/>
                <w:szCs w:val="24"/>
                <w:lang w:val="lv-LV" w:eastAsia="lv-LV"/>
              </w:rPr>
              <w:t xml:space="preserve"> un nosūta sertificēšanas institūcijai</w:t>
            </w:r>
            <w:r w:rsidRPr="008D7715">
              <w:rPr>
                <w:rFonts w:ascii="Times New Roman" w:eastAsia="Times New Roman" w:hAnsi="Times New Roman"/>
                <w:bCs/>
                <w:color w:val="000000"/>
                <w:sz w:val="24"/>
                <w:szCs w:val="24"/>
                <w:lang w:val="lv-LV" w:eastAsia="lv-LV"/>
              </w:rPr>
              <w:t xml:space="preserve"> informāciju par sertificētas personas kalendāra gada laikā inventarizēto nogabalu skaitu.</w:t>
            </w:r>
          </w:p>
          <w:p w:rsidR="005421FF" w:rsidRPr="00442CF5" w:rsidRDefault="005421FF" w:rsidP="00442CF5">
            <w:pPr>
              <w:pStyle w:val="Bezatstarpm"/>
              <w:jc w:val="both"/>
              <w:rPr>
                <w:rFonts w:ascii="Times New Roman" w:eastAsia="Times New Roman" w:hAnsi="Times New Roman"/>
                <w:bCs/>
                <w:color w:val="000000"/>
                <w:sz w:val="24"/>
                <w:szCs w:val="24"/>
                <w:lang w:val="lv-LV" w:eastAsia="lv-LV"/>
              </w:rPr>
            </w:pPr>
            <w:r w:rsidRPr="00442CF5">
              <w:rPr>
                <w:rFonts w:ascii="Times New Roman" w:eastAsia="Times New Roman" w:hAnsi="Times New Roman"/>
                <w:bCs/>
                <w:color w:val="000000"/>
                <w:sz w:val="24"/>
                <w:szCs w:val="24"/>
                <w:lang w:val="lv-LV" w:eastAsia="lv-LV"/>
              </w:rPr>
              <w:t xml:space="preserve">Noteikumu projektā </w:t>
            </w:r>
            <w:r w:rsidR="0081596D">
              <w:rPr>
                <w:rFonts w:ascii="Times New Roman" w:eastAsia="Times New Roman" w:hAnsi="Times New Roman"/>
                <w:bCs/>
                <w:color w:val="000000"/>
                <w:sz w:val="24"/>
                <w:szCs w:val="24"/>
                <w:lang w:val="lv-LV" w:eastAsia="lv-LV"/>
              </w:rPr>
              <w:t xml:space="preserve">ir </w:t>
            </w:r>
            <w:r w:rsidRPr="00442CF5">
              <w:rPr>
                <w:rFonts w:ascii="Times New Roman" w:eastAsia="Times New Roman" w:hAnsi="Times New Roman"/>
                <w:bCs/>
                <w:color w:val="000000"/>
                <w:sz w:val="24"/>
                <w:szCs w:val="24"/>
                <w:lang w:val="lv-LV" w:eastAsia="lv-LV"/>
              </w:rPr>
              <w:t xml:space="preserve">precizēta informācija, kuru sertificēšanas institūcija uzraudzības nolūkos var pieprasīt no Valsts meža dienesta. </w:t>
            </w:r>
            <w:r w:rsidR="00012147" w:rsidRPr="00442CF5">
              <w:rPr>
                <w:rFonts w:ascii="Times New Roman" w:eastAsia="Times New Roman" w:hAnsi="Times New Roman"/>
                <w:bCs/>
                <w:color w:val="000000"/>
                <w:sz w:val="24"/>
                <w:szCs w:val="24"/>
                <w:lang w:val="lv-LV" w:eastAsia="lv-LV"/>
              </w:rPr>
              <w:t>Veicot uzraudzības pārbaudes, pēc sertificēšanas institūcijas pieprasījuma</w:t>
            </w:r>
            <w:r w:rsidRPr="00442CF5">
              <w:rPr>
                <w:rFonts w:ascii="Times New Roman" w:eastAsia="Times New Roman" w:hAnsi="Times New Roman"/>
                <w:bCs/>
                <w:color w:val="000000"/>
                <w:sz w:val="24"/>
                <w:szCs w:val="24"/>
                <w:lang w:val="lv-LV" w:eastAsia="lv-LV"/>
              </w:rPr>
              <w:t xml:space="preserve"> Valsts meža dienests</w:t>
            </w:r>
            <w:r w:rsidR="00060CBF" w:rsidRPr="00442CF5">
              <w:rPr>
                <w:rFonts w:ascii="Times New Roman" w:eastAsia="Times New Roman" w:hAnsi="Times New Roman"/>
                <w:bCs/>
                <w:color w:val="000000"/>
                <w:sz w:val="24"/>
                <w:szCs w:val="24"/>
                <w:lang w:val="lv-LV" w:eastAsia="lv-LV"/>
              </w:rPr>
              <w:t xml:space="preserve"> sagatavo informāciju par sertificētas personas veiktaj</w:t>
            </w:r>
            <w:r w:rsidR="009C4785" w:rsidRPr="00442CF5">
              <w:rPr>
                <w:rFonts w:ascii="Times New Roman" w:eastAsia="Times New Roman" w:hAnsi="Times New Roman"/>
                <w:bCs/>
                <w:color w:val="000000"/>
                <w:sz w:val="24"/>
                <w:szCs w:val="24"/>
                <w:lang w:val="lv-LV" w:eastAsia="lv-LV"/>
              </w:rPr>
              <w:t>ā</w:t>
            </w:r>
            <w:r w:rsidR="00060CBF" w:rsidRPr="00442CF5">
              <w:rPr>
                <w:rFonts w:ascii="Times New Roman" w:eastAsia="Times New Roman" w:hAnsi="Times New Roman"/>
                <w:bCs/>
                <w:color w:val="000000"/>
                <w:sz w:val="24"/>
                <w:szCs w:val="24"/>
                <w:lang w:val="lv-LV" w:eastAsia="lv-LV"/>
              </w:rPr>
              <w:t>m meža inventa</w:t>
            </w:r>
            <w:r w:rsidR="00D77F47" w:rsidRPr="00442CF5">
              <w:rPr>
                <w:rFonts w:ascii="Times New Roman" w:eastAsia="Times New Roman" w:hAnsi="Times New Roman"/>
                <w:bCs/>
                <w:color w:val="000000"/>
                <w:sz w:val="24"/>
                <w:szCs w:val="24"/>
                <w:lang w:val="lv-LV" w:eastAsia="lv-LV"/>
              </w:rPr>
              <w:t>rizācijām, norādot inventarizētā</w:t>
            </w:r>
            <w:r w:rsidR="00060CBF" w:rsidRPr="00442CF5">
              <w:rPr>
                <w:rFonts w:ascii="Times New Roman" w:eastAsia="Times New Roman" w:hAnsi="Times New Roman"/>
                <w:bCs/>
                <w:color w:val="000000"/>
                <w:sz w:val="24"/>
                <w:szCs w:val="24"/>
                <w:lang w:val="lv-LV" w:eastAsia="lv-LV"/>
              </w:rPr>
              <w:t xml:space="preserve"> īpašuma vai tiesiskā valdījuma nosaukumu, inventarizēto zemes vienību kadastra apzīmējumus un, ja zemes vienība nav inventarizēta pilnā platībā, arī nogabalu numurus</w:t>
            </w:r>
            <w:r w:rsidR="009C4785" w:rsidRPr="00442CF5">
              <w:rPr>
                <w:rFonts w:ascii="Times New Roman" w:eastAsia="Times New Roman" w:hAnsi="Times New Roman"/>
                <w:bCs/>
                <w:color w:val="000000"/>
                <w:sz w:val="24"/>
                <w:szCs w:val="24"/>
                <w:lang w:val="lv-LV" w:eastAsia="lv-LV"/>
              </w:rPr>
              <w:t>.</w:t>
            </w:r>
            <w:r w:rsidR="00805A33" w:rsidRPr="00442CF5">
              <w:rPr>
                <w:rFonts w:ascii="Times New Roman" w:eastAsia="Times New Roman" w:hAnsi="Times New Roman"/>
                <w:bCs/>
                <w:color w:val="000000"/>
                <w:sz w:val="24"/>
                <w:szCs w:val="24"/>
                <w:lang w:val="lv-LV" w:eastAsia="lv-LV"/>
              </w:rPr>
              <w:t xml:space="preserve"> </w:t>
            </w:r>
            <w:r w:rsidR="00BA5D15" w:rsidRPr="00442CF5">
              <w:rPr>
                <w:rFonts w:ascii="Times New Roman" w:eastAsia="Times New Roman" w:hAnsi="Times New Roman"/>
                <w:bCs/>
                <w:color w:val="000000"/>
                <w:sz w:val="24"/>
                <w:szCs w:val="24"/>
                <w:lang w:val="lv-LV" w:eastAsia="lv-LV"/>
              </w:rPr>
              <w:t xml:space="preserve">Par uzraudzības pārbaudei pakļautajiem meža īpašumiem vai tiesiskajiem valdījumiem </w:t>
            </w:r>
            <w:r w:rsidR="009C4785" w:rsidRPr="00442CF5">
              <w:rPr>
                <w:rFonts w:ascii="Times New Roman" w:eastAsia="Times New Roman" w:hAnsi="Times New Roman"/>
                <w:bCs/>
                <w:color w:val="000000"/>
                <w:sz w:val="24"/>
                <w:szCs w:val="24"/>
                <w:lang w:val="lv-LV" w:eastAsia="lv-LV"/>
              </w:rPr>
              <w:t xml:space="preserve">Valsts meža dienests sertificēšanas institūcijai uz tās norādīto </w:t>
            </w:r>
            <w:r w:rsidR="009C4785" w:rsidRPr="00442CF5">
              <w:rPr>
                <w:rFonts w:ascii="Times New Roman" w:eastAsia="Times New Roman" w:hAnsi="Times New Roman"/>
                <w:bCs/>
                <w:color w:val="000000"/>
                <w:sz w:val="24"/>
                <w:szCs w:val="24"/>
                <w:lang w:val="lv-LV" w:eastAsia="lv-LV"/>
              </w:rPr>
              <w:lastRenderedPageBreak/>
              <w:t xml:space="preserve">e-pastu nosūta arī tos </w:t>
            </w:r>
            <w:r w:rsidR="00060CBF" w:rsidRPr="00442CF5">
              <w:rPr>
                <w:rFonts w:ascii="Times New Roman" w:eastAsia="Times New Roman" w:hAnsi="Times New Roman"/>
                <w:bCs/>
                <w:color w:val="000000"/>
                <w:sz w:val="24"/>
                <w:szCs w:val="24"/>
                <w:lang w:val="lv-LV" w:eastAsia="lv-LV"/>
              </w:rPr>
              <w:t xml:space="preserve">nogabalu </w:t>
            </w:r>
            <w:r w:rsidR="00805A33" w:rsidRPr="00442CF5">
              <w:rPr>
                <w:rFonts w:ascii="Times New Roman" w:eastAsia="Times New Roman" w:hAnsi="Times New Roman"/>
                <w:bCs/>
                <w:color w:val="000000"/>
                <w:sz w:val="24"/>
                <w:szCs w:val="24"/>
                <w:lang w:val="lv-LV" w:eastAsia="lv-LV"/>
              </w:rPr>
              <w:t>raksturojošos rādītājus</w:t>
            </w:r>
            <w:r w:rsidR="00BA5D15" w:rsidRPr="00442CF5">
              <w:rPr>
                <w:rFonts w:ascii="Times New Roman" w:eastAsia="Times New Roman" w:hAnsi="Times New Roman"/>
                <w:bCs/>
                <w:color w:val="000000"/>
                <w:sz w:val="24"/>
                <w:szCs w:val="24"/>
                <w:lang w:val="lv-LV" w:eastAsia="lv-LV"/>
              </w:rPr>
              <w:t xml:space="preserve"> un</w:t>
            </w:r>
            <w:r w:rsidR="00805A33" w:rsidRPr="00442CF5">
              <w:rPr>
                <w:rFonts w:ascii="Times New Roman" w:eastAsia="Times New Roman" w:hAnsi="Times New Roman"/>
                <w:bCs/>
                <w:color w:val="000000"/>
                <w:sz w:val="24"/>
                <w:szCs w:val="24"/>
                <w:lang w:val="lv-LV" w:eastAsia="lv-LV"/>
              </w:rPr>
              <w:t xml:space="preserve"> </w:t>
            </w:r>
            <w:r w:rsidR="00060CBF" w:rsidRPr="00442CF5">
              <w:rPr>
                <w:rFonts w:ascii="Times New Roman" w:eastAsia="Times New Roman" w:hAnsi="Times New Roman"/>
                <w:bCs/>
                <w:color w:val="000000"/>
                <w:sz w:val="24"/>
                <w:szCs w:val="24"/>
                <w:lang w:val="lv-LV" w:eastAsia="lv-LV"/>
              </w:rPr>
              <w:t>meža zemes plānus elektroniskā veidā</w:t>
            </w:r>
            <w:r w:rsidR="00BA5D15" w:rsidRPr="00442CF5">
              <w:rPr>
                <w:rFonts w:ascii="Times New Roman" w:eastAsia="Times New Roman" w:hAnsi="Times New Roman"/>
                <w:bCs/>
                <w:color w:val="000000"/>
                <w:sz w:val="24"/>
                <w:szCs w:val="24"/>
                <w:lang w:val="lv-LV" w:eastAsia="lv-LV"/>
              </w:rPr>
              <w:t>, kuri tika iesniegti Valsts meža dienestā meža inventarizācijas datu reģistrēšanai Meža valsts reģistrā.</w:t>
            </w:r>
            <w:r w:rsidR="00C60F8A" w:rsidRPr="00442CF5">
              <w:rPr>
                <w:rFonts w:ascii="Times New Roman" w:eastAsia="Times New Roman" w:hAnsi="Times New Roman"/>
                <w:bCs/>
                <w:color w:val="000000"/>
                <w:sz w:val="24"/>
                <w:szCs w:val="24"/>
                <w:lang w:val="lv-LV" w:eastAsia="lv-LV"/>
              </w:rPr>
              <w:t xml:space="preserve"> </w:t>
            </w:r>
          </w:p>
          <w:p w:rsidR="005625CC" w:rsidRPr="00CB378E" w:rsidRDefault="005625CC" w:rsidP="008D7715">
            <w:pPr>
              <w:spacing w:line="0" w:lineRule="atLeast"/>
              <w:contextualSpacing/>
              <w:jc w:val="both"/>
              <w:rPr>
                <w:b/>
              </w:rPr>
            </w:pPr>
            <w:r w:rsidRPr="007202DC">
              <w:rPr>
                <w:bCs/>
                <w:color w:val="000000"/>
              </w:rPr>
              <w:t xml:space="preserve">Noteikumu projektā ir paredzēta iespēja sertificētai personai </w:t>
            </w:r>
            <w:r w:rsidRPr="007202DC">
              <w:t>iesniegt</w:t>
            </w:r>
            <w:r w:rsidR="00CB378E" w:rsidRPr="007202DC">
              <w:t xml:space="preserve"> sertificēšanas institūcijā</w:t>
            </w:r>
            <w:r w:rsidRPr="007202DC">
              <w:t xml:space="preserve"> iesniegumu ar lūgumu izvērtēt</w:t>
            </w:r>
            <w:r w:rsidR="00CB378E" w:rsidRPr="007202DC">
              <w:t xml:space="preserve"> </w:t>
            </w:r>
            <w:r w:rsidR="008D7715" w:rsidRPr="007202DC">
              <w:rPr>
                <w:bCs/>
                <w:color w:val="000000"/>
              </w:rPr>
              <w:t xml:space="preserve">no Valsts meža dienesta </w:t>
            </w:r>
            <w:r w:rsidR="00CB378E" w:rsidRPr="007202DC">
              <w:rPr>
                <w:bCs/>
                <w:color w:val="000000"/>
              </w:rPr>
              <w:t>saņemto informāciju par atteikumiem.</w:t>
            </w:r>
            <w:r w:rsidR="00CB378E" w:rsidRPr="007202DC">
              <w:t xml:space="preserve"> </w:t>
            </w:r>
            <w:r w:rsidRPr="007202DC">
              <w:t>Ja sertificēšanas institūcija nekonstatē meža inventarizācijas datu neatbilstību meža apsaimniekošanu un</w:t>
            </w:r>
            <w:r w:rsidRPr="005625CC">
              <w:rPr>
                <w:b/>
              </w:rPr>
              <w:t xml:space="preserve"> </w:t>
            </w:r>
            <w:r w:rsidRPr="007202DC">
              <w:t xml:space="preserve">izmantošanu regulējošo normatīvo aktu prasībām vai situācijai dabā, sertifikācijas institūcija </w:t>
            </w:r>
            <w:r w:rsidR="0081596D" w:rsidRPr="007202DC">
              <w:t xml:space="preserve">tās </w:t>
            </w:r>
            <w:r w:rsidRPr="007202DC">
              <w:t>neieskaita šo noteikumu 37.2.</w:t>
            </w:r>
            <w:r w:rsidR="00B075A1" w:rsidRPr="007202DC">
              <w:t xml:space="preserve"> </w:t>
            </w:r>
            <w:r w:rsidRPr="007202DC">
              <w:t>un 37.3.apakšpunktā minētajā kļūdu skaitā.</w:t>
            </w:r>
            <w:r w:rsidR="00CB378E" w:rsidRPr="007202DC">
              <w:t xml:space="preserve"> </w:t>
            </w:r>
            <w:r w:rsidR="000B1679">
              <w:t>Minētās informācijas</w:t>
            </w:r>
            <w:r w:rsidR="00CB378E" w:rsidRPr="007202DC">
              <w:t xml:space="preserve"> izvērtēšana ir uzskatāma par sertificēšanas institūcijas </w:t>
            </w:r>
            <w:r w:rsidR="008D7715" w:rsidRPr="007202DC">
              <w:t xml:space="preserve">sniegtu </w:t>
            </w:r>
            <w:r w:rsidR="00CB378E" w:rsidRPr="007202DC">
              <w:t>pakalpojumu</w:t>
            </w:r>
            <w:r w:rsidR="00E80E5C">
              <w:t xml:space="preserve"> un </w:t>
            </w:r>
            <w:r w:rsidR="00CB378E" w:rsidRPr="007202DC">
              <w:t>sertificēšanas institūcija var prasīt samaksu par šo pakalpojumu.</w:t>
            </w:r>
          </w:p>
          <w:p w:rsidR="00DA7204" w:rsidRPr="00253F5A" w:rsidRDefault="001557D5" w:rsidP="00843C6A">
            <w:pPr>
              <w:pStyle w:val="Bezatstarpm"/>
              <w:jc w:val="both"/>
              <w:rPr>
                <w:rFonts w:ascii="Times New Roman" w:hAnsi="Times New Roman"/>
                <w:bCs/>
                <w:color w:val="000000"/>
                <w:sz w:val="24"/>
                <w:szCs w:val="24"/>
                <w:lang w:val="lv-LV"/>
              </w:rPr>
            </w:pPr>
            <w:r w:rsidRPr="00253F5A">
              <w:rPr>
                <w:rFonts w:ascii="Times New Roman" w:hAnsi="Times New Roman"/>
                <w:bCs/>
                <w:color w:val="000000"/>
                <w:sz w:val="24"/>
                <w:szCs w:val="24"/>
                <w:lang w:val="lv-LV"/>
              </w:rPr>
              <w:t>Noteikumu projektā precizēta norma attiecībā uz sertificētas personas darbību pēc</w:t>
            </w:r>
            <w:r w:rsidR="00BA5D15" w:rsidRPr="00253F5A">
              <w:rPr>
                <w:rFonts w:ascii="Times New Roman" w:hAnsi="Times New Roman"/>
                <w:bCs/>
                <w:color w:val="000000"/>
                <w:sz w:val="24"/>
                <w:szCs w:val="24"/>
                <w:lang w:val="lv-LV"/>
              </w:rPr>
              <w:t xml:space="preserve"> tam, kad</w:t>
            </w:r>
            <w:r w:rsidR="00253F5A" w:rsidRPr="00253F5A">
              <w:rPr>
                <w:rFonts w:ascii="Times New Roman" w:hAnsi="Times New Roman"/>
                <w:bCs/>
                <w:color w:val="000000"/>
                <w:sz w:val="24"/>
                <w:szCs w:val="24"/>
                <w:lang w:val="lv-LV"/>
              </w:rPr>
              <w:t xml:space="preserve"> </w:t>
            </w:r>
            <w:r w:rsidRPr="00253F5A">
              <w:rPr>
                <w:rFonts w:ascii="Times New Roman" w:hAnsi="Times New Roman"/>
                <w:bCs/>
                <w:color w:val="000000"/>
                <w:sz w:val="24"/>
                <w:szCs w:val="24"/>
                <w:lang w:val="lv-LV"/>
              </w:rPr>
              <w:t xml:space="preserve">sertificēšanas institūcija </w:t>
            </w:r>
            <w:r w:rsidR="00BA5D15" w:rsidRPr="00253F5A">
              <w:rPr>
                <w:rFonts w:ascii="Times New Roman" w:hAnsi="Times New Roman"/>
                <w:bCs/>
                <w:color w:val="000000"/>
                <w:sz w:val="24"/>
                <w:szCs w:val="24"/>
                <w:lang w:val="lv-LV"/>
              </w:rPr>
              <w:t>ir</w:t>
            </w:r>
            <w:r w:rsidR="00253F5A">
              <w:rPr>
                <w:rFonts w:ascii="Times New Roman" w:hAnsi="Times New Roman"/>
                <w:bCs/>
                <w:color w:val="000000"/>
                <w:sz w:val="24"/>
                <w:szCs w:val="24"/>
                <w:lang w:val="lv-LV"/>
              </w:rPr>
              <w:t xml:space="preserve"> </w:t>
            </w:r>
            <w:r w:rsidR="00BA5D15" w:rsidRPr="00253F5A">
              <w:rPr>
                <w:rFonts w:ascii="Times New Roman" w:hAnsi="Times New Roman"/>
                <w:bCs/>
                <w:color w:val="000000"/>
                <w:sz w:val="24"/>
                <w:szCs w:val="24"/>
                <w:lang w:val="lv-LV"/>
              </w:rPr>
              <w:t xml:space="preserve">konstatējusi nepilnības </w:t>
            </w:r>
            <w:r w:rsidRPr="00253F5A">
              <w:rPr>
                <w:rFonts w:ascii="Times New Roman" w:hAnsi="Times New Roman"/>
                <w:bCs/>
                <w:color w:val="000000"/>
                <w:sz w:val="24"/>
                <w:szCs w:val="24"/>
                <w:lang w:val="lv-LV"/>
              </w:rPr>
              <w:t>sertificētās personas sagatavot</w:t>
            </w:r>
            <w:r w:rsidR="00CA1F7C" w:rsidRPr="00253F5A">
              <w:rPr>
                <w:rFonts w:ascii="Times New Roman" w:hAnsi="Times New Roman"/>
                <w:bCs/>
                <w:color w:val="000000"/>
                <w:sz w:val="24"/>
                <w:szCs w:val="24"/>
                <w:lang w:val="lv-LV"/>
              </w:rPr>
              <w:t>aj</w:t>
            </w:r>
            <w:r w:rsidRPr="00253F5A">
              <w:rPr>
                <w:rFonts w:ascii="Times New Roman" w:hAnsi="Times New Roman"/>
                <w:bCs/>
                <w:color w:val="000000"/>
                <w:sz w:val="24"/>
                <w:szCs w:val="24"/>
                <w:lang w:val="lv-LV"/>
              </w:rPr>
              <w:t xml:space="preserve">ās meža inventarizācijas lietās. </w:t>
            </w:r>
            <w:r w:rsidR="00253F5A">
              <w:rPr>
                <w:rFonts w:ascii="Times New Roman" w:hAnsi="Times New Roman"/>
                <w:bCs/>
                <w:color w:val="000000"/>
                <w:sz w:val="24"/>
                <w:szCs w:val="24"/>
                <w:lang w:val="lv-LV"/>
              </w:rPr>
              <w:t>Praksē s</w:t>
            </w:r>
            <w:r w:rsidR="00BA5D15" w:rsidRPr="00253F5A">
              <w:rPr>
                <w:rFonts w:ascii="Times New Roman" w:hAnsi="Times New Roman"/>
                <w:bCs/>
                <w:color w:val="000000"/>
                <w:sz w:val="24"/>
                <w:szCs w:val="24"/>
                <w:lang w:val="lv-LV"/>
              </w:rPr>
              <w:t>ertificētai personai</w:t>
            </w:r>
            <w:r w:rsidR="00BA5D15" w:rsidRPr="00253F5A" w:rsidDel="00BA5D15">
              <w:rPr>
                <w:rFonts w:ascii="Times New Roman" w:hAnsi="Times New Roman"/>
                <w:bCs/>
                <w:color w:val="000000"/>
                <w:sz w:val="24"/>
                <w:szCs w:val="24"/>
                <w:lang w:val="lv-LV"/>
              </w:rPr>
              <w:t xml:space="preserve"> </w:t>
            </w:r>
            <w:r w:rsidRPr="00253F5A">
              <w:rPr>
                <w:rFonts w:ascii="Times New Roman" w:hAnsi="Times New Roman"/>
                <w:bCs/>
                <w:color w:val="000000"/>
                <w:sz w:val="24"/>
                <w:szCs w:val="24"/>
                <w:lang w:val="lv-LV"/>
              </w:rPr>
              <w:t>nav</w:t>
            </w:r>
            <w:r w:rsidR="00C9702C" w:rsidRPr="00253F5A">
              <w:rPr>
                <w:rFonts w:ascii="Times New Roman" w:hAnsi="Times New Roman"/>
                <w:bCs/>
                <w:color w:val="000000"/>
                <w:sz w:val="24"/>
                <w:szCs w:val="24"/>
                <w:lang w:val="lv-LV"/>
              </w:rPr>
              <w:t xml:space="preserve"> iespējams</w:t>
            </w:r>
            <w:r w:rsidRPr="00253F5A">
              <w:rPr>
                <w:rFonts w:ascii="Times New Roman" w:hAnsi="Times New Roman"/>
                <w:bCs/>
                <w:color w:val="000000"/>
                <w:sz w:val="24"/>
                <w:szCs w:val="24"/>
                <w:lang w:val="lv-LV"/>
              </w:rPr>
              <w:t xml:space="preserve"> novērst </w:t>
            </w:r>
            <w:r w:rsidR="00BA5D15" w:rsidRPr="00253F5A">
              <w:rPr>
                <w:rFonts w:ascii="Times New Roman" w:hAnsi="Times New Roman"/>
                <w:bCs/>
                <w:color w:val="000000"/>
                <w:sz w:val="24"/>
                <w:szCs w:val="24"/>
                <w:lang w:val="lv-LV"/>
              </w:rPr>
              <w:t xml:space="preserve">konstatētās </w:t>
            </w:r>
            <w:r w:rsidRPr="00253F5A">
              <w:rPr>
                <w:rFonts w:ascii="Times New Roman" w:eastAsia="Times New Roman" w:hAnsi="Times New Roman"/>
                <w:sz w:val="24"/>
                <w:szCs w:val="24"/>
                <w:lang w:val="lv-LV" w:eastAsia="lv-LV"/>
              </w:rPr>
              <w:t>neatbilstības</w:t>
            </w:r>
            <w:r w:rsidR="0029674F" w:rsidRPr="00253F5A">
              <w:rPr>
                <w:rFonts w:ascii="Times New Roman" w:eastAsia="Times New Roman" w:hAnsi="Times New Roman"/>
                <w:sz w:val="24"/>
                <w:szCs w:val="24"/>
                <w:lang w:val="lv-LV" w:eastAsia="lv-LV"/>
              </w:rPr>
              <w:t>,</w:t>
            </w:r>
            <w:r w:rsidRPr="00253F5A">
              <w:rPr>
                <w:rFonts w:ascii="Times New Roman" w:eastAsia="Times New Roman" w:hAnsi="Times New Roman"/>
                <w:sz w:val="24"/>
                <w:szCs w:val="24"/>
                <w:lang w:val="lv-LV" w:eastAsia="lv-LV"/>
              </w:rPr>
              <w:t xml:space="preserve"> </w:t>
            </w:r>
            <w:r w:rsidRPr="00253F5A">
              <w:rPr>
                <w:rFonts w:ascii="Times New Roman" w:hAnsi="Times New Roman"/>
                <w:bCs/>
                <w:color w:val="000000"/>
                <w:sz w:val="24"/>
                <w:szCs w:val="24"/>
                <w:lang w:val="lv-LV"/>
              </w:rPr>
              <w:t>j</w:t>
            </w:r>
            <w:r w:rsidR="0081596D">
              <w:rPr>
                <w:rFonts w:ascii="Times New Roman" w:hAnsi="Times New Roman"/>
                <w:bCs/>
                <w:color w:val="000000"/>
                <w:sz w:val="24"/>
                <w:szCs w:val="24"/>
                <w:lang w:val="lv-LV"/>
              </w:rPr>
              <w:t>a</w:t>
            </w:r>
            <w:r w:rsidRPr="00253F5A">
              <w:rPr>
                <w:rFonts w:ascii="Times New Roman" w:hAnsi="Times New Roman"/>
                <w:bCs/>
                <w:color w:val="000000"/>
                <w:sz w:val="24"/>
                <w:szCs w:val="24"/>
                <w:lang w:val="lv-LV"/>
              </w:rPr>
              <w:t xml:space="preserve"> saimnieciskā darbība</w:t>
            </w:r>
            <w:r w:rsidR="0081596D">
              <w:rPr>
                <w:rFonts w:ascii="Times New Roman" w:hAnsi="Times New Roman"/>
                <w:bCs/>
                <w:color w:val="000000"/>
                <w:sz w:val="24"/>
                <w:szCs w:val="24"/>
                <w:lang w:val="lv-LV"/>
              </w:rPr>
              <w:t xml:space="preserve"> jau ir notikusi</w:t>
            </w:r>
            <w:r w:rsidRPr="00253F5A">
              <w:rPr>
                <w:rFonts w:ascii="Times New Roman" w:hAnsi="Times New Roman"/>
                <w:bCs/>
                <w:color w:val="000000"/>
                <w:sz w:val="24"/>
                <w:szCs w:val="24"/>
                <w:lang w:val="lv-LV"/>
              </w:rPr>
              <w:t xml:space="preserve"> vai </w:t>
            </w:r>
            <w:r w:rsidR="0081596D">
              <w:rPr>
                <w:rFonts w:ascii="Times New Roman" w:hAnsi="Times New Roman"/>
                <w:bCs/>
                <w:color w:val="000000"/>
                <w:sz w:val="24"/>
                <w:szCs w:val="24"/>
                <w:lang w:val="lv-LV"/>
              </w:rPr>
              <w:t xml:space="preserve">ir mainījies </w:t>
            </w:r>
            <w:r w:rsidRPr="00253F5A">
              <w:rPr>
                <w:rFonts w:ascii="Times New Roman" w:hAnsi="Times New Roman"/>
                <w:bCs/>
                <w:color w:val="000000"/>
                <w:sz w:val="24"/>
                <w:szCs w:val="24"/>
                <w:lang w:val="lv-LV"/>
              </w:rPr>
              <w:t>meža īpašniek</w:t>
            </w:r>
            <w:r w:rsidR="0081596D">
              <w:rPr>
                <w:rFonts w:ascii="Times New Roman" w:hAnsi="Times New Roman"/>
                <w:bCs/>
                <w:color w:val="000000"/>
                <w:sz w:val="24"/>
                <w:szCs w:val="24"/>
                <w:lang w:val="lv-LV"/>
              </w:rPr>
              <w:t>s</w:t>
            </w:r>
            <w:r w:rsidR="00AD0538" w:rsidRPr="00253F5A">
              <w:rPr>
                <w:rFonts w:ascii="Times New Roman" w:hAnsi="Times New Roman"/>
                <w:bCs/>
                <w:color w:val="000000"/>
                <w:sz w:val="24"/>
                <w:szCs w:val="24"/>
                <w:lang w:val="lv-LV"/>
              </w:rPr>
              <w:t>.</w:t>
            </w:r>
            <w:r w:rsidR="007956E8" w:rsidRPr="00253F5A">
              <w:rPr>
                <w:rFonts w:ascii="Times New Roman" w:hAnsi="Times New Roman"/>
                <w:bCs/>
                <w:color w:val="000000"/>
                <w:sz w:val="24"/>
                <w:szCs w:val="24"/>
                <w:lang w:val="lv-LV"/>
              </w:rPr>
              <w:t xml:space="preserve"> Tāpēc </w:t>
            </w:r>
            <w:r w:rsidR="0081596D">
              <w:rPr>
                <w:rFonts w:ascii="Times New Roman" w:hAnsi="Times New Roman"/>
                <w:bCs/>
                <w:color w:val="000000"/>
                <w:sz w:val="24"/>
                <w:szCs w:val="24"/>
                <w:lang w:val="lv-LV"/>
              </w:rPr>
              <w:t xml:space="preserve">ar </w:t>
            </w:r>
            <w:r w:rsidR="007956E8" w:rsidRPr="00253F5A">
              <w:rPr>
                <w:rFonts w:ascii="Times New Roman" w:hAnsi="Times New Roman"/>
                <w:bCs/>
                <w:color w:val="000000"/>
                <w:sz w:val="24"/>
                <w:szCs w:val="24"/>
                <w:lang w:val="lv-LV"/>
              </w:rPr>
              <w:t>noteikumu projekt</w:t>
            </w:r>
            <w:r w:rsidR="0081596D">
              <w:rPr>
                <w:rFonts w:ascii="Times New Roman" w:hAnsi="Times New Roman"/>
                <w:bCs/>
                <w:color w:val="000000"/>
                <w:sz w:val="24"/>
                <w:szCs w:val="24"/>
                <w:lang w:val="lv-LV"/>
              </w:rPr>
              <w:t>u tiek svītrota</w:t>
            </w:r>
            <w:r w:rsidR="007956E8" w:rsidRPr="00253F5A">
              <w:rPr>
                <w:rFonts w:ascii="Times New Roman" w:hAnsi="Times New Roman"/>
                <w:bCs/>
                <w:color w:val="000000"/>
                <w:sz w:val="24"/>
                <w:szCs w:val="24"/>
                <w:lang w:val="lv-LV"/>
              </w:rPr>
              <w:t xml:space="preserve"> prasība sertificētai personai novērst ne</w:t>
            </w:r>
            <w:r w:rsidR="003D4685" w:rsidRPr="00253F5A">
              <w:rPr>
                <w:rFonts w:ascii="Times New Roman" w:hAnsi="Times New Roman"/>
                <w:bCs/>
                <w:color w:val="000000"/>
                <w:sz w:val="24"/>
                <w:szCs w:val="24"/>
                <w:lang w:val="lv-LV"/>
              </w:rPr>
              <w:t>atbilstības</w:t>
            </w:r>
            <w:r w:rsidR="007956E8" w:rsidRPr="00253F5A">
              <w:rPr>
                <w:rFonts w:ascii="Times New Roman" w:hAnsi="Times New Roman"/>
                <w:bCs/>
                <w:color w:val="000000"/>
                <w:sz w:val="24"/>
                <w:szCs w:val="24"/>
                <w:lang w:val="lv-LV"/>
              </w:rPr>
              <w:t>, kas tika konstatētas sertificēšanas institūcijas uzraudzības pārbaudes atzinumā.</w:t>
            </w:r>
            <w:r w:rsidR="003D4685" w:rsidRPr="00253F5A">
              <w:rPr>
                <w:rFonts w:ascii="Times New Roman" w:hAnsi="Times New Roman"/>
                <w:bCs/>
                <w:color w:val="000000"/>
                <w:sz w:val="24"/>
                <w:szCs w:val="24"/>
                <w:lang w:val="lv-LV"/>
              </w:rPr>
              <w:t xml:space="preserve"> Atzinumā konstatēt</w:t>
            </w:r>
            <w:r w:rsidR="00CA1F7C" w:rsidRPr="00253F5A">
              <w:rPr>
                <w:rFonts w:ascii="Times New Roman" w:hAnsi="Times New Roman"/>
                <w:bCs/>
                <w:color w:val="000000"/>
                <w:sz w:val="24"/>
                <w:szCs w:val="24"/>
                <w:lang w:val="lv-LV"/>
              </w:rPr>
              <w:t>ā</w:t>
            </w:r>
            <w:r w:rsidR="003D4685" w:rsidRPr="00253F5A">
              <w:rPr>
                <w:rFonts w:ascii="Times New Roman" w:hAnsi="Times New Roman"/>
                <w:bCs/>
                <w:color w:val="000000"/>
                <w:sz w:val="24"/>
                <w:szCs w:val="24"/>
                <w:lang w:val="lv-LV"/>
              </w:rPr>
              <w:t>s neatbilstības tiek uzskaitītas</w:t>
            </w:r>
            <w:r w:rsidR="0081596D">
              <w:rPr>
                <w:rFonts w:ascii="Times New Roman" w:hAnsi="Times New Roman"/>
                <w:bCs/>
                <w:color w:val="000000"/>
                <w:sz w:val="24"/>
                <w:szCs w:val="24"/>
                <w:lang w:val="lv-LV"/>
              </w:rPr>
              <w:t>,</w:t>
            </w:r>
            <w:r w:rsidR="003D4685" w:rsidRPr="00253F5A">
              <w:rPr>
                <w:rFonts w:ascii="Times New Roman" w:hAnsi="Times New Roman"/>
                <w:bCs/>
                <w:color w:val="000000"/>
                <w:sz w:val="24"/>
                <w:szCs w:val="24"/>
                <w:lang w:val="lv-LV"/>
              </w:rPr>
              <w:t xml:space="preserve"> un</w:t>
            </w:r>
            <w:r w:rsidR="00D77F47">
              <w:rPr>
                <w:rFonts w:ascii="Times New Roman" w:hAnsi="Times New Roman"/>
                <w:bCs/>
                <w:color w:val="000000"/>
                <w:sz w:val="24"/>
                <w:szCs w:val="24"/>
                <w:lang w:val="lv-LV"/>
              </w:rPr>
              <w:t>,</w:t>
            </w:r>
            <w:r w:rsidR="003D4685" w:rsidRPr="00253F5A">
              <w:rPr>
                <w:rFonts w:ascii="Times New Roman" w:hAnsi="Times New Roman"/>
                <w:bCs/>
                <w:color w:val="000000"/>
                <w:sz w:val="24"/>
                <w:szCs w:val="24"/>
                <w:lang w:val="lv-LV"/>
              </w:rPr>
              <w:t xml:space="preserve"> </w:t>
            </w:r>
            <w:r w:rsidR="0081596D">
              <w:rPr>
                <w:rFonts w:ascii="Times New Roman" w:hAnsi="Times New Roman"/>
                <w:bCs/>
                <w:color w:val="000000"/>
                <w:sz w:val="24"/>
                <w:szCs w:val="24"/>
                <w:lang w:val="lv-LV"/>
              </w:rPr>
              <w:t xml:space="preserve">kad ir </w:t>
            </w:r>
            <w:r w:rsidR="003D4685" w:rsidRPr="00253F5A">
              <w:rPr>
                <w:rFonts w:ascii="Times New Roman" w:hAnsi="Times New Roman"/>
                <w:bCs/>
                <w:color w:val="000000"/>
                <w:sz w:val="24"/>
                <w:szCs w:val="24"/>
                <w:lang w:val="lv-LV"/>
              </w:rPr>
              <w:t>sasnie</w:t>
            </w:r>
            <w:r w:rsidR="0081596D">
              <w:rPr>
                <w:rFonts w:ascii="Times New Roman" w:hAnsi="Times New Roman"/>
                <w:bCs/>
                <w:color w:val="000000"/>
                <w:sz w:val="24"/>
                <w:szCs w:val="24"/>
                <w:lang w:val="lv-LV"/>
              </w:rPr>
              <w:t>gts</w:t>
            </w:r>
            <w:r w:rsidR="003D4685" w:rsidRPr="00253F5A">
              <w:rPr>
                <w:rFonts w:ascii="Times New Roman" w:hAnsi="Times New Roman"/>
                <w:bCs/>
                <w:color w:val="000000"/>
                <w:sz w:val="24"/>
                <w:szCs w:val="24"/>
                <w:lang w:val="lv-LV"/>
              </w:rPr>
              <w:t xml:space="preserve"> noteikt</w:t>
            </w:r>
            <w:r w:rsidR="0081596D">
              <w:rPr>
                <w:rFonts w:ascii="Times New Roman" w:hAnsi="Times New Roman"/>
                <w:bCs/>
                <w:color w:val="000000"/>
                <w:sz w:val="24"/>
                <w:szCs w:val="24"/>
                <w:lang w:val="lv-LV"/>
              </w:rPr>
              <w:t xml:space="preserve">s to </w:t>
            </w:r>
            <w:r w:rsidR="003D4685" w:rsidRPr="00253F5A">
              <w:rPr>
                <w:rFonts w:ascii="Times New Roman" w:hAnsi="Times New Roman"/>
                <w:bCs/>
                <w:color w:val="000000"/>
                <w:sz w:val="24"/>
                <w:szCs w:val="24"/>
                <w:lang w:val="lv-LV"/>
              </w:rPr>
              <w:t>skait</w:t>
            </w:r>
            <w:r w:rsidR="0081596D">
              <w:rPr>
                <w:rFonts w:ascii="Times New Roman" w:hAnsi="Times New Roman"/>
                <w:bCs/>
                <w:color w:val="000000"/>
                <w:sz w:val="24"/>
                <w:szCs w:val="24"/>
                <w:lang w:val="lv-LV"/>
              </w:rPr>
              <w:t>s</w:t>
            </w:r>
            <w:r w:rsidR="00D77F47">
              <w:rPr>
                <w:rFonts w:ascii="Times New Roman" w:hAnsi="Times New Roman"/>
                <w:bCs/>
                <w:color w:val="000000"/>
                <w:sz w:val="24"/>
                <w:szCs w:val="24"/>
                <w:lang w:val="lv-LV"/>
              </w:rPr>
              <w:t>,</w:t>
            </w:r>
            <w:r w:rsidR="003D4685" w:rsidRPr="00253F5A">
              <w:rPr>
                <w:rFonts w:ascii="Times New Roman" w:hAnsi="Times New Roman"/>
                <w:bCs/>
                <w:color w:val="000000"/>
                <w:sz w:val="24"/>
                <w:szCs w:val="24"/>
                <w:lang w:val="lv-LV"/>
              </w:rPr>
              <w:t xml:space="preserve"> sertifikācijas institūcija atceļ sertifikātu. </w:t>
            </w:r>
          </w:p>
          <w:p w:rsidR="00DA7204" w:rsidRPr="00253F5A" w:rsidRDefault="003D4685" w:rsidP="0081596D">
            <w:pPr>
              <w:pStyle w:val="Bezatstarpm"/>
              <w:jc w:val="both"/>
              <w:rPr>
                <w:rFonts w:ascii="Times New Roman" w:hAnsi="Times New Roman"/>
                <w:bCs/>
                <w:color w:val="000000"/>
                <w:sz w:val="24"/>
                <w:szCs w:val="24"/>
                <w:lang w:val="lv-LV"/>
              </w:rPr>
            </w:pPr>
            <w:r w:rsidRPr="00253F5A">
              <w:rPr>
                <w:rFonts w:ascii="Times New Roman" w:hAnsi="Times New Roman"/>
                <w:bCs/>
                <w:color w:val="000000"/>
                <w:sz w:val="24"/>
                <w:szCs w:val="24"/>
                <w:lang w:val="lv-LV"/>
              </w:rPr>
              <w:t>Noteikumu projektā precizēt</w:t>
            </w:r>
            <w:r w:rsidR="00CA1F7C" w:rsidRPr="00253F5A">
              <w:rPr>
                <w:rFonts w:ascii="Times New Roman" w:hAnsi="Times New Roman"/>
                <w:bCs/>
                <w:color w:val="000000"/>
                <w:sz w:val="24"/>
                <w:szCs w:val="24"/>
                <w:lang w:val="lv-LV"/>
              </w:rPr>
              <w:t>s</w:t>
            </w:r>
            <w:r w:rsidRPr="00253F5A">
              <w:rPr>
                <w:rFonts w:ascii="Times New Roman" w:hAnsi="Times New Roman"/>
                <w:bCs/>
                <w:color w:val="000000"/>
                <w:sz w:val="24"/>
                <w:szCs w:val="24"/>
                <w:lang w:val="lv-LV"/>
              </w:rPr>
              <w:t xml:space="preserve"> </w:t>
            </w:r>
            <w:r w:rsidRPr="00253F5A">
              <w:rPr>
                <w:rFonts w:ascii="Times New Roman" w:eastAsia="Times New Roman" w:hAnsi="Times New Roman"/>
                <w:sz w:val="24"/>
                <w:szCs w:val="24"/>
                <w:lang w:val="lv-LV" w:eastAsia="lv-LV"/>
              </w:rPr>
              <w:t>meža inventarizācijas darbiem n</w:t>
            </w:r>
            <w:r w:rsidR="0081596D">
              <w:rPr>
                <w:rFonts w:ascii="Times New Roman" w:eastAsia="Times New Roman" w:hAnsi="Times New Roman"/>
                <w:sz w:val="24"/>
                <w:szCs w:val="24"/>
                <w:lang w:val="lv-LV" w:eastAsia="lv-LV"/>
              </w:rPr>
              <w:t>epieciešamais</w:t>
            </w:r>
            <w:r w:rsidRPr="00253F5A">
              <w:rPr>
                <w:rFonts w:ascii="Times New Roman" w:eastAsia="Times New Roman" w:hAnsi="Times New Roman"/>
                <w:sz w:val="24"/>
                <w:szCs w:val="24"/>
                <w:lang w:val="lv-LV" w:eastAsia="lv-LV"/>
              </w:rPr>
              <w:t xml:space="preserve"> civiltiesiskās atbildības apdrošināšanas minimāl</w:t>
            </w:r>
            <w:r w:rsidR="0081596D">
              <w:rPr>
                <w:rFonts w:ascii="Times New Roman" w:eastAsia="Times New Roman" w:hAnsi="Times New Roman"/>
                <w:sz w:val="24"/>
                <w:szCs w:val="24"/>
                <w:lang w:val="lv-LV" w:eastAsia="lv-LV"/>
              </w:rPr>
              <w:t>ais</w:t>
            </w:r>
            <w:r w:rsidRPr="00253F5A">
              <w:rPr>
                <w:rFonts w:ascii="Times New Roman" w:eastAsia="Times New Roman" w:hAnsi="Times New Roman"/>
                <w:sz w:val="24"/>
                <w:szCs w:val="24"/>
                <w:lang w:val="lv-LV" w:eastAsia="lv-LV"/>
              </w:rPr>
              <w:t xml:space="preserve"> limits. </w:t>
            </w:r>
          </w:p>
        </w:tc>
      </w:tr>
      <w:tr w:rsidR="00DA7204" w:rsidRPr="00253F5A" w:rsidTr="00AD124D">
        <w:tc>
          <w:tcPr>
            <w:tcW w:w="709" w:type="dxa"/>
          </w:tcPr>
          <w:p w:rsidR="00DA7204" w:rsidRPr="00253F5A" w:rsidRDefault="00DA7204" w:rsidP="00225AA6">
            <w:pPr>
              <w:jc w:val="both"/>
              <w:rPr>
                <w:color w:val="000000"/>
              </w:rPr>
            </w:pPr>
            <w:r w:rsidRPr="00253F5A">
              <w:rPr>
                <w:color w:val="000000"/>
              </w:rPr>
              <w:lastRenderedPageBreak/>
              <w:t>3.</w:t>
            </w:r>
          </w:p>
        </w:tc>
        <w:tc>
          <w:tcPr>
            <w:tcW w:w="2268" w:type="dxa"/>
          </w:tcPr>
          <w:p w:rsidR="00DA7204" w:rsidRPr="00253F5A" w:rsidRDefault="00DA7204" w:rsidP="00225AA6">
            <w:pPr>
              <w:jc w:val="both"/>
              <w:rPr>
                <w:color w:val="000000"/>
              </w:rPr>
            </w:pPr>
            <w:r w:rsidRPr="00253F5A">
              <w:rPr>
                <w:color w:val="000000"/>
              </w:rPr>
              <w:t>Projekta izstrādē iesaistītās institūcijas</w:t>
            </w:r>
          </w:p>
          <w:p w:rsidR="00DA7204" w:rsidRPr="00253F5A" w:rsidRDefault="00DA7204" w:rsidP="00225AA6">
            <w:pPr>
              <w:jc w:val="both"/>
              <w:rPr>
                <w:color w:val="000000"/>
              </w:rPr>
            </w:pPr>
          </w:p>
        </w:tc>
        <w:tc>
          <w:tcPr>
            <w:tcW w:w="6263" w:type="dxa"/>
          </w:tcPr>
          <w:p w:rsidR="00DA7204" w:rsidRPr="00253F5A" w:rsidRDefault="00DA7204" w:rsidP="00A0731A">
            <w:pPr>
              <w:pStyle w:val="naiskr"/>
              <w:spacing w:before="0" w:beforeAutospacing="0" w:after="0" w:afterAutospacing="0"/>
              <w:jc w:val="both"/>
            </w:pPr>
            <w:r w:rsidRPr="00253F5A">
              <w:t>Zemkopības ministrija sadarbībā ar Valsts meža dienestu, AS „Latvijas valsts meži”, Meža inventarizācijas veicēju apvienību, Latvijas koksnes kvalitātes ekspertu savienību, Latvijas Lauksaimniecības universitātes Meža fakultāti, Latvijas Nacionālo akreditācijas biroju</w:t>
            </w:r>
            <w:r w:rsidR="0081596D">
              <w:t xml:space="preserve"> un</w:t>
            </w:r>
            <w:r w:rsidRPr="00253F5A">
              <w:t xml:space="preserve"> SIA</w:t>
            </w:r>
            <w:r w:rsidR="003A5801" w:rsidRPr="00253F5A">
              <w:t xml:space="preserve"> </w:t>
            </w:r>
            <w:r w:rsidR="00A0731A">
              <w:t>”SILVASERT</w:t>
            </w:r>
            <w:r w:rsidRPr="00253F5A">
              <w:t>”. Noteikumu projektā ietverti minēto institūciju priekšlikumi.</w:t>
            </w:r>
          </w:p>
        </w:tc>
      </w:tr>
      <w:tr w:rsidR="00DA7204" w:rsidRPr="00253F5A" w:rsidTr="00AD124D">
        <w:trPr>
          <w:trHeight w:val="455"/>
        </w:trPr>
        <w:tc>
          <w:tcPr>
            <w:tcW w:w="709" w:type="dxa"/>
          </w:tcPr>
          <w:p w:rsidR="00DA7204" w:rsidRPr="00253F5A" w:rsidRDefault="00DA7204" w:rsidP="00225AA6">
            <w:pPr>
              <w:jc w:val="both"/>
              <w:rPr>
                <w:color w:val="000000"/>
              </w:rPr>
            </w:pPr>
            <w:r w:rsidRPr="00253F5A">
              <w:rPr>
                <w:color w:val="000000"/>
              </w:rPr>
              <w:t>4.</w:t>
            </w:r>
          </w:p>
        </w:tc>
        <w:tc>
          <w:tcPr>
            <w:tcW w:w="2268" w:type="dxa"/>
          </w:tcPr>
          <w:p w:rsidR="00DA7204" w:rsidRPr="00253F5A" w:rsidRDefault="00DA7204" w:rsidP="00225AA6">
            <w:pPr>
              <w:jc w:val="both"/>
              <w:rPr>
                <w:color w:val="000000"/>
              </w:rPr>
            </w:pPr>
            <w:r w:rsidRPr="00253F5A">
              <w:rPr>
                <w:color w:val="000000"/>
              </w:rPr>
              <w:t>Cita informācija</w:t>
            </w:r>
          </w:p>
          <w:p w:rsidR="00DA7204" w:rsidRPr="00253F5A" w:rsidRDefault="00DA7204" w:rsidP="00225AA6">
            <w:pPr>
              <w:jc w:val="both"/>
              <w:rPr>
                <w:color w:val="000000"/>
              </w:rPr>
            </w:pPr>
          </w:p>
        </w:tc>
        <w:tc>
          <w:tcPr>
            <w:tcW w:w="6263" w:type="dxa"/>
          </w:tcPr>
          <w:p w:rsidR="00DA7204" w:rsidRPr="00253F5A" w:rsidRDefault="00DA7204" w:rsidP="000F6EDA">
            <w:pPr>
              <w:pStyle w:val="naiskr"/>
              <w:jc w:val="both"/>
              <w:rPr>
                <w:bCs/>
              </w:rPr>
            </w:pPr>
            <w:r w:rsidRPr="00253F5A">
              <w:rPr>
                <w:bCs/>
              </w:rPr>
              <w:t>Projekts šo jomu neskar.</w:t>
            </w:r>
          </w:p>
        </w:tc>
      </w:tr>
    </w:tbl>
    <w:p w:rsidR="00DA7204" w:rsidRPr="00253F5A" w:rsidRDefault="00DA7204" w:rsidP="00DA7204">
      <w:pPr>
        <w:pStyle w:val="naisf"/>
        <w:spacing w:before="0" w:beforeAutospacing="0" w:after="0" w:afterAutospacing="0"/>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6095"/>
      </w:tblGrid>
      <w:tr w:rsidR="00DA7204" w:rsidRPr="00253F5A" w:rsidTr="00AD124D">
        <w:trPr>
          <w:trHeight w:val="410"/>
        </w:trPr>
        <w:tc>
          <w:tcPr>
            <w:tcW w:w="9214" w:type="dxa"/>
            <w:gridSpan w:val="3"/>
            <w:tcBorders>
              <w:top w:val="single" w:sz="4" w:space="0" w:color="auto"/>
              <w:left w:val="single" w:sz="4" w:space="0" w:color="auto"/>
              <w:bottom w:val="single" w:sz="4" w:space="0" w:color="auto"/>
              <w:right w:val="single" w:sz="4" w:space="0" w:color="auto"/>
            </w:tcBorders>
          </w:tcPr>
          <w:p w:rsidR="00DA7204" w:rsidRPr="00253F5A" w:rsidRDefault="0029674F" w:rsidP="00225AA6">
            <w:pPr>
              <w:contextualSpacing/>
              <w:jc w:val="center"/>
              <w:rPr>
                <w:b/>
              </w:rPr>
            </w:pPr>
            <w:r w:rsidRPr="00253F5A">
              <w:rPr>
                <w:b/>
                <w:bCs/>
              </w:rPr>
              <w:t>II. Tiesību akta projekta ietekme uz sabiedrību, tautsaimniecības attīstību un administratīvo slogu</w:t>
            </w:r>
          </w:p>
        </w:tc>
      </w:tr>
      <w:tr w:rsidR="00DA7204" w:rsidRPr="00253F5A" w:rsidTr="00AD124D">
        <w:tc>
          <w:tcPr>
            <w:tcW w:w="709" w:type="dxa"/>
            <w:tcBorders>
              <w:top w:val="single" w:sz="4" w:space="0" w:color="auto"/>
              <w:left w:val="single" w:sz="4" w:space="0" w:color="auto"/>
              <w:bottom w:val="single" w:sz="4" w:space="0" w:color="auto"/>
              <w:right w:val="single" w:sz="4" w:space="0" w:color="auto"/>
            </w:tcBorders>
          </w:tcPr>
          <w:p w:rsidR="00DA7204" w:rsidRPr="00253F5A" w:rsidRDefault="00DA7204" w:rsidP="00225AA6">
            <w:pPr>
              <w:jc w:val="both"/>
            </w:pPr>
            <w:r w:rsidRPr="00253F5A">
              <w:t>1.</w:t>
            </w:r>
          </w:p>
        </w:tc>
        <w:tc>
          <w:tcPr>
            <w:tcW w:w="2410" w:type="dxa"/>
            <w:tcBorders>
              <w:top w:val="single" w:sz="4" w:space="0" w:color="auto"/>
              <w:left w:val="single" w:sz="4" w:space="0" w:color="auto"/>
              <w:bottom w:val="single" w:sz="4" w:space="0" w:color="auto"/>
              <w:right w:val="single" w:sz="4" w:space="0" w:color="auto"/>
            </w:tcBorders>
          </w:tcPr>
          <w:p w:rsidR="00DA7204" w:rsidRPr="00253F5A" w:rsidRDefault="00DA7204" w:rsidP="00225AA6">
            <w:pPr>
              <w:jc w:val="both"/>
            </w:pPr>
            <w:r w:rsidRPr="00253F5A">
              <w:t>Sabiedrības mērķgrupa</w:t>
            </w:r>
          </w:p>
        </w:tc>
        <w:tc>
          <w:tcPr>
            <w:tcW w:w="6095" w:type="dxa"/>
            <w:tcBorders>
              <w:top w:val="single" w:sz="4" w:space="0" w:color="auto"/>
              <w:left w:val="single" w:sz="4" w:space="0" w:color="auto"/>
              <w:bottom w:val="single" w:sz="4" w:space="0" w:color="auto"/>
              <w:right w:val="single" w:sz="4" w:space="0" w:color="auto"/>
            </w:tcBorders>
          </w:tcPr>
          <w:p w:rsidR="00DA7204" w:rsidRPr="00253F5A" w:rsidRDefault="00DA7204" w:rsidP="001F110F">
            <w:pPr>
              <w:jc w:val="both"/>
            </w:pPr>
            <w:r w:rsidRPr="00253F5A">
              <w:t>Meža īpašnieki vai tiesiskie valdītāji (aptuveni 150 000) un meža inventarizācijas veicēji (</w:t>
            </w:r>
            <w:r w:rsidR="0081596D">
              <w:t>a</w:t>
            </w:r>
            <w:r w:rsidRPr="00253F5A">
              <w:t>tbilstības novērtēšanas institūcij</w:t>
            </w:r>
            <w:r w:rsidR="0081596D">
              <w:t>ā</w:t>
            </w:r>
            <w:r w:rsidRPr="00253F5A">
              <w:t xml:space="preserve">s reģistrēti aptuveni 470 meža inventarizācijas veicēji).   </w:t>
            </w:r>
          </w:p>
        </w:tc>
      </w:tr>
      <w:tr w:rsidR="00DA7204" w:rsidRPr="00253F5A" w:rsidTr="00AD124D">
        <w:tc>
          <w:tcPr>
            <w:tcW w:w="709" w:type="dxa"/>
            <w:tcBorders>
              <w:top w:val="single" w:sz="4" w:space="0" w:color="auto"/>
              <w:left w:val="single" w:sz="4" w:space="0" w:color="auto"/>
              <w:bottom w:val="single" w:sz="4" w:space="0" w:color="auto"/>
              <w:right w:val="single" w:sz="4" w:space="0" w:color="auto"/>
            </w:tcBorders>
          </w:tcPr>
          <w:p w:rsidR="00DA7204" w:rsidRPr="00253F5A" w:rsidRDefault="00DA7204" w:rsidP="00225AA6">
            <w:pPr>
              <w:jc w:val="both"/>
            </w:pPr>
            <w:r w:rsidRPr="00253F5A">
              <w:t>2.</w:t>
            </w:r>
          </w:p>
        </w:tc>
        <w:tc>
          <w:tcPr>
            <w:tcW w:w="2410" w:type="dxa"/>
            <w:tcBorders>
              <w:top w:val="single" w:sz="4" w:space="0" w:color="auto"/>
              <w:left w:val="single" w:sz="4" w:space="0" w:color="auto"/>
              <w:bottom w:val="single" w:sz="4" w:space="0" w:color="auto"/>
              <w:right w:val="single" w:sz="4" w:space="0" w:color="auto"/>
            </w:tcBorders>
          </w:tcPr>
          <w:p w:rsidR="00DA7204" w:rsidRPr="00253F5A" w:rsidRDefault="00DA7204" w:rsidP="00225AA6">
            <w:pPr>
              <w:jc w:val="both"/>
            </w:pPr>
            <w:r w:rsidRPr="00253F5A">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tcPr>
          <w:p w:rsidR="00DA7204" w:rsidRPr="00253F5A" w:rsidRDefault="00DA7204" w:rsidP="00225AA6">
            <w:pPr>
              <w:pStyle w:val="naiskr"/>
              <w:jc w:val="both"/>
              <w:rPr>
                <w:bCs/>
              </w:rPr>
            </w:pPr>
            <w:r w:rsidRPr="00253F5A">
              <w:rPr>
                <w:bCs/>
              </w:rPr>
              <w:t xml:space="preserve">Institūcijām projekta tiesiskais regulējums nenosaka jaunas tiesības, </w:t>
            </w:r>
            <w:r w:rsidR="0081596D">
              <w:rPr>
                <w:bCs/>
              </w:rPr>
              <w:t>ne</w:t>
            </w:r>
            <w:r w:rsidRPr="00253F5A">
              <w:rPr>
                <w:bCs/>
              </w:rPr>
              <w:t xml:space="preserve"> arī neuzliek jaunus pienākumus un veicamās darbības.</w:t>
            </w:r>
          </w:p>
        </w:tc>
      </w:tr>
      <w:tr w:rsidR="00DA7204" w:rsidRPr="00253F5A" w:rsidTr="00AD124D">
        <w:tc>
          <w:tcPr>
            <w:tcW w:w="709" w:type="dxa"/>
            <w:tcBorders>
              <w:top w:val="single" w:sz="4" w:space="0" w:color="auto"/>
              <w:left w:val="single" w:sz="4" w:space="0" w:color="auto"/>
              <w:bottom w:val="single" w:sz="4" w:space="0" w:color="auto"/>
              <w:right w:val="single" w:sz="4" w:space="0" w:color="auto"/>
            </w:tcBorders>
          </w:tcPr>
          <w:p w:rsidR="00DA7204" w:rsidRPr="00253F5A" w:rsidRDefault="00DA7204" w:rsidP="00225AA6">
            <w:pPr>
              <w:jc w:val="both"/>
            </w:pPr>
            <w:r w:rsidRPr="00253F5A">
              <w:t>3.</w:t>
            </w:r>
          </w:p>
        </w:tc>
        <w:tc>
          <w:tcPr>
            <w:tcW w:w="2410" w:type="dxa"/>
            <w:tcBorders>
              <w:top w:val="single" w:sz="4" w:space="0" w:color="auto"/>
              <w:left w:val="single" w:sz="4" w:space="0" w:color="auto"/>
              <w:bottom w:val="single" w:sz="4" w:space="0" w:color="auto"/>
              <w:right w:val="single" w:sz="4" w:space="0" w:color="auto"/>
            </w:tcBorders>
          </w:tcPr>
          <w:p w:rsidR="00DA7204" w:rsidRPr="00253F5A" w:rsidRDefault="00DA7204" w:rsidP="00225AA6">
            <w:pPr>
              <w:jc w:val="both"/>
            </w:pPr>
            <w:r w:rsidRPr="00253F5A">
              <w:t xml:space="preserve">Administratīvo </w:t>
            </w:r>
            <w:r w:rsidRPr="00253F5A">
              <w:lastRenderedPageBreak/>
              <w:t>izmaksu monetārs novērtējums</w:t>
            </w:r>
          </w:p>
        </w:tc>
        <w:tc>
          <w:tcPr>
            <w:tcW w:w="6095" w:type="dxa"/>
            <w:tcBorders>
              <w:top w:val="single" w:sz="4" w:space="0" w:color="auto"/>
              <w:left w:val="single" w:sz="4" w:space="0" w:color="auto"/>
              <w:bottom w:val="single" w:sz="4" w:space="0" w:color="auto"/>
              <w:right w:val="single" w:sz="4" w:space="0" w:color="auto"/>
            </w:tcBorders>
          </w:tcPr>
          <w:p w:rsidR="00DA7204" w:rsidRPr="00253F5A" w:rsidRDefault="005D2011" w:rsidP="005D2011">
            <w:pPr>
              <w:pStyle w:val="naiskr"/>
              <w:jc w:val="both"/>
            </w:pPr>
            <w:r w:rsidRPr="00253F5A">
              <w:lastRenderedPageBreak/>
              <w:t>Projekts šo jomu neskar.</w:t>
            </w:r>
          </w:p>
        </w:tc>
      </w:tr>
      <w:tr w:rsidR="00DA7204" w:rsidRPr="00253F5A" w:rsidTr="00AD124D">
        <w:tc>
          <w:tcPr>
            <w:tcW w:w="709" w:type="dxa"/>
            <w:tcBorders>
              <w:top w:val="single" w:sz="4" w:space="0" w:color="auto"/>
              <w:left w:val="single" w:sz="4" w:space="0" w:color="auto"/>
              <w:bottom w:val="single" w:sz="4" w:space="0" w:color="auto"/>
              <w:right w:val="single" w:sz="4" w:space="0" w:color="auto"/>
            </w:tcBorders>
          </w:tcPr>
          <w:p w:rsidR="00DA7204" w:rsidRPr="00253F5A" w:rsidRDefault="00DA7204" w:rsidP="00225AA6">
            <w:pPr>
              <w:jc w:val="both"/>
            </w:pPr>
            <w:r w:rsidRPr="00253F5A">
              <w:t>4.</w:t>
            </w:r>
          </w:p>
        </w:tc>
        <w:tc>
          <w:tcPr>
            <w:tcW w:w="2410" w:type="dxa"/>
            <w:tcBorders>
              <w:top w:val="single" w:sz="4" w:space="0" w:color="auto"/>
              <w:left w:val="single" w:sz="4" w:space="0" w:color="auto"/>
              <w:bottom w:val="single" w:sz="4" w:space="0" w:color="auto"/>
              <w:right w:val="single" w:sz="4" w:space="0" w:color="auto"/>
            </w:tcBorders>
          </w:tcPr>
          <w:p w:rsidR="00DA7204" w:rsidRPr="00253F5A" w:rsidRDefault="00DA7204" w:rsidP="00225AA6">
            <w:pPr>
              <w:jc w:val="both"/>
            </w:pPr>
            <w:r w:rsidRPr="00253F5A">
              <w:t>Cita informācija</w:t>
            </w:r>
          </w:p>
        </w:tc>
        <w:tc>
          <w:tcPr>
            <w:tcW w:w="6095" w:type="dxa"/>
            <w:tcBorders>
              <w:top w:val="single" w:sz="4" w:space="0" w:color="auto"/>
              <w:left w:val="single" w:sz="4" w:space="0" w:color="auto"/>
              <w:bottom w:val="single" w:sz="4" w:space="0" w:color="auto"/>
              <w:right w:val="single" w:sz="4" w:space="0" w:color="auto"/>
            </w:tcBorders>
          </w:tcPr>
          <w:p w:rsidR="00DA7204" w:rsidRPr="00253F5A" w:rsidRDefault="00DA7204" w:rsidP="00225AA6">
            <w:pPr>
              <w:pStyle w:val="naiskr"/>
              <w:spacing w:before="0" w:beforeAutospacing="0" w:after="0" w:afterAutospacing="0"/>
              <w:jc w:val="both"/>
            </w:pPr>
            <w:r w:rsidRPr="00253F5A">
              <w:t> Nav</w:t>
            </w:r>
          </w:p>
        </w:tc>
      </w:tr>
    </w:tbl>
    <w:p w:rsidR="00DA7204" w:rsidRPr="00253F5A" w:rsidRDefault="00DA7204" w:rsidP="00DA7204">
      <w:pPr>
        <w:jc w:val="both"/>
        <w:rPr>
          <w:b/>
        </w:rPr>
      </w:pPr>
    </w:p>
    <w:p w:rsidR="006E1CB0" w:rsidRPr="00253F5A" w:rsidRDefault="005D2011" w:rsidP="005D2011">
      <w:pPr>
        <w:jc w:val="both"/>
        <w:rPr>
          <w:b/>
          <w:bCs/>
          <w:i/>
        </w:rPr>
      </w:pPr>
      <w:r w:rsidRPr="00253F5A">
        <w:rPr>
          <w:b/>
          <w:i/>
        </w:rPr>
        <w:t xml:space="preserve">Anotācijas III, </w:t>
      </w:r>
      <w:r w:rsidRPr="00253F5A">
        <w:rPr>
          <w:b/>
          <w:bCs/>
          <w:i/>
        </w:rPr>
        <w:t>sadaļa – projekts šo jomu neskar.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6095"/>
      </w:tblGrid>
      <w:tr w:rsidR="006E1CB0" w:rsidRPr="00253F5A" w:rsidTr="00AD124D">
        <w:trPr>
          <w:trHeight w:val="410"/>
        </w:trPr>
        <w:tc>
          <w:tcPr>
            <w:tcW w:w="9214" w:type="dxa"/>
            <w:gridSpan w:val="3"/>
            <w:tcBorders>
              <w:top w:val="single" w:sz="4" w:space="0" w:color="auto"/>
              <w:left w:val="single" w:sz="4" w:space="0" w:color="auto"/>
              <w:bottom w:val="single" w:sz="4" w:space="0" w:color="auto"/>
              <w:right w:val="single" w:sz="4" w:space="0" w:color="auto"/>
            </w:tcBorders>
          </w:tcPr>
          <w:p w:rsidR="006E1CB0" w:rsidRPr="00253F5A" w:rsidRDefault="006E1CB0" w:rsidP="008A63A9">
            <w:pPr>
              <w:contextualSpacing/>
              <w:jc w:val="center"/>
              <w:rPr>
                <w:b/>
              </w:rPr>
            </w:pPr>
            <w:r w:rsidRPr="00253F5A">
              <w:rPr>
                <w:b/>
                <w:bCs/>
              </w:rPr>
              <w:t>IV. Tiesību akta projekta ietekme uz spēkā esošo tiesību normu sistēmu</w:t>
            </w:r>
          </w:p>
        </w:tc>
      </w:tr>
      <w:tr w:rsidR="006E1CB0" w:rsidRPr="00253F5A" w:rsidTr="00AD124D">
        <w:tc>
          <w:tcPr>
            <w:tcW w:w="709" w:type="dxa"/>
            <w:tcBorders>
              <w:top w:val="single" w:sz="4" w:space="0" w:color="auto"/>
              <w:left w:val="single" w:sz="4" w:space="0" w:color="auto"/>
              <w:bottom w:val="single" w:sz="4" w:space="0" w:color="auto"/>
              <w:right w:val="single" w:sz="4" w:space="0" w:color="auto"/>
            </w:tcBorders>
          </w:tcPr>
          <w:p w:rsidR="006E1CB0" w:rsidRPr="00253F5A" w:rsidRDefault="006E1CB0" w:rsidP="008A63A9">
            <w:pPr>
              <w:jc w:val="both"/>
            </w:pPr>
            <w:r w:rsidRPr="00253F5A">
              <w:t>1.</w:t>
            </w:r>
          </w:p>
        </w:tc>
        <w:tc>
          <w:tcPr>
            <w:tcW w:w="2410" w:type="dxa"/>
            <w:tcBorders>
              <w:top w:val="single" w:sz="4" w:space="0" w:color="auto"/>
              <w:left w:val="single" w:sz="4" w:space="0" w:color="auto"/>
              <w:bottom w:val="single" w:sz="4" w:space="0" w:color="auto"/>
              <w:right w:val="single" w:sz="4" w:space="0" w:color="auto"/>
            </w:tcBorders>
          </w:tcPr>
          <w:p w:rsidR="006E1CB0" w:rsidRPr="00253F5A" w:rsidRDefault="006E1CB0" w:rsidP="008A63A9">
            <w:pPr>
              <w:jc w:val="both"/>
            </w:pPr>
            <w:r w:rsidRPr="00253F5A">
              <w:rPr>
                <w:bCs/>
                <w:lang w:eastAsia="en-US"/>
              </w:rPr>
              <w:t>Nepieciešamie saistītie tiesību aktu projekti</w:t>
            </w:r>
          </w:p>
        </w:tc>
        <w:tc>
          <w:tcPr>
            <w:tcW w:w="6095" w:type="dxa"/>
            <w:tcBorders>
              <w:top w:val="single" w:sz="4" w:space="0" w:color="auto"/>
              <w:left w:val="single" w:sz="4" w:space="0" w:color="auto"/>
              <w:bottom w:val="single" w:sz="4" w:space="0" w:color="auto"/>
              <w:right w:val="single" w:sz="4" w:space="0" w:color="auto"/>
            </w:tcBorders>
          </w:tcPr>
          <w:p w:rsidR="006E1CB0" w:rsidRPr="00253F5A" w:rsidRDefault="006E1CB0" w:rsidP="00981C45">
            <w:pPr>
              <w:jc w:val="both"/>
            </w:pPr>
            <w:r w:rsidRPr="00253F5A">
              <w:rPr>
                <w:bCs/>
                <w:lang w:eastAsia="en-US"/>
              </w:rPr>
              <w:t xml:space="preserve">Noteikumu projekts saistīts ar Zemkopības ministrijas </w:t>
            </w:r>
            <w:r w:rsidR="00981C45">
              <w:rPr>
                <w:bCs/>
                <w:lang w:eastAsia="en-US"/>
              </w:rPr>
              <w:t>sagatavoto</w:t>
            </w:r>
            <w:r w:rsidRPr="00253F5A">
              <w:rPr>
                <w:bCs/>
                <w:lang w:eastAsia="en-US"/>
              </w:rPr>
              <w:t xml:space="preserve"> Ministru kabineta noteikumu projektu „Meža inventarizācijas un Meža valsts reģistra informācijas aprites noteikumi”</w:t>
            </w:r>
            <w:r w:rsidR="00981C45">
              <w:rPr>
                <w:bCs/>
                <w:lang w:eastAsia="en-US"/>
              </w:rPr>
              <w:t>,</w:t>
            </w:r>
            <w:r w:rsidRPr="00253F5A">
              <w:rPr>
                <w:bCs/>
                <w:lang w:eastAsia="en-US"/>
              </w:rPr>
              <w:t xml:space="preserve"> </w:t>
            </w:r>
            <w:r w:rsidR="00693591" w:rsidRPr="00253F5A">
              <w:rPr>
                <w:bCs/>
                <w:lang w:eastAsia="en-US"/>
              </w:rPr>
              <w:t>tāpēc</w:t>
            </w:r>
            <w:r w:rsidRPr="00253F5A">
              <w:rPr>
                <w:bCs/>
                <w:lang w:eastAsia="en-US"/>
              </w:rPr>
              <w:t xml:space="preserve"> Ministru kabineta noteikumu projekti apstiprināšanai Ministru kabinetā </w:t>
            </w:r>
            <w:r w:rsidR="00981C45" w:rsidRPr="00253F5A">
              <w:rPr>
                <w:bCs/>
                <w:lang w:eastAsia="en-US"/>
              </w:rPr>
              <w:t xml:space="preserve">virzāmi </w:t>
            </w:r>
            <w:r w:rsidRPr="00253F5A">
              <w:rPr>
                <w:bCs/>
                <w:lang w:eastAsia="en-US"/>
              </w:rPr>
              <w:t>vienlaikus.</w:t>
            </w:r>
          </w:p>
        </w:tc>
      </w:tr>
      <w:tr w:rsidR="006E1CB0" w:rsidRPr="00253F5A" w:rsidTr="00AD124D">
        <w:tc>
          <w:tcPr>
            <w:tcW w:w="709" w:type="dxa"/>
            <w:tcBorders>
              <w:top w:val="single" w:sz="4" w:space="0" w:color="auto"/>
              <w:left w:val="single" w:sz="4" w:space="0" w:color="auto"/>
              <w:bottom w:val="single" w:sz="4" w:space="0" w:color="auto"/>
              <w:right w:val="single" w:sz="4" w:space="0" w:color="auto"/>
            </w:tcBorders>
          </w:tcPr>
          <w:p w:rsidR="006E1CB0" w:rsidRPr="00253F5A" w:rsidRDefault="006E1CB0" w:rsidP="008A63A9">
            <w:pPr>
              <w:jc w:val="both"/>
            </w:pPr>
            <w:r w:rsidRPr="00253F5A">
              <w:t>2.</w:t>
            </w:r>
          </w:p>
        </w:tc>
        <w:tc>
          <w:tcPr>
            <w:tcW w:w="2410" w:type="dxa"/>
            <w:tcBorders>
              <w:top w:val="single" w:sz="4" w:space="0" w:color="auto"/>
              <w:left w:val="single" w:sz="4" w:space="0" w:color="auto"/>
              <w:bottom w:val="single" w:sz="4" w:space="0" w:color="auto"/>
              <w:right w:val="single" w:sz="4" w:space="0" w:color="auto"/>
            </w:tcBorders>
          </w:tcPr>
          <w:p w:rsidR="006E1CB0" w:rsidRPr="00253F5A" w:rsidRDefault="006E1CB0" w:rsidP="008A63A9">
            <w:pPr>
              <w:jc w:val="both"/>
            </w:pPr>
            <w:r w:rsidRPr="00253F5A">
              <w:rPr>
                <w:bCs/>
                <w:lang w:eastAsia="en-US"/>
              </w:rPr>
              <w:t>Cita informācija</w:t>
            </w:r>
          </w:p>
        </w:tc>
        <w:tc>
          <w:tcPr>
            <w:tcW w:w="6095" w:type="dxa"/>
            <w:tcBorders>
              <w:top w:val="single" w:sz="4" w:space="0" w:color="auto"/>
              <w:left w:val="single" w:sz="4" w:space="0" w:color="auto"/>
              <w:bottom w:val="single" w:sz="4" w:space="0" w:color="auto"/>
              <w:right w:val="single" w:sz="4" w:space="0" w:color="auto"/>
            </w:tcBorders>
          </w:tcPr>
          <w:p w:rsidR="006E1CB0" w:rsidRPr="00253F5A" w:rsidRDefault="006E1CB0" w:rsidP="008A63A9">
            <w:pPr>
              <w:pStyle w:val="naiskr"/>
              <w:jc w:val="both"/>
              <w:rPr>
                <w:bCs/>
              </w:rPr>
            </w:pPr>
            <w:r w:rsidRPr="00253F5A">
              <w:t>Nav</w:t>
            </w:r>
          </w:p>
        </w:tc>
      </w:tr>
    </w:tbl>
    <w:p w:rsidR="005D2011" w:rsidRPr="00253F5A" w:rsidRDefault="005D2011" w:rsidP="005D2011">
      <w:pPr>
        <w:jc w:val="both"/>
        <w:rPr>
          <w:b/>
          <w:i/>
        </w:rPr>
      </w:pPr>
    </w:p>
    <w:tbl>
      <w:tblPr>
        <w:tblW w:w="9214"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990"/>
        <w:gridCol w:w="1420"/>
        <w:gridCol w:w="98"/>
        <w:gridCol w:w="1886"/>
        <w:gridCol w:w="887"/>
        <w:gridCol w:w="956"/>
        <w:gridCol w:w="2268"/>
      </w:tblGrid>
      <w:tr w:rsidR="000110D1" w:rsidRPr="000110D1" w:rsidTr="00AD124D">
        <w:trPr>
          <w:tblCellSpacing w:w="0" w:type="dxa"/>
        </w:trPr>
        <w:tc>
          <w:tcPr>
            <w:tcW w:w="9214" w:type="dxa"/>
            <w:gridSpan w:val="8"/>
            <w:tcBorders>
              <w:top w:val="outset" w:sz="6" w:space="0" w:color="auto"/>
              <w:left w:val="outset" w:sz="6" w:space="0" w:color="auto"/>
              <w:bottom w:val="outset" w:sz="6" w:space="0" w:color="auto"/>
              <w:right w:val="outset" w:sz="6" w:space="0" w:color="auto"/>
            </w:tcBorders>
            <w:hideMark/>
          </w:tcPr>
          <w:p w:rsidR="000110D1" w:rsidRPr="000110D1" w:rsidRDefault="000110D1" w:rsidP="000110D1">
            <w:pPr>
              <w:spacing w:before="100" w:beforeAutospacing="1" w:after="100" w:afterAutospacing="1"/>
              <w:jc w:val="center"/>
              <w:rPr>
                <w:b/>
              </w:rPr>
            </w:pPr>
            <w:r w:rsidRPr="000110D1">
              <w:rPr>
                <w:b/>
              </w:rPr>
              <w:t>V. Tiesību akta projekta atbilstība Latvijas Republikas starptautiskajām saistībām</w:t>
            </w:r>
          </w:p>
        </w:tc>
      </w:tr>
      <w:tr w:rsidR="000110D1" w:rsidRPr="000110D1" w:rsidTr="00AD124D">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0110D1" w:rsidRPr="000110D1" w:rsidRDefault="000110D1" w:rsidP="000110D1">
            <w:pPr>
              <w:spacing w:before="100" w:beforeAutospacing="1" w:after="100" w:afterAutospacing="1"/>
            </w:pPr>
            <w:r w:rsidRPr="000110D1">
              <w:t> 1.</w:t>
            </w:r>
          </w:p>
        </w:tc>
        <w:tc>
          <w:tcPr>
            <w:tcW w:w="2410" w:type="dxa"/>
            <w:gridSpan w:val="2"/>
            <w:tcBorders>
              <w:top w:val="outset" w:sz="6" w:space="0" w:color="auto"/>
              <w:left w:val="outset" w:sz="6" w:space="0" w:color="auto"/>
              <w:bottom w:val="outset" w:sz="6" w:space="0" w:color="auto"/>
              <w:right w:val="outset" w:sz="6" w:space="0" w:color="auto"/>
            </w:tcBorders>
            <w:hideMark/>
          </w:tcPr>
          <w:p w:rsidR="000110D1" w:rsidRPr="000110D1" w:rsidRDefault="000110D1" w:rsidP="000110D1">
            <w:pPr>
              <w:spacing w:before="100" w:beforeAutospacing="1" w:after="100" w:afterAutospacing="1"/>
            </w:pPr>
            <w:r w:rsidRPr="000110D1">
              <w:t> Saistības pret Eiropas Savienību</w:t>
            </w:r>
          </w:p>
        </w:tc>
        <w:tc>
          <w:tcPr>
            <w:tcW w:w="6095" w:type="dxa"/>
            <w:gridSpan w:val="5"/>
            <w:tcBorders>
              <w:top w:val="outset" w:sz="6" w:space="0" w:color="auto"/>
              <w:left w:val="outset" w:sz="6" w:space="0" w:color="auto"/>
              <w:bottom w:val="outset" w:sz="6" w:space="0" w:color="auto"/>
              <w:right w:val="outset" w:sz="6" w:space="0" w:color="auto"/>
            </w:tcBorders>
            <w:hideMark/>
          </w:tcPr>
          <w:p w:rsidR="000110D1" w:rsidRPr="000110D1" w:rsidRDefault="000110D1" w:rsidP="0075431E">
            <w:r w:rsidRPr="000110D1">
              <w:t> </w:t>
            </w:r>
            <w:r w:rsidR="0075431E">
              <w:t xml:space="preserve">Saskaņā ar Ministru kabineta 2010. gada 23. februāra instrukcijas Nr.1 „Kārtība, kādā valsts pārvaldes iestādes sniedz informāciju par tehnisko noteikumu projektiem” 2.5. apakšpunktu projekts ir uzskatāms par tehnisko noteikumu projektu pakalpojumu jomā, par kuru jāsniedz informācija Eiropas Komisijai saskaņā ar instrukcijā noteikto kārtību. </w:t>
            </w:r>
          </w:p>
        </w:tc>
      </w:tr>
      <w:tr w:rsidR="000110D1" w:rsidRPr="000110D1" w:rsidTr="00AD124D">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0110D1" w:rsidRPr="000110D1" w:rsidRDefault="000110D1" w:rsidP="000110D1">
            <w:pPr>
              <w:spacing w:before="100" w:beforeAutospacing="1" w:after="100" w:afterAutospacing="1"/>
            </w:pPr>
            <w:r w:rsidRPr="000110D1">
              <w:t> 2.</w:t>
            </w:r>
          </w:p>
        </w:tc>
        <w:tc>
          <w:tcPr>
            <w:tcW w:w="2410" w:type="dxa"/>
            <w:gridSpan w:val="2"/>
            <w:tcBorders>
              <w:top w:val="outset" w:sz="6" w:space="0" w:color="auto"/>
              <w:left w:val="outset" w:sz="6" w:space="0" w:color="auto"/>
              <w:bottom w:val="outset" w:sz="6" w:space="0" w:color="auto"/>
              <w:right w:val="outset" w:sz="6" w:space="0" w:color="auto"/>
            </w:tcBorders>
            <w:hideMark/>
          </w:tcPr>
          <w:p w:rsidR="000110D1" w:rsidRPr="000110D1" w:rsidRDefault="000110D1" w:rsidP="000110D1">
            <w:pPr>
              <w:spacing w:before="100" w:beforeAutospacing="1" w:after="100" w:afterAutospacing="1"/>
            </w:pPr>
            <w:r w:rsidRPr="000110D1">
              <w:t> Citas starptautiskās saistības</w:t>
            </w:r>
          </w:p>
        </w:tc>
        <w:tc>
          <w:tcPr>
            <w:tcW w:w="6095" w:type="dxa"/>
            <w:gridSpan w:val="5"/>
            <w:tcBorders>
              <w:top w:val="outset" w:sz="6" w:space="0" w:color="auto"/>
              <w:left w:val="outset" w:sz="6" w:space="0" w:color="auto"/>
              <w:bottom w:val="outset" w:sz="6" w:space="0" w:color="auto"/>
              <w:right w:val="outset" w:sz="6" w:space="0" w:color="auto"/>
            </w:tcBorders>
            <w:hideMark/>
          </w:tcPr>
          <w:p w:rsidR="000110D1" w:rsidRDefault="000110D1" w:rsidP="000110D1">
            <w:pPr>
              <w:spacing w:before="100" w:beforeAutospacing="1" w:after="100" w:afterAutospacing="1"/>
            </w:pPr>
            <w:r w:rsidRPr="000110D1">
              <w:t> </w:t>
            </w:r>
            <w:r w:rsidR="00C2137E" w:rsidRPr="00C2137E">
              <w:t>Projekts šo jomu neskar.</w:t>
            </w:r>
          </w:p>
          <w:p w:rsidR="00C2137E" w:rsidRPr="00C2137E" w:rsidRDefault="00C2137E" w:rsidP="000110D1">
            <w:pPr>
              <w:spacing w:before="100" w:beforeAutospacing="1" w:after="100" w:afterAutospacing="1"/>
              <w:rPr>
                <w:i/>
              </w:rPr>
            </w:pPr>
          </w:p>
        </w:tc>
      </w:tr>
      <w:tr w:rsidR="000110D1" w:rsidRPr="000110D1" w:rsidTr="00AD124D">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0110D1" w:rsidRPr="000110D1" w:rsidRDefault="000110D1" w:rsidP="000110D1">
            <w:pPr>
              <w:spacing w:before="100" w:beforeAutospacing="1" w:after="100" w:afterAutospacing="1"/>
            </w:pPr>
            <w:r w:rsidRPr="000110D1">
              <w:t> 3.</w:t>
            </w:r>
          </w:p>
        </w:tc>
        <w:tc>
          <w:tcPr>
            <w:tcW w:w="2410" w:type="dxa"/>
            <w:gridSpan w:val="2"/>
            <w:tcBorders>
              <w:top w:val="outset" w:sz="6" w:space="0" w:color="auto"/>
              <w:left w:val="outset" w:sz="6" w:space="0" w:color="auto"/>
              <w:bottom w:val="outset" w:sz="6" w:space="0" w:color="auto"/>
              <w:right w:val="outset" w:sz="6" w:space="0" w:color="auto"/>
            </w:tcBorders>
            <w:hideMark/>
          </w:tcPr>
          <w:p w:rsidR="000110D1" w:rsidRPr="000110D1" w:rsidRDefault="000110D1" w:rsidP="000110D1">
            <w:pPr>
              <w:spacing w:before="100" w:beforeAutospacing="1" w:after="100" w:afterAutospacing="1"/>
            </w:pPr>
            <w:r w:rsidRPr="000110D1">
              <w:t> Cita informācija</w:t>
            </w:r>
          </w:p>
        </w:tc>
        <w:tc>
          <w:tcPr>
            <w:tcW w:w="6095" w:type="dxa"/>
            <w:gridSpan w:val="5"/>
            <w:tcBorders>
              <w:top w:val="outset" w:sz="6" w:space="0" w:color="auto"/>
              <w:left w:val="outset" w:sz="6" w:space="0" w:color="auto"/>
              <w:bottom w:val="outset" w:sz="6" w:space="0" w:color="auto"/>
              <w:right w:val="outset" w:sz="6" w:space="0" w:color="auto"/>
            </w:tcBorders>
            <w:hideMark/>
          </w:tcPr>
          <w:p w:rsidR="000110D1" w:rsidRPr="000110D1" w:rsidRDefault="000110D1" w:rsidP="000110D1">
            <w:pPr>
              <w:spacing w:before="100" w:beforeAutospacing="1" w:after="100" w:afterAutospacing="1"/>
            </w:pPr>
            <w:r w:rsidRPr="000110D1">
              <w:t> Nav</w:t>
            </w:r>
          </w:p>
        </w:tc>
      </w:tr>
      <w:tr w:rsidR="000110D1" w:rsidRPr="000110D1" w:rsidTr="00AD124D">
        <w:trPr>
          <w:trHeight w:val="523"/>
          <w:tblCellSpacing w:w="0" w:type="dxa"/>
        </w:trPr>
        <w:tc>
          <w:tcPr>
            <w:tcW w:w="9214" w:type="dxa"/>
            <w:gridSpan w:val="8"/>
            <w:tcBorders>
              <w:top w:val="outset" w:sz="6" w:space="0" w:color="auto"/>
              <w:left w:val="outset" w:sz="6" w:space="0" w:color="auto"/>
              <w:bottom w:val="outset" w:sz="6" w:space="0" w:color="auto"/>
              <w:right w:val="outset" w:sz="6" w:space="0" w:color="auto"/>
            </w:tcBorders>
            <w:vAlign w:val="center"/>
            <w:hideMark/>
          </w:tcPr>
          <w:p w:rsidR="000110D1" w:rsidRPr="001242FD" w:rsidRDefault="000110D1" w:rsidP="001242FD">
            <w:pPr>
              <w:spacing w:before="100" w:beforeAutospacing="1" w:after="100" w:afterAutospacing="1"/>
              <w:contextualSpacing/>
              <w:jc w:val="center"/>
              <w:rPr>
                <w:b/>
              </w:rPr>
            </w:pPr>
            <w:r w:rsidRPr="001242FD">
              <w:rPr>
                <w:b/>
              </w:rPr>
              <w:t>1.tabula</w:t>
            </w:r>
          </w:p>
          <w:p w:rsidR="000110D1" w:rsidRPr="001242FD" w:rsidRDefault="000110D1" w:rsidP="001242FD">
            <w:pPr>
              <w:spacing w:before="100" w:beforeAutospacing="1" w:after="100" w:afterAutospacing="1"/>
              <w:contextualSpacing/>
              <w:jc w:val="center"/>
              <w:rPr>
                <w:b/>
              </w:rPr>
            </w:pPr>
            <w:r w:rsidRPr="001242FD">
              <w:rPr>
                <w:b/>
              </w:rPr>
              <w:t>Tiesību akta projekta atbilstība ES tiesību aktiem</w:t>
            </w:r>
          </w:p>
        </w:tc>
      </w:tr>
      <w:tr w:rsidR="000110D1" w:rsidRPr="000110D1" w:rsidTr="00AD124D">
        <w:trPr>
          <w:trHeight w:val="1252"/>
          <w:tblCellSpacing w:w="0" w:type="dxa"/>
        </w:trPr>
        <w:tc>
          <w:tcPr>
            <w:tcW w:w="1699" w:type="dxa"/>
            <w:gridSpan w:val="2"/>
            <w:tcBorders>
              <w:top w:val="outset" w:sz="6" w:space="0" w:color="auto"/>
              <w:left w:val="outset" w:sz="6" w:space="0" w:color="auto"/>
              <w:bottom w:val="outset" w:sz="6" w:space="0" w:color="auto"/>
              <w:right w:val="outset" w:sz="6" w:space="0" w:color="auto"/>
            </w:tcBorders>
            <w:vAlign w:val="center"/>
            <w:hideMark/>
          </w:tcPr>
          <w:p w:rsidR="000110D1" w:rsidRPr="000110D1" w:rsidRDefault="000110D1" w:rsidP="000110D1">
            <w:pPr>
              <w:spacing w:before="100" w:beforeAutospacing="1" w:after="100" w:afterAutospacing="1"/>
            </w:pPr>
            <w:r w:rsidRPr="000110D1">
              <w:t> Attiecīgā ES tiesību akta datums, numurs un nosaukums</w:t>
            </w:r>
          </w:p>
        </w:tc>
        <w:tc>
          <w:tcPr>
            <w:tcW w:w="7515" w:type="dxa"/>
            <w:gridSpan w:val="6"/>
            <w:tcBorders>
              <w:top w:val="outset" w:sz="6" w:space="0" w:color="auto"/>
              <w:left w:val="outset" w:sz="6" w:space="0" w:color="auto"/>
              <w:bottom w:val="outset" w:sz="6" w:space="0" w:color="auto"/>
              <w:right w:val="outset" w:sz="6" w:space="0" w:color="auto"/>
            </w:tcBorders>
            <w:hideMark/>
          </w:tcPr>
          <w:p w:rsidR="000110D1" w:rsidRPr="000110D1" w:rsidRDefault="0075431E" w:rsidP="00C2137E">
            <w:pPr>
              <w:spacing w:before="120"/>
              <w:rPr>
                <w:bCs/>
              </w:rPr>
            </w:pPr>
            <w:r w:rsidRPr="00C2137E">
              <w:t>Projekts šo jomu neskar.</w:t>
            </w:r>
          </w:p>
        </w:tc>
      </w:tr>
      <w:tr w:rsidR="000110D1" w:rsidRPr="000110D1" w:rsidTr="00AD124D">
        <w:trPr>
          <w:trHeight w:val="163"/>
          <w:tblCellSpacing w:w="0" w:type="dxa"/>
        </w:trPr>
        <w:tc>
          <w:tcPr>
            <w:tcW w:w="9214" w:type="dxa"/>
            <w:gridSpan w:val="8"/>
            <w:tcBorders>
              <w:top w:val="outset" w:sz="6" w:space="0" w:color="auto"/>
              <w:left w:val="outset" w:sz="6" w:space="0" w:color="auto"/>
              <w:bottom w:val="outset" w:sz="6" w:space="0" w:color="auto"/>
              <w:right w:val="outset" w:sz="6" w:space="0" w:color="auto"/>
            </w:tcBorders>
            <w:vAlign w:val="center"/>
            <w:hideMark/>
          </w:tcPr>
          <w:p w:rsidR="000110D1" w:rsidRPr="000110D1" w:rsidRDefault="000110D1" w:rsidP="000110D1">
            <w:pPr>
              <w:spacing w:before="100" w:beforeAutospacing="1" w:after="100" w:afterAutospacing="1" w:line="163" w:lineRule="atLeast"/>
            </w:pPr>
            <w:r w:rsidRPr="000110D1">
              <w:t>  </w:t>
            </w:r>
          </w:p>
        </w:tc>
      </w:tr>
      <w:tr w:rsidR="000110D1" w:rsidRPr="000110D1" w:rsidTr="00AD124D">
        <w:trPr>
          <w:trHeight w:val="165"/>
          <w:tblCellSpacing w:w="0" w:type="dxa"/>
        </w:trPr>
        <w:tc>
          <w:tcPr>
            <w:tcW w:w="3217" w:type="dxa"/>
            <w:gridSpan w:val="4"/>
            <w:tcBorders>
              <w:top w:val="outset" w:sz="6" w:space="0" w:color="auto"/>
              <w:left w:val="outset" w:sz="6" w:space="0" w:color="auto"/>
              <w:bottom w:val="outset" w:sz="6" w:space="0" w:color="auto"/>
              <w:right w:val="outset" w:sz="6" w:space="0" w:color="auto"/>
            </w:tcBorders>
            <w:vAlign w:val="center"/>
            <w:hideMark/>
          </w:tcPr>
          <w:p w:rsidR="000110D1" w:rsidRPr="000110D1" w:rsidRDefault="000110D1" w:rsidP="000110D1">
            <w:pPr>
              <w:spacing w:before="100" w:beforeAutospacing="1" w:after="100" w:afterAutospacing="1" w:line="165" w:lineRule="atLeast"/>
            </w:pPr>
            <w:r w:rsidRPr="000110D1">
              <w:t> A</w:t>
            </w:r>
          </w:p>
        </w:tc>
        <w:tc>
          <w:tcPr>
            <w:tcW w:w="1886" w:type="dxa"/>
            <w:tcBorders>
              <w:top w:val="outset" w:sz="6" w:space="0" w:color="auto"/>
              <w:left w:val="outset" w:sz="6" w:space="0" w:color="auto"/>
              <w:bottom w:val="outset" w:sz="6" w:space="0" w:color="auto"/>
              <w:right w:val="outset" w:sz="6" w:space="0" w:color="auto"/>
            </w:tcBorders>
            <w:vAlign w:val="center"/>
            <w:hideMark/>
          </w:tcPr>
          <w:p w:rsidR="000110D1" w:rsidRPr="000110D1" w:rsidRDefault="000110D1" w:rsidP="000110D1">
            <w:pPr>
              <w:spacing w:before="100" w:beforeAutospacing="1" w:after="100" w:afterAutospacing="1" w:line="165" w:lineRule="atLeast"/>
            </w:pPr>
            <w:r w:rsidRPr="000110D1">
              <w:t> B</w:t>
            </w:r>
          </w:p>
        </w:tc>
        <w:tc>
          <w:tcPr>
            <w:tcW w:w="1843" w:type="dxa"/>
            <w:gridSpan w:val="2"/>
            <w:tcBorders>
              <w:top w:val="outset" w:sz="6" w:space="0" w:color="auto"/>
              <w:left w:val="outset" w:sz="6" w:space="0" w:color="auto"/>
              <w:bottom w:val="outset" w:sz="6" w:space="0" w:color="auto"/>
              <w:right w:val="outset" w:sz="6" w:space="0" w:color="auto"/>
            </w:tcBorders>
            <w:vAlign w:val="center"/>
            <w:hideMark/>
          </w:tcPr>
          <w:p w:rsidR="000110D1" w:rsidRPr="000110D1" w:rsidRDefault="000110D1" w:rsidP="000110D1">
            <w:pPr>
              <w:spacing w:before="100" w:beforeAutospacing="1" w:after="100" w:afterAutospacing="1" w:line="165" w:lineRule="atLeast"/>
            </w:pPr>
            <w:r w:rsidRPr="000110D1">
              <w:t> C</w:t>
            </w:r>
          </w:p>
        </w:tc>
        <w:tc>
          <w:tcPr>
            <w:tcW w:w="2268" w:type="dxa"/>
            <w:tcBorders>
              <w:top w:val="outset" w:sz="6" w:space="0" w:color="auto"/>
              <w:left w:val="outset" w:sz="6" w:space="0" w:color="auto"/>
              <w:bottom w:val="outset" w:sz="6" w:space="0" w:color="auto"/>
              <w:right w:val="outset" w:sz="6" w:space="0" w:color="auto"/>
            </w:tcBorders>
            <w:vAlign w:val="center"/>
            <w:hideMark/>
          </w:tcPr>
          <w:p w:rsidR="000110D1" w:rsidRPr="000110D1" w:rsidRDefault="000110D1" w:rsidP="000110D1">
            <w:pPr>
              <w:spacing w:before="100" w:beforeAutospacing="1" w:after="100" w:afterAutospacing="1" w:line="165" w:lineRule="atLeast"/>
            </w:pPr>
            <w:r w:rsidRPr="000110D1">
              <w:t> D</w:t>
            </w:r>
          </w:p>
        </w:tc>
      </w:tr>
      <w:tr w:rsidR="001242FD" w:rsidRPr="000110D1" w:rsidTr="00AD124D">
        <w:trPr>
          <w:trHeight w:val="1356"/>
          <w:tblCellSpacing w:w="0" w:type="dxa"/>
        </w:trPr>
        <w:tc>
          <w:tcPr>
            <w:tcW w:w="3217" w:type="dxa"/>
            <w:gridSpan w:val="4"/>
            <w:tcBorders>
              <w:top w:val="outset" w:sz="6" w:space="0" w:color="auto"/>
              <w:left w:val="outset" w:sz="6" w:space="0" w:color="auto"/>
              <w:bottom w:val="outset" w:sz="6" w:space="0" w:color="auto"/>
              <w:right w:val="outset" w:sz="6" w:space="0" w:color="auto"/>
            </w:tcBorders>
          </w:tcPr>
          <w:p w:rsidR="001242FD" w:rsidRPr="000110D1" w:rsidRDefault="001242FD" w:rsidP="0019725A">
            <w:pPr>
              <w:spacing w:before="100" w:beforeAutospacing="1" w:after="100" w:afterAutospacing="1"/>
            </w:pPr>
            <w:r w:rsidRPr="000110D1">
              <w:t xml:space="preserve"> Nav attiecināms</w:t>
            </w:r>
          </w:p>
        </w:tc>
        <w:tc>
          <w:tcPr>
            <w:tcW w:w="1886" w:type="dxa"/>
            <w:tcBorders>
              <w:top w:val="outset" w:sz="6" w:space="0" w:color="auto"/>
              <w:left w:val="outset" w:sz="6" w:space="0" w:color="auto"/>
              <w:bottom w:val="outset" w:sz="6" w:space="0" w:color="auto"/>
              <w:right w:val="outset" w:sz="6" w:space="0" w:color="auto"/>
            </w:tcBorders>
          </w:tcPr>
          <w:p w:rsidR="001242FD" w:rsidRPr="000110D1" w:rsidRDefault="001242FD" w:rsidP="0019725A">
            <w:pPr>
              <w:spacing w:before="100" w:beforeAutospacing="1" w:after="100" w:afterAutospacing="1"/>
            </w:pPr>
            <w:r w:rsidRPr="000110D1">
              <w:t xml:space="preserve"> Nav attiecināms</w:t>
            </w:r>
          </w:p>
        </w:tc>
        <w:tc>
          <w:tcPr>
            <w:tcW w:w="1843" w:type="dxa"/>
            <w:gridSpan w:val="2"/>
            <w:tcBorders>
              <w:top w:val="outset" w:sz="6" w:space="0" w:color="auto"/>
              <w:left w:val="outset" w:sz="6" w:space="0" w:color="auto"/>
              <w:bottom w:val="outset" w:sz="6" w:space="0" w:color="auto"/>
              <w:right w:val="outset" w:sz="6" w:space="0" w:color="auto"/>
            </w:tcBorders>
          </w:tcPr>
          <w:p w:rsidR="001242FD" w:rsidRPr="000110D1" w:rsidRDefault="001242FD" w:rsidP="0019725A">
            <w:pPr>
              <w:spacing w:before="100" w:beforeAutospacing="1" w:after="100" w:afterAutospacing="1"/>
            </w:pPr>
            <w:r w:rsidRPr="000110D1">
              <w:t xml:space="preserve"> Nav attiecināms</w:t>
            </w:r>
          </w:p>
        </w:tc>
        <w:tc>
          <w:tcPr>
            <w:tcW w:w="2268" w:type="dxa"/>
            <w:tcBorders>
              <w:top w:val="outset" w:sz="6" w:space="0" w:color="auto"/>
              <w:left w:val="outset" w:sz="6" w:space="0" w:color="auto"/>
              <w:bottom w:val="outset" w:sz="6" w:space="0" w:color="auto"/>
              <w:right w:val="outset" w:sz="6" w:space="0" w:color="auto"/>
            </w:tcBorders>
          </w:tcPr>
          <w:p w:rsidR="001242FD" w:rsidRPr="000110D1" w:rsidRDefault="001242FD" w:rsidP="000110D1">
            <w:pPr>
              <w:spacing w:before="100" w:beforeAutospacing="1" w:after="100" w:afterAutospacing="1"/>
            </w:pPr>
            <w:r w:rsidRPr="000110D1">
              <w:t>Nav attiecināms</w:t>
            </w:r>
          </w:p>
        </w:tc>
      </w:tr>
      <w:tr w:rsidR="001242FD" w:rsidRPr="000110D1" w:rsidTr="00AD124D">
        <w:trPr>
          <w:trHeight w:val="281"/>
          <w:tblCellSpacing w:w="0" w:type="dxa"/>
        </w:trPr>
        <w:tc>
          <w:tcPr>
            <w:tcW w:w="3217" w:type="dxa"/>
            <w:gridSpan w:val="4"/>
            <w:tcBorders>
              <w:top w:val="outset" w:sz="6" w:space="0" w:color="auto"/>
              <w:left w:val="outset" w:sz="6" w:space="0" w:color="auto"/>
              <w:bottom w:val="outset" w:sz="6" w:space="0" w:color="auto"/>
              <w:right w:val="outset" w:sz="6" w:space="0" w:color="auto"/>
            </w:tcBorders>
            <w:vAlign w:val="center"/>
            <w:hideMark/>
          </w:tcPr>
          <w:p w:rsidR="001242FD" w:rsidRPr="000110D1" w:rsidRDefault="001242FD" w:rsidP="000110D1">
            <w:pPr>
              <w:spacing w:before="100" w:beforeAutospacing="1" w:after="100" w:afterAutospacing="1"/>
            </w:pPr>
            <w:r w:rsidRPr="000110D1">
              <w:t> Kā ir izmantota ES tiesību aktā paredzētā rīcības brīvība dalībvalstij pārņemt vai ieviest noteiktas ES tiesību akta normas.</w:t>
            </w:r>
          </w:p>
          <w:p w:rsidR="001242FD" w:rsidRPr="000110D1" w:rsidRDefault="001242FD" w:rsidP="000110D1">
            <w:pPr>
              <w:spacing w:before="100" w:beforeAutospacing="1" w:after="100" w:afterAutospacing="1"/>
            </w:pPr>
            <w:r w:rsidRPr="000110D1">
              <w:t>Kādēļ?</w:t>
            </w:r>
          </w:p>
        </w:tc>
        <w:tc>
          <w:tcPr>
            <w:tcW w:w="5997" w:type="dxa"/>
            <w:gridSpan w:val="4"/>
            <w:tcBorders>
              <w:top w:val="outset" w:sz="6" w:space="0" w:color="auto"/>
              <w:left w:val="outset" w:sz="6" w:space="0" w:color="auto"/>
              <w:bottom w:val="outset" w:sz="6" w:space="0" w:color="auto"/>
              <w:right w:val="outset" w:sz="6" w:space="0" w:color="auto"/>
            </w:tcBorders>
            <w:hideMark/>
          </w:tcPr>
          <w:p w:rsidR="001242FD" w:rsidRPr="000110D1" w:rsidRDefault="001242FD" w:rsidP="000110D1">
            <w:pPr>
              <w:spacing w:before="100" w:beforeAutospacing="1" w:after="100" w:afterAutospacing="1"/>
              <w:jc w:val="both"/>
            </w:pPr>
            <w:r w:rsidRPr="000110D1">
              <w:t> </w:t>
            </w:r>
            <w:r w:rsidRPr="00C2137E">
              <w:t>Projekts šo jomu neskar.</w:t>
            </w:r>
          </w:p>
        </w:tc>
      </w:tr>
      <w:tr w:rsidR="001242FD" w:rsidRPr="000110D1" w:rsidTr="00AD124D">
        <w:trPr>
          <w:trHeight w:val="913"/>
          <w:tblCellSpacing w:w="0" w:type="dxa"/>
        </w:trPr>
        <w:tc>
          <w:tcPr>
            <w:tcW w:w="3217" w:type="dxa"/>
            <w:gridSpan w:val="4"/>
            <w:tcBorders>
              <w:top w:val="outset" w:sz="6" w:space="0" w:color="auto"/>
              <w:left w:val="outset" w:sz="6" w:space="0" w:color="auto"/>
              <w:bottom w:val="outset" w:sz="6" w:space="0" w:color="auto"/>
              <w:right w:val="outset" w:sz="6" w:space="0" w:color="auto"/>
            </w:tcBorders>
            <w:vAlign w:val="center"/>
            <w:hideMark/>
          </w:tcPr>
          <w:p w:rsidR="001242FD" w:rsidRPr="000110D1" w:rsidRDefault="001242FD" w:rsidP="00AD124D">
            <w:pPr>
              <w:jc w:val="both"/>
            </w:pPr>
            <w:r w:rsidRPr="000110D1">
              <w:t> </w:t>
            </w:r>
            <w:r w:rsidRPr="0075431E">
              <w:t xml:space="preserve">Saistības sniegt paziņojumu ES institūcijām un ES dalībvalstīm atbilstoši normatīvajiem aktiem, kas regulē informācijas </w:t>
            </w:r>
            <w:r w:rsidRPr="0075431E">
              <w:lastRenderedPageBreak/>
              <w:t>sniegšanu par tehnisko noteikumu, valsts atbalsta piešķiršanas un finanšu noteikumu (attiecībā uz monetāro politiku) projektiem</w:t>
            </w:r>
          </w:p>
        </w:tc>
        <w:tc>
          <w:tcPr>
            <w:tcW w:w="5997" w:type="dxa"/>
            <w:gridSpan w:val="4"/>
            <w:tcBorders>
              <w:top w:val="outset" w:sz="6" w:space="0" w:color="auto"/>
              <w:left w:val="outset" w:sz="6" w:space="0" w:color="auto"/>
              <w:bottom w:val="outset" w:sz="6" w:space="0" w:color="auto"/>
              <w:right w:val="outset" w:sz="6" w:space="0" w:color="auto"/>
            </w:tcBorders>
            <w:hideMark/>
          </w:tcPr>
          <w:p w:rsidR="001242FD" w:rsidRPr="000110D1" w:rsidRDefault="001242FD" w:rsidP="004D24D6">
            <w:pPr>
              <w:spacing w:before="100" w:beforeAutospacing="1" w:after="100" w:afterAutospacing="1"/>
            </w:pPr>
            <w:r w:rsidRPr="000110D1">
              <w:lastRenderedPageBreak/>
              <w:t xml:space="preserve"> </w:t>
            </w:r>
            <w:r w:rsidR="0075431E" w:rsidRPr="00C2137E">
              <w:t>Projekts šo jomu neskar.</w:t>
            </w:r>
          </w:p>
        </w:tc>
      </w:tr>
      <w:tr w:rsidR="001242FD" w:rsidRPr="000110D1" w:rsidTr="00AD124D">
        <w:trPr>
          <w:trHeight w:val="280"/>
          <w:tblCellSpacing w:w="0" w:type="dxa"/>
        </w:trPr>
        <w:tc>
          <w:tcPr>
            <w:tcW w:w="3217" w:type="dxa"/>
            <w:gridSpan w:val="4"/>
            <w:tcBorders>
              <w:top w:val="outset" w:sz="6" w:space="0" w:color="auto"/>
              <w:left w:val="outset" w:sz="6" w:space="0" w:color="auto"/>
              <w:bottom w:val="outset" w:sz="6" w:space="0" w:color="auto"/>
              <w:right w:val="outset" w:sz="6" w:space="0" w:color="auto"/>
            </w:tcBorders>
            <w:hideMark/>
          </w:tcPr>
          <w:p w:rsidR="001242FD" w:rsidRPr="000110D1" w:rsidRDefault="001242FD" w:rsidP="000110D1">
            <w:pPr>
              <w:spacing w:before="100" w:beforeAutospacing="1" w:after="100" w:afterAutospacing="1"/>
            </w:pPr>
            <w:r w:rsidRPr="000110D1">
              <w:t> Cita informācija</w:t>
            </w:r>
          </w:p>
        </w:tc>
        <w:tc>
          <w:tcPr>
            <w:tcW w:w="5997" w:type="dxa"/>
            <w:gridSpan w:val="4"/>
            <w:tcBorders>
              <w:top w:val="outset" w:sz="6" w:space="0" w:color="auto"/>
              <w:left w:val="outset" w:sz="6" w:space="0" w:color="auto"/>
              <w:bottom w:val="outset" w:sz="6" w:space="0" w:color="auto"/>
              <w:right w:val="outset" w:sz="6" w:space="0" w:color="auto"/>
            </w:tcBorders>
            <w:hideMark/>
          </w:tcPr>
          <w:p w:rsidR="001242FD" w:rsidRPr="000110D1" w:rsidRDefault="001242FD" w:rsidP="000110D1">
            <w:pPr>
              <w:spacing w:before="100" w:beforeAutospacing="1" w:after="100" w:afterAutospacing="1"/>
            </w:pPr>
            <w:r w:rsidRPr="000110D1">
              <w:t> Nav</w:t>
            </w:r>
          </w:p>
        </w:tc>
      </w:tr>
      <w:tr w:rsidR="001242FD" w:rsidRPr="000110D1" w:rsidTr="00AD124D">
        <w:trPr>
          <w:trHeight w:val="792"/>
          <w:tblCellSpacing w:w="0" w:type="dxa"/>
        </w:trPr>
        <w:tc>
          <w:tcPr>
            <w:tcW w:w="9214" w:type="dxa"/>
            <w:gridSpan w:val="8"/>
            <w:tcBorders>
              <w:top w:val="outset" w:sz="6" w:space="0" w:color="auto"/>
              <w:left w:val="outset" w:sz="6" w:space="0" w:color="auto"/>
              <w:bottom w:val="outset" w:sz="6" w:space="0" w:color="auto"/>
              <w:right w:val="outset" w:sz="6" w:space="0" w:color="auto"/>
            </w:tcBorders>
            <w:vAlign w:val="center"/>
            <w:hideMark/>
          </w:tcPr>
          <w:p w:rsidR="001242FD" w:rsidRPr="001242FD" w:rsidRDefault="001242FD" w:rsidP="001242FD">
            <w:pPr>
              <w:spacing w:before="100" w:beforeAutospacing="1" w:after="100" w:afterAutospacing="1"/>
              <w:contextualSpacing/>
              <w:jc w:val="center"/>
              <w:rPr>
                <w:b/>
              </w:rPr>
            </w:pPr>
            <w:r w:rsidRPr="001242FD">
              <w:rPr>
                <w:b/>
              </w:rPr>
              <w:t>2.tabula</w:t>
            </w:r>
          </w:p>
          <w:p w:rsidR="001242FD" w:rsidRPr="001242FD" w:rsidRDefault="001242FD" w:rsidP="001242FD">
            <w:pPr>
              <w:spacing w:before="100" w:beforeAutospacing="1" w:after="100" w:afterAutospacing="1"/>
              <w:contextualSpacing/>
              <w:jc w:val="center"/>
              <w:rPr>
                <w:b/>
              </w:rPr>
            </w:pPr>
            <w:r w:rsidRPr="001242FD">
              <w:rPr>
                <w:b/>
              </w:rPr>
              <w:t>Ar tiesību akta projektu uzņemtās saistības, kas izriet no starptautiskajiem tiesību aktiem vai starptautiskas institūcijas vai organizācijas dokumentiem</w:t>
            </w:r>
          </w:p>
          <w:p w:rsidR="001242FD" w:rsidRPr="001242FD" w:rsidRDefault="001242FD" w:rsidP="001242FD">
            <w:pPr>
              <w:spacing w:before="100" w:beforeAutospacing="1" w:after="100" w:afterAutospacing="1"/>
              <w:contextualSpacing/>
              <w:jc w:val="center"/>
              <w:rPr>
                <w:b/>
              </w:rPr>
            </w:pPr>
            <w:r w:rsidRPr="001242FD">
              <w:rPr>
                <w:b/>
              </w:rPr>
              <w:t>Pasākumi šo saistību izpildei</w:t>
            </w:r>
          </w:p>
        </w:tc>
      </w:tr>
      <w:tr w:rsidR="001242FD" w:rsidRPr="000110D1" w:rsidTr="00AD124D">
        <w:trPr>
          <w:trHeight w:val="697"/>
          <w:tblCellSpacing w:w="0" w:type="dxa"/>
        </w:trPr>
        <w:tc>
          <w:tcPr>
            <w:tcW w:w="5990" w:type="dxa"/>
            <w:gridSpan w:val="6"/>
            <w:tcBorders>
              <w:top w:val="outset" w:sz="6" w:space="0" w:color="auto"/>
              <w:left w:val="outset" w:sz="6" w:space="0" w:color="auto"/>
              <w:bottom w:val="outset" w:sz="6" w:space="0" w:color="auto"/>
              <w:right w:val="outset" w:sz="6" w:space="0" w:color="auto"/>
            </w:tcBorders>
            <w:vAlign w:val="center"/>
            <w:hideMark/>
          </w:tcPr>
          <w:p w:rsidR="001242FD" w:rsidRPr="000110D1" w:rsidRDefault="001242FD" w:rsidP="000110D1">
            <w:r w:rsidRPr="000110D1">
              <w:t> Attiecīgā starptautiskā tiesību akta vai starptautiskas institūcijas vai organizācijas dokumenta (turpmāk – starptautiskais dokuments) datums, numurs un nosaukums</w:t>
            </w:r>
          </w:p>
        </w:tc>
        <w:tc>
          <w:tcPr>
            <w:tcW w:w="3224" w:type="dxa"/>
            <w:gridSpan w:val="2"/>
            <w:tcBorders>
              <w:top w:val="outset" w:sz="6" w:space="0" w:color="auto"/>
              <w:left w:val="outset" w:sz="6" w:space="0" w:color="auto"/>
              <w:bottom w:val="outset" w:sz="6" w:space="0" w:color="auto"/>
              <w:right w:val="outset" w:sz="6" w:space="0" w:color="auto"/>
            </w:tcBorders>
            <w:hideMark/>
          </w:tcPr>
          <w:p w:rsidR="001242FD" w:rsidRPr="000110D1" w:rsidRDefault="001242FD" w:rsidP="000110D1">
            <w:pPr>
              <w:spacing w:before="100" w:beforeAutospacing="1" w:after="100" w:afterAutospacing="1"/>
            </w:pPr>
            <w:r w:rsidRPr="000110D1">
              <w:t> Nav attiecināms</w:t>
            </w:r>
          </w:p>
        </w:tc>
      </w:tr>
      <w:tr w:rsidR="001242FD" w:rsidRPr="000110D1" w:rsidTr="00AD124D">
        <w:trPr>
          <w:trHeight w:val="341"/>
          <w:tblCellSpacing w:w="0" w:type="dxa"/>
        </w:trPr>
        <w:tc>
          <w:tcPr>
            <w:tcW w:w="3217" w:type="dxa"/>
            <w:gridSpan w:val="4"/>
            <w:tcBorders>
              <w:top w:val="outset" w:sz="6" w:space="0" w:color="auto"/>
              <w:left w:val="outset" w:sz="6" w:space="0" w:color="auto"/>
              <w:bottom w:val="outset" w:sz="6" w:space="0" w:color="auto"/>
              <w:right w:val="outset" w:sz="6" w:space="0" w:color="auto"/>
            </w:tcBorders>
            <w:vAlign w:val="center"/>
            <w:hideMark/>
          </w:tcPr>
          <w:p w:rsidR="001242FD" w:rsidRPr="000110D1" w:rsidRDefault="001242FD" w:rsidP="000110D1">
            <w:pPr>
              <w:spacing w:before="100" w:beforeAutospacing="1" w:after="100" w:afterAutospacing="1"/>
            </w:pPr>
            <w:r w:rsidRPr="000110D1">
              <w:t> A</w:t>
            </w:r>
          </w:p>
        </w:tc>
        <w:tc>
          <w:tcPr>
            <w:tcW w:w="2773" w:type="dxa"/>
            <w:gridSpan w:val="2"/>
            <w:tcBorders>
              <w:top w:val="outset" w:sz="6" w:space="0" w:color="auto"/>
              <w:left w:val="outset" w:sz="6" w:space="0" w:color="auto"/>
              <w:bottom w:val="outset" w:sz="6" w:space="0" w:color="auto"/>
              <w:right w:val="outset" w:sz="6" w:space="0" w:color="auto"/>
            </w:tcBorders>
            <w:vAlign w:val="center"/>
            <w:hideMark/>
          </w:tcPr>
          <w:p w:rsidR="001242FD" w:rsidRPr="000110D1" w:rsidRDefault="001242FD" w:rsidP="000110D1">
            <w:pPr>
              <w:spacing w:before="100" w:beforeAutospacing="1" w:after="100" w:afterAutospacing="1"/>
            </w:pPr>
            <w:r w:rsidRPr="000110D1">
              <w:t> B</w:t>
            </w:r>
          </w:p>
        </w:tc>
        <w:tc>
          <w:tcPr>
            <w:tcW w:w="3224" w:type="dxa"/>
            <w:gridSpan w:val="2"/>
            <w:tcBorders>
              <w:top w:val="outset" w:sz="6" w:space="0" w:color="auto"/>
              <w:left w:val="outset" w:sz="6" w:space="0" w:color="auto"/>
              <w:bottom w:val="outset" w:sz="6" w:space="0" w:color="auto"/>
              <w:right w:val="outset" w:sz="6" w:space="0" w:color="auto"/>
            </w:tcBorders>
            <w:vAlign w:val="center"/>
            <w:hideMark/>
          </w:tcPr>
          <w:p w:rsidR="001242FD" w:rsidRPr="000110D1" w:rsidRDefault="001242FD" w:rsidP="000110D1">
            <w:pPr>
              <w:spacing w:before="100" w:beforeAutospacing="1" w:after="100" w:afterAutospacing="1"/>
            </w:pPr>
            <w:r w:rsidRPr="000110D1">
              <w:t> C</w:t>
            </w:r>
          </w:p>
        </w:tc>
      </w:tr>
      <w:tr w:rsidR="001242FD" w:rsidRPr="000110D1" w:rsidTr="00AD124D">
        <w:trPr>
          <w:trHeight w:val="341"/>
          <w:tblCellSpacing w:w="0" w:type="dxa"/>
        </w:trPr>
        <w:tc>
          <w:tcPr>
            <w:tcW w:w="3217" w:type="dxa"/>
            <w:gridSpan w:val="4"/>
            <w:tcBorders>
              <w:top w:val="outset" w:sz="6" w:space="0" w:color="auto"/>
              <w:left w:val="outset" w:sz="6" w:space="0" w:color="auto"/>
              <w:bottom w:val="outset" w:sz="6" w:space="0" w:color="auto"/>
              <w:right w:val="outset" w:sz="6" w:space="0" w:color="auto"/>
            </w:tcBorders>
            <w:hideMark/>
          </w:tcPr>
          <w:p w:rsidR="001242FD" w:rsidRPr="000110D1" w:rsidRDefault="001242FD" w:rsidP="000110D1">
            <w:pPr>
              <w:spacing w:before="100" w:beforeAutospacing="1" w:after="100" w:afterAutospacing="1"/>
            </w:pPr>
            <w:r w:rsidRPr="000110D1">
              <w:t xml:space="preserve"> Nav attiecināms</w:t>
            </w:r>
          </w:p>
        </w:tc>
        <w:tc>
          <w:tcPr>
            <w:tcW w:w="2773" w:type="dxa"/>
            <w:gridSpan w:val="2"/>
            <w:tcBorders>
              <w:top w:val="outset" w:sz="6" w:space="0" w:color="auto"/>
              <w:left w:val="outset" w:sz="6" w:space="0" w:color="auto"/>
              <w:bottom w:val="outset" w:sz="6" w:space="0" w:color="auto"/>
              <w:right w:val="outset" w:sz="6" w:space="0" w:color="auto"/>
            </w:tcBorders>
            <w:hideMark/>
          </w:tcPr>
          <w:p w:rsidR="001242FD" w:rsidRPr="000110D1" w:rsidRDefault="001242FD" w:rsidP="000110D1">
            <w:pPr>
              <w:spacing w:before="100" w:beforeAutospacing="1" w:after="100" w:afterAutospacing="1"/>
            </w:pPr>
            <w:r w:rsidRPr="000110D1">
              <w:t xml:space="preserve"> Nav attiecināms</w:t>
            </w:r>
          </w:p>
        </w:tc>
        <w:tc>
          <w:tcPr>
            <w:tcW w:w="3224" w:type="dxa"/>
            <w:gridSpan w:val="2"/>
            <w:tcBorders>
              <w:top w:val="outset" w:sz="6" w:space="0" w:color="auto"/>
              <w:left w:val="outset" w:sz="6" w:space="0" w:color="auto"/>
              <w:bottom w:val="outset" w:sz="6" w:space="0" w:color="auto"/>
              <w:right w:val="outset" w:sz="6" w:space="0" w:color="auto"/>
            </w:tcBorders>
            <w:hideMark/>
          </w:tcPr>
          <w:p w:rsidR="001242FD" w:rsidRPr="000110D1" w:rsidRDefault="001242FD" w:rsidP="000110D1">
            <w:pPr>
              <w:spacing w:before="100" w:beforeAutospacing="1" w:after="100" w:afterAutospacing="1"/>
            </w:pPr>
            <w:r w:rsidRPr="000110D1">
              <w:t xml:space="preserve"> Nav attiecināms</w:t>
            </w:r>
          </w:p>
        </w:tc>
      </w:tr>
      <w:tr w:rsidR="001242FD" w:rsidRPr="000110D1" w:rsidTr="00AD124D">
        <w:trPr>
          <w:trHeight w:val="161"/>
          <w:tblCellSpacing w:w="0" w:type="dxa"/>
        </w:trPr>
        <w:tc>
          <w:tcPr>
            <w:tcW w:w="3217" w:type="dxa"/>
            <w:gridSpan w:val="4"/>
            <w:tcBorders>
              <w:top w:val="outset" w:sz="6" w:space="0" w:color="auto"/>
              <w:left w:val="outset" w:sz="6" w:space="0" w:color="auto"/>
              <w:bottom w:val="outset" w:sz="6" w:space="0" w:color="auto"/>
              <w:right w:val="outset" w:sz="6" w:space="0" w:color="auto"/>
            </w:tcBorders>
            <w:vAlign w:val="center"/>
            <w:hideMark/>
          </w:tcPr>
          <w:p w:rsidR="001242FD" w:rsidRPr="000110D1" w:rsidRDefault="001242FD" w:rsidP="000110D1">
            <w:pPr>
              <w:spacing w:before="100" w:beforeAutospacing="1" w:after="100" w:afterAutospacing="1" w:line="161" w:lineRule="atLeast"/>
            </w:pPr>
            <w:r w:rsidRPr="000110D1">
              <w:t> Vai starptautiskajā dokumentā paredzētās saistības nav pretrunā ar jau esošajām Latvijas Republikas starptautiskajām saistībām</w:t>
            </w:r>
          </w:p>
        </w:tc>
        <w:tc>
          <w:tcPr>
            <w:tcW w:w="5997" w:type="dxa"/>
            <w:gridSpan w:val="4"/>
            <w:tcBorders>
              <w:top w:val="outset" w:sz="6" w:space="0" w:color="auto"/>
              <w:left w:val="outset" w:sz="6" w:space="0" w:color="auto"/>
              <w:bottom w:val="outset" w:sz="6" w:space="0" w:color="auto"/>
              <w:right w:val="outset" w:sz="6" w:space="0" w:color="auto"/>
            </w:tcBorders>
            <w:hideMark/>
          </w:tcPr>
          <w:p w:rsidR="001242FD" w:rsidRPr="000110D1" w:rsidRDefault="001242FD" w:rsidP="000110D1">
            <w:pPr>
              <w:spacing w:before="100" w:beforeAutospacing="1" w:after="100" w:afterAutospacing="1" w:line="161" w:lineRule="atLeast"/>
            </w:pPr>
            <w:r w:rsidRPr="000110D1">
              <w:t xml:space="preserve"> Nav attiecināms</w:t>
            </w:r>
          </w:p>
        </w:tc>
      </w:tr>
      <w:tr w:rsidR="001242FD" w:rsidRPr="000110D1" w:rsidTr="00AD124D">
        <w:trPr>
          <w:trHeight w:val="334"/>
          <w:tblCellSpacing w:w="0" w:type="dxa"/>
        </w:trPr>
        <w:tc>
          <w:tcPr>
            <w:tcW w:w="3217" w:type="dxa"/>
            <w:gridSpan w:val="4"/>
            <w:tcBorders>
              <w:top w:val="outset" w:sz="6" w:space="0" w:color="auto"/>
              <w:left w:val="outset" w:sz="6" w:space="0" w:color="auto"/>
              <w:bottom w:val="outset" w:sz="6" w:space="0" w:color="auto"/>
              <w:right w:val="outset" w:sz="6" w:space="0" w:color="auto"/>
            </w:tcBorders>
            <w:hideMark/>
          </w:tcPr>
          <w:p w:rsidR="001242FD" w:rsidRPr="000110D1" w:rsidRDefault="001242FD" w:rsidP="000110D1">
            <w:pPr>
              <w:spacing w:before="100" w:beforeAutospacing="1" w:after="100" w:afterAutospacing="1"/>
            </w:pPr>
            <w:r w:rsidRPr="000110D1">
              <w:t> Cita informācija</w:t>
            </w:r>
          </w:p>
        </w:tc>
        <w:tc>
          <w:tcPr>
            <w:tcW w:w="5997" w:type="dxa"/>
            <w:gridSpan w:val="4"/>
            <w:tcBorders>
              <w:top w:val="outset" w:sz="6" w:space="0" w:color="auto"/>
              <w:left w:val="outset" w:sz="6" w:space="0" w:color="auto"/>
              <w:bottom w:val="outset" w:sz="6" w:space="0" w:color="auto"/>
              <w:right w:val="outset" w:sz="6" w:space="0" w:color="auto"/>
            </w:tcBorders>
            <w:hideMark/>
          </w:tcPr>
          <w:p w:rsidR="001242FD" w:rsidRPr="000110D1" w:rsidRDefault="001242FD" w:rsidP="000110D1">
            <w:pPr>
              <w:spacing w:before="100" w:beforeAutospacing="1" w:after="100" w:afterAutospacing="1"/>
            </w:pPr>
            <w:r w:rsidRPr="000110D1">
              <w:t> Nav</w:t>
            </w:r>
          </w:p>
        </w:tc>
      </w:tr>
    </w:tbl>
    <w:p w:rsidR="000110D1" w:rsidRPr="00253F5A" w:rsidRDefault="000110D1" w:rsidP="00DA7204">
      <w:pPr>
        <w:jc w:val="both"/>
        <w:rPr>
          <w:bCs/>
        </w:rPr>
      </w:pPr>
    </w:p>
    <w:tbl>
      <w:tblPr>
        <w:tblW w:w="89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52"/>
        <w:gridCol w:w="5717"/>
      </w:tblGrid>
      <w:tr w:rsidR="00DA7204" w:rsidRPr="00253F5A" w:rsidTr="00AD124D">
        <w:tc>
          <w:tcPr>
            <w:tcW w:w="8978" w:type="dxa"/>
            <w:gridSpan w:val="3"/>
          </w:tcPr>
          <w:p w:rsidR="00DA7204" w:rsidRPr="00253F5A" w:rsidRDefault="00DA7204" w:rsidP="00225AA6">
            <w:pPr>
              <w:pStyle w:val="naisnod"/>
              <w:ind w:left="57" w:right="57"/>
              <w:jc w:val="center"/>
              <w:rPr>
                <w:b/>
              </w:rPr>
            </w:pPr>
            <w:r w:rsidRPr="00253F5A">
              <w:rPr>
                <w:b/>
              </w:rPr>
              <w:t>VI. Sabiedrības līdzdalība un šīs līdzdalības rezultāti</w:t>
            </w:r>
          </w:p>
        </w:tc>
      </w:tr>
      <w:tr w:rsidR="00DA7204" w:rsidRPr="00253F5A" w:rsidTr="00AD124D">
        <w:trPr>
          <w:trHeight w:val="553"/>
        </w:trPr>
        <w:tc>
          <w:tcPr>
            <w:tcW w:w="709" w:type="dxa"/>
          </w:tcPr>
          <w:p w:rsidR="00DA7204" w:rsidRPr="00253F5A" w:rsidRDefault="00DA7204" w:rsidP="00225AA6">
            <w:pPr>
              <w:pStyle w:val="naiskr"/>
              <w:spacing w:before="0" w:after="0"/>
              <w:ind w:left="57" w:right="57"/>
              <w:jc w:val="both"/>
              <w:rPr>
                <w:bCs/>
              </w:rPr>
            </w:pPr>
            <w:r w:rsidRPr="00253F5A">
              <w:rPr>
                <w:bCs/>
              </w:rPr>
              <w:t>1.</w:t>
            </w:r>
          </w:p>
        </w:tc>
        <w:tc>
          <w:tcPr>
            <w:tcW w:w="2552" w:type="dxa"/>
          </w:tcPr>
          <w:p w:rsidR="00DA7204" w:rsidRPr="00253F5A" w:rsidRDefault="00DA7204" w:rsidP="00225AA6">
            <w:pPr>
              <w:pStyle w:val="naiskr"/>
              <w:tabs>
                <w:tab w:val="left" w:pos="170"/>
              </w:tabs>
              <w:spacing w:before="0" w:after="0"/>
              <w:ind w:left="57" w:right="57"/>
              <w:jc w:val="both"/>
            </w:pPr>
            <w:r w:rsidRPr="00253F5A">
              <w:t xml:space="preserve">Plānotās sabiedrības līdzdalības un komunikācijas aktivitātes saistībā ar projektu </w:t>
            </w:r>
          </w:p>
        </w:tc>
        <w:tc>
          <w:tcPr>
            <w:tcW w:w="5717" w:type="dxa"/>
          </w:tcPr>
          <w:p w:rsidR="00DA7204" w:rsidRPr="00253F5A" w:rsidRDefault="00DA7204" w:rsidP="00AD124D">
            <w:pPr>
              <w:jc w:val="both"/>
              <w:rPr>
                <w:bCs/>
                <w:color w:val="000000"/>
              </w:rPr>
            </w:pPr>
            <w:r w:rsidRPr="00253F5A">
              <w:t>Informācija par noteikumu projekta izstrādes uzsākšanu u</w:t>
            </w:r>
            <w:r w:rsidR="005E7696">
              <w:t xml:space="preserve">n priekšlikumu iesniegšanu 2015. </w:t>
            </w:r>
            <w:r w:rsidRPr="00253F5A">
              <w:t>gada 27.</w:t>
            </w:r>
            <w:r w:rsidR="005E7696">
              <w:t xml:space="preserve"> </w:t>
            </w:r>
            <w:r w:rsidRPr="00253F5A">
              <w:t xml:space="preserve">oktobrī tika </w:t>
            </w:r>
            <w:r w:rsidR="005E7696">
              <w:t>nosūtīta Valsts meža dienestam,</w:t>
            </w:r>
            <w:r w:rsidRPr="00253F5A">
              <w:t xml:space="preserve"> AS „Latvijas valsts meži”, Latvijas Lauksaimniecības universitātes Meža fakultātei, Meža īpašnieku biedrībai, Latvijas koksnes kvalitātes ekspertu savienībai, Meža inventarizācijas veicēju apvienībai, Latvijas Nacionālajam akreditā</w:t>
            </w:r>
            <w:r w:rsidR="00AD0538" w:rsidRPr="00253F5A">
              <w:t>cijas birojam</w:t>
            </w:r>
            <w:r w:rsidR="00A0731A">
              <w:t xml:space="preserve"> un SIA „SILVASERT”</w:t>
            </w:r>
            <w:r w:rsidR="00AD0538" w:rsidRPr="00253F5A">
              <w:t>.</w:t>
            </w:r>
            <w:r w:rsidRPr="00253F5A">
              <w:t xml:space="preserve"> </w:t>
            </w:r>
          </w:p>
        </w:tc>
      </w:tr>
      <w:tr w:rsidR="00DA7204" w:rsidRPr="00253F5A" w:rsidTr="00AD124D">
        <w:trPr>
          <w:trHeight w:val="339"/>
        </w:trPr>
        <w:tc>
          <w:tcPr>
            <w:tcW w:w="709" w:type="dxa"/>
          </w:tcPr>
          <w:p w:rsidR="00DA7204" w:rsidRPr="00253F5A" w:rsidRDefault="00DA7204" w:rsidP="00225AA6">
            <w:pPr>
              <w:pStyle w:val="naiskr"/>
              <w:spacing w:before="0" w:after="0"/>
              <w:ind w:left="57" w:right="57"/>
              <w:jc w:val="both"/>
              <w:rPr>
                <w:bCs/>
              </w:rPr>
            </w:pPr>
            <w:r w:rsidRPr="00253F5A">
              <w:rPr>
                <w:bCs/>
              </w:rPr>
              <w:t>2.</w:t>
            </w:r>
          </w:p>
        </w:tc>
        <w:tc>
          <w:tcPr>
            <w:tcW w:w="2552" w:type="dxa"/>
          </w:tcPr>
          <w:p w:rsidR="00DA7204" w:rsidRPr="00253F5A" w:rsidRDefault="00DA7204" w:rsidP="00225AA6">
            <w:pPr>
              <w:pStyle w:val="naiskr"/>
              <w:spacing w:before="0" w:after="0"/>
              <w:ind w:left="57" w:right="57"/>
              <w:jc w:val="both"/>
            </w:pPr>
            <w:r w:rsidRPr="00253F5A">
              <w:t>Sabiedrības līdzdalība projekta izstrādē</w:t>
            </w:r>
          </w:p>
        </w:tc>
        <w:tc>
          <w:tcPr>
            <w:tcW w:w="5717" w:type="dxa"/>
          </w:tcPr>
          <w:p w:rsidR="00DA7204" w:rsidRPr="00253F5A" w:rsidRDefault="00DA7204" w:rsidP="00AD124D">
            <w:pPr>
              <w:pStyle w:val="naiskr"/>
              <w:spacing w:before="0" w:beforeAutospacing="0" w:after="0" w:afterAutospacing="0"/>
              <w:jc w:val="both"/>
              <w:rPr>
                <w:bCs/>
                <w:i/>
                <w:color w:val="000000"/>
              </w:rPr>
            </w:pPr>
            <w:r w:rsidRPr="00253F5A">
              <w:rPr>
                <w:color w:val="000000"/>
              </w:rPr>
              <w:t xml:space="preserve">Noteikumu projekta izstrādes darbā iesaistījās Valsts meža dienesta, </w:t>
            </w:r>
            <w:r w:rsidRPr="00253F5A">
              <w:t>AS „Latvijas Valsts meži”, Latvijas Lauksaimniecības universitātes Meža fakultātes, Latvijas koksnes kvalitātes ekspertu savienības, Meža inventarizācijas veicēju apvienības, SIA</w:t>
            </w:r>
            <w:r w:rsidR="00FE4BB1" w:rsidRPr="00253F5A">
              <w:t xml:space="preserve"> </w:t>
            </w:r>
            <w:r w:rsidRPr="00253F5A">
              <w:t>”</w:t>
            </w:r>
            <w:r w:rsidR="00A0731A">
              <w:t>SILVASERT</w:t>
            </w:r>
            <w:r w:rsidRPr="00253F5A">
              <w:t>”</w:t>
            </w:r>
            <w:r w:rsidR="00FE4BB1" w:rsidRPr="00253F5A">
              <w:t xml:space="preserve"> un</w:t>
            </w:r>
            <w:r w:rsidRPr="00253F5A">
              <w:t xml:space="preserve"> Latvijas Nacionālā akreditācijas biroja pārstāvji. </w:t>
            </w:r>
            <w:r w:rsidRPr="00253F5A">
              <w:rPr>
                <w:color w:val="000000"/>
              </w:rPr>
              <w:t xml:space="preserve">Projekta sagatavošanas laikā 2015. gadā notika </w:t>
            </w:r>
            <w:r w:rsidR="00981C45">
              <w:rPr>
                <w:color w:val="000000"/>
              </w:rPr>
              <w:t>divas</w:t>
            </w:r>
            <w:r w:rsidRPr="00253F5A">
              <w:rPr>
                <w:color w:val="000000"/>
              </w:rPr>
              <w:t xml:space="preserve"> darba grupas sanāksme</w:t>
            </w:r>
            <w:r w:rsidR="005D2011" w:rsidRPr="00253F5A">
              <w:rPr>
                <w:color w:val="000000"/>
              </w:rPr>
              <w:t>s</w:t>
            </w:r>
            <w:r w:rsidRPr="00253F5A">
              <w:rPr>
                <w:color w:val="000000"/>
              </w:rPr>
              <w:t xml:space="preserve">. Sabiedrības pārstāvji darbam noteikumu projekta izstrādes darba grupā tika izvēlēti, aptverot visas meža inventarizācijas procesā iesaistītās un ieinteresētās sabiedrības interešu grupas. </w:t>
            </w:r>
          </w:p>
        </w:tc>
      </w:tr>
      <w:tr w:rsidR="00DA7204" w:rsidRPr="00253F5A" w:rsidTr="00AD124D">
        <w:trPr>
          <w:trHeight w:val="375"/>
        </w:trPr>
        <w:tc>
          <w:tcPr>
            <w:tcW w:w="709" w:type="dxa"/>
          </w:tcPr>
          <w:p w:rsidR="00DA7204" w:rsidRPr="00253F5A" w:rsidRDefault="00DA7204" w:rsidP="00225AA6">
            <w:pPr>
              <w:pStyle w:val="naiskr"/>
              <w:spacing w:before="0" w:after="0"/>
              <w:ind w:left="57" w:right="57"/>
              <w:jc w:val="both"/>
              <w:rPr>
                <w:bCs/>
              </w:rPr>
            </w:pPr>
            <w:r w:rsidRPr="00253F5A">
              <w:rPr>
                <w:bCs/>
              </w:rPr>
              <w:t>3.</w:t>
            </w:r>
          </w:p>
        </w:tc>
        <w:tc>
          <w:tcPr>
            <w:tcW w:w="2552" w:type="dxa"/>
          </w:tcPr>
          <w:p w:rsidR="00DA7204" w:rsidRPr="00253F5A" w:rsidRDefault="00DA7204" w:rsidP="00225AA6">
            <w:pPr>
              <w:pStyle w:val="naiskr"/>
              <w:spacing w:before="0" w:after="0"/>
              <w:ind w:left="57" w:right="57"/>
              <w:jc w:val="both"/>
            </w:pPr>
            <w:r w:rsidRPr="00253F5A">
              <w:t xml:space="preserve">Sabiedrības līdzdalības rezultāti </w:t>
            </w:r>
          </w:p>
        </w:tc>
        <w:tc>
          <w:tcPr>
            <w:tcW w:w="5717" w:type="dxa"/>
          </w:tcPr>
          <w:p w:rsidR="00DA7204" w:rsidRPr="00253F5A" w:rsidRDefault="00DA7204" w:rsidP="00AD124D">
            <w:pPr>
              <w:pStyle w:val="naiskr"/>
              <w:ind w:right="57"/>
              <w:contextualSpacing/>
              <w:jc w:val="both"/>
            </w:pPr>
            <w:r w:rsidRPr="00253F5A">
              <w:t xml:space="preserve">Noteikumu projektā ietverti minēto institūciju priekšlikumi. </w:t>
            </w:r>
          </w:p>
          <w:p w:rsidR="00DA7204" w:rsidRPr="00253F5A" w:rsidRDefault="00DA7204" w:rsidP="00AD0538">
            <w:pPr>
              <w:pStyle w:val="naiskr"/>
              <w:ind w:left="57" w:right="57"/>
              <w:jc w:val="both"/>
            </w:pPr>
            <w:r w:rsidRPr="00253F5A">
              <w:t>Sabiedrības pārstāvju priekšlikumi noteikumu projekta procesā ir ņemti vērā</w:t>
            </w:r>
            <w:r w:rsidR="00FE4BB1" w:rsidRPr="00253F5A">
              <w:t>,</w:t>
            </w:r>
            <w:r w:rsidRPr="00253F5A">
              <w:t xml:space="preserve"> diskutablie jautājumi pārrunāti darba grupas sanāksmē un rasti kompromisa risinājumi. </w:t>
            </w:r>
          </w:p>
        </w:tc>
      </w:tr>
      <w:tr w:rsidR="00DA7204" w:rsidRPr="00253F5A" w:rsidTr="00AD124D">
        <w:trPr>
          <w:trHeight w:val="476"/>
        </w:trPr>
        <w:tc>
          <w:tcPr>
            <w:tcW w:w="709" w:type="dxa"/>
          </w:tcPr>
          <w:p w:rsidR="00DA7204" w:rsidRPr="00253F5A" w:rsidRDefault="00DA7204" w:rsidP="00225AA6">
            <w:pPr>
              <w:pStyle w:val="naiskr"/>
              <w:spacing w:before="0" w:after="0"/>
              <w:ind w:left="57" w:right="57"/>
              <w:jc w:val="both"/>
              <w:rPr>
                <w:bCs/>
              </w:rPr>
            </w:pPr>
            <w:r w:rsidRPr="00253F5A">
              <w:rPr>
                <w:bCs/>
              </w:rPr>
              <w:lastRenderedPageBreak/>
              <w:t>4.</w:t>
            </w:r>
          </w:p>
        </w:tc>
        <w:tc>
          <w:tcPr>
            <w:tcW w:w="2552" w:type="dxa"/>
          </w:tcPr>
          <w:p w:rsidR="00DA7204" w:rsidRPr="00253F5A" w:rsidRDefault="00DA7204" w:rsidP="00225AA6">
            <w:pPr>
              <w:pStyle w:val="naiskr"/>
              <w:spacing w:before="0" w:after="0"/>
              <w:ind w:left="57" w:right="57"/>
              <w:jc w:val="both"/>
            </w:pPr>
            <w:r w:rsidRPr="00253F5A">
              <w:t>Cita informācija</w:t>
            </w:r>
          </w:p>
        </w:tc>
        <w:tc>
          <w:tcPr>
            <w:tcW w:w="5717" w:type="dxa"/>
          </w:tcPr>
          <w:p w:rsidR="00DA7204" w:rsidRPr="00253F5A" w:rsidRDefault="00693591" w:rsidP="00AD124D">
            <w:pPr>
              <w:pStyle w:val="naiskr"/>
              <w:spacing w:before="0" w:beforeAutospacing="0" w:after="0" w:afterAutospacing="0"/>
              <w:jc w:val="both"/>
            </w:pPr>
            <w:r w:rsidRPr="00253F5A">
              <w:t>Nav.</w:t>
            </w:r>
            <w:r w:rsidR="00DA7204" w:rsidRPr="00253F5A">
              <w:t xml:space="preserve"> </w:t>
            </w:r>
          </w:p>
        </w:tc>
      </w:tr>
    </w:tbl>
    <w:p w:rsidR="00DA7204" w:rsidRPr="00253F5A" w:rsidRDefault="00DA7204" w:rsidP="00DA7204">
      <w:pPr>
        <w:spacing w:before="54" w:after="54"/>
        <w:ind w:firstLine="269"/>
        <w:jc w:val="both"/>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410"/>
        <w:gridCol w:w="5245"/>
      </w:tblGrid>
      <w:tr w:rsidR="00DA7204" w:rsidRPr="00253F5A" w:rsidTr="00AD124D">
        <w:tc>
          <w:tcPr>
            <w:tcW w:w="8931" w:type="dxa"/>
            <w:gridSpan w:val="3"/>
            <w:vAlign w:val="center"/>
          </w:tcPr>
          <w:p w:rsidR="00DA7204" w:rsidRPr="00253F5A" w:rsidRDefault="00DA7204" w:rsidP="00225AA6">
            <w:pPr>
              <w:jc w:val="center"/>
              <w:rPr>
                <w:color w:val="000000"/>
              </w:rPr>
            </w:pPr>
            <w:r w:rsidRPr="00253F5A">
              <w:rPr>
                <w:b/>
                <w:bCs/>
              </w:rPr>
              <w:t>VII. Tiesību akta projekta izpildes nodrošināšana un tās ietekme uz institūcijām</w:t>
            </w:r>
          </w:p>
        </w:tc>
      </w:tr>
      <w:tr w:rsidR="00DA7204" w:rsidRPr="00253F5A" w:rsidTr="00AD124D">
        <w:tc>
          <w:tcPr>
            <w:tcW w:w="1276" w:type="dxa"/>
            <w:vAlign w:val="center"/>
          </w:tcPr>
          <w:p w:rsidR="00DA7204" w:rsidRPr="00253F5A" w:rsidRDefault="00DA7204" w:rsidP="00225AA6">
            <w:pPr>
              <w:jc w:val="both"/>
              <w:rPr>
                <w:color w:val="000000"/>
              </w:rPr>
            </w:pPr>
            <w:r w:rsidRPr="00253F5A">
              <w:rPr>
                <w:color w:val="000000"/>
              </w:rPr>
              <w:t>1.</w:t>
            </w:r>
          </w:p>
        </w:tc>
        <w:tc>
          <w:tcPr>
            <w:tcW w:w="2410" w:type="dxa"/>
          </w:tcPr>
          <w:p w:rsidR="00DA7204" w:rsidRPr="00253F5A" w:rsidRDefault="00DA7204" w:rsidP="00225AA6">
            <w:pPr>
              <w:jc w:val="both"/>
              <w:rPr>
                <w:color w:val="000000"/>
              </w:rPr>
            </w:pPr>
            <w:r w:rsidRPr="00253F5A">
              <w:rPr>
                <w:color w:val="000000"/>
              </w:rPr>
              <w:t>Projekta izpildē iesaistītās institūcijas</w:t>
            </w:r>
          </w:p>
        </w:tc>
        <w:tc>
          <w:tcPr>
            <w:tcW w:w="5245" w:type="dxa"/>
          </w:tcPr>
          <w:p w:rsidR="00DA7204" w:rsidRPr="00253F5A" w:rsidRDefault="00DA7204" w:rsidP="00AD124D">
            <w:pPr>
              <w:pStyle w:val="naiskr"/>
              <w:spacing w:before="0" w:beforeAutospacing="0" w:after="0" w:afterAutospacing="0"/>
              <w:jc w:val="both"/>
            </w:pPr>
            <w:r w:rsidRPr="00253F5A">
              <w:t>Sertifikātus izsniedz un meža inventarizācijas veicēju profesionālo darbību uzrauga Latvijas Nacionālajā akreditācijas birojā akreditētas sertificēšanas institūcijas.</w:t>
            </w:r>
          </w:p>
          <w:p w:rsidR="00693591" w:rsidRPr="00253F5A" w:rsidRDefault="00693591" w:rsidP="00AD124D">
            <w:pPr>
              <w:pStyle w:val="naiskr"/>
              <w:spacing w:before="0" w:beforeAutospacing="0" w:after="0" w:afterAutospacing="0"/>
              <w:jc w:val="both"/>
              <w:rPr>
                <w:bCs/>
              </w:rPr>
            </w:pPr>
            <w:r w:rsidRPr="00253F5A">
              <w:t>Valsts meža dienests sniedz sertificēšanas institūcijām sertificēto personu uzraudzībai nepieciešamo informāciju.</w:t>
            </w:r>
          </w:p>
        </w:tc>
      </w:tr>
      <w:tr w:rsidR="00DA7204" w:rsidRPr="00253F5A" w:rsidTr="00AD124D">
        <w:tc>
          <w:tcPr>
            <w:tcW w:w="1276" w:type="dxa"/>
            <w:vAlign w:val="center"/>
          </w:tcPr>
          <w:p w:rsidR="00DA7204" w:rsidRPr="00253F5A" w:rsidRDefault="00DA7204" w:rsidP="00225AA6">
            <w:pPr>
              <w:jc w:val="both"/>
              <w:rPr>
                <w:color w:val="000000"/>
              </w:rPr>
            </w:pPr>
            <w:r w:rsidRPr="00253F5A">
              <w:rPr>
                <w:color w:val="000000"/>
              </w:rPr>
              <w:t>2.</w:t>
            </w:r>
          </w:p>
        </w:tc>
        <w:tc>
          <w:tcPr>
            <w:tcW w:w="2410" w:type="dxa"/>
          </w:tcPr>
          <w:p w:rsidR="00DA7204" w:rsidRPr="00253F5A" w:rsidRDefault="00DA7204" w:rsidP="00225AA6">
            <w:pPr>
              <w:jc w:val="both"/>
              <w:rPr>
                <w:color w:val="000000"/>
              </w:rPr>
            </w:pPr>
            <w:r w:rsidRPr="00253F5A">
              <w:t>Projekta izpildes ietekme uz pārvaldes funkcijām un institucionālo struktūru. Jaunu institūciju izveide, esošu institūciju likvidācija vai reorganizācija, to ietekme uz institūcijas cilvēkresursiem</w:t>
            </w:r>
          </w:p>
        </w:tc>
        <w:tc>
          <w:tcPr>
            <w:tcW w:w="5245" w:type="dxa"/>
          </w:tcPr>
          <w:p w:rsidR="00DA7204" w:rsidRPr="00253F5A" w:rsidRDefault="00DA7204" w:rsidP="00225AA6">
            <w:pPr>
              <w:pStyle w:val="naiskr"/>
              <w:jc w:val="both"/>
            </w:pPr>
            <w:r w:rsidRPr="00253F5A">
              <w:rPr>
                <w:color w:val="000000"/>
              </w:rPr>
              <w:t>Projekts šo jomu neskar.</w:t>
            </w:r>
          </w:p>
        </w:tc>
      </w:tr>
      <w:tr w:rsidR="00DA7204" w:rsidRPr="00253F5A" w:rsidTr="00AD124D">
        <w:tc>
          <w:tcPr>
            <w:tcW w:w="1276" w:type="dxa"/>
            <w:vAlign w:val="center"/>
          </w:tcPr>
          <w:p w:rsidR="00DA7204" w:rsidRPr="00253F5A" w:rsidRDefault="00DA7204" w:rsidP="00225AA6">
            <w:pPr>
              <w:jc w:val="both"/>
              <w:rPr>
                <w:color w:val="000000"/>
              </w:rPr>
            </w:pPr>
            <w:r w:rsidRPr="00253F5A">
              <w:rPr>
                <w:color w:val="000000"/>
              </w:rPr>
              <w:t>3.</w:t>
            </w:r>
          </w:p>
        </w:tc>
        <w:tc>
          <w:tcPr>
            <w:tcW w:w="2410" w:type="dxa"/>
          </w:tcPr>
          <w:p w:rsidR="00DA7204" w:rsidRPr="00253F5A" w:rsidRDefault="00DA7204" w:rsidP="00225AA6">
            <w:pPr>
              <w:jc w:val="both"/>
              <w:rPr>
                <w:color w:val="000000"/>
              </w:rPr>
            </w:pPr>
            <w:r w:rsidRPr="00253F5A">
              <w:rPr>
                <w:color w:val="000000"/>
              </w:rPr>
              <w:t>Cita informācija</w:t>
            </w:r>
          </w:p>
        </w:tc>
        <w:tc>
          <w:tcPr>
            <w:tcW w:w="5245" w:type="dxa"/>
          </w:tcPr>
          <w:p w:rsidR="00DA7204" w:rsidRPr="00253F5A" w:rsidRDefault="00DA7204" w:rsidP="00225AA6">
            <w:pPr>
              <w:pStyle w:val="naiskr"/>
              <w:jc w:val="both"/>
            </w:pPr>
            <w:r w:rsidRPr="00253F5A">
              <w:t> Nav</w:t>
            </w:r>
          </w:p>
        </w:tc>
      </w:tr>
    </w:tbl>
    <w:p w:rsidR="00AD124D" w:rsidRDefault="00AD124D" w:rsidP="00041596">
      <w:pPr>
        <w:pStyle w:val="naisf"/>
        <w:spacing w:before="0" w:beforeAutospacing="0" w:after="0" w:afterAutospacing="0"/>
        <w:jc w:val="both"/>
      </w:pPr>
    </w:p>
    <w:p w:rsidR="00AD124D" w:rsidRDefault="00AD124D" w:rsidP="00041596">
      <w:pPr>
        <w:pStyle w:val="naisf"/>
        <w:spacing w:before="0" w:beforeAutospacing="0" w:after="0" w:afterAutospacing="0"/>
        <w:jc w:val="both"/>
      </w:pPr>
    </w:p>
    <w:p w:rsidR="00DA7204" w:rsidRPr="00253F5A" w:rsidRDefault="00DA7204" w:rsidP="00AD124D">
      <w:pPr>
        <w:pStyle w:val="naisf"/>
        <w:spacing w:before="0" w:beforeAutospacing="0" w:after="0" w:afterAutospacing="0"/>
        <w:jc w:val="both"/>
      </w:pPr>
      <w:r w:rsidRPr="00253F5A">
        <w:t>Zemkopības m</w:t>
      </w:r>
      <w:r w:rsidR="00AD124D">
        <w:t>inistrs</w:t>
      </w:r>
      <w:r w:rsidR="00AD124D">
        <w:tab/>
      </w:r>
      <w:r w:rsidR="00AD124D">
        <w:tab/>
      </w:r>
      <w:r w:rsidR="00AD124D">
        <w:tab/>
      </w:r>
      <w:r w:rsidR="00AD124D">
        <w:tab/>
      </w:r>
      <w:r w:rsidR="00AD124D">
        <w:tab/>
      </w:r>
      <w:r w:rsidR="00AD124D">
        <w:tab/>
      </w:r>
      <w:r w:rsidR="00AD124D">
        <w:tab/>
        <w:t xml:space="preserve">Jānis </w:t>
      </w:r>
      <w:r w:rsidR="00041596">
        <w:t>Dūklavs</w:t>
      </w:r>
    </w:p>
    <w:p w:rsidR="00DA7204" w:rsidRPr="00253F5A" w:rsidRDefault="00DA7204" w:rsidP="00DA7204">
      <w:pPr>
        <w:pStyle w:val="Bezatstarpm"/>
        <w:shd w:val="clear" w:color="auto" w:fill="FFFFFF"/>
        <w:jc w:val="both"/>
        <w:rPr>
          <w:rFonts w:ascii="Times New Roman" w:hAnsi="Times New Roman"/>
          <w:color w:val="000000"/>
          <w:sz w:val="24"/>
          <w:szCs w:val="24"/>
          <w:lang w:val="lv-LV"/>
        </w:rPr>
      </w:pPr>
    </w:p>
    <w:p w:rsidR="00DA7204" w:rsidRPr="00253F5A" w:rsidRDefault="00DA7204" w:rsidP="00DA7204">
      <w:pPr>
        <w:pStyle w:val="Bezatstarpm"/>
        <w:shd w:val="clear" w:color="auto" w:fill="FFFFFF"/>
        <w:jc w:val="both"/>
        <w:rPr>
          <w:rFonts w:ascii="Times New Roman" w:hAnsi="Times New Roman"/>
          <w:color w:val="000000"/>
          <w:sz w:val="24"/>
          <w:szCs w:val="24"/>
          <w:lang w:val="lv-LV"/>
        </w:rPr>
      </w:pPr>
    </w:p>
    <w:p w:rsidR="00DA7204" w:rsidRPr="00253F5A" w:rsidRDefault="00DA7204" w:rsidP="00DA7204">
      <w:pPr>
        <w:pStyle w:val="Bezatstarpm"/>
        <w:shd w:val="clear" w:color="auto" w:fill="FFFFFF"/>
        <w:jc w:val="both"/>
        <w:rPr>
          <w:rFonts w:ascii="Times New Roman" w:hAnsi="Times New Roman"/>
          <w:color w:val="000000"/>
          <w:sz w:val="24"/>
          <w:szCs w:val="24"/>
          <w:lang w:val="lv-LV"/>
        </w:rPr>
      </w:pPr>
    </w:p>
    <w:p w:rsidR="00DA7204" w:rsidRPr="00253F5A" w:rsidRDefault="00DA7204" w:rsidP="00DA7204">
      <w:pPr>
        <w:pStyle w:val="Bezatstarpm"/>
        <w:shd w:val="clear" w:color="auto" w:fill="FFFFFF"/>
        <w:jc w:val="both"/>
        <w:rPr>
          <w:rFonts w:ascii="Times New Roman" w:hAnsi="Times New Roman"/>
          <w:color w:val="000000"/>
          <w:sz w:val="24"/>
          <w:szCs w:val="24"/>
          <w:lang w:val="lv-LV"/>
        </w:rPr>
      </w:pPr>
    </w:p>
    <w:p w:rsidR="00DA7204" w:rsidRPr="00253F5A" w:rsidRDefault="00DA7204" w:rsidP="00DA7204">
      <w:pPr>
        <w:pStyle w:val="Bezatstarpm"/>
        <w:shd w:val="clear" w:color="auto" w:fill="FFFFFF"/>
        <w:jc w:val="both"/>
        <w:rPr>
          <w:rFonts w:ascii="Times New Roman" w:hAnsi="Times New Roman"/>
          <w:color w:val="000000"/>
          <w:sz w:val="24"/>
          <w:szCs w:val="24"/>
          <w:lang w:val="lv-LV"/>
        </w:rPr>
      </w:pPr>
    </w:p>
    <w:p w:rsidR="00DA7204" w:rsidRDefault="00DA7204" w:rsidP="00DA7204">
      <w:pPr>
        <w:pStyle w:val="Bezatstarpm"/>
        <w:shd w:val="clear" w:color="auto" w:fill="FFFFFF"/>
        <w:jc w:val="both"/>
        <w:rPr>
          <w:rFonts w:ascii="Times New Roman" w:hAnsi="Times New Roman"/>
          <w:color w:val="000000"/>
          <w:sz w:val="24"/>
          <w:szCs w:val="24"/>
          <w:lang w:val="lv-LV"/>
        </w:rPr>
      </w:pPr>
    </w:p>
    <w:p w:rsidR="00041596" w:rsidRDefault="00041596" w:rsidP="00DA7204">
      <w:pPr>
        <w:pStyle w:val="Bezatstarpm"/>
        <w:shd w:val="clear" w:color="auto" w:fill="FFFFFF"/>
        <w:jc w:val="both"/>
        <w:rPr>
          <w:rFonts w:ascii="Times New Roman" w:hAnsi="Times New Roman"/>
          <w:color w:val="000000"/>
          <w:sz w:val="24"/>
          <w:szCs w:val="24"/>
          <w:lang w:val="lv-LV"/>
        </w:rPr>
      </w:pPr>
    </w:p>
    <w:p w:rsidR="00041596" w:rsidRDefault="00041596" w:rsidP="00DA7204">
      <w:pPr>
        <w:pStyle w:val="Bezatstarpm"/>
        <w:shd w:val="clear" w:color="auto" w:fill="FFFFFF"/>
        <w:jc w:val="both"/>
        <w:rPr>
          <w:rFonts w:ascii="Times New Roman" w:hAnsi="Times New Roman"/>
          <w:color w:val="000000"/>
          <w:sz w:val="24"/>
          <w:szCs w:val="24"/>
          <w:lang w:val="lv-LV"/>
        </w:rPr>
      </w:pPr>
    </w:p>
    <w:p w:rsidR="00041596" w:rsidRDefault="00041596" w:rsidP="00DA7204">
      <w:pPr>
        <w:pStyle w:val="Bezatstarpm"/>
        <w:shd w:val="clear" w:color="auto" w:fill="FFFFFF"/>
        <w:jc w:val="both"/>
        <w:rPr>
          <w:rFonts w:ascii="Times New Roman" w:hAnsi="Times New Roman"/>
          <w:color w:val="000000"/>
          <w:sz w:val="24"/>
          <w:szCs w:val="24"/>
          <w:lang w:val="lv-LV"/>
        </w:rPr>
      </w:pPr>
    </w:p>
    <w:p w:rsidR="00041596" w:rsidRDefault="00041596" w:rsidP="00DA7204">
      <w:pPr>
        <w:pStyle w:val="Bezatstarpm"/>
        <w:shd w:val="clear" w:color="auto" w:fill="FFFFFF"/>
        <w:jc w:val="both"/>
        <w:rPr>
          <w:rFonts w:ascii="Times New Roman" w:hAnsi="Times New Roman"/>
          <w:color w:val="000000"/>
          <w:sz w:val="24"/>
          <w:szCs w:val="24"/>
          <w:lang w:val="lv-LV"/>
        </w:rPr>
      </w:pPr>
    </w:p>
    <w:p w:rsidR="00D92421" w:rsidRDefault="00D92421" w:rsidP="00DA7204">
      <w:pPr>
        <w:pStyle w:val="Bezatstarpm"/>
        <w:shd w:val="clear" w:color="auto" w:fill="FFFFFF"/>
        <w:jc w:val="both"/>
        <w:rPr>
          <w:rFonts w:ascii="Times New Roman" w:hAnsi="Times New Roman"/>
          <w:color w:val="000000"/>
          <w:sz w:val="24"/>
          <w:szCs w:val="24"/>
          <w:lang w:val="lv-LV"/>
        </w:rPr>
      </w:pPr>
    </w:p>
    <w:p w:rsidR="00D92421" w:rsidRDefault="00D92421" w:rsidP="00DA7204">
      <w:pPr>
        <w:pStyle w:val="Bezatstarpm"/>
        <w:shd w:val="clear" w:color="auto" w:fill="FFFFFF"/>
        <w:jc w:val="both"/>
        <w:rPr>
          <w:rFonts w:ascii="Times New Roman" w:hAnsi="Times New Roman"/>
          <w:color w:val="000000"/>
          <w:sz w:val="24"/>
          <w:szCs w:val="24"/>
          <w:lang w:val="lv-LV"/>
        </w:rPr>
      </w:pPr>
    </w:p>
    <w:p w:rsidR="00D92421" w:rsidRDefault="00D92421" w:rsidP="00DA7204">
      <w:pPr>
        <w:pStyle w:val="Bezatstarpm"/>
        <w:shd w:val="clear" w:color="auto" w:fill="FFFFFF"/>
        <w:jc w:val="both"/>
        <w:rPr>
          <w:rFonts w:ascii="Times New Roman" w:hAnsi="Times New Roman"/>
          <w:color w:val="000000"/>
          <w:sz w:val="24"/>
          <w:szCs w:val="24"/>
          <w:lang w:val="lv-LV"/>
        </w:rPr>
      </w:pPr>
    </w:p>
    <w:p w:rsidR="00D92421" w:rsidRDefault="00D92421" w:rsidP="00DA7204">
      <w:pPr>
        <w:pStyle w:val="Bezatstarpm"/>
        <w:shd w:val="clear" w:color="auto" w:fill="FFFFFF"/>
        <w:jc w:val="both"/>
        <w:rPr>
          <w:rFonts w:ascii="Times New Roman" w:hAnsi="Times New Roman"/>
          <w:color w:val="000000"/>
          <w:sz w:val="24"/>
          <w:szCs w:val="24"/>
          <w:lang w:val="lv-LV"/>
        </w:rPr>
      </w:pPr>
    </w:p>
    <w:p w:rsidR="00D92421" w:rsidRDefault="00D92421" w:rsidP="00DA7204">
      <w:pPr>
        <w:pStyle w:val="Bezatstarpm"/>
        <w:shd w:val="clear" w:color="auto" w:fill="FFFFFF"/>
        <w:jc w:val="both"/>
        <w:rPr>
          <w:rFonts w:ascii="Times New Roman" w:hAnsi="Times New Roman"/>
          <w:color w:val="000000"/>
          <w:sz w:val="24"/>
          <w:szCs w:val="24"/>
          <w:lang w:val="lv-LV"/>
        </w:rPr>
      </w:pPr>
    </w:p>
    <w:p w:rsidR="00D92421" w:rsidRDefault="00D92421" w:rsidP="00DA7204">
      <w:pPr>
        <w:pStyle w:val="Bezatstarpm"/>
        <w:shd w:val="clear" w:color="auto" w:fill="FFFFFF"/>
        <w:jc w:val="both"/>
        <w:rPr>
          <w:rFonts w:ascii="Times New Roman" w:hAnsi="Times New Roman"/>
          <w:color w:val="000000"/>
          <w:sz w:val="24"/>
          <w:szCs w:val="24"/>
          <w:lang w:val="lv-LV"/>
        </w:rPr>
      </w:pPr>
    </w:p>
    <w:p w:rsidR="00D92421" w:rsidRDefault="00D92421" w:rsidP="00DA7204">
      <w:pPr>
        <w:pStyle w:val="Bezatstarpm"/>
        <w:shd w:val="clear" w:color="auto" w:fill="FFFFFF"/>
        <w:jc w:val="both"/>
        <w:rPr>
          <w:rFonts w:ascii="Times New Roman" w:hAnsi="Times New Roman"/>
          <w:color w:val="000000"/>
          <w:sz w:val="24"/>
          <w:szCs w:val="24"/>
          <w:lang w:val="lv-LV"/>
        </w:rPr>
      </w:pPr>
    </w:p>
    <w:p w:rsidR="00D92421" w:rsidRDefault="00D92421" w:rsidP="00DA7204">
      <w:pPr>
        <w:pStyle w:val="Bezatstarpm"/>
        <w:shd w:val="clear" w:color="auto" w:fill="FFFFFF"/>
        <w:jc w:val="both"/>
        <w:rPr>
          <w:rFonts w:ascii="Times New Roman" w:hAnsi="Times New Roman"/>
          <w:color w:val="000000"/>
          <w:sz w:val="24"/>
          <w:szCs w:val="24"/>
          <w:lang w:val="lv-LV"/>
        </w:rPr>
      </w:pPr>
    </w:p>
    <w:p w:rsidR="00041596" w:rsidRDefault="00041596" w:rsidP="00DA7204">
      <w:pPr>
        <w:pStyle w:val="Bezatstarpm"/>
        <w:shd w:val="clear" w:color="auto" w:fill="FFFFFF"/>
        <w:jc w:val="both"/>
        <w:rPr>
          <w:rFonts w:ascii="Times New Roman" w:hAnsi="Times New Roman"/>
          <w:color w:val="000000"/>
          <w:sz w:val="24"/>
          <w:szCs w:val="24"/>
          <w:lang w:val="lv-LV"/>
        </w:rPr>
      </w:pPr>
    </w:p>
    <w:p w:rsidR="00041596" w:rsidRPr="00253F5A" w:rsidRDefault="00041596" w:rsidP="00DA7204">
      <w:pPr>
        <w:pStyle w:val="Bezatstarpm"/>
        <w:shd w:val="clear" w:color="auto" w:fill="FFFFFF"/>
        <w:jc w:val="both"/>
        <w:rPr>
          <w:rFonts w:ascii="Times New Roman" w:hAnsi="Times New Roman"/>
          <w:color w:val="000000"/>
          <w:sz w:val="24"/>
          <w:szCs w:val="24"/>
          <w:lang w:val="lv-LV"/>
        </w:rPr>
      </w:pPr>
    </w:p>
    <w:p w:rsidR="00D92421" w:rsidRDefault="00D92421" w:rsidP="00DA7204">
      <w:pPr>
        <w:pStyle w:val="Bezatstarpm"/>
        <w:shd w:val="clear" w:color="auto" w:fill="FFFFFF"/>
        <w:jc w:val="both"/>
        <w:rPr>
          <w:rFonts w:ascii="Times New Roman" w:hAnsi="Times New Roman"/>
          <w:color w:val="000000"/>
          <w:sz w:val="20"/>
          <w:szCs w:val="20"/>
          <w:lang w:val="lv-LV"/>
        </w:rPr>
      </w:pPr>
      <w:r>
        <w:rPr>
          <w:rFonts w:ascii="Times New Roman" w:hAnsi="Times New Roman"/>
          <w:color w:val="000000"/>
          <w:sz w:val="20"/>
          <w:szCs w:val="20"/>
          <w:lang w:val="lv-LV"/>
        </w:rPr>
        <w:t>25.04.2016. 10:20</w:t>
      </w:r>
    </w:p>
    <w:p w:rsidR="00D92421" w:rsidRDefault="00D92421" w:rsidP="00DA7204">
      <w:pPr>
        <w:pStyle w:val="Bezatstarpm"/>
        <w:shd w:val="clear" w:color="auto" w:fill="FFFFFF"/>
        <w:jc w:val="both"/>
        <w:rPr>
          <w:rFonts w:ascii="Times New Roman" w:hAnsi="Times New Roman"/>
          <w:color w:val="000000"/>
          <w:sz w:val="20"/>
          <w:szCs w:val="20"/>
          <w:lang w:val="lv-LV"/>
        </w:rPr>
      </w:pPr>
      <w:r>
        <w:rPr>
          <w:rFonts w:ascii="Times New Roman" w:hAnsi="Times New Roman"/>
          <w:color w:val="000000"/>
          <w:sz w:val="20"/>
          <w:szCs w:val="20"/>
          <w:lang w:val="lv-LV"/>
        </w:rPr>
        <w:fldChar w:fldCharType="begin"/>
      </w:r>
      <w:r>
        <w:rPr>
          <w:rFonts w:ascii="Times New Roman" w:hAnsi="Times New Roman"/>
          <w:color w:val="000000"/>
          <w:sz w:val="20"/>
          <w:szCs w:val="20"/>
          <w:lang w:val="lv-LV"/>
        </w:rPr>
        <w:instrText xml:space="preserve"> NUMWORDS   \* MERGEFORMAT </w:instrText>
      </w:r>
      <w:r>
        <w:rPr>
          <w:rFonts w:ascii="Times New Roman" w:hAnsi="Times New Roman"/>
          <w:color w:val="000000"/>
          <w:sz w:val="20"/>
          <w:szCs w:val="20"/>
          <w:lang w:val="lv-LV"/>
        </w:rPr>
        <w:fldChar w:fldCharType="separate"/>
      </w:r>
      <w:r>
        <w:rPr>
          <w:rFonts w:ascii="Times New Roman" w:hAnsi="Times New Roman"/>
          <w:noProof/>
          <w:color w:val="000000"/>
          <w:sz w:val="20"/>
          <w:szCs w:val="20"/>
          <w:lang w:val="lv-LV"/>
        </w:rPr>
        <w:t>1836</w:t>
      </w:r>
      <w:r>
        <w:rPr>
          <w:rFonts w:ascii="Times New Roman" w:hAnsi="Times New Roman"/>
          <w:color w:val="000000"/>
          <w:sz w:val="20"/>
          <w:szCs w:val="20"/>
          <w:lang w:val="lv-LV"/>
        </w:rPr>
        <w:fldChar w:fldCharType="end"/>
      </w:r>
    </w:p>
    <w:p w:rsidR="00CE15BA" w:rsidRDefault="00CE15BA" w:rsidP="00DA7204">
      <w:pPr>
        <w:pStyle w:val="Bezatstarpm"/>
        <w:shd w:val="clear" w:color="auto" w:fill="FFFFFF"/>
        <w:jc w:val="both"/>
        <w:rPr>
          <w:rFonts w:ascii="Times New Roman" w:hAnsi="Times New Roman"/>
          <w:color w:val="000000"/>
          <w:sz w:val="20"/>
          <w:szCs w:val="20"/>
          <w:lang w:val="lv-LV"/>
        </w:rPr>
      </w:pPr>
      <w:bookmarkStart w:id="2" w:name="_GoBack"/>
      <w:bookmarkEnd w:id="2"/>
      <w:r>
        <w:rPr>
          <w:rFonts w:ascii="Times New Roman" w:hAnsi="Times New Roman"/>
          <w:color w:val="000000"/>
          <w:sz w:val="20"/>
          <w:szCs w:val="20"/>
          <w:lang w:val="lv-LV"/>
        </w:rPr>
        <w:t>L.Pamovska</w:t>
      </w:r>
    </w:p>
    <w:p w:rsidR="00DA7204" w:rsidRPr="00041596" w:rsidRDefault="00CE15BA" w:rsidP="00041596">
      <w:pPr>
        <w:pStyle w:val="Bezatstarpm"/>
        <w:shd w:val="clear" w:color="auto" w:fill="FFFFFF"/>
        <w:jc w:val="both"/>
        <w:rPr>
          <w:rFonts w:ascii="Times New Roman" w:hAnsi="Times New Roman"/>
          <w:color w:val="000000"/>
          <w:sz w:val="20"/>
          <w:szCs w:val="20"/>
          <w:lang w:val="lv-LV"/>
        </w:rPr>
      </w:pPr>
      <w:r>
        <w:rPr>
          <w:rFonts w:ascii="Times New Roman" w:hAnsi="Times New Roman"/>
          <w:color w:val="000000"/>
          <w:sz w:val="20"/>
          <w:szCs w:val="20"/>
          <w:lang w:val="lv-LV"/>
        </w:rPr>
        <w:t>67027101, Lelda.Pamovska@zm.gov.lv</w:t>
      </w:r>
    </w:p>
    <w:sectPr w:rsidR="00DA7204" w:rsidRPr="00041596" w:rsidSect="00D92421">
      <w:headerReference w:type="default" r:id="rId8"/>
      <w:footerReference w:type="even" r:id="rId9"/>
      <w:footerReference w:type="default" r:id="rId10"/>
      <w:footerReference w:type="first" r:id="rId11"/>
      <w:pgSz w:w="11906" w:h="16838"/>
      <w:pgMar w:top="1440" w:right="1800" w:bottom="1440" w:left="180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56A" w:rsidRDefault="003E656A" w:rsidP="00BD12B1">
      <w:r>
        <w:separator/>
      </w:r>
    </w:p>
  </w:endnote>
  <w:endnote w:type="continuationSeparator" w:id="0">
    <w:p w:rsidR="003E656A" w:rsidRDefault="003E656A" w:rsidP="00BD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21" w:rsidRDefault="00D92421" w:rsidP="00D92421">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2B1" w:rsidRPr="00041596" w:rsidRDefault="00BD12B1" w:rsidP="00D92421">
    <w:pPr>
      <w:jc w:val="both"/>
      <w:rPr>
        <w:sz w:val="20"/>
        <w:szCs w:val="20"/>
      </w:rPr>
    </w:pPr>
    <w:r w:rsidRPr="00BD12B1">
      <w:rPr>
        <w:sz w:val="20"/>
        <w:szCs w:val="20"/>
      </w:rPr>
      <w:t>ZMAnot_</w:t>
    </w:r>
    <w:r w:rsidR="00D92421">
      <w:rPr>
        <w:sz w:val="20"/>
        <w:szCs w:val="20"/>
      </w:rPr>
      <w:t>2004</w:t>
    </w:r>
    <w:r w:rsidR="00AD124D">
      <w:rPr>
        <w:sz w:val="20"/>
        <w:szCs w:val="20"/>
      </w:rPr>
      <w:t>16</w:t>
    </w:r>
    <w:r w:rsidRPr="00BD12B1">
      <w:rPr>
        <w:sz w:val="20"/>
        <w:szCs w:val="20"/>
      </w:rPr>
      <w:t>_sert; Ministru kabineta noteikumu projekta „Meža inventarizācijas veicēju sertifikācijas un sertificēto personu darbības uzraudzības kārtība</w:t>
    </w:r>
    <w:r w:rsidRPr="00BD12B1">
      <w:rPr>
        <w:bCs/>
        <w:sz w:val="20"/>
        <w:szCs w:val="20"/>
      </w:rPr>
      <w:t>”</w:t>
    </w:r>
    <w:r w:rsidRPr="00BD12B1">
      <w:rPr>
        <w:sz w:val="20"/>
        <w:szCs w:val="20"/>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21" w:rsidRPr="00D92421" w:rsidRDefault="00D92421" w:rsidP="00D92421">
    <w:pPr>
      <w:jc w:val="both"/>
      <w:rPr>
        <w:sz w:val="20"/>
        <w:szCs w:val="20"/>
      </w:rPr>
    </w:pPr>
    <w:r w:rsidRPr="00BD12B1">
      <w:rPr>
        <w:sz w:val="20"/>
        <w:szCs w:val="20"/>
      </w:rPr>
      <w:t>ZMAnot_</w:t>
    </w:r>
    <w:r>
      <w:rPr>
        <w:sz w:val="20"/>
        <w:szCs w:val="20"/>
      </w:rPr>
      <w:t>200416</w:t>
    </w:r>
    <w:r w:rsidRPr="00BD12B1">
      <w:rPr>
        <w:sz w:val="20"/>
        <w:szCs w:val="20"/>
      </w:rPr>
      <w:t>_sert; Ministru kabineta noteikumu projekta „Meža inventarizācijas veicēju sertifikācijas un sertificēto personu darbības uzraudzības kārtība</w:t>
    </w:r>
    <w:r w:rsidRPr="00BD12B1">
      <w:rPr>
        <w:bCs/>
        <w:sz w:val="20"/>
        <w:szCs w:val="20"/>
      </w:rPr>
      <w:t>”</w:t>
    </w:r>
    <w:r w:rsidRPr="00BD12B1">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56A" w:rsidRDefault="003E656A" w:rsidP="00BD12B1">
      <w:r>
        <w:separator/>
      </w:r>
    </w:p>
  </w:footnote>
  <w:footnote w:type="continuationSeparator" w:id="0">
    <w:p w:rsidR="003E656A" w:rsidRDefault="003E656A" w:rsidP="00BD1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603098"/>
      <w:docPartObj>
        <w:docPartGallery w:val="Page Numbers (Top of Page)"/>
        <w:docPartUnique/>
      </w:docPartObj>
    </w:sdtPr>
    <w:sdtContent>
      <w:p w:rsidR="00D92421" w:rsidRDefault="00D92421">
        <w:pPr>
          <w:pStyle w:val="Galvene"/>
          <w:jc w:val="center"/>
        </w:pPr>
        <w:r>
          <w:fldChar w:fldCharType="begin"/>
        </w:r>
        <w:r>
          <w:instrText>PAGE   \* MERGEFORMAT</w:instrText>
        </w:r>
        <w:r>
          <w:fldChar w:fldCharType="separate"/>
        </w:r>
        <w:r>
          <w:rPr>
            <w:noProof/>
          </w:rPr>
          <w:t>2</w:t>
        </w:r>
        <w:r>
          <w:fldChar w:fldCharType="end"/>
        </w:r>
      </w:p>
    </w:sdtContent>
  </w:sdt>
  <w:p w:rsidR="00D92421" w:rsidRDefault="00D92421" w:rsidP="00D92421">
    <w:pPr>
      <w:pStyle w:val="Galven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0563E"/>
    <w:multiLevelType w:val="multilevel"/>
    <w:tmpl w:val="D0862450"/>
    <w:lvl w:ilvl="0">
      <w:start w:val="1"/>
      <w:numFmt w:val="upperRoman"/>
      <w:lvlText w:val="%1."/>
      <w:lvlJc w:val="left"/>
      <w:pPr>
        <w:ind w:left="1080" w:hanging="720"/>
      </w:pPr>
      <w:rPr>
        <w:rFonts w:hint="default"/>
        <w:b/>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204"/>
    <w:rsid w:val="00006C71"/>
    <w:rsid w:val="000110D1"/>
    <w:rsid w:val="00012147"/>
    <w:rsid w:val="00041596"/>
    <w:rsid w:val="00060CBF"/>
    <w:rsid w:val="000B1679"/>
    <w:rsid w:val="000B4F2D"/>
    <w:rsid w:val="000D2473"/>
    <w:rsid w:val="000E0759"/>
    <w:rsid w:val="000F6EDA"/>
    <w:rsid w:val="001242FD"/>
    <w:rsid w:val="001367E9"/>
    <w:rsid w:val="00144DD8"/>
    <w:rsid w:val="001557D5"/>
    <w:rsid w:val="00174A34"/>
    <w:rsid w:val="001A01F0"/>
    <w:rsid w:val="001A0ADA"/>
    <w:rsid w:val="001B33AB"/>
    <w:rsid w:val="001B3FF3"/>
    <w:rsid w:val="001F110F"/>
    <w:rsid w:val="001F3C1A"/>
    <w:rsid w:val="00214C43"/>
    <w:rsid w:val="00224D17"/>
    <w:rsid w:val="002340F5"/>
    <w:rsid w:val="002455BD"/>
    <w:rsid w:val="00253F5A"/>
    <w:rsid w:val="0028778D"/>
    <w:rsid w:val="002965C1"/>
    <w:rsid w:val="0029674F"/>
    <w:rsid w:val="002B0F26"/>
    <w:rsid w:val="002E7935"/>
    <w:rsid w:val="003718B9"/>
    <w:rsid w:val="00382153"/>
    <w:rsid w:val="00382EDA"/>
    <w:rsid w:val="0039359F"/>
    <w:rsid w:val="003A2553"/>
    <w:rsid w:val="003A5801"/>
    <w:rsid w:val="003C5542"/>
    <w:rsid w:val="003C771A"/>
    <w:rsid w:val="003D4685"/>
    <w:rsid w:val="003E656A"/>
    <w:rsid w:val="003F45F8"/>
    <w:rsid w:val="003F70CB"/>
    <w:rsid w:val="00400654"/>
    <w:rsid w:val="004158FD"/>
    <w:rsid w:val="0043039D"/>
    <w:rsid w:val="004324AF"/>
    <w:rsid w:val="00442CF5"/>
    <w:rsid w:val="00473996"/>
    <w:rsid w:val="004750B7"/>
    <w:rsid w:val="00486A6D"/>
    <w:rsid w:val="004D24D6"/>
    <w:rsid w:val="004D299F"/>
    <w:rsid w:val="004E0861"/>
    <w:rsid w:val="0051298E"/>
    <w:rsid w:val="005421FF"/>
    <w:rsid w:val="00554740"/>
    <w:rsid w:val="005625CC"/>
    <w:rsid w:val="0057757A"/>
    <w:rsid w:val="00585895"/>
    <w:rsid w:val="00593FC4"/>
    <w:rsid w:val="005D2011"/>
    <w:rsid w:val="005D3F4E"/>
    <w:rsid w:val="005E1BBC"/>
    <w:rsid w:val="005E7696"/>
    <w:rsid w:val="005F1452"/>
    <w:rsid w:val="00620C19"/>
    <w:rsid w:val="00631279"/>
    <w:rsid w:val="00636622"/>
    <w:rsid w:val="00641705"/>
    <w:rsid w:val="00693591"/>
    <w:rsid w:val="006A6502"/>
    <w:rsid w:val="006D7C6D"/>
    <w:rsid w:val="006E1CB0"/>
    <w:rsid w:val="00706FD8"/>
    <w:rsid w:val="007202DC"/>
    <w:rsid w:val="00732AEE"/>
    <w:rsid w:val="0075431E"/>
    <w:rsid w:val="007929D8"/>
    <w:rsid w:val="007956E8"/>
    <w:rsid w:val="00795CB0"/>
    <w:rsid w:val="007A3453"/>
    <w:rsid w:val="007C56DC"/>
    <w:rsid w:val="007C6D53"/>
    <w:rsid w:val="007E2E7D"/>
    <w:rsid w:val="00805663"/>
    <w:rsid w:val="00805A33"/>
    <w:rsid w:val="0081596D"/>
    <w:rsid w:val="008201D8"/>
    <w:rsid w:val="0083012C"/>
    <w:rsid w:val="00843C6A"/>
    <w:rsid w:val="008B3824"/>
    <w:rsid w:val="008D7715"/>
    <w:rsid w:val="008E08BD"/>
    <w:rsid w:val="00922DC2"/>
    <w:rsid w:val="009243A2"/>
    <w:rsid w:val="00981C45"/>
    <w:rsid w:val="009C4785"/>
    <w:rsid w:val="009F2D69"/>
    <w:rsid w:val="00A04444"/>
    <w:rsid w:val="00A0731A"/>
    <w:rsid w:val="00A154BC"/>
    <w:rsid w:val="00A262E8"/>
    <w:rsid w:val="00A26E83"/>
    <w:rsid w:val="00A34F53"/>
    <w:rsid w:val="00A71ED5"/>
    <w:rsid w:val="00A859EF"/>
    <w:rsid w:val="00AB52DD"/>
    <w:rsid w:val="00AC5ED9"/>
    <w:rsid w:val="00AD0538"/>
    <w:rsid w:val="00AD124D"/>
    <w:rsid w:val="00AD7CAD"/>
    <w:rsid w:val="00AE5F15"/>
    <w:rsid w:val="00AF2A76"/>
    <w:rsid w:val="00B03DC7"/>
    <w:rsid w:val="00B04DD1"/>
    <w:rsid w:val="00B075A1"/>
    <w:rsid w:val="00B36444"/>
    <w:rsid w:val="00B415C3"/>
    <w:rsid w:val="00B63A87"/>
    <w:rsid w:val="00B76960"/>
    <w:rsid w:val="00B87FF1"/>
    <w:rsid w:val="00B9502E"/>
    <w:rsid w:val="00BA5593"/>
    <w:rsid w:val="00BA5D15"/>
    <w:rsid w:val="00BB2882"/>
    <w:rsid w:val="00BC10A3"/>
    <w:rsid w:val="00BD040E"/>
    <w:rsid w:val="00BD12B1"/>
    <w:rsid w:val="00BD5754"/>
    <w:rsid w:val="00BE1ED3"/>
    <w:rsid w:val="00C04224"/>
    <w:rsid w:val="00C2137E"/>
    <w:rsid w:val="00C367E4"/>
    <w:rsid w:val="00C60F8A"/>
    <w:rsid w:val="00C9702C"/>
    <w:rsid w:val="00CA1F7C"/>
    <w:rsid w:val="00CA30D6"/>
    <w:rsid w:val="00CA4D2C"/>
    <w:rsid w:val="00CA7DEF"/>
    <w:rsid w:val="00CB378E"/>
    <w:rsid w:val="00CB7CEA"/>
    <w:rsid w:val="00CE15BA"/>
    <w:rsid w:val="00D0006B"/>
    <w:rsid w:val="00D2028F"/>
    <w:rsid w:val="00D24428"/>
    <w:rsid w:val="00D42CBE"/>
    <w:rsid w:val="00D634F5"/>
    <w:rsid w:val="00D67291"/>
    <w:rsid w:val="00D71E6A"/>
    <w:rsid w:val="00D77F47"/>
    <w:rsid w:val="00D92421"/>
    <w:rsid w:val="00DA7204"/>
    <w:rsid w:val="00DA769F"/>
    <w:rsid w:val="00DD4F46"/>
    <w:rsid w:val="00DD509B"/>
    <w:rsid w:val="00E013EA"/>
    <w:rsid w:val="00E04C3F"/>
    <w:rsid w:val="00E2601A"/>
    <w:rsid w:val="00E6160A"/>
    <w:rsid w:val="00E80E5C"/>
    <w:rsid w:val="00E91658"/>
    <w:rsid w:val="00E9450E"/>
    <w:rsid w:val="00E95016"/>
    <w:rsid w:val="00EB264E"/>
    <w:rsid w:val="00ED7EDD"/>
    <w:rsid w:val="00EF2452"/>
    <w:rsid w:val="00F03F8E"/>
    <w:rsid w:val="00F14CE8"/>
    <w:rsid w:val="00F26B3D"/>
    <w:rsid w:val="00F27CB9"/>
    <w:rsid w:val="00F461E1"/>
    <w:rsid w:val="00F747DC"/>
    <w:rsid w:val="00F824C5"/>
    <w:rsid w:val="00F96BDF"/>
    <w:rsid w:val="00F97762"/>
    <w:rsid w:val="00FA0D50"/>
    <w:rsid w:val="00FA4072"/>
    <w:rsid w:val="00FC110A"/>
    <w:rsid w:val="00FE4B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0F6BA-D495-4416-B8A5-C19876E6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A720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DA7204"/>
    <w:pPr>
      <w:spacing w:before="100" w:beforeAutospacing="1" w:after="100" w:afterAutospacing="1"/>
    </w:pPr>
  </w:style>
  <w:style w:type="paragraph" w:customStyle="1" w:styleId="naiskr">
    <w:name w:val="naiskr"/>
    <w:basedOn w:val="Parasts"/>
    <w:rsid w:val="00DA7204"/>
    <w:pPr>
      <w:spacing w:before="100" w:beforeAutospacing="1" w:after="100" w:afterAutospacing="1"/>
    </w:pPr>
  </w:style>
  <w:style w:type="paragraph" w:customStyle="1" w:styleId="naislab">
    <w:name w:val="naislab"/>
    <w:basedOn w:val="Parasts"/>
    <w:rsid w:val="00DA7204"/>
    <w:pPr>
      <w:spacing w:before="100" w:beforeAutospacing="1" w:after="100" w:afterAutospacing="1"/>
    </w:pPr>
  </w:style>
  <w:style w:type="paragraph" w:customStyle="1" w:styleId="naisf">
    <w:name w:val="naisf"/>
    <w:basedOn w:val="Parasts"/>
    <w:rsid w:val="00DA7204"/>
    <w:pPr>
      <w:spacing w:before="100" w:beforeAutospacing="1" w:after="100" w:afterAutospacing="1"/>
    </w:pPr>
  </w:style>
  <w:style w:type="paragraph" w:styleId="Bezatstarpm">
    <w:name w:val="No Spacing"/>
    <w:qFormat/>
    <w:rsid w:val="00DA7204"/>
    <w:pPr>
      <w:spacing w:after="0" w:line="240" w:lineRule="auto"/>
    </w:pPr>
    <w:rPr>
      <w:rFonts w:ascii="Calibri" w:eastAsia="Calibri" w:hAnsi="Calibri" w:cs="Times New Roman"/>
      <w:lang w:val="en-US"/>
    </w:rPr>
  </w:style>
  <w:style w:type="character" w:styleId="Hipersaite">
    <w:name w:val="Hyperlink"/>
    <w:rsid w:val="00DA7204"/>
    <w:rPr>
      <w:strike w:val="0"/>
      <w:dstrike w:val="0"/>
      <w:color w:val="4B9C2F"/>
      <w:u w:val="none"/>
      <w:effect w:val="none"/>
    </w:rPr>
  </w:style>
  <w:style w:type="paragraph" w:styleId="Sarakstarindkopa">
    <w:name w:val="List Paragraph"/>
    <w:basedOn w:val="Parasts"/>
    <w:uiPriority w:val="34"/>
    <w:qFormat/>
    <w:rsid w:val="00DA7204"/>
    <w:pPr>
      <w:spacing w:after="200" w:line="276" w:lineRule="auto"/>
      <w:ind w:left="720"/>
      <w:contextualSpacing/>
    </w:pPr>
    <w:rPr>
      <w:rFonts w:eastAsia="Calibri"/>
      <w:sz w:val="28"/>
      <w:szCs w:val="22"/>
      <w:lang w:eastAsia="en-US"/>
    </w:rPr>
  </w:style>
  <w:style w:type="paragraph" w:styleId="Galvene">
    <w:name w:val="header"/>
    <w:basedOn w:val="Parasts"/>
    <w:link w:val="GalveneRakstz"/>
    <w:uiPriority w:val="99"/>
    <w:unhideWhenUsed/>
    <w:rsid w:val="00BD12B1"/>
    <w:pPr>
      <w:tabs>
        <w:tab w:val="center" w:pos="4153"/>
        <w:tab w:val="right" w:pos="8306"/>
      </w:tabs>
    </w:pPr>
  </w:style>
  <w:style w:type="character" w:customStyle="1" w:styleId="GalveneRakstz">
    <w:name w:val="Galvene Rakstz."/>
    <w:basedOn w:val="Noklusjumarindkopasfonts"/>
    <w:link w:val="Galvene"/>
    <w:uiPriority w:val="99"/>
    <w:rsid w:val="00BD12B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BD12B1"/>
    <w:pPr>
      <w:tabs>
        <w:tab w:val="center" w:pos="4153"/>
        <w:tab w:val="right" w:pos="8306"/>
      </w:tabs>
    </w:pPr>
  </w:style>
  <w:style w:type="character" w:customStyle="1" w:styleId="KjeneRakstz">
    <w:name w:val="Kājene Rakstz."/>
    <w:basedOn w:val="Noklusjumarindkopasfonts"/>
    <w:link w:val="Kjene"/>
    <w:uiPriority w:val="99"/>
    <w:rsid w:val="00BD12B1"/>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B3644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36444"/>
    <w:rPr>
      <w:rFonts w:ascii="Tahoma" w:eastAsia="Times New Roman" w:hAnsi="Tahoma" w:cs="Tahoma"/>
      <w:sz w:val="16"/>
      <w:szCs w:val="16"/>
      <w:lang w:eastAsia="lv-LV"/>
    </w:rPr>
  </w:style>
  <w:style w:type="paragraph" w:styleId="Pamatteksts3">
    <w:name w:val="Body Text 3"/>
    <w:basedOn w:val="Parasts"/>
    <w:link w:val="Pamatteksts3Rakstz"/>
    <w:rsid w:val="005625CC"/>
    <w:pPr>
      <w:jc w:val="both"/>
    </w:pPr>
    <w:rPr>
      <w:szCs w:val="20"/>
    </w:rPr>
  </w:style>
  <w:style w:type="character" w:customStyle="1" w:styleId="Pamatteksts3Rakstz">
    <w:name w:val="Pamatteksts 3 Rakstz."/>
    <w:basedOn w:val="Noklusjumarindkopasfonts"/>
    <w:link w:val="Pamatteksts3"/>
    <w:rsid w:val="005625CC"/>
    <w:rPr>
      <w:rFonts w:ascii="Times New Roman" w:eastAsia="Times New Roman" w:hAnsi="Times New Roman" w:cs="Times New Roman"/>
      <w:sz w:val="24"/>
      <w:szCs w:val="20"/>
      <w:lang w:eastAsia="lv-LV"/>
    </w:rPr>
  </w:style>
  <w:style w:type="character" w:styleId="Komentraatsauce">
    <w:name w:val="annotation reference"/>
    <w:basedOn w:val="Noklusjumarindkopasfonts"/>
    <w:uiPriority w:val="99"/>
    <w:semiHidden/>
    <w:unhideWhenUsed/>
    <w:rsid w:val="0081596D"/>
    <w:rPr>
      <w:sz w:val="16"/>
      <w:szCs w:val="16"/>
    </w:rPr>
  </w:style>
  <w:style w:type="paragraph" w:styleId="Komentrateksts">
    <w:name w:val="annotation text"/>
    <w:basedOn w:val="Parasts"/>
    <w:link w:val="KomentratekstsRakstz"/>
    <w:uiPriority w:val="99"/>
    <w:semiHidden/>
    <w:unhideWhenUsed/>
    <w:rsid w:val="0081596D"/>
    <w:rPr>
      <w:sz w:val="20"/>
      <w:szCs w:val="20"/>
    </w:rPr>
  </w:style>
  <w:style w:type="character" w:customStyle="1" w:styleId="KomentratekstsRakstz">
    <w:name w:val="Komentāra teksts Rakstz."/>
    <w:basedOn w:val="Noklusjumarindkopasfonts"/>
    <w:link w:val="Komentrateksts"/>
    <w:uiPriority w:val="99"/>
    <w:semiHidden/>
    <w:rsid w:val="0081596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1596D"/>
    <w:rPr>
      <w:b/>
      <w:bCs/>
    </w:rPr>
  </w:style>
  <w:style w:type="character" w:customStyle="1" w:styleId="KomentratmaRakstz">
    <w:name w:val="Komentāra tēma Rakstz."/>
    <w:basedOn w:val="KomentratekstsRakstz"/>
    <w:link w:val="Komentratma"/>
    <w:uiPriority w:val="99"/>
    <w:semiHidden/>
    <w:rsid w:val="0081596D"/>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4771">
      <w:bodyDiv w:val="1"/>
      <w:marLeft w:val="0"/>
      <w:marRight w:val="0"/>
      <w:marTop w:val="0"/>
      <w:marBottom w:val="0"/>
      <w:divBdr>
        <w:top w:val="none" w:sz="0" w:space="0" w:color="auto"/>
        <w:left w:val="none" w:sz="0" w:space="0" w:color="auto"/>
        <w:bottom w:val="none" w:sz="0" w:space="0" w:color="auto"/>
        <w:right w:val="none" w:sz="0" w:space="0" w:color="auto"/>
      </w:divBdr>
    </w:div>
    <w:div w:id="388968046">
      <w:bodyDiv w:val="1"/>
      <w:marLeft w:val="0"/>
      <w:marRight w:val="0"/>
      <w:marTop w:val="0"/>
      <w:marBottom w:val="0"/>
      <w:divBdr>
        <w:top w:val="none" w:sz="0" w:space="0" w:color="auto"/>
        <w:left w:val="none" w:sz="0" w:space="0" w:color="auto"/>
        <w:bottom w:val="none" w:sz="0" w:space="0" w:color="auto"/>
        <w:right w:val="none" w:sz="0" w:space="0" w:color="auto"/>
      </w:divBdr>
    </w:div>
    <w:div w:id="1014384236">
      <w:bodyDiv w:val="1"/>
      <w:marLeft w:val="0"/>
      <w:marRight w:val="0"/>
      <w:marTop w:val="0"/>
      <w:marBottom w:val="0"/>
      <w:divBdr>
        <w:top w:val="none" w:sz="0" w:space="0" w:color="auto"/>
        <w:left w:val="none" w:sz="0" w:space="0" w:color="auto"/>
        <w:bottom w:val="none" w:sz="0" w:space="0" w:color="auto"/>
        <w:right w:val="none" w:sz="0" w:space="0" w:color="auto"/>
      </w:divBdr>
    </w:div>
    <w:div w:id="1346010412">
      <w:bodyDiv w:val="1"/>
      <w:marLeft w:val="0"/>
      <w:marRight w:val="0"/>
      <w:marTop w:val="0"/>
      <w:marBottom w:val="0"/>
      <w:divBdr>
        <w:top w:val="none" w:sz="0" w:space="0" w:color="auto"/>
        <w:left w:val="none" w:sz="0" w:space="0" w:color="auto"/>
        <w:bottom w:val="none" w:sz="0" w:space="0" w:color="auto"/>
        <w:right w:val="none" w:sz="0" w:space="0" w:color="auto"/>
      </w:divBdr>
    </w:div>
    <w:div w:id="1867862586">
      <w:bodyDiv w:val="1"/>
      <w:marLeft w:val="0"/>
      <w:marRight w:val="0"/>
      <w:marTop w:val="0"/>
      <w:marBottom w:val="0"/>
      <w:divBdr>
        <w:top w:val="none" w:sz="0" w:space="0" w:color="auto"/>
        <w:left w:val="none" w:sz="0" w:space="0" w:color="auto"/>
        <w:bottom w:val="none" w:sz="0" w:space="0" w:color="auto"/>
        <w:right w:val="none" w:sz="0" w:space="0" w:color="auto"/>
      </w:divBdr>
    </w:div>
    <w:div w:id="213524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50E97-C9CA-4F59-B203-11BE2C0D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1857</Words>
  <Characters>13966</Characters>
  <Application>Microsoft Office Word</Application>
  <DocSecurity>0</DocSecurity>
  <Lines>423</Lines>
  <Paragraphs>143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Valentins Kuksinovs</dc:creator>
  <cp:lastModifiedBy>Sanita Žagare</cp:lastModifiedBy>
  <cp:revision>3</cp:revision>
  <dcterms:created xsi:type="dcterms:W3CDTF">2016-04-22T08:05:00Z</dcterms:created>
  <dcterms:modified xsi:type="dcterms:W3CDTF">2016-04-25T07:20:00Z</dcterms:modified>
</cp:coreProperties>
</file>