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FF787" w14:textId="77777777" w:rsidR="00222CB3" w:rsidRPr="00974DF2" w:rsidRDefault="00222CB3" w:rsidP="00222CB3">
      <w:pPr>
        <w:pStyle w:val="NoSpacing"/>
        <w:jc w:val="center"/>
        <w:rPr>
          <w:b/>
          <w:bCs/>
          <w:sz w:val="26"/>
          <w:szCs w:val="26"/>
        </w:rPr>
      </w:pPr>
      <w:r w:rsidRPr="00974DF2">
        <w:rPr>
          <w:b/>
          <w:sz w:val="26"/>
          <w:szCs w:val="26"/>
        </w:rPr>
        <w:t xml:space="preserve">Ministru kabineta </w:t>
      </w:r>
      <w:r w:rsidR="004D7EAC" w:rsidRPr="00974DF2">
        <w:rPr>
          <w:b/>
          <w:sz w:val="26"/>
          <w:szCs w:val="26"/>
        </w:rPr>
        <w:t>noteikumu</w:t>
      </w:r>
      <w:r w:rsidRPr="00974DF2">
        <w:rPr>
          <w:b/>
          <w:sz w:val="26"/>
          <w:szCs w:val="26"/>
        </w:rPr>
        <w:t xml:space="preserve"> projekta „</w:t>
      </w:r>
      <w:r w:rsidR="00451C89" w:rsidRPr="00451C89">
        <w:rPr>
          <w:b/>
          <w:sz w:val="26"/>
          <w:szCs w:val="26"/>
        </w:rPr>
        <w:t>Grozījumi Ministru kabineta 2003. gada 16. septembra noteikumos Nr. 518 „Spiedieniekārtu kompleksu tehniskās uzraudzības kārtība”</w:t>
      </w:r>
      <w:r w:rsidRPr="00974DF2">
        <w:rPr>
          <w:b/>
          <w:sz w:val="26"/>
          <w:szCs w:val="26"/>
        </w:rPr>
        <w:t>”</w:t>
      </w:r>
      <w:r w:rsidR="00022759">
        <w:rPr>
          <w:b/>
          <w:sz w:val="26"/>
          <w:szCs w:val="26"/>
        </w:rPr>
        <w:t xml:space="preserve"> </w:t>
      </w:r>
      <w:r w:rsidRPr="00974DF2">
        <w:rPr>
          <w:b/>
          <w:bCs/>
          <w:sz w:val="26"/>
          <w:szCs w:val="26"/>
        </w:rPr>
        <w:t>sākotnējās ietekmes novērtējuma ziņojums (anotācija)</w:t>
      </w:r>
    </w:p>
    <w:p w14:paraId="70B7D832" w14:textId="77777777" w:rsidR="006B0C8B" w:rsidRPr="00974DF2" w:rsidRDefault="006B0C8B" w:rsidP="00222CB3">
      <w:pPr>
        <w:pStyle w:val="NoSpacing"/>
        <w:jc w:val="center"/>
        <w:rPr>
          <w:b/>
          <w:bCs/>
          <w:sz w:val="26"/>
          <w:szCs w:val="26"/>
        </w:rPr>
      </w:pPr>
    </w:p>
    <w:p w14:paraId="57EDF46B" w14:textId="77777777" w:rsidR="00222CB3" w:rsidRPr="00974DF2" w:rsidRDefault="00222CB3" w:rsidP="00222CB3">
      <w:pPr>
        <w:pStyle w:val="NoSpacing"/>
        <w:jc w:val="both"/>
        <w:rPr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2"/>
        <w:gridCol w:w="2238"/>
        <w:gridCol w:w="6311"/>
      </w:tblGrid>
      <w:tr w:rsidR="00222CB3" w:rsidRPr="00974DF2" w14:paraId="018C8165" w14:textId="77777777" w:rsidTr="008D7B3D">
        <w:tc>
          <w:tcPr>
            <w:tcW w:w="9351" w:type="dxa"/>
            <w:gridSpan w:val="3"/>
          </w:tcPr>
          <w:p w14:paraId="5EC68942" w14:textId="77777777" w:rsidR="00222CB3" w:rsidRPr="00974DF2" w:rsidRDefault="00222CB3" w:rsidP="0078605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974DF2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222CB3" w:rsidRPr="00974DF2" w14:paraId="4B16447F" w14:textId="77777777" w:rsidTr="00BF2000">
        <w:tc>
          <w:tcPr>
            <w:tcW w:w="802" w:type="dxa"/>
          </w:tcPr>
          <w:p w14:paraId="064CC00F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1.</w:t>
            </w:r>
          </w:p>
        </w:tc>
        <w:tc>
          <w:tcPr>
            <w:tcW w:w="2238" w:type="dxa"/>
          </w:tcPr>
          <w:p w14:paraId="4970B40D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Pamatojums</w:t>
            </w:r>
          </w:p>
        </w:tc>
        <w:tc>
          <w:tcPr>
            <w:tcW w:w="6311" w:type="dxa"/>
          </w:tcPr>
          <w:p w14:paraId="03B82955" w14:textId="77777777" w:rsidR="00222CB3" w:rsidRPr="00292B56" w:rsidRDefault="00292B56" w:rsidP="00650643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292B56">
              <w:rPr>
                <w:sz w:val="26"/>
                <w:szCs w:val="26"/>
              </w:rPr>
              <w:t>ikuma “</w:t>
            </w:r>
            <w:r w:rsidR="00451C89" w:rsidRPr="00451C89">
              <w:rPr>
                <w:sz w:val="26"/>
                <w:szCs w:val="26"/>
              </w:rPr>
              <w:t>Par bīstamo iekārtu tehnisko uzraudzību</w:t>
            </w:r>
            <w:r w:rsidRPr="00292B56">
              <w:rPr>
                <w:sz w:val="26"/>
                <w:szCs w:val="26"/>
              </w:rPr>
              <w:t xml:space="preserve">” </w:t>
            </w:r>
            <w:r w:rsidR="00451C89">
              <w:rPr>
                <w:sz w:val="26"/>
                <w:szCs w:val="26"/>
              </w:rPr>
              <w:t>3.panta otrā daļa</w:t>
            </w:r>
          </w:p>
        </w:tc>
      </w:tr>
      <w:tr w:rsidR="00222CB3" w:rsidRPr="00974DF2" w14:paraId="0B64FAD4" w14:textId="77777777" w:rsidTr="00BF2000">
        <w:tc>
          <w:tcPr>
            <w:tcW w:w="802" w:type="dxa"/>
          </w:tcPr>
          <w:p w14:paraId="304E92D4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2.</w:t>
            </w:r>
          </w:p>
        </w:tc>
        <w:tc>
          <w:tcPr>
            <w:tcW w:w="2238" w:type="dxa"/>
          </w:tcPr>
          <w:p w14:paraId="5163AEEC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311" w:type="dxa"/>
          </w:tcPr>
          <w:p w14:paraId="783A80C0" w14:textId="5A6BBC5D" w:rsidR="00FC28B7" w:rsidRDefault="00555160" w:rsidP="00555160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Ministru kabineta 2003.gada 16.septembra</w:t>
            </w:r>
            <w:r w:rsidR="00292B56">
              <w:rPr>
                <w:sz w:val="26"/>
                <w:szCs w:val="26"/>
              </w:rPr>
              <w:t xml:space="preserve"> noteikumi</w:t>
            </w:r>
            <w:r w:rsidR="008A4F75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518</w:t>
            </w:r>
            <w:r w:rsidR="00292B56" w:rsidRPr="00292B56">
              <w:rPr>
                <w:sz w:val="26"/>
                <w:szCs w:val="26"/>
              </w:rPr>
              <w:t xml:space="preserve"> „</w:t>
            </w:r>
            <w:r w:rsidRPr="00555160">
              <w:rPr>
                <w:sz w:val="26"/>
                <w:szCs w:val="26"/>
              </w:rPr>
              <w:t>Spiedieniekārtu kompleksu tehniskās uzraudzības kārtība</w:t>
            </w:r>
            <w:r w:rsidR="00292B56" w:rsidRPr="00292B56">
              <w:rPr>
                <w:sz w:val="26"/>
                <w:szCs w:val="26"/>
              </w:rPr>
              <w:t xml:space="preserve">”  (turpmāk – </w:t>
            </w:r>
            <w:r w:rsidR="00292B56">
              <w:rPr>
                <w:sz w:val="26"/>
                <w:szCs w:val="26"/>
              </w:rPr>
              <w:t>N</w:t>
            </w:r>
            <w:r w:rsidR="00C967EC">
              <w:rPr>
                <w:sz w:val="26"/>
                <w:szCs w:val="26"/>
              </w:rPr>
              <w:t>oteikumi</w:t>
            </w:r>
            <w:r w:rsidR="00292B56" w:rsidRPr="00292B5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nosaka</w:t>
            </w:r>
            <w:r w:rsidR="009630B8">
              <w:rPr>
                <w:sz w:val="26"/>
                <w:szCs w:val="26"/>
              </w:rPr>
              <w:t xml:space="preserve"> prasības, kas jāievēro</w:t>
            </w:r>
            <w:r w:rsidRPr="00555160">
              <w:rPr>
                <w:sz w:val="26"/>
                <w:szCs w:val="26"/>
              </w:rPr>
              <w:t xml:space="preserve"> organizējot un veicot darbus ar spiedieniekārtu kompleksiem, kas saskaņā ar normatīvajos aktos par spiedieniekārtām un to kompleksiem noteikto klasifikāciju atbilst III vai IV kategorijai (turpmāk — spiedieniekārtu komplekss), kā arī nosaka spiedieniekārtu kompleksa tehniskās uzraudzības kārtību.</w:t>
            </w:r>
          </w:p>
          <w:p w14:paraId="776A50F7" w14:textId="706108BD" w:rsidR="00555160" w:rsidRDefault="00C967EC" w:rsidP="00C967EC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Attiecībā uz </w:t>
            </w:r>
            <w:r w:rsidR="00C26CA1">
              <w:rPr>
                <w:sz w:val="26"/>
                <w:szCs w:val="26"/>
              </w:rPr>
              <w:t xml:space="preserve"> spiedieniekārtu </w:t>
            </w:r>
            <w:r w:rsidR="009630B8">
              <w:rPr>
                <w:sz w:val="26"/>
                <w:szCs w:val="26"/>
              </w:rPr>
              <w:t>kompleksu tehniskajām pārbaudēm</w:t>
            </w:r>
            <w:r>
              <w:rPr>
                <w:sz w:val="26"/>
                <w:szCs w:val="26"/>
              </w:rPr>
              <w:t xml:space="preserve"> Noteikumu prasības paredz, ka </w:t>
            </w:r>
            <w:r w:rsidR="00C26CA1">
              <w:rPr>
                <w:sz w:val="26"/>
                <w:szCs w:val="26"/>
              </w:rPr>
              <w:t xml:space="preserve">spiedieniekārtu </w:t>
            </w:r>
            <w:r w:rsidR="009630B8">
              <w:rPr>
                <w:sz w:val="26"/>
                <w:szCs w:val="26"/>
              </w:rPr>
              <w:t>kompleksa valdītājam</w:t>
            </w:r>
            <w:r>
              <w:rPr>
                <w:sz w:val="26"/>
                <w:szCs w:val="26"/>
              </w:rPr>
              <w:t xml:space="preserve"> </w:t>
            </w:r>
            <w:r w:rsidRPr="00C967EC">
              <w:rPr>
                <w:sz w:val="26"/>
                <w:szCs w:val="26"/>
              </w:rPr>
              <w:t xml:space="preserve">visā </w:t>
            </w:r>
            <w:r w:rsidR="00C26CA1">
              <w:rPr>
                <w:sz w:val="26"/>
                <w:szCs w:val="26"/>
              </w:rPr>
              <w:t xml:space="preserve">spiedieniekārtu </w:t>
            </w:r>
            <w:r w:rsidRPr="00C967EC">
              <w:rPr>
                <w:sz w:val="26"/>
                <w:szCs w:val="26"/>
              </w:rPr>
              <w:t xml:space="preserve">kompleksa lietošanas laikā </w:t>
            </w:r>
            <w:r>
              <w:rPr>
                <w:sz w:val="26"/>
                <w:szCs w:val="26"/>
              </w:rPr>
              <w:t>ir jāveic</w:t>
            </w:r>
            <w:r w:rsidRPr="00C967EC">
              <w:rPr>
                <w:sz w:val="26"/>
                <w:szCs w:val="26"/>
              </w:rPr>
              <w:t xml:space="preserve"> kārtējās tehniskās pārbaudes</w:t>
            </w:r>
            <w:r>
              <w:rPr>
                <w:sz w:val="26"/>
                <w:szCs w:val="26"/>
              </w:rPr>
              <w:t xml:space="preserve">, proti, </w:t>
            </w:r>
            <w:r w:rsidRPr="00C967EC">
              <w:rPr>
                <w:sz w:val="26"/>
                <w:szCs w:val="26"/>
              </w:rPr>
              <w:t>ārējo tehnisko pārbaudi, iekšējo tehnisko pārbaudi un hidraulisko pārbaudi.</w:t>
            </w:r>
            <w:r>
              <w:rPr>
                <w:sz w:val="26"/>
                <w:szCs w:val="26"/>
              </w:rPr>
              <w:t xml:space="preserve"> Saskaņā ar Noteikumu </w:t>
            </w:r>
            <w:r w:rsidRPr="00C967EC">
              <w:rPr>
                <w:sz w:val="26"/>
                <w:szCs w:val="26"/>
              </w:rPr>
              <w:t>5.</w:t>
            </w:r>
            <w:r w:rsidRPr="00C967EC">
              <w:rPr>
                <w:sz w:val="26"/>
                <w:szCs w:val="26"/>
                <w:vertAlign w:val="superscript"/>
              </w:rPr>
              <w:t>1</w:t>
            </w:r>
            <w:r w:rsidR="009630B8">
              <w:rPr>
                <w:sz w:val="26"/>
                <w:szCs w:val="26"/>
              </w:rPr>
              <w:t xml:space="preserve"> punktu</w:t>
            </w:r>
            <w:r w:rsidR="00C26CA1">
              <w:rPr>
                <w:sz w:val="26"/>
                <w:szCs w:val="26"/>
              </w:rPr>
              <w:t xml:space="preserve"> spiedieniekārtu </w:t>
            </w:r>
            <w:r>
              <w:rPr>
                <w:sz w:val="26"/>
                <w:szCs w:val="26"/>
              </w:rPr>
              <w:t>kompleksu tehniskās pārbaudes veic nacionālajā akreditācijas institūcijā akreditētas inspicēšanas institūcijas vai citā Eiropas Savienības dalībvalstī akreditēta inspicēšanas institūcija.</w:t>
            </w:r>
          </w:p>
          <w:p w14:paraId="44B10074" w14:textId="5487B5DC" w:rsidR="00B83BCA" w:rsidRDefault="00E80967" w:rsidP="00B7346F">
            <w:pPr>
              <w:pStyle w:val="NoSpacing"/>
              <w:jc w:val="both"/>
              <w:rPr>
                <w:sz w:val="26"/>
                <w:szCs w:val="26"/>
              </w:rPr>
            </w:pPr>
            <w:r w:rsidRPr="00E80967">
              <w:rPr>
                <w:sz w:val="26"/>
                <w:szCs w:val="26"/>
              </w:rPr>
              <w:t xml:space="preserve">Ekonomikas ministrija </w:t>
            </w:r>
            <w:r w:rsidR="008F3C6F">
              <w:rPr>
                <w:sz w:val="26"/>
                <w:szCs w:val="26"/>
              </w:rPr>
              <w:t xml:space="preserve">ir saņēmusi informāciju no inspicēšanas institūcijām, ka </w:t>
            </w:r>
            <w:r w:rsidRPr="00E80967">
              <w:rPr>
                <w:sz w:val="26"/>
                <w:szCs w:val="26"/>
              </w:rPr>
              <w:t xml:space="preserve">šobrīd Latvijas tirgū un lietošanā ir sastopami </w:t>
            </w:r>
            <w:r w:rsidR="0096425C">
              <w:rPr>
                <w:sz w:val="26"/>
                <w:szCs w:val="26"/>
              </w:rPr>
              <w:t>tādi</w:t>
            </w:r>
            <w:r w:rsidR="00C26CA1">
              <w:rPr>
                <w:sz w:val="26"/>
                <w:szCs w:val="26"/>
              </w:rPr>
              <w:t xml:space="preserve"> spiedieniekārtu</w:t>
            </w:r>
            <w:r w:rsidRPr="00E80967">
              <w:rPr>
                <w:sz w:val="26"/>
                <w:szCs w:val="26"/>
              </w:rPr>
              <w:t xml:space="preserve"> kompleksi, kuru izgatavošanā ir pielietoti tādi tehniskie risinājumi, kas pielāgoti jaunākaj</w:t>
            </w:r>
            <w:r w:rsidR="001B44BA">
              <w:rPr>
                <w:sz w:val="26"/>
                <w:szCs w:val="26"/>
              </w:rPr>
              <w:t>a</w:t>
            </w:r>
            <w:r w:rsidRPr="00E80967">
              <w:rPr>
                <w:sz w:val="26"/>
                <w:szCs w:val="26"/>
              </w:rPr>
              <w:t>m zinātniskās un tehnol</w:t>
            </w:r>
            <w:r w:rsidR="008F3C6F">
              <w:rPr>
                <w:sz w:val="26"/>
                <w:szCs w:val="26"/>
              </w:rPr>
              <w:t>oģiskās attīstības līmenim un š</w:t>
            </w:r>
            <w:r w:rsidRPr="00E80967">
              <w:rPr>
                <w:sz w:val="26"/>
                <w:szCs w:val="26"/>
              </w:rPr>
              <w:t>ādu</w:t>
            </w:r>
            <w:r w:rsidR="00C26CA1">
              <w:rPr>
                <w:sz w:val="26"/>
                <w:szCs w:val="26"/>
              </w:rPr>
              <w:t xml:space="preserve"> spiedieniekārtu</w:t>
            </w:r>
            <w:r w:rsidRPr="00E80967">
              <w:rPr>
                <w:sz w:val="26"/>
                <w:szCs w:val="26"/>
              </w:rPr>
              <w:t xml:space="preserve"> kompleksu tehnisko pārbaužu veikšana atbilstoši spēkā esošajam tiesiskajam regulējuma</w:t>
            </w:r>
            <w:r w:rsidR="001B44BA">
              <w:rPr>
                <w:sz w:val="26"/>
                <w:szCs w:val="26"/>
              </w:rPr>
              <w:t>m</w:t>
            </w:r>
            <w:r w:rsidRPr="00E80967">
              <w:rPr>
                <w:sz w:val="26"/>
                <w:szCs w:val="26"/>
              </w:rPr>
              <w:t xml:space="preserve"> ir ierobežota vai pat nav iespējama.</w:t>
            </w:r>
            <w:r w:rsidR="00B83BCA">
              <w:rPr>
                <w:sz w:val="26"/>
                <w:szCs w:val="26"/>
              </w:rPr>
              <w:t xml:space="preserve"> Šāda veida</w:t>
            </w:r>
            <w:r w:rsidR="00C26CA1">
              <w:rPr>
                <w:sz w:val="26"/>
                <w:szCs w:val="26"/>
              </w:rPr>
              <w:t xml:space="preserve"> spiedieniekārtu </w:t>
            </w:r>
            <w:r w:rsidR="00B83BCA">
              <w:rPr>
                <w:sz w:val="26"/>
                <w:szCs w:val="26"/>
              </w:rPr>
              <w:t>kompleksiem</w:t>
            </w:r>
            <w:r w:rsidR="0096425C">
              <w:rPr>
                <w:sz w:val="26"/>
                <w:szCs w:val="26"/>
              </w:rPr>
              <w:t xml:space="preserve"> ir</w:t>
            </w:r>
            <w:r w:rsidR="00B83BCA">
              <w:rPr>
                <w:sz w:val="26"/>
                <w:szCs w:val="26"/>
              </w:rPr>
              <w:t xml:space="preserve"> būtisk</w:t>
            </w:r>
            <w:r w:rsidR="0096425C">
              <w:rPr>
                <w:sz w:val="26"/>
                <w:szCs w:val="26"/>
              </w:rPr>
              <w:t>i</w:t>
            </w:r>
            <w:r w:rsidR="00B83BCA">
              <w:rPr>
                <w:sz w:val="26"/>
                <w:szCs w:val="26"/>
              </w:rPr>
              <w:t xml:space="preserve"> apgrūtinājumi veikt Noteikumos noteikto iekšējo</w:t>
            </w:r>
            <w:r w:rsidR="009F2E70">
              <w:rPr>
                <w:sz w:val="26"/>
                <w:szCs w:val="26"/>
              </w:rPr>
              <w:t xml:space="preserve"> tehnisko</w:t>
            </w:r>
            <w:r w:rsidR="00B83BCA">
              <w:rPr>
                <w:sz w:val="26"/>
                <w:szCs w:val="26"/>
              </w:rPr>
              <w:t xml:space="preserve"> un hidraulisko p</w:t>
            </w:r>
            <w:r w:rsidR="0096425C">
              <w:rPr>
                <w:sz w:val="26"/>
                <w:szCs w:val="26"/>
              </w:rPr>
              <w:t>ārbaudi</w:t>
            </w:r>
            <w:r w:rsidR="00231763">
              <w:rPr>
                <w:sz w:val="26"/>
                <w:szCs w:val="26"/>
              </w:rPr>
              <w:t>.</w:t>
            </w:r>
            <w:r w:rsidR="0096425C">
              <w:rPr>
                <w:sz w:val="26"/>
                <w:szCs w:val="26"/>
              </w:rPr>
              <w:t xml:space="preserve"> </w:t>
            </w:r>
            <w:r w:rsidR="00231763">
              <w:rPr>
                <w:sz w:val="26"/>
                <w:szCs w:val="26"/>
              </w:rPr>
              <w:t>K</w:t>
            </w:r>
            <w:r w:rsidR="0096425C">
              <w:rPr>
                <w:sz w:val="26"/>
                <w:szCs w:val="26"/>
              </w:rPr>
              <w:t>ā viens no piemēriem šādiem</w:t>
            </w:r>
            <w:r w:rsidR="00C26CA1">
              <w:rPr>
                <w:sz w:val="26"/>
                <w:szCs w:val="26"/>
              </w:rPr>
              <w:t xml:space="preserve"> spiedieniekārtu</w:t>
            </w:r>
            <w:r w:rsidR="0096425C">
              <w:rPr>
                <w:sz w:val="26"/>
                <w:szCs w:val="26"/>
              </w:rPr>
              <w:t xml:space="preserve"> kompleksiem </w:t>
            </w:r>
            <w:r w:rsidR="00231763">
              <w:rPr>
                <w:sz w:val="26"/>
                <w:szCs w:val="26"/>
              </w:rPr>
              <w:t>ir iekārtas, kur</w:t>
            </w:r>
            <w:r w:rsidR="00F52A5C">
              <w:rPr>
                <w:sz w:val="26"/>
                <w:szCs w:val="26"/>
              </w:rPr>
              <w:t>ā</w:t>
            </w:r>
            <w:r w:rsidR="00231763">
              <w:rPr>
                <w:sz w:val="26"/>
                <w:szCs w:val="26"/>
              </w:rPr>
              <w:t>s</w:t>
            </w:r>
            <w:r w:rsidR="00B83BCA">
              <w:rPr>
                <w:sz w:val="26"/>
                <w:szCs w:val="26"/>
              </w:rPr>
              <w:t xml:space="preserve"> kā darba viela tiek izmantota termālā eļļa vai silikona eļļa</w:t>
            </w:r>
            <w:r w:rsidR="00F52A5C">
              <w:rPr>
                <w:sz w:val="26"/>
                <w:szCs w:val="26"/>
              </w:rPr>
              <w:t>.</w:t>
            </w:r>
            <w:r w:rsidR="00C26CA1">
              <w:rPr>
                <w:sz w:val="26"/>
                <w:szCs w:val="26"/>
              </w:rPr>
              <w:t xml:space="preserve">  </w:t>
            </w:r>
            <w:r w:rsidR="00F52A5C">
              <w:rPr>
                <w:sz w:val="26"/>
                <w:szCs w:val="26"/>
              </w:rPr>
              <w:t>S</w:t>
            </w:r>
            <w:r w:rsidR="00C26CA1">
              <w:rPr>
                <w:sz w:val="26"/>
                <w:szCs w:val="26"/>
              </w:rPr>
              <w:t>askaņā ar šo iekārtu ražotāja norādījumiem</w:t>
            </w:r>
            <w:r w:rsidR="00F52A5C">
              <w:rPr>
                <w:sz w:val="26"/>
                <w:szCs w:val="26"/>
              </w:rPr>
              <w:t>, ja iekārtas ekspluatācijā netiek konstatēti darba vielas zudumi, noplūdes, spiediena pazemināšanās, darba vielas (</w:t>
            </w:r>
            <w:r w:rsidR="00C26CA1">
              <w:rPr>
                <w:sz w:val="26"/>
                <w:szCs w:val="26"/>
              </w:rPr>
              <w:t>eļļ</w:t>
            </w:r>
            <w:r w:rsidR="00F52A5C">
              <w:rPr>
                <w:sz w:val="26"/>
                <w:szCs w:val="26"/>
              </w:rPr>
              <w:t>as)</w:t>
            </w:r>
            <w:r w:rsidR="00C26CA1">
              <w:rPr>
                <w:sz w:val="26"/>
                <w:szCs w:val="26"/>
              </w:rPr>
              <w:t xml:space="preserve"> nomaiņa jāveic </w:t>
            </w:r>
            <w:r w:rsidR="00AB7D63">
              <w:rPr>
                <w:sz w:val="26"/>
                <w:szCs w:val="26"/>
              </w:rPr>
              <w:t xml:space="preserve">ne biežāk kā </w:t>
            </w:r>
            <w:r w:rsidR="00C26CA1">
              <w:rPr>
                <w:sz w:val="26"/>
                <w:szCs w:val="26"/>
              </w:rPr>
              <w:t>ik pēc 10 gadiem</w:t>
            </w:r>
            <w:r w:rsidR="00F52A5C">
              <w:rPr>
                <w:sz w:val="26"/>
                <w:szCs w:val="26"/>
              </w:rPr>
              <w:t>, iekārtas ekspluatācijas laikā nodrošinot periodiskas darba vielas (eļļas) īpašību analīzes (reizi 4 gados)</w:t>
            </w:r>
            <w:r w:rsidR="00C26CA1">
              <w:rPr>
                <w:sz w:val="26"/>
                <w:szCs w:val="26"/>
              </w:rPr>
              <w:t>. Šāda veida spiedieniekārtu kompleksiem iekšējo</w:t>
            </w:r>
            <w:r w:rsidR="009F2E70">
              <w:rPr>
                <w:sz w:val="26"/>
                <w:szCs w:val="26"/>
              </w:rPr>
              <w:t xml:space="preserve"> tehnisko</w:t>
            </w:r>
            <w:r w:rsidR="00C26CA1">
              <w:rPr>
                <w:sz w:val="26"/>
                <w:szCs w:val="26"/>
              </w:rPr>
              <w:t xml:space="preserve"> pārbaudi ir iespējams veikt tikai pie </w:t>
            </w:r>
            <w:r w:rsidR="00A512BF">
              <w:rPr>
                <w:sz w:val="26"/>
                <w:szCs w:val="26"/>
              </w:rPr>
              <w:t>darba vielas (</w:t>
            </w:r>
            <w:r w:rsidR="00C26CA1">
              <w:rPr>
                <w:sz w:val="26"/>
                <w:szCs w:val="26"/>
              </w:rPr>
              <w:t>eļļas</w:t>
            </w:r>
            <w:r w:rsidR="00A512BF">
              <w:rPr>
                <w:sz w:val="26"/>
                <w:szCs w:val="26"/>
              </w:rPr>
              <w:t>)</w:t>
            </w:r>
            <w:r w:rsidR="00C26CA1">
              <w:rPr>
                <w:sz w:val="26"/>
                <w:szCs w:val="26"/>
              </w:rPr>
              <w:t xml:space="preserve"> nomaiņas, </w:t>
            </w:r>
            <w:r w:rsidR="00F52A5C">
              <w:rPr>
                <w:sz w:val="26"/>
                <w:szCs w:val="26"/>
              </w:rPr>
              <w:lastRenderedPageBreak/>
              <w:t xml:space="preserve">savukārt hidraulisko pārbaudi šādām iekārtām nevar veikt, jo </w:t>
            </w:r>
            <w:r w:rsidR="00A512BF">
              <w:rPr>
                <w:sz w:val="26"/>
                <w:szCs w:val="26"/>
              </w:rPr>
              <w:t xml:space="preserve">ūdeni izmantot </w:t>
            </w:r>
            <w:r w:rsidR="00F52A5C">
              <w:rPr>
                <w:sz w:val="26"/>
                <w:szCs w:val="26"/>
              </w:rPr>
              <w:t>nav iespējams (ūdens klātbūtne iekārtā var būt par iemeslu iekārtas avārijai</w:t>
            </w:r>
            <w:r w:rsidR="00A512BF">
              <w:rPr>
                <w:sz w:val="26"/>
                <w:szCs w:val="26"/>
              </w:rPr>
              <w:t>)</w:t>
            </w:r>
            <w:r w:rsidR="00F52A5C">
              <w:rPr>
                <w:sz w:val="26"/>
                <w:szCs w:val="26"/>
              </w:rPr>
              <w:t xml:space="preserve">, savukārt </w:t>
            </w:r>
            <w:r w:rsidR="00A512BF">
              <w:rPr>
                <w:sz w:val="26"/>
                <w:szCs w:val="26"/>
              </w:rPr>
              <w:t xml:space="preserve">silikona </w:t>
            </w:r>
            <w:r w:rsidR="00F52A5C">
              <w:rPr>
                <w:sz w:val="26"/>
                <w:szCs w:val="26"/>
              </w:rPr>
              <w:t>eļļas izmantošana</w:t>
            </w:r>
            <w:r w:rsidR="009630B8">
              <w:rPr>
                <w:sz w:val="26"/>
                <w:szCs w:val="26"/>
              </w:rPr>
              <w:t xml:space="preserve"> nav pieļaujama tās īpašību dēļ</w:t>
            </w:r>
            <w:r w:rsidR="00F52A5C">
              <w:rPr>
                <w:sz w:val="26"/>
                <w:szCs w:val="26"/>
              </w:rPr>
              <w:t xml:space="preserve">.  </w:t>
            </w:r>
            <w:r w:rsidR="00A512BF">
              <w:rPr>
                <w:sz w:val="26"/>
                <w:szCs w:val="26"/>
              </w:rPr>
              <w:t>T</w:t>
            </w:r>
            <w:r w:rsidR="00C26CA1">
              <w:rPr>
                <w:sz w:val="26"/>
                <w:szCs w:val="26"/>
              </w:rPr>
              <w:t>aču Noteikumu 46.2. un 46.3.apakšp</w:t>
            </w:r>
            <w:r w:rsidR="00A512BF">
              <w:rPr>
                <w:sz w:val="26"/>
                <w:szCs w:val="26"/>
              </w:rPr>
              <w:t>u</w:t>
            </w:r>
            <w:r w:rsidR="00C26CA1">
              <w:rPr>
                <w:sz w:val="26"/>
                <w:szCs w:val="26"/>
              </w:rPr>
              <w:t xml:space="preserve">nkts paredz, ka iekšējo </w:t>
            </w:r>
            <w:r w:rsidR="009F2E70">
              <w:rPr>
                <w:sz w:val="26"/>
                <w:szCs w:val="26"/>
              </w:rPr>
              <w:t xml:space="preserve">tehnisko </w:t>
            </w:r>
            <w:r w:rsidR="00C26CA1">
              <w:rPr>
                <w:sz w:val="26"/>
                <w:szCs w:val="26"/>
              </w:rPr>
              <w:t>pārbaudi jāveic reizi četros gados</w:t>
            </w:r>
            <w:r w:rsidR="009F2E70">
              <w:rPr>
                <w:sz w:val="26"/>
                <w:szCs w:val="26"/>
              </w:rPr>
              <w:t>,</w:t>
            </w:r>
            <w:r w:rsidR="00C26CA1">
              <w:rPr>
                <w:sz w:val="26"/>
                <w:szCs w:val="26"/>
              </w:rPr>
              <w:t xml:space="preserve"> savukārt hidraulisko reizi astoņos gados. </w:t>
            </w:r>
            <w:r w:rsidR="00AE533B">
              <w:rPr>
                <w:sz w:val="26"/>
                <w:szCs w:val="26"/>
              </w:rPr>
              <w:t xml:space="preserve">Līdz ar to šobrīd veidojas situācija, ka šādām iekārtām ir jāveic </w:t>
            </w:r>
            <w:r w:rsidR="00A512BF">
              <w:rPr>
                <w:sz w:val="26"/>
                <w:szCs w:val="26"/>
              </w:rPr>
              <w:t xml:space="preserve">darba vielas </w:t>
            </w:r>
            <w:r w:rsidR="00AE533B">
              <w:rPr>
                <w:sz w:val="26"/>
                <w:szCs w:val="26"/>
              </w:rPr>
              <w:t>nomaiņa daudz ātrākā termiņā nekā to ir paredzējis spiedieniekārtas kompleksa ražotājs</w:t>
            </w:r>
            <w:r w:rsidR="00A21648">
              <w:rPr>
                <w:sz w:val="26"/>
                <w:szCs w:val="26"/>
              </w:rPr>
              <w:t xml:space="preserve">, lai būtu iespējams veikt iekšējo </w:t>
            </w:r>
            <w:r w:rsidR="009F2E70">
              <w:rPr>
                <w:sz w:val="26"/>
                <w:szCs w:val="26"/>
              </w:rPr>
              <w:t xml:space="preserve">tehnisko </w:t>
            </w:r>
            <w:r w:rsidR="00A21648">
              <w:rPr>
                <w:sz w:val="26"/>
                <w:szCs w:val="26"/>
              </w:rPr>
              <w:t>pārbaudi</w:t>
            </w:r>
            <w:r w:rsidR="00AE533B">
              <w:rPr>
                <w:sz w:val="26"/>
                <w:szCs w:val="26"/>
              </w:rPr>
              <w:t xml:space="preserve">. </w:t>
            </w:r>
            <w:r w:rsidR="001B44BA">
              <w:rPr>
                <w:sz w:val="26"/>
                <w:szCs w:val="26"/>
              </w:rPr>
              <w:t>Savukārt hidraulisko pārb</w:t>
            </w:r>
            <w:r w:rsidR="00A512BF">
              <w:rPr>
                <w:sz w:val="26"/>
                <w:szCs w:val="26"/>
              </w:rPr>
              <w:t>aud</w:t>
            </w:r>
            <w:r w:rsidR="009F2E70">
              <w:rPr>
                <w:sz w:val="26"/>
                <w:szCs w:val="26"/>
              </w:rPr>
              <w:t>i</w:t>
            </w:r>
            <w:r w:rsidR="00A512BF">
              <w:rPr>
                <w:sz w:val="26"/>
                <w:szCs w:val="26"/>
              </w:rPr>
              <w:t xml:space="preserve"> šādām iekārtām nevar nodrošināt</w:t>
            </w:r>
            <w:r w:rsidR="001B44BA">
              <w:rPr>
                <w:sz w:val="26"/>
                <w:szCs w:val="26"/>
              </w:rPr>
              <w:t xml:space="preserve">. </w:t>
            </w:r>
            <w:r w:rsidR="00E46485">
              <w:rPr>
                <w:sz w:val="26"/>
                <w:szCs w:val="26"/>
              </w:rPr>
              <w:t xml:space="preserve">Hidrauliskās pārbaudes veikšana nav iespējama arī tādiem </w:t>
            </w:r>
            <w:r w:rsidR="00A21648">
              <w:rPr>
                <w:sz w:val="26"/>
                <w:szCs w:val="26"/>
              </w:rPr>
              <w:t xml:space="preserve">spiedieniekārtu kompleksiem, </w:t>
            </w:r>
            <w:r w:rsidR="00E46485">
              <w:rPr>
                <w:sz w:val="26"/>
                <w:szCs w:val="26"/>
              </w:rPr>
              <w:t xml:space="preserve">kuri sastāv no vairākiem tehniski neatdalāmiem posmiem ar atšķirīgu darba un maksimāli pieļaujamo spiedienu un līdz ar to ar atšķirīgu testēšanas spiedienu. </w:t>
            </w:r>
            <w:r w:rsidR="00580159">
              <w:rPr>
                <w:sz w:val="26"/>
                <w:szCs w:val="26"/>
              </w:rPr>
              <w:t xml:space="preserve">Šāda veida spiedieniekārtu kompleksiem nav iespējams </w:t>
            </w:r>
            <w:r w:rsidR="00E46485">
              <w:rPr>
                <w:sz w:val="26"/>
                <w:szCs w:val="26"/>
              </w:rPr>
              <w:t xml:space="preserve">piemērot </w:t>
            </w:r>
            <w:r w:rsidR="00580159">
              <w:rPr>
                <w:sz w:val="26"/>
                <w:szCs w:val="26"/>
              </w:rPr>
              <w:t>hidraulisk</w:t>
            </w:r>
            <w:r w:rsidR="00E46485">
              <w:rPr>
                <w:sz w:val="26"/>
                <w:szCs w:val="26"/>
              </w:rPr>
              <w:t>ās</w:t>
            </w:r>
            <w:r w:rsidR="00580159">
              <w:rPr>
                <w:sz w:val="26"/>
                <w:szCs w:val="26"/>
              </w:rPr>
              <w:t xml:space="preserve"> pārbaud</w:t>
            </w:r>
            <w:r w:rsidR="00E46485">
              <w:rPr>
                <w:sz w:val="26"/>
                <w:szCs w:val="26"/>
              </w:rPr>
              <w:t>es metodi</w:t>
            </w:r>
            <w:r w:rsidR="00580159">
              <w:rPr>
                <w:sz w:val="26"/>
                <w:szCs w:val="26"/>
              </w:rPr>
              <w:t xml:space="preserve">, jo tās rezultātā tiks bojāta kāda no spiedieniekārtas kompleksa daļām. </w:t>
            </w:r>
            <w:r w:rsidR="00A512BF">
              <w:rPr>
                <w:sz w:val="26"/>
                <w:szCs w:val="26"/>
              </w:rPr>
              <w:t xml:space="preserve">Kā vēl viens piemērs minami </w:t>
            </w:r>
            <w:r w:rsidR="00052829">
              <w:rPr>
                <w:sz w:val="26"/>
                <w:szCs w:val="26"/>
              </w:rPr>
              <w:t xml:space="preserve">spiedieniekārtu kompleksi, kuriem </w:t>
            </w:r>
            <w:r w:rsidR="001425E6">
              <w:rPr>
                <w:sz w:val="26"/>
                <w:szCs w:val="26"/>
              </w:rPr>
              <w:t>veicot hidraulisko pārbaudi ir jānomaina to</w:t>
            </w:r>
            <w:r w:rsidR="008A4F75">
              <w:rPr>
                <w:sz w:val="26"/>
                <w:szCs w:val="26"/>
              </w:rPr>
              <w:t xml:space="preserve"> atsevišķ</w:t>
            </w:r>
            <w:r w:rsidR="00E46485">
              <w:rPr>
                <w:sz w:val="26"/>
                <w:szCs w:val="26"/>
              </w:rPr>
              <w:t>a</w:t>
            </w:r>
            <w:r w:rsidR="008A4F75">
              <w:rPr>
                <w:sz w:val="26"/>
                <w:szCs w:val="26"/>
              </w:rPr>
              <w:t>s</w:t>
            </w:r>
            <w:r w:rsidR="001425E6">
              <w:rPr>
                <w:sz w:val="26"/>
                <w:szCs w:val="26"/>
              </w:rPr>
              <w:t xml:space="preserve"> </w:t>
            </w:r>
            <w:r w:rsidR="008A4F75">
              <w:rPr>
                <w:sz w:val="26"/>
                <w:szCs w:val="26"/>
              </w:rPr>
              <w:t xml:space="preserve">sastāvdaļas, </w:t>
            </w:r>
            <w:r w:rsidR="00E46485">
              <w:rPr>
                <w:sz w:val="26"/>
                <w:szCs w:val="26"/>
              </w:rPr>
              <w:t>kuru</w:t>
            </w:r>
            <w:r w:rsidR="008A4F75">
              <w:rPr>
                <w:sz w:val="26"/>
                <w:szCs w:val="26"/>
              </w:rPr>
              <w:t xml:space="preserve"> sastāvdaļu</w:t>
            </w:r>
            <w:r w:rsidR="001425E6">
              <w:rPr>
                <w:sz w:val="26"/>
                <w:szCs w:val="26"/>
              </w:rPr>
              <w:t xml:space="preserve"> lietošanas derīguma termiņš saskaņā ar ražotāja noteikto </w:t>
            </w:r>
            <w:r w:rsidR="00E46485">
              <w:rPr>
                <w:sz w:val="26"/>
                <w:szCs w:val="26"/>
              </w:rPr>
              <w:t xml:space="preserve">pārsniedz </w:t>
            </w:r>
            <w:r w:rsidR="001425E6">
              <w:rPr>
                <w:sz w:val="26"/>
                <w:szCs w:val="26"/>
              </w:rPr>
              <w:t>Noteikumu 46.3.</w:t>
            </w:r>
            <w:r w:rsidR="00E46485">
              <w:rPr>
                <w:sz w:val="26"/>
                <w:szCs w:val="26"/>
              </w:rPr>
              <w:t>apakšpunktā</w:t>
            </w:r>
            <w:r w:rsidR="001425E6">
              <w:rPr>
                <w:sz w:val="26"/>
                <w:szCs w:val="26"/>
              </w:rPr>
              <w:t xml:space="preserve"> noteikt</w:t>
            </w:r>
            <w:r w:rsidR="00E46485">
              <w:rPr>
                <w:sz w:val="26"/>
                <w:szCs w:val="26"/>
              </w:rPr>
              <w:t>o</w:t>
            </w:r>
            <w:r w:rsidR="001425E6">
              <w:rPr>
                <w:sz w:val="26"/>
                <w:szCs w:val="26"/>
              </w:rPr>
              <w:t xml:space="preserve"> hidrauliskās pārbaudes termiņ</w:t>
            </w:r>
            <w:r w:rsidR="00E46485">
              <w:rPr>
                <w:sz w:val="26"/>
                <w:szCs w:val="26"/>
              </w:rPr>
              <w:t>u</w:t>
            </w:r>
            <w:r w:rsidR="001425E6">
              <w:rPr>
                <w:sz w:val="26"/>
                <w:szCs w:val="26"/>
              </w:rPr>
              <w:t xml:space="preserve">, proti, astoņi gadi. </w:t>
            </w:r>
            <w:r w:rsidR="008A4F75">
              <w:rPr>
                <w:sz w:val="26"/>
                <w:szCs w:val="26"/>
              </w:rPr>
              <w:t>Līdz ar to</w:t>
            </w:r>
            <w:r w:rsidR="00E46485">
              <w:rPr>
                <w:sz w:val="26"/>
                <w:szCs w:val="26"/>
              </w:rPr>
              <w:t>,</w:t>
            </w:r>
            <w:r w:rsidR="008A4F75">
              <w:rPr>
                <w:sz w:val="26"/>
                <w:szCs w:val="26"/>
              </w:rPr>
              <w:t xml:space="preserve"> veicot </w:t>
            </w:r>
            <w:r w:rsidR="00E46485">
              <w:rPr>
                <w:sz w:val="26"/>
                <w:szCs w:val="26"/>
              </w:rPr>
              <w:t>š</w:t>
            </w:r>
            <w:r w:rsidR="008A4F75">
              <w:rPr>
                <w:sz w:val="26"/>
                <w:szCs w:val="26"/>
              </w:rPr>
              <w:t xml:space="preserve">ādu spiedieniekārtu kompleksu hidraulisko pārbaudi, </w:t>
            </w:r>
            <w:r w:rsidR="00E46485">
              <w:rPr>
                <w:sz w:val="26"/>
                <w:szCs w:val="26"/>
              </w:rPr>
              <w:t xml:space="preserve">nelietderīgi </w:t>
            </w:r>
            <w:r w:rsidR="008A4F75">
              <w:rPr>
                <w:sz w:val="26"/>
                <w:szCs w:val="26"/>
              </w:rPr>
              <w:t>jā</w:t>
            </w:r>
            <w:r w:rsidR="00E46485">
              <w:rPr>
                <w:sz w:val="26"/>
                <w:szCs w:val="26"/>
              </w:rPr>
              <w:t>nomaina</w:t>
            </w:r>
            <w:r w:rsidR="008A4F75">
              <w:rPr>
                <w:sz w:val="26"/>
                <w:szCs w:val="26"/>
              </w:rPr>
              <w:t xml:space="preserve"> </w:t>
            </w:r>
            <w:r w:rsidR="00E46485">
              <w:rPr>
                <w:sz w:val="26"/>
                <w:szCs w:val="26"/>
              </w:rPr>
              <w:t xml:space="preserve">iekārtas </w:t>
            </w:r>
            <w:r w:rsidR="008A4F75">
              <w:rPr>
                <w:sz w:val="26"/>
                <w:szCs w:val="26"/>
              </w:rPr>
              <w:t xml:space="preserve">sastāvdaļas, </w:t>
            </w:r>
            <w:r w:rsidR="00E46485">
              <w:rPr>
                <w:sz w:val="26"/>
                <w:szCs w:val="26"/>
              </w:rPr>
              <w:t xml:space="preserve">kuras tehniski </w:t>
            </w:r>
            <w:r w:rsidR="008A4F75">
              <w:rPr>
                <w:sz w:val="26"/>
                <w:szCs w:val="26"/>
              </w:rPr>
              <w:t xml:space="preserve">vēl ir izmantojamas.  </w:t>
            </w:r>
          </w:p>
          <w:p w14:paraId="380AAED8" w14:textId="77777777" w:rsidR="007925E1" w:rsidRDefault="00D47AC9" w:rsidP="007925E1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8A4F75">
              <w:rPr>
                <w:sz w:val="26"/>
                <w:szCs w:val="26"/>
              </w:rPr>
              <w:t>ai nodrošinātu</w:t>
            </w:r>
            <w:r>
              <w:rPr>
                <w:sz w:val="26"/>
                <w:szCs w:val="26"/>
              </w:rPr>
              <w:t xml:space="preserve"> tehnisko pārbaužu veikšanu</w:t>
            </w:r>
            <w:r w:rsidR="007925E1"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D47AC9">
              <w:rPr>
                <w:sz w:val="26"/>
                <w:szCs w:val="26"/>
              </w:rPr>
              <w:t>izmantojot alternatīvas pārbaudes metodes</w:t>
            </w:r>
            <w:r w:rsidR="007925E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tiem</w:t>
            </w:r>
            <w:r w:rsidR="008A4F75">
              <w:rPr>
                <w:sz w:val="26"/>
                <w:szCs w:val="26"/>
              </w:rPr>
              <w:t xml:space="preserve"> spiedieniek</w:t>
            </w:r>
            <w:r>
              <w:rPr>
                <w:sz w:val="26"/>
                <w:szCs w:val="26"/>
              </w:rPr>
              <w:t>ārtu kompleksiem</w:t>
            </w:r>
            <w:r w:rsidR="008A4F75">
              <w:rPr>
                <w:sz w:val="26"/>
                <w:szCs w:val="26"/>
              </w:rPr>
              <w:t>, k</w:t>
            </w:r>
            <w:r>
              <w:rPr>
                <w:sz w:val="26"/>
                <w:szCs w:val="26"/>
              </w:rPr>
              <w:t>uriem</w:t>
            </w:r>
            <w:r w:rsidR="008A4F75">
              <w:rPr>
                <w:sz w:val="26"/>
                <w:szCs w:val="26"/>
              </w:rPr>
              <w:t xml:space="preserve"> </w:t>
            </w:r>
            <w:r w:rsidRPr="00D47AC9">
              <w:rPr>
                <w:sz w:val="26"/>
                <w:szCs w:val="26"/>
              </w:rPr>
              <w:t xml:space="preserve">tehnisko pārbaužu veikšana atbilstoši </w:t>
            </w:r>
            <w:r>
              <w:rPr>
                <w:sz w:val="26"/>
                <w:szCs w:val="26"/>
              </w:rPr>
              <w:t>Noteikumu prasībām</w:t>
            </w:r>
            <w:r w:rsidRPr="00D47AC9">
              <w:rPr>
                <w:sz w:val="26"/>
                <w:szCs w:val="26"/>
              </w:rPr>
              <w:t xml:space="preserve"> ir ierobežota vai pat nav iespējama</w:t>
            </w:r>
            <w:r>
              <w:rPr>
                <w:sz w:val="26"/>
                <w:szCs w:val="26"/>
              </w:rPr>
              <w:t>,</w:t>
            </w:r>
            <w:r w:rsidR="008F3C6F">
              <w:rPr>
                <w:sz w:val="26"/>
                <w:szCs w:val="26"/>
              </w:rPr>
              <w:t xml:space="preserve"> </w:t>
            </w:r>
            <w:r w:rsidR="00E010AD">
              <w:rPr>
                <w:sz w:val="26"/>
                <w:szCs w:val="26"/>
              </w:rPr>
              <w:t xml:space="preserve">un ņemot vērā, ka spiedieniekārtu un to kompleksu ražotāji atbilstoši iekārtas konstruktīvajam risinājumam </w:t>
            </w:r>
            <w:r w:rsidR="007925E1">
              <w:rPr>
                <w:sz w:val="26"/>
                <w:szCs w:val="26"/>
              </w:rPr>
              <w:t xml:space="preserve">atsevišķos gadījumos </w:t>
            </w:r>
            <w:r w:rsidR="00082B0E">
              <w:rPr>
                <w:sz w:val="26"/>
                <w:szCs w:val="26"/>
              </w:rPr>
              <w:t>norāda</w:t>
            </w:r>
            <w:r w:rsidR="00E010AD">
              <w:rPr>
                <w:sz w:val="26"/>
                <w:szCs w:val="26"/>
              </w:rPr>
              <w:t xml:space="preserve"> </w:t>
            </w:r>
            <w:r w:rsidR="00082B0E">
              <w:rPr>
                <w:sz w:val="26"/>
                <w:szCs w:val="26"/>
              </w:rPr>
              <w:t xml:space="preserve">iekārtai veicamās </w:t>
            </w:r>
            <w:r w:rsidR="00E010AD">
              <w:rPr>
                <w:sz w:val="26"/>
                <w:szCs w:val="26"/>
              </w:rPr>
              <w:t>tehniskās pārbaudes</w:t>
            </w:r>
            <w:r w:rsidR="007925E1">
              <w:rPr>
                <w:sz w:val="26"/>
                <w:szCs w:val="26"/>
              </w:rPr>
              <w:t xml:space="preserve"> kārtību un</w:t>
            </w:r>
            <w:r w:rsidR="00082B0E">
              <w:rPr>
                <w:sz w:val="26"/>
                <w:szCs w:val="26"/>
              </w:rPr>
              <w:t xml:space="preserve"> periodiskumu</w:t>
            </w:r>
            <w:r w:rsidR="00E010AD">
              <w:rPr>
                <w:sz w:val="26"/>
                <w:szCs w:val="26"/>
              </w:rPr>
              <w:t xml:space="preserve">, </w:t>
            </w:r>
            <w:r w:rsidR="008F3C6F">
              <w:rPr>
                <w:sz w:val="26"/>
                <w:szCs w:val="26"/>
              </w:rPr>
              <w:t>ar Noteikumu</w:t>
            </w:r>
            <w:r w:rsidR="008A4F75">
              <w:rPr>
                <w:sz w:val="26"/>
                <w:szCs w:val="26"/>
              </w:rPr>
              <w:t xml:space="preserve"> projektu tiek paredzēts</w:t>
            </w:r>
            <w:r w:rsidR="008F3C6F">
              <w:rPr>
                <w:sz w:val="26"/>
                <w:szCs w:val="26"/>
              </w:rPr>
              <w:t xml:space="preserve">, ka </w:t>
            </w:r>
            <w:r w:rsidR="008A4F75">
              <w:rPr>
                <w:sz w:val="26"/>
                <w:szCs w:val="26"/>
              </w:rPr>
              <w:t>s</w:t>
            </w:r>
            <w:r w:rsidR="008A4F75" w:rsidRPr="008A4F75">
              <w:rPr>
                <w:sz w:val="26"/>
                <w:szCs w:val="26"/>
              </w:rPr>
              <w:t xml:space="preserve">piedieniekārtu kompleksiem, </w:t>
            </w:r>
            <w:r w:rsidR="007925E1" w:rsidRPr="007925E1">
              <w:rPr>
                <w:sz w:val="26"/>
                <w:szCs w:val="26"/>
              </w:rPr>
              <w:t>kuriem saskaņā ar konstruktīvo izpildījumu un ražotāja instrukcijā norādītajiem lietošanas apstākļiem</w:t>
            </w:r>
            <w:r w:rsidR="007925E1">
              <w:rPr>
                <w:sz w:val="26"/>
                <w:szCs w:val="26"/>
              </w:rPr>
              <w:t xml:space="preserve"> </w:t>
            </w:r>
            <w:r w:rsidR="009F2E70">
              <w:rPr>
                <w:sz w:val="26"/>
                <w:szCs w:val="26"/>
              </w:rPr>
              <w:t>tehnisko</w:t>
            </w:r>
            <w:r w:rsidR="008A4F75" w:rsidRPr="008A4F75">
              <w:rPr>
                <w:sz w:val="26"/>
                <w:szCs w:val="26"/>
              </w:rPr>
              <w:t xml:space="preserve"> un hidraulisko pārbaudi nav iespējams veikt vai</w:t>
            </w:r>
            <w:r w:rsidR="007925E1">
              <w:rPr>
                <w:sz w:val="26"/>
                <w:szCs w:val="26"/>
              </w:rPr>
              <w:t xml:space="preserve"> to veikšana</w:t>
            </w:r>
            <w:r w:rsidR="008A4F75" w:rsidRPr="008A4F75">
              <w:rPr>
                <w:sz w:val="26"/>
                <w:szCs w:val="26"/>
              </w:rPr>
              <w:t xml:space="preserve"> </w:t>
            </w:r>
            <w:r w:rsidR="00E010AD">
              <w:rPr>
                <w:sz w:val="26"/>
                <w:szCs w:val="26"/>
              </w:rPr>
              <w:t>nav lietderīga</w:t>
            </w:r>
            <w:r w:rsidR="007925E1">
              <w:rPr>
                <w:sz w:val="26"/>
                <w:szCs w:val="26"/>
              </w:rPr>
              <w:t>,</w:t>
            </w:r>
            <w:r w:rsidR="007925E1">
              <w:t xml:space="preserve"> </w:t>
            </w:r>
            <w:r w:rsidR="007925E1" w:rsidRPr="007925E1">
              <w:rPr>
                <w:sz w:val="26"/>
                <w:szCs w:val="26"/>
              </w:rPr>
              <w:t>tehniskās pārbaudes saturu un periodiskumu nosaka, ņemot vērā ražotāja instrukcijā sniegtos norādījumus</w:t>
            </w:r>
            <w:r w:rsidR="008A4F75" w:rsidRPr="008A4F75">
              <w:rPr>
                <w:sz w:val="26"/>
                <w:szCs w:val="26"/>
              </w:rPr>
              <w:t>.</w:t>
            </w:r>
          </w:p>
          <w:p w14:paraId="556B2B32" w14:textId="07373E99" w:rsidR="00170D7B" w:rsidRPr="009630B8" w:rsidRDefault="00170D7B" w:rsidP="009630B8">
            <w:pPr>
              <w:pStyle w:val="NoSpacing"/>
              <w:jc w:val="both"/>
              <w:rPr>
                <w:sz w:val="26"/>
                <w:szCs w:val="26"/>
              </w:rPr>
            </w:pPr>
            <w:r w:rsidRPr="009630B8">
              <w:rPr>
                <w:sz w:val="26"/>
                <w:szCs w:val="26"/>
              </w:rPr>
              <w:t>Vienlaikus Noteikumu proj</w:t>
            </w:r>
            <w:r w:rsidR="009630B8" w:rsidRPr="009630B8">
              <w:rPr>
                <w:sz w:val="26"/>
                <w:szCs w:val="26"/>
              </w:rPr>
              <w:t>e</w:t>
            </w:r>
            <w:r w:rsidRPr="009630B8">
              <w:rPr>
                <w:sz w:val="26"/>
                <w:szCs w:val="26"/>
              </w:rPr>
              <w:t>ktā tiek precizēts Noteikumu 2.9.apakšpunkta redak</w:t>
            </w:r>
            <w:r w:rsidR="009630B8" w:rsidRPr="009630B8">
              <w:rPr>
                <w:sz w:val="26"/>
                <w:szCs w:val="26"/>
              </w:rPr>
              <w:t xml:space="preserve">cija atbilstoši spēkā esošajam </w:t>
            </w:r>
            <w:r w:rsidRPr="009630B8">
              <w:rPr>
                <w:sz w:val="26"/>
                <w:szCs w:val="26"/>
              </w:rPr>
              <w:t xml:space="preserve">normatīvā akta regulējumam, proti, Ministru kabineta 2009.gada 28.jūlija noteikumiem Nr.815 “Noteikumi par būtiskām prasībām aerosola flakoniem un to marķēšanas </w:t>
            </w:r>
            <w:r w:rsidRPr="009630B8">
              <w:rPr>
                <w:sz w:val="26"/>
                <w:szCs w:val="26"/>
              </w:rPr>
              <w:lastRenderedPageBreak/>
              <w:t>un klasificēšanas kārtību”</w:t>
            </w:r>
            <w:r w:rsidR="009630B8" w:rsidRPr="009630B8">
              <w:rPr>
                <w:sz w:val="26"/>
                <w:szCs w:val="26"/>
              </w:rPr>
              <w:t>,</w:t>
            </w:r>
            <w:r w:rsidRPr="009630B8">
              <w:rPr>
                <w:sz w:val="26"/>
                <w:szCs w:val="26"/>
              </w:rPr>
              <w:t xml:space="preserve"> kā arī Noteikumu </w:t>
            </w:r>
            <w:r w:rsidRPr="009630B8">
              <w:rPr>
                <w:sz w:val="26"/>
                <w:szCs w:val="26"/>
                <w:lang w:val="en-US"/>
              </w:rPr>
              <w:t>5.</w:t>
            </w:r>
            <w:r w:rsidRPr="009630B8">
              <w:rPr>
                <w:sz w:val="26"/>
                <w:szCs w:val="26"/>
                <w:vertAlign w:val="superscript"/>
                <w:lang w:val="en-US"/>
              </w:rPr>
              <w:t>1</w:t>
            </w:r>
            <w:r w:rsidRPr="009630B8">
              <w:rPr>
                <w:sz w:val="26"/>
                <w:szCs w:val="26"/>
                <w:lang w:val="en-US"/>
              </w:rPr>
              <w:t xml:space="preserve"> 1.apakšpunkts, jo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akreditācijas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principi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jau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ir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noteikti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Ministru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kabineta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2008.gada 16.decembra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noteikumos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Nr.1059 „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Noteikumi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atbilstības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novērtēšanas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institūciju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novērtēšanu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akreditāciju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uzraudzību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>”</w:t>
            </w:r>
            <w:r w:rsidR="009630B8" w:rsidRPr="009630B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9630B8" w:rsidRPr="009630B8">
              <w:rPr>
                <w:sz w:val="26"/>
                <w:szCs w:val="26"/>
                <w:lang w:val="en-US"/>
              </w:rPr>
              <w:t>tādēļ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nav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nepieciešams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tiešo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atsauču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uz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akreditācijas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standartiem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izmantošana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normatīvo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aktu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prasību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30B8">
              <w:rPr>
                <w:sz w:val="26"/>
                <w:szCs w:val="26"/>
                <w:lang w:val="en-US"/>
              </w:rPr>
              <w:t>dublēšana</w:t>
            </w:r>
            <w:proofErr w:type="spellEnd"/>
            <w:r w:rsidRPr="009630B8">
              <w:rPr>
                <w:sz w:val="26"/>
                <w:szCs w:val="26"/>
                <w:lang w:val="en-US"/>
              </w:rPr>
              <w:t>.</w:t>
            </w:r>
          </w:p>
        </w:tc>
      </w:tr>
      <w:tr w:rsidR="00222CB3" w:rsidRPr="00974DF2" w14:paraId="57CE4555" w14:textId="77777777" w:rsidTr="00BF2000">
        <w:tc>
          <w:tcPr>
            <w:tcW w:w="802" w:type="dxa"/>
          </w:tcPr>
          <w:p w14:paraId="3BF74C71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38" w:type="dxa"/>
          </w:tcPr>
          <w:p w14:paraId="193C5216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311" w:type="dxa"/>
          </w:tcPr>
          <w:p w14:paraId="3A25D0F6" w14:textId="77777777" w:rsidR="00222CB3" w:rsidRPr="00974DF2" w:rsidRDefault="00650643" w:rsidP="00C80AE4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Patērētāju tiesību aizsardzības centrs</w:t>
            </w:r>
          </w:p>
        </w:tc>
      </w:tr>
      <w:tr w:rsidR="00222CB3" w:rsidRPr="00974DF2" w14:paraId="21CDBBD2" w14:textId="77777777" w:rsidTr="00BF2000">
        <w:tc>
          <w:tcPr>
            <w:tcW w:w="802" w:type="dxa"/>
          </w:tcPr>
          <w:p w14:paraId="1F46B129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4.</w:t>
            </w:r>
          </w:p>
        </w:tc>
        <w:tc>
          <w:tcPr>
            <w:tcW w:w="2238" w:type="dxa"/>
          </w:tcPr>
          <w:p w14:paraId="76073F38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Cita informācija</w:t>
            </w:r>
          </w:p>
        </w:tc>
        <w:tc>
          <w:tcPr>
            <w:tcW w:w="6311" w:type="dxa"/>
          </w:tcPr>
          <w:p w14:paraId="0F113292" w14:textId="77777777" w:rsidR="00222CB3" w:rsidRPr="00974DF2" w:rsidRDefault="00C967EC" w:rsidP="005A690D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</w:t>
            </w:r>
          </w:p>
        </w:tc>
      </w:tr>
    </w:tbl>
    <w:p w14:paraId="6CAB2447" w14:textId="29333F65" w:rsidR="006B0C8B" w:rsidRPr="00974DF2" w:rsidRDefault="00964E94" w:rsidP="00964E94">
      <w:pPr>
        <w:pStyle w:val="NoSpacing"/>
        <w:tabs>
          <w:tab w:val="left" w:pos="13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2"/>
        <w:gridCol w:w="2248"/>
        <w:gridCol w:w="6301"/>
      </w:tblGrid>
      <w:tr w:rsidR="00222CB3" w:rsidRPr="00B57E2A" w14:paraId="7C19CCF3" w14:textId="77777777" w:rsidTr="008D7B3D">
        <w:tc>
          <w:tcPr>
            <w:tcW w:w="9351" w:type="dxa"/>
            <w:gridSpan w:val="3"/>
          </w:tcPr>
          <w:p w14:paraId="7C9BB272" w14:textId="77777777" w:rsidR="00222CB3" w:rsidRPr="00B57E2A" w:rsidRDefault="00222CB3" w:rsidP="0078605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57E2A">
              <w:rPr>
                <w:b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222CB3" w:rsidRPr="00B57E2A" w14:paraId="6D9ACA77" w14:textId="77777777" w:rsidTr="008D7B3D">
        <w:tc>
          <w:tcPr>
            <w:tcW w:w="802" w:type="dxa"/>
          </w:tcPr>
          <w:p w14:paraId="04D88B21" w14:textId="77777777" w:rsidR="00222CB3" w:rsidRPr="00B57E2A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1.</w:t>
            </w:r>
          </w:p>
        </w:tc>
        <w:tc>
          <w:tcPr>
            <w:tcW w:w="2248" w:type="dxa"/>
          </w:tcPr>
          <w:p w14:paraId="025E266B" w14:textId="77777777" w:rsidR="00222CB3" w:rsidRPr="00B57E2A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 xml:space="preserve">Sabiedrības </w:t>
            </w:r>
            <w:proofErr w:type="spellStart"/>
            <w:r w:rsidRPr="00B57E2A">
              <w:rPr>
                <w:sz w:val="26"/>
                <w:szCs w:val="26"/>
              </w:rPr>
              <w:t>mērķgrupas</w:t>
            </w:r>
            <w:proofErr w:type="spellEnd"/>
            <w:r w:rsidRPr="00B57E2A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6301" w:type="dxa"/>
          </w:tcPr>
          <w:p w14:paraId="70F4778A" w14:textId="408B83F6" w:rsidR="00475F5B" w:rsidRPr="00B57E2A" w:rsidRDefault="00FD0EFC" w:rsidP="00E80967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 xml:space="preserve">Noteikumu projekts attiecas uz </w:t>
            </w:r>
            <w:r w:rsidR="00E80967">
              <w:rPr>
                <w:sz w:val="26"/>
                <w:szCs w:val="26"/>
              </w:rPr>
              <w:t>spiedieniekārtu kompleksu valdītājiem, spiedieniekārtu kompleksu inspicēšanas institūcijām</w:t>
            </w:r>
            <w:r w:rsidR="0059736E" w:rsidRPr="00B57E2A">
              <w:rPr>
                <w:sz w:val="26"/>
                <w:szCs w:val="26"/>
              </w:rPr>
              <w:t>, kā arī tirgus uzraudzības institūciju</w:t>
            </w:r>
            <w:r w:rsidR="00022759" w:rsidRPr="00B57E2A">
              <w:rPr>
                <w:sz w:val="26"/>
                <w:szCs w:val="26"/>
              </w:rPr>
              <w:t xml:space="preserve"> - Patērē</w:t>
            </w:r>
            <w:r w:rsidR="0059736E" w:rsidRPr="00B57E2A">
              <w:rPr>
                <w:sz w:val="26"/>
                <w:szCs w:val="26"/>
              </w:rPr>
              <w:t>tāju tiesību aizsardzības centru</w:t>
            </w:r>
          </w:p>
        </w:tc>
      </w:tr>
      <w:tr w:rsidR="00222CB3" w:rsidRPr="00B57E2A" w14:paraId="0D5E6407" w14:textId="77777777" w:rsidTr="008D7B3D">
        <w:tc>
          <w:tcPr>
            <w:tcW w:w="802" w:type="dxa"/>
          </w:tcPr>
          <w:p w14:paraId="66562632" w14:textId="77777777" w:rsidR="00222CB3" w:rsidRPr="00B57E2A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2.</w:t>
            </w:r>
          </w:p>
        </w:tc>
        <w:tc>
          <w:tcPr>
            <w:tcW w:w="2248" w:type="dxa"/>
          </w:tcPr>
          <w:p w14:paraId="12044CD2" w14:textId="77777777" w:rsidR="00222CB3" w:rsidRPr="00B57E2A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6301" w:type="dxa"/>
          </w:tcPr>
          <w:p w14:paraId="4A03C30B" w14:textId="4669E61E" w:rsidR="008765C5" w:rsidRPr="00B57E2A" w:rsidRDefault="0059736E" w:rsidP="007925E1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 xml:space="preserve">Ar projektu tiek </w:t>
            </w:r>
            <w:r w:rsidR="00E80967">
              <w:rPr>
                <w:sz w:val="26"/>
                <w:szCs w:val="26"/>
              </w:rPr>
              <w:t>atvieglota spiedieniekārtu kompleksu tehnisko pārbaužu veikšanas kārt</w:t>
            </w:r>
            <w:r w:rsidR="005512C2">
              <w:rPr>
                <w:sz w:val="26"/>
                <w:szCs w:val="26"/>
              </w:rPr>
              <w:t xml:space="preserve">ība, paredzot iespēju veikt tehniskās pārbaudes arī spiedieniekārtu kompleksiem, </w:t>
            </w:r>
            <w:r w:rsidR="005512C2" w:rsidRPr="005512C2">
              <w:rPr>
                <w:sz w:val="26"/>
                <w:szCs w:val="26"/>
              </w:rPr>
              <w:t xml:space="preserve">kuru </w:t>
            </w:r>
            <w:r w:rsidR="004B4453" w:rsidRPr="004B4453">
              <w:rPr>
                <w:sz w:val="26"/>
                <w:szCs w:val="26"/>
              </w:rPr>
              <w:t xml:space="preserve">tehnisko pārbaužu veikšana atbilstoši </w:t>
            </w:r>
            <w:r w:rsidR="004B4453">
              <w:rPr>
                <w:sz w:val="26"/>
                <w:szCs w:val="26"/>
              </w:rPr>
              <w:t>Noteikumu prasībām</w:t>
            </w:r>
            <w:r w:rsidR="004B4453" w:rsidRPr="004B4453">
              <w:rPr>
                <w:sz w:val="26"/>
                <w:szCs w:val="26"/>
              </w:rPr>
              <w:t xml:space="preserve"> ir ierobežota vai pat nav iespējama</w:t>
            </w:r>
            <w:r w:rsidR="005512C2">
              <w:rPr>
                <w:sz w:val="26"/>
                <w:szCs w:val="26"/>
              </w:rPr>
              <w:t>.</w:t>
            </w:r>
            <w:r w:rsidR="005512C2">
              <w:t xml:space="preserve"> </w:t>
            </w:r>
            <w:r w:rsidR="005512C2" w:rsidRPr="005512C2">
              <w:rPr>
                <w:sz w:val="26"/>
                <w:szCs w:val="26"/>
              </w:rPr>
              <w:t>Kopumā noteikumu proje</w:t>
            </w:r>
            <w:r w:rsidR="00557503">
              <w:rPr>
                <w:sz w:val="26"/>
                <w:szCs w:val="26"/>
              </w:rPr>
              <w:t>kts uzlabo uzņēmējdarbības vidi</w:t>
            </w:r>
          </w:p>
        </w:tc>
      </w:tr>
      <w:tr w:rsidR="00222CB3" w:rsidRPr="00B57E2A" w14:paraId="63A03E39" w14:textId="77777777" w:rsidTr="008D7B3D">
        <w:tc>
          <w:tcPr>
            <w:tcW w:w="802" w:type="dxa"/>
          </w:tcPr>
          <w:p w14:paraId="79300AA6" w14:textId="77777777" w:rsidR="00222CB3" w:rsidRPr="00B57E2A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3.</w:t>
            </w:r>
          </w:p>
        </w:tc>
        <w:tc>
          <w:tcPr>
            <w:tcW w:w="2248" w:type="dxa"/>
          </w:tcPr>
          <w:p w14:paraId="431585A7" w14:textId="77777777" w:rsidR="00222CB3" w:rsidRPr="00B57E2A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6301" w:type="dxa"/>
          </w:tcPr>
          <w:p w14:paraId="2BB5418B" w14:textId="77777777" w:rsidR="00222CB3" w:rsidRPr="00B57E2A" w:rsidRDefault="00022759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Projekts šo jomu neskar</w:t>
            </w:r>
          </w:p>
        </w:tc>
      </w:tr>
      <w:tr w:rsidR="00222CB3" w:rsidRPr="00974DF2" w14:paraId="124E3056" w14:textId="77777777" w:rsidTr="008D7B3D">
        <w:tc>
          <w:tcPr>
            <w:tcW w:w="802" w:type="dxa"/>
          </w:tcPr>
          <w:p w14:paraId="157FEA8D" w14:textId="77777777" w:rsidR="00222CB3" w:rsidRPr="00B57E2A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4.</w:t>
            </w:r>
          </w:p>
        </w:tc>
        <w:tc>
          <w:tcPr>
            <w:tcW w:w="2248" w:type="dxa"/>
          </w:tcPr>
          <w:p w14:paraId="6755CE87" w14:textId="77777777" w:rsidR="00222CB3" w:rsidRPr="00B57E2A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Cita informācija</w:t>
            </w:r>
          </w:p>
        </w:tc>
        <w:tc>
          <w:tcPr>
            <w:tcW w:w="6301" w:type="dxa"/>
          </w:tcPr>
          <w:p w14:paraId="61E110CB" w14:textId="77777777" w:rsidR="00222CB3" w:rsidRPr="00974DF2" w:rsidRDefault="00222CB3" w:rsidP="00222CB3">
            <w:pPr>
              <w:pStyle w:val="NoSpacing"/>
              <w:jc w:val="both"/>
              <w:rPr>
                <w:sz w:val="26"/>
                <w:szCs w:val="26"/>
              </w:rPr>
            </w:pPr>
            <w:r w:rsidRPr="00B57E2A">
              <w:rPr>
                <w:sz w:val="26"/>
                <w:szCs w:val="26"/>
              </w:rPr>
              <w:t>Nav</w:t>
            </w:r>
            <w:r w:rsidRPr="00974DF2">
              <w:rPr>
                <w:sz w:val="26"/>
                <w:szCs w:val="26"/>
              </w:rPr>
              <w:t xml:space="preserve"> </w:t>
            </w:r>
          </w:p>
        </w:tc>
      </w:tr>
    </w:tbl>
    <w:p w14:paraId="5CA11EFE" w14:textId="77777777" w:rsidR="00222CB3" w:rsidRPr="00974DF2" w:rsidRDefault="00222CB3" w:rsidP="00222CB3">
      <w:pPr>
        <w:pStyle w:val="NoSpacing"/>
        <w:jc w:val="both"/>
        <w:rPr>
          <w:i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0"/>
        <w:gridCol w:w="3200"/>
        <w:gridCol w:w="5351"/>
      </w:tblGrid>
      <w:tr w:rsidR="0002174A" w:rsidRPr="000856DC" w14:paraId="1E9EAFEB" w14:textId="77777777" w:rsidTr="00746830">
        <w:tc>
          <w:tcPr>
            <w:tcW w:w="9351" w:type="dxa"/>
            <w:gridSpan w:val="3"/>
          </w:tcPr>
          <w:p w14:paraId="2C2EE89E" w14:textId="77777777" w:rsidR="0002174A" w:rsidRPr="000856DC" w:rsidRDefault="0002174A" w:rsidP="00746830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0856DC">
              <w:rPr>
                <w:b/>
                <w:sz w:val="26"/>
                <w:szCs w:val="26"/>
              </w:rPr>
              <w:t xml:space="preserve">VI. </w:t>
            </w:r>
            <w:r w:rsidRPr="000856DC">
              <w:rPr>
                <w:b/>
                <w:bCs/>
                <w:sz w:val="26"/>
                <w:szCs w:val="26"/>
              </w:rPr>
              <w:t>Sabiedrības līdzdalība un komunikācijas aktivitātes</w:t>
            </w:r>
          </w:p>
        </w:tc>
      </w:tr>
      <w:tr w:rsidR="0002174A" w:rsidRPr="000856DC" w14:paraId="70DD6241" w14:textId="77777777" w:rsidTr="00746830">
        <w:tc>
          <w:tcPr>
            <w:tcW w:w="800" w:type="dxa"/>
          </w:tcPr>
          <w:p w14:paraId="48CF9EE4" w14:textId="77777777" w:rsidR="0002174A" w:rsidRPr="000856DC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0856DC">
              <w:rPr>
                <w:sz w:val="26"/>
                <w:szCs w:val="26"/>
              </w:rPr>
              <w:t>1.</w:t>
            </w:r>
          </w:p>
        </w:tc>
        <w:tc>
          <w:tcPr>
            <w:tcW w:w="3200" w:type="dxa"/>
          </w:tcPr>
          <w:p w14:paraId="600F6678" w14:textId="77777777" w:rsidR="0002174A" w:rsidRPr="000856DC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0856DC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5351" w:type="dxa"/>
          </w:tcPr>
          <w:p w14:paraId="49DAFB09" w14:textId="7CAB2740" w:rsidR="0002174A" w:rsidRPr="000856DC" w:rsidRDefault="00B7346F" w:rsidP="009630B8">
            <w:pPr>
              <w:pStyle w:val="NoSpacing"/>
              <w:jc w:val="both"/>
              <w:rPr>
                <w:sz w:val="26"/>
                <w:szCs w:val="26"/>
              </w:rPr>
            </w:pPr>
            <w:r w:rsidRPr="00B7346F">
              <w:rPr>
                <w:sz w:val="26"/>
                <w:szCs w:val="26"/>
              </w:rPr>
              <w:t>Sabiedrības līdzdalība Noteikumu proj</w:t>
            </w:r>
            <w:r w:rsidR="00715706">
              <w:rPr>
                <w:sz w:val="26"/>
                <w:szCs w:val="26"/>
              </w:rPr>
              <w:t>ekta izstrādē tika īstenota 2016</w:t>
            </w:r>
            <w:r w:rsidRPr="00B7346F">
              <w:rPr>
                <w:sz w:val="26"/>
                <w:szCs w:val="26"/>
              </w:rPr>
              <w:t xml:space="preserve">.gada </w:t>
            </w:r>
            <w:r w:rsidR="00715706">
              <w:rPr>
                <w:sz w:val="26"/>
                <w:szCs w:val="26"/>
              </w:rPr>
              <w:t>23</w:t>
            </w:r>
            <w:r w:rsidRPr="00B7346F">
              <w:rPr>
                <w:sz w:val="26"/>
                <w:szCs w:val="26"/>
              </w:rPr>
              <w:t>.</w:t>
            </w:r>
            <w:r w:rsidR="00715706">
              <w:rPr>
                <w:sz w:val="26"/>
                <w:szCs w:val="26"/>
              </w:rPr>
              <w:t xml:space="preserve">maija Ekonomikas ministrijas rīkotajā sanāksmē, kurā tika iesaistītas visas </w:t>
            </w:r>
            <w:r w:rsidR="009630B8">
              <w:rPr>
                <w:sz w:val="26"/>
                <w:szCs w:val="26"/>
              </w:rPr>
              <w:t>spiedieniekārtu</w:t>
            </w:r>
            <w:r w:rsidR="00715706" w:rsidRPr="00715706">
              <w:rPr>
                <w:sz w:val="26"/>
                <w:szCs w:val="26"/>
              </w:rPr>
              <w:t xml:space="preserve"> </w:t>
            </w:r>
            <w:proofErr w:type="spellStart"/>
            <w:r w:rsidR="00715706" w:rsidRPr="00715706">
              <w:rPr>
                <w:sz w:val="26"/>
                <w:szCs w:val="26"/>
              </w:rPr>
              <w:t>ko</w:t>
            </w:r>
            <w:r w:rsidR="009630B8">
              <w:rPr>
                <w:sz w:val="26"/>
                <w:szCs w:val="26"/>
              </w:rPr>
              <w:t>mpleku</w:t>
            </w:r>
            <w:proofErr w:type="spellEnd"/>
            <w:r w:rsidR="00715706">
              <w:rPr>
                <w:sz w:val="26"/>
                <w:szCs w:val="26"/>
              </w:rPr>
              <w:t xml:space="preserve"> inspicēšanas institūcijas</w:t>
            </w:r>
            <w:r w:rsidR="009630B8">
              <w:rPr>
                <w:sz w:val="26"/>
                <w:szCs w:val="26"/>
              </w:rPr>
              <w:t>.</w:t>
            </w:r>
          </w:p>
        </w:tc>
      </w:tr>
      <w:tr w:rsidR="0002174A" w:rsidRPr="000856DC" w14:paraId="564F3A2A" w14:textId="77777777" w:rsidTr="00746830">
        <w:tc>
          <w:tcPr>
            <w:tcW w:w="800" w:type="dxa"/>
          </w:tcPr>
          <w:p w14:paraId="780F5D95" w14:textId="77777777" w:rsidR="0002174A" w:rsidRPr="000856DC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0856DC">
              <w:rPr>
                <w:sz w:val="26"/>
                <w:szCs w:val="26"/>
              </w:rPr>
              <w:t>2.</w:t>
            </w:r>
          </w:p>
        </w:tc>
        <w:tc>
          <w:tcPr>
            <w:tcW w:w="3200" w:type="dxa"/>
          </w:tcPr>
          <w:p w14:paraId="008614A5" w14:textId="77777777" w:rsidR="0002174A" w:rsidRPr="000856DC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0856DC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5351" w:type="dxa"/>
          </w:tcPr>
          <w:p w14:paraId="32D2A6A1" w14:textId="0A8D2FBD" w:rsidR="0002174A" w:rsidRPr="00715706" w:rsidRDefault="00A64942" w:rsidP="009630B8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Pr="00A64942">
              <w:rPr>
                <w:sz w:val="26"/>
                <w:szCs w:val="26"/>
              </w:rPr>
              <w:t xml:space="preserve">isas spiedieniekārtu </w:t>
            </w:r>
            <w:proofErr w:type="spellStart"/>
            <w:r w:rsidRPr="00A64942">
              <w:rPr>
                <w:sz w:val="26"/>
                <w:szCs w:val="26"/>
              </w:rPr>
              <w:t>kompleku</w:t>
            </w:r>
            <w:proofErr w:type="spellEnd"/>
            <w:r w:rsidRPr="00A64942">
              <w:rPr>
                <w:sz w:val="26"/>
                <w:szCs w:val="26"/>
              </w:rPr>
              <w:t xml:space="preserve"> inspicēšanas institūcijas</w:t>
            </w:r>
            <w:r>
              <w:rPr>
                <w:sz w:val="26"/>
                <w:szCs w:val="26"/>
              </w:rPr>
              <w:t xml:space="preserve"> tika iesaistītas Noteikumu projekta izstrādē un p</w:t>
            </w:r>
            <w:r w:rsidRPr="00A64942">
              <w:rPr>
                <w:sz w:val="26"/>
                <w:szCs w:val="26"/>
              </w:rPr>
              <w:t>ēc Noteikumu projekta izstrādes</w:t>
            </w:r>
            <w:r>
              <w:rPr>
                <w:sz w:val="26"/>
                <w:szCs w:val="26"/>
              </w:rPr>
              <w:t xml:space="preserve"> tās tika informētas par Noteikumu projekta gala redakciju</w:t>
            </w:r>
            <w:r>
              <w:t xml:space="preserve"> </w:t>
            </w:r>
            <w:r w:rsidRPr="00A64942">
              <w:rPr>
                <w:sz w:val="26"/>
                <w:szCs w:val="26"/>
              </w:rPr>
              <w:t>un iespēju sniegt savu viedokli</w:t>
            </w:r>
            <w:r>
              <w:rPr>
                <w:sz w:val="26"/>
                <w:szCs w:val="26"/>
              </w:rPr>
              <w:t xml:space="preserve"> par to.</w:t>
            </w:r>
          </w:p>
        </w:tc>
      </w:tr>
      <w:tr w:rsidR="0002174A" w:rsidRPr="000856DC" w14:paraId="1E4E729C" w14:textId="77777777" w:rsidTr="00746830">
        <w:tc>
          <w:tcPr>
            <w:tcW w:w="800" w:type="dxa"/>
          </w:tcPr>
          <w:p w14:paraId="38775422" w14:textId="77777777" w:rsidR="0002174A" w:rsidRPr="000856DC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0856DC">
              <w:rPr>
                <w:sz w:val="26"/>
                <w:szCs w:val="26"/>
              </w:rPr>
              <w:t>3.</w:t>
            </w:r>
          </w:p>
        </w:tc>
        <w:tc>
          <w:tcPr>
            <w:tcW w:w="3200" w:type="dxa"/>
          </w:tcPr>
          <w:p w14:paraId="54E369AD" w14:textId="77777777" w:rsidR="0002174A" w:rsidRPr="000856DC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0856DC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5351" w:type="dxa"/>
          </w:tcPr>
          <w:p w14:paraId="5F136BD8" w14:textId="28A8E003" w:rsidR="00170D7B" w:rsidRPr="00A64942" w:rsidRDefault="009630B8" w:rsidP="00A64942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Visas spiedieniekārtu komplek</w:t>
            </w:r>
            <w:r w:rsidR="00A64942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u</w:t>
            </w:r>
            <w:r w:rsidRPr="009630B8">
              <w:rPr>
                <w:sz w:val="26"/>
                <w:szCs w:val="26"/>
              </w:rPr>
              <w:t xml:space="preserve"> inspicēšanas institūcijas</w:t>
            </w:r>
            <w:r>
              <w:rPr>
                <w:sz w:val="26"/>
                <w:szCs w:val="26"/>
              </w:rPr>
              <w:t xml:space="preserve"> atbalsta Noteikumu projekta tālāko virzību</w:t>
            </w:r>
          </w:p>
          <w:p w14:paraId="769154F3" w14:textId="071D1A3C" w:rsidR="0002174A" w:rsidRPr="00170D7B" w:rsidRDefault="00170D7B" w:rsidP="00170D7B">
            <w:pPr>
              <w:tabs>
                <w:tab w:val="left" w:pos="1665"/>
              </w:tabs>
              <w:rPr>
                <w:lang w:eastAsia="lv-LV"/>
              </w:rPr>
            </w:pPr>
            <w:r>
              <w:rPr>
                <w:lang w:eastAsia="lv-LV"/>
              </w:rPr>
              <w:tab/>
            </w:r>
          </w:p>
        </w:tc>
      </w:tr>
      <w:tr w:rsidR="0002174A" w:rsidRPr="00974DF2" w14:paraId="6EFD093C" w14:textId="77777777" w:rsidTr="00746830">
        <w:tc>
          <w:tcPr>
            <w:tcW w:w="800" w:type="dxa"/>
          </w:tcPr>
          <w:p w14:paraId="428F80B2" w14:textId="77777777" w:rsidR="0002174A" w:rsidRPr="000856DC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0856DC">
              <w:rPr>
                <w:sz w:val="26"/>
                <w:szCs w:val="26"/>
              </w:rPr>
              <w:t>4.</w:t>
            </w:r>
          </w:p>
        </w:tc>
        <w:tc>
          <w:tcPr>
            <w:tcW w:w="3200" w:type="dxa"/>
          </w:tcPr>
          <w:p w14:paraId="16490515" w14:textId="77777777" w:rsidR="0002174A" w:rsidRPr="000856DC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0856DC">
              <w:rPr>
                <w:sz w:val="26"/>
                <w:szCs w:val="26"/>
              </w:rPr>
              <w:t>Cita informācija</w:t>
            </w:r>
          </w:p>
        </w:tc>
        <w:tc>
          <w:tcPr>
            <w:tcW w:w="5351" w:type="dxa"/>
          </w:tcPr>
          <w:p w14:paraId="0A54B6FF" w14:textId="77777777" w:rsidR="0002174A" w:rsidRPr="00974DF2" w:rsidRDefault="005512C2" w:rsidP="0002174A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</w:t>
            </w:r>
          </w:p>
        </w:tc>
      </w:tr>
    </w:tbl>
    <w:p w14:paraId="7C583044" w14:textId="77777777" w:rsidR="0002174A" w:rsidRPr="00974DF2" w:rsidRDefault="0002174A" w:rsidP="00222CB3">
      <w:pPr>
        <w:pStyle w:val="NoSpacing"/>
        <w:jc w:val="both"/>
        <w:rPr>
          <w:i/>
          <w:sz w:val="26"/>
          <w:szCs w:val="26"/>
        </w:rPr>
      </w:pPr>
    </w:p>
    <w:p w14:paraId="5E408914" w14:textId="77777777" w:rsidR="00222CB3" w:rsidRPr="00974DF2" w:rsidRDefault="00222CB3" w:rsidP="00222CB3">
      <w:pPr>
        <w:pStyle w:val="NoSpacing"/>
        <w:jc w:val="both"/>
        <w:rPr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0"/>
        <w:gridCol w:w="3200"/>
        <w:gridCol w:w="5351"/>
      </w:tblGrid>
      <w:tr w:rsidR="0002174A" w:rsidRPr="00974DF2" w14:paraId="270181AC" w14:textId="77777777" w:rsidTr="00746830">
        <w:tc>
          <w:tcPr>
            <w:tcW w:w="9351" w:type="dxa"/>
            <w:gridSpan w:val="3"/>
          </w:tcPr>
          <w:p w14:paraId="6CD79F27" w14:textId="77777777" w:rsidR="0002174A" w:rsidRPr="00974DF2" w:rsidRDefault="0002174A" w:rsidP="00746830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974DF2">
              <w:rPr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02174A" w:rsidRPr="00974DF2" w14:paraId="400C906F" w14:textId="77777777" w:rsidTr="00746830">
        <w:tc>
          <w:tcPr>
            <w:tcW w:w="800" w:type="dxa"/>
          </w:tcPr>
          <w:p w14:paraId="7FD8698A" w14:textId="77777777" w:rsidR="0002174A" w:rsidRPr="00974DF2" w:rsidRDefault="0002174A" w:rsidP="00746830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1.</w:t>
            </w:r>
          </w:p>
        </w:tc>
        <w:tc>
          <w:tcPr>
            <w:tcW w:w="3200" w:type="dxa"/>
          </w:tcPr>
          <w:p w14:paraId="2C55CCF8" w14:textId="77777777" w:rsidR="0002174A" w:rsidRPr="00974DF2" w:rsidRDefault="0002174A" w:rsidP="00746830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351" w:type="dxa"/>
          </w:tcPr>
          <w:p w14:paraId="72A5070E" w14:textId="77777777" w:rsidR="0002174A" w:rsidRPr="00974DF2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Patērētāju tiesību aizsardzības centrs</w:t>
            </w:r>
          </w:p>
        </w:tc>
      </w:tr>
      <w:tr w:rsidR="0002174A" w:rsidRPr="00974DF2" w14:paraId="4919E4BC" w14:textId="77777777" w:rsidTr="00746830">
        <w:tc>
          <w:tcPr>
            <w:tcW w:w="800" w:type="dxa"/>
          </w:tcPr>
          <w:p w14:paraId="3D0DBEFA" w14:textId="77777777" w:rsidR="0002174A" w:rsidRPr="00974DF2" w:rsidRDefault="0002174A" w:rsidP="00746830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2.</w:t>
            </w:r>
          </w:p>
        </w:tc>
        <w:tc>
          <w:tcPr>
            <w:tcW w:w="3200" w:type="dxa"/>
          </w:tcPr>
          <w:p w14:paraId="53644FB1" w14:textId="77777777" w:rsidR="0002174A" w:rsidRPr="00974DF2" w:rsidRDefault="0002174A" w:rsidP="00746830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Projekta izpildes ietekme uz pārvaldes funkcijām un institucionālo struktūru. Jaunu institūciju izveide, esošo institūciju likvidācija vai reorganizācija, to ietekme uz institūcijas cilvēkresursiem</w:t>
            </w:r>
          </w:p>
        </w:tc>
        <w:tc>
          <w:tcPr>
            <w:tcW w:w="5351" w:type="dxa"/>
          </w:tcPr>
          <w:p w14:paraId="4A520F18" w14:textId="77777777" w:rsidR="0002174A" w:rsidRPr="00974DF2" w:rsidRDefault="0002174A" w:rsidP="0002174A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Projekts šo jomu neskar</w:t>
            </w:r>
          </w:p>
        </w:tc>
      </w:tr>
      <w:tr w:rsidR="0002174A" w:rsidRPr="00974DF2" w14:paraId="524C0BE3" w14:textId="77777777" w:rsidTr="00746830">
        <w:tc>
          <w:tcPr>
            <w:tcW w:w="800" w:type="dxa"/>
          </w:tcPr>
          <w:p w14:paraId="0168D20C" w14:textId="77777777" w:rsidR="0002174A" w:rsidRPr="00974DF2" w:rsidRDefault="0002174A" w:rsidP="00746830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3.</w:t>
            </w:r>
          </w:p>
        </w:tc>
        <w:tc>
          <w:tcPr>
            <w:tcW w:w="3200" w:type="dxa"/>
          </w:tcPr>
          <w:p w14:paraId="2D4ED05B" w14:textId="77777777" w:rsidR="0002174A" w:rsidRPr="00974DF2" w:rsidRDefault="0002174A" w:rsidP="00746830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Cita informācija</w:t>
            </w:r>
          </w:p>
        </w:tc>
        <w:tc>
          <w:tcPr>
            <w:tcW w:w="5351" w:type="dxa"/>
          </w:tcPr>
          <w:p w14:paraId="439BFD2A" w14:textId="77777777" w:rsidR="0002174A" w:rsidRPr="00974DF2" w:rsidRDefault="0002174A" w:rsidP="00746830">
            <w:pPr>
              <w:pStyle w:val="NoSpacing"/>
              <w:jc w:val="both"/>
              <w:rPr>
                <w:sz w:val="26"/>
                <w:szCs w:val="26"/>
              </w:rPr>
            </w:pPr>
            <w:r w:rsidRPr="00974DF2">
              <w:rPr>
                <w:sz w:val="26"/>
                <w:szCs w:val="26"/>
              </w:rPr>
              <w:t>Nav</w:t>
            </w:r>
          </w:p>
        </w:tc>
      </w:tr>
    </w:tbl>
    <w:p w14:paraId="4A70DA88" w14:textId="77777777" w:rsidR="00222CB3" w:rsidRDefault="00222CB3" w:rsidP="00222CB3">
      <w:pPr>
        <w:pStyle w:val="NoSpacing"/>
        <w:jc w:val="both"/>
        <w:rPr>
          <w:sz w:val="26"/>
          <w:szCs w:val="26"/>
        </w:rPr>
      </w:pPr>
    </w:p>
    <w:p w14:paraId="667C6FCA" w14:textId="77777777" w:rsidR="009368F6" w:rsidRPr="00974DF2" w:rsidRDefault="009368F6" w:rsidP="00222CB3">
      <w:pPr>
        <w:pStyle w:val="NoSpacing"/>
        <w:jc w:val="both"/>
        <w:rPr>
          <w:sz w:val="26"/>
          <w:szCs w:val="26"/>
        </w:rPr>
      </w:pPr>
      <w:r w:rsidRPr="00974DF2">
        <w:rPr>
          <w:i/>
          <w:sz w:val="26"/>
          <w:szCs w:val="26"/>
        </w:rPr>
        <w:t>Anotācijas III, IV un V</w:t>
      </w:r>
      <w:r>
        <w:rPr>
          <w:i/>
          <w:sz w:val="26"/>
          <w:szCs w:val="26"/>
        </w:rPr>
        <w:t xml:space="preserve"> sadaļa</w:t>
      </w:r>
      <w:r w:rsidRPr="00974DF2">
        <w:rPr>
          <w:i/>
          <w:sz w:val="26"/>
          <w:szCs w:val="26"/>
        </w:rPr>
        <w:t xml:space="preserve"> – projekts šīs jomas neskar.</w:t>
      </w:r>
    </w:p>
    <w:p w14:paraId="4ED99729" w14:textId="77777777" w:rsidR="00DB37B6" w:rsidRDefault="00DB37B6" w:rsidP="00DB37B6">
      <w:pPr>
        <w:pStyle w:val="NoSpacing"/>
        <w:jc w:val="both"/>
        <w:rPr>
          <w:color w:val="000000"/>
          <w:sz w:val="26"/>
          <w:szCs w:val="26"/>
        </w:rPr>
      </w:pPr>
    </w:p>
    <w:p w14:paraId="0C88E6A0" w14:textId="77777777" w:rsidR="00496EB5" w:rsidRPr="00974DF2" w:rsidRDefault="00496EB5" w:rsidP="00222CB3">
      <w:pPr>
        <w:pStyle w:val="NoSpacing"/>
        <w:jc w:val="both"/>
        <w:rPr>
          <w:color w:val="000000"/>
          <w:sz w:val="26"/>
          <w:szCs w:val="26"/>
        </w:rPr>
      </w:pPr>
    </w:p>
    <w:p w14:paraId="79659B9B" w14:textId="77777777" w:rsidR="002575F2" w:rsidRPr="002575F2" w:rsidRDefault="002575F2" w:rsidP="002575F2">
      <w:pPr>
        <w:keepNext/>
        <w:keepLines/>
        <w:tabs>
          <w:tab w:val="righ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2575F2">
        <w:rPr>
          <w:rFonts w:ascii="Times New Roman" w:eastAsia="Times New Roman" w:hAnsi="Times New Roman" w:cs="Times New Roman"/>
          <w:sz w:val="26"/>
          <w:szCs w:val="26"/>
          <w:lang w:val="lv-LV"/>
        </w:rPr>
        <w:t>Ministru prezidenta biedra,</w:t>
      </w:r>
    </w:p>
    <w:p w14:paraId="4A0F7CB3" w14:textId="77777777" w:rsidR="002575F2" w:rsidRPr="002575F2" w:rsidRDefault="002575F2" w:rsidP="002575F2">
      <w:pPr>
        <w:keepNext/>
        <w:keepLines/>
        <w:tabs>
          <w:tab w:val="righ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2575F2">
        <w:rPr>
          <w:rFonts w:ascii="Times New Roman" w:eastAsia="Times New Roman" w:hAnsi="Times New Roman" w:cs="Times New Roman"/>
          <w:sz w:val="26"/>
          <w:szCs w:val="26"/>
          <w:lang w:val="lv-LV"/>
        </w:rPr>
        <w:t>ekonomikas ministra pienākumu izpildītājs,</w:t>
      </w:r>
    </w:p>
    <w:p w14:paraId="6C9A72AD" w14:textId="09C73717" w:rsidR="00222CB3" w:rsidRPr="00974DF2" w:rsidRDefault="002575F2" w:rsidP="002575F2">
      <w:pPr>
        <w:pStyle w:val="NoSpacing"/>
        <w:jc w:val="both"/>
        <w:rPr>
          <w:color w:val="000000"/>
          <w:sz w:val="26"/>
          <w:szCs w:val="26"/>
        </w:rPr>
      </w:pPr>
      <w:r w:rsidRPr="002575F2">
        <w:rPr>
          <w:sz w:val="26"/>
          <w:szCs w:val="26"/>
          <w:lang w:eastAsia="en-US"/>
        </w:rPr>
        <w:t xml:space="preserve">iekšlietu ministrs </w:t>
      </w:r>
      <w:r w:rsidRPr="002575F2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proofErr w:type="spellStart"/>
      <w:r w:rsidR="00B63668">
        <w:rPr>
          <w:sz w:val="26"/>
          <w:szCs w:val="26"/>
          <w:lang w:eastAsia="en-US"/>
        </w:rPr>
        <w:t>R.Ko</w:t>
      </w:r>
      <w:bookmarkStart w:id="0" w:name="_GoBack"/>
      <w:bookmarkEnd w:id="0"/>
      <w:r w:rsidRPr="002575F2">
        <w:rPr>
          <w:sz w:val="26"/>
          <w:szCs w:val="26"/>
          <w:lang w:eastAsia="en-US"/>
        </w:rPr>
        <w:t>zlovskis</w:t>
      </w:r>
      <w:proofErr w:type="spellEnd"/>
    </w:p>
    <w:p w14:paraId="7C2E3F38" w14:textId="77777777" w:rsidR="00222CB3" w:rsidRDefault="00222CB3" w:rsidP="00222CB3">
      <w:pPr>
        <w:pStyle w:val="NoSpacing"/>
        <w:jc w:val="both"/>
      </w:pPr>
    </w:p>
    <w:p w14:paraId="153C4899" w14:textId="77777777" w:rsidR="00F601ED" w:rsidRDefault="00F601ED" w:rsidP="00DB37B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Vīza:</w:t>
      </w:r>
    </w:p>
    <w:p w14:paraId="1FC53A6A" w14:textId="77777777" w:rsidR="002575F2" w:rsidRDefault="00052829" w:rsidP="00DB37B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</w:t>
      </w:r>
      <w:r w:rsidR="002575F2">
        <w:rPr>
          <w:sz w:val="26"/>
          <w:szCs w:val="26"/>
        </w:rPr>
        <w:t>alsts sekretāra pienākumu izpildītājs,</w:t>
      </w:r>
    </w:p>
    <w:p w14:paraId="44B9D5CC" w14:textId="2AECCC56" w:rsidR="00DB37B6" w:rsidRPr="00DB37B6" w:rsidRDefault="002575F2" w:rsidP="00DB37B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valsts sekretāra vietnieks</w:t>
      </w:r>
      <w:r w:rsidR="00F601ED">
        <w:rPr>
          <w:sz w:val="26"/>
          <w:szCs w:val="26"/>
        </w:rPr>
        <w:tab/>
      </w:r>
      <w:r w:rsidR="00F601ED">
        <w:rPr>
          <w:sz w:val="26"/>
          <w:szCs w:val="26"/>
        </w:rPr>
        <w:tab/>
      </w:r>
      <w:r w:rsidR="00F601ED">
        <w:rPr>
          <w:sz w:val="26"/>
          <w:szCs w:val="26"/>
        </w:rPr>
        <w:tab/>
      </w:r>
      <w:r w:rsidR="00F601ED">
        <w:rPr>
          <w:sz w:val="26"/>
          <w:szCs w:val="26"/>
        </w:rPr>
        <w:tab/>
      </w:r>
      <w:r w:rsidR="00F601ED">
        <w:rPr>
          <w:sz w:val="26"/>
          <w:szCs w:val="26"/>
        </w:rPr>
        <w:tab/>
      </w:r>
      <w:r w:rsidR="00F601ED">
        <w:rPr>
          <w:sz w:val="26"/>
          <w:szCs w:val="26"/>
        </w:rPr>
        <w:tab/>
      </w:r>
      <w:r w:rsidR="00F601ED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R.Aleksejenko</w:t>
      </w:r>
      <w:proofErr w:type="spellEnd"/>
    </w:p>
    <w:p w14:paraId="284BC023" w14:textId="77777777" w:rsidR="003D276B" w:rsidRPr="00DB37B6" w:rsidRDefault="003D276B" w:rsidP="00222CB3">
      <w:pPr>
        <w:pStyle w:val="NoSpacing"/>
        <w:jc w:val="both"/>
        <w:rPr>
          <w:sz w:val="26"/>
          <w:szCs w:val="26"/>
        </w:rPr>
      </w:pPr>
    </w:p>
    <w:p w14:paraId="7D16CE0F" w14:textId="77777777" w:rsidR="00DB37B6" w:rsidRPr="00650643" w:rsidRDefault="00DB37B6" w:rsidP="00222CB3">
      <w:pPr>
        <w:pStyle w:val="NoSpacing"/>
        <w:jc w:val="both"/>
      </w:pPr>
    </w:p>
    <w:p w14:paraId="6EEC235C" w14:textId="77777777" w:rsidR="00855408" w:rsidRDefault="00855408" w:rsidP="00222CB3">
      <w:pPr>
        <w:pStyle w:val="NoSpacing"/>
        <w:jc w:val="both"/>
        <w:rPr>
          <w:sz w:val="20"/>
        </w:rPr>
      </w:pPr>
    </w:p>
    <w:p w14:paraId="741581D2" w14:textId="7D568AF3" w:rsidR="00496EB5" w:rsidRPr="00650643" w:rsidRDefault="002575F2" w:rsidP="00222CB3">
      <w:pPr>
        <w:pStyle w:val="NoSpacing"/>
        <w:jc w:val="both"/>
        <w:rPr>
          <w:sz w:val="20"/>
        </w:rPr>
      </w:pPr>
      <w:r>
        <w:rPr>
          <w:sz w:val="20"/>
        </w:rPr>
        <w:t>18</w:t>
      </w:r>
      <w:r w:rsidR="00170D7B">
        <w:rPr>
          <w:sz w:val="20"/>
        </w:rPr>
        <w:t>.07</w:t>
      </w:r>
      <w:r w:rsidR="005512C2">
        <w:rPr>
          <w:sz w:val="20"/>
        </w:rPr>
        <w:t>.2016</w:t>
      </w:r>
      <w:r w:rsidR="00496EB5" w:rsidRPr="00650643">
        <w:rPr>
          <w:sz w:val="20"/>
        </w:rPr>
        <w:t xml:space="preserve">. </w:t>
      </w:r>
      <w:r w:rsidR="007B317C">
        <w:rPr>
          <w:sz w:val="20"/>
        </w:rPr>
        <w:t>13:30</w:t>
      </w:r>
    </w:p>
    <w:p w14:paraId="782249CD" w14:textId="77777777" w:rsidR="005D27EF" w:rsidRPr="00650643" w:rsidRDefault="005D27EF" w:rsidP="00222CB3">
      <w:pPr>
        <w:pStyle w:val="NoSpacing"/>
        <w:jc w:val="both"/>
        <w:rPr>
          <w:sz w:val="20"/>
        </w:rPr>
      </w:pPr>
      <w:r w:rsidRPr="00650643">
        <w:rPr>
          <w:sz w:val="20"/>
        </w:rPr>
        <w:fldChar w:fldCharType="begin"/>
      </w:r>
      <w:r w:rsidRPr="00650643">
        <w:rPr>
          <w:sz w:val="20"/>
        </w:rPr>
        <w:instrText xml:space="preserve"> NUMWORDS   \* MERGEFORMAT </w:instrText>
      </w:r>
      <w:r w:rsidRPr="00650643">
        <w:rPr>
          <w:sz w:val="20"/>
        </w:rPr>
        <w:fldChar w:fldCharType="separate"/>
      </w:r>
      <w:r w:rsidR="002575F2">
        <w:rPr>
          <w:noProof/>
          <w:sz w:val="20"/>
        </w:rPr>
        <w:t>957</w:t>
      </w:r>
      <w:r w:rsidRPr="00650643">
        <w:rPr>
          <w:sz w:val="20"/>
        </w:rPr>
        <w:fldChar w:fldCharType="end"/>
      </w:r>
    </w:p>
    <w:p w14:paraId="567628B2" w14:textId="77777777" w:rsidR="00222CB3" w:rsidRPr="00650643" w:rsidRDefault="00C23B43" w:rsidP="00222CB3">
      <w:pPr>
        <w:pStyle w:val="NoSpacing"/>
        <w:jc w:val="both"/>
        <w:rPr>
          <w:sz w:val="20"/>
        </w:rPr>
      </w:pPr>
      <w:r>
        <w:rPr>
          <w:sz w:val="20"/>
        </w:rPr>
        <w:t>Lipskis</w:t>
      </w:r>
    </w:p>
    <w:p w14:paraId="0E040BCF" w14:textId="77777777" w:rsidR="00CF04E1" w:rsidRPr="00D56D53" w:rsidRDefault="00787DD2" w:rsidP="00222CB3">
      <w:pPr>
        <w:pStyle w:val="NoSpacing"/>
        <w:jc w:val="both"/>
        <w:rPr>
          <w:sz w:val="20"/>
        </w:rPr>
      </w:pPr>
      <w:r w:rsidRPr="00650643">
        <w:rPr>
          <w:sz w:val="20"/>
        </w:rPr>
        <w:t>670132</w:t>
      </w:r>
      <w:r w:rsidR="00C23B43">
        <w:rPr>
          <w:sz w:val="20"/>
        </w:rPr>
        <w:t>92</w:t>
      </w:r>
      <w:r w:rsidR="00222CB3" w:rsidRPr="00650643">
        <w:rPr>
          <w:sz w:val="20"/>
        </w:rPr>
        <w:t xml:space="preserve">, </w:t>
      </w:r>
      <w:r w:rsidR="00C23B43">
        <w:rPr>
          <w:sz w:val="20"/>
        </w:rPr>
        <w:t>Valdis.Lipskis</w:t>
      </w:r>
      <w:r w:rsidRPr="00650643">
        <w:rPr>
          <w:sz w:val="20"/>
        </w:rPr>
        <w:t>@e</w:t>
      </w:r>
      <w:r w:rsidR="00222CB3" w:rsidRPr="00650643">
        <w:rPr>
          <w:sz w:val="20"/>
        </w:rPr>
        <w:t>m.gov.lv</w:t>
      </w:r>
    </w:p>
    <w:sectPr w:rsidR="00CF04E1" w:rsidRPr="00D56D53" w:rsidSect="00772107">
      <w:headerReference w:type="default" r:id="rId6"/>
      <w:footerReference w:type="default" r:id="rId7"/>
      <w:footerReference w:type="first" r:id="rId8"/>
      <w:pgSz w:w="11906" w:h="16838"/>
      <w:pgMar w:top="1134" w:right="1134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9B33B" w14:textId="77777777" w:rsidR="00362A33" w:rsidRDefault="00362A33" w:rsidP="00222CB3">
      <w:pPr>
        <w:spacing w:after="0" w:line="240" w:lineRule="auto"/>
      </w:pPr>
      <w:r>
        <w:separator/>
      </w:r>
    </w:p>
  </w:endnote>
  <w:endnote w:type="continuationSeparator" w:id="0">
    <w:p w14:paraId="33CB8AA7" w14:textId="77777777" w:rsidR="00362A33" w:rsidRDefault="00362A33" w:rsidP="0022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5928" w14:textId="745A1CA0" w:rsidR="006D68E8" w:rsidRPr="00C23B43" w:rsidRDefault="00052829" w:rsidP="00787DD2">
    <w:pPr>
      <w:pStyle w:val="Footer"/>
      <w:rPr>
        <w:bCs/>
        <w:sz w:val="20"/>
        <w:szCs w:val="20"/>
      </w:rPr>
    </w:pPr>
    <w:r w:rsidRPr="00052829">
      <w:rPr>
        <w:sz w:val="20"/>
        <w:szCs w:val="20"/>
      </w:rPr>
      <w:t>EManot_</w:t>
    </w:r>
    <w:r w:rsidR="002575F2">
      <w:rPr>
        <w:sz w:val="20"/>
        <w:szCs w:val="20"/>
      </w:rPr>
      <w:t>18</w:t>
    </w:r>
    <w:r w:rsidR="00170D7B">
      <w:rPr>
        <w:sz w:val="20"/>
        <w:szCs w:val="20"/>
      </w:rPr>
      <w:t>07</w:t>
    </w:r>
    <w:r w:rsidRPr="00052829">
      <w:rPr>
        <w:sz w:val="20"/>
        <w:szCs w:val="20"/>
      </w:rPr>
      <w:t>16_spiedieniekartas; Ministr</w:t>
    </w:r>
    <w:r w:rsidR="00170D7B">
      <w:rPr>
        <w:sz w:val="20"/>
        <w:szCs w:val="20"/>
      </w:rPr>
      <w:t>u kabineta noteikumu projekta „</w:t>
    </w:r>
    <w:r w:rsidRPr="00052829">
      <w:rPr>
        <w:sz w:val="20"/>
        <w:szCs w:val="20"/>
      </w:rPr>
      <w:t>Grozījumi Ministru kabineta 2003. gada 16. septembra noteikumos Nr. 518 „Spiedieniekārtu kompleksu tehniskās uzraudzības kārtība””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24BD" w14:textId="1687BB8F" w:rsidR="006D68E8" w:rsidRPr="00F9147D" w:rsidRDefault="00787DD2" w:rsidP="00787DD2">
    <w:pPr>
      <w:pStyle w:val="NoSpacing"/>
      <w:jc w:val="both"/>
      <w:rPr>
        <w:bCs/>
        <w:sz w:val="20"/>
        <w:szCs w:val="20"/>
      </w:rPr>
    </w:pPr>
    <w:r>
      <w:rPr>
        <w:sz w:val="20"/>
        <w:szCs w:val="20"/>
      </w:rPr>
      <w:t>E</w:t>
    </w:r>
    <w:r w:rsidR="00B26298" w:rsidRPr="00F9147D">
      <w:rPr>
        <w:sz w:val="20"/>
        <w:szCs w:val="20"/>
      </w:rPr>
      <w:t>M</w:t>
    </w:r>
    <w:r w:rsidR="00F9147D">
      <w:rPr>
        <w:sz w:val="20"/>
        <w:szCs w:val="20"/>
      </w:rPr>
      <w:t>a</w:t>
    </w:r>
    <w:r w:rsidR="00B26298" w:rsidRPr="00F9147D">
      <w:rPr>
        <w:sz w:val="20"/>
        <w:szCs w:val="20"/>
      </w:rPr>
      <w:t>not_</w:t>
    </w:r>
    <w:r w:rsidR="002575F2">
      <w:rPr>
        <w:sz w:val="20"/>
        <w:szCs w:val="20"/>
      </w:rPr>
      <w:t>18</w:t>
    </w:r>
    <w:r w:rsidR="00170D7B">
      <w:rPr>
        <w:sz w:val="20"/>
        <w:szCs w:val="20"/>
      </w:rPr>
      <w:t>07</w:t>
    </w:r>
    <w:r w:rsidR="00052829">
      <w:rPr>
        <w:sz w:val="20"/>
        <w:szCs w:val="20"/>
      </w:rPr>
      <w:t>16_spiedieniekartas</w:t>
    </w:r>
    <w:r w:rsidR="00F9147D" w:rsidRPr="00F9147D">
      <w:rPr>
        <w:sz w:val="20"/>
        <w:szCs w:val="20"/>
      </w:rPr>
      <w:t xml:space="preserve">; </w:t>
    </w:r>
    <w:r w:rsidRPr="00787DD2">
      <w:rPr>
        <w:sz w:val="20"/>
        <w:szCs w:val="20"/>
      </w:rPr>
      <w:t>Ministru kabineta noteikumu projekta „</w:t>
    </w:r>
    <w:r w:rsidR="00052829" w:rsidRPr="00052829">
      <w:rPr>
        <w:sz w:val="20"/>
        <w:szCs w:val="20"/>
      </w:rPr>
      <w:t>Grozījumi Ministru kabineta 2003. gada 16. septembra noteikumos Nr. 518 „Spiedieniekārtu kompleksu tehniskās uzraudzības kārtība”</w:t>
    </w:r>
    <w:r w:rsidRPr="00787DD2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787DD2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E419" w14:textId="77777777" w:rsidR="00362A33" w:rsidRDefault="00362A33" w:rsidP="00222CB3">
      <w:pPr>
        <w:spacing w:after="0" w:line="240" w:lineRule="auto"/>
      </w:pPr>
      <w:r>
        <w:separator/>
      </w:r>
    </w:p>
  </w:footnote>
  <w:footnote w:type="continuationSeparator" w:id="0">
    <w:p w14:paraId="0E79AFC0" w14:textId="77777777" w:rsidR="00362A33" w:rsidRDefault="00362A33" w:rsidP="0022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15500"/>
      <w:docPartObj>
        <w:docPartGallery w:val="Page Numbers (Top of Page)"/>
        <w:docPartUnique/>
      </w:docPartObj>
    </w:sdtPr>
    <w:sdtEndPr/>
    <w:sdtContent>
      <w:p w14:paraId="3102756C" w14:textId="77777777" w:rsidR="006D68E8" w:rsidRDefault="00B262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68">
          <w:rPr>
            <w:noProof/>
          </w:rPr>
          <w:t>4</w:t>
        </w:r>
        <w:r>
          <w:fldChar w:fldCharType="end"/>
        </w:r>
      </w:p>
    </w:sdtContent>
  </w:sdt>
  <w:p w14:paraId="465F8CC6" w14:textId="77777777" w:rsidR="006D68E8" w:rsidRDefault="00B63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3"/>
    <w:rsid w:val="00003471"/>
    <w:rsid w:val="00005DC7"/>
    <w:rsid w:val="000168F6"/>
    <w:rsid w:val="00017594"/>
    <w:rsid w:val="0002174A"/>
    <w:rsid w:val="00022759"/>
    <w:rsid w:val="00025618"/>
    <w:rsid w:val="0003432B"/>
    <w:rsid w:val="00034B44"/>
    <w:rsid w:val="00040718"/>
    <w:rsid w:val="0004075A"/>
    <w:rsid w:val="00040902"/>
    <w:rsid w:val="000419FF"/>
    <w:rsid w:val="00043F68"/>
    <w:rsid w:val="000473C8"/>
    <w:rsid w:val="000511AD"/>
    <w:rsid w:val="00052829"/>
    <w:rsid w:val="00055155"/>
    <w:rsid w:val="00062683"/>
    <w:rsid w:val="00062849"/>
    <w:rsid w:val="00064041"/>
    <w:rsid w:val="0006695C"/>
    <w:rsid w:val="00067A3E"/>
    <w:rsid w:val="00073127"/>
    <w:rsid w:val="0007568D"/>
    <w:rsid w:val="00082B0E"/>
    <w:rsid w:val="00082B6D"/>
    <w:rsid w:val="000856DC"/>
    <w:rsid w:val="00086FF3"/>
    <w:rsid w:val="000948F2"/>
    <w:rsid w:val="000A44BF"/>
    <w:rsid w:val="000A64CD"/>
    <w:rsid w:val="000B704B"/>
    <w:rsid w:val="000C7DD2"/>
    <w:rsid w:val="000D1C26"/>
    <w:rsid w:val="000D7DF9"/>
    <w:rsid w:val="000D7E78"/>
    <w:rsid w:val="000E0D42"/>
    <w:rsid w:val="000E5FC0"/>
    <w:rsid w:val="00104FAA"/>
    <w:rsid w:val="001154DE"/>
    <w:rsid w:val="0012069C"/>
    <w:rsid w:val="00120A64"/>
    <w:rsid w:val="00125F00"/>
    <w:rsid w:val="00132A95"/>
    <w:rsid w:val="00136B07"/>
    <w:rsid w:val="0013730D"/>
    <w:rsid w:val="00137DBB"/>
    <w:rsid w:val="00141BEE"/>
    <w:rsid w:val="001425E6"/>
    <w:rsid w:val="00142A81"/>
    <w:rsid w:val="00143B67"/>
    <w:rsid w:val="00152291"/>
    <w:rsid w:val="00156A22"/>
    <w:rsid w:val="0016557E"/>
    <w:rsid w:val="00170D7B"/>
    <w:rsid w:val="00170F75"/>
    <w:rsid w:val="001743BF"/>
    <w:rsid w:val="001763DF"/>
    <w:rsid w:val="00177991"/>
    <w:rsid w:val="00181048"/>
    <w:rsid w:val="0018140D"/>
    <w:rsid w:val="00181838"/>
    <w:rsid w:val="001822AD"/>
    <w:rsid w:val="001838AE"/>
    <w:rsid w:val="001A09C2"/>
    <w:rsid w:val="001A5595"/>
    <w:rsid w:val="001B44BA"/>
    <w:rsid w:val="001C7399"/>
    <w:rsid w:val="001D03FC"/>
    <w:rsid w:val="001D227E"/>
    <w:rsid w:val="001D4790"/>
    <w:rsid w:val="001E0991"/>
    <w:rsid w:val="001E3427"/>
    <w:rsid w:val="001F4682"/>
    <w:rsid w:val="00201900"/>
    <w:rsid w:val="002046AF"/>
    <w:rsid w:val="00212E51"/>
    <w:rsid w:val="00213D6F"/>
    <w:rsid w:val="00215BD0"/>
    <w:rsid w:val="002174D5"/>
    <w:rsid w:val="0022133F"/>
    <w:rsid w:val="00222CB3"/>
    <w:rsid w:val="00224A1C"/>
    <w:rsid w:val="00230584"/>
    <w:rsid w:val="00231763"/>
    <w:rsid w:val="00231E40"/>
    <w:rsid w:val="00235113"/>
    <w:rsid w:val="00242D0B"/>
    <w:rsid w:val="00245A54"/>
    <w:rsid w:val="00247BE7"/>
    <w:rsid w:val="00247D16"/>
    <w:rsid w:val="002575F2"/>
    <w:rsid w:val="00265713"/>
    <w:rsid w:val="00266ECA"/>
    <w:rsid w:val="002833DB"/>
    <w:rsid w:val="00291F81"/>
    <w:rsid w:val="00292B56"/>
    <w:rsid w:val="00295ED4"/>
    <w:rsid w:val="0029751E"/>
    <w:rsid w:val="002A3365"/>
    <w:rsid w:val="002A41F2"/>
    <w:rsid w:val="002A70EE"/>
    <w:rsid w:val="002B131A"/>
    <w:rsid w:val="002B40CB"/>
    <w:rsid w:val="002B4D46"/>
    <w:rsid w:val="002E1934"/>
    <w:rsid w:val="002E410B"/>
    <w:rsid w:val="002E7A30"/>
    <w:rsid w:val="002F0981"/>
    <w:rsid w:val="002F10F8"/>
    <w:rsid w:val="002F7EAA"/>
    <w:rsid w:val="0030545D"/>
    <w:rsid w:val="00313C3C"/>
    <w:rsid w:val="00325A59"/>
    <w:rsid w:val="00327330"/>
    <w:rsid w:val="003302EC"/>
    <w:rsid w:val="003331CA"/>
    <w:rsid w:val="0033668E"/>
    <w:rsid w:val="00346071"/>
    <w:rsid w:val="00351252"/>
    <w:rsid w:val="003519C2"/>
    <w:rsid w:val="00362A33"/>
    <w:rsid w:val="00365E53"/>
    <w:rsid w:val="00384C7B"/>
    <w:rsid w:val="00394F15"/>
    <w:rsid w:val="003A0DA1"/>
    <w:rsid w:val="003A1543"/>
    <w:rsid w:val="003A16D8"/>
    <w:rsid w:val="003A262B"/>
    <w:rsid w:val="003A6A20"/>
    <w:rsid w:val="003B0E73"/>
    <w:rsid w:val="003B3E9F"/>
    <w:rsid w:val="003C1358"/>
    <w:rsid w:val="003D276B"/>
    <w:rsid w:val="003D4D41"/>
    <w:rsid w:val="003D5E50"/>
    <w:rsid w:val="003E3289"/>
    <w:rsid w:val="003E42CD"/>
    <w:rsid w:val="003E6F19"/>
    <w:rsid w:val="00400150"/>
    <w:rsid w:val="00400F8C"/>
    <w:rsid w:val="00402A29"/>
    <w:rsid w:val="00405C7A"/>
    <w:rsid w:val="00407821"/>
    <w:rsid w:val="00427FF4"/>
    <w:rsid w:val="00435E09"/>
    <w:rsid w:val="004371BD"/>
    <w:rsid w:val="00437B71"/>
    <w:rsid w:val="00440D89"/>
    <w:rsid w:val="00451C89"/>
    <w:rsid w:val="00452784"/>
    <w:rsid w:val="00465F7B"/>
    <w:rsid w:val="00466CF0"/>
    <w:rsid w:val="00472651"/>
    <w:rsid w:val="0047300A"/>
    <w:rsid w:val="00474375"/>
    <w:rsid w:val="00475F5B"/>
    <w:rsid w:val="0048214F"/>
    <w:rsid w:val="004952C3"/>
    <w:rsid w:val="00496EB5"/>
    <w:rsid w:val="004B4453"/>
    <w:rsid w:val="004B4CCD"/>
    <w:rsid w:val="004C3936"/>
    <w:rsid w:val="004C53F1"/>
    <w:rsid w:val="004C7A10"/>
    <w:rsid w:val="004D2160"/>
    <w:rsid w:val="004D48F9"/>
    <w:rsid w:val="004D7EAC"/>
    <w:rsid w:val="004E3C4C"/>
    <w:rsid w:val="004F16A6"/>
    <w:rsid w:val="004F7B69"/>
    <w:rsid w:val="005047FE"/>
    <w:rsid w:val="00510BAC"/>
    <w:rsid w:val="005239E5"/>
    <w:rsid w:val="00523A17"/>
    <w:rsid w:val="00534AB2"/>
    <w:rsid w:val="00536AA3"/>
    <w:rsid w:val="0054054A"/>
    <w:rsid w:val="00540B33"/>
    <w:rsid w:val="00542B84"/>
    <w:rsid w:val="005475E5"/>
    <w:rsid w:val="005512C2"/>
    <w:rsid w:val="00555160"/>
    <w:rsid w:val="0055587C"/>
    <w:rsid w:val="00557503"/>
    <w:rsid w:val="00557CD6"/>
    <w:rsid w:val="00557D46"/>
    <w:rsid w:val="00562A34"/>
    <w:rsid w:val="00564E92"/>
    <w:rsid w:val="00570977"/>
    <w:rsid w:val="00574513"/>
    <w:rsid w:val="00580159"/>
    <w:rsid w:val="005831E4"/>
    <w:rsid w:val="00587914"/>
    <w:rsid w:val="00587A51"/>
    <w:rsid w:val="0059025D"/>
    <w:rsid w:val="0059736E"/>
    <w:rsid w:val="005A015B"/>
    <w:rsid w:val="005A5A68"/>
    <w:rsid w:val="005A690D"/>
    <w:rsid w:val="005B22D2"/>
    <w:rsid w:val="005B26D0"/>
    <w:rsid w:val="005B2FEC"/>
    <w:rsid w:val="005C1035"/>
    <w:rsid w:val="005C31E6"/>
    <w:rsid w:val="005D04E8"/>
    <w:rsid w:val="005D27EF"/>
    <w:rsid w:val="005D538D"/>
    <w:rsid w:val="005D6B09"/>
    <w:rsid w:val="005E3476"/>
    <w:rsid w:val="00602F6B"/>
    <w:rsid w:val="00611DF3"/>
    <w:rsid w:val="00634383"/>
    <w:rsid w:val="006351D8"/>
    <w:rsid w:val="00644F7D"/>
    <w:rsid w:val="006504BE"/>
    <w:rsid w:val="00650643"/>
    <w:rsid w:val="00652796"/>
    <w:rsid w:val="00652A0C"/>
    <w:rsid w:val="00655371"/>
    <w:rsid w:val="0066138E"/>
    <w:rsid w:val="00672F60"/>
    <w:rsid w:val="00681161"/>
    <w:rsid w:val="00686CA7"/>
    <w:rsid w:val="00687789"/>
    <w:rsid w:val="0069165E"/>
    <w:rsid w:val="00692916"/>
    <w:rsid w:val="00694EA7"/>
    <w:rsid w:val="006A317E"/>
    <w:rsid w:val="006A72CE"/>
    <w:rsid w:val="006B0C8B"/>
    <w:rsid w:val="006B2E56"/>
    <w:rsid w:val="006B33D0"/>
    <w:rsid w:val="006B5869"/>
    <w:rsid w:val="006C3C64"/>
    <w:rsid w:val="006C47B7"/>
    <w:rsid w:val="006C6D67"/>
    <w:rsid w:val="006D06F7"/>
    <w:rsid w:val="006E14C8"/>
    <w:rsid w:val="006E24DF"/>
    <w:rsid w:val="006E6FC1"/>
    <w:rsid w:val="006E7525"/>
    <w:rsid w:val="00704F4C"/>
    <w:rsid w:val="007071A5"/>
    <w:rsid w:val="007128FF"/>
    <w:rsid w:val="00713036"/>
    <w:rsid w:val="007134E7"/>
    <w:rsid w:val="00715706"/>
    <w:rsid w:val="00716642"/>
    <w:rsid w:val="00717BF2"/>
    <w:rsid w:val="00727C84"/>
    <w:rsid w:val="007341B3"/>
    <w:rsid w:val="00736D9D"/>
    <w:rsid w:val="0075001A"/>
    <w:rsid w:val="00750384"/>
    <w:rsid w:val="00751B0A"/>
    <w:rsid w:val="00777358"/>
    <w:rsid w:val="00786053"/>
    <w:rsid w:val="00787DD2"/>
    <w:rsid w:val="00790470"/>
    <w:rsid w:val="007925E1"/>
    <w:rsid w:val="0079285E"/>
    <w:rsid w:val="00795190"/>
    <w:rsid w:val="007A029B"/>
    <w:rsid w:val="007A05E9"/>
    <w:rsid w:val="007A0972"/>
    <w:rsid w:val="007A1ED8"/>
    <w:rsid w:val="007A52BA"/>
    <w:rsid w:val="007B317C"/>
    <w:rsid w:val="007C139C"/>
    <w:rsid w:val="007D2889"/>
    <w:rsid w:val="007D39CA"/>
    <w:rsid w:val="007D6F94"/>
    <w:rsid w:val="007E5857"/>
    <w:rsid w:val="007E66AB"/>
    <w:rsid w:val="007F1DF0"/>
    <w:rsid w:val="007F658A"/>
    <w:rsid w:val="007F7921"/>
    <w:rsid w:val="00802E07"/>
    <w:rsid w:val="00805170"/>
    <w:rsid w:val="00811E3F"/>
    <w:rsid w:val="0081341F"/>
    <w:rsid w:val="008135C6"/>
    <w:rsid w:val="00814B83"/>
    <w:rsid w:val="0082062E"/>
    <w:rsid w:val="00820ED4"/>
    <w:rsid w:val="008231E6"/>
    <w:rsid w:val="00823A75"/>
    <w:rsid w:val="008327EE"/>
    <w:rsid w:val="008333E8"/>
    <w:rsid w:val="008336FF"/>
    <w:rsid w:val="0083587B"/>
    <w:rsid w:val="008405D6"/>
    <w:rsid w:val="00842019"/>
    <w:rsid w:val="00846B34"/>
    <w:rsid w:val="00855408"/>
    <w:rsid w:val="008575FD"/>
    <w:rsid w:val="00862E6B"/>
    <w:rsid w:val="00867CAE"/>
    <w:rsid w:val="0087210F"/>
    <w:rsid w:val="00872810"/>
    <w:rsid w:val="008765C5"/>
    <w:rsid w:val="008809CD"/>
    <w:rsid w:val="008936A0"/>
    <w:rsid w:val="008A0AA1"/>
    <w:rsid w:val="008A4F75"/>
    <w:rsid w:val="008A7183"/>
    <w:rsid w:val="008B195E"/>
    <w:rsid w:val="008B2236"/>
    <w:rsid w:val="008B500D"/>
    <w:rsid w:val="008D2A81"/>
    <w:rsid w:val="008E1F90"/>
    <w:rsid w:val="008F1335"/>
    <w:rsid w:val="008F1B1C"/>
    <w:rsid w:val="008F3C6F"/>
    <w:rsid w:val="008F6771"/>
    <w:rsid w:val="009020A3"/>
    <w:rsid w:val="0090552F"/>
    <w:rsid w:val="00920041"/>
    <w:rsid w:val="0092534A"/>
    <w:rsid w:val="00934975"/>
    <w:rsid w:val="00935BE7"/>
    <w:rsid w:val="009368F6"/>
    <w:rsid w:val="00940577"/>
    <w:rsid w:val="00952F69"/>
    <w:rsid w:val="00955C00"/>
    <w:rsid w:val="00955CCC"/>
    <w:rsid w:val="00961C00"/>
    <w:rsid w:val="009630B8"/>
    <w:rsid w:val="0096425C"/>
    <w:rsid w:val="00964E94"/>
    <w:rsid w:val="009663ED"/>
    <w:rsid w:val="00970613"/>
    <w:rsid w:val="00971D1D"/>
    <w:rsid w:val="00974DF2"/>
    <w:rsid w:val="009763B2"/>
    <w:rsid w:val="00983389"/>
    <w:rsid w:val="0098398E"/>
    <w:rsid w:val="009935B5"/>
    <w:rsid w:val="009B6E9A"/>
    <w:rsid w:val="009C2059"/>
    <w:rsid w:val="009D723F"/>
    <w:rsid w:val="009E2F52"/>
    <w:rsid w:val="009E3E8F"/>
    <w:rsid w:val="009F2E70"/>
    <w:rsid w:val="00A201FA"/>
    <w:rsid w:val="00A21648"/>
    <w:rsid w:val="00A226D9"/>
    <w:rsid w:val="00A2699A"/>
    <w:rsid w:val="00A31129"/>
    <w:rsid w:val="00A35B4D"/>
    <w:rsid w:val="00A4010C"/>
    <w:rsid w:val="00A434EF"/>
    <w:rsid w:val="00A512BF"/>
    <w:rsid w:val="00A5151A"/>
    <w:rsid w:val="00A57346"/>
    <w:rsid w:val="00A64942"/>
    <w:rsid w:val="00A651A6"/>
    <w:rsid w:val="00A7051F"/>
    <w:rsid w:val="00A71F5B"/>
    <w:rsid w:val="00A83A28"/>
    <w:rsid w:val="00A869DE"/>
    <w:rsid w:val="00A96210"/>
    <w:rsid w:val="00A97CE0"/>
    <w:rsid w:val="00AA1E7D"/>
    <w:rsid w:val="00AA5522"/>
    <w:rsid w:val="00AA6549"/>
    <w:rsid w:val="00AB7D63"/>
    <w:rsid w:val="00AC713F"/>
    <w:rsid w:val="00AC71EA"/>
    <w:rsid w:val="00AC7BA7"/>
    <w:rsid w:val="00AD17CB"/>
    <w:rsid w:val="00AD1E80"/>
    <w:rsid w:val="00AD3063"/>
    <w:rsid w:val="00AD508A"/>
    <w:rsid w:val="00AE533B"/>
    <w:rsid w:val="00B062CA"/>
    <w:rsid w:val="00B1049C"/>
    <w:rsid w:val="00B10C4C"/>
    <w:rsid w:val="00B16BC0"/>
    <w:rsid w:val="00B21CDA"/>
    <w:rsid w:val="00B26298"/>
    <w:rsid w:val="00B33FC0"/>
    <w:rsid w:val="00B4012F"/>
    <w:rsid w:val="00B4053B"/>
    <w:rsid w:val="00B44155"/>
    <w:rsid w:val="00B50A68"/>
    <w:rsid w:val="00B570C3"/>
    <w:rsid w:val="00B57E2A"/>
    <w:rsid w:val="00B6288F"/>
    <w:rsid w:val="00B63668"/>
    <w:rsid w:val="00B6397C"/>
    <w:rsid w:val="00B67459"/>
    <w:rsid w:val="00B679D6"/>
    <w:rsid w:val="00B7346F"/>
    <w:rsid w:val="00B73CF5"/>
    <w:rsid w:val="00B82352"/>
    <w:rsid w:val="00B83175"/>
    <w:rsid w:val="00B83BCA"/>
    <w:rsid w:val="00B83FA8"/>
    <w:rsid w:val="00B87DD5"/>
    <w:rsid w:val="00B904E5"/>
    <w:rsid w:val="00B946FF"/>
    <w:rsid w:val="00BA250E"/>
    <w:rsid w:val="00BA3B82"/>
    <w:rsid w:val="00BB2FD3"/>
    <w:rsid w:val="00BB3CE9"/>
    <w:rsid w:val="00BC40B4"/>
    <w:rsid w:val="00BD0A8E"/>
    <w:rsid w:val="00BD135C"/>
    <w:rsid w:val="00BE3C85"/>
    <w:rsid w:val="00BF2000"/>
    <w:rsid w:val="00C00D1F"/>
    <w:rsid w:val="00C02CCE"/>
    <w:rsid w:val="00C16B8E"/>
    <w:rsid w:val="00C221AD"/>
    <w:rsid w:val="00C23B43"/>
    <w:rsid w:val="00C26CA1"/>
    <w:rsid w:val="00C3478F"/>
    <w:rsid w:val="00C36ED6"/>
    <w:rsid w:val="00C52C8A"/>
    <w:rsid w:val="00C64BD6"/>
    <w:rsid w:val="00C663AA"/>
    <w:rsid w:val="00C74938"/>
    <w:rsid w:val="00C74B20"/>
    <w:rsid w:val="00C7647B"/>
    <w:rsid w:val="00C77E30"/>
    <w:rsid w:val="00C80AE4"/>
    <w:rsid w:val="00C845BE"/>
    <w:rsid w:val="00C8476A"/>
    <w:rsid w:val="00C90F10"/>
    <w:rsid w:val="00C9446B"/>
    <w:rsid w:val="00C967EC"/>
    <w:rsid w:val="00CA255B"/>
    <w:rsid w:val="00CB20AD"/>
    <w:rsid w:val="00CB5DE5"/>
    <w:rsid w:val="00CC01E7"/>
    <w:rsid w:val="00CD136A"/>
    <w:rsid w:val="00CD701D"/>
    <w:rsid w:val="00CE614A"/>
    <w:rsid w:val="00CF04E1"/>
    <w:rsid w:val="00CF4B9A"/>
    <w:rsid w:val="00CF4FFA"/>
    <w:rsid w:val="00D016B1"/>
    <w:rsid w:val="00D03733"/>
    <w:rsid w:val="00D10ED1"/>
    <w:rsid w:val="00D12439"/>
    <w:rsid w:val="00D231BA"/>
    <w:rsid w:val="00D27240"/>
    <w:rsid w:val="00D3669F"/>
    <w:rsid w:val="00D3746C"/>
    <w:rsid w:val="00D4331D"/>
    <w:rsid w:val="00D45B2A"/>
    <w:rsid w:val="00D47AC9"/>
    <w:rsid w:val="00D5490D"/>
    <w:rsid w:val="00D56D53"/>
    <w:rsid w:val="00D604AB"/>
    <w:rsid w:val="00D72DFC"/>
    <w:rsid w:val="00D753DA"/>
    <w:rsid w:val="00D81E64"/>
    <w:rsid w:val="00D87662"/>
    <w:rsid w:val="00D95D1B"/>
    <w:rsid w:val="00D962B0"/>
    <w:rsid w:val="00DA6802"/>
    <w:rsid w:val="00DB37B6"/>
    <w:rsid w:val="00DC0293"/>
    <w:rsid w:val="00DC4427"/>
    <w:rsid w:val="00DD6AA4"/>
    <w:rsid w:val="00DE058B"/>
    <w:rsid w:val="00DF13BC"/>
    <w:rsid w:val="00DF25C7"/>
    <w:rsid w:val="00DF75E2"/>
    <w:rsid w:val="00E010AD"/>
    <w:rsid w:val="00E02664"/>
    <w:rsid w:val="00E02DE9"/>
    <w:rsid w:val="00E10DA7"/>
    <w:rsid w:val="00E1360E"/>
    <w:rsid w:val="00E1432E"/>
    <w:rsid w:val="00E34F79"/>
    <w:rsid w:val="00E37A56"/>
    <w:rsid w:val="00E433BF"/>
    <w:rsid w:val="00E46485"/>
    <w:rsid w:val="00E5532B"/>
    <w:rsid w:val="00E55A3E"/>
    <w:rsid w:val="00E56193"/>
    <w:rsid w:val="00E57799"/>
    <w:rsid w:val="00E720ED"/>
    <w:rsid w:val="00E80967"/>
    <w:rsid w:val="00E809CD"/>
    <w:rsid w:val="00E83C2B"/>
    <w:rsid w:val="00E877AD"/>
    <w:rsid w:val="00E90101"/>
    <w:rsid w:val="00E94D2A"/>
    <w:rsid w:val="00E96B16"/>
    <w:rsid w:val="00EA1E40"/>
    <w:rsid w:val="00EA7250"/>
    <w:rsid w:val="00EA758E"/>
    <w:rsid w:val="00EB00EF"/>
    <w:rsid w:val="00EC568A"/>
    <w:rsid w:val="00ED3023"/>
    <w:rsid w:val="00ED518B"/>
    <w:rsid w:val="00EE6DF5"/>
    <w:rsid w:val="00EF5CBA"/>
    <w:rsid w:val="00EF6595"/>
    <w:rsid w:val="00EF6DE3"/>
    <w:rsid w:val="00F06E4D"/>
    <w:rsid w:val="00F12BFF"/>
    <w:rsid w:val="00F16F00"/>
    <w:rsid w:val="00F22A03"/>
    <w:rsid w:val="00F31EFA"/>
    <w:rsid w:val="00F36CD4"/>
    <w:rsid w:val="00F417D7"/>
    <w:rsid w:val="00F525F6"/>
    <w:rsid w:val="00F52A5C"/>
    <w:rsid w:val="00F601ED"/>
    <w:rsid w:val="00F726AB"/>
    <w:rsid w:val="00F7388E"/>
    <w:rsid w:val="00F749C1"/>
    <w:rsid w:val="00F75DEF"/>
    <w:rsid w:val="00F80A20"/>
    <w:rsid w:val="00F81044"/>
    <w:rsid w:val="00F848F1"/>
    <w:rsid w:val="00F90CB0"/>
    <w:rsid w:val="00F9147D"/>
    <w:rsid w:val="00F9493B"/>
    <w:rsid w:val="00FA0640"/>
    <w:rsid w:val="00FA2C9C"/>
    <w:rsid w:val="00FB1FE9"/>
    <w:rsid w:val="00FB3111"/>
    <w:rsid w:val="00FC28B7"/>
    <w:rsid w:val="00FD0EFC"/>
    <w:rsid w:val="00FE171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9C3F"/>
  <w15:docId w15:val="{0C9E51DB-CDF5-46E5-9DFB-92CA6C1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B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22C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22CB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222C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rsid w:val="00222CB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03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2174A"/>
    <w:rPr>
      <w:color w:val="0000FF"/>
      <w:u w:val="single"/>
    </w:rPr>
  </w:style>
  <w:style w:type="paragraph" w:styleId="Revision">
    <w:name w:val="Revision"/>
    <w:hidden/>
    <w:uiPriority w:val="99"/>
    <w:semiHidden/>
    <w:rsid w:val="00E46485"/>
    <w:pPr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575F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25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5196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2006.gada 7.marta noteikumos Nr.180 „Neautomātisko svaru atbilstības novērtēšanas noteikumi”” sākotnējās ietekmes novērtējuma ziņojums (anotācija)</vt:lpstr>
    </vt:vector>
  </TitlesOfParts>
  <Manager>Veterinārais un pārtikas departaments</Manager>
  <Company>Zemkopibas Ministrija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2006.gada 7.marta noteikumos Nr.180 „Neautomātisko svaru atbilstības novērtēšanas noteikumi”” sākotnējās ietekmes novērtējuma ziņojums (anotācija)</dc:title>
  <dc:subject>Ministru kabineta noteikumu projekts</dc:subject>
  <dc:creator>Normunds Freibergs</dc:creator>
  <cp:keywords/>
  <dc:description>Sanita.Vanaga@zm.gov.lv, 67027363</dc:description>
  <cp:lastModifiedBy>Valdis Lipskis</cp:lastModifiedBy>
  <cp:revision>3</cp:revision>
  <cp:lastPrinted>2016-07-15T06:26:00Z</cp:lastPrinted>
  <dcterms:created xsi:type="dcterms:W3CDTF">2016-07-18T12:04:00Z</dcterms:created>
  <dcterms:modified xsi:type="dcterms:W3CDTF">2016-07-19T07:35:00Z</dcterms:modified>
  <cp:contentStatus/>
</cp:coreProperties>
</file>