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4038" w14:textId="77777777" w:rsidR="00053BDB" w:rsidRPr="00D318C4" w:rsidRDefault="00053BDB" w:rsidP="00053BDB">
      <w:pPr>
        <w:jc w:val="center"/>
        <w:rPr>
          <w:b/>
          <w:sz w:val="25"/>
          <w:szCs w:val="25"/>
        </w:rPr>
      </w:pPr>
      <w:r w:rsidRPr="00D318C4">
        <w:rPr>
          <w:b/>
          <w:sz w:val="25"/>
          <w:szCs w:val="25"/>
        </w:rPr>
        <w:t>Ministru kabineta noteikumu projekta</w:t>
      </w:r>
    </w:p>
    <w:p w14:paraId="1AF67305" w14:textId="77777777" w:rsidR="00053BDB" w:rsidRPr="00D318C4" w:rsidRDefault="00053BDB" w:rsidP="00053BDB">
      <w:pPr>
        <w:spacing w:after="120"/>
        <w:jc w:val="center"/>
        <w:rPr>
          <w:b/>
          <w:sz w:val="25"/>
          <w:szCs w:val="25"/>
        </w:rPr>
      </w:pPr>
      <w:r w:rsidRPr="00D318C4">
        <w:rPr>
          <w:b/>
          <w:sz w:val="25"/>
          <w:szCs w:val="25"/>
        </w:rPr>
        <w:t>“Darbības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sākotnējās ietekmes novērtējuma ziņojums (anotācija)</w:t>
      </w:r>
    </w:p>
    <w:tbl>
      <w:tblPr>
        <w:tblStyle w:val="TableGrid"/>
        <w:tblW w:w="9635" w:type="dxa"/>
        <w:tblLook w:val="04A0" w:firstRow="1" w:lastRow="0" w:firstColumn="1" w:lastColumn="0" w:noHBand="0" w:noVBand="1"/>
      </w:tblPr>
      <w:tblGrid>
        <w:gridCol w:w="421"/>
        <w:gridCol w:w="2126"/>
        <w:gridCol w:w="7088"/>
      </w:tblGrid>
      <w:tr w:rsidR="00053BDB" w:rsidRPr="00D318C4" w14:paraId="5D9BB111" w14:textId="77777777" w:rsidTr="00DF3755">
        <w:tc>
          <w:tcPr>
            <w:tcW w:w="9635" w:type="dxa"/>
            <w:gridSpan w:val="3"/>
          </w:tcPr>
          <w:p w14:paraId="7BA75603" w14:textId="77777777" w:rsidR="00053BDB" w:rsidRPr="00D318C4" w:rsidRDefault="00053BDB" w:rsidP="00053BDB">
            <w:pPr>
              <w:jc w:val="center"/>
              <w:rPr>
                <w:sz w:val="25"/>
                <w:szCs w:val="25"/>
              </w:rPr>
            </w:pPr>
            <w:r w:rsidRPr="00D318C4">
              <w:rPr>
                <w:b/>
                <w:bCs/>
                <w:sz w:val="25"/>
                <w:szCs w:val="25"/>
              </w:rPr>
              <w:t>I. Tiesību akta projekta izstrādes nepieciešamība</w:t>
            </w:r>
          </w:p>
        </w:tc>
      </w:tr>
      <w:tr w:rsidR="00053BDB" w:rsidRPr="00D318C4" w14:paraId="73C2B3D2" w14:textId="77777777" w:rsidTr="00DF3755">
        <w:tc>
          <w:tcPr>
            <w:tcW w:w="421" w:type="dxa"/>
          </w:tcPr>
          <w:p w14:paraId="38E4BC4F" w14:textId="77777777" w:rsidR="00053BDB" w:rsidRPr="00D318C4" w:rsidRDefault="00053BDB">
            <w:pPr>
              <w:rPr>
                <w:sz w:val="25"/>
                <w:szCs w:val="25"/>
              </w:rPr>
            </w:pPr>
            <w:r w:rsidRPr="00D318C4">
              <w:rPr>
                <w:sz w:val="25"/>
                <w:szCs w:val="25"/>
              </w:rPr>
              <w:t>1.</w:t>
            </w:r>
          </w:p>
        </w:tc>
        <w:tc>
          <w:tcPr>
            <w:tcW w:w="2126" w:type="dxa"/>
          </w:tcPr>
          <w:p w14:paraId="3A18E217" w14:textId="77777777" w:rsidR="00053BDB" w:rsidRPr="00D318C4" w:rsidRDefault="00053BDB" w:rsidP="00053BDB">
            <w:pPr>
              <w:rPr>
                <w:sz w:val="25"/>
                <w:szCs w:val="25"/>
              </w:rPr>
            </w:pPr>
            <w:r w:rsidRPr="00D318C4">
              <w:rPr>
                <w:sz w:val="25"/>
                <w:szCs w:val="25"/>
              </w:rPr>
              <w:t>Pamatojums</w:t>
            </w:r>
          </w:p>
        </w:tc>
        <w:tc>
          <w:tcPr>
            <w:tcW w:w="7088" w:type="dxa"/>
          </w:tcPr>
          <w:p w14:paraId="67A65974" w14:textId="06C373B4" w:rsidR="00F95DDA" w:rsidRPr="00D318C4" w:rsidRDefault="00053BDB" w:rsidP="005112CE">
            <w:pPr>
              <w:jc w:val="both"/>
              <w:rPr>
                <w:sz w:val="25"/>
                <w:szCs w:val="25"/>
              </w:rPr>
            </w:pPr>
            <w:r w:rsidRPr="00D318C4">
              <w:rPr>
                <w:sz w:val="25"/>
                <w:szCs w:val="25"/>
              </w:rPr>
              <w:t xml:space="preserve">Ministru kabineta (turpmāk – MK) noteikumu projekts </w:t>
            </w:r>
            <w:r w:rsidRPr="00D318C4">
              <w:rPr>
                <w:b/>
                <w:sz w:val="25"/>
                <w:szCs w:val="25"/>
              </w:rPr>
              <w:t xml:space="preserve">“Darbības programmas “Izaugsme un nodarbinātība” 4.2.1.specifiskā atbalsta mērķa “Veicināt energoefektivitātes paaugstināšanu valsts un dzīvojamās ēkās” 4.2.1.2.pasākuma “Veicināt energoefektivitātes paaugstināšanu valsts ēkās” </w:t>
            </w:r>
            <w:r w:rsidR="005112CE" w:rsidRPr="00D318C4">
              <w:rPr>
                <w:b/>
                <w:sz w:val="25"/>
                <w:szCs w:val="25"/>
              </w:rPr>
              <w:t xml:space="preserve">pirmās projektu iesniegumu atlases kārtas </w:t>
            </w:r>
            <w:r w:rsidRPr="00D318C4">
              <w:rPr>
                <w:b/>
                <w:sz w:val="25"/>
                <w:szCs w:val="25"/>
              </w:rPr>
              <w:t>īstenošanas noteikumi</w:t>
            </w:r>
            <w:r w:rsidRPr="00D318C4">
              <w:rPr>
                <w:sz w:val="25"/>
                <w:szCs w:val="25"/>
              </w:rPr>
              <w:t xml:space="preserve">”  (turpmāk – MK noteikumu projekts) </w:t>
            </w:r>
            <w:r w:rsidRPr="00D318C4">
              <w:rPr>
                <w:sz w:val="25"/>
                <w:szCs w:val="25"/>
                <w:shd w:val="clear" w:color="auto" w:fill="FFFFFF"/>
              </w:rPr>
              <w:t xml:space="preserve">izstrādāts atbilstoši </w:t>
            </w:r>
            <w:r w:rsidRPr="00D318C4">
              <w:rPr>
                <w:sz w:val="25"/>
                <w:szCs w:val="25"/>
              </w:rPr>
              <w:t xml:space="preserve">Eiropas Savienības struktūrfondu un Kohēzijas fonda 2014.-2020.gada plānošanas perioda vadības likuma 20.panta </w:t>
            </w:r>
            <w:r w:rsidR="009B57A0" w:rsidRPr="00D318C4">
              <w:rPr>
                <w:sz w:val="25"/>
                <w:szCs w:val="25"/>
              </w:rPr>
              <w:t xml:space="preserve">6. un </w:t>
            </w:r>
            <w:r w:rsidRPr="00D318C4">
              <w:rPr>
                <w:sz w:val="25"/>
                <w:szCs w:val="25"/>
              </w:rPr>
              <w:t>13.punktam.</w:t>
            </w:r>
          </w:p>
        </w:tc>
      </w:tr>
      <w:tr w:rsidR="00E635F8" w:rsidRPr="00D318C4" w14:paraId="6544EB75" w14:textId="77777777" w:rsidTr="00F95DDA">
        <w:trPr>
          <w:trHeight w:val="1402"/>
        </w:trPr>
        <w:tc>
          <w:tcPr>
            <w:tcW w:w="421" w:type="dxa"/>
          </w:tcPr>
          <w:p w14:paraId="0F7962B9" w14:textId="6662F16D" w:rsidR="00E635F8" w:rsidRPr="00D318C4" w:rsidRDefault="0055763C" w:rsidP="00E635F8">
            <w:pPr>
              <w:rPr>
                <w:sz w:val="25"/>
                <w:szCs w:val="25"/>
              </w:rPr>
            </w:pPr>
            <w:r w:rsidRPr="00D318C4">
              <w:rPr>
                <w:sz w:val="25"/>
                <w:szCs w:val="25"/>
              </w:rPr>
              <w:t>2.</w:t>
            </w:r>
          </w:p>
        </w:tc>
        <w:tc>
          <w:tcPr>
            <w:tcW w:w="2126" w:type="dxa"/>
          </w:tcPr>
          <w:p w14:paraId="3ECD082F" w14:textId="19DD4C2B" w:rsidR="001C16F9" w:rsidRPr="00D318C4" w:rsidRDefault="0055763C" w:rsidP="00E635F8">
            <w:pPr>
              <w:rPr>
                <w:sz w:val="25"/>
                <w:szCs w:val="25"/>
              </w:rPr>
            </w:pPr>
            <w:r w:rsidRPr="00D318C4">
              <w:rPr>
                <w:sz w:val="25"/>
                <w:szCs w:val="25"/>
              </w:rPr>
              <w:t>Pašreizējā situācija un problēmas, kuru risināšanai tiesību akta projekts izstrādāts, tiesiskā regulējuma mērķis un būtība</w:t>
            </w:r>
          </w:p>
          <w:p w14:paraId="4065C3C0" w14:textId="77777777" w:rsidR="001C16F9" w:rsidRPr="00D318C4" w:rsidRDefault="001C16F9" w:rsidP="001C16F9">
            <w:pPr>
              <w:rPr>
                <w:sz w:val="25"/>
                <w:szCs w:val="25"/>
              </w:rPr>
            </w:pPr>
          </w:p>
          <w:p w14:paraId="5609A165" w14:textId="77777777" w:rsidR="001C16F9" w:rsidRPr="00D318C4" w:rsidRDefault="001C16F9" w:rsidP="001C16F9">
            <w:pPr>
              <w:rPr>
                <w:sz w:val="25"/>
                <w:szCs w:val="25"/>
              </w:rPr>
            </w:pPr>
          </w:p>
          <w:p w14:paraId="668A2C45" w14:textId="77777777" w:rsidR="001C16F9" w:rsidRPr="00D318C4" w:rsidRDefault="001C16F9" w:rsidP="001C16F9">
            <w:pPr>
              <w:rPr>
                <w:sz w:val="25"/>
                <w:szCs w:val="25"/>
              </w:rPr>
            </w:pPr>
          </w:p>
          <w:p w14:paraId="41D636DA" w14:textId="77777777" w:rsidR="001C16F9" w:rsidRPr="00D318C4" w:rsidRDefault="001C16F9" w:rsidP="001C16F9">
            <w:pPr>
              <w:rPr>
                <w:sz w:val="25"/>
                <w:szCs w:val="25"/>
              </w:rPr>
            </w:pPr>
          </w:p>
          <w:p w14:paraId="5CCB88CB" w14:textId="77777777" w:rsidR="001C16F9" w:rsidRPr="00D318C4" w:rsidRDefault="001C16F9" w:rsidP="001C16F9">
            <w:pPr>
              <w:rPr>
                <w:sz w:val="25"/>
                <w:szCs w:val="25"/>
              </w:rPr>
            </w:pPr>
          </w:p>
          <w:p w14:paraId="59BFBD80" w14:textId="074BC7BD" w:rsidR="001C16F9" w:rsidRPr="00D318C4" w:rsidRDefault="001C16F9" w:rsidP="001C16F9">
            <w:pPr>
              <w:rPr>
                <w:sz w:val="25"/>
                <w:szCs w:val="25"/>
              </w:rPr>
            </w:pPr>
          </w:p>
          <w:p w14:paraId="013A5809" w14:textId="27BECF8B" w:rsidR="00BE2270" w:rsidRPr="00D318C4" w:rsidRDefault="00BE2270" w:rsidP="001C16F9">
            <w:pPr>
              <w:jc w:val="center"/>
              <w:rPr>
                <w:sz w:val="25"/>
                <w:szCs w:val="25"/>
              </w:rPr>
            </w:pPr>
          </w:p>
          <w:p w14:paraId="5AC5D242" w14:textId="77777777" w:rsidR="00BE2270" w:rsidRPr="00D318C4" w:rsidRDefault="00BE2270" w:rsidP="00BE2270">
            <w:pPr>
              <w:rPr>
                <w:sz w:val="25"/>
                <w:szCs w:val="25"/>
              </w:rPr>
            </w:pPr>
          </w:p>
          <w:p w14:paraId="511AF722" w14:textId="77777777" w:rsidR="00BE2270" w:rsidRPr="00D318C4" w:rsidRDefault="00BE2270" w:rsidP="00BE2270">
            <w:pPr>
              <w:rPr>
                <w:sz w:val="25"/>
                <w:szCs w:val="25"/>
              </w:rPr>
            </w:pPr>
          </w:p>
          <w:p w14:paraId="7A7EFD4C" w14:textId="77777777" w:rsidR="00BE2270" w:rsidRPr="00D318C4" w:rsidRDefault="00BE2270" w:rsidP="00BE2270">
            <w:pPr>
              <w:rPr>
                <w:sz w:val="25"/>
                <w:szCs w:val="25"/>
              </w:rPr>
            </w:pPr>
          </w:p>
          <w:p w14:paraId="41716DBE" w14:textId="77777777" w:rsidR="00BE2270" w:rsidRPr="00D318C4" w:rsidRDefault="00BE2270" w:rsidP="00BE2270">
            <w:pPr>
              <w:rPr>
                <w:sz w:val="25"/>
                <w:szCs w:val="25"/>
              </w:rPr>
            </w:pPr>
          </w:p>
          <w:p w14:paraId="0EB90564" w14:textId="77777777" w:rsidR="00BE2270" w:rsidRPr="00D318C4" w:rsidRDefault="00BE2270" w:rsidP="00BE2270">
            <w:pPr>
              <w:rPr>
                <w:sz w:val="25"/>
                <w:szCs w:val="25"/>
              </w:rPr>
            </w:pPr>
          </w:p>
          <w:p w14:paraId="7363ADEB" w14:textId="77777777" w:rsidR="00BE2270" w:rsidRPr="00D318C4" w:rsidRDefault="00BE2270" w:rsidP="00BE2270">
            <w:pPr>
              <w:rPr>
                <w:sz w:val="25"/>
                <w:szCs w:val="25"/>
              </w:rPr>
            </w:pPr>
          </w:p>
          <w:p w14:paraId="65E6B37E" w14:textId="77777777" w:rsidR="00BE2270" w:rsidRPr="00D318C4" w:rsidRDefault="00BE2270" w:rsidP="00BE2270">
            <w:pPr>
              <w:rPr>
                <w:sz w:val="25"/>
                <w:szCs w:val="25"/>
              </w:rPr>
            </w:pPr>
          </w:p>
          <w:p w14:paraId="111AC025" w14:textId="77777777" w:rsidR="00BE2270" w:rsidRPr="00D318C4" w:rsidRDefault="00BE2270" w:rsidP="00BE2270">
            <w:pPr>
              <w:rPr>
                <w:sz w:val="25"/>
                <w:szCs w:val="25"/>
              </w:rPr>
            </w:pPr>
          </w:p>
          <w:p w14:paraId="13B12FF4" w14:textId="77777777" w:rsidR="00BE2270" w:rsidRPr="00D318C4" w:rsidRDefault="00BE2270" w:rsidP="00BE2270">
            <w:pPr>
              <w:rPr>
                <w:sz w:val="25"/>
                <w:szCs w:val="25"/>
              </w:rPr>
            </w:pPr>
          </w:p>
          <w:p w14:paraId="21619CC6" w14:textId="77777777" w:rsidR="00BE2270" w:rsidRPr="00D318C4" w:rsidRDefault="00BE2270" w:rsidP="00BE2270">
            <w:pPr>
              <w:rPr>
                <w:sz w:val="25"/>
                <w:szCs w:val="25"/>
              </w:rPr>
            </w:pPr>
          </w:p>
          <w:p w14:paraId="6EFFB437" w14:textId="77777777" w:rsidR="00BE2270" w:rsidRPr="00D318C4" w:rsidRDefault="00BE2270" w:rsidP="00BE2270">
            <w:pPr>
              <w:rPr>
                <w:sz w:val="25"/>
                <w:szCs w:val="25"/>
              </w:rPr>
            </w:pPr>
          </w:p>
          <w:p w14:paraId="52BEE15F" w14:textId="77777777" w:rsidR="00BE2270" w:rsidRPr="00D318C4" w:rsidRDefault="00BE2270" w:rsidP="00BE2270">
            <w:pPr>
              <w:rPr>
                <w:sz w:val="25"/>
                <w:szCs w:val="25"/>
              </w:rPr>
            </w:pPr>
          </w:p>
          <w:p w14:paraId="5E2CC3F6" w14:textId="62B19C1D" w:rsidR="00E635F8" w:rsidRPr="00D318C4" w:rsidRDefault="00E635F8" w:rsidP="00BE2270">
            <w:pPr>
              <w:jc w:val="center"/>
              <w:rPr>
                <w:sz w:val="25"/>
                <w:szCs w:val="25"/>
              </w:rPr>
            </w:pPr>
          </w:p>
        </w:tc>
        <w:tc>
          <w:tcPr>
            <w:tcW w:w="7088" w:type="dxa"/>
          </w:tcPr>
          <w:p w14:paraId="5ABFB6A9" w14:textId="1A35454E" w:rsidR="00E635F8" w:rsidRPr="00D318C4" w:rsidRDefault="00E635F8" w:rsidP="00E635F8">
            <w:pPr>
              <w:autoSpaceDE w:val="0"/>
              <w:autoSpaceDN w:val="0"/>
              <w:jc w:val="both"/>
              <w:rPr>
                <w:sz w:val="25"/>
                <w:szCs w:val="25"/>
              </w:rPr>
            </w:pPr>
            <w:r w:rsidRPr="00D318C4">
              <w:rPr>
                <w:sz w:val="25"/>
                <w:szCs w:val="25"/>
              </w:rPr>
              <w:t xml:space="preserve">Saskaņā ar  Latvijas Nacionālo attīstības plānu 2014.–2020.gadam  un  Eiropas Parlamenta un Padomes 2012.gada 25.oktobra Direktīvu 2012/27/ES par energoefektivitāti, ar ko groza Direktīvas 2009/125/EK un 2010/30/ES, un atceļ Direktīvas 2004/8/EK un 2006/32/EK (turpmāk – Direktīva 2012/27ES) Latvijai jāsasniedz indikatīvais valsts energoefektivitātes mērķis, kura ietvaros jānodrošina divi saistoši mērķi: </w:t>
            </w:r>
          </w:p>
          <w:p w14:paraId="07CF4518" w14:textId="77777777" w:rsidR="00E635F8" w:rsidRPr="00D318C4" w:rsidRDefault="00E635F8" w:rsidP="00E635F8">
            <w:pPr>
              <w:pStyle w:val="ListParagraph"/>
              <w:numPr>
                <w:ilvl w:val="0"/>
                <w:numId w:val="1"/>
              </w:numPr>
              <w:autoSpaceDE w:val="0"/>
              <w:autoSpaceDN w:val="0"/>
              <w:jc w:val="both"/>
              <w:rPr>
                <w:sz w:val="25"/>
                <w:szCs w:val="25"/>
              </w:rPr>
            </w:pPr>
            <w:r w:rsidRPr="00D318C4">
              <w:rPr>
                <w:sz w:val="25"/>
                <w:szCs w:val="25"/>
              </w:rPr>
              <w:t xml:space="preserve">jāsasniedz uzkrātā enerģijas galapatēriņa ietaupījuma mērķis 9 896 GWh apmērā; </w:t>
            </w:r>
          </w:p>
          <w:p w14:paraId="359A5913" w14:textId="77777777" w:rsidR="00E635F8" w:rsidRPr="00D318C4" w:rsidRDefault="00E635F8" w:rsidP="00E635F8">
            <w:pPr>
              <w:pStyle w:val="ListParagraph"/>
              <w:numPr>
                <w:ilvl w:val="0"/>
                <w:numId w:val="1"/>
              </w:numPr>
              <w:autoSpaceDE w:val="0"/>
              <w:autoSpaceDN w:val="0"/>
              <w:spacing w:after="120"/>
              <w:ind w:left="714" w:hanging="357"/>
              <w:jc w:val="both"/>
              <w:rPr>
                <w:sz w:val="25"/>
                <w:szCs w:val="25"/>
              </w:rPr>
            </w:pPr>
            <w:r w:rsidRPr="00D318C4">
              <w:rPr>
                <w:sz w:val="25"/>
                <w:szCs w:val="25"/>
              </w:rPr>
              <w:t xml:space="preserve">katru gadu 3% valdības īpašumā esošo un izmantoto  ēku platībās ir jāīsteno energoefektivitātes paaugstināšanas pasākumi (Direktīvas 2012/27ES 3.panta un 5.panta 1.punkta prasība). </w:t>
            </w:r>
          </w:p>
          <w:p w14:paraId="7D57FFF2" w14:textId="3D906067" w:rsidR="00E635F8" w:rsidRPr="00D318C4" w:rsidRDefault="00E635F8" w:rsidP="00E635F8">
            <w:pPr>
              <w:autoSpaceDE w:val="0"/>
              <w:autoSpaceDN w:val="0"/>
              <w:spacing w:after="120"/>
              <w:jc w:val="both"/>
              <w:rPr>
                <w:sz w:val="25"/>
                <w:szCs w:val="25"/>
              </w:rPr>
            </w:pPr>
            <w:r w:rsidRPr="00D318C4">
              <w:rPr>
                <w:sz w:val="25"/>
                <w:szCs w:val="25"/>
              </w:rPr>
              <w:t>Tā kā valsts ēkas veido daļu no valsts enerģijas galapatēriņa, tad energoefektivitātes paaugstināšanas pasākumu īstenošanas 3%  centrālās valdības ēku mērķa izpilde sniedz ieguldījumu arī valsts obligātā enerģijas galapatēriņa ietaupījuma mērķa sasniegšanā. Lai nodrošinātu šo mērķu sasniegšanu, Ekonomikas ministrija (turpmāk - EM), izpildot Direktīvas 2012/27ES 5.panta 5.punkta prasības, ik gadu sagatavo un publisko centrālās valdības apsildāmo un/vai dzesējamo ēku (tiešās valsts pārvaldes iestādei vai tās padotības iestādei īpašumā vai lietošanā esoša</w:t>
            </w:r>
            <w:r w:rsidR="00637F82" w:rsidRPr="00D318C4">
              <w:rPr>
                <w:sz w:val="25"/>
                <w:szCs w:val="25"/>
              </w:rPr>
              <w:t>s</w:t>
            </w:r>
            <w:r w:rsidRPr="00D318C4">
              <w:rPr>
                <w:sz w:val="25"/>
                <w:szCs w:val="25"/>
              </w:rPr>
              <w:t xml:space="preserve"> ēka</w:t>
            </w:r>
            <w:r w:rsidR="00637F82" w:rsidRPr="00D318C4">
              <w:rPr>
                <w:sz w:val="25"/>
                <w:szCs w:val="25"/>
              </w:rPr>
              <w:t>s</w:t>
            </w:r>
            <w:r w:rsidRPr="00D318C4">
              <w:rPr>
                <w:sz w:val="25"/>
                <w:szCs w:val="25"/>
              </w:rPr>
              <w:t>, kurā</w:t>
            </w:r>
            <w:r w:rsidR="00637F82" w:rsidRPr="00D318C4">
              <w:rPr>
                <w:sz w:val="25"/>
                <w:szCs w:val="25"/>
              </w:rPr>
              <w:t>s</w:t>
            </w:r>
            <w:r w:rsidRPr="00D318C4">
              <w:rPr>
                <w:sz w:val="25"/>
                <w:szCs w:val="25"/>
              </w:rPr>
              <w:t xml:space="preserve"> tiek īstenota</w:t>
            </w:r>
            <w:r w:rsidR="00637F82" w:rsidRPr="00D318C4">
              <w:rPr>
                <w:sz w:val="25"/>
                <w:szCs w:val="25"/>
              </w:rPr>
              <w:t>s</w:t>
            </w:r>
            <w:r w:rsidRPr="00D318C4">
              <w:rPr>
                <w:sz w:val="25"/>
                <w:szCs w:val="25"/>
              </w:rPr>
              <w:t xml:space="preserve"> valsts tiešās pārvaldes iestādes vai tās padotības iestādes funkcija) sarakstu (turpmāk – valsts ēku saraksts), kuru kopējā izmantojamā platība ir lielāka par 500 m</w:t>
            </w:r>
            <w:r w:rsidRPr="00D318C4">
              <w:rPr>
                <w:sz w:val="25"/>
                <w:szCs w:val="25"/>
                <w:vertAlign w:val="superscript"/>
              </w:rPr>
              <w:t>2</w:t>
            </w:r>
            <w:r w:rsidRPr="00D318C4">
              <w:rPr>
                <w:sz w:val="25"/>
                <w:szCs w:val="25"/>
              </w:rPr>
              <w:t>, un sākot ar 2015.gada 9.jūliju to ēku sarakstu, kuru kopējā izmantojamā platība ir lielāka par 250 m</w:t>
            </w:r>
            <w:r w:rsidRPr="00D318C4">
              <w:rPr>
                <w:sz w:val="25"/>
                <w:szCs w:val="25"/>
                <w:vertAlign w:val="superscript"/>
              </w:rPr>
              <w:t>2</w:t>
            </w:r>
            <w:r w:rsidRPr="00D318C4">
              <w:rPr>
                <w:sz w:val="25"/>
                <w:szCs w:val="25"/>
              </w:rPr>
              <w:t xml:space="preserve">, izņemot ēkas, uz kurām neattiecas Direktīvas 2012/27ES 5.panta 2.punktā minētais atbrīvojums. </w:t>
            </w:r>
          </w:p>
          <w:p w14:paraId="3402E325" w14:textId="1F029C6B" w:rsidR="00E635F8" w:rsidRPr="00D318C4" w:rsidRDefault="00E635F8" w:rsidP="00E635F8">
            <w:pPr>
              <w:autoSpaceDE w:val="0"/>
              <w:autoSpaceDN w:val="0"/>
              <w:jc w:val="both"/>
              <w:rPr>
                <w:sz w:val="25"/>
                <w:szCs w:val="25"/>
              </w:rPr>
            </w:pPr>
            <w:r w:rsidRPr="00D318C4">
              <w:rPr>
                <w:sz w:val="25"/>
                <w:szCs w:val="25"/>
              </w:rPr>
              <w:t>Dalībvalstis var pieņemt lēmumu nenoteikt vai nepiemērot 1.punktā minētās prasības šādām ēku kategorijām:</w:t>
            </w:r>
          </w:p>
          <w:p w14:paraId="3245685F" w14:textId="7A990F06" w:rsidR="00E635F8" w:rsidRPr="00D318C4" w:rsidRDefault="00E635F8" w:rsidP="00E635F8">
            <w:pPr>
              <w:pStyle w:val="ListParagraph"/>
              <w:numPr>
                <w:ilvl w:val="0"/>
                <w:numId w:val="3"/>
              </w:numPr>
              <w:autoSpaceDE w:val="0"/>
              <w:autoSpaceDN w:val="0"/>
              <w:ind w:left="742" w:hanging="425"/>
              <w:jc w:val="both"/>
              <w:rPr>
                <w:sz w:val="25"/>
                <w:szCs w:val="25"/>
              </w:rPr>
            </w:pPr>
            <w:r w:rsidRPr="00D318C4">
              <w:rPr>
                <w:sz w:val="25"/>
                <w:szCs w:val="25"/>
              </w:rPr>
              <w:lastRenderedPageBreak/>
              <w:t>ēkām, ko oficiāli aizsargā kā daļu no klasificētas vides vai to īpašās arhitektūras un vēsturiskās vērtības dēļ;</w:t>
            </w:r>
          </w:p>
          <w:p w14:paraId="344C945B" w14:textId="1AE9250F" w:rsidR="00E635F8" w:rsidRPr="00D318C4" w:rsidRDefault="00E635F8" w:rsidP="00E635F8">
            <w:pPr>
              <w:pStyle w:val="ListParagraph"/>
              <w:numPr>
                <w:ilvl w:val="0"/>
                <w:numId w:val="3"/>
              </w:numPr>
              <w:autoSpaceDE w:val="0"/>
              <w:autoSpaceDN w:val="0"/>
              <w:ind w:left="742" w:hanging="425"/>
              <w:jc w:val="both"/>
              <w:rPr>
                <w:sz w:val="25"/>
                <w:szCs w:val="25"/>
              </w:rPr>
            </w:pPr>
            <w:r w:rsidRPr="00D318C4">
              <w:rPr>
                <w:sz w:val="25"/>
                <w:szCs w:val="25"/>
              </w:rPr>
              <w:t>ēkām, kuras ir bruņoto spēku vai centrālās valdības īpašumā un kalpo valsts aizsardzības mērķiem, izņemot bruņoto spēku un citu valsts aizsardzības iestāžu personālam paredzētas atsevišķas dzīvojamās telpas vai biroja ēkas;</w:t>
            </w:r>
          </w:p>
          <w:p w14:paraId="683E61DA" w14:textId="4DC57905" w:rsidR="00E635F8" w:rsidRPr="00D318C4" w:rsidRDefault="00E635F8" w:rsidP="00E635F8">
            <w:pPr>
              <w:pStyle w:val="ListParagraph"/>
              <w:numPr>
                <w:ilvl w:val="0"/>
                <w:numId w:val="3"/>
              </w:numPr>
              <w:autoSpaceDE w:val="0"/>
              <w:autoSpaceDN w:val="0"/>
              <w:ind w:left="742" w:hanging="425"/>
              <w:jc w:val="both"/>
              <w:rPr>
                <w:sz w:val="25"/>
                <w:szCs w:val="25"/>
              </w:rPr>
            </w:pPr>
            <w:r w:rsidRPr="00D318C4">
              <w:rPr>
                <w:sz w:val="25"/>
                <w:szCs w:val="25"/>
              </w:rPr>
              <w:t>ēkām, kas kalpo par kulta vietām un ko izmanto reliģiskām darbībām.</w:t>
            </w:r>
          </w:p>
          <w:p w14:paraId="29205B9B" w14:textId="3026A996" w:rsidR="009344CD" w:rsidRPr="00D318C4" w:rsidRDefault="00E635F8" w:rsidP="00E635F8">
            <w:pPr>
              <w:spacing w:before="120" w:after="240"/>
              <w:contextualSpacing/>
              <w:jc w:val="both"/>
              <w:rPr>
                <w:sz w:val="25"/>
                <w:szCs w:val="25"/>
              </w:rPr>
            </w:pPr>
            <w:r w:rsidRPr="00D318C4">
              <w:rPr>
                <w:sz w:val="25"/>
                <w:szCs w:val="25"/>
              </w:rPr>
              <w:t>Spēkā esošais valsts ēku saraksts  ar ēkām, kuru kopējā platība ir lielāka par 250 m</w:t>
            </w:r>
            <w:r w:rsidRPr="00D318C4">
              <w:rPr>
                <w:sz w:val="25"/>
                <w:szCs w:val="25"/>
                <w:vertAlign w:val="superscript"/>
              </w:rPr>
              <w:t>2</w:t>
            </w:r>
            <w:r w:rsidRPr="00D318C4">
              <w:rPr>
                <w:sz w:val="25"/>
                <w:szCs w:val="25"/>
              </w:rPr>
              <w:t>, ir izveidots 2015.gada 9.jūlijā un publicēts Ekonomikas ministrijas tīmekļa vietnē</w:t>
            </w:r>
            <w:r w:rsidRPr="00D318C4">
              <w:rPr>
                <w:rStyle w:val="FootnoteReference"/>
                <w:sz w:val="25"/>
                <w:szCs w:val="25"/>
              </w:rPr>
              <w:footnoteReference w:id="1"/>
            </w:r>
            <w:r w:rsidRPr="00D318C4">
              <w:rPr>
                <w:sz w:val="25"/>
                <w:szCs w:val="25"/>
              </w:rPr>
              <w:t>. Vietējas un valsts nozīmes arhitektūras pieminekļi netiek iekļauti valsts ēku sarakstā, līdz ar to šādām ēkām</w:t>
            </w:r>
            <w:r w:rsidR="00EF7127" w:rsidRPr="00D318C4">
              <w:rPr>
                <w:sz w:val="25"/>
                <w:szCs w:val="25"/>
              </w:rPr>
              <w:t xml:space="preserve"> darbības programmas “Izaugsme un nodarbinātība” 4.2.1.specifiskā atbalsta mērķa “Veicināt energoefektivitātes paaugstināšanu valsts un dzīvojamās ēkās” </w:t>
            </w:r>
            <w:r w:rsidRPr="00D318C4">
              <w:rPr>
                <w:sz w:val="25"/>
                <w:szCs w:val="25"/>
              </w:rPr>
              <w:t xml:space="preserve"> </w:t>
            </w:r>
            <w:r w:rsidR="00637F82" w:rsidRPr="00D318C4">
              <w:rPr>
                <w:sz w:val="25"/>
                <w:szCs w:val="25"/>
              </w:rPr>
              <w:t xml:space="preserve">4.2.1.2.pasākuma “Veicināt energoefektivitātes paaugstināšanu valsts ēkās” </w:t>
            </w:r>
            <w:r w:rsidR="00EF7127" w:rsidRPr="00D318C4">
              <w:rPr>
                <w:sz w:val="25"/>
                <w:szCs w:val="25"/>
              </w:rPr>
              <w:t xml:space="preserve">(turpmāk – </w:t>
            </w:r>
            <w:r w:rsidR="00713335" w:rsidRPr="00D318C4">
              <w:rPr>
                <w:sz w:val="25"/>
                <w:szCs w:val="25"/>
              </w:rPr>
              <w:t>4.2.1.2.</w:t>
            </w:r>
            <w:r w:rsidR="00EF7127" w:rsidRPr="00D318C4">
              <w:rPr>
                <w:sz w:val="25"/>
                <w:szCs w:val="25"/>
              </w:rPr>
              <w:t xml:space="preserve">pasākums) </w:t>
            </w:r>
            <w:r w:rsidR="00637F82" w:rsidRPr="00D318C4">
              <w:rPr>
                <w:sz w:val="25"/>
                <w:szCs w:val="25"/>
              </w:rPr>
              <w:t xml:space="preserve">pirmās projektu iesniegumu atlases kārtas </w:t>
            </w:r>
            <w:r w:rsidR="00AD5BAB" w:rsidRPr="00D318C4">
              <w:rPr>
                <w:sz w:val="25"/>
                <w:szCs w:val="25"/>
              </w:rPr>
              <w:t xml:space="preserve">(turpmāk – </w:t>
            </w:r>
            <w:r w:rsidR="00EF7127" w:rsidRPr="00D318C4">
              <w:rPr>
                <w:sz w:val="25"/>
                <w:szCs w:val="25"/>
              </w:rPr>
              <w:t>atlases kārta</w:t>
            </w:r>
            <w:r w:rsidR="00AD5BAB" w:rsidRPr="00D318C4">
              <w:rPr>
                <w:sz w:val="25"/>
                <w:szCs w:val="25"/>
              </w:rPr>
              <w:t xml:space="preserve">) </w:t>
            </w:r>
            <w:r w:rsidRPr="00D318C4">
              <w:rPr>
                <w:sz w:val="25"/>
                <w:szCs w:val="25"/>
              </w:rPr>
              <w:t xml:space="preserve">ietvaros finansējums energoefektivitātes </w:t>
            </w:r>
            <w:r w:rsidR="00AD5BAB" w:rsidRPr="00D318C4">
              <w:rPr>
                <w:sz w:val="25"/>
                <w:szCs w:val="25"/>
              </w:rPr>
              <w:t xml:space="preserve">paaugstināšanas pasākumu īstenošanai </w:t>
            </w:r>
            <w:r w:rsidRPr="00D318C4">
              <w:rPr>
                <w:sz w:val="25"/>
                <w:szCs w:val="25"/>
              </w:rPr>
              <w:t xml:space="preserve">nav pieejams. Tomēr energoefektivitātes paaugstināšanu var veikt ēkās, kuras atrodas pieminekļu teritorijās, piemēram, pilsētbūvniecības, arhitektūras pieminekļu teritorijā vai kādā citā pieminekļu teritorijā, ja tajās ieguldīt ir racionāli un tās izpilda projektu </w:t>
            </w:r>
            <w:r w:rsidR="00923E57" w:rsidRPr="00D318C4">
              <w:rPr>
                <w:sz w:val="25"/>
                <w:szCs w:val="25"/>
              </w:rPr>
              <w:t xml:space="preserve">iesniegumu atlases </w:t>
            </w:r>
            <w:r w:rsidRPr="00D318C4">
              <w:rPr>
                <w:sz w:val="25"/>
                <w:szCs w:val="25"/>
              </w:rPr>
              <w:t xml:space="preserve">vērtēšanas </w:t>
            </w:r>
            <w:r w:rsidR="00923E57" w:rsidRPr="00D318C4">
              <w:rPr>
                <w:sz w:val="25"/>
                <w:szCs w:val="25"/>
              </w:rPr>
              <w:t>kritēriju minimālās prasības.</w:t>
            </w:r>
            <w:r w:rsidR="009344CD" w:rsidRPr="00D318C4">
              <w:rPr>
                <w:sz w:val="25"/>
                <w:szCs w:val="25"/>
              </w:rPr>
              <w:t xml:space="preserve"> </w:t>
            </w:r>
          </w:p>
          <w:p w14:paraId="79860D5E" w14:textId="3F9C5CC2" w:rsidR="00CC1756" w:rsidRPr="00D318C4" w:rsidRDefault="00E635F8" w:rsidP="00CC1756">
            <w:pPr>
              <w:spacing w:before="120" w:after="240"/>
              <w:contextualSpacing/>
              <w:jc w:val="both"/>
              <w:rPr>
                <w:sz w:val="25"/>
                <w:szCs w:val="25"/>
              </w:rPr>
            </w:pPr>
            <w:r w:rsidRPr="00D318C4">
              <w:rPr>
                <w:sz w:val="25"/>
                <w:szCs w:val="25"/>
              </w:rPr>
              <w:t>Atbilstoši 2014.gada 12.augusta Minist</w:t>
            </w:r>
            <w:r w:rsidR="00EF7127" w:rsidRPr="00D318C4">
              <w:rPr>
                <w:sz w:val="25"/>
                <w:szCs w:val="25"/>
              </w:rPr>
              <w:t>ru kabineta sēdes protokola Nr.</w:t>
            </w:r>
            <w:r w:rsidRPr="00D318C4">
              <w:rPr>
                <w:sz w:val="25"/>
                <w:szCs w:val="25"/>
              </w:rPr>
              <w:t>43 36.§ „Informatīvais ziņojums „Par valsts ēku e</w:t>
            </w:r>
            <w:r w:rsidR="00923E57" w:rsidRPr="00D318C4">
              <w:rPr>
                <w:sz w:val="25"/>
                <w:szCs w:val="25"/>
              </w:rPr>
              <w:t>nerģijas patēriņa datiem”” 5.2.</w:t>
            </w:r>
            <w:r w:rsidRPr="00D318C4">
              <w:rPr>
                <w:sz w:val="25"/>
                <w:szCs w:val="25"/>
              </w:rPr>
              <w:t>apakšpunktam, valsts ēku saraksts tiek atjaunots ka</w:t>
            </w:r>
            <w:r w:rsidR="00923E57" w:rsidRPr="00D318C4">
              <w:rPr>
                <w:sz w:val="25"/>
                <w:szCs w:val="25"/>
              </w:rPr>
              <w:t>tru gadu līdz attiecīgā gada 9.</w:t>
            </w:r>
            <w:r w:rsidRPr="00D318C4">
              <w:rPr>
                <w:sz w:val="25"/>
                <w:szCs w:val="25"/>
              </w:rPr>
              <w:t xml:space="preserve">jūlijam. Ja </w:t>
            </w:r>
            <w:r w:rsidR="00923E57" w:rsidRPr="00D318C4">
              <w:rPr>
                <w:sz w:val="25"/>
                <w:szCs w:val="25"/>
              </w:rPr>
              <w:t>EM</w:t>
            </w:r>
            <w:r w:rsidRPr="00D318C4">
              <w:rPr>
                <w:sz w:val="25"/>
                <w:szCs w:val="25"/>
              </w:rPr>
              <w:t xml:space="preserve"> ir iesniegta informācija </w:t>
            </w:r>
            <w:r w:rsidR="00923E57" w:rsidRPr="00D318C4">
              <w:rPr>
                <w:sz w:val="25"/>
                <w:szCs w:val="25"/>
              </w:rPr>
              <w:t xml:space="preserve">par ēku </w:t>
            </w:r>
            <w:r w:rsidRPr="00D318C4">
              <w:rPr>
                <w:sz w:val="25"/>
                <w:szCs w:val="25"/>
              </w:rPr>
              <w:t xml:space="preserve">un, ja tā atbilst nosacījumiem par iekļaušanu valsts ēku sarakstā, ēka tajā tiek iekļauta līdz attiecīgā gada 9.jūlijam. </w:t>
            </w:r>
            <w:r w:rsidR="00CC1756" w:rsidRPr="00D318C4">
              <w:rPr>
                <w:sz w:val="25"/>
                <w:szCs w:val="25"/>
              </w:rPr>
              <w:t xml:space="preserve">Šobrīd spēkā esošais valsts ēku saraksts ir izveidots 2015.gada 9.jūlijā (uz kura pamata aprēķinātas atlases kārtai pieejamais publiskā finansējuma apmērs ministrijām – kvotas), aktuālāks saraksts sagatavojams līdz 2016.gada 9.jūlijam. </w:t>
            </w:r>
          </w:p>
          <w:p w14:paraId="26BBB846" w14:textId="6844A1E0" w:rsidR="00CC1756" w:rsidRPr="00D318C4" w:rsidRDefault="00CC1756" w:rsidP="00E635F8">
            <w:pPr>
              <w:spacing w:before="120" w:after="240"/>
              <w:contextualSpacing/>
              <w:jc w:val="both"/>
              <w:rPr>
                <w:sz w:val="25"/>
                <w:szCs w:val="25"/>
              </w:rPr>
            </w:pPr>
            <w:r w:rsidRPr="00D318C4">
              <w:rPr>
                <w:sz w:val="25"/>
                <w:szCs w:val="25"/>
              </w:rPr>
              <w:t xml:space="preserve">Valsts ēku saraksts ik gadu ir mainīgs – no tā tiek izslēgtas iepriekšējā gadā atjaunotās ēkas, atsevišķām ēkām mainās īpašnieks vai tās lietotājs, ēkas tiek izņemtas no ekspluatācijas, tiek apvienotas vienā vai vairākās ēkās u.c. gadījumi. Papildus jāņem vērā, ka konstatētās izmaiņas tiek ņemtas vērā pie nākošā gada valsts ēku saraksta izstrādes, kad šāda informācija tiek iesniegta EM. Līdz ar to katru gadu izveidosies situācija, kad kādas ēkas tiks iekļautas sarakstā, bet kādas no tā izņemtas, tomēr jāņem vērā, ka izmaiņas, kas rodas ir procentuāli mazas. Lai uzskatītu, ka energoefektivitātes minimālās prasības ir ievērotas, jāizpildās ne tikai Ministru kabineta 2013.gada </w:t>
            </w:r>
            <w:r w:rsidRPr="00D318C4">
              <w:rPr>
                <w:sz w:val="25"/>
                <w:szCs w:val="25"/>
              </w:rPr>
              <w:lastRenderedPageBreak/>
              <w:t>9.jūlija noteikumu Nr.383 “Noteikumi par ēku energosertifikāciju” 15.2 3. punkta prasībām, bet arī Ministru kabineta 2015.gada 30.jūnija noteikumu Nr.339 “Noteikumi par Latvijas būvnormatīvu LBN 002-15 “Ēku norobežojošo konstrukciju siltumtehnika””14.punkta prasībām.</w:t>
            </w:r>
          </w:p>
          <w:p w14:paraId="0CBA27CF" w14:textId="3FB71031" w:rsidR="00E635F8" w:rsidRPr="00D318C4" w:rsidRDefault="00E635F8" w:rsidP="00D318C4">
            <w:pPr>
              <w:autoSpaceDE w:val="0"/>
              <w:autoSpaceDN w:val="0"/>
              <w:jc w:val="both"/>
              <w:rPr>
                <w:sz w:val="25"/>
                <w:szCs w:val="25"/>
              </w:rPr>
            </w:pPr>
            <w:r w:rsidRPr="00D318C4">
              <w:rPr>
                <w:sz w:val="25"/>
                <w:szCs w:val="25"/>
              </w:rPr>
              <w:t>Lai nodrošinātu augstāk minēto mērķu sasniegšanu, EM nodrošinās 4.2.1.2.pasākum</w:t>
            </w:r>
            <w:r w:rsidR="00EF7127" w:rsidRPr="00D318C4">
              <w:rPr>
                <w:sz w:val="25"/>
                <w:szCs w:val="25"/>
              </w:rPr>
              <w:t>a</w:t>
            </w:r>
            <w:r w:rsidRPr="00D318C4">
              <w:rPr>
                <w:sz w:val="25"/>
                <w:szCs w:val="25"/>
              </w:rPr>
              <w:t xml:space="preserve"> īstenošanu. </w:t>
            </w:r>
            <w:r w:rsidR="00E34C02" w:rsidRPr="00D318C4">
              <w:rPr>
                <w:sz w:val="25"/>
                <w:szCs w:val="25"/>
              </w:rPr>
              <w:t>4.2.1.2.</w:t>
            </w:r>
            <w:r w:rsidR="00EF7127" w:rsidRPr="00D318C4">
              <w:rPr>
                <w:sz w:val="25"/>
                <w:szCs w:val="25"/>
              </w:rPr>
              <w:t>p</w:t>
            </w:r>
            <w:r w:rsidRPr="00D318C4">
              <w:rPr>
                <w:sz w:val="25"/>
                <w:szCs w:val="25"/>
              </w:rPr>
              <w:t>asākuma un atlases kārtas mērķis ir veicināt energoefektivitātes paaugstināšanu, viedu energovadību un atjaunojamo energoresursu izmantošanu tiešās valsts pārvaldes iestādes vai tās padotības iestādes</w:t>
            </w:r>
            <w:r w:rsidR="00973434" w:rsidRPr="00D318C4">
              <w:rPr>
                <w:sz w:val="25"/>
                <w:szCs w:val="25"/>
              </w:rPr>
              <w:t>, vai valsts augstskolas un zinātniskā institūta</w:t>
            </w:r>
            <w:r w:rsidRPr="00D318C4">
              <w:rPr>
                <w:sz w:val="25"/>
                <w:szCs w:val="25"/>
              </w:rPr>
              <w:t xml:space="preserve"> īpašumā vai lietošanā esošajās ēkās.</w:t>
            </w:r>
          </w:p>
          <w:p w14:paraId="5C95DEE1" w14:textId="0E329361" w:rsidR="00E635F8" w:rsidRPr="00D318C4" w:rsidRDefault="00E635F8" w:rsidP="00D318C4">
            <w:pPr>
              <w:autoSpaceDE w:val="0"/>
              <w:autoSpaceDN w:val="0"/>
              <w:jc w:val="both"/>
              <w:rPr>
                <w:sz w:val="25"/>
                <w:szCs w:val="25"/>
              </w:rPr>
            </w:pPr>
            <w:r w:rsidRPr="00D318C4">
              <w:rPr>
                <w:sz w:val="25"/>
                <w:szCs w:val="25"/>
              </w:rPr>
              <w:t xml:space="preserve">4.2.1.2.pasākumam plānotais kopējais publiskais finansējums ir 115 127 027 </w:t>
            </w:r>
            <w:r w:rsidRPr="00D318C4">
              <w:rPr>
                <w:i/>
                <w:sz w:val="25"/>
                <w:szCs w:val="25"/>
              </w:rPr>
              <w:t>euro</w:t>
            </w:r>
            <w:r w:rsidRPr="00D318C4">
              <w:rPr>
                <w:sz w:val="25"/>
                <w:szCs w:val="25"/>
              </w:rPr>
              <w:t xml:space="preserve">, tajā skaitā ERAF finansējums – 97 857 972 </w:t>
            </w:r>
            <w:r w:rsidRPr="00D318C4">
              <w:rPr>
                <w:i/>
                <w:sz w:val="25"/>
                <w:szCs w:val="25"/>
              </w:rPr>
              <w:t>euro</w:t>
            </w:r>
            <w:r w:rsidRPr="00D318C4">
              <w:rPr>
                <w:sz w:val="25"/>
                <w:szCs w:val="25"/>
              </w:rPr>
              <w:t xml:space="preserve"> un valsts budžeta finansējums – 17 269 055 </w:t>
            </w:r>
            <w:r w:rsidRPr="00D318C4">
              <w:rPr>
                <w:i/>
                <w:sz w:val="25"/>
                <w:szCs w:val="25"/>
              </w:rPr>
              <w:t>euro</w:t>
            </w:r>
            <w:r w:rsidRPr="00D318C4">
              <w:rPr>
                <w:rStyle w:val="FootnoteReference"/>
                <w:i/>
                <w:sz w:val="25"/>
                <w:szCs w:val="25"/>
              </w:rPr>
              <w:footnoteReference w:id="2"/>
            </w:r>
            <w:r w:rsidRPr="00D318C4">
              <w:rPr>
                <w:sz w:val="25"/>
                <w:szCs w:val="25"/>
              </w:rPr>
              <w:t>. Projektu iesniegumu pieņemšana tiks nodrošināta divās projektu iesniegumu atlases kārtās, sniedzot atbalstu grantu veidā energoefektivitātes paaugstināšanas pasākumu īstenošanai.</w:t>
            </w:r>
          </w:p>
          <w:p w14:paraId="0CF2A61A" w14:textId="77777777" w:rsidR="00E635F8" w:rsidRPr="00D318C4" w:rsidRDefault="00E635F8" w:rsidP="00E635F8">
            <w:pPr>
              <w:rPr>
                <w:sz w:val="25"/>
                <w:szCs w:val="25"/>
              </w:rPr>
            </w:pPr>
          </w:p>
          <w:p w14:paraId="589B5DEE" w14:textId="77777777" w:rsidR="00E635F8" w:rsidRPr="00D318C4" w:rsidRDefault="00E635F8" w:rsidP="00E635F8">
            <w:pPr>
              <w:rPr>
                <w:i/>
                <w:sz w:val="25"/>
                <w:szCs w:val="25"/>
              </w:rPr>
            </w:pPr>
            <w:r w:rsidRPr="00D318C4">
              <w:rPr>
                <w:i/>
                <w:sz w:val="25"/>
                <w:szCs w:val="25"/>
              </w:rPr>
              <w:t>Pirmā projekti iesniegumu atlases kārta</w:t>
            </w:r>
          </w:p>
          <w:p w14:paraId="23658289" w14:textId="6E882544" w:rsidR="00F118FC" w:rsidRPr="00D318C4" w:rsidRDefault="00E635F8" w:rsidP="005343F6">
            <w:pPr>
              <w:spacing w:before="240" w:after="120"/>
              <w:contextualSpacing/>
              <w:jc w:val="both"/>
              <w:rPr>
                <w:b/>
                <w:sz w:val="25"/>
                <w:szCs w:val="25"/>
              </w:rPr>
            </w:pPr>
            <w:r w:rsidRPr="00D318C4">
              <w:rPr>
                <w:sz w:val="25"/>
                <w:szCs w:val="25"/>
              </w:rPr>
              <w:t xml:space="preserve">EM ir veikusi aprēķinu, lai novērtētu nepieciešamā finansējuma apmēru, lai ik gadu (sākot ar 2017.gadu) līdz 2020.gadam </w:t>
            </w:r>
            <w:r w:rsidR="006613D0" w:rsidRPr="00D318C4">
              <w:rPr>
                <w:sz w:val="25"/>
                <w:szCs w:val="25"/>
              </w:rPr>
              <w:t xml:space="preserve">atjaunotu </w:t>
            </w:r>
            <w:r w:rsidRPr="00D318C4">
              <w:rPr>
                <w:sz w:val="25"/>
                <w:szCs w:val="25"/>
              </w:rPr>
              <w:t xml:space="preserve">3% no valsts ēku kopējās platības, kuras EM ik gadu iekļauj valsts ēku sarakstā. Aprēķinā ņemts vērā, ka, 2014.gadā paaugstinot energoefektivitāti valsts ēkās, 2015.gada, 2016.gada un daļēji arī 2017.gada 3% mērķis jau ir izpildīts (2014.gada mērķis ir ticis pārpildīts, līdz ar to atbilstoši Direktīvas 2012/27ES 5.panta 3.punktam, papildus </w:t>
            </w:r>
            <w:r w:rsidR="006613D0" w:rsidRPr="00D318C4">
              <w:rPr>
                <w:sz w:val="25"/>
                <w:szCs w:val="25"/>
              </w:rPr>
              <w:t>atjaunoto</w:t>
            </w:r>
            <w:r w:rsidRPr="00D318C4">
              <w:rPr>
                <w:sz w:val="25"/>
                <w:szCs w:val="25"/>
              </w:rPr>
              <w:t xml:space="preserve"> ēku platību var ieskaitīt jebkurā no trim nākamo gadu ikgadēj</w:t>
            </w:r>
            <w:r w:rsidR="006613D0" w:rsidRPr="00D318C4">
              <w:rPr>
                <w:sz w:val="25"/>
                <w:szCs w:val="25"/>
              </w:rPr>
              <w:t>iem mērķiem</w:t>
            </w:r>
            <w:r w:rsidRPr="00D318C4">
              <w:rPr>
                <w:sz w:val="25"/>
                <w:szCs w:val="25"/>
              </w:rPr>
              <w:t>). Mērķa izpildei līdz 2020.gadam nepieciešams īstenot energoefektivitātes paaugstināšanas pasākumus</w:t>
            </w:r>
            <w:r w:rsidRPr="00D318C4">
              <w:rPr>
                <w:b/>
                <w:sz w:val="25"/>
                <w:szCs w:val="25"/>
              </w:rPr>
              <w:t xml:space="preserve"> </w:t>
            </w:r>
            <w:r w:rsidRPr="00D318C4">
              <w:rPr>
                <w:sz w:val="25"/>
                <w:szCs w:val="25"/>
              </w:rPr>
              <w:t>478 341,89 m</w:t>
            </w:r>
            <w:r w:rsidRPr="00D318C4">
              <w:rPr>
                <w:sz w:val="25"/>
                <w:szCs w:val="25"/>
                <w:vertAlign w:val="superscript"/>
              </w:rPr>
              <w:t>2</w:t>
            </w:r>
            <w:r w:rsidRPr="00D318C4">
              <w:rPr>
                <w:sz w:val="25"/>
                <w:szCs w:val="25"/>
              </w:rPr>
              <w:t xml:space="preserve"> no valsts ēku kopējās platības un tam nepieciešams kopējais finansējums 36,85 milj. </w:t>
            </w:r>
            <w:r w:rsidRPr="00D318C4">
              <w:rPr>
                <w:i/>
                <w:sz w:val="25"/>
                <w:szCs w:val="25"/>
              </w:rPr>
              <w:t xml:space="preserve">euro. </w:t>
            </w:r>
            <w:r w:rsidRPr="00D318C4">
              <w:rPr>
                <w:sz w:val="25"/>
                <w:szCs w:val="25"/>
              </w:rPr>
              <w:t xml:space="preserve">Bet papildus 3% mērķa izpildei līdz 2020.gadam, finansējumu var izlietot līdz 2022.gada 31.decembrim, tādēļ pieņemot prognozi, ka prasība par 3% mērķa izpildi ES līmenī tiks turpināta arī pēc 2020.gada, 4.2.1.2.pasākuma ietvaros valsts ēkas var turpināt </w:t>
            </w:r>
            <w:r w:rsidR="006613D0" w:rsidRPr="00D318C4">
              <w:rPr>
                <w:sz w:val="25"/>
                <w:szCs w:val="25"/>
              </w:rPr>
              <w:t>atjaunot</w:t>
            </w:r>
            <w:r w:rsidRPr="00D318C4">
              <w:rPr>
                <w:sz w:val="25"/>
                <w:szCs w:val="25"/>
              </w:rPr>
              <w:t xml:space="preserve"> līdz par 2022.gadam un pēdējā gadā (2022.gadā) var </w:t>
            </w:r>
            <w:r w:rsidR="006613D0" w:rsidRPr="00D318C4">
              <w:rPr>
                <w:sz w:val="25"/>
                <w:szCs w:val="25"/>
              </w:rPr>
              <w:t>atjaunot</w:t>
            </w:r>
            <w:r w:rsidRPr="00D318C4">
              <w:rPr>
                <w:sz w:val="25"/>
                <w:szCs w:val="25"/>
              </w:rPr>
              <w:t xml:space="preserve"> vairāk ēku, lai 3% mērķa pārpildi ieskaitītu vēl nākamajos trijos gados pēc pasākuma beigām (t.i. līdz 2025.gadam). Gala rezultātā, saskaitot </w:t>
            </w:r>
            <w:r w:rsidR="006613D0" w:rsidRPr="00D318C4">
              <w:rPr>
                <w:sz w:val="25"/>
                <w:szCs w:val="25"/>
              </w:rPr>
              <w:t>atjaunojamo</w:t>
            </w:r>
            <w:r w:rsidRPr="00D318C4">
              <w:rPr>
                <w:sz w:val="25"/>
                <w:szCs w:val="25"/>
              </w:rPr>
              <w:t xml:space="preserve"> ēku </w:t>
            </w:r>
            <w:r w:rsidR="006613D0" w:rsidRPr="00D318C4">
              <w:rPr>
                <w:sz w:val="25"/>
                <w:szCs w:val="25"/>
              </w:rPr>
              <w:t xml:space="preserve">kopējo platību </w:t>
            </w:r>
            <w:r w:rsidRPr="00D318C4">
              <w:rPr>
                <w:sz w:val="25"/>
                <w:szCs w:val="25"/>
              </w:rPr>
              <w:t xml:space="preserve">un tam nepieciešamā finansējuma apmēru laika periodam no 2017.-2025.gadam, secinām, ka valsts ēku energoefektivitātes paaugstināšanas pasākumu ietvaros </w:t>
            </w:r>
            <w:r w:rsidRPr="00D318C4">
              <w:rPr>
                <w:b/>
                <w:sz w:val="25"/>
                <w:szCs w:val="25"/>
              </w:rPr>
              <w:t>nepieciešams īstenot energoefektivitātes paaugstināšanas pasākumus 530 907,01 m</w:t>
            </w:r>
            <w:r w:rsidRPr="00D318C4">
              <w:rPr>
                <w:b/>
                <w:sz w:val="25"/>
                <w:szCs w:val="25"/>
                <w:vertAlign w:val="superscript"/>
              </w:rPr>
              <w:t>2</w:t>
            </w:r>
            <w:r w:rsidRPr="00D318C4">
              <w:rPr>
                <w:b/>
                <w:sz w:val="25"/>
                <w:szCs w:val="25"/>
              </w:rPr>
              <w:t xml:space="preserve"> </w:t>
            </w:r>
            <w:r w:rsidR="005343F6" w:rsidRPr="00D318C4">
              <w:rPr>
                <w:sz w:val="25"/>
                <w:szCs w:val="25"/>
              </w:rPr>
              <w:t>apmērā no</w:t>
            </w:r>
            <w:r w:rsidR="005343F6" w:rsidRPr="00D318C4">
              <w:rPr>
                <w:b/>
                <w:sz w:val="25"/>
                <w:szCs w:val="25"/>
              </w:rPr>
              <w:t xml:space="preserve"> </w:t>
            </w:r>
            <w:r w:rsidRPr="00D318C4">
              <w:rPr>
                <w:b/>
                <w:sz w:val="25"/>
                <w:szCs w:val="25"/>
              </w:rPr>
              <w:t>valsts ēku</w:t>
            </w:r>
            <w:r w:rsidRPr="00D318C4">
              <w:rPr>
                <w:sz w:val="25"/>
                <w:szCs w:val="25"/>
              </w:rPr>
              <w:t xml:space="preserve"> </w:t>
            </w:r>
            <w:r w:rsidRPr="00D318C4">
              <w:rPr>
                <w:b/>
                <w:sz w:val="25"/>
                <w:szCs w:val="25"/>
              </w:rPr>
              <w:t>kopējās platības</w:t>
            </w:r>
            <w:r w:rsidRPr="00D318C4">
              <w:rPr>
                <w:sz w:val="25"/>
                <w:szCs w:val="25"/>
              </w:rPr>
              <w:t xml:space="preserve"> un tam nepieciešamais kopējais finansējums ir 79,63 milj. </w:t>
            </w:r>
            <w:r w:rsidRPr="00D318C4">
              <w:rPr>
                <w:i/>
                <w:sz w:val="25"/>
                <w:szCs w:val="25"/>
              </w:rPr>
              <w:t>euro</w:t>
            </w:r>
            <w:r w:rsidRPr="00D318C4">
              <w:rPr>
                <w:sz w:val="25"/>
                <w:szCs w:val="25"/>
              </w:rPr>
              <w:t xml:space="preserve">. </w:t>
            </w:r>
            <w:r w:rsidR="00F93345" w:rsidRPr="00D318C4">
              <w:rPr>
                <w:sz w:val="25"/>
                <w:szCs w:val="25"/>
              </w:rPr>
              <w:t xml:space="preserve">Tā </w:t>
            </w:r>
            <w:r w:rsidR="00F93345" w:rsidRPr="00D318C4">
              <w:rPr>
                <w:sz w:val="25"/>
                <w:szCs w:val="25"/>
              </w:rPr>
              <w:lastRenderedPageBreak/>
              <w:t xml:space="preserve">kā atlases kārtas ietvaros </w:t>
            </w:r>
            <w:r w:rsidR="00EE57AB" w:rsidRPr="00D318C4">
              <w:rPr>
                <w:sz w:val="25"/>
                <w:szCs w:val="25"/>
              </w:rPr>
              <w:t xml:space="preserve">energoefektivitātes paaugstināšanas pasākumu īstenošanai </w:t>
            </w:r>
            <w:r w:rsidR="00F93345" w:rsidRPr="00D318C4">
              <w:rPr>
                <w:sz w:val="25"/>
                <w:szCs w:val="25"/>
              </w:rPr>
              <w:t xml:space="preserve">papildus </w:t>
            </w:r>
            <w:r w:rsidR="00EE57AB" w:rsidRPr="00D318C4">
              <w:rPr>
                <w:sz w:val="25"/>
                <w:szCs w:val="25"/>
              </w:rPr>
              <w:t xml:space="preserve">finansējums </w:t>
            </w:r>
            <w:r w:rsidR="00F93345" w:rsidRPr="00D318C4">
              <w:rPr>
                <w:sz w:val="25"/>
                <w:szCs w:val="25"/>
              </w:rPr>
              <w:t xml:space="preserve">tiek izdalīts </w:t>
            </w:r>
            <w:r w:rsidR="00B00D0E" w:rsidRPr="00D318C4">
              <w:rPr>
                <w:sz w:val="25"/>
                <w:szCs w:val="25"/>
              </w:rPr>
              <w:t xml:space="preserve">VAS “Valsts nekustamie īpašumi” projekta iesnieguma iesniegšanai un projekta īstenošanai par ēku Brīvības bulvārī 36 (Ministru kabinets) </w:t>
            </w:r>
            <w:r w:rsidR="00F93345" w:rsidRPr="00D318C4">
              <w:rPr>
                <w:sz w:val="25"/>
                <w:szCs w:val="25"/>
              </w:rPr>
              <w:t>2 983 364 </w:t>
            </w:r>
            <w:r w:rsidR="00F93345" w:rsidRPr="00D318C4">
              <w:rPr>
                <w:i/>
                <w:sz w:val="25"/>
                <w:szCs w:val="25"/>
              </w:rPr>
              <w:t>euro</w:t>
            </w:r>
            <w:r w:rsidR="00F93345" w:rsidRPr="00D318C4">
              <w:rPr>
                <w:sz w:val="25"/>
                <w:szCs w:val="25"/>
              </w:rPr>
              <w:t xml:space="preserve"> apmērā,</w:t>
            </w:r>
            <w:r w:rsidR="005605E8" w:rsidRPr="00D318C4">
              <w:rPr>
                <w:sz w:val="25"/>
                <w:szCs w:val="25"/>
              </w:rPr>
              <w:t xml:space="preserve"> </w:t>
            </w:r>
            <w:r w:rsidRPr="00D318C4">
              <w:rPr>
                <w:b/>
                <w:sz w:val="25"/>
                <w:szCs w:val="25"/>
              </w:rPr>
              <w:t xml:space="preserve">atlases kārtas īstenošanai pieejamais publiskais finansējums ir </w:t>
            </w:r>
            <w:r w:rsidR="00EE57AB" w:rsidRPr="00D318C4">
              <w:rPr>
                <w:b/>
                <w:sz w:val="25"/>
                <w:szCs w:val="25"/>
              </w:rPr>
              <w:t>82 619 415</w:t>
            </w:r>
            <w:r w:rsidRPr="00D318C4">
              <w:rPr>
                <w:b/>
                <w:sz w:val="25"/>
                <w:szCs w:val="25"/>
              </w:rPr>
              <w:t xml:space="preserve"> </w:t>
            </w:r>
            <w:r w:rsidRPr="00D318C4">
              <w:rPr>
                <w:b/>
                <w:i/>
                <w:sz w:val="25"/>
                <w:szCs w:val="25"/>
              </w:rPr>
              <w:t>euro</w:t>
            </w:r>
            <w:r w:rsidRPr="00D318C4">
              <w:rPr>
                <w:i/>
                <w:sz w:val="25"/>
                <w:szCs w:val="25"/>
              </w:rPr>
              <w:t>,</w:t>
            </w:r>
            <w:r w:rsidRPr="00D318C4">
              <w:rPr>
                <w:sz w:val="25"/>
                <w:szCs w:val="25"/>
              </w:rPr>
              <w:t xml:space="preserve"> tajā skaitā </w:t>
            </w:r>
            <w:r w:rsidRPr="00D318C4">
              <w:rPr>
                <w:b/>
                <w:sz w:val="25"/>
                <w:szCs w:val="25"/>
              </w:rPr>
              <w:t xml:space="preserve">ERAF finansējums </w:t>
            </w:r>
            <w:r w:rsidR="00EE57AB" w:rsidRPr="00D318C4">
              <w:rPr>
                <w:b/>
                <w:sz w:val="25"/>
                <w:szCs w:val="25"/>
              </w:rPr>
              <w:t>70</w:t>
            </w:r>
            <w:r w:rsidR="00B67A66" w:rsidRPr="00D318C4">
              <w:rPr>
                <w:b/>
                <w:sz w:val="25"/>
                <w:szCs w:val="25"/>
              </w:rPr>
              <w:t xml:space="preserve"> 226 </w:t>
            </w:r>
            <w:r w:rsidR="00D446C2" w:rsidRPr="00D318C4">
              <w:rPr>
                <w:b/>
                <w:sz w:val="25"/>
                <w:szCs w:val="25"/>
              </w:rPr>
              <w:t xml:space="preserve">502 </w:t>
            </w:r>
            <w:r w:rsidRPr="00D318C4">
              <w:rPr>
                <w:b/>
                <w:i/>
                <w:sz w:val="25"/>
                <w:szCs w:val="25"/>
              </w:rPr>
              <w:t>euro</w:t>
            </w:r>
            <w:r w:rsidRPr="00D318C4">
              <w:rPr>
                <w:b/>
                <w:sz w:val="25"/>
                <w:szCs w:val="25"/>
              </w:rPr>
              <w:t xml:space="preserve"> un valsts budžeta finansējums 1</w:t>
            </w:r>
            <w:r w:rsidR="00B67A66" w:rsidRPr="00D318C4">
              <w:rPr>
                <w:b/>
                <w:sz w:val="25"/>
                <w:szCs w:val="25"/>
              </w:rPr>
              <w:t>2</w:t>
            </w:r>
            <w:r w:rsidR="005343F6" w:rsidRPr="00D318C4">
              <w:rPr>
                <w:b/>
                <w:sz w:val="25"/>
                <w:szCs w:val="25"/>
              </w:rPr>
              <w:t> </w:t>
            </w:r>
            <w:r w:rsidR="00B67A66" w:rsidRPr="00D318C4">
              <w:rPr>
                <w:b/>
                <w:sz w:val="25"/>
                <w:szCs w:val="25"/>
              </w:rPr>
              <w:t>392</w:t>
            </w:r>
            <w:r w:rsidR="005343F6" w:rsidRPr="00D318C4">
              <w:rPr>
                <w:b/>
                <w:sz w:val="25"/>
                <w:szCs w:val="25"/>
              </w:rPr>
              <w:t> </w:t>
            </w:r>
            <w:r w:rsidR="00D446C2" w:rsidRPr="00D318C4">
              <w:rPr>
                <w:b/>
                <w:sz w:val="25"/>
                <w:szCs w:val="25"/>
              </w:rPr>
              <w:t xml:space="preserve">913 </w:t>
            </w:r>
            <w:r w:rsidRPr="00D318C4">
              <w:rPr>
                <w:b/>
                <w:i/>
                <w:sz w:val="25"/>
                <w:szCs w:val="25"/>
              </w:rPr>
              <w:t>euro</w:t>
            </w:r>
            <w:r w:rsidR="005605E8" w:rsidRPr="00D318C4">
              <w:rPr>
                <w:b/>
                <w:sz w:val="25"/>
                <w:szCs w:val="25"/>
              </w:rPr>
              <w:t xml:space="preserve">. </w:t>
            </w:r>
            <w:r w:rsidRPr="00D318C4">
              <w:rPr>
                <w:b/>
                <w:sz w:val="25"/>
                <w:szCs w:val="25"/>
              </w:rPr>
              <w:t xml:space="preserve"> </w:t>
            </w:r>
          </w:p>
          <w:p w14:paraId="391C9340" w14:textId="77777777" w:rsidR="005343F6" w:rsidRPr="00D318C4" w:rsidRDefault="005343F6" w:rsidP="005343F6">
            <w:pPr>
              <w:autoSpaceDE w:val="0"/>
              <w:autoSpaceDN w:val="0"/>
              <w:jc w:val="both"/>
              <w:rPr>
                <w:sz w:val="25"/>
                <w:szCs w:val="25"/>
              </w:rPr>
            </w:pPr>
            <w:r w:rsidRPr="00D318C4">
              <w:rPr>
                <w:sz w:val="25"/>
                <w:szCs w:val="25"/>
              </w:rPr>
              <w:t>Atlases kārtas ietvaros sasniedzamie iznākuma rādītāji:</w:t>
            </w:r>
          </w:p>
          <w:p w14:paraId="1849DD7D" w14:textId="77777777" w:rsidR="005343F6" w:rsidRPr="00D318C4" w:rsidRDefault="005343F6" w:rsidP="005343F6">
            <w:pPr>
              <w:pStyle w:val="ListParagraph"/>
              <w:numPr>
                <w:ilvl w:val="0"/>
                <w:numId w:val="4"/>
              </w:numPr>
              <w:autoSpaceDE w:val="0"/>
              <w:autoSpaceDN w:val="0"/>
              <w:jc w:val="both"/>
              <w:rPr>
                <w:sz w:val="25"/>
                <w:szCs w:val="25"/>
              </w:rPr>
            </w:pPr>
            <w:r w:rsidRPr="00D318C4">
              <w:rPr>
                <w:sz w:val="25"/>
                <w:szCs w:val="25"/>
              </w:rPr>
              <w:t>uzstādītā atjaunojamos energoresursus izmantojoša siltumenerģijas ražošanas papildjauda ir 1,48 MW;</w:t>
            </w:r>
          </w:p>
          <w:p w14:paraId="64C2B2B7" w14:textId="77777777" w:rsidR="005343F6" w:rsidRPr="00D318C4" w:rsidRDefault="005343F6" w:rsidP="005343F6">
            <w:pPr>
              <w:pStyle w:val="ListParagraph"/>
              <w:numPr>
                <w:ilvl w:val="0"/>
                <w:numId w:val="4"/>
              </w:numPr>
              <w:autoSpaceDE w:val="0"/>
              <w:autoSpaceDN w:val="0"/>
              <w:jc w:val="both"/>
              <w:rPr>
                <w:sz w:val="25"/>
                <w:szCs w:val="25"/>
              </w:rPr>
            </w:pPr>
            <w:r w:rsidRPr="00D318C4">
              <w:rPr>
                <w:sz w:val="25"/>
                <w:szCs w:val="25"/>
              </w:rPr>
              <w:t>aprēķinātais siltumnīcefekta gāzu samazinājums ir 6 787 CO</w:t>
            </w:r>
            <w:r w:rsidRPr="00D318C4">
              <w:rPr>
                <w:sz w:val="25"/>
                <w:szCs w:val="25"/>
                <w:vertAlign w:val="subscript"/>
              </w:rPr>
              <w:t>2</w:t>
            </w:r>
            <w:r w:rsidRPr="00D318C4">
              <w:rPr>
                <w:sz w:val="25"/>
                <w:szCs w:val="25"/>
              </w:rPr>
              <w:t xml:space="preserve"> ekvivalenta tonnas gadā;</w:t>
            </w:r>
          </w:p>
          <w:p w14:paraId="1C4EFA10" w14:textId="77777777" w:rsidR="005343F6" w:rsidRPr="00D318C4" w:rsidRDefault="005343F6" w:rsidP="005343F6">
            <w:pPr>
              <w:pStyle w:val="ListParagraph"/>
              <w:numPr>
                <w:ilvl w:val="0"/>
                <w:numId w:val="4"/>
              </w:numPr>
              <w:autoSpaceDE w:val="0"/>
              <w:autoSpaceDN w:val="0"/>
              <w:jc w:val="both"/>
              <w:rPr>
                <w:sz w:val="25"/>
                <w:szCs w:val="25"/>
              </w:rPr>
            </w:pPr>
            <w:r w:rsidRPr="00D318C4">
              <w:rPr>
                <w:sz w:val="25"/>
                <w:szCs w:val="25"/>
              </w:rPr>
              <w:t xml:space="preserve">primārās enerģijas gada patēriņa samazinājums sabiedriskajās ēkās 26 084 MWh/gadā. </w:t>
            </w:r>
          </w:p>
          <w:p w14:paraId="1CDBFAA7" w14:textId="0435B669" w:rsidR="005343F6" w:rsidRPr="00D318C4" w:rsidRDefault="00D4686C" w:rsidP="005343F6">
            <w:pPr>
              <w:pStyle w:val="ListParagraph"/>
              <w:autoSpaceDE w:val="0"/>
              <w:autoSpaceDN w:val="0"/>
              <w:ind w:left="0"/>
              <w:jc w:val="both"/>
              <w:rPr>
                <w:sz w:val="25"/>
                <w:szCs w:val="25"/>
              </w:rPr>
            </w:pPr>
            <w:r w:rsidRPr="00D318C4">
              <w:rPr>
                <w:sz w:val="25"/>
                <w:szCs w:val="25"/>
              </w:rPr>
              <w:t>Ar papildjaudu tiek saprasta jebkāda veida atjaunojamo energoresursu papildus jauda (pirms tam nebijusi), ko var iegūt aizstājot esošo fosilo kurināmo ar AER izmantojošu. Savukārt p</w:t>
            </w:r>
            <w:r w:rsidR="005343F6" w:rsidRPr="00D318C4">
              <w:rPr>
                <w:sz w:val="25"/>
                <w:szCs w:val="25"/>
              </w:rPr>
              <w:t>rimārā enerģija ietver enerģiju no atjaunojamiem un neatjaunojamiem enerģijas avotiem, kas nav pārstrādāta vai pārveidota, līdz ar to primārās enerģijas gada patēriņa samazinājuma aprēķinā tiek ņemts vērā enerģijas ietaupījumus MWh/gadā gan no atjaunojamiem, gan no fosiliem resursiem.</w:t>
            </w:r>
          </w:p>
          <w:p w14:paraId="0D62A0C1" w14:textId="77777777" w:rsidR="00B5565E" w:rsidRPr="00D318C4" w:rsidRDefault="005343F6" w:rsidP="00B5565E">
            <w:pPr>
              <w:autoSpaceDE w:val="0"/>
              <w:autoSpaceDN w:val="0"/>
              <w:jc w:val="both"/>
              <w:rPr>
                <w:sz w:val="25"/>
                <w:szCs w:val="25"/>
              </w:rPr>
            </w:pPr>
            <w:r w:rsidRPr="00D318C4">
              <w:rPr>
                <w:sz w:val="25"/>
                <w:szCs w:val="25"/>
              </w:rPr>
              <w:t>Savukārt gan pēc MK noteikumu projekta 3.pielikuma, gan apkopotās informācijas par atbalstītajiem projektiem no projektu atskaitēm un KP VIS sistēmas, CO</w:t>
            </w:r>
            <w:r w:rsidRPr="00D318C4">
              <w:rPr>
                <w:sz w:val="25"/>
                <w:szCs w:val="25"/>
                <w:vertAlign w:val="subscript"/>
              </w:rPr>
              <w:t>2</w:t>
            </w:r>
            <w:r w:rsidRPr="00D318C4">
              <w:rPr>
                <w:sz w:val="25"/>
                <w:szCs w:val="25"/>
              </w:rPr>
              <w:t xml:space="preserve"> samazinājums tik aprēķināts pēc Ministru kabineta 2013.gada 25.jūnija noteikumu Nr.348 „Ēku energoefektivitātes aprēķina metode” 175. punkta un šo noteikumu 1.pielikuma 3.tabulā norādītājām emisijas faktoru vērtībām</w:t>
            </w:r>
            <w:r w:rsidR="00D4686C" w:rsidRPr="00D318C4">
              <w:rPr>
                <w:sz w:val="25"/>
                <w:szCs w:val="25"/>
              </w:rPr>
              <w:t>. J</w:t>
            </w:r>
            <w:r w:rsidRPr="00D318C4">
              <w:rPr>
                <w:sz w:val="25"/>
                <w:szCs w:val="25"/>
              </w:rPr>
              <w:t xml:space="preserve">a kā kurināmu izmantos koksni, ogļskābās gāzes ekvivalenta aprēķinā </w:t>
            </w:r>
            <w:r w:rsidR="00D4686C" w:rsidRPr="00D318C4">
              <w:rPr>
                <w:sz w:val="25"/>
                <w:szCs w:val="25"/>
              </w:rPr>
              <w:t xml:space="preserve">tiks </w:t>
            </w:r>
            <w:r w:rsidRPr="00D318C4">
              <w:rPr>
                <w:sz w:val="25"/>
                <w:szCs w:val="25"/>
              </w:rPr>
              <w:t>piemēro</w:t>
            </w:r>
            <w:r w:rsidR="00D4686C" w:rsidRPr="00D318C4">
              <w:rPr>
                <w:sz w:val="25"/>
                <w:szCs w:val="25"/>
              </w:rPr>
              <w:t>ts</w:t>
            </w:r>
            <w:r w:rsidRPr="00D318C4">
              <w:rPr>
                <w:sz w:val="25"/>
                <w:szCs w:val="25"/>
              </w:rPr>
              <w:t xml:space="preserve"> ogļskābās gāzes ekvivalenta faktoru 0,264 kg/Wh un primārās enerģijas patēriņa aprēķinā piemēro</w:t>
            </w:r>
            <w:r w:rsidR="00D4686C" w:rsidRPr="00D318C4">
              <w:rPr>
                <w:sz w:val="25"/>
                <w:szCs w:val="25"/>
              </w:rPr>
              <w:t>s konversijas koeficientu 1,0 (nosacījums attiecināms tikai uz 4.2.1.2.pasākumu).</w:t>
            </w:r>
            <w:r w:rsidR="00B5565E" w:rsidRPr="00D318C4">
              <w:rPr>
                <w:sz w:val="25"/>
                <w:szCs w:val="25"/>
              </w:rPr>
              <w:t xml:space="preserve"> </w:t>
            </w:r>
          </w:p>
          <w:p w14:paraId="7E8CCF24" w14:textId="2817008C" w:rsidR="00B5565E" w:rsidRPr="00D318C4" w:rsidRDefault="00B5565E" w:rsidP="00B5565E">
            <w:pPr>
              <w:autoSpaceDE w:val="0"/>
              <w:autoSpaceDN w:val="0"/>
              <w:jc w:val="both"/>
              <w:rPr>
                <w:sz w:val="25"/>
                <w:szCs w:val="25"/>
              </w:rPr>
            </w:pPr>
            <w:r w:rsidRPr="00D318C4">
              <w:rPr>
                <w:sz w:val="25"/>
                <w:szCs w:val="25"/>
              </w:rPr>
              <w:t>Aprēķinus veiks atbildīgā iestāde – Ekonomikas ministrija un nodrošinās arī šīs informācijas uzglabāšanu, lai varētu sniegt informāciju par 4.2.1.2. pasākumam noteikto iznākuma rādītāju sasniegšanu.</w:t>
            </w:r>
          </w:p>
          <w:p w14:paraId="32FFBCB9" w14:textId="5DC54C5E" w:rsidR="00E635F8" w:rsidRPr="00D318C4" w:rsidRDefault="00E635F8" w:rsidP="00E635F8">
            <w:pPr>
              <w:spacing w:after="120"/>
              <w:contextualSpacing/>
              <w:jc w:val="both"/>
              <w:rPr>
                <w:sz w:val="25"/>
                <w:szCs w:val="25"/>
              </w:rPr>
            </w:pPr>
            <w:r w:rsidRPr="00D318C4">
              <w:rPr>
                <w:sz w:val="25"/>
                <w:szCs w:val="25"/>
              </w:rPr>
              <w:t>Pirmā projektu iesniegumu atlases kārta tiks īstenota ierobežotas projektu iesniegumu atlases veidā, vienlaicīgi paredzot nepārtrauktu projektu iesniegumu iesniegšanu. Šāda projektu iesniegumu atlases organizēšana nodrošinās:</w:t>
            </w:r>
          </w:p>
          <w:p w14:paraId="17F7CDBE" w14:textId="77777777" w:rsidR="00E635F8" w:rsidRPr="00D318C4" w:rsidRDefault="00E635F8" w:rsidP="00E635F8">
            <w:pPr>
              <w:numPr>
                <w:ilvl w:val="0"/>
                <w:numId w:val="8"/>
              </w:numPr>
              <w:autoSpaceDE w:val="0"/>
              <w:autoSpaceDN w:val="0"/>
              <w:jc w:val="both"/>
              <w:rPr>
                <w:sz w:val="25"/>
                <w:szCs w:val="25"/>
              </w:rPr>
            </w:pPr>
            <w:r w:rsidRPr="00D318C4">
              <w:rPr>
                <w:sz w:val="25"/>
                <w:szCs w:val="25"/>
              </w:rPr>
              <w:t>ātrāku projektu iesniegumu izvērtēšanu pēc to sagatavošanas un iesniegšanas;</w:t>
            </w:r>
          </w:p>
          <w:p w14:paraId="189C9EE9" w14:textId="77777777" w:rsidR="00E635F8" w:rsidRPr="00D318C4" w:rsidRDefault="00E635F8" w:rsidP="00E635F8">
            <w:pPr>
              <w:numPr>
                <w:ilvl w:val="0"/>
                <w:numId w:val="8"/>
              </w:numPr>
              <w:autoSpaceDE w:val="0"/>
              <w:autoSpaceDN w:val="0"/>
              <w:jc w:val="both"/>
              <w:rPr>
                <w:sz w:val="25"/>
                <w:szCs w:val="25"/>
              </w:rPr>
            </w:pPr>
            <w:r w:rsidRPr="00D318C4">
              <w:rPr>
                <w:sz w:val="25"/>
                <w:szCs w:val="25"/>
              </w:rPr>
              <w:t>ātrāku projektu īstenošanu;</w:t>
            </w:r>
          </w:p>
          <w:p w14:paraId="4B88FC8D" w14:textId="29AD0692" w:rsidR="00E635F8" w:rsidRPr="00D318C4" w:rsidRDefault="00E635F8" w:rsidP="00E635F8">
            <w:pPr>
              <w:numPr>
                <w:ilvl w:val="0"/>
                <w:numId w:val="8"/>
              </w:numPr>
              <w:autoSpaceDE w:val="0"/>
              <w:autoSpaceDN w:val="0"/>
              <w:jc w:val="both"/>
              <w:rPr>
                <w:sz w:val="25"/>
                <w:szCs w:val="25"/>
              </w:rPr>
            </w:pPr>
            <w:r w:rsidRPr="00D318C4">
              <w:rPr>
                <w:sz w:val="25"/>
                <w:szCs w:val="25"/>
              </w:rPr>
              <w:t xml:space="preserve">izlīdzinās Centrālās finanšu un līgumu aģentūras (turpmāk – CFLA) darbinieku noslodzi un minimizēs riskus savlaicīgai projektu iesniegumu izskatīšanai, jo nebūs īsā, ierobežotā </w:t>
            </w:r>
            <w:r w:rsidRPr="00D318C4">
              <w:rPr>
                <w:sz w:val="25"/>
                <w:szCs w:val="25"/>
              </w:rPr>
              <w:lastRenderedPageBreak/>
              <w:t>termiņā jāveic projektu iesniegumu izvērtēšana lielam skaitam projektu iesniegumu.</w:t>
            </w:r>
          </w:p>
          <w:p w14:paraId="614D97FE" w14:textId="77777777" w:rsidR="00E635F8" w:rsidRPr="00D318C4" w:rsidRDefault="00E635F8" w:rsidP="00E635F8">
            <w:pPr>
              <w:autoSpaceDE w:val="0"/>
              <w:autoSpaceDN w:val="0"/>
              <w:jc w:val="both"/>
              <w:rPr>
                <w:sz w:val="25"/>
                <w:szCs w:val="25"/>
              </w:rPr>
            </w:pPr>
            <w:r w:rsidRPr="00D318C4">
              <w:rPr>
                <w:sz w:val="25"/>
                <w:szCs w:val="25"/>
              </w:rPr>
              <w:t>Šajā projektu iesniegumu atlases kārtā projekta iesniedzēji ir:</w:t>
            </w:r>
          </w:p>
          <w:p w14:paraId="78CCE541" w14:textId="77777777" w:rsidR="00E635F8" w:rsidRPr="00D318C4" w:rsidRDefault="00E635F8" w:rsidP="00E635F8">
            <w:pPr>
              <w:pStyle w:val="ListParagraph"/>
              <w:numPr>
                <w:ilvl w:val="0"/>
                <w:numId w:val="9"/>
              </w:numPr>
              <w:autoSpaceDE w:val="0"/>
              <w:autoSpaceDN w:val="0"/>
              <w:jc w:val="both"/>
              <w:rPr>
                <w:sz w:val="25"/>
                <w:szCs w:val="25"/>
              </w:rPr>
            </w:pPr>
            <w:r w:rsidRPr="00D318C4">
              <w:rPr>
                <w:sz w:val="25"/>
                <w:szCs w:val="25"/>
              </w:rPr>
              <w:t xml:space="preserve">tiešās valsts pārvaldes iestādes vai tās padotības iestādes; </w:t>
            </w:r>
          </w:p>
          <w:p w14:paraId="6783E3B9" w14:textId="7CAF64ED" w:rsidR="00E635F8" w:rsidRPr="00D318C4" w:rsidRDefault="00E635F8" w:rsidP="00973434">
            <w:pPr>
              <w:numPr>
                <w:ilvl w:val="0"/>
                <w:numId w:val="9"/>
              </w:numPr>
              <w:autoSpaceDE w:val="0"/>
              <w:autoSpaceDN w:val="0"/>
              <w:jc w:val="both"/>
              <w:rPr>
                <w:sz w:val="25"/>
                <w:szCs w:val="25"/>
              </w:rPr>
            </w:pPr>
            <w:r w:rsidRPr="00D318C4">
              <w:rPr>
                <w:sz w:val="25"/>
                <w:szCs w:val="25"/>
              </w:rPr>
              <w:t>valsts augstskolas un valsts zinātniskie institūti – atvasinātas publiskas personas</w:t>
            </w:r>
            <w:r w:rsidR="00973434" w:rsidRPr="00D318C4">
              <w:rPr>
                <w:sz w:val="25"/>
                <w:szCs w:val="25"/>
              </w:rPr>
              <w:t>, vai zinātniskais institūts - atvasināta publiska persona, kas ir valsts dibinātas universitātes pārraudzībā</w:t>
            </w:r>
            <w:r w:rsidRPr="00D318C4">
              <w:rPr>
                <w:sz w:val="25"/>
                <w:szCs w:val="25"/>
              </w:rPr>
              <w:t>;</w:t>
            </w:r>
          </w:p>
          <w:p w14:paraId="69CA28DD" w14:textId="5B3D14E7" w:rsidR="00E635F8" w:rsidRPr="00D318C4" w:rsidRDefault="00E635F8" w:rsidP="00E635F8">
            <w:pPr>
              <w:numPr>
                <w:ilvl w:val="0"/>
                <w:numId w:val="9"/>
              </w:numPr>
              <w:autoSpaceDE w:val="0"/>
              <w:autoSpaceDN w:val="0"/>
              <w:jc w:val="both"/>
              <w:rPr>
                <w:sz w:val="25"/>
                <w:szCs w:val="25"/>
              </w:rPr>
            </w:pPr>
            <w:r w:rsidRPr="00D318C4">
              <w:rPr>
                <w:sz w:val="25"/>
                <w:szCs w:val="25"/>
              </w:rPr>
              <w:t>valsts kapitālsabiedrības, kura saskaņā ar normatīvos aktos noteikto deleģējumu veic valsts nekustamo īpašumu pārvaldīšanu un apsaimniekošanu – valsts akciju sabiedrība “Valsts nekustamie īpašumi”, valsts akciju sabiedrība “Tiesu namu aģentūra”, valsts sabiedrība ar ierobežotu atbildību “Šampētera nams”, valsts sabiedrība ar ierobežotu atbildību “Zemkopības ministrijas nekustamie īpašumi”.</w:t>
            </w:r>
          </w:p>
          <w:p w14:paraId="5BF40361" w14:textId="77777777" w:rsidR="00B00D0E" w:rsidRPr="00D318C4" w:rsidRDefault="00B00D0E" w:rsidP="00B00D0E">
            <w:pPr>
              <w:autoSpaceDE w:val="0"/>
              <w:autoSpaceDN w:val="0"/>
              <w:jc w:val="both"/>
              <w:rPr>
                <w:sz w:val="25"/>
                <w:szCs w:val="25"/>
              </w:rPr>
            </w:pPr>
            <w:r w:rsidRPr="00D318C4">
              <w:rPr>
                <w:sz w:val="25"/>
                <w:szCs w:val="25"/>
              </w:rPr>
              <w:t xml:space="preserve">Valsts zinātnisko institūtu veiktās valsts deleģētās funkcijas katram institūtam ir individuālas, bet galvenokārt tā ir fundamentālo un lietišķo pētījumu veikšana, dažādu uzskaites datu nodrošināšana, bakalaura vai maģistra programmu studentu un doktorantu iesaistīšana pētnieciskajā darbībā, zinātniskās kvalifikācijas pilnveidošanas pasākumu attiecīgajā nozarē īstenošana, pakalpojumu sniegšana pētniecības jomā u.c. funkciju nodrošināšana. </w:t>
            </w:r>
          </w:p>
          <w:p w14:paraId="2D136A1D" w14:textId="6298DF6D" w:rsidR="00737CBC" w:rsidRPr="00D318C4" w:rsidRDefault="00E635F8" w:rsidP="00737CBC">
            <w:pPr>
              <w:spacing w:before="240" w:after="120"/>
              <w:contextualSpacing/>
              <w:jc w:val="both"/>
              <w:rPr>
                <w:sz w:val="25"/>
                <w:szCs w:val="25"/>
              </w:rPr>
            </w:pPr>
            <w:r w:rsidRPr="00D318C4">
              <w:rPr>
                <w:sz w:val="25"/>
                <w:szCs w:val="25"/>
              </w:rPr>
              <w:t>Pirmās projektu iesniegumu atlases kārtas īstenošanai pieejamais publiskais f</w:t>
            </w:r>
            <w:r w:rsidRPr="00D318C4">
              <w:rPr>
                <w:bCs/>
                <w:sz w:val="25"/>
                <w:szCs w:val="25"/>
              </w:rPr>
              <w:t xml:space="preserve">inansējums tiek sadalīts </w:t>
            </w:r>
            <w:r w:rsidRPr="00D318C4">
              <w:rPr>
                <w:b/>
                <w:bCs/>
                <w:sz w:val="25"/>
                <w:szCs w:val="25"/>
              </w:rPr>
              <w:t>kvotās</w:t>
            </w:r>
            <w:r w:rsidRPr="00D318C4">
              <w:rPr>
                <w:bCs/>
                <w:sz w:val="25"/>
                <w:szCs w:val="25"/>
              </w:rPr>
              <w:t xml:space="preserve"> ministrijām (pēc lietotāja, nevis īpašnieka) </w:t>
            </w:r>
            <w:r w:rsidRPr="00D318C4">
              <w:rPr>
                <w:b/>
                <w:bCs/>
                <w:sz w:val="25"/>
                <w:szCs w:val="25"/>
              </w:rPr>
              <w:t xml:space="preserve">proporcionāli </w:t>
            </w:r>
            <w:r w:rsidR="00737CBC" w:rsidRPr="00D318C4">
              <w:rPr>
                <w:sz w:val="25"/>
                <w:szCs w:val="25"/>
              </w:rPr>
              <w:t>ministriju vai to padotības iestāžu īpašumā vai lietošanā esošo ēku</w:t>
            </w:r>
            <w:r w:rsidR="00737CBC" w:rsidRPr="00D318C4">
              <w:rPr>
                <w:b/>
                <w:bCs/>
                <w:sz w:val="25"/>
                <w:szCs w:val="25"/>
              </w:rPr>
              <w:t xml:space="preserve">  apkurināmai </w:t>
            </w:r>
            <w:r w:rsidRPr="00D318C4">
              <w:rPr>
                <w:b/>
                <w:bCs/>
                <w:sz w:val="25"/>
                <w:szCs w:val="25"/>
              </w:rPr>
              <w:t>platībai (m</w:t>
            </w:r>
            <w:r w:rsidRPr="00D318C4">
              <w:rPr>
                <w:b/>
                <w:bCs/>
                <w:sz w:val="25"/>
                <w:szCs w:val="25"/>
                <w:vertAlign w:val="superscript"/>
              </w:rPr>
              <w:t>2</w:t>
            </w:r>
            <w:r w:rsidRPr="00D318C4">
              <w:rPr>
                <w:b/>
                <w:bCs/>
                <w:sz w:val="25"/>
                <w:szCs w:val="25"/>
              </w:rPr>
              <w:t>)</w:t>
            </w:r>
            <w:r w:rsidR="00B00D0E" w:rsidRPr="00D318C4">
              <w:rPr>
                <w:b/>
                <w:bCs/>
                <w:sz w:val="25"/>
                <w:szCs w:val="25"/>
              </w:rPr>
              <w:t xml:space="preserve"> </w:t>
            </w:r>
            <w:r w:rsidR="00B00D0E" w:rsidRPr="00D318C4">
              <w:rPr>
                <w:bCs/>
                <w:sz w:val="25"/>
                <w:szCs w:val="25"/>
              </w:rPr>
              <w:t xml:space="preserve">un </w:t>
            </w:r>
            <w:r w:rsidR="00737CBC" w:rsidRPr="00D318C4">
              <w:rPr>
                <w:sz w:val="25"/>
                <w:szCs w:val="25"/>
              </w:rPr>
              <w:t>VAS “Valsts nekustamie īpašumi” projekta iesnieguma iesniegšanai un projekta īstenošanai par Ministru kabinetu, kas ir valstiski nozīmīg</w:t>
            </w:r>
            <w:r w:rsidR="00DB7BFF" w:rsidRPr="00D318C4">
              <w:rPr>
                <w:sz w:val="25"/>
                <w:szCs w:val="25"/>
              </w:rPr>
              <w:t>a</w:t>
            </w:r>
            <w:r w:rsidR="00737CBC" w:rsidRPr="00D318C4">
              <w:rPr>
                <w:sz w:val="25"/>
                <w:szCs w:val="25"/>
              </w:rPr>
              <w:t xml:space="preserve"> administratīva ēka, koleģiāla institūcija, kas ar tam padoto valsts pārvaldes iestāžu starpniecību īsteno izpildvaru</w:t>
            </w:r>
            <w:r w:rsidRPr="00D318C4">
              <w:rPr>
                <w:bCs/>
                <w:sz w:val="25"/>
                <w:szCs w:val="25"/>
              </w:rPr>
              <w:t>.</w:t>
            </w:r>
            <w:r w:rsidR="00737CBC" w:rsidRPr="00D318C4">
              <w:rPr>
                <w:bCs/>
                <w:sz w:val="25"/>
                <w:szCs w:val="25"/>
              </w:rPr>
              <w:t xml:space="preserve"> </w:t>
            </w:r>
            <w:r w:rsidR="00737CBC" w:rsidRPr="00D318C4">
              <w:rPr>
                <w:sz w:val="25"/>
                <w:szCs w:val="25"/>
              </w:rPr>
              <w:t>Multiresorisku valsts nekustamo īpašumu attīstības projektu ietvaros finansējuma pieprasījumu par būvniecības darbu kapitālieguldījumu, nomas maksas, aprīkojumu, pārcelšanas un komunālo maksājumu izdevumu segšanai papildus nepieciešamajiem valsts budžeta finanšu līdzekļiem apkopo un iesniedz tā ministrija, valsts pārvaldes iestāde, kas īsteno minēto attīstības projektu vai kuras pārraudzībā ir iestāde, t.sk. specializētā valsts kapitālsabiedrība, kas īsteno minēto attīstības projektu (ja projekta īstenošana tiek dalīta starp ministrijām vai citām valsts pārvaldes iestādēm, pirms tam pieņemams lēmums par finansējuma pieprasījuma virzītāju). Līdz ar to par ēku Brīvības bulvārī 36, kur atrodas Ministru kabinets, projekta iesniegumu iesniedz un projekta īstenošanu nodrošina VAS “Valsts nekustamie īpašumi”.</w:t>
            </w:r>
          </w:p>
          <w:p w14:paraId="311F9CC3" w14:textId="3127B7AE" w:rsidR="00DB7BFF" w:rsidRPr="00D318C4" w:rsidRDefault="00DB7BFF" w:rsidP="00D318C4">
            <w:pPr>
              <w:autoSpaceDE w:val="0"/>
              <w:autoSpaceDN w:val="0"/>
              <w:jc w:val="both"/>
              <w:rPr>
                <w:sz w:val="25"/>
                <w:szCs w:val="25"/>
              </w:rPr>
            </w:pPr>
            <w:r w:rsidRPr="00D318C4">
              <w:rPr>
                <w:sz w:val="25"/>
                <w:szCs w:val="25"/>
              </w:rPr>
              <w:t>Lai piedalītos atlases kārtā, ēkai jābūt iekļautai vals</w:t>
            </w:r>
            <w:r w:rsidR="002F4EBC" w:rsidRPr="00D318C4">
              <w:rPr>
                <w:sz w:val="25"/>
                <w:szCs w:val="25"/>
              </w:rPr>
              <w:t xml:space="preserve">ts ēku sarakstā vai jābūt pieņemtam Ministru kabineta rīkojumam par ēkas izmantošanu valsts iestādes, valsts augstskolas vai tās pārraudzībā esošā zinātniskā institūta – atvasinātas publiskas personas, vai valsts zinātniskā institūta – atvasinātas publiskas personas funkciju īstenošanai vai </w:t>
            </w:r>
            <w:r w:rsidR="002F4EBC" w:rsidRPr="00D318C4">
              <w:rPr>
                <w:sz w:val="25"/>
                <w:szCs w:val="25"/>
              </w:rPr>
              <w:lastRenderedPageBreak/>
              <w:t xml:space="preserve">atrašanās vietas maiņu. </w:t>
            </w:r>
            <w:r w:rsidR="00AD3AE1" w:rsidRPr="00D318C4">
              <w:rPr>
                <w:sz w:val="25"/>
                <w:szCs w:val="25"/>
              </w:rPr>
              <w:t xml:space="preserve">Ja </w:t>
            </w:r>
            <w:r w:rsidR="00E93579" w:rsidRPr="00D318C4">
              <w:rPr>
                <w:sz w:val="25"/>
                <w:szCs w:val="25"/>
              </w:rPr>
              <w:t>tiek mainīta atraša</w:t>
            </w:r>
            <w:r w:rsidR="003A7BEB" w:rsidRPr="00D318C4">
              <w:rPr>
                <w:sz w:val="25"/>
                <w:szCs w:val="25"/>
              </w:rPr>
              <w:t>nās vieta</w:t>
            </w:r>
            <w:r w:rsidR="00AD3AE1" w:rsidRPr="00D318C4">
              <w:rPr>
                <w:sz w:val="25"/>
                <w:szCs w:val="25"/>
              </w:rPr>
              <w:t xml:space="preserve">, pēc projekta īstenošanas </w:t>
            </w:r>
            <w:r w:rsidR="002F4EBC" w:rsidRPr="00D318C4">
              <w:rPr>
                <w:sz w:val="25"/>
                <w:szCs w:val="25"/>
              </w:rPr>
              <w:t xml:space="preserve">jānodrošina, ka </w:t>
            </w:r>
            <w:r w:rsidR="00AD3AE1" w:rsidRPr="00D318C4">
              <w:rPr>
                <w:sz w:val="25"/>
                <w:szCs w:val="25"/>
              </w:rPr>
              <w:t>ēkā papildinošās saimnieciskās darbības apmērs nepārsniedz 20% no ēkas kopējās platības.</w:t>
            </w:r>
          </w:p>
          <w:p w14:paraId="1D169EEB" w14:textId="4D80D8A8" w:rsidR="00E11ACB" w:rsidRPr="00D318C4" w:rsidRDefault="004968A3" w:rsidP="00D318C4">
            <w:pPr>
              <w:autoSpaceDE w:val="0"/>
              <w:autoSpaceDN w:val="0"/>
              <w:jc w:val="both"/>
              <w:rPr>
                <w:sz w:val="25"/>
                <w:szCs w:val="25"/>
              </w:rPr>
            </w:pPr>
            <w:r w:rsidRPr="00D318C4">
              <w:rPr>
                <w:sz w:val="25"/>
                <w:szCs w:val="25"/>
              </w:rPr>
              <w:t>Lai CFLA nodrošinātu koordinētu projektu iesniegumu ies</w:t>
            </w:r>
            <w:r w:rsidR="00C707EC" w:rsidRPr="00D318C4">
              <w:rPr>
                <w:sz w:val="25"/>
                <w:szCs w:val="25"/>
              </w:rPr>
              <w:t xml:space="preserve">niegšanu, </w:t>
            </w:r>
            <w:r w:rsidR="00E11ACB" w:rsidRPr="00D318C4">
              <w:rPr>
                <w:sz w:val="25"/>
                <w:szCs w:val="25"/>
              </w:rPr>
              <w:t>EM</w:t>
            </w:r>
            <w:r w:rsidRPr="00D318C4">
              <w:rPr>
                <w:sz w:val="25"/>
                <w:szCs w:val="25"/>
              </w:rPr>
              <w:t xml:space="preserve"> pamatojoties pēc ministriju sniegtās informācijas</w:t>
            </w:r>
          </w:p>
          <w:p w14:paraId="058271F2" w14:textId="63C66796" w:rsidR="00E11ACB" w:rsidRPr="00D318C4" w:rsidRDefault="00E11ACB" w:rsidP="00D318C4">
            <w:pPr>
              <w:autoSpaceDE w:val="0"/>
              <w:autoSpaceDN w:val="0"/>
              <w:jc w:val="both"/>
              <w:rPr>
                <w:sz w:val="25"/>
                <w:szCs w:val="25"/>
              </w:rPr>
            </w:pPr>
            <w:r w:rsidRPr="00D318C4">
              <w:rPr>
                <w:sz w:val="25"/>
                <w:szCs w:val="25"/>
              </w:rPr>
              <w:t xml:space="preserve">par ministriju pārziņā esošajām ēkām prioritārā secībā, kurās atlases kārtas ietvaros plānots īstenot energoefektivitātes paaugstināšanas pasākumus, ir </w:t>
            </w:r>
            <w:r w:rsidRPr="00D318C4">
              <w:rPr>
                <w:b/>
                <w:sz w:val="25"/>
                <w:szCs w:val="25"/>
              </w:rPr>
              <w:t>apkopojusi sniegto informāciju</w:t>
            </w:r>
            <w:r w:rsidRPr="00D318C4">
              <w:rPr>
                <w:sz w:val="25"/>
                <w:szCs w:val="25"/>
              </w:rPr>
              <w:t xml:space="preserve"> un </w:t>
            </w:r>
            <w:r w:rsidRPr="00D318C4">
              <w:rPr>
                <w:b/>
                <w:sz w:val="25"/>
                <w:szCs w:val="25"/>
              </w:rPr>
              <w:t>izveidojusi prioritāro valsts ēku sarakstu,</w:t>
            </w:r>
            <w:r w:rsidRPr="00D318C4">
              <w:rPr>
                <w:sz w:val="25"/>
                <w:szCs w:val="25"/>
              </w:rPr>
              <w:t xml:space="preserve"> kurā izdalītas ēkas, kuru atjaunošanu iespējams uzsākt 2016.gadā, 2017.gadā un vēlāk (skatīt 4.2.1.2.pasākuma atlases kārtas sākotnējās ietekmes novērtējuma ziņojuma (anotācijas) pielikumu).</w:t>
            </w:r>
          </w:p>
          <w:p w14:paraId="1F1380E0" w14:textId="77777777" w:rsidR="00E11ACB" w:rsidRPr="00D318C4" w:rsidRDefault="00E11ACB" w:rsidP="00D318C4">
            <w:pPr>
              <w:autoSpaceDE w:val="0"/>
              <w:autoSpaceDN w:val="0"/>
              <w:jc w:val="both"/>
              <w:rPr>
                <w:bCs/>
                <w:sz w:val="25"/>
                <w:szCs w:val="25"/>
              </w:rPr>
            </w:pPr>
            <w:r w:rsidRPr="00D318C4">
              <w:rPr>
                <w:bCs/>
                <w:sz w:val="25"/>
                <w:szCs w:val="25"/>
              </w:rPr>
              <w:t>Prioritārajā valsts ēku sarakstā ministrijas norāda ēkas par tām aprēķināto finansējuma apmēru ar 50% finansējuma rezervi. Projektu apzināšana ar finansējuma rezervi nepieciešama, lai identificētu potenciālos projektus, ja atbrīvojas Eiropas Savienības fondu finansējums.</w:t>
            </w:r>
          </w:p>
          <w:p w14:paraId="68E5E49F" w14:textId="37B05547" w:rsidR="00E11ACB" w:rsidRPr="00D318C4" w:rsidRDefault="00C707EC" w:rsidP="00D318C4">
            <w:pPr>
              <w:autoSpaceDE w:val="0"/>
              <w:autoSpaceDN w:val="0"/>
              <w:jc w:val="both"/>
              <w:rPr>
                <w:sz w:val="25"/>
                <w:szCs w:val="25"/>
              </w:rPr>
            </w:pPr>
            <w:r w:rsidRPr="00D318C4">
              <w:rPr>
                <w:sz w:val="25"/>
                <w:szCs w:val="25"/>
              </w:rPr>
              <w:t>Prioritārais valsts ēku s</w:t>
            </w:r>
            <w:r w:rsidR="004968A3" w:rsidRPr="00D318C4">
              <w:rPr>
                <w:sz w:val="25"/>
                <w:szCs w:val="25"/>
              </w:rPr>
              <w:t>arakst</w:t>
            </w:r>
            <w:r w:rsidR="00E11ACB" w:rsidRPr="00D318C4">
              <w:rPr>
                <w:sz w:val="25"/>
                <w:szCs w:val="25"/>
              </w:rPr>
              <w:t>ā</w:t>
            </w:r>
            <w:r w:rsidR="004968A3" w:rsidRPr="00D318C4">
              <w:rPr>
                <w:sz w:val="25"/>
                <w:szCs w:val="25"/>
              </w:rPr>
              <w:t xml:space="preserve"> norād</w:t>
            </w:r>
            <w:r w:rsidR="00E11ACB" w:rsidRPr="00D318C4">
              <w:rPr>
                <w:sz w:val="25"/>
                <w:szCs w:val="25"/>
              </w:rPr>
              <w:t>ī</w:t>
            </w:r>
            <w:r w:rsidR="004968A3" w:rsidRPr="00D318C4">
              <w:rPr>
                <w:sz w:val="25"/>
                <w:szCs w:val="25"/>
              </w:rPr>
              <w:t>t</w:t>
            </w:r>
            <w:r w:rsidR="00E11ACB" w:rsidRPr="00D318C4">
              <w:rPr>
                <w:sz w:val="25"/>
                <w:szCs w:val="25"/>
              </w:rPr>
              <w:t>s</w:t>
            </w:r>
            <w:r w:rsidR="004968A3" w:rsidRPr="00D318C4">
              <w:rPr>
                <w:sz w:val="25"/>
                <w:szCs w:val="25"/>
              </w:rPr>
              <w:t xml:space="preserve"> </w:t>
            </w:r>
            <w:r w:rsidR="00E11ACB" w:rsidRPr="00D318C4">
              <w:rPr>
                <w:sz w:val="25"/>
                <w:szCs w:val="25"/>
              </w:rPr>
              <w:t>ēkas īpašnieks, lietotājs, ēkas pārvaldnieks, ēkas adrese, būves kadastra apzīmējums, plānotās projekta attiecināmās izmaksas un siltumenerģijas ietaupījums, plānotais būvniecības uzsākšanas gads un projekta iesnieguma iesniegšanas laiks, kā arī projekta gatavības stadija un plānotie energoefektivitātes paaugstināšanas pasākumi. Ņemot vēr</w:t>
            </w:r>
            <w:r w:rsidR="006F0941" w:rsidRPr="00D318C4">
              <w:rPr>
                <w:sz w:val="25"/>
                <w:szCs w:val="25"/>
              </w:rPr>
              <w:t xml:space="preserve">ā, ka prioritārajā valsts ēku sarakstā </w:t>
            </w:r>
            <w:r w:rsidR="00DA233F" w:rsidRPr="00D318C4">
              <w:rPr>
                <w:sz w:val="25"/>
                <w:szCs w:val="25"/>
              </w:rPr>
              <w:t xml:space="preserve">visām iekļautajām ēkām nav </w:t>
            </w:r>
            <w:r w:rsidR="007053A0" w:rsidRPr="00D318C4">
              <w:rPr>
                <w:sz w:val="25"/>
                <w:szCs w:val="25"/>
              </w:rPr>
              <w:t xml:space="preserve">veikta </w:t>
            </w:r>
            <w:r w:rsidR="00DA233F" w:rsidRPr="00D318C4">
              <w:rPr>
                <w:sz w:val="25"/>
                <w:szCs w:val="25"/>
              </w:rPr>
              <w:t xml:space="preserve">ēku energosertifikācija un </w:t>
            </w:r>
            <w:r w:rsidR="007053A0" w:rsidRPr="00D318C4">
              <w:rPr>
                <w:sz w:val="25"/>
                <w:szCs w:val="25"/>
              </w:rPr>
              <w:t xml:space="preserve">sagatavota tehniskā dokumentācija, precīzi novērtēt ēkas esošo </w:t>
            </w:r>
            <w:r w:rsidR="001C4D09" w:rsidRPr="00D318C4">
              <w:rPr>
                <w:sz w:val="25"/>
                <w:szCs w:val="25"/>
              </w:rPr>
              <w:t xml:space="preserve">tehnisko </w:t>
            </w:r>
            <w:r w:rsidR="00DA233F" w:rsidRPr="00D318C4">
              <w:rPr>
                <w:sz w:val="25"/>
                <w:szCs w:val="25"/>
              </w:rPr>
              <w:t xml:space="preserve">stāvokli un projekta </w:t>
            </w:r>
            <w:r w:rsidR="007053A0" w:rsidRPr="00D318C4">
              <w:rPr>
                <w:sz w:val="25"/>
                <w:szCs w:val="25"/>
              </w:rPr>
              <w:t>īstenošanai nepieciešamās izmaksas</w:t>
            </w:r>
            <w:r w:rsidR="00DA233F" w:rsidRPr="00D318C4">
              <w:rPr>
                <w:sz w:val="25"/>
                <w:szCs w:val="25"/>
              </w:rPr>
              <w:t xml:space="preserve"> ir neiespējami</w:t>
            </w:r>
            <w:r w:rsidR="007053A0" w:rsidRPr="00D318C4">
              <w:rPr>
                <w:sz w:val="25"/>
                <w:szCs w:val="25"/>
              </w:rPr>
              <w:t>,</w:t>
            </w:r>
            <w:r w:rsidR="00DA233F" w:rsidRPr="00D318C4">
              <w:rPr>
                <w:sz w:val="25"/>
                <w:szCs w:val="25"/>
              </w:rPr>
              <w:t xml:space="preserve"> līdz ar to</w:t>
            </w:r>
            <w:r w:rsidR="007053A0" w:rsidRPr="00D318C4">
              <w:rPr>
                <w:sz w:val="25"/>
                <w:szCs w:val="25"/>
              </w:rPr>
              <w:t xml:space="preserve"> prioritārais valsts ēku saraksts ir indikatīvs.</w:t>
            </w:r>
            <w:r w:rsidR="00583AC6" w:rsidRPr="00D318C4">
              <w:rPr>
                <w:sz w:val="25"/>
                <w:szCs w:val="25"/>
              </w:rPr>
              <w:t xml:space="preserve"> Tomēr jāņem vērā, ka, lai risinātu gan plānošanas, gan risku pārvaldības, gan resursu vadību aspektus pasākuma ieviešanā, </w:t>
            </w:r>
            <w:r w:rsidR="00E11ACB" w:rsidRPr="00D318C4">
              <w:rPr>
                <w:sz w:val="25"/>
                <w:szCs w:val="25"/>
              </w:rPr>
              <w:t>prioritār</w:t>
            </w:r>
            <w:r w:rsidR="00583AC6" w:rsidRPr="00D318C4">
              <w:rPr>
                <w:sz w:val="25"/>
                <w:szCs w:val="25"/>
              </w:rPr>
              <w:t>ais</w:t>
            </w:r>
            <w:r w:rsidR="00E11ACB" w:rsidRPr="00D318C4">
              <w:rPr>
                <w:sz w:val="25"/>
                <w:szCs w:val="25"/>
              </w:rPr>
              <w:t xml:space="preserve"> valsts ēku sarakst</w:t>
            </w:r>
            <w:r w:rsidR="00583AC6" w:rsidRPr="00D318C4">
              <w:rPr>
                <w:sz w:val="25"/>
                <w:szCs w:val="25"/>
              </w:rPr>
              <w:t>s tiks izmantots projektu atlases norisē</w:t>
            </w:r>
            <w:r w:rsidR="001C4D09" w:rsidRPr="00D318C4">
              <w:rPr>
                <w:sz w:val="25"/>
                <w:szCs w:val="25"/>
              </w:rPr>
              <w:t xml:space="preserve">, </w:t>
            </w:r>
            <w:r w:rsidR="00DA233F" w:rsidRPr="00D318C4">
              <w:rPr>
                <w:sz w:val="25"/>
                <w:szCs w:val="25"/>
              </w:rPr>
              <w:t>lai</w:t>
            </w:r>
            <w:r w:rsidR="001C4D09" w:rsidRPr="00D318C4">
              <w:rPr>
                <w:sz w:val="25"/>
                <w:szCs w:val="25"/>
              </w:rPr>
              <w:t xml:space="preserve"> plānot</w:t>
            </w:r>
            <w:r w:rsidR="00DA233F" w:rsidRPr="00D318C4">
              <w:rPr>
                <w:sz w:val="25"/>
                <w:szCs w:val="25"/>
              </w:rPr>
              <w:t>u</w:t>
            </w:r>
            <w:r w:rsidR="001C4D09" w:rsidRPr="00D318C4">
              <w:rPr>
                <w:sz w:val="25"/>
                <w:szCs w:val="25"/>
              </w:rPr>
              <w:t xml:space="preserve"> projekt</w:t>
            </w:r>
            <w:r w:rsidR="00DA233F" w:rsidRPr="00D318C4">
              <w:rPr>
                <w:sz w:val="25"/>
                <w:szCs w:val="25"/>
              </w:rPr>
              <w:t>u</w:t>
            </w:r>
            <w:r w:rsidR="001C4D09" w:rsidRPr="00D318C4">
              <w:rPr>
                <w:sz w:val="25"/>
                <w:szCs w:val="25"/>
              </w:rPr>
              <w:t xml:space="preserve"> iesniegšanas </w:t>
            </w:r>
            <w:r w:rsidR="00DA233F" w:rsidRPr="00D318C4">
              <w:rPr>
                <w:sz w:val="25"/>
                <w:szCs w:val="25"/>
              </w:rPr>
              <w:t>termiņus</w:t>
            </w:r>
            <w:r w:rsidR="001C4D09" w:rsidRPr="00D318C4">
              <w:rPr>
                <w:sz w:val="25"/>
                <w:szCs w:val="25"/>
              </w:rPr>
              <w:t>.</w:t>
            </w:r>
          </w:p>
          <w:p w14:paraId="77D5DE72" w14:textId="3E926B03" w:rsidR="001C4D09" w:rsidRPr="00D318C4" w:rsidRDefault="001C4D09" w:rsidP="00E11ACB">
            <w:pPr>
              <w:autoSpaceDE w:val="0"/>
              <w:autoSpaceDN w:val="0"/>
              <w:jc w:val="both"/>
              <w:rPr>
                <w:sz w:val="25"/>
                <w:szCs w:val="25"/>
              </w:rPr>
            </w:pPr>
            <w:r w:rsidRPr="00D318C4">
              <w:rPr>
                <w:sz w:val="25"/>
                <w:szCs w:val="25"/>
              </w:rPr>
              <w:t>Ja ministrijām būs nepieciešams veikt izmaiņas prioritārajā sarakstā, EM nodrošinās prioritārā saraksta aktualizēšanu un</w:t>
            </w:r>
            <w:r w:rsidR="00DA233F" w:rsidRPr="00D318C4">
              <w:rPr>
                <w:sz w:val="25"/>
                <w:szCs w:val="25"/>
              </w:rPr>
              <w:t xml:space="preserve"> atkārtotu</w:t>
            </w:r>
            <w:r w:rsidRPr="00D318C4">
              <w:rPr>
                <w:sz w:val="25"/>
                <w:szCs w:val="25"/>
              </w:rPr>
              <w:t xml:space="preserve"> publicēšanu tīmekļa vietnē </w:t>
            </w:r>
            <w:hyperlink r:id="rId8" w:history="1">
              <w:r w:rsidRPr="00D318C4">
                <w:rPr>
                  <w:rStyle w:val="Hyperlink"/>
                  <w:color w:val="auto"/>
                  <w:sz w:val="25"/>
                  <w:szCs w:val="25"/>
                  <w:u w:val="none"/>
                </w:rPr>
                <w:t>www.em.gov.lv</w:t>
              </w:r>
            </w:hyperlink>
            <w:r w:rsidRPr="00D318C4">
              <w:rPr>
                <w:sz w:val="25"/>
                <w:szCs w:val="25"/>
              </w:rPr>
              <w:t xml:space="preserve">.  </w:t>
            </w:r>
          </w:p>
          <w:p w14:paraId="3B71143E" w14:textId="23237187" w:rsidR="00E635F8" w:rsidRPr="00D318C4" w:rsidRDefault="00E11ACB" w:rsidP="001C4D09">
            <w:pPr>
              <w:autoSpaceDE w:val="0"/>
              <w:autoSpaceDN w:val="0"/>
              <w:jc w:val="both"/>
              <w:rPr>
                <w:sz w:val="25"/>
                <w:szCs w:val="25"/>
              </w:rPr>
            </w:pPr>
            <w:r w:rsidRPr="00D318C4">
              <w:rPr>
                <w:sz w:val="25"/>
                <w:szCs w:val="25"/>
              </w:rPr>
              <w:t>P</w:t>
            </w:r>
            <w:r w:rsidR="00E635F8" w:rsidRPr="00D318C4">
              <w:rPr>
                <w:sz w:val="25"/>
                <w:szCs w:val="25"/>
              </w:rPr>
              <w:t>rojektu iesniegumu atlases kārtas ietvaros finansējums netiek piešķirts projekta īstenošanai, ja ēka ir vietējas vai valsts nozīmes arhitektūras piemineklis. Tāpat arī energoefektivitātes paaugstināšanas pasākumi atlases kārtas ietvaros netiek īstenoti Latvijas Bankas, Latvijas Republikas Saeimas, Latvijas Republikas Satversmes tiesas īpašumā esošajās ēkās, jo šīm iestādēm aprēķinātā publiskā finansējuma apmērs bija zem 500</w:t>
            </w:r>
            <w:r w:rsidR="00312732" w:rsidRPr="00D318C4">
              <w:rPr>
                <w:sz w:val="25"/>
                <w:szCs w:val="25"/>
              </w:rPr>
              <w:t> </w:t>
            </w:r>
            <w:r w:rsidR="00E635F8" w:rsidRPr="00D318C4">
              <w:rPr>
                <w:sz w:val="25"/>
                <w:szCs w:val="25"/>
              </w:rPr>
              <w:t xml:space="preserve">000 </w:t>
            </w:r>
            <w:r w:rsidR="00E635F8" w:rsidRPr="00D318C4">
              <w:rPr>
                <w:i/>
                <w:sz w:val="25"/>
                <w:szCs w:val="25"/>
              </w:rPr>
              <w:t>euro</w:t>
            </w:r>
            <w:r w:rsidR="00E635F8" w:rsidRPr="00D318C4">
              <w:rPr>
                <w:sz w:val="25"/>
                <w:szCs w:val="25"/>
              </w:rPr>
              <w:t>, zem kuras nav racionāli izdalīt atsevišķu finansējumu konkrētam ēkas īpašniekam.</w:t>
            </w:r>
          </w:p>
          <w:p w14:paraId="7ED14DA6" w14:textId="6233CA6C" w:rsidR="00E635F8" w:rsidRPr="00D318C4" w:rsidRDefault="00E635F8" w:rsidP="00E635F8">
            <w:pPr>
              <w:spacing w:before="120" w:after="120"/>
              <w:contextualSpacing/>
              <w:jc w:val="both"/>
              <w:rPr>
                <w:sz w:val="25"/>
                <w:szCs w:val="25"/>
              </w:rPr>
            </w:pPr>
            <w:r w:rsidRPr="00D318C4">
              <w:rPr>
                <w:sz w:val="25"/>
                <w:szCs w:val="25"/>
              </w:rPr>
              <w:t>Projektu iesniegumu atlases kārtā tiek atbalstīta ēku energoefektivitātes paaugstināšana, tajā skaitā būvdarbu veikšana ēku norobežojošajās konstrukcijās, ēku inženiersistēmu atjaunošana, pārbūve vai izveide, un atjaunojamo energoresursu izmantojošu siltumenerģijas ražošanas un ūdens sildīšanas avotu iegāde un uzstādīšana, ēkas restaurācijas darbi</w:t>
            </w:r>
            <w:r w:rsidR="009B57A0" w:rsidRPr="00D318C4">
              <w:rPr>
                <w:sz w:val="25"/>
                <w:szCs w:val="25"/>
              </w:rPr>
              <w:t xml:space="preserve"> un, ja īstenojot </w:t>
            </w:r>
            <w:r w:rsidR="009B57A0" w:rsidRPr="00D318C4">
              <w:rPr>
                <w:sz w:val="25"/>
                <w:szCs w:val="25"/>
              </w:rPr>
              <w:lastRenderedPageBreak/>
              <w:t>energoefektivitātes paaugstināšanas pasākumus tiek skarta ēkas iekšējā apdare, iekšējās apdares darbi, lai nodrošinātu ēkas sākotnējo arhitektonisko un iekšējās apdares detaļu vizuālo un tehnisko stāvokli</w:t>
            </w:r>
            <w:r w:rsidRPr="00D318C4">
              <w:rPr>
                <w:sz w:val="25"/>
                <w:szCs w:val="25"/>
              </w:rPr>
              <w:t>, projektu tehniskās dokumentācijas sagatavošana un projekta vadības un uzraudzības nodrošināšana.</w:t>
            </w:r>
          </w:p>
          <w:p w14:paraId="3E9CE14D" w14:textId="77777777" w:rsidR="00E635F8" w:rsidRPr="00D318C4" w:rsidRDefault="00E635F8" w:rsidP="00E635F8">
            <w:pPr>
              <w:autoSpaceDE w:val="0"/>
              <w:autoSpaceDN w:val="0"/>
              <w:jc w:val="both"/>
              <w:rPr>
                <w:sz w:val="25"/>
                <w:szCs w:val="25"/>
              </w:rPr>
            </w:pPr>
            <w:r w:rsidRPr="00D318C4">
              <w:rPr>
                <w:sz w:val="25"/>
                <w:szCs w:val="25"/>
              </w:rPr>
              <w:t>Lai nodrošinātu 4.2.1.2.pasākumu iznākuma rādītāju sasniegšanu, projektiem būs jāatbilst šādām energoefektivitātes prasībām:</w:t>
            </w:r>
          </w:p>
          <w:p w14:paraId="237C1487" w14:textId="77777777" w:rsidR="00E635F8" w:rsidRPr="00D318C4" w:rsidRDefault="00E635F8" w:rsidP="00E635F8">
            <w:pPr>
              <w:numPr>
                <w:ilvl w:val="0"/>
                <w:numId w:val="10"/>
              </w:numPr>
              <w:autoSpaceDE w:val="0"/>
              <w:autoSpaceDN w:val="0"/>
              <w:jc w:val="both"/>
              <w:rPr>
                <w:sz w:val="25"/>
                <w:szCs w:val="25"/>
              </w:rPr>
            </w:pPr>
            <w:r w:rsidRPr="00D318C4">
              <w:rPr>
                <w:sz w:val="25"/>
                <w:szCs w:val="25"/>
              </w:rPr>
              <w:t>plānotais siltumenerģijas ietaupījums pēc projekta īstenošanas ir ne mazāks kā 30% gadā no ēkas energosertifikātā aprēķinātā siltumenerģijas patēriņa pirms projekta īstenošanas;</w:t>
            </w:r>
          </w:p>
          <w:p w14:paraId="6A2C3271" w14:textId="36DA623F" w:rsidR="00E635F8" w:rsidRPr="00D318C4" w:rsidRDefault="00E635F8" w:rsidP="00E635F8">
            <w:pPr>
              <w:numPr>
                <w:ilvl w:val="0"/>
                <w:numId w:val="10"/>
              </w:numPr>
              <w:autoSpaceDE w:val="0"/>
              <w:autoSpaceDN w:val="0"/>
              <w:jc w:val="both"/>
              <w:rPr>
                <w:sz w:val="25"/>
                <w:szCs w:val="25"/>
              </w:rPr>
            </w:pPr>
            <w:r w:rsidRPr="00D318C4">
              <w:rPr>
                <w:sz w:val="25"/>
                <w:szCs w:val="25"/>
              </w:rPr>
              <w:t>plānotais siltumenerģijas patēriņš apkurei pēc projekta īstenošanas, pamatojoties uz ēkas energosertifikātā veiktajiem aprēķiniem un projekta tehniskajā dokumentācijā paredzētajiem būvdarbiem nepārsniedz 90 kWh/m</w:t>
            </w:r>
            <w:r w:rsidRPr="00D318C4">
              <w:rPr>
                <w:sz w:val="25"/>
                <w:szCs w:val="25"/>
                <w:vertAlign w:val="superscript"/>
              </w:rPr>
              <w:t>2</w:t>
            </w:r>
            <w:r w:rsidRPr="00D318C4">
              <w:rPr>
                <w:sz w:val="25"/>
                <w:szCs w:val="25"/>
              </w:rPr>
              <w:t xml:space="preserve"> gadā</w:t>
            </w:r>
            <w:r w:rsidR="00312732" w:rsidRPr="00D318C4">
              <w:rPr>
                <w:sz w:val="25"/>
                <w:szCs w:val="25"/>
              </w:rPr>
              <w:t>.</w:t>
            </w:r>
          </w:p>
          <w:p w14:paraId="6AE91243" w14:textId="77777777" w:rsidR="00E635F8" w:rsidRPr="00D318C4" w:rsidRDefault="00E635F8" w:rsidP="00E635F8">
            <w:pPr>
              <w:autoSpaceDE w:val="0"/>
              <w:autoSpaceDN w:val="0"/>
              <w:jc w:val="both"/>
              <w:rPr>
                <w:sz w:val="25"/>
                <w:szCs w:val="25"/>
              </w:rPr>
            </w:pPr>
            <w:r w:rsidRPr="00D318C4">
              <w:rPr>
                <w:sz w:val="25"/>
                <w:szCs w:val="25"/>
              </w:rPr>
              <w:t xml:space="preserve">Papildus projekta īstenošanas rezultātā ir jānodrošina minimālo energoefektivitātes prasību sasniegšana atbilstoši Ministru kabineta 2015.gada 30.jūnija noteikumos Nr.339 “Noteikumi par Latvijas būvnormatīvu LBN 002-015 „Ēku norobežojošo konstrukciju siltumtehnika”” noteiktajam, izņemot, ja šo noteikumu 2.pielikumā “Pārskats par ēkas energosertifikāta aprēķinos izmantotajām ievaddatu vērtībām” sniegts pamatojums atbilstoši Ēku energoefektivitātes likuma 4.panta 4.punktam. </w:t>
            </w:r>
          </w:p>
          <w:p w14:paraId="22073AA4" w14:textId="466251A0" w:rsidR="00E635F8" w:rsidRPr="00D318C4" w:rsidRDefault="00E635F8" w:rsidP="00E635F8">
            <w:pPr>
              <w:autoSpaceDE w:val="0"/>
              <w:autoSpaceDN w:val="0"/>
              <w:jc w:val="both"/>
              <w:rPr>
                <w:sz w:val="25"/>
                <w:szCs w:val="25"/>
              </w:rPr>
            </w:pPr>
            <w:r w:rsidRPr="00D318C4">
              <w:rPr>
                <w:sz w:val="25"/>
                <w:szCs w:val="25"/>
              </w:rPr>
              <w:t>Tāpat arī finansējuma saņēmējs piecus gadus pēc projekta īstenošanas:</w:t>
            </w:r>
          </w:p>
          <w:p w14:paraId="1B604BBE" w14:textId="77777777" w:rsidR="00DA6C27" w:rsidRPr="00D318C4" w:rsidRDefault="00DA6C27" w:rsidP="00DA6C27">
            <w:pPr>
              <w:pStyle w:val="ListParagraph"/>
              <w:numPr>
                <w:ilvl w:val="0"/>
                <w:numId w:val="20"/>
              </w:numPr>
              <w:autoSpaceDE w:val="0"/>
              <w:autoSpaceDN w:val="0"/>
              <w:jc w:val="both"/>
              <w:rPr>
                <w:sz w:val="25"/>
                <w:szCs w:val="25"/>
              </w:rPr>
            </w:pPr>
            <w:r w:rsidRPr="00D318C4">
              <w:rPr>
                <w:sz w:val="25"/>
                <w:szCs w:val="25"/>
              </w:rPr>
              <w:t>nodrošina sasniegto rezultātu uzturēšanu un līdzekļus projekta rezultātu uzturēšanai;</w:t>
            </w:r>
          </w:p>
          <w:p w14:paraId="636E9040" w14:textId="7F9AD150" w:rsidR="00DA6C27" w:rsidRPr="00D318C4" w:rsidRDefault="00DA6C27" w:rsidP="00DA6C27">
            <w:pPr>
              <w:pStyle w:val="ListParagraph"/>
              <w:numPr>
                <w:ilvl w:val="0"/>
                <w:numId w:val="20"/>
              </w:numPr>
              <w:autoSpaceDE w:val="0"/>
              <w:autoSpaceDN w:val="0"/>
              <w:jc w:val="both"/>
              <w:rPr>
                <w:sz w:val="25"/>
                <w:szCs w:val="25"/>
              </w:rPr>
            </w:pPr>
            <w:r w:rsidRPr="00D318C4">
              <w:rPr>
                <w:sz w:val="25"/>
                <w:szCs w:val="25"/>
              </w:rPr>
              <w:t xml:space="preserve">nodrošina, ka </w:t>
            </w:r>
            <w:r w:rsidR="00EF6B85" w:rsidRPr="00D318C4">
              <w:rPr>
                <w:sz w:val="25"/>
                <w:szCs w:val="25"/>
              </w:rPr>
              <w:t xml:space="preserve">ēkā tiks īstenotas </w:t>
            </w:r>
            <w:r w:rsidRPr="00D318C4">
              <w:rPr>
                <w:sz w:val="25"/>
                <w:szCs w:val="25"/>
              </w:rPr>
              <w:t>valsts deleģētās funkcijas;</w:t>
            </w:r>
          </w:p>
          <w:p w14:paraId="276B2F25" w14:textId="77777777" w:rsidR="00312732" w:rsidRPr="00D318C4" w:rsidRDefault="00E635F8" w:rsidP="001C16F9">
            <w:pPr>
              <w:pStyle w:val="ListParagraph"/>
              <w:numPr>
                <w:ilvl w:val="0"/>
                <w:numId w:val="20"/>
              </w:numPr>
              <w:autoSpaceDE w:val="0"/>
              <w:autoSpaceDN w:val="0"/>
              <w:jc w:val="both"/>
              <w:rPr>
                <w:sz w:val="25"/>
                <w:szCs w:val="25"/>
              </w:rPr>
            </w:pPr>
            <w:r w:rsidRPr="00D318C4">
              <w:rPr>
                <w:sz w:val="25"/>
                <w:szCs w:val="25"/>
              </w:rPr>
              <w:t xml:space="preserve">ik gadu </w:t>
            </w:r>
            <w:r w:rsidR="00DA6C27" w:rsidRPr="00D318C4">
              <w:rPr>
                <w:sz w:val="25"/>
                <w:szCs w:val="25"/>
              </w:rPr>
              <w:t xml:space="preserve">līdz 31.janvārim atbildīgajai iestādei </w:t>
            </w:r>
            <w:r w:rsidRPr="00D318C4">
              <w:rPr>
                <w:sz w:val="25"/>
                <w:szCs w:val="25"/>
              </w:rPr>
              <w:t>iesniedz pārskatu par enerģijas patēriņu attiecīgajā ēkā saskaņā ar šo noteikumu 3.pielikumu</w:t>
            </w:r>
            <w:r w:rsidR="00312732" w:rsidRPr="00D318C4">
              <w:rPr>
                <w:sz w:val="25"/>
                <w:szCs w:val="25"/>
              </w:rPr>
              <w:t>.</w:t>
            </w:r>
          </w:p>
          <w:p w14:paraId="3BEBA9C3" w14:textId="6F6D82B0" w:rsidR="00E635F8" w:rsidRPr="00D318C4" w:rsidRDefault="00E635F8" w:rsidP="00E635F8">
            <w:pPr>
              <w:autoSpaceDE w:val="0"/>
              <w:autoSpaceDN w:val="0"/>
              <w:jc w:val="both"/>
              <w:rPr>
                <w:sz w:val="25"/>
                <w:szCs w:val="25"/>
              </w:rPr>
            </w:pPr>
            <w:r w:rsidRPr="00D318C4">
              <w:rPr>
                <w:sz w:val="25"/>
                <w:szCs w:val="25"/>
              </w:rPr>
              <w:t xml:space="preserve">Lai veicinātu 4.2.1.2.pasākuma reģionālo pārklājumu, ir noteikts, ka ministrijai no tai aprēķinātā publiskā finansējuma apmēra, 40% jānovirza ārpus Rīgas administratīvās teritorijas, savukārt 60%, lai </w:t>
            </w:r>
            <w:r w:rsidR="006613D0" w:rsidRPr="00D318C4">
              <w:rPr>
                <w:sz w:val="25"/>
                <w:szCs w:val="25"/>
              </w:rPr>
              <w:t>atjaunotu</w:t>
            </w:r>
            <w:r w:rsidRPr="00D318C4">
              <w:rPr>
                <w:sz w:val="25"/>
                <w:szCs w:val="25"/>
              </w:rPr>
              <w:t xml:space="preserve"> ēkas, kas atrodas Rīgas administratīvajā teritorijā. Norādīto finansējuma sadalījumu var nepiemērot, ja:</w:t>
            </w:r>
          </w:p>
          <w:p w14:paraId="5ADC6FE3" w14:textId="77777777" w:rsidR="00E635F8" w:rsidRPr="00D318C4" w:rsidRDefault="00E635F8" w:rsidP="00E635F8">
            <w:pPr>
              <w:pStyle w:val="ListParagraph"/>
              <w:numPr>
                <w:ilvl w:val="0"/>
                <w:numId w:val="6"/>
              </w:numPr>
              <w:rPr>
                <w:sz w:val="25"/>
                <w:szCs w:val="25"/>
              </w:rPr>
            </w:pPr>
            <w:r w:rsidRPr="00D318C4">
              <w:rPr>
                <w:sz w:val="25"/>
                <w:szCs w:val="25"/>
              </w:rPr>
              <w:t>to neļauj ministrijas īpašumā, lietojumā vai valdījumā esošo ēku reģionālais sadalījums;</w:t>
            </w:r>
          </w:p>
          <w:p w14:paraId="55BD2D55" w14:textId="77777777" w:rsidR="00E635F8" w:rsidRPr="00D318C4" w:rsidRDefault="00E635F8" w:rsidP="00E635F8">
            <w:pPr>
              <w:pStyle w:val="ListParagraph"/>
              <w:numPr>
                <w:ilvl w:val="0"/>
                <w:numId w:val="6"/>
              </w:numPr>
              <w:rPr>
                <w:sz w:val="25"/>
                <w:szCs w:val="25"/>
              </w:rPr>
            </w:pPr>
            <w:r w:rsidRPr="00D318C4">
              <w:rPr>
                <w:sz w:val="25"/>
                <w:szCs w:val="25"/>
              </w:rPr>
              <w:t>saimnieciski izdevīgāk ir veikt investīcijas citā proporcijā.</w:t>
            </w:r>
          </w:p>
          <w:p w14:paraId="46B879EA" w14:textId="24BFA3AB" w:rsidR="009A2B55" w:rsidRPr="00D318C4" w:rsidRDefault="00077CCD" w:rsidP="00E635F8">
            <w:pPr>
              <w:jc w:val="both"/>
              <w:rPr>
                <w:sz w:val="25"/>
                <w:szCs w:val="25"/>
              </w:rPr>
            </w:pPr>
            <w:r w:rsidRPr="00D318C4">
              <w:rPr>
                <w:sz w:val="25"/>
                <w:szCs w:val="25"/>
              </w:rPr>
              <w:t>Projekta īstenošanas laikā šo noteikumu valsts augstskola un valsts zinātniskais institūts – atvasināta publiska persona, vai zinātniskais institūts - atvasināta publiska persona, kas ir valsts dibinātas universitātes pārraudzībā kā finansējuma saņēmēji var saņemt avansa maksājumu saskaņā ar normatīvajiem aktiem par kārtību, kādā plāno valsts budžeta līdzekļus Eiropas Savienības struktūrfondu un Kohēzijas fonda projektu īsten</w:t>
            </w:r>
            <w:r w:rsidR="00D318C4" w:rsidRPr="00D318C4">
              <w:rPr>
                <w:sz w:val="25"/>
                <w:szCs w:val="25"/>
              </w:rPr>
              <w:t>ošanai un veic maksājumus 2014. </w:t>
            </w:r>
            <w:r w:rsidRPr="00D318C4">
              <w:rPr>
                <w:sz w:val="25"/>
                <w:szCs w:val="25"/>
              </w:rPr>
              <w:t>-</w:t>
            </w:r>
            <w:r w:rsidR="00D318C4" w:rsidRPr="00D318C4">
              <w:rPr>
                <w:sz w:val="25"/>
                <w:szCs w:val="25"/>
              </w:rPr>
              <w:t> </w:t>
            </w:r>
            <w:r w:rsidRPr="00D318C4">
              <w:rPr>
                <w:sz w:val="25"/>
                <w:szCs w:val="25"/>
              </w:rPr>
              <w:t>2020.gada plānošanas periodā, kas nepārsniedz 90% no projektam piešķirtā ERAF finansējuma</w:t>
            </w:r>
            <w:r w:rsidR="00040501" w:rsidRPr="00D318C4">
              <w:rPr>
                <w:sz w:val="25"/>
                <w:szCs w:val="25"/>
              </w:rPr>
              <w:t xml:space="preserve"> un</w:t>
            </w:r>
            <w:r w:rsidR="00F55033">
              <w:t xml:space="preserve">, </w:t>
            </w:r>
            <w:r w:rsidR="00F55033" w:rsidRPr="00F55033">
              <w:rPr>
                <w:sz w:val="25"/>
                <w:szCs w:val="25"/>
              </w:rPr>
              <w:t>ja tas ir paredzēts projektā,</w:t>
            </w:r>
            <w:r w:rsidR="00040501" w:rsidRPr="00D318C4">
              <w:rPr>
                <w:sz w:val="25"/>
                <w:szCs w:val="25"/>
              </w:rPr>
              <w:t xml:space="preserve"> valsts budžeta kopsummas</w:t>
            </w:r>
            <w:r w:rsidRPr="00D318C4">
              <w:rPr>
                <w:sz w:val="25"/>
                <w:szCs w:val="25"/>
              </w:rPr>
              <w:t xml:space="preserve">. Savukārt valsts </w:t>
            </w:r>
            <w:r w:rsidRPr="00D318C4">
              <w:rPr>
                <w:sz w:val="25"/>
                <w:szCs w:val="25"/>
              </w:rPr>
              <w:lastRenderedPageBreak/>
              <w:t>kapitālsabiedrības, kuras saskaņā ar normatīvos aktos noteikto deleģējumu veic valsts nekustamo īpašumu pārvaldīšanu un apsaimniekošanu – valsts akciju sabiedrība “Valsts nekustamie īpašumi”, valsts akciju sabiedrība “Tiesu namu aģentūra”, valsts sabiedrība ar ierobežotu atbildību “Šampētera nams”, valsts sabiedrība ar ierobežotu atbildību “Zemkopības ministrijas nekustamie īpašumi” avansa maksājumu var saņemt 100% no proj</w:t>
            </w:r>
            <w:r w:rsidR="00040501" w:rsidRPr="00D318C4">
              <w:rPr>
                <w:sz w:val="25"/>
                <w:szCs w:val="25"/>
              </w:rPr>
              <w:t>ektam piešķirtā ERAF finansējuma un</w:t>
            </w:r>
            <w:r w:rsidR="00F55033">
              <w:rPr>
                <w:sz w:val="25"/>
                <w:szCs w:val="25"/>
              </w:rPr>
              <w:t>,</w:t>
            </w:r>
            <w:r w:rsidR="00F55033">
              <w:t xml:space="preserve"> </w:t>
            </w:r>
            <w:r w:rsidR="00F55033" w:rsidRPr="00F55033">
              <w:rPr>
                <w:sz w:val="25"/>
                <w:szCs w:val="25"/>
              </w:rPr>
              <w:t>ja tas ir paredzēts projektā,</w:t>
            </w:r>
            <w:r w:rsidR="00040501" w:rsidRPr="00D318C4">
              <w:rPr>
                <w:sz w:val="25"/>
                <w:szCs w:val="25"/>
              </w:rPr>
              <w:t xml:space="preserve"> valsts budžeta kopsummas</w:t>
            </w:r>
            <w:r w:rsidRPr="00D318C4">
              <w:rPr>
                <w:sz w:val="25"/>
                <w:szCs w:val="25"/>
              </w:rPr>
              <w:t xml:space="preserve">. Avansa maksājumu ir iespējams saņemt vairākos maksājumos. </w:t>
            </w:r>
          </w:p>
          <w:p w14:paraId="1BCEC3AB" w14:textId="77777777" w:rsidR="009A2B55" w:rsidRPr="00D318C4" w:rsidRDefault="00E635F8" w:rsidP="00E635F8">
            <w:pPr>
              <w:jc w:val="both"/>
              <w:rPr>
                <w:sz w:val="25"/>
                <w:szCs w:val="25"/>
              </w:rPr>
            </w:pPr>
            <w:r w:rsidRPr="00D318C4">
              <w:rPr>
                <w:sz w:val="25"/>
                <w:szCs w:val="25"/>
              </w:rPr>
              <w:t>Šāds avansa apjoms pieļaujams, ņemot vērā projektu iesniegumu vērtēšanas kritērijos noteiktās prasības, kas paredz augstu gatavības pakāpi ar būvniecību saistīto projekta darbību tehniskajai dokumentācijai projekta iesnieguma iesniegšanas brīdī.</w:t>
            </w:r>
          </w:p>
          <w:p w14:paraId="17004CC6" w14:textId="0AFD4DA8" w:rsidR="00932DE3" w:rsidRPr="00D318C4" w:rsidRDefault="009A2B55" w:rsidP="00E635F8">
            <w:pPr>
              <w:jc w:val="both"/>
              <w:rPr>
                <w:sz w:val="25"/>
                <w:szCs w:val="25"/>
              </w:rPr>
            </w:pPr>
            <w:r w:rsidRPr="00D318C4">
              <w:rPr>
                <w:sz w:val="25"/>
                <w:szCs w:val="25"/>
              </w:rPr>
              <w:t>Ņemot vērā, ka augstāk minētās valsts kapitālsabiedrības nodarbojas ar valsts nekustamo īpašumu pārvaldīšanu un apsaimniekošanu</w:t>
            </w:r>
            <w:r w:rsidR="00A842F3" w:rsidRPr="00D318C4">
              <w:rPr>
                <w:sz w:val="25"/>
                <w:szCs w:val="25"/>
              </w:rPr>
              <w:t>,</w:t>
            </w:r>
            <w:r w:rsidR="00932DE3" w:rsidRPr="00D318C4">
              <w:rPr>
                <w:sz w:val="25"/>
                <w:szCs w:val="25"/>
              </w:rPr>
              <w:t xml:space="preserve"> un projekt</w:t>
            </w:r>
            <w:r w:rsidR="0083078C" w:rsidRPr="00D318C4">
              <w:rPr>
                <w:sz w:val="25"/>
                <w:szCs w:val="25"/>
              </w:rPr>
              <w:t>u</w:t>
            </w:r>
            <w:r w:rsidR="00932DE3" w:rsidRPr="00D318C4">
              <w:rPr>
                <w:sz w:val="25"/>
                <w:szCs w:val="25"/>
              </w:rPr>
              <w:t xml:space="preserve"> iesniegumus </w:t>
            </w:r>
            <w:r w:rsidR="00A842F3" w:rsidRPr="00D318C4">
              <w:rPr>
                <w:sz w:val="25"/>
                <w:szCs w:val="25"/>
              </w:rPr>
              <w:t xml:space="preserve">pasākuma ietvaros </w:t>
            </w:r>
            <w:r w:rsidR="00932DE3" w:rsidRPr="00D318C4">
              <w:rPr>
                <w:sz w:val="25"/>
                <w:szCs w:val="25"/>
              </w:rPr>
              <w:t xml:space="preserve">iesniegs par ēkām, kuras izmanto ministrijas vai tās pārziņā esošās iestādes, nevis pašas savām vajadzībām, </w:t>
            </w:r>
            <w:r w:rsidR="00AE48EE" w:rsidRPr="00D318C4">
              <w:rPr>
                <w:sz w:val="25"/>
                <w:szCs w:val="25"/>
              </w:rPr>
              <w:t>projektu īstenošanai</w:t>
            </w:r>
            <w:r w:rsidR="00932DE3" w:rsidRPr="00D318C4">
              <w:rPr>
                <w:sz w:val="25"/>
                <w:szCs w:val="25"/>
              </w:rPr>
              <w:t xml:space="preserve"> nepieciešams 100% avanss no projektam piešķirtā ERAF finansējuma</w:t>
            </w:r>
            <w:r w:rsidR="00040501" w:rsidRPr="00D318C4">
              <w:rPr>
                <w:sz w:val="25"/>
                <w:szCs w:val="25"/>
              </w:rPr>
              <w:t xml:space="preserve"> un valsts budžeta kopsummas</w:t>
            </w:r>
            <w:r w:rsidR="00932DE3" w:rsidRPr="00D318C4">
              <w:rPr>
                <w:sz w:val="25"/>
                <w:szCs w:val="25"/>
              </w:rPr>
              <w:t>. Saņemot avansu mazākā apmērā</w:t>
            </w:r>
            <w:r w:rsidR="00A842F3" w:rsidRPr="00D318C4">
              <w:rPr>
                <w:sz w:val="25"/>
                <w:szCs w:val="25"/>
              </w:rPr>
              <w:t xml:space="preserve"> nekā 100%</w:t>
            </w:r>
            <w:r w:rsidR="00932DE3" w:rsidRPr="00D318C4">
              <w:rPr>
                <w:sz w:val="25"/>
                <w:szCs w:val="25"/>
              </w:rPr>
              <w:t xml:space="preserve">, valsts kapitālsabiedrībām nepieciešamo finansējumu būtu jānodrošina no saviem līdzekļiem. Ņemot vērā, ka </w:t>
            </w:r>
            <w:r w:rsidR="00A842F3" w:rsidRPr="00D318C4">
              <w:rPr>
                <w:sz w:val="25"/>
                <w:szCs w:val="25"/>
              </w:rPr>
              <w:t>valsts kapitālsabiedrības</w:t>
            </w:r>
            <w:r w:rsidR="0083078C" w:rsidRPr="00D318C4">
              <w:rPr>
                <w:sz w:val="25"/>
                <w:szCs w:val="25"/>
              </w:rPr>
              <w:t xml:space="preserve"> </w:t>
            </w:r>
            <w:r w:rsidR="00CD0FFE" w:rsidRPr="00D318C4">
              <w:rPr>
                <w:sz w:val="25"/>
                <w:szCs w:val="25"/>
              </w:rPr>
              <w:t xml:space="preserve">iesniegs </w:t>
            </w:r>
            <w:r w:rsidR="0083078C" w:rsidRPr="00D318C4">
              <w:rPr>
                <w:sz w:val="25"/>
                <w:szCs w:val="25"/>
              </w:rPr>
              <w:t>projektu</w:t>
            </w:r>
            <w:r w:rsidR="00AE48EE" w:rsidRPr="00D318C4">
              <w:rPr>
                <w:sz w:val="25"/>
                <w:szCs w:val="25"/>
              </w:rPr>
              <w:t xml:space="preserve"> iesniegumu</w:t>
            </w:r>
            <w:r w:rsidR="0083078C" w:rsidRPr="00D318C4">
              <w:rPr>
                <w:sz w:val="25"/>
                <w:szCs w:val="25"/>
              </w:rPr>
              <w:t>s</w:t>
            </w:r>
            <w:r w:rsidR="00A842F3" w:rsidRPr="00D318C4">
              <w:rPr>
                <w:sz w:val="25"/>
                <w:szCs w:val="25"/>
              </w:rPr>
              <w:t xml:space="preserve"> </w:t>
            </w:r>
            <w:r w:rsidR="0083078C" w:rsidRPr="00D318C4">
              <w:rPr>
                <w:sz w:val="25"/>
                <w:szCs w:val="25"/>
              </w:rPr>
              <w:t>un projekt</w:t>
            </w:r>
            <w:r w:rsidR="00CD0FFE" w:rsidRPr="00D318C4">
              <w:rPr>
                <w:sz w:val="25"/>
                <w:szCs w:val="25"/>
              </w:rPr>
              <w:t>u</w:t>
            </w:r>
            <w:r w:rsidR="0083078C" w:rsidRPr="00D318C4">
              <w:rPr>
                <w:sz w:val="25"/>
                <w:szCs w:val="25"/>
              </w:rPr>
              <w:t xml:space="preserve"> īstenošanu nodrošinās </w:t>
            </w:r>
            <w:r w:rsidR="00AE48EE" w:rsidRPr="00D318C4">
              <w:rPr>
                <w:sz w:val="25"/>
                <w:szCs w:val="25"/>
              </w:rPr>
              <w:t xml:space="preserve">par lielu daļu no valsts ēkām, </w:t>
            </w:r>
            <w:r w:rsidR="0083078C" w:rsidRPr="00D318C4">
              <w:rPr>
                <w:sz w:val="25"/>
                <w:szCs w:val="25"/>
              </w:rPr>
              <w:t>n</w:t>
            </w:r>
            <w:r w:rsidR="00AE48EE" w:rsidRPr="00D318C4">
              <w:rPr>
                <w:sz w:val="25"/>
                <w:szCs w:val="25"/>
              </w:rPr>
              <w:t xml:space="preserve">esaņemot 100% apmērā avansa maksājumu, </w:t>
            </w:r>
            <w:r w:rsidR="0083078C" w:rsidRPr="00D318C4">
              <w:rPr>
                <w:sz w:val="25"/>
                <w:szCs w:val="25"/>
              </w:rPr>
              <w:t>tām</w:t>
            </w:r>
            <w:r w:rsidR="00AE48EE" w:rsidRPr="00D318C4">
              <w:rPr>
                <w:sz w:val="25"/>
                <w:szCs w:val="25"/>
              </w:rPr>
              <w:t xml:space="preserve"> no savas puses jānodrošina </w:t>
            </w:r>
            <w:r w:rsidR="0083078C" w:rsidRPr="00D318C4">
              <w:rPr>
                <w:sz w:val="25"/>
                <w:szCs w:val="25"/>
              </w:rPr>
              <w:t>liela apjoma finansējums</w:t>
            </w:r>
            <w:r w:rsidR="00CD0FFE" w:rsidRPr="00D318C4">
              <w:rPr>
                <w:sz w:val="25"/>
                <w:szCs w:val="25"/>
              </w:rPr>
              <w:t xml:space="preserve">. </w:t>
            </w:r>
            <w:r w:rsidR="0083078C" w:rsidRPr="00D318C4">
              <w:rPr>
                <w:sz w:val="25"/>
                <w:szCs w:val="25"/>
              </w:rPr>
              <w:t xml:space="preserve">Lai nodrošināto </w:t>
            </w:r>
            <w:r w:rsidR="001D31C4" w:rsidRPr="00D318C4">
              <w:rPr>
                <w:sz w:val="25"/>
                <w:szCs w:val="25"/>
              </w:rPr>
              <w:t xml:space="preserve">nepieciešamo </w:t>
            </w:r>
            <w:r w:rsidR="0083078C" w:rsidRPr="00D318C4">
              <w:rPr>
                <w:sz w:val="25"/>
                <w:szCs w:val="25"/>
              </w:rPr>
              <w:t xml:space="preserve">finansējumu, valsts kapitālsabiedrībām </w:t>
            </w:r>
            <w:r w:rsidR="00932DE3" w:rsidRPr="00D318C4">
              <w:rPr>
                <w:sz w:val="25"/>
                <w:szCs w:val="25"/>
              </w:rPr>
              <w:t>būtu nepieciešam</w:t>
            </w:r>
            <w:r w:rsidR="00AE48EE" w:rsidRPr="00D318C4">
              <w:rPr>
                <w:sz w:val="25"/>
                <w:szCs w:val="25"/>
              </w:rPr>
              <w:t>i</w:t>
            </w:r>
            <w:r w:rsidR="00932DE3" w:rsidRPr="00D318C4">
              <w:rPr>
                <w:sz w:val="25"/>
                <w:szCs w:val="25"/>
              </w:rPr>
              <w:t xml:space="preserve"> kredītiestāžu sniegtie pakalpojumi, kas radītu tikai lieku administratīvo slogu un finansējuma nelietderīgu izmantošanu</w:t>
            </w:r>
            <w:r w:rsidR="00AE48EE" w:rsidRPr="00D318C4">
              <w:rPr>
                <w:sz w:val="25"/>
                <w:szCs w:val="25"/>
              </w:rPr>
              <w:t xml:space="preserve"> (procentu likmes dēļ).</w:t>
            </w:r>
            <w:r w:rsidR="0083078C" w:rsidRPr="00D318C4">
              <w:rPr>
                <w:sz w:val="25"/>
                <w:szCs w:val="25"/>
              </w:rPr>
              <w:t xml:space="preserve"> Līdz ar to valsts kapitālsabiedrībām pieļaujams 100% avanss no projektam piešķirtā ERAF finansējuma</w:t>
            </w:r>
            <w:r w:rsidR="00040501" w:rsidRPr="00D318C4">
              <w:rPr>
                <w:sz w:val="25"/>
                <w:szCs w:val="25"/>
              </w:rPr>
              <w:t xml:space="preserve"> un valsts budžeta kopsummas</w:t>
            </w:r>
            <w:r w:rsidR="0083078C" w:rsidRPr="00D318C4">
              <w:rPr>
                <w:sz w:val="25"/>
                <w:szCs w:val="25"/>
              </w:rPr>
              <w:t>.</w:t>
            </w:r>
          </w:p>
          <w:p w14:paraId="66995965" w14:textId="59DE5229" w:rsidR="000A2B5F" w:rsidRPr="00D318C4" w:rsidRDefault="00077CCD" w:rsidP="00CD0FFE">
            <w:pPr>
              <w:jc w:val="both"/>
              <w:rPr>
                <w:sz w:val="25"/>
                <w:szCs w:val="25"/>
              </w:rPr>
            </w:pPr>
            <w:r w:rsidRPr="00D318C4">
              <w:rPr>
                <w:sz w:val="25"/>
                <w:szCs w:val="25"/>
              </w:rPr>
              <w:t>Ja finansējuma saņēmēji ir valsts pārvaldes iestādes, avansa maksājumi netiek plānoti, jo tām ir iespējams saņemt priekšfinansējumu pieprasot to no valsts budžeta.</w:t>
            </w:r>
            <w:r w:rsidR="0083078C" w:rsidRPr="00D318C4">
              <w:rPr>
                <w:sz w:val="25"/>
                <w:szCs w:val="25"/>
              </w:rPr>
              <w:t xml:space="preserve"> Līdz ar to valsts</w:t>
            </w:r>
            <w:r w:rsidR="00CD0FFE" w:rsidRPr="00D318C4">
              <w:rPr>
                <w:sz w:val="25"/>
                <w:szCs w:val="25"/>
              </w:rPr>
              <w:t xml:space="preserve"> tiešās</w:t>
            </w:r>
            <w:r w:rsidR="0083078C" w:rsidRPr="00D318C4">
              <w:rPr>
                <w:sz w:val="25"/>
                <w:szCs w:val="25"/>
              </w:rPr>
              <w:t xml:space="preserve"> pārvaldes iestādēm un to padotības iestādēm</w:t>
            </w:r>
            <w:r w:rsidR="000A2B5F" w:rsidRPr="00D318C4">
              <w:rPr>
                <w:sz w:val="25"/>
                <w:szCs w:val="25"/>
              </w:rPr>
              <w:t>, projekta īstenošanai nepieciešamo finansējumu plāno</w:t>
            </w:r>
            <w:r w:rsidR="00CD0FFE" w:rsidRPr="00D318C4">
              <w:rPr>
                <w:sz w:val="25"/>
                <w:szCs w:val="25"/>
              </w:rPr>
              <w:t xml:space="preserve"> un nodrošina</w:t>
            </w:r>
            <w:r w:rsidR="000A2B5F" w:rsidRPr="00D318C4">
              <w:rPr>
                <w:sz w:val="25"/>
                <w:szCs w:val="25"/>
              </w:rPr>
              <w:t xml:space="preserve"> attiecīgās nozares ministrija</w:t>
            </w:r>
            <w:r w:rsidR="00CD0FFE" w:rsidRPr="00D318C4">
              <w:rPr>
                <w:sz w:val="25"/>
                <w:szCs w:val="25"/>
              </w:rPr>
              <w:t xml:space="preserve"> (kā priekšfinansējumu)</w:t>
            </w:r>
            <w:r w:rsidR="000A2B5F" w:rsidRPr="00D318C4">
              <w:rPr>
                <w:sz w:val="25"/>
                <w:szCs w:val="25"/>
              </w:rPr>
              <w:t xml:space="preserve">, savukārt valsts augstskolām un valsts zinātniskajiem institūtiem – atvasinātām publiskām personām, vai zinātniskajiem institūtiem - atvasinātām publiskām personām, kas ir valsts dibinātas universitātes pārraudzībā, kā arī valsts kapitālsabiedrībām, kura saskaņā ar normatīvos aktos noteikto deleģējumu veic valsts nekustamo īpašumu pārvaldīšanu un apsaimniekošanu – valsts akciju sabiedrība “Valsts nekustamie īpašumi”, valsts akciju sabiedrība “Tiesu namu aģentūra”, valsts sabiedrība ar ierobežotu atbildību “Šampētera nams”, valsts sabiedrība ar ierobežotu atbildību “Zemkopības ministrijas </w:t>
            </w:r>
            <w:r w:rsidR="000A2B5F" w:rsidRPr="00D318C4">
              <w:rPr>
                <w:sz w:val="25"/>
                <w:szCs w:val="25"/>
              </w:rPr>
              <w:lastRenderedPageBreak/>
              <w:t>nekustamie īpašumi”</w:t>
            </w:r>
            <w:r w:rsidR="001D31C4" w:rsidRPr="00D318C4">
              <w:rPr>
                <w:sz w:val="25"/>
                <w:szCs w:val="25"/>
              </w:rPr>
              <w:t>,</w:t>
            </w:r>
            <w:r w:rsidR="000A2B5F" w:rsidRPr="00D318C4">
              <w:rPr>
                <w:sz w:val="25"/>
                <w:szCs w:val="25"/>
              </w:rPr>
              <w:t xml:space="preserve"> </w:t>
            </w:r>
            <w:r w:rsidR="0083078C" w:rsidRPr="00D318C4">
              <w:rPr>
                <w:sz w:val="25"/>
                <w:szCs w:val="25"/>
              </w:rPr>
              <w:t>pieejamo</w:t>
            </w:r>
            <w:r w:rsidR="000A2B5F" w:rsidRPr="00D318C4">
              <w:rPr>
                <w:sz w:val="25"/>
                <w:szCs w:val="25"/>
              </w:rPr>
              <w:t xml:space="preserve"> avansa, starpposma un noslēguma maksājumu izmaksā CFLA</w:t>
            </w:r>
            <w:r w:rsidR="00CD0FFE" w:rsidRPr="00D318C4">
              <w:rPr>
                <w:sz w:val="25"/>
                <w:szCs w:val="25"/>
              </w:rPr>
              <w:t>.</w:t>
            </w:r>
          </w:p>
          <w:p w14:paraId="0052ED18" w14:textId="77777777" w:rsidR="00077CCD" w:rsidRPr="00D318C4" w:rsidRDefault="00077CCD" w:rsidP="00E635F8">
            <w:pPr>
              <w:rPr>
                <w:sz w:val="25"/>
                <w:szCs w:val="25"/>
              </w:rPr>
            </w:pPr>
          </w:p>
          <w:p w14:paraId="4CD4CFFF" w14:textId="77777777" w:rsidR="00E635F8" w:rsidRPr="00D318C4" w:rsidRDefault="00E635F8" w:rsidP="00D318C4">
            <w:pPr>
              <w:autoSpaceDE w:val="0"/>
              <w:autoSpaceDN w:val="0"/>
              <w:jc w:val="both"/>
              <w:rPr>
                <w:i/>
                <w:sz w:val="25"/>
                <w:szCs w:val="25"/>
              </w:rPr>
            </w:pPr>
            <w:r w:rsidRPr="00D318C4">
              <w:rPr>
                <w:i/>
                <w:sz w:val="25"/>
                <w:szCs w:val="25"/>
              </w:rPr>
              <w:t>Valsts atbalsts</w:t>
            </w:r>
          </w:p>
          <w:p w14:paraId="3368F9DB" w14:textId="61394068" w:rsidR="00391D32" w:rsidRPr="00D318C4" w:rsidRDefault="006C12CE" w:rsidP="003F7C4A">
            <w:pPr>
              <w:pStyle w:val="tv213"/>
              <w:spacing w:before="0" w:beforeAutospacing="0" w:after="0" w:afterAutospacing="0"/>
              <w:ind w:left="34" w:firstLine="0"/>
              <w:rPr>
                <w:sz w:val="25"/>
                <w:szCs w:val="25"/>
              </w:rPr>
            </w:pPr>
            <w:r w:rsidRPr="00D318C4">
              <w:rPr>
                <w:sz w:val="25"/>
                <w:szCs w:val="25"/>
              </w:rPr>
              <w:t>Pasākums nekvalificējas kā komercdarbības atbalsts,</w:t>
            </w:r>
            <w:r w:rsidR="003C14EB" w:rsidRPr="00D318C4">
              <w:rPr>
                <w:sz w:val="25"/>
                <w:szCs w:val="25"/>
              </w:rPr>
              <w:t xml:space="preserve"> ja</w:t>
            </w:r>
            <w:r w:rsidRPr="00D318C4">
              <w:rPr>
                <w:sz w:val="25"/>
                <w:szCs w:val="25"/>
              </w:rPr>
              <w:t xml:space="preserve"> tā</w:t>
            </w:r>
            <w:r w:rsidR="00881E16" w:rsidRPr="00D318C4">
              <w:rPr>
                <w:sz w:val="25"/>
                <w:szCs w:val="25"/>
              </w:rPr>
              <w:t xml:space="preserve"> ietvaros tiek atbalstītas </w:t>
            </w:r>
            <w:r w:rsidR="00E635F8" w:rsidRPr="00D318C4">
              <w:rPr>
                <w:sz w:val="25"/>
                <w:szCs w:val="25"/>
              </w:rPr>
              <w:t>ēk</w:t>
            </w:r>
            <w:r w:rsidR="00881E16" w:rsidRPr="00D318C4">
              <w:rPr>
                <w:sz w:val="25"/>
                <w:szCs w:val="25"/>
              </w:rPr>
              <w:t>as, kurās</w:t>
            </w:r>
            <w:r w:rsidR="00E635F8" w:rsidRPr="00D318C4">
              <w:rPr>
                <w:sz w:val="25"/>
                <w:szCs w:val="25"/>
              </w:rPr>
              <w:t xml:space="preserve"> tiek veiktas valsts deleģētās funkcijas</w:t>
            </w:r>
            <w:r w:rsidR="00AC051F" w:rsidRPr="00D318C4">
              <w:rPr>
                <w:sz w:val="25"/>
                <w:szCs w:val="25"/>
              </w:rPr>
              <w:t xml:space="preserve"> un ēkas, kurās </w:t>
            </w:r>
            <w:r w:rsidR="007E12D3" w:rsidRPr="00D318C4">
              <w:rPr>
                <w:sz w:val="25"/>
                <w:szCs w:val="25"/>
              </w:rPr>
              <w:t xml:space="preserve">amortizācijas periodā veic papildinošu saimniecisko darbību (ar papildinošu saimniecisko darbību saprot tādas darbības, kuras ir tieši saistītas ar infrastruktūras ekspluatāciju un tai nepieciešamas vai cieši saistītas ar tās galveno nesaimniecisko izmantojumu) ikgadēji ierobežotā apmērā platības izteiksmē. </w:t>
            </w:r>
            <w:r w:rsidR="003F7C4A" w:rsidRPr="00D318C4">
              <w:rPr>
                <w:sz w:val="25"/>
                <w:szCs w:val="25"/>
              </w:rPr>
              <w:t xml:space="preserve">Saskaņā ar šobrīd esošo Eiropas Savienības tiesas praksi papildinošās saimnieciskās darbības ierobežojums </w:t>
            </w:r>
            <w:r w:rsidR="00391D32" w:rsidRPr="00D318C4">
              <w:rPr>
                <w:sz w:val="25"/>
                <w:szCs w:val="25"/>
              </w:rPr>
              <w:t xml:space="preserve">4.2.1.2.pasākuma pirmās projektu iesniegumu atlases kārtas ietvaros </w:t>
            </w:r>
            <w:r w:rsidR="007E12D3" w:rsidRPr="00D318C4">
              <w:rPr>
                <w:sz w:val="25"/>
                <w:szCs w:val="25"/>
              </w:rPr>
              <w:t xml:space="preserve">ir </w:t>
            </w:r>
            <w:r w:rsidR="003F7C4A" w:rsidRPr="00D318C4">
              <w:rPr>
                <w:sz w:val="25"/>
                <w:szCs w:val="25"/>
              </w:rPr>
              <w:t xml:space="preserve">noteikts </w:t>
            </w:r>
            <w:r w:rsidR="006A602A" w:rsidRPr="00D318C4">
              <w:rPr>
                <w:sz w:val="25"/>
                <w:szCs w:val="25"/>
              </w:rPr>
              <w:t>20</w:t>
            </w:r>
            <w:r w:rsidR="003F7C4A" w:rsidRPr="00D318C4">
              <w:rPr>
                <w:sz w:val="25"/>
                <w:szCs w:val="25"/>
              </w:rPr>
              <w:t xml:space="preserve">% apmērā no </w:t>
            </w:r>
            <w:r w:rsidR="007E12D3" w:rsidRPr="00D318C4">
              <w:rPr>
                <w:sz w:val="25"/>
                <w:szCs w:val="25"/>
              </w:rPr>
              <w:t>ēkas platības</w:t>
            </w:r>
            <w:r w:rsidR="003F7C4A" w:rsidRPr="00D318C4">
              <w:rPr>
                <w:sz w:val="25"/>
                <w:szCs w:val="25"/>
              </w:rPr>
              <w:t>.</w:t>
            </w:r>
          </w:p>
          <w:p w14:paraId="2933C4EC" w14:textId="3DD62524" w:rsidR="00D318C4" w:rsidRPr="00D318C4" w:rsidRDefault="005B7F77" w:rsidP="00D318C4">
            <w:pPr>
              <w:pStyle w:val="tv213"/>
              <w:spacing w:before="0" w:beforeAutospacing="0" w:after="0" w:afterAutospacing="0"/>
              <w:ind w:left="34" w:firstLine="0"/>
              <w:rPr>
                <w:sz w:val="25"/>
                <w:szCs w:val="25"/>
              </w:rPr>
            </w:pPr>
            <w:r w:rsidRPr="00D318C4">
              <w:rPr>
                <w:sz w:val="25"/>
                <w:szCs w:val="25"/>
              </w:rPr>
              <w:t xml:space="preserve">Ēkas, kurās papildinošās saimnieciskās darbības apmērs pārsniedz </w:t>
            </w:r>
            <w:r w:rsidR="006A602A" w:rsidRPr="00D318C4">
              <w:rPr>
                <w:sz w:val="25"/>
                <w:szCs w:val="25"/>
              </w:rPr>
              <w:t>20</w:t>
            </w:r>
            <w:r w:rsidRPr="00D318C4">
              <w:rPr>
                <w:sz w:val="25"/>
                <w:szCs w:val="25"/>
              </w:rPr>
              <w:t>% vai ēkā tiek veikta cita veida saimnieciskā darbība, uz atbalstu 4.2.1.2.pasākuma ietvaros nevar pretendēt.</w:t>
            </w:r>
          </w:p>
          <w:p w14:paraId="5B5B9923" w14:textId="77777777" w:rsidR="00D318C4" w:rsidRPr="00D318C4" w:rsidRDefault="00D318C4" w:rsidP="00D318C4">
            <w:pPr>
              <w:pStyle w:val="tv213"/>
              <w:spacing w:before="0" w:beforeAutospacing="0" w:after="0" w:afterAutospacing="0"/>
              <w:ind w:left="34" w:firstLine="0"/>
              <w:rPr>
                <w:sz w:val="25"/>
                <w:szCs w:val="25"/>
              </w:rPr>
            </w:pPr>
          </w:p>
          <w:p w14:paraId="4782A91F" w14:textId="77777777" w:rsidR="00E635F8" w:rsidRPr="00D318C4" w:rsidRDefault="00E635F8" w:rsidP="00E635F8">
            <w:pPr>
              <w:autoSpaceDE w:val="0"/>
              <w:autoSpaceDN w:val="0"/>
              <w:jc w:val="both"/>
              <w:rPr>
                <w:i/>
                <w:sz w:val="25"/>
                <w:szCs w:val="25"/>
              </w:rPr>
            </w:pPr>
            <w:r w:rsidRPr="00D318C4">
              <w:rPr>
                <w:i/>
                <w:sz w:val="25"/>
                <w:szCs w:val="25"/>
              </w:rPr>
              <w:t>Projektu iesniegumu otrā atlases kārta</w:t>
            </w:r>
          </w:p>
          <w:p w14:paraId="3EB83310" w14:textId="7A9794BB" w:rsidR="00E635F8" w:rsidRPr="00D318C4" w:rsidRDefault="00E635F8" w:rsidP="00E635F8">
            <w:pPr>
              <w:autoSpaceDE w:val="0"/>
              <w:autoSpaceDN w:val="0"/>
              <w:jc w:val="both"/>
              <w:rPr>
                <w:sz w:val="25"/>
                <w:szCs w:val="25"/>
              </w:rPr>
            </w:pPr>
            <w:r w:rsidRPr="00D318C4">
              <w:rPr>
                <w:sz w:val="25"/>
                <w:szCs w:val="25"/>
              </w:rPr>
              <w:t xml:space="preserve">EM organizēs arī projektu iesniegumu otro atlases kārtu, jo 3% mērķa izpildei līdz 2020.gadam nepieciešamais finansējums ir </w:t>
            </w:r>
            <w:r w:rsidR="002635E1" w:rsidRPr="00D318C4">
              <w:rPr>
                <w:sz w:val="25"/>
                <w:szCs w:val="25"/>
              </w:rPr>
              <w:t>82</w:t>
            </w:r>
            <w:r w:rsidRPr="00D318C4">
              <w:rPr>
                <w:sz w:val="25"/>
                <w:szCs w:val="25"/>
              </w:rPr>
              <w:t>,</w:t>
            </w:r>
            <w:r w:rsidR="002635E1" w:rsidRPr="00D318C4">
              <w:rPr>
                <w:sz w:val="25"/>
                <w:szCs w:val="25"/>
              </w:rPr>
              <w:t>61 </w:t>
            </w:r>
            <w:r w:rsidRPr="00D318C4">
              <w:rPr>
                <w:sz w:val="25"/>
                <w:szCs w:val="25"/>
              </w:rPr>
              <w:t>milj. </w:t>
            </w:r>
            <w:r w:rsidRPr="00D318C4">
              <w:rPr>
                <w:i/>
                <w:sz w:val="25"/>
                <w:szCs w:val="25"/>
              </w:rPr>
              <w:t>euro</w:t>
            </w:r>
            <w:r w:rsidRPr="00D318C4">
              <w:rPr>
                <w:sz w:val="25"/>
                <w:szCs w:val="25"/>
              </w:rPr>
              <w:t xml:space="preserve">, bet atlikušais finansējums var tikt izlietots citu mērķu sasniegšanai. </w:t>
            </w:r>
          </w:p>
          <w:p w14:paraId="658FF432" w14:textId="1F3DE272" w:rsidR="00E635F8" w:rsidRPr="00D318C4" w:rsidRDefault="00E635F8" w:rsidP="00D318C4">
            <w:pPr>
              <w:autoSpaceDE w:val="0"/>
              <w:autoSpaceDN w:val="0"/>
              <w:jc w:val="both"/>
              <w:rPr>
                <w:bCs/>
                <w:sz w:val="25"/>
                <w:szCs w:val="25"/>
                <w:shd w:val="clear" w:color="auto" w:fill="FFFFFF" w:themeFill="background1"/>
              </w:rPr>
            </w:pPr>
            <w:r w:rsidRPr="00D318C4">
              <w:rPr>
                <w:sz w:val="25"/>
                <w:szCs w:val="25"/>
              </w:rPr>
              <w:t xml:space="preserve">Otrās projektu iesniegumu atlases kārtas īstenošanai pieejamais publiskais finansējums ir </w:t>
            </w:r>
            <w:r w:rsidR="002635E1" w:rsidRPr="00D318C4">
              <w:rPr>
                <w:sz w:val="25"/>
                <w:szCs w:val="25"/>
              </w:rPr>
              <w:t xml:space="preserve">32 507 612 </w:t>
            </w:r>
            <w:r w:rsidRPr="00D318C4">
              <w:rPr>
                <w:i/>
                <w:sz w:val="25"/>
                <w:szCs w:val="25"/>
              </w:rPr>
              <w:t>euro</w:t>
            </w:r>
            <w:r w:rsidRPr="00D318C4">
              <w:rPr>
                <w:sz w:val="25"/>
                <w:szCs w:val="25"/>
              </w:rPr>
              <w:t xml:space="preserve">, tajā skaitā ERAF  finansējums </w:t>
            </w:r>
            <w:r w:rsidR="002635E1" w:rsidRPr="00D318C4">
              <w:rPr>
                <w:sz w:val="25"/>
                <w:szCs w:val="25"/>
              </w:rPr>
              <w:t>27 631 </w:t>
            </w:r>
            <w:r w:rsidR="00D446C2" w:rsidRPr="00D318C4">
              <w:rPr>
                <w:sz w:val="25"/>
                <w:szCs w:val="25"/>
              </w:rPr>
              <w:t xml:space="preserve">470 </w:t>
            </w:r>
            <w:r w:rsidRPr="00D318C4">
              <w:rPr>
                <w:i/>
                <w:sz w:val="25"/>
                <w:szCs w:val="25"/>
              </w:rPr>
              <w:t>euro</w:t>
            </w:r>
            <w:r w:rsidRPr="00D318C4">
              <w:rPr>
                <w:sz w:val="25"/>
                <w:szCs w:val="25"/>
              </w:rPr>
              <w:t xml:space="preserve"> un valsts budžeta finansējums  </w:t>
            </w:r>
            <w:r w:rsidR="002635E1" w:rsidRPr="00D318C4">
              <w:rPr>
                <w:sz w:val="25"/>
                <w:szCs w:val="25"/>
              </w:rPr>
              <w:t>4 876 </w:t>
            </w:r>
            <w:r w:rsidR="00D446C2" w:rsidRPr="00D318C4">
              <w:rPr>
                <w:sz w:val="25"/>
                <w:szCs w:val="25"/>
              </w:rPr>
              <w:t xml:space="preserve">142 </w:t>
            </w:r>
            <w:r w:rsidRPr="00D318C4">
              <w:rPr>
                <w:i/>
                <w:sz w:val="25"/>
                <w:szCs w:val="25"/>
              </w:rPr>
              <w:t>euro</w:t>
            </w:r>
            <w:r w:rsidRPr="00D318C4">
              <w:rPr>
                <w:sz w:val="25"/>
                <w:szCs w:val="25"/>
              </w:rPr>
              <w:t xml:space="preserve">. </w:t>
            </w:r>
            <w:r w:rsidRPr="00D318C4">
              <w:rPr>
                <w:bCs/>
                <w:sz w:val="25"/>
                <w:szCs w:val="25"/>
                <w:shd w:val="clear" w:color="auto" w:fill="FFFFFF" w:themeFill="background1"/>
              </w:rPr>
              <w:t xml:space="preserve">Tai pat laikā, ņemot vērā snieguma rezervi, sadarbības iestāde projektu iesniegumu otro atlases kārtu var izsludināt par publisko finansējumu ne vairāk kā </w:t>
            </w:r>
            <w:r w:rsidR="002635E1" w:rsidRPr="00D318C4">
              <w:rPr>
                <w:bCs/>
                <w:sz w:val="25"/>
                <w:szCs w:val="25"/>
                <w:shd w:val="clear" w:color="auto" w:fill="FFFFFF" w:themeFill="background1"/>
              </w:rPr>
              <w:t>25 485 411 </w:t>
            </w:r>
            <w:r w:rsidRPr="00D318C4">
              <w:rPr>
                <w:i/>
                <w:sz w:val="25"/>
                <w:szCs w:val="25"/>
              </w:rPr>
              <w:t>euro</w:t>
            </w:r>
            <w:r w:rsidRPr="00D318C4">
              <w:rPr>
                <w:bCs/>
                <w:sz w:val="25"/>
                <w:szCs w:val="25"/>
                <w:shd w:val="clear" w:color="auto" w:fill="FFFFFF" w:themeFill="background1"/>
              </w:rPr>
              <w:t xml:space="preserve"> apmērā, tai skaitā ERAF finansējumu 2</w:t>
            </w:r>
            <w:r w:rsidR="002635E1" w:rsidRPr="00D318C4">
              <w:rPr>
                <w:bCs/>
                <w:sz w:val="25"/>
                <w:szCs w:val="25"/>
                <w:shd w:val="clear" w:color="auto" w:fill="FFFFFF" w:themeFill="background1"/>
              </w:rPr>
              <w:t>1</w:t>
            </w:r>
            <w:r w:rsidRPr="00D318C4">
              <w:rPr>
                <w:bCs/>
                <w:sz w:val="25"/>
                <w:szCs w:val="25"/>
                <w:shd w:val="clear" w:color="auto" w:fill="FFFFFF" w:themeFill="background1"/>
              </w:rPr>
              <w:t xml:space="preserve"> </w:t>
            </w:r>
            <w:r w:rsidR="002635E1" w:rsidRPr="00D318C4">
              <w:rPr>
                <w:bCs/>
                <w:sz w:val="25"/>
                <w:szCs w:val="25"/>
                <w:shd w:val="clear" w:color="auto" w:fill="FFFFFF" w:themeFill="background1"/>
              </w:rPr>
              <w:t xml:space="preserve">662 </w:t>
            </w:r>
            <w:r w:rsidR="00D446C2" w:rsidRPr="00D318C4">
              <w:rPr>
                <w:bCs/>
                <w:sz w:val="25"/>
                <w:szCs w:val="25"/>
                <w:shd w:val="clear" w:color="auto" w:fill="FFFFFF" w:themeFill="background1"/>
              </w:rPr>
              <w:t xml:space="preserve">599 </w:t>
            </w:r>
            <w:r w:rsidRPr="00D318C4">
              <w:rPr>
                <w:i/>
                <w:sz w:val="25"/>
                <w:szCs w:val="25"/>
              </w:rPr>
              <w:t>euro</w:t>
            </w:r>
            <w:r w:rsidRPr="00D318C4">
              <w:rPr>
                <w:bCs/>
                <w:sz w:val="25"/>
                <w:szCs w:val="25"/>
                <w:shd w:val="clear" w:color="auto" w:fill="FFFFFF" w:themeFill="background1"/>
              </w:rPr>
              <w:t xml:space="preserve"> (rezerves apjoms 5 968 871 </w:t>
            </w:r>
            <w:r w:rsidRPr="00D318C4">
              <w:rPr>
                <w:i/>
                <w:sz w:val="25"/>
                <w:szCs w:val="25"/>
              </w:rPr>
              <w:t>euro</w:t>
            </w:r>
            <w:r w:rsidRPr="00D318C4">
              <w:rPr>
                <w:bCs/>
                <w:sz w:val="25"/>
                <w:szCs w:val="25"/>
                <w:shd w:val="clear" w:color="auto" w:fill="FFFFFF" w:themeFill="background1"/>
              </w:rPr>
              <w:t xml:space="preserve">) apmērā un valsts budžeta finansējumu </w:t>
            </w:r>
            <w:r w:rsidR="002635E1" w:rsidRPr="00D318C4">
              <w:rPr>
                <w:bCs/>
                <w:sz w:val="25"/>
                <w:szCs w:val="25"/>
                <w:shd w:val="clear" w:color="auto" w:fill="FFFFFF" w:themeFill="background1"/>
              </w:rPr>
              <w:t xml:space="preserve">3 822 </w:t>
            </w:r>
            <w:r w:rsidR="00D446C2" w:rsidRPr="00D318C4">
              <w:rPr>
                <w:bCs/>
                <w:sz w:val="25"/>
                <w:szCs w:val="25"/>
                <w:shd w:val="clear" w:color="auto" w:fill="FFFFFF" w:themeFill="background1"/>
              </w:rPr>
              <w:t>812 </w:t>
            </w:r>
            <w:r w:rsidRPr="00D318C4">
              <w:rPr>
                <w:i/>
                <w:sz w:val="25"/>
                <w:szCs w:val="25"/>
              </w:rPr>
              <w:t>euro</w:t>
            </w:r>
            <w:r w:rsidRPr="00D318C4">
              <w:rPr>
                <w:bCs/>
                <w:sz w:val="25"/>
                <w:szCs w:val="25"/>
                <w:shd w:val="clear" w:color="auto" w:fill="FFFFFF" w:themeFill="background1"/>
              </w:rPr>
              <w:t xml:space="preserve"> apmērā (rezerves apjoms 1 053 330 </w:t>
            </w:r>
            <w:r w:rsidRPr="00D318C4">
              <w:rPr>
                <w:i/>
                <w:sz w:val="25"/>
                <w:szCs w:val="25"/>
              </w:rPr>
              <w:t>euro</w:t>
            </w:r>
            <w:r w:rsidRPr="00D318C4">
              <w:rPr>
                <w:bCs/>
                <w:sz w:val="25"/>
                <w:szCs w:val="25"/>
                <w:shd w:val="clear" w:color="auto" w:fill="FFFFFF" w:themeFill="background1"/>
              </w:rPr>
              <w:t xml:space="preserve">). </w:t>
            </w:r>
          </w:p>
          <w:p w14:paraId="61A24994" w14:textId="6CB00685" w:rsidR="0084437F" w:rsidRPr="00D318C4" w:rsidRDefault="0084437F" w:rsidP="00D318C4">
            <w:pPr>
              <w:autoSpaceDE w:val="0"/>
              <w:autoSpaceDN w:val="0"/>
              <w:jc w:val="both"/>
              <w:rPr>
                <w:sz w:val="25"/>
                <w:szCs w:val="25"/>
              </w:rPr>
            </w:pPr>
            <w:r w:rsidRPr="00D318C4">
              <w:rPr>
                <w:sz w:val="25"/>
                <w:szCs w:val="25"/>
              </w:rPr>
              <w:t>Otrās atlases kārtas ietvaros sasniedzamie iznākuma rādītāji:</w:t>
            </w:r>
          </w:p>
          <w:p w14:paraId="29ED9AD8" w14:textId="6E0C7D88" w:rsidR="0084437F" w:rsidRPr="00D318C4" w:rsidRDefault="0084437F" w:rsidP="00D318C4">
            <w:pPr>
              <w:pStyle w:val="ListParagraph"/>
              <w:numPr>
                <w:ilvl w:val="0"/>
                <w:numId w:val="21"/>
              </w:numPr>
              <w:autoSpaceDE w:val="0"/>
              <w:autoSpaceDN w:val="0"/>
              <w:jc w:val="both"/>
              <w:rPr>
                <w:sz w:val="25"/>
                <w:szCs w:val="25"/>
              </w:rPr>
            </w:pPr>
            <w:r w:rsidRPr="00D318C4">
              <w:rPr>
                <w:sz w:val="25"/>
                <w:szCs w:val="25"/>
              </w:rPr>
              <w:t>uzstādītā atjaunojamos energoresursus izmantojoša siltumenerģijas ražošanas papildjauda ir 0,58 MW;</w:t>
            </w:r>
          </w:p>
          <w:p w14:paraId="1B5A0F69" w14:textId="3FBA2AE3" w:rsidR="0084437F" w:rsidRPr="00D318C4" w:rsidRDefault="0084437F" w:rsidP="00D318C4">
            <w:pPr>
              <w:pStyle w:val="ListParagraph"/>
              <w:numPr>
                <w:ilvl w:val="0"/>
                <w:numId w:val="21"/>
              </w:numPr>
              <w:autoSpaceDE w:val="0"/>
              <w:autoSpaceDN w:val="0"/>
              <w:jc w:val="both"/>
              <w:rPr>
                <w:sz w:val="25"/>
                <w:szCs w:val="25"/>
              </w:rPr>
            </w:pPr>
            <w:r w:rsidRPr="00D318C4">
              <w:rPr>
                <w:sz w:val="25"/>
                <w:szCs w:val="25"/>
              </w:rPr>
              <w:t>aprēķinātais siltumnīcefekta gāzu samazinājums ir 2 670 CO</w:t>
            </w:r>
            <w:r w:rsidRPr="00D318C4">
              <w:rPr>
                <w:sz w:val="25"/>
                <w:szCs w:val="25"/>
                <w:vertAlign w:val="subscript"/>
              </w:rPr>
              <w:t>2</w:t>
            </w:r>
            <w:r w:rsidRPr="00D318C4">
              <w:rPr>
                <w:sz w:val="25"/>
                <w:szCs w:val="25"/>
              </w:rPr>
              <w:t xml:space="preserve"> ekvivalenta tonnas gadā;</w:t>
            </w:r>
          </w:p>
          <w:p w14:paraId="690DF8CC" w14:textId="3B2277C5" w:rsidR="0084437F" w:rsidRPr="00D318C4" w:rsidRDefault="0084437F" w:rsidP="00D318C4">
            <w:pPr>
              <w:pStyle w:val="ListParagraph"/>
              <w:numPr>
                <w:ilvl w:val="0"/>
                <w:numId w:val="21"/>
              </w:numPr>
              <w:autoSpaceDE w:val="0"/>
              <w:autoSpaceDN w:val="0"/>
              <w:jc w:val="both"/>
              <w:rPr>
                <w:sz w:val="25"/>
                <w:szCs w:val="25"/>
              </w:rPr>
            </w:pPr>
            <w:r w:rsidRPr="00D318C4">
              <w:rPr>
                <w:sz w:val="25"/>
                <w:szCs w:val="25"/>
              </w:rPr>
              <w:t xml:space="preserve">primārās enerģijas gada patēriņa samazinājums sabiedriskajās ēkās 10 263 MWh/gadā. </w:t>
            </w:r>
          </w:p>
          <w:p w14:paraId="5F7C5687" w14:textId="77777777" w:rsidR="0084437F" w:rsidRPr="00D318C4" w:rsidRDefault="0084437F" w:rsidP="00D318C4">
            <w:pPr>
              <w:autoSpaceDE w:val="0"/>
              <w:autoSpaceDN w:val="0"/>
              <w:jc w:val="both"/>
              <w:rPr>
                <w:sz w:val="25"/>
                <w:szCs w:val="25"/>
              </w:rPr>
            </w:pPr>
            <w:r w:rsidRPr="00D318C4">
              <w:rPr>
                <w:sz w:val="25"/>
                <w:szCs w:val="25"/>
              </w:rPr>
              <w:t>Pirmās un otrās atlases kārtas ietvaros sasniedzamie iznākuma rādītāji nodrošinās kopējo 4.2.1.2.pasākuma iznākuma rādītāju sasniegšanu:</w:t>
            </w:r>
          </w:p>
          <w:p w14:paraId="5A284ADC" w14:textId="77777777" w:rsidR="0084437F" w:rsidRPr="00D318C4" w:rsidRDefault="0084437F" w:rsidP="00D318C4">
            <w:pPr>
              <w:pStyle w:val="ListParagraph"/>
              <w:numPr>
                <w:ilvl w:val="0"/>
                <w:numId w:val="22"/>
              </w:numPr>
              <w:autoSpaceDE w:val="0"/>
              <w:autoSpaceDN w:val="0"/>
              <w:jc w:val="both"/>
              <w:rPr>
                <w:sz w:val="25"/>
                <w:szCs w:val="25"/>
              </w:rPr>
            </w:pPr>
            <w:r w:rsidRPr="00D318C4">
              <w:rPr>
                <w:sz w:val="25"/>
                <w:szCs w:val="25"/>
              </w:rPr>
              <w:t>uzstādītā atjaunojamos energoresursus izmantojoša siltumenerģijas ražošanas papildjauda ir 2,06 MW;</w:t>
            </w:r>
          </w:p>
          <w:p w14:paraId="2DB5117A" w14:textId="763C3B09" w:rsidR="0084437F" w:rsidRPr="00D318C4" w:rsidRDefault="0084437F" w:rsidP="00D318C4">
            <w:pPr>
              <w:pStyle w:val="ListParagraph"/>
              <w:numPr>
                <w:ilvl w:val="0"/>
                <w:numId w:val="22"/>
              </w:numPr>
              <w:autoSpaceDE w:val="0"/>
              <w:autoSpaceDN w:val="0"/>
              <w:jc w:val="both"/>
              <w:rPr>
                <w:sz w:val="25"/>
                <w:szCs w:val="25"/>
              </w:rPr>
            </w:pPr>
            <w:r w:rsidRPr="00D318C4">
              <w:rPr>
                <w:sz w:val="25"/>
                <w:szCs w:val="25"/>
              </w:rPr>
              <w:t>aprēķinātais siltumnīcefe</w:t>
            </w:r>
            <w:r w:rsidR="00DD6F62" w:rsidRPr="00D318C4">
              <w:rPr>
                <w:sz w:val="25"/>
                <w:szCs w:val="25"/>
              </w:rPr>
              <w:t>kta gāzu samazinājums ir  9 457 </w:t>
            </w:r>
            <w:r w:rsidRPr="00D318C4">
              <w:rPr>
                <w:sz w:val="25"/>
                <w:szCs w:val="25"/>
              </w:rPr>
              <w:t>CO</w:t>
            </w:r>
            <w:r w:rsidRPr="00D318C4">
              <w:rPr>
                <w:sz w:val="25"/>
                <w:szCs w:val="25"/>
                <w:vertAlign w:val="subscript"/>
              </w:rPr>
              <w:t>2</w:t>
            </w:r>
            <w:r w:rsidRPr="00D318C4">
              <w:rPr>
                <w:sz w:val="25"/>
                <w:szCs w:val="25"/>
              </w:rPr>
              <w:t xml:space="preserve"> ekvivalenta tonnas gadā;</w:t>
            </w:r>
          </w:p>
          <w:p w14:paraId="00DF7298" w14:textId="166C4B91" w:rsidR="0084437F" w:rsidRDefault="0084437F" w:rsidP="0084437F">
            <w:pPr>
              <w:pStyle w:val="ListParagraph"/>
              <w:numPr>
                <w:ilvl w:val="0"/>
                <w:numId w:val="22"/>
              </w:numPr>
              <w:autoSpaceDE w:val="0"/>
              <w:autoSpaceDN w:val="0"/>
              <w:spacing w:after="120"/>
              <w:jc w:val="both"/>
              <w:rPr>
                <w:sz w:val="25"/>
                <w:szCs w:val="25"/>
              </w:rPr>
            </w:pPr>
            <w:r w:rsidRPr="00D318C4">
              <w:rPr>
                <w:sz w:val="25"/>
                <w:szCs w:val="25"/>
              </w:rPr>
              <w:lastRenderedPageBreak/>
              <w:t>primārās enerģijas gada patēriņa samazinājums sabiedriskajās ēkās 36 347 MWh/gadā.</w:t>
            </w:r>
          </w:p>
          <w:p w14:paraId="0DD2CF22" w14:textId="77777777" w:rsidR="00D318C4" w:rsidRPr="00D318C4" w:rsidRDefault="00D318C4" w:rsidP="00D318C4">
            <w:pPr>
              <w:pStyle w:val="ListParagraph"/>
              <w:autoSpaceDE w:val="0"/>
              <w:autoSpaceDN w:val="0"/>
              <w:spacing w:after="120"/>
              <w:jc w:val="both"/>
              <w:rPr>
                <w:sz w:val="25"/>
                <w:szCs w:val="25"/>
              </w:rPr>
            </w:pPr>
          </w:p>
          <w:p w14:paraId="7C5C45D2" w14:textId="77777777" w:rsidR="00E635F8" w:rsidRPr="00D318C4" w:rsidRDefault="00E635F8" w:rsidP="00D318C4">
            <w:pPr>
              <w:autoSpaceDE w:val="0"/>
              <w:autoSpaceDN w:val="0"/>
              <w:jc w:val="both"/>
              <w:rPr>
                <w:i/>
                <w:sz w:val="25"/>
                <w:szCs w:val="25"/>
              </w:rPr>
            </w:pPr>
            <w:r w:rsidRPr="00D318C4">
              <w:rPr>
                <w:i/>
                <w:sz w:val="25"/>
                <w:szCs w:val="25"/>
              </w:rPr>
              <w:t>Horizontālo principu ievērošana</w:t>
            </w:r>
          </w:p>
          <w:p w14:paraId="7AEF788E" w14:textId="37B28C4F" w:rsidR="00E635F8" w:rsidRPr="00D318C4" w:rsidRDefault="00E635F8" w:rsidP="00E635F8">
            <w:pPr>
              <w:autoSpaceDE w:val="0"/>
              <w:autoSpaceDN w:val="0"/>
              <w:spacing w:after="120"/>
              <w:jc w:val="both"/>
              <w:rPr>
                <w:sz w:val="25"/>
                <w:szCs w:val="25"/>
              </w:rPr>
            </w:pPr>
            <w:r w:rsidRPr="00D318C4">
              <w:rPr>
                <w:sz w:val="25"/>
                <w:szCs w:val="25"/>
              </w:rPr>
              <w:t xml:space="preserve">4.2.1.2.pasākumam ir tieša pozitīva ietekme uz horizontālo principu “Ilgtspējīga attīstība”. </w:t>
            </w:r>
            <w:r w:rsidR="00585BBE" w:rsidRPr="00D318C4">
              <w:rPr>
                <w:sz w:val="25"/>
                <w:szCs w:val="25"/>
              </w:rPr>
              <w:t>Projektu iesniegumu vērtēšanas kritēriji</w:t>
            </w:r>
            <w:r w:rsidRPr="00D318C4">
              <w:rPr>
                <w:sz w:val="25"/>
                <w:szCs w:val="25"/>
              </w:rPr>
              <w:t xml:space="preserve"> ir papildināt</w:t>
            </w:r>
            <w:r w:rsidR="00585BBE" w:rsidRPr="00D318C4">
              <w:rPr>
                <w:sz w:val="25"/>
                <w:szCs w:val="25"/>
              </w:rPr>
              <w:t>i</w:t>
            </w:r>
            <w:r w:rsidRPr="00D318C4">
              <w:rPr>
                <w:sz w:val="25"/>
                <w:szCs w:val="25"/>
              </w:rPr>
              <w:t xml:space="preserve"> ar papildus kvalitātes kritēriju, kura ietvaros finansējuma saņēmējam, sniedzot atbilstošu informāciju par šīs prioritātes principu ievērošanu un veicināšanu, būs iespēja iegūt papildus 5 punktus, ja projekta iepirkuma konkursa nolikumā, atlases un vērtēšanas kritērijos tika/tiks piemērots zaļais publiskais iepirkums. Lai nodrošinātu šī </w:t>
            </w:r>
            <w:r w:rsidR="00AE77CD" w:rsidRPr="00D318C4">
              <w:rPr>
                <w:sz w:val="25"/>
                <w:szCs w:val="25"/>
              </w:rPr>
              <w:t xml:space="preserve">horizontālā </w:t>
            </w:r>
            <w:r w:rsidRPr="00D318C4">
              <w:rPr>
                <w:sz w:val="25"/>
                <w:szCs w:val="25"/>
              </w:rPr>
              <w:t xml:space="preserve">principa uzraudzību, </w:t>
            </w:r>
            <w:r w:rsidR="00AE77CD" w:rsidRPr="00D318C4">
              <w:rPr>
                <w:sz w:val="25"/>
                <w:szCs w:val="25"/>
              </w:rPr>
              <w:t xml:space="preserve">CFLA </w:t>
            </w:r>
            <w:r w:rsidRPr="00D318C4">
              <w:rPr>
                <w:sz w:val="25"/>
                <w:szCs w:val="25"/>
              </w:rPr>
              <w:t>tiks uzkrāti dati par attiecīgo kritēriju sasniegšanu projektu ietvaros</w:t>
            </w:r>
            <w:r w:rsidR="00AE77CD" w:rsidRPr="00D318C4">
              <w:rPr>
                <w:sz w:val="25"/>
                <w:szCs w:val="25"/>
              </w:rPr>
              <w:t xml:space="preserve"> un CFLA uzraudzīs, vai atbilstoši iepirkumam ir piemērots zaļais publiskais iepirkums.</w:t>
            </w:r>
          </w:p>
          <w:p w14:paraId="4FF0D5BF" w14:textId="1E08069D" w:rsidR="00E635F8" w:rsidRPr="00D318C4" w:rsidRDefault="00E635F8" w:rsidP="007B6E76">
            <w:pPr>
              <w:autoSpaceDE w:val="0"/>
              <w:autoSpaceDN w:val="0"/>
              <w:spacing w:after="120"/>
              <w:jc w:val="both"/>
              <w:rPr>
                <w:sz w:val="25"/>
                <w:szCs w:val="25"/>
              </w:rPr>
            </w:pPr>
            <w:r w:rsidRPr="00D318C4">
              <w:rPr>
                <w:sz w:val="25"/>
                <w:szCs w:val="25"/>
              </w:rPr>
              <w:t xml:space="preserve">4.2.1.2.pasākumam ir netieša pozitīva ietekme uz horizontālo principu “Vienlīdzīgas iespējas”. </w:t>
            </w:r>
            <w:r w:rsidR="00585BBE" w:rsidRPr="00D318C4">
              <w:rPr>
                <w:sz w:val="25"/>
                <w:szCs w:val="25"/>
              </w:rPr>
              <w:t>Projektu iesniegumu vērtēšanas kritēriji ir papildināti</w:t>
            </w:r>
            <w:r w:rsidRPr="00D318C4">
              <w:rPr>
                <w:sz w:val="25"/>
                <w:szCs w:val="25"/>
              </w:rPr>
              <w:t xml:space="preserve"> ar papildus kvalitātes kritēriju, kura ietvaros finansējuma saņēmējam, sniedzot atbilstošu informāciju par šīs prioritātes principu ievērošanu un veicināšanu, būs iespēja iegūt papildus 5 punktus. </w:t>
            </w:r>
            <w:r w:rsidR="00A23D12" w:rsidRPr="00D318C4">
              <w:rPr>
                <w:sz w:val="25"/>
                <w:szCs w:val="25"/>
              </w:rPr>
              <w:t xml:space="preserve">Lai nodrošinātu horizontālā </w:t>
            </w:r>
            <w:r w:rsidR="007B6E76" w:rsidRPr="00D318C4">
              <w:rPr>
                <w:sz w:val="25"/>
                <w:szCs w:val="25"/>
              </w:rPr>
              <w:t>principa “Vienlīdzīgas iespējas”</w:t>
            </w:r>
            <w:r w:rsidR="00A23D12" w:rsidRPr="00D318C4">
              <w:rPr>
                <w:sz w:val="25"/>
                <w:szCs w:val="25"/>
              </w:rPr>
              <w:t xml:space="preserve"> īstenošanas uzraudzību, projekta īstenotājs uzkrās datus par šāda horizontālā principa “Vienlīdzīgas iespējas” rādītāju: “Objektu skaits, kuros ERAF ieguldījumu rezultātā ir nodrošināta vides un informācijas pieejamība (ja ir attiecināms).”</w:t>
            </w:r>
          </w:p>
        </w:tc>
      </w:tr>
      <w:tr w:rsidR="00E635F8" w:rsidRPr="00D318C4" w14:paraId="47A8B12E" w14:textId="77777777" w:rsidTr="00DF3755">
        <w:tc>
          <w:tcPr>
            <w:tcW w:w="421" w:type="dxa"/>
          </w:tcPr>
          <w:p w14:paraId="2009D700" w14:textId="3BAA1D9C" w:rsidR="00E635F8" w:rsidRPr="00D318C4" w:rsidRDefault="00E635F8" w:rsidP="00E635F8">
            <w:pPr>
              <w:rPr>
                <w:sz w:val="25"/>
                <w:szCs w:val="25"/>
              </w:rPr>
            </w:pPr>
            <w:r w:rsidRPr="00D318C4">
              <w:rPr>
                <w:sz w:val="25"/>
                <w:szCs w:val="25"/>
              </w:rPr>
              <w:lastRenderedPageBreak/>
              <w:t>3.</w:t>
            </w:r>
          </w:p>
        </w:tc>
        <w:tc>
          <w:tcPr>
            <w:tcW w:w="2126" w:type="dxa"/>
          </w:tcPr>
          <w:p w14:paraId="3489D944" w14:textId="77777777" w:rsidR="00E635F8" w:rsidRPr="00D318C4" w:rsidRDefault="00E635F8" w:rsidP="00E635F8">
            <w:pPr>
              <w:rPr>
                <w:sz w:val="25"/>
                <w:szCs w:val="25"/>
              </w:rPr>
            </w:pPr>
            <w:r w:rsidRPr="00D318C4">
              <w:rPr>
                <w:sz w:val="25"/>
                <w:szCs w:val="25"/>
              </w:rPr>
              <w:t>Projekta izstrādē iesaistītās institūcijas</w:t>
            </w:r>
          </w:p>
        </w:tc>
        <w:tc>
          <w:tcPr>
            <w:tcW w:w="7088" w:type="dxa"/>
          </w:tcPr>
          <w:p w14:paraId="2760DD5F" w14:textId="77777777" w:rsidR="00E635F8" w:rsidRPr="00D318C4" w:rsidRDefault="00E635F8" w:rsidP="00E635F8">
            <w:pPr>
              <w:rPr>
                <w:sz w:val="25"/>
                <w:szCs w:val="25"/>
              </w:rPr>
            </w:pPr>
            <w:r w:rsidRPr="00D318C4">
              <w:rPr>
                <w:rFonts w:eastAsia="Times New Roman"/>
                <w:sz w:val="25"/>
                <w:szCs w:val="25"/>
              </w:rPr>
              <w:t>Ekonomikas ministrija</w:t>
            </w:r>
          </w:p>
          <w:p w14:paraId="4A194CEB" w14:textId="77777777" w:rsidR="00E635F8" w:rsidRPr="00D318C4" w:rsidRDefault="00E635F8" w:rsidP="00E635F8">
            <w:pPr>
              <w:ind w:firstLine="720"/>
              <w:rPr>
                <w:sz w:val="25"/>
                <w:szCs w:val="25"/>
              </w:rPr>
            </w:pPr>
          </w:p>
        </w:tc>
      </w:tr>
      <w:tr w:rsidR="00E635F8" w:rsidRPr="00D318C4" w14:paraId="2FC70858" w14:textId="77777777" w:rsidTr="00DF3755">
        <w:tc>
          <w:tcPr>
            <w:tcW w:w="421" w:type="dxa"/>
          </w:tcPr>
          <w:p w14:paraId="2DA21B70" w14:textId="77777777" w:rsidR="00E635F8" w:rsidRPr="00D318C4" w:rsidRDefault="00E635F8" w:rsidP="00E635F8">
            <w:pPr>
              <w:rPr>
                <w:sz w:val="25"/>
                <w:szCs w:val="25"/>
              </w:rPr>
            </w:pPr>
            <w:r w:rsidRPr="00D318C4">
              <w:rPr>
                <w:sz w:val="25"/>
                <w:szCs w:val="25"/>
              </w:rPr>
              <w:t>4.</w:t>
            </w:r>
          </w:p>
        </w:tc>
        <w:tc>
          <w:tcPr>
            <w:tcW w:w="2126" w:type="dxa"/>
          </w:tcPr>
          <w:p w14:paraId="3F03567A" w14:textId="77777777" w:rsidR="00E635F8" w:rsidRPr="00D318C4" w:rsidRDefault="00E635F8" w:rsidP="00E635F8">
            <w:pPr>
              <w:rPr>
                <w:sz w:val="25"/>
                <w:szCs w:val="25"/>
              </w:rPr>
            </w:pPr>
            <w:r w:rsidRPr="00D318C4">
              <w:rPr>
                <w:sz w:val="25"/>
                <w:szCs w:val="25"/>
              </w:rPr>
              <w:t>Cita informācija</w:t>
            </w:r>
          </w:p>
        </w:tc>
        <w:tc>
          <w:tcPr>
            <w:tcW w:w="7088" w:type="dxa"/>
          </w:tcPr>
          <w:p w14:paraId="7E196866" w14:textId="77777777" w:rsidR="00E635F8" w:rsidRPr="00D318C4" w:rsidRDefault="00E635F8" w:rsidP="00E635F8">
            <w:pPr>
              <w:rPr>
                <w:sz w:val="25"/>
                <w:szCs w:val="25"/>
              </w:rPr>
            </w:pPr>
            <w:r w:rsidRPr="00D318C4">
              <w:rPr>
                <w:sz w:val="25"/>
                <w:szCs w:val="25"/>
              </w:rPr>
              <w:t>Nav</w:t>
            </w:r>
          </w:p>
        </w:tc>
      </w:tr>
    </w:tbl>
    <w:p w14:paraId="0197D20B" w14:textId="77777777" w:rsidR="00B63EAD" w:rsidRPr="00D318C4" w:rsidRDefault="00B63EAD">
      <w:pPr>
        <w:rPr>
          <w:sz w:val="25"/>
          <w:szCs w:val="25"/>
        </w:rPr>
      </w:pPr>
    </w:p>
    <w:tbl>
      <w:tblPr>
        <w:tblStyle w:val="TableGrid"/>
        <w:tblW w:w="9634" w:type="dxa"/>
        <w:tblLook w:val="04A0" w:firstRow="1" w:lastRow="0" w:firstColumn="1" w:lastColumn="0" w:noHBand="0" w:noVBand="1"/>
      </w:tblPr>
      <w:tblGrid>
        <w:gridCol w:w="421"/>
        <w:gridCol w:w="2126"/>
        <w:gridCol w:w="7087"/>
      </w:tblGrid>
      <w:tr w:rsidR="00120721" w:rsidRPr="00D318C4" w14:paraId="1E46E223" w14:textId="77777777" w:rsidTr="00F1588A">
        <w:tc>
          <w:tcPr>
            <w:tcW w:w="9634" w:type="dxa"/>
            <w:gridSpan w:val="3"/>
          </w:tcPr>
          <w:p w14:paraId="1378D9C4" w14:textId="77777777" w:rsidR="00120721" w:rsidRPr="00D318C4" w:rsidRDefault="00120721" w:rsidP="00120721">
            <w:pPr>
              <w:jc w:val="center"/>
              <w:rPr>
                <w:b/>
                <w:sz w:val="25"/>
                <w:szCs w:val="25"/>
              </w:rPr>
            </w:pPr>
            <w:r w:rsidRPr="00D318C4">
              <w:rPr>
                <w:b/>
                <w:sz w:val="25"/>
                <w:szCs w:val="25"/>
              </w:rPr>
              <w:t>II. Tiesību akta projekta ietekme uz sabiedrību, tautsaimniecības attīstību un administratīvo slogu</w:t>
            </w:r>
          </w:p>
        </w:tc>
      </w:tr>
      <w:tr w:rsidR="003C76AF" w:rsidRPr="00D318C4" w14:paraId="11B03473" w14:textId="77777777" w:rsidTr="00F1588A">
        <w:tc>
          <w:tcPr>
            <w:tcW w:w="421" w:type="dxa"/>
          </w:tcPr>
          <w:p w14:paraId="205E1975" w14:textId="77777777" w:rsidR="003C76AF" w:rsidRPr="00D318C4" w:rsidRDefault="00120721">
            <w:pPr>
              <w:rPr>
                <w:sz w:val="25"/>
                <w:szCs w:val="25"/>
              </w:rPr>
            </w:pPr>
            <w:r w:rsidRPr="00D318C4">
              <w:rPr>
                <w:sz w:val="25"/>
                <w:szCs w:val="25"/>
              </w:rPr>
              <w:t>1.</w:t>
            </w:r>
          </w:p>
        </w:tc>
        <w:tc>
          <w:tcPr>
            <w:tcW w:w="2126" w:type="dxa"/>
          </w:tcPr>
          <w:p w14:paraId="55034E95" w14:textId="77777777" w:rsidR="003C76AF" w:rsidRPr="00D318C4" w:rsidRDefault="00120721">
            <w:pPr>
              <w:rPr>
                <w:sz w:val="25"/>
                <w:szCs w:val="25"/>
              </w:rPr>
            </w:pPr>
            <w:r w:rsidRPr="00D318C4">
              <w:rPr>
                <w:sz w:val="25"/>
                <w:szCs w:val="25"/>
              </w:rPr>
              <w:t>Sabiedrības mērķgrupas, kuras tiesiskais regulējums ietekmē vai varētu ietekmēt</w:t>
            </w:r>
          </w:p>
        </w:tc>
        <w:tc>
          <w:tcPr>
            <w:tcW w:w="7087" w:type="dxa"/>
          </w:tcPr>
          <w:p w14:paraId="1031F06C" w14:textId="77777777" w:rsidR="003C76AF" w:rsidRPr="00D318C4" w:rsidRDefault="00120721">
            <w:pPr>
              <w:rPr>
                <w:sz w:val="25"/>
                <w:szCs w:val="25"/>
              </w:rPr>
            </w:pPr>
            <w:r w:rsidRPr="00D318C4">
              <w:rPr>
                <w:sz w:val="25"/>
                <w:szCs w:val="25"/>
              </w:rPr>
              <w:t>Valsts ēku īpašnieki</w:t>
            </w:r>
            <w:r w:rsidR="00CB0FCB" w:rsidRPr="00D318C4">
              <w:rPr>
                <w:sz w:val="25"/>
                <w:szCs w:val="25"/>
              </w:rPr>
              <w:t xml:space="preserve"> un lietotāji</w:t>
            </w:r>
            <w:r w:rsidR="005065F9" w:rsidRPr="00D318C4">
              <w:rPr>
                <w:sz w:val="25"/>
                <w:szCs w:val="25"/>
              </w:rPr>
              <w:t>.</w:t>
            </w:r>
          </w:p>
          <w:p w14:paraId="65EEF6D3" w14:textId="51896D59" w:rsidR="005065F9" w:rsidRPr="00D318C4" w:rsidRDefault="005065F9" w:rsidP="005065F9">
            <w:pPr>
              <w:spacing w:before="120"/>
              <w:jc w:val="both"/>
              <w:rPr>
                <w:sz w:val="25"/>
                <w:szCs w:val="25"/>
              </w:rPr>
            </w:pPr>
            <w:r w:rsidRPr="00D318C4">
              <w:rPr>
                <w:sz w:val="25"/>
                <w:szCs w:val="25"/>
              </w:rPr>
              <w:t xml:space="preserve">Mērķgrupas lielums </w:t>
            </w:r>
            <w:r w:rsidR="002635E1" w:rsidRPr="00D318C4">
              <w:rPr>
                <w:sz w:val="25"/>
                <w:szCs w:val="25"/>
              </w:rPr>
              <w:t>–</w:t>
            </w:r>
            <w:r w:rsidRPr="00D318C4">
              <w:rPr>
                <w:sz w:val="25"/>
                <w:szCs w:val="25"/>
              </w:rPr>
              <w:t xml:space="preserve"> </w:t>
            </w:r>
            <w:r w:rsidR="005D6C57" w:rsidRPr="00D318C4">
              <w:rPr>
                <w:sz w:val="25"/>
                <w:szCs w:val="25"/>
              </w:rPr>
              <w:t>999</w:t>
            </w:r>
            <w:r w:rsidR="002635E1" w:rsidRPr="00D318C4">
              <w:rPr>
                <w:sz w:val="25"/>
                <w:szCs w:val="25"/>
              </w:rPr>
              <w:t xml:space="preserve"> </w:t>
            </w:r>
            <w:r w:rsidRPr="00D318C4">
              <w:rPr>
                <w:sz w:val="25"/>
                <w:szCs w:val="25"/>
              </w:rPr>
              <w:t xml:space="preserve">valsts ēku īpašnieki un </w:t>
            </w:r>
            <w:r w:rsidR="00A9343B" w:rsidRPr="00D318C4">
              <w:rPr>
                <w:sz w:val="25"/>
                <w:szCs w:val="25"/>
              </w:rPr>
              <w:t>valsts ēku lietotāji.</w:t>
            </w:r>
          </w:p>
          <w:p w14:paraId="7AEA82FE" w14:textId="309061CC" w:rsidR="005065F9" w:rsidRPr="00D318C4" w:rsidRDefault="005065F9">
            <w:pPr>
              <w:rPr>
                <w:sz w:val="25"/>
                <w:szCs w:val="25"/>
              </w:rPr>
            </w:pPr>
          </w:p>
        </w:tc>
      </w:tr>
      <w:tr w:rsidR="003C76AF" w:rsidRPr="00D318C4" w14:paraId="2E5E80D4" w14:textId="77777777" w:rsidTr="00F1588A">
        <w:tc>
          <w:tcPr>
            <w:tcW w:w="421" w:type="dxa"/>
          </w:tcPr>
          <w:p w14:paraId="2FD8E217" w14:textId="66E12255" w:rsidR="003C76AF" w:rsidRPr="00D318C4" w:rsidRDefault="00120721">
            <w:pPr>
              <w:rPr>
                <w:sz w:val="25"/>
                <w:szCs w:val="25"/>
              </w:rPr>
            </w:pPr>
            <w:r w:rsidRPr="00D318C4">
              <w:rPr>
                <w:sz w:val="25"/>
                <w:szCs w:val="25"/>
              </w:rPr>
              <w:t>2.</w:t>
            </w:r>
          </w:p>
        </w:tc>
        <w:tc>
          <w:tcPr>
            <w:tcW w:w="2126" w:type="dxa"/>
          </w:tcPr>
          <w:p w14:paraId="2E665CAE" w14:textId="77777777" w:rsidR="003C76AF" w:rsidRPr="00D318C4" w:rsidRDefault="00120721" w:rsidP="00120721">
            <w:pPr>
              <w:rPr>
                <w:sz w:val="25"/>
                <w:szCs w:val="25"/>
              </w:rPr>
            </w:pPr>
            <w:r w:rsidRPr="00D318C4">
              <w:rPr>
                <w:sz w:val="25"/>
                <w:szCs w:val="25"/>
              </w:rPr>
              <w:t>Tiesiskā regulējuma ietekme uz tautsaimniecību un administratīvo slogu</w:t>
            </w:r>
          </w:p>
        </w:tc>
        <w:tc>
          <w:tcPr>
            <w:tcW w:w="7087" w:type="dxa"/>
          </w:tcPr>
          <w:p w14:paraId="27FE4E43" w14:textId="77777777" w:rsidR="00120721" w:rsidRPr="00D318C4" w:rsidRDefault="00120721" w:rsidP="00BC5BDA">
            <w:pPr>
              <w:jc w:val="both"/>
              <w:rPr>
                <w:sz w:val="25"/>
                <w:szCs w:val="25"/>
              </w:rPr>
            </w:pPr>
            <w:r w:rsidRPr="00D318C4">
              <w:rPr>
                <w:sz w:val="25"/>
                <w:szCs w:val="25"/>
              </w:rPr>
              <w:t>Vērtējot projektu īstenošanas ietekmi uz administratīvajām procedūrām un to izmaksām, nav identificēts administratīvā sloga palielinājums ne potenciālajiem finansējuma saņēmējiem, ne fondu vadībā iesaistītajām institūcijām.</w:t>
            </w:r>
          </w:p>
          <w:p w14:paraId="6AB72A4E" w14:textId="26C28FE1" w:rsidR="00840D43" w:rsidRPr="00D318C4" w:rsidRDefault="00804C92" w:rsidP="00E635F8">
            <w:pPr>
              <w:jc w:val="both"/>
              <w:rPr>
                <w:sz w:val="25"/>
                <w:szCs w:val="25"/>
              </w:rPr>
            </w:pPr>
            <w:r w:rsidRPr="00D318C4">
              <w:rPr>
                <w:sz w:val="25"/>
                <w:szCs w:val="25"/>
              </w:rPr>
              <w:t>MK noteikumu projekts nosaka, ka projekta attiecināmajās izmaksās ir iekļaujamas projekta vadības personāla atlīdzības un projekta pamatojošās dokumentācijas sagatavošanas izmaksas, tādejādi samazinot administratīvo izmaksu slogu uz projekta iesniedzēja budžetu.</w:t>
            </w:r>
            <w:r w:rsidR="00927549" w:rsidRPr="00D318C4">
              <w:rPr>
                <w:sz w:val="25"/>
                <w:szCs w:val="25"/>
              </w:rPr>
              <w:t xml:space="preserve"> </w:t>
            </w:r>
            <w:r w:rsidR="00BA399B" w:rsidRPr="00D318C4">
              <w:rPr>
                <w:sz w:val="25"/>
                <w:szCs w:val="25"/>
              </w:rPr>
              <w:t xml:space="preserve">Paredzams, ka </w:t>
            </w:r>
            <w:r w:rsidR="00927549" w:rsidRPr="00D318C4">
              <w:rPr>
                <w:sz w:val="25"/>
                <w:szCs w:val="25"/>
              </w:rPr>
              <w:t xml:space="preserve">4.2.1.2.pasākuma pirmās projekta </w:t>
            </w:r>
            <w:r w:rsidR="00927549" w:rsidRPr="00D318C4">
              <w:rPr>
                <w:sz w:val="25"/>
                <w:szCs w:val="25"/>
              </w:rPr>
              <w:lastRenderedPageBreak/>
              <w:t>iesnieguma atlases kārtas ietvaros</w:t>
            </w:r>
            <w:r w:rsidR="00BA399B" w:rsidRPr="00D318C4">
              <w:rPr>
                <w:sz w:val="25"/>
                <w:szCs w:val="25"/>
              </w:rPr>
              <w:t xml:space="preserve"> </w:t>
            </w:r>
            <w:r w:rsidR="00927549" w:rsidRPr="00D318C4">
              <w:rPr>
                <w:sz w:val="25"/>
                <w:szCs w:val="25"/>
              </w:rPr>
              <w:t>administratīvās izmaksas var sasniegt</w:t>
            </w:r>
            <w:r w:rsidR="00AB668B" w:rsidRPr="00D318C4">
              <w:rPr>
                <w:sz w:val="25"/>
                <w:szCs w:val="25"/>
              </w:rPr>
              <w:t xml:space="preserve"> 1 282 500 </w:t>
            </w:r>
            <w:r w:rsidR="00AB668B" w:rsidRPr="00D318C4">
              <w:rPr>
                <w:i/>
                <w:sz w:val="25"/>
                <w:szCs w:val="25"/>
              </w:rPr>
              <w:t>euro</w:t>
            </w:r>
            <w:r w:rsidR="00AB668B" w:rsidRPr="00D318C4">
              <w:rPr>
                <w:sz w:val="25"/>
                <w:szCs w:val="25"/>
              </w:rPr>
              <w:t>, kas ir 1,5% no atlases kārtai pieejamā finansējuma. Pieņēmums balstīts uz CSP pieejamo informāciju par sabiedriskā sektorā izmaksāto vidējo atalgojumu</w:t>
            </w:r>
            <w:r w:rsidR="00BA399B" w:rsidRPr="00D318C4">
              <w:rPr>
                <w:sz w:val="25"/>
                <w:szCs w:val="25"/>
              </w:rPr>
              <w:t xml:space="preserve"> (bruto)</w:t>
            </w:r>
            <w:r w:rsidR="00AB668B" w:rsidRPr="00D318C4">
              <w:rPr>
                <w:sz w:val="25"/>
                <w:szCs w:val="25"/>
              </w:rPr>
              <w:t>, atlases kārtas ietvaros plānoto īstenoto projektu skaitu un laiku, kas nepieciešams projekta sagatavošanai. Ņemot vērā, ka projekta iesnieguma veidlapas sagatavošanai un tehniskā projekta izstrādāšanai nepieciešami vismaz 8 mēneši</w:t>
            </w:r>
            <w:r w:rsidR="00BA399B" w:rsidRPr="00D318C4">
              <w:rPr>
                <w:sz w:val="25"/>
                <w:szCs w:val="25"/>
              </w:rPr>
              <w:t xml:space="preserve"> un sabiedriskajā sektorā vidējais atalgojums mēnesī ir 885 </w:t>
            </w:r>
            <w:r w:rsidR="00BA399B" w:rsidRPr="00D318C4">
              <w:rPr>
                <w:i/>
                <w:sz w:val="25"/>
                <w:szCs w:val="25"/>
              </w:rPr>
              <w:t xml:space="preserve">euro </w:t>
            </w:r>
            <w:r w:rsidR="00BA399B" w:rsidRPr="00D318C4">
              <w:rPr>
                <w:sz w:val="25"/>
                <w:szCs w:val="25"/>
              </w:rPr>
              <w:t xml:space="preserve">(bruto) un to, ka piecus gadus pēc projekta īstenošanas katru gadu ir jāiesniedz pārskats par enerģijas patēriņu, vidēji nepieciešamais laiks (kopā ar uzraudzības periodu) ir 15 mēneši, kas nozīmē, ka administratīvās izmaksas var sasniegt 1 282 500 </w:t>
            </w:r>
            <w:r w:rsidR="00BA399B" w:rsidRPr="00D318C4">
              <w:rPr>
                <w:i/>
                <w:sz w:val="25"/>
                <w:szCs w:val="25"/>
              </w:rPr>
              <w:t>euro.</w:t>
            </w:r>
          </w:p>
          <w:p w14:paraId="620D2C04" w14:textId="31C9508C" w:rsidR="00F95DDA" w:rsidRPr="00D318C4" w:rsidRDefault="00120721" w:rsidP="00E635F8">
            <w:pPr>
              <w:jc w:val="both"/>
              <w:rPr>
                <w:sz w:val="25"/>
                <w:szCs w:val="25"/>
              </w:rPr>
            </w:pPr>
            <w:r w:rsidRPr="00D318C4">
              <w:rPr>
                <w:sz w:val="25"/>
                <w:szCs w:val="25"/>
              </w:rPr>
              <w:t>Iesniegto projektu iesniegumu pieņemšanu un vērtēšanu nodrošinās Centrālā finanšu un līgumu aģentūra.</w:t>
            </w:r>
          </w:p>
        </w:tc>
      </w:tr>
      <w:tr w:rsidR="003C76AF" w:rsidRPr="00D318C4" w14:paraId="201C1425" w14:textId="77777777" w:rsidTr="00F1588A">
        <w:tc>
          <w:tcPr>
            <w:tcW w:w="421" w:type="dxa"/>
          </w:tcPr>
          <w:p w14:paraId="7A8103A7" w14:textId="77777777" w:rsidR="003C76AF" w:rsidRPr="00D318C4" w:rsidRDefault="00120721">
            <w:pPr>
              <w:rPr>
                <w:sz w:val="25"/>
                <w:szCs w:val="25"/>
              </w:rPr>
            </w:pPr>
            <w:r w:rsidRPr="00D318C4">
              <w:rPr>
                <w:sz w:val="25"/>
                <w:szCs w:val="25"/>
              </w:rPr>
              <w:lastRenderedPageBreak/>
              <w:t>3.</w:t>
            </w:r>
          </w:p>
        </w:tc>
        <w:tc>
          <w:tcPr>
            <w:tcW w:w="2126" w:type="dxa"/>
          </w:tcPr>
          <w:p w14:paraId="4276182D" w14:textId="77777777" w:rsidR="003C76AF" w:rsidRPr="00D318C4" w:rsidRDefault="00120721">
            <w:pPr>
              <w:rPr>
                <w:sz w:val="25"/>
                <w:szCs w:val="25"/>
              </w:rPr>
            </w:pPr>
            <w:r w:rsidRPr="00D318C4">
              <w:rPr>
                <w:sz w:val="25"/>
                <w:szCs w:val="25"/>
              </w:rPr>
              <w:t>Administratīvo izmaksu monetārs novērtējums</w:t>
            </w:r>
          </w:p>
        </w:tc>
        <w:tc>
          <w:tcPr>
            <w:tcW w:w="7087" w:type="dxa"/>
          </w:tcPr>
          <w:p w14:paraId="478A4F96" w14:textId="0053E48A" w:rsidR="003C76AF" w:rsidRPr="00D318C4" w:rsidRDefault="00364D86" w:rsidP="00BC5BDA">
            <w:pPr>
              <w:jc w:val="both"/>
              <w:rPr>
                <w:sz w:val="25"/>
                <w:szCs w:val="25"/>
              </w:rPr>
            </w:pPr>
            <w:r w:rsidRPr="00D318C4">
              <w:rPr>
                <w:bCs/>
                <w:sz w:val="25"/>
                <w:szCs w:val="25"/>
                <w:lang w:eastAsia="en-US"/>
              </w:rPr>
              <w:t xml:space="preserve">ES fondu administrēšanas izmaksas </w:t>
            </w:r>
            <w:r w:rsidR="00585BBE" w:rsidRPr="00D318C4">
              <w:rPr>
                <w:bCs/>
                <w:sz w:val="25"/>
                <w:szCs w:val="25"/>
                <w:lang w:eastAsia="en-US"/>
              </w:rPr>
              <w:t xml:space="preserve">EM uz sadarbības iestādei </w:t>
            </w:r>
            <w:r w:rsidRPr="00D318C4">
              <w:rPr>
                <w:bCs/>
                <w:sz w:val="25"/>
                <w:szCs w:val="25"/>
                <w:lang w:eastAsia="en-US"/>
              </w:rPr>
              <w:t xml:space="preserve">plānots segt no </w:t>
            </w:r>
            <w:r w:rsidRPr="00D318C4">
              <w:rPr>
                <w:sz w:val="25"/>
                <w:szCs w:val="25"/>
              </w:rPr>
              <w:t>Eiropas Savienības struktūrfondu un Kohēzijas fonda 2014.-2020.gada plānošanas perioda</w:t>
            </w:r>
            <w:r w:rsidRPr="00D318C4">
              <w:rPr>
                <w:bCs/>
                <w:sz w:val="25"/>
                <w:szCs w:val="25"/>
                <w:lang w:eastAsia="en-US"/>
              </w:rPr>
              <w:t xml:space="preserve"> tehniskās palīdzības projekta līdzekļiem.</w:t>
            </w:r>
          </w:p>
        </w:tc>
      </w:tr>
      <w:tr w:rsidR="00120721" w:rsidRPr="00D318C4" w14:paraId="18B95A31" w14:textId="77777777" w:rsidTr="00F1588A">
        <w:tc>
          <w:tcPr>
            <w:tcW w:w="421" w:type="dxa"/>
          </w:tcPr>
          <w:p w14:paraId="703DA36F" w14:textId="77777777" w:rsidR="00120721" w:rsidRPr="00D318C4" w:rsidRDefault="00120721">
            <w:pPr>
              <w:rPr>
                <w:sz w:val="25"/>
                <w:szCs w:val="25"/>
              </w:rPr>
            </w:pPr>
            <w:r w:rsidRPr="00D318C4">
              <w:rPr>
                <w:sz w:val="25"/>
                <w:szCs w:val="25"/>
              </w:rPr>
              <w:t>4.</w:t>
            </w:r>
          </w:p>
        </w:tc>
        <w:tc>
          <w:tcPr>
            <w:tcW w:w="2126" w:type="dxa"/>
          </w:tcPr>
          <w:p w14:paraId="07B3CAEB" w14:textId="77777777" w:rsidR="00120721" w:rsidRPr="00D318C4" w:rsidRDefault="00120721">
            <w:pPr>
              <w:rPr>
                <w:sz w:val="25"/>
                <w:szCs w:val="25"/>
              </w:rPr>
            </w:pPr>
            <w:r w:rsidRPr="00D318C4">
              <w:rPr>
                <w:sz w:val="25"/>
                <w:szCs w:val="25"/>
              </w:rPr>
              <w:t>Cita informācija</w:t>
            </w:r>
          </w:p>
        </w:tc>
        <w:tc>
          <w:tcPr>
            <w:tcW w:w="7087" w:type="dxa"/>
          </w:tcPr>
          <w:p w14:paraId="177C5AF0" w14:textId="77777777" w:rsidR="00120721" w:rsidRPr="00D318C4" w:rsidRDefault="00120721">
            <w:pPr>
              <w:rPr>
                <w:sz w:val="25"/>
                <w:szCs w:val="25"/>
              </w:rPr>
            </w:pPr>
            <w:r w:rsidRPr="00D318C4">
              <w:rPr>
                <w:sz w:val="25"/>
                <w:szCs w:val="25"/>
              </w:rPr>
              <w:t>Nav</w:t>
            </w:r>
          </w:p>
        </w:tc>
      </w:tr>
    </w:tbl>
    <w:p w14:paraId="19C5DBB3" w14:textId="77777777" w:rsidR="003C76AF" w:rsidRPr="00D318C4" w:rsidRDefault="003C76AF">
      <w:pPr>
        <w:rPr>
          <w:sz w:val="25"/>
          <w:szCs w:val="25"/>
        </w:rPr>
      </w:pPr>
    </w:p>
    <w:tbl>
      <w:tblPr>
        <w:tblStyle w:val="TableGrid"/>
        <w:tblW w:w="9634" w:type="dxa"/>
        <w:tblLook w:val="04A0" w:firstRow="1" w:lastRow="0" w:firstColumn="1" w:lastColumn="0" w:noHBand="0" w:noVBand="1"/>
      </w:tblPr>
      <w:tblGrid>
        <w:gridCol w:w="2547"/>
        <w:gridCol w:w="1134"/>
        <w:gridCol w:w="1559"/>
        <w:gridCol w:w="1481"/>
        <w:gridCol w:w="1481"/>
        <w:gridCol w:w="1432"/>
      </w:tblGrid>
      <w:tr w:rsidR="00E43CD7" w:rsidRPr="00D318C4" w14:paraId="6375984F" w14:textId="77777777" w:rsidTr="002F6B78">
        <w:tc>
          <w:tcPr>
            <w:tcW w:w="9634" w:type="dxa"/>
            <w:gridSpan w:val="6"/>
          </w:tcPr>
          <w:p w14:paraId="0D78843C" w14:textId="77777777" w:rsidR="00E43CD7" w:rsidRPr="00D318C4" w:rsidRDefault="00E43CD7" w:rsidP="00125DC1">
            <w:pPr>
              <w:jc w:val="center"/>
              <w:rPr>
                <w:sz w:val="25"/>
                <w:szCs w:val="25"/>
              </w:rPr>
            </w:pPr>
            <w:r w:rsidRPr="00D318C4">
              <w:rPr>
                <w:rFonts w:eastAsia="Times New Roman"/>
                <w:b/>
                <w:sz w:val="25"/>
                <w:szCs w:val="25"/>
              </w:rPr>
              <w:t>III. Tiesību akta projekta ietekme uz valsts budžetu un pašvaldību budžetiem</w:t>
            </w:r>
          </w:p>
        </w:tc>
      </w:tr>
      <w:tr w:rsidR="00125DC1" w:rsidRPr="00D318C4" w14:paraId="052107F2" w14:textId="77777777" w:rsidTr="002F6B78">
        <w:tc>
          <w:tcPr>
            <w:tcW w:w="2547" w:type="dxa"/>
            <w:vMerge w:val="restart"/>
          </w:tcPr>
          <w:p w14:paraId="3160F67A" w14:textId="77777777" w:rsidR="00125DC1" w:rsidRPr="00D318C4" w:rsidRDefault="00125DC1" w:rsidP="00125DC1">
            <w:pPr>
              <w:jc w:val="center"/>
              <w:rPr>
                <w:rFonts w:eastAsia="Times New Roman"/>
                <w:b/>
                <w:sz w:val="25"/>
                <w:szCs w:val="25"/>
              </w:rPr>
            </w:pPr>
            <w:r w:rsidRPr="00D318C4">
              <w:rPr>
                <w:rFonts w:eastAsia="Times New Roman"/>
                <w:b/>
                <w:sz w:val="25"/>
                <w:szCs w:val="25"/>
              </w:rPr>
              <w:t>Rādītāji</w:t>
            </w:r>
          </w:p>
          <w:p w14:paraId="6FDC6FBF" w14:textId="77777777" w:rsidR="00125DC1" w:rsidRPr="00D318C4" w:rsidRDefault="00125DC1" w:rsidP="00125DC1">
            <w:pPr>
              <w:jc w:val="center"/>
              <w:rPr>
                <w:sz w:val="25"/>
                <w:szCs w:val="25"/>
              </w:rPr>
            </w:pPr>
          </w:p>
        </w:tc>
        <w:tc>
          <w:tcPr>
            <w:tcW w:w="2693" w:type="dxa"/>
            <w:gridSpan w:val="2"/>
            <w:vMerge w:val="restart"/>
          </w:tcPr>
          <w:p w14:paraId="76B7F2E3" w14:textId="77777777" w:rsidR="00125DC1" w:rsidRPr="00D318C4" w:rsidRDefault="00125DC1" w:rsidP="00125DC1">
            <w:pPr>
              <w:jc w:val="center"/>
              <w:rPr>
                <w:b/>
                <w:sz w:val="25"/>
                <w:szCs w:val="25"/>
              </w:rPr>
            </w:pPr>
            <w:r w:rsidRPr="00D318C4">
              <w:rPr>
                <w:rFonts w:eastAsia="Times New Roman"/>
                <w:b/>
                <w:sz w:val="25"/>
                <w:szCs w:val="25"/>
              </w:rPr>
              <w:t>2016.gads</w:t>
            </w:r>
          </w:p>
        </w:tc>
        <w:tc>
          <w:tcPr>
            <w:tcW w:w="4394" w:type="dxa"/>
            <w:gridSpan w:val="3"/>
          </w:tcPr>
          <w:p w14:paraId="09EDDC17" w14:textId="77777777" w:rsidR="00125DC1" w:rsidRPr="00D318C4" w:rsidRDefault="00125DC1" w:rsidP="00125DC1">
            <w:pPr>
              <w:jc w:val="center"/>
              <w:rPr>
                <w:b/>
                <w:sz w:val="25"/>
                <w:szCs w:val="25"/>
              </w:rPr>
            </w:pPr>
            <w:r w:rsidRPr="00D318C4">
              <w:rPr>
                <w:rFonts w:eastAsia="Times New Roman"/>
                <w:b/>
                <w:sz w:val="25"/>
                <w:szCs w:val="25"/>
              </w:rPr>
              <w:t>Turpmākie trīs gadi (</w:t>
            </w:r>
            <w:r w:rsidRPr="00D318C4">
              <w:rPr>
                <w:rFonts w:eastAsia="Times New Roman"/>
                <w:b/>
                <w:i/>
                <w:sz w:val="25"/>
                <w:szCs w:val="25"/>
              </w:rPr>
              <w:t>euro</w:t>
            </w:r>
            <w:r w:rsidRPr="00D318C4">
              <w:rPr>
                <w:rFonts w:eastAsia="Times New Roman"/>
                <w:b/>
                <w:sz w:val="25"/>
                <w:szCs w:val="25"/>
              </w:rPr>
              <w:t>)</w:t>
            </w:r>
          </w:p>
        </w:tc>
      </w:tr>
      <w:tr w:rsidR="00125DC1" w:rsidRPr="00D318C4" w14:paraId="1380C1A9" w14:textId="77777777" w:rsidTr="002F6B78">
        <w:tc>
          <w:tcPr>
            <w:tcW w:w="2547" w:type="dxa"/>
            <w:vMerge/>
          </w:tcPr>
          <w:p w14:paraId="5F3A7B1F" w14:textId="77777777" w:rsidR="00125DC1" w:rsidRPr="00D318C4" w:rsidRDefault="00125DC1" w:rsidP="00125DC1">
            <w:pPr>
              <w:jc w:val="center"/>
              <w:rPr>
                <w:sz w:val="25"/>
                <w:szCs w:val="25"/>
              </w:rPr>
            </w:pPr>
          </w:p>
        </w:tc>
        <w:tc>
          <w:tcPr>
            <w:tcW w:w="2693" w:type="dxa"/>
            <w:gridSpan w:val="2"/>
            <w:vMerge/>
          </w:tcPr>
          <w:p w14:paraId="6192348B" w14:textId="77777777" w:rsidR="00125DC1" w:rsidRPr="00D318C4" w:rsidRDefault="00125DC1" w:rsidP="00125DC1">
            <w:pPr>
              <w:jc w:val="center"/>
              <w:rPr>
                <w:sz w:val="25"/>
                <w:szCs w:val="25"/>
              </w:rPr>
            </w:pPr>
          </w:p>
        </w:tc>
        <w:tc>
          <w:tcPr>
            <w:tcW w:w="1481" w:type="dxa"/>
          </w:tcPr>
          <w:p w14:paraId="40F6A1FF" w14:textId="77777777" w:rsidR="00125DC1" w:rsidRPr="00D318C4" w:rsidRDefault="00125DC1" w:rsidP="00125DC1">
            <w:pPr>
              <w:jc w:val="center"/>
              <w:rPr>
                <w:b/>
                <w:sz w:val="25"/>
                <w:szCs w:val="25"/>
              </w:rPr>
            </w:pPr>
            <w:r w:rsidRPr="00D318C4">
              <w:rPr>
                <w:b/>
                <w:sz w:val="25"/>
                <w:szCs w:val="25"/>
              </w:rPr>
              <w:t>2017.gads</w:t>
            </w:r>
          </w:p>
        </w:tc>
        <w:tc>
          <w:tcPr>
            <w:tcW w:w="1481" w:type="dxa"/>
          </w:tcPr>
          <w:p w14:paraId="50B183E2" w14:textId="77777777" w:rsidR="00125DC1" w:rsidRPr="00D318C4" w:rsidRDefault="00125DC1" w:rsidP="00125DC1">
            <w:pPr>
              <w:jc w:val="center"/>
              <w:rPr>
                <w:b/>
                <w:sz w:val="25"/>
                <w:szCs w:val="25"/>
              </w:rPr>
            </w:pPr>
            <w:r w:rsidRPr="00D318C4">
              <w:rPr>
                <w:b/>
                <w:sz w:val="25"/>
                <w:szCs w:val="25"/>
              </w:rPr>
              <w:t>2018.gads</w:t>
            </w:r>
          </w:p>
        </w:tc>
        <w:tc>
          <w:tcPr>
            <w:tcW w:w="1432" w:type="dxa"/>
          </w:tcPr>
          <w:p w14:paraId="451D638C" w14:textId="77777777" w:rsidR="00125DC1" w:rsidRPr="00D318C4" w:rsidRDefault="00125DC1" w:rsidP="00125DC1">
            <w:pPr>
              <w:jc w:val="center"/>
              <w:rPr>
                <w:b/>
                <w:sz w:val="25"/>
                <w:szCs w:val="25"/>
              </w:rPr>
            </w:pPr>
            <w:r w:rsidRPr="00D318C4">
              <w:rPr>
                <w:b/>
                <w:sz w:val="25"/>
                <w:szCs w:val="25"/>
              </w:rPr>
              <w:t>2019.gads</w:t>
            </w:r>
          </w:p>
        </w:tc>
      </w:tr>
      <w:tr w:rsidR="00125DC1" w:rsidRPr="00D318C4" w14:paraId="7346FC8A" w14:textId="77777777" w:rsidTr="002F6B78">
        <w:tc>
          <w:tcPr>
            <w:tcW w:w="2547" w:type="dxa"/>
            <w:vMerge/>
          </w:tcPr>
          <w:p w14:paraId="4D923507" w14:textId="77777777" w:rsidR="00125DC1" w:rsidRPr="00D318C4" w:rsidRDefault="00125DC1" w:rsidP="00125DC1">
            <w:pPr>
              <w:jc w:val="center"/>
              <w:rPr>
                <w:sz w:val="25"/>
                <w:szCs w:val="25"/>
              </w:rPr>
            </w:pPr>
          </w:p>
        </w:tc>
        <w:tc>
          <w:tcPr>
            <w:tcW w:w="1134" w:type="dxa"/>
          </w:tcPr>
          <w:p w14:paraId="7D093611" w14:textId="77777777" w:rsidR="00125DC1" w:rsidRPr="00D318C4" w:rsidRDefault="00125DC1" w:rsidP="00125DC1">
            <w:pPr>
              <w:jc w:val="center"/>
              <w:rPr>
                <w:sz w:val="25"/>
                <w:szCs w:val="25"/>
              </w:rPr>
            </w:pPr>
            <w:r w:rsidRPr="00D318C4">
              <w:rPr>
                <w:rFonts w:eastAsia="Times New Roman"/>
                <w:sz w:val="25"/>
                <w:szCs w:val="25"/>
              </w:rPr>
              <w:t>saskaņā ar valsts budžetu kārtējam gadam</w:t>
            </w:r>
          </w:p>
        </w:tc>
        <w:tc>
          <w:tcPr>
            <w:tcW w:w="1559" w:type="dxa"/>
          </w:tcPr>
          <w:p w14:paraId="656C12EC" w14:textId="77777777" w:rsidR="00125DC1" w:rsidRPr="00D318C4" w:rsidRDefault="00125DC1" w:rsidP="00125DC1">
            <w:pPr>
              <w:jc w:val="center"/>
              <w:rPr>
                <w:sz w:val="25"/>
                <w:szCs w:val="25"/>
              </w:rPr>
            </w:pPr>
            <w:r w:rsidRPr="00D318C4">
              <w:rPr>
                <w:rFonts w:eastAsia="Times New Roman"/>
                <w:sz w:val="25"/>
                <w:szCs w:val="25"/>
              </w:rPr>
              <w:t>izmaiņas kārtējā gadā, salīdzinot ar valsts budžetu kārtējam gadam</w:t>
            </w:r>
          </w:p>
        </w:tc>
        <w:tc>
          <w:tcPr>
            <w:tcW w:w="1481" w:type="dxa"/>
          </w:tcPr>
          <w:p w14:paraId="7E1EE589" w14:textId="77777777" w:rsidR="00125DC1" w:rsidRPr="00D318C4" w:rsidRDefault="00125DC1" w:rsidP="00125DC1">
            <w:pPr>
              <w:jc w:val="center"/>
              <w:rPr>
                <w:sz w:val="25"/>
                <w:szCs w:val="25"/>
              </w:rPr>
            </w:pPr>
            <w:r w:rsidRPr="00D318C4">
              <w:rPr>
                <w:rFonts w:eastAsia="Times New Roman"/>
                <w:sz w:val="25"/>
                <w:szCs w:val="25"/>
              </w:rPr>
              <w:t>izmaiņas, salīdzinot ar kārtējo (2016) gadu</w:t>
            </w:r>
          </w:p>
        </w:tc>
        <w:tc>
          <w:tcPr>
            <w:tcW w:w="1481" w:type="dxa"/>
          </w:tcPr>
          <w:p w14:paraId="0258B800" w14:textId="77777777" w:rsidR="00125DC1" w:rsidRPr="00D318C4" w:rsidRDefault="00125DC1" w:rsidP="00125DC1">
            <w:pPr>
              <w:jc w:val="center"/>
              <w:rPr>
                <w:sz w:val="25"/>
                <w:szCs w:val="25"/>
              </w:rPr>
            </w:pPr>
            <w:r w:rsidRPr="00D318C4">
              <w:rPr>
                <w:rFonts w:eastAsia="Times New Roman"/>
                <w:sz w:val="25"/>
                <w:szCs w:val="25"/>
              </w:rPr>
              <w:t>izmaiņas, salīdzinot ar kārtējo (2016) gadu</w:t>
            </w:r>
          </w:p>
        </w:tc>
        <w:tc>
          <w:tcPr>
            <w:tcW w:w="1432" w:type="dxa"/>
          </w:tcPr>
          <w:p w14:paraId="20979BF6" w14:textId="77777777" w:rsidR="00125DC1" w:rsidRPr="00D318C4" w:rsidRDefault="00125DC1" w:rsidP="00125DC1">
            <w:pPr>
              <w:jc w:val="center"/>
              <w:rPr>
                <w:sz w:val="25"/>
                <w:szCs w:val="25"/>
              </w:rPr>
            </w:pPr>
            <w:r w:rsidRPr="00D318C4">
              <w:rPr>
                <w:rFonts w:eastAsia="Times New Roman"/>
                <w:sz w:val="25"/>
                <w:szCs w:val="25"/>
              </w:rPr>
              <w:t>izmaiņas, salīdzinot ar kārtējo (2016) gadu</w:t>
            </w:r>
          </w:p>
        </w:tc>
      </w:tr>
      <w:tr w:rsidR="00125DC1" w:rsidRPr="00D318C4" w14:paraId="182A5718" w14:textId="77777777" w:rsidTr="002F6B78">
        <w:tc>
          <w:tcPr>
            <w:tcW w:w="2547" w:type="dxa"/>
          </w:tcPr>
          <w:p w14:paraId="0553389E" w14:textId="77777777" w:rsidR="00125DC1" w:rsidRPr="00D318C4" w:rsidRDefault="00125DC1" w:rsidP="00125DC1">
            <w:pPr>
              <w:jc w:val="center"/>
              <w:rPr>
                <w:sz w:val="25"/>
                <w:szCs w:val="25"/>
              </w:rPr>
            </w:pPr>
            <w:r w:rsidRPr="00D318C4">
              <w:rPr>
                <w:sz w:val="25"/>
                <w:szCs w:val="25"/>
              </w:rPr>
              <w:t>1</w:t>
            </w:r>
          </w:p>
        </w:tc>
        <w:tc>
          <w:tcPr>
            <w:tcW w:w="1134" w:type="dxa"/>
          </w:tcPr>
          <w:p w14:paraId="64AFA9E3" w14:textId="77777777" w:rsidR="00125DC1" w:rsidRPr="00D318C4" w:rsidRDefault="00125DC1" w:rsidP="00125DC1">
            <w:pPr>
              <w:jc w:val="center"/>
              <w:rPr>
                <w:rFonts w:eastAsia="Times New Roman"/>
                <w:sz w:val="25"/>
                <w:szCs w:val="25"/>
              </w:rPr>
            </w:pPr>
            <w:r w:rsidRPr="00D318C4">
              <w:rPr>
                <w:rFonts w:eastAsia="Times New Roman"/>
                <w:sz w:val="25"/>
                <w:szCs w:val="25"/>
              </w:rPr>
              <w:t>2</w:t>
            </w:r>
          </w:p>
        </w:tc>
        <w:tc>
          <w:tcPr>
            <w:tcW w:w="1559" w:type="dxa"/>
          </w:tcPr>
          <w:p w14:paraId="421554EA" w14:textId="77777777" w:rsidR="00125DC1" w:rsidRPr="00D318C4" w:rsidRDefault="00125DC1" w:rsidP="00125DC1">
            <w:pPr>
              <w:jc w:val="center"/>
              <w:rPr>
                <w:rFonts w:eastAsia="Times New Roman"/>
                <w:sz w:val="25"/>
                <w:szCs w:val="25"/>
              </w:rPr>
            </w:pPr>
            <w:r w:rsidRPr="00D318C4">
              <w:rPr>
                <w:rFonts w:eastAsia="Times New Roman"/>
                <w:sz w:val="25"/>
                <w:szCs w:val="25"/>
              </w:rPr>
              <w:t>3</w:t>
            </w:r>
          </w:p>
        </w:tc>
        <w:tc>
          <w:tcPr>
            <w:tcW w:w="1481" w:type="dxa"/>
          </w:tcPr>
          <w:p w14:paraId="47675A9E" w14:textId="77777777" w:rsidR="00125DC1" w:rsidRPr="00D318C4" w:rsidRDefault="00125DC1" w:rsidP="00125DC1">
            <w:pPr>
              <w:jc w:val="center"/>
              <w:rPr>
                <w:rFonts w:eastAsia="Times New Roman"/>
                <w:sz w:val="25"/>
                <w:szCs w:val="25"/>
              </w:rPr>
            </w:pPr>
            <w:r w:rsidRPr="00D318C4">
              <w:rPr>
                <w:rFonts w:eastAsia="Times New Roman"/>
                <w:sz w:val="25"/>
                <w:szCs w:val="25"/>
              </w:rPr>
              <w:t>4</w:t>
            </w:r>
          </w:p>
        </w:tc>
        <w:tc>
          <w:tcPr>
            <w:tcW w:w="1481" w:type="dxa"/>
          </w:tcPr>
          <w:p w14:paraId="630C2F6C" w14:textId="77777777" w:rsidR="00125DC1" w:rsidRPr="00D318C4" w:rsidRDefault="00125DC1" w:rsidP="00125DC1">
            <w:pPr>
              <w:jc w:val="center"/>
              <w:rPr>
                <w:rFonts w:eastAsia="Times New Roman"/>
                <w:sz w:val="25"/>
                <w:szCs w:val="25"/>
              </w:rPr>
            </w:pPr>
            <w:r w:rsidRPr="00D318C4">
              <w:rPr>
                <w:rFonts w:eastAsia="Times New Roman"/>
                <w:sz w:val="25"/>
                <w:szCs w:val="25"/>
              </w:rPr>
              <w:t>5</w:t>
            </w:r>
          </w:p>
        </w:tc>
        <w:tc>
          <w:tcPr>
            <w:tcW w:w="1432" w:type="dxa"/>
          </w:tcPr>
          <w:p w14:paraId="65841BC6" w14:textId="77777777" w:rsidR="00125DC1" w:rsidRPr="00D318C4" w:rsidRDefault="00125DC1" w:rsidP="00125DC1">
            <w:pPr>
              <w:jc w:val="center"/>
              <w:rPr>
                <w:rFonts w:eastAsia="Times New Roman"/>
                <w:sz w:val="25"/>
                <w:szCs w:val="25"/>
              </w:rPr>
            </w:pPr>
            <w:r w:rsidRPr="00D318C4">
              <w:rPr>
                <w:rFonts w:eastAsia="Times New Roman"/>
                <w:sz w:val="25"/>
                <w:szCs w:val="25"/>
              </w:rPr>
              <w:t>6</w:t>
            </w:r>
          </w:p>
        </w:tc>
      </w:tr>
      <w:tr w:rsidR="00580771" w:rsidRPr="00D318C4" w14:paraId="2A68D99E" w14:textId="77777777" w:rsidTr="002F6B78">
        <w:tc>
          <w:tcPr>
            <w:tcW w:w="2547" w:type="dxa"/>
          </w:tcPr>
          <w:p w14:paraId="2B5BF73B" w14:textId="77777777" w:rsidR="00580771" w:rsidRPr="00D318C4" w:rsidRDefault="00580771" w:rsidP="00580771">
            <w:pPr>
              <w:rPr>
                <w:sz w:val="25"/>
                <w:szCs w:val="25"/>
              </w:rPr>
            </w:pPr>
            <w:r w:rsidRPr="00D318C4">
              <w:rPr>
                <w:rFonts w:eastAsia="Times New Roman"/>
                <w:sz w:val="25"/>
                <w:szCs w:val="25"/>
              </w:rPr>
              <w:t>1. Budžeta ieņēmumi:</w:t>
            </w:r>
          </w:p>
        </w:tc>
        <w:tc>
          <w:tcPr>
            <w:tcW w:w="1134" w:type="dxa"/>
          </w:tcPr>
          <w:p w14:paraId="02285F2A" w14:textId="77777777" w:rsidR="00580771" w:rsidRPr="00D318C4" w:rsidRDefault="00580771" w:rsidP="00580771">
            <w:pPr>
              <w:jc w:val="center"/>
              <w:rPr>
                <w:rFonts w:eastAsia="Times New Roman"/>
                <w:sz w:val="25"/>
                <w:szCs w:val="25"/>
              </w:rPr>
            </w:pPr>
            <w:r w:rsidRPr="00D318C4">
              <w:rPr>
                <w:rFonts w:eastAsia="Times New Roman"/>
                <w:sz w:val="25"/>
                <w:szCs w:val="25"/>
              </w:rPr>
              <w:t>0</w:t>
            </w:r>
          </w:p>
        </w:tc>
        <w:tc>
          <w:tcPr>
            <w:tcW w:w="1559" w:type="dxa"/>
          </w:tcPr>
          <w:p w14:paraId="61D781BB" w14:textId="7ABECC27" w:rsidR="00580771" w:rsidRPr="00D318C4" w:rsidRDefault="00613635" w:rsidP="00613635">
            <w:pPr>
              <w:jc w:val="center"/>
              <w:rPr>
                <w:rFonts w:eastAsia="Times New Roman"/>
                <w:sz w:val="25"/>
                <w:szCs w:val="25"/>
              </w:rPr>
            </w:pPr>
            <w:r w:rsidRPr="00D318C4">
              <w:rPr>
                <w:rFonts w:eastAsia="Times New Roman"/>
                <w:sz w:val="25"/>
                <w:szCs w:val="25"/>
              </w:rPr>
              <w:t>4 250 </w:t>
            </w:r>
            <w:r w:rsidR="00580771" w:rsidRPr="00D318C4">
              <w:rPr>
                <w:rFonts w:eastAsia="Times New Roman"/>
                <w:sz w:val="25"/>
                <w:szCs w:val="25"/>
              </w:rPr>
              <w:t>000</w:t>
            </w:r>
          </w:p>
        </w:tc>
        <w:tc>
          <w:tcPr>
            <w:tcW w:w="1481" w:type="dxa"/>
          </w:tcPr>
          <w:p w14:paraId="2398DAF9" w14:textId="384F6E2C" w:rsidR="00580771" w:rsidRPr="00D318C4" w:rsidRDefault="00580771" w:rsidP="00580771">
            <w:pPr>
              <w:jc w:val="center"/>
              <w:rPr>
                <w:rFonts w:eastAsia="Times New Roman"/>
                <w:sz w:val="25"/>
                <w:szCs w:val="25"/>
              </w:rPr>
            </w:pPr>
            <w:r w:rsidRPr="00D318C4">
              <w:rPr>
                <w:rFonts w:eastAsia="Times New Roman"/>
                <w:sz w:val="25"/>
                <w:szCs w:val="25"/>
              </w:rPr>
              <w:t>12 750 000</w:t>
            </w:r>
          </w:p>
        </w:tc>
        <w:tc>
          <w:tcPr>
            <w:tcW w:w="1481" w:type="dxa"/>
          </w:tcPr>
          <w:p w14:paraId="3A154C7D" w14:textId="5A426A5F" w:rsidR="00580771" w:rsidRPr="00D318C4" w:rsidRDefault="00580771" w:rsidP="00580771">
            <w:pPr>
              <w:jc w:val="center"/>
              <w:rPr>
                <w:rFonts w:eastAsia="Times New Roman"/>
                <w:sz w:val="25"/>
                <w:szCs w:val="25"/>
              </w:rPr>
            </w:pPr>
            <w:r w:rsidRPr="00D318C4">
              <w:rPr>
                <w:rFonts w:eastAsia="Times New Roman"/>
                <w:sz w:val="25"/>
                <w:szCs w:val="25"/>
              </w:rPr>
              <w:t>12 750 000</w:t>
            </w:r>
          </w:p>
        </w:tc>
        <w:tc>
          <w:tcPr>
            <w:tcW w:w="1432" w:type="dxa"/>
          </w:tcPr>
          <w:p w14:paraId="5E241C91" w14:textId="40F796ED" w:rsidR="00580771" w:rsidRPr="00D318C4" w:rsidRDefault="00580771" w:rsidP="00580771">
            <w:pPr>
              <w:jc w:val="center"/>
              <w:rPr>
                <w:rFonts w:eastAsia="Times New Roman"/>
                <w:sz w:val="25"/>
                <w:szCs w:val="25"/>
              </w:rPr>
            </w:pPr>
            <w:r w:rsidRPr="00D318C4">
              <w:rPr>
                <w:rFonts w:eastAsia="Times New Roman"/>
                <w:sz w:val="25"/>
                <w:szCs w:val="25"/>
              </w:rPr>
              <w:t>12 750 000</w:t>
            </w:r>
          </w:p>
        </w:tc>
      </w:tr>
      <w:tr w:rsidR="00580771" w:rsidRPr="00D318C4" w14:paraId="4AC04DAD" w14:textId="77777777" w:rsidTr="002F6B78">
        <w:tc>
          <w:tcPr>
            <w:tcW w:w="2547" w:type="dxa"/>
          </w:tcPr>
          <w:p w14:paraId="13714E4E" w14:textId="77777777" w:rsidR="00580771" w:rsidRPr="00D318C4" w:rsidRDefault="00580771" w:rsidP="00580771">
            <w:pPr>
              <w:rPr>
                <w:sz w:val="25"/>
                <w:szCs w:val="25"/>
                <w:lang w:eastAsia="en-US"/>
              </w:rPr>
            </w:pPr>
            <w:r w:rsidRPr="00D318C4">
              <w:rPr>
                <w:sz w:val="25"/>
                <w:szCs w:val="25"/>
                <w:lang w:eastAsia="en-US"/>
              </w:rPr>
              <w:t>2. Budžeta izdevumi:</w:t>
            </w:r>
          </w:p>
        </w:tc>
        <w:tc>
          <w:tcPr>
            <w:tcW w:w="1134" w:type="dxa"/>
          </w:tcPr>
          <w:p w14:paraId="7CD5B9E2" w14:textId="77777777" w:rsidR="00580771" w:rsidRPr="00D318C4" w:rsidRDefault="00580771" w:rsidP="00580771">
            <w:pPr>
              <w:jc w:val="center"/>
              <w:rPr>
                <w:rFonts w:eastAsia="Times New Roman"/>
                <w:sz w:val="25"/>
                <w:szCs w:val="25"/>
              </w:rPr>
            </w:pPr>
            <w:r w:rsidRPr="00D318C4">
              <w:rPr>
                <w:rFonts w:eastAsia="Times New Roman"/>
                <w:sz w:val="25"/>
                <w:szCs w:val="25"/>
              </w:rPr>
              <w:t>0</w:t>
            </w:r>
          </w:p>
        </w:tc>
        <w:tc>
          <w:tcPr>
            <w:tcW w:w="1559" w:type="dxa"/>
          </w:tcPr>
          <w:p w14:paraId="2E49121B" w14:textId="2F4ADCCB" w:rsidR="00580771" w:rsidRPr="00D318C4" w:rsidRDefault="00613635" w:rsidP="00580771">
            <w:pPr>
              <w:jc w:val="center"/>
              <w:rPr>
                <w:rFonts w:eastAsia="Times New Roman"/>
                <w:sz w:val="25"/>
                <w:szCs w:val="25"/>
              </w:rPr>
            </w:pPr>
            <w:r w:rsidRPr="00D318C4">
              <w:rPr>
                <w:rFonts w:eastAsia="Times New Roman"/>
                <w:sz w:val="25"/>
                <w:szCs w:val="25"/>
              </w:rPr>
              <w:t>5 </w:t>
            </w:r>
            <w:r w:rsidR="00580771" w:rsidRPr="00D318C4">
              <w:rPr>
                <w:rFonts w:eastAsia="Times New Roman"/>
                <w:sz w:val="25"/>
                <w:szCs w:val="25"/>
              </w:rPr>
              <w:t>000 000</w:t>
            </w:r>
          </w:p>
        </w:tc>
        <w:tc>
          <w:tcPr>
            <w:tcW w:w="1481" w:type="dxa"/>
          </w:tcPr>
          <w:p w14:paraId="44486B27" w14:textId="61A1C19D" w:rsidR="00580771" w:rsidRPr="00D318C4" w:rsidRDefault="00580771" w:rsidP="00580771">
            <w:pPr>
              <w:jc w:val="center"/>
              <w:rPr>
                <w:rFonts w:eastAsia="Times New Roman"/>
                <w:sz w:val="25"/>
                <w:szCs w:val="25"/>
              </w:rPr>
            </w:pPr>
            <w:r w:rsidRPr="00D318C4">
              <w:rPr>
                <w:rFonts w:eastAsia="Times New Roman"/>
                <w:sz w:val="25"/>
                <w:szCs w:val="25"/>
              </w:rPr>
              <w:t>15 000 000</w:t>
            </w:r>
          </w:p>
        </w:tc>
        <w:tc>
          <w:tcPr>
            <w:tcW w:w="1481" w:type="dxa"/>
          </w:tcPr>
          <w:p w14:paraId="29438CBD" w14:textId="158D91A8" w:rsidR="00580771" w:rsidRPr="00D318C4" w:rsidRDefault="00580771" w:rsidP="00580771">
            <w:pPr>
              <w:jc w:val="center"/>
              <w:rPr>
                <w:rFonts w:eastAsia="Times New Roman"/>
                <w:sz w:val="25"/>
                <w:szCs w:val="25"/>
              </w:rPr>
            </w:pPr>
            <w:r w:rsidRPr="00D318C4">
              <w:rPr>
                <w:rFonts w:eastAsia="Times New Roman"/>
                <w:sz w:val="25"/>
                <w:szCs w:val="25"/>
              </w:rPr>
              <w:t>15 000 000</w:t>
            </w:r>
          </w:p>
        </w:tc>
        <w:tc>
          <w:tcPr>
            <w:tcW w:w="1432" w:type="dxa"/>
          </w:tcPr>
          <w:p w14:paraId="1F7AF2C6" w14:textId="7319A9E7" w:rsidR="00580771" w:rsidRPr="00D318C4" w:rsidRDefault="00580771" w:rsidP="00580771">
            <w:pPr>
              <w:jc w:val="center"/>
              <w:rPr>
                <w:rFonts w:eastAsia="Times New Roman"/>
                <w:sz w:val="25"/>
                <w:szCs w:val="25"/>
              </w:rPr>
            </w:pPr>
            <w:r w:rsidRPr="00D318C4">
              <w:rPr>
                <w:rFonts w:eastAsia="Times New Roman"/>
                <w:sz w:val="25"/>
                <w:szCs w:val="25"/>
              </w:rPr>
              <w:t>15 000 000</w:t>
            </w:r>
          </w:p>
        </w:tc>
      </w:tr>
      <w:tr w:rsidR="00580771" w:rsidRPr="00D318C4" w14:paraId="64DACB8D" w14:textId="77777777" w:rsidTr="002F6B78">
        <w:tc>
          <w:tcPr>
            <w:tcW w:w="2547" w:type="dxa"/>
          </w:tcPr>
          <w:p w14:paraId="4E70C515" w14:textId="77777777" w:rsidR="00580771" w:rsidRPr="00D318C4" w:rsidRDefault="00580771" w:rsidP="00580771">
            <w:pPr>
              <w:rPr>
                <w:sz w:val="25"/>
                <w:szCs w:val="25"/>
                <w:lang w:eastAsia="en-US"/>
              </w:rPr>
            </w:pPr>
            <w:r w:rsidRPr="00D318C4">
              <w:rPr>
                <w:sz w:val="25"/>
                <w:szCs w:val="25"/>
                <w:lang w:eastAsia="en-US"/>
              </w:rPr>
              <w:t>3. Finansiālā ietekme:</w:t>
            </w:r>
          </w:p>
        </w:tc>
        <w:tc>
          <w:tcPr>
            <w:tcW w:w="1134" w:type="dxa"/>
            <w:vAlign w:val="center"/>
          </w:tcPr>
          <w:p w14:paraId="57458B4C" w14:textId="77777777" w:rsidR="00580771" w:rsidRPr="00D318C4" w:rsidRDefault="00580771" w:rsidP="00580771">
            <w:pPr>
              <w:jc w:val="center"/>
              <w:rPr>
                <w:rFonts w:eastAsia="Times New Roman"/>
                <w:sz w:val="25"/>
                <w:szCs w:val="25"/>
              </w:rPr>
            </w:pPr>
            <w:r w:rsidRPr="00D318C4">
              <w:rPr>
                <w:rFonts w:eastAsia="Times New Roman"/>
                <w:sz w:val="25"/>
                <w:szCs w:val="25"/>
              </w:rPr>
              <w:t>0</w:t>
            </w:r>
          </w:p>
        </w:tc>
        <w:tc>
          <w:tcPr>
            <w:tcW w:w="1559" w:type="dxa"/>
          </w:tcPr>
          <w:p w14:paraId="21FDC631" w14:textId="6605182F" w:rsidR="00580771" w:rsidRPr="00D318C4" w:rsidRDefault="00580771" w:rsidP="00613635">
            <w:pPr>
              <w:jc w:val="center"/>
              <w:rPr>
                <w:rFonts w:eastAsia="Times New Roman"/>
                <w:sz w:val="25"/>
                <w:szCs w:val="25"/>
              </w:rPr>
            </w:pPr>
            <w:r w:rsidRPr="00D318C4">
              <w:rPr>
                <w:rFonts w:eastAsia="Times New Roman"/>
                <w:sz w:val="25"/>
                <w:szCs w:val="25"/>
              </w:rPr>
              <w:t>-</w:t>
            </w:r>
            <w:r w:rsidR="00613635" w:rsidRPr="00D318C4">
              <w:rPr>
                <w:rFonts w:eastAsia="Times New Roman"/>
                <w:sz w:val="25"/>
                <w:szCs w:val="25"/>
              </w:rPr>
              <w:t>75</w:t>
            </w:r>
            <w:r w:rsidR="00FD077C" w:rsidRPr="00D318C4">
              <w:rPr>
                <w:rFonts w:eastAsia="Times New Roman"/>
                <w:sz w:val="25"/>
                <w:szCs w:val="25"/>
              </w:rPr>
              <w:t xml:space="preserve">0 </w:t>
            </w:r>
            <w:r w:rsidRPr="00D318C4">
              <w:rPr>
                <w:rFonts w:eastAsia="Times New Roman"/>
                <w:sz w:val="25"/>
                <w:szCs w:val="25"/>
              </w:rPr>
              <w:t>000</w:t>
            </w:r>
          </w:p>
        </w:tc>
        <w:tc>
          <w:tcPr>
            <w:tcW w:w="1481" w:type="dxa"/>
          </w:tcPr>
          <w:p w14:paraId="1FA908A4" w14:textId="729A6694" w:rsidR="00580771" w:rsidRPr="00D318C4" w:rsidRDefault="00580771" w:rsidP="00580771">
            <w:pPr>
              <w:jc w:val="center"/>
              <w:rPr>
                <w:rFonts w:eastAsia="Times New Roman"/>
                <w:sz w:val="25"/>
                <w:szCs w:val="25"/>
              </w:rPr>
            </w:pPr>
            <w:r w:rsidRPr="00D318C4">
              <w:rPr>
                <w:rFonts w:eastAsia="Times New Roman"/>
                <w:sz w:val="25"/>
                <w:szCs w:val="25"/>
              </w:rPr>
              <w:t>-2 250 000</w:t>
            </w:r>
          </w:p>
        </w:tc>
        <w:tc>
          <w:tcPr>
            <w:tcW w:w="1481" w:type="dxa"/>
          </w:tcPr>
          <w:p w14:paraId="32BD2FF4" w14:textId="285E2BDC" w:rsidR="00580771" w:rsidRPr="00D318C4" w:rsidRDefault="00580771" w:rsidP="00580771">
            <w:pPr>
              <w:jc w:val="center"/>
              <w:rPr>
                <w:rFonts w:eastAsia="Times New Roman"/>
                <w:sz w:val="25"/>
                <w:szCs w:val="25"/>
              </w:rPr>
            </w:pPr>
            <w:r w:rsidRPr="00D318C4">
              <w:rPr>
                <w:rFonts w:eastAsia="Times New Roman"/>
                <w:sz w:val="25"/>
                <w:szCs w:val="25"/>
              </w:rPr>
              <w:t>-2 250 000</w:t>
            </w:r>
          </w:p>
        </w:tc>
        <w:tc>
          <w:tcPr>
            <w:tcW w:w="1432" w:type="dxa"/>
          </w:tcPr>
          <w:p w14:paraId="1EE57C35" w14:textId="3FC56692" w:rsidR="00580771" w:rsidRPr="00D318C4" w:rsidRDefault="00580771" w:rsidP="00580771">
            <w:pPr>
              <w:jc w:val="center"/>
              <w:rPr>
                <w:rFonts w:eastAsia="Times New Roman"/>
                <w:sz w:val="25"/>
                <w:szCs w:val="25"/>
              </w:rPr>
            </w:pPr>
            <w:r w:rsidRPr="00D318C4">
              <w:rPr>
                <w:rFonts w:eastAsia="Times New Roman"/>
                <w:sz w:val="25"/>
                <w:szCs w:val="25"/>
              </w:rPr>
              <w:t>-2 250 000</w:t>
            </w:r>
          </w:p>
        </w:tc>
      </w:tr>
      <w:tr w:rsidR="00580771" w:rsidRPr="00D318C4" w14:paraId="64D63437" w14:textId="77777777" w:rsidTr="002F6B78">
        <w:tc>
          <w:tcPr>
            <w:tcW w:w="2547" w:type="dxa"/>
          </w:tcPr>
          <w:p w14:paraId="38BFD94F" w14:textId="77777777" w:rsidR="00580771" w:rsidRPr="00D318C4" w:rsidRDefault="00580771" w:rsidP="00580771">
            <w:pPr>
              <w:rPr>
                <w:sz w:val="25"/>
                <w:szCs w:val="25"/>
                <w:lang w:eastAsia="en-US"/>
              </w:rPr>
            </w:pPr>
            <w:r w:rsidRPr="00D318C4">
              <w:rPr>
                <w:sz w:val="25"/>
                <w:szCs w:val="25"/>
                <w:lang w:eastAsia="en-US"/>
              </w:rPr>
              <w:t>4. Finanšu līdzekļi papildu izdevumu finansēšanai (kompensējošu izdevumu samazinājumu norāda ar "+" zīmi)</w:t>
            </w:r>
          </w:p>
        </w:tc>
        <w:tc>
          <w:tcPr>
            <w:tcW w:w="1134" w:type="dxa"/>
          </w:tcPr>
          <w:p w14:paraId="3300738E" w14:textId="77777777" w:rsidR="00580771" w:rsidRPr="00D318C4" w:rsidRDefault="00580771" w:rsidP="00580771">
            <w:pPr>
              <w:jc w:val="center"/>
              <w:rPr>
                <w:rFonts w:eastAsia="Times New Roman"/>
                <w:sz w:val="25"/>
                <w:szCs w:val="25"/>
              </w:rPr>
            </w:pPr>
            <w:r w:rsidRPr="00D318C4">
              <w:rPr>
                <w:rFonts w:eastAsia="Times New Roman"/>
                <w:sz w:val="25"/>
                <w:szCs w:val="25"/>
              </w:rPr>
              <w:t>N/A</w:t>
            </w:r>
          </w:p>
        </w:tc>
        <w:tc>
          <w:tcPr>
            <w:tcW w:w="1559" w:type="dxa"/>
          </w:tcPr>
          <w:p w14:paraId="335DEFD8" w14:textId="77777777" w:rsidR="00580771" w:rsidRPr="00D318C4" w:rsidRDefault="00580771" w:rsidP="00580771">
            <w:pPr>
              <w:jc w:val="center"/>
              <w:rPr>
                <w:rFonts w:eastAsia="Times New Roman"/>
                <w:sz w:val="25"/>
                <w:szCs w:val="25"/>
              </w:rPr>
            </w:pPr>
            <w:r w:rsidRPr="00D318C4">
              <w:rPr>
                <w:rFonts w:eastAsia="Times New Roman"/>
                <w:sz w:val="25"/>
                <w:szCs w:val="25"/>
              </w:rPr>
              <w:t>N/A</w:t>
            </w:r>
          </w:p>
        </w:tc>
        <w:tc>
          <w:tcPr>
            <w:tcW w:w="1481" w:type="dxa"/>
          </w:tcPr>
          <w:p w14:paraId="35C70278" w14:textId="77777777" w:rsidR="00580771" w:rsidRPr="00D318C4" w:rsidRDefault="00580771" w:rsidP="00580771">
            <w:pPr>
              <w:jc w:val="center"/>
              <w:rPr>
                <w:rFonts w:eastAsia="Times New Roman"/>
                <w:sz w:val="25"/>
                <w:szCs w:val="25"/>
              </w:rPr>
            </w:pPr>
            <w:r w:rsidRPr="00D318C4">
              <w:rPr>
                <w:rFonts w:eastAsia="Times New Roman"/>
                <w:sz w:val="25"/>
                <w:szCs w:val="25"/>
              </w:rPr>
              <w:t>N/A</w:t>
            </w:r>
          </w:p>
        </w:tc>
        <w:tc>
          <w:tcPr>
            <w:tcW w:w="1481" w:type="dxa"/>
          </w:tcPr>
          <w:p w14:paraId="2EB676A2" w14:textId="77777777" w:rsidR="00580771" w:rsidRPr="00D318C4" w:rsidRDefault="00580771" w:rsidP="00580771">
            <w:pPr>
              <w:jc w:val="center"/>
              <w:rPr>
                <w:rFonts w:eastAsia="Times New Roman"/>
                <w:sz w:val="25"/>
                <w:szCs w:val="25"/>
              </w:rPr>
            </w:pPr>
            <w:r w:rsidRPr="00D318C4">
              <w:rPr>
                <w:rFonts w:eastAsia="Times New Roman"/>
                <w:sz w:val="25"/>
                <w:szCs w:val="25"/>
              </w:rPr>
              <w:t>N/A</w:t>
            </w:r>
          </w:p>
        </w:tc>
        <w:tc>
          <w:tcPr>
            <w:tcW w:w="1432" w:type="dxa"/>
          </w:tcPr>
          <w:p w14:paraId="28F1F1CE" w14:textId="77777777" w:rsidR="00580771" w:rsidRPr="00D318C4" w:rsidRDefault="00580771" w:rsidP="00580771">
            <w:pPr>
              <w:jc w:val="center"/>
              <w:rPr>
                <w:rFonts w:eastAsia="Times New Roman"/>
                <w:sz w:val="25"/>
                <w:szCs w:val="25"/>
              </w:rPr>
            </w:pPr>
            <w:r w:rsidRPr="00D318C4">
              <w:rPr>
                <w:rFonts w:eastAsia="Times New Roman"/>
                <w:sz w:val="25"/>
                <w:szCs w:val="25"/>
              </w:rPr>
              <w:t>N/A</w:t>
            </w:r>
          </w:p>
        </w:tc>
      </w:tr>
      <w:tr w:rsidR="00580771" w:rsidRPr="00D318C4" w14:paraId="793FE483" w14:textId="77777777" w:rsidTr="002F6B78">
        <w:tc>
          <w:tcPr>
            <w:tcW w:w="2547" w:type="dxa"/>
          </w:tcPr>
          <w:p w14:paraId="089E0DA8" w14:textId="77777777" w:rsidR="00580771" w:rsidRPr="00D318C4" w:rsidRDefault="00580771" w:rsidP="00580771">
            <w:pPr>
              <w:rPr>
                <w:sz w:val="25"/>
                <w:szCs w:val="25"/>
                <w:lang w:eastAsia="en-US"/>
              </w:rPr>
            </w:pPr>
            <w:r w:rsidRPr="00D318C4">
              <w:rPr>
                <w:sz w:val="25"/>
                <w:szCs w:val="25"/>
                <w:lang w:eastAsia="en-US"/>
              </w:rPr>
              <w:t>5. Precizēta finansiālā ietekme:</w:t>
            </w:r>
          </w:p>
        </w:tc>
        <w:tc>
          <w:tcPr>
            <w:tcW w:w="1134" w:type="dxa"/>
          </w:tcPr>
          <w:p w14:paraId="327E9A2F" w14:textId="77777777" w:rsidR="00580771" w:rsidRPr="00D318C4" w:rsidRDefault="00580771" w:rsidP="00580771">
            <w:pPr>
              <w:jc w:val="center"/>
              <w:rPr>
                <w:rFonts w:eastAsia="Times New Roman"/>
                <w:sz w:val="25"/>
                <w:szCs w:val="25"/>
              </w:rPr>
            </w:pPr>
            <w:r w:rsidRPr="00D318C4">
              <w:rPr>
                <w:rFonts w:eastAsia="Times New Roman"/>
                <w:sz w:val="25"/>
                <w:szCs w:val="25"/>
              </w:rPr>
              <w:t>N/A</w:t>
            </w:r>
          </w:p>
        </w:tc>
        <w:tc>
          <w:tcPr>
            <w:tcW w:w="1559" w:type="dxa"/>
          </w:tcPr>
          <w:p w14:paraId="3DEDC0BC" w14:textId="77777777" w:rsidR="00580771" w:rsidRPr="00D318C4" w:rsidRDefault="00580771" w:rsidP="00580771">
            <w:pPr>
              <w:jc w:val="center"/>
              <w:rPr>
                <w:rFonts w:eastAsia="Times New Roman"/>
                <w:sz w:val="25"/>
                <w:szCs w:val="25"/>
              </w:rPr>
            </w:pPr>
            <w:r w:rsidRPr="00D318C4">
              <w:rPr>
                <w:rFonts w:eastAsia="Times New Roman"/>
                <w:sz w:val="25"/>
                <w:szCs w:val="25"/>
              </w:rPr>
              <w:t>N/A</w:t>
            </w:r>
          </w:p>
        </w:tc>
        <w:tc>
          <w:tcPr>
            <w:tcW w:w="1481" w:type="dxa"/>
          </w:tcPr>
          <w:p w14:paraId="6507C6F5" w14:textId="77777777" w:rsidR="00580771" w:rsidRPr="00D318C4" w:rsidRDefault="00580771" w:rsidP="00580771">
            <w:pPr>
              <w:jc w:val="center"/>
              <w:rPr>
                <w:sz w:val="25"/>
                <w:szCs w:val="25"/>
                <w:lang w:eastAsia="en-US"/>
              </w:rPr>
            </w:pPr>
            <w:r w:rsidRPr="00D318C4">
              <w:rPr>
                <w:sz w:val="25"/>
                <w:szCs w:val="25"/>
                <w:lang w:eastAsia="en-US"/>
              </w:rPr>
              <w:t>N/A</w:t>
            </w:r>
          </w:p>
        </w:tc>
        <w:tc>
          <w:tcPr>
            <w:tcW w:w="1481" w:type="dxa"/>
          </w:tcPr>
          <w:p w14:paraId="76689CF6" w14:textId="77777777" w:rsidR="00580771" w:rsidRPr="00D318C4" w:rsidRDefault="00580771" w:rsidP="00580771">
            <w:pPr>
              <w:jc w:val="center"/>
              <w:rPr>
                <w:sz w:val="25"/>
                <w:szCs w:val="25"/>
                <w:lang w:eastAsia="en-US"/>
              </w:rPr>
            </w:pPr>
            <w:r w:rsidRPr="00D318C4">
              <w:rPr>
                <w:sz w:val="25"/>
                <w:szCs w:val="25"/>
                <w:lang w:eastAsia="en-US"/>
              </w:rPr>
              <w:t>N/A</w:t>
            </w:r>
          </w:p>
        </w:tc>
        <w:tc>
          <w:tcPr>
            <w:tcW w:w="1432" w:type="dxa"/>
          </w:tcPr>
          <w:p w14:paraId="265A8227" w14:textId="77777777" w:rsidR="00580771" w:rsidRPr="00D318C4" w:rsidRDefault="00580771" w:rsidP="00580771">
            <w:pPr>
              <w:jc w:val="center"/>
              <w:rPr>
                <w:sz w:val="25"/>
                <w:szCs w:val="25"/>
                <w:lang w:eastAsia="en-US"/>
              </w:rPr>
            </w:pPr>
            <w:r w:rsidRPr="00D318C4">
              <w:rPr>
                <w:sz w:val="25"/>
                <w:szCs w:val="25"/>
                <w:lang w:eastAsia="en-US"/>
              </w:rPr>
              <w:t>N/A</w:t>
            </w:r>
          </w:p>
        </w:tc>
      </w:tr>
      <w:tr w:rsidR="00580771" w:rsidRPr="00D318C4" w14:paraId="2106339B" w14:textId="77777777" w:rsidTr="002F6B78">
        <w:tc>
          <w:tcPr>
            <w:tcW w:w="2547" w:type="dxa"/>
          </w:tcPr>
          <w:p w14:paraId="232E6755" w14:textId="77777777" w:rsidR="00580771" w:rsidRPr="00D318C4" w:rsidRDefault="00580771" w:rsidP="00580771">
            <w:pPr>
              <w:rPr>
                <w:sz w:val="25"/>
                <w:szCs w:val="25"/>
                <w:lang w:eastAsia="en-US"/>
              </w:rPr>
            </w:pPr>
            <w:r w:rsidRPr="00D318C4">
              <w:rPr>
                <w:sz w:val="25"/>
                <w:szCs w:val="25"/>
                <w:lang w:eastAsia="en-US"/>
              </w:rPr>
              <w:t>6. Detalizēts ieņēmumu un izdevumu aprēķins (ja nepie</w:t>
            </w:r>
            <w:r w:rsidRPr="00D318C4">
              <w:rPr>
                <w:sz w:val="25"/>
                <w:szCs w:val="25"/>
                <w:lang w:eastAsia="en-US"/>
              </w:rPr>
              <w:softHyphen/>
              <w:t xml:space="preserve">ciešams, </w:t>
            </w:r>
            <w:r w:rsidRPr="00D318C4">
              <w:rPr>
                <w:sz w:val="25"/>
                <w:szCs w:val="25"/>
                <w:lang w:eastAsia="en-US"/>
              </w:rPr>
              <w:lastRenderedPageBreak/>
              <w:t>detalizētu ieņēmumu un izdevumu aprēķinu var pie</w:t>
            </w:r>
            <w:r w:rsidRPr="00D318C4">
              <w:rPr>
                <w:sz w:val="25"/>
                <w:szCs w:val="25"/>
                <w:lang w:eastAsia="en-US"/>
              </w:rPr>
              <w:softHyphen/>
              <w:t>vienot anotācijas pielikumā):</w:t>
            </w:r>
          </w:p>
        </w:tc>
        <w:tc>
          <w:tcPr>
            <w:tcW w:w="7087" w:type="dxa"/>
            <w:gridSpan w:val="5"/>
            <w:vMerge w:val="restart"/>
          </w:tcPr>
          <w:p w14:paraId="6721AAFE" w14:textId="61EAF026" w:rsidR="00580771" w:rsidRPr="00D318C4" w:rsidRDefault="00580771" w:rsidP="00580771">
            <w:pPr>
              <w:jc w:val="both"/>
              <w:rPr>
                <w:sz w:val="25"/>
                <w:szCs w:val="25"/>
                <w:lang w:eastAsia="en-US"/>
              </w:rPr>
            </w:pPr>
            <w:r w:rsidRPr="00D318C4">
              <w:rPr>
                <w:sz w:val="25"/>
                <w:szCs w:val="25"/>
                <w:lang w:eastAsia="en-US"/>
              </w:rPr>
              <w:lastRenderedPageBreak/>
              <w:t>Pasākumam plānotais kopējais publiskais finansējums ir 115 127 027 </w:t>
            </w:r>
            <w:r w:rsidRPr="00D318C4">
              <w:rPr>
                <w:i/>
                <w:sz w:val="25"/>
                <w:szCs w:val="25"/>
                <w:lang w:eastAsia="en-US"/>
              </w:rPr>
              <w:t>euro</w:t>
            </w:r>
            <w:r w:rsidRPr="00D318C4">
              <w:rPr>
                <w:sz w:val="25"/>
                <w:szCs w:val="25"/>
                <w:lang w:eastAsia="en-US"/>
              </w:rPr>
              <w:t xml:space="preserve">, tai skaitā ERAF finansējums 97 857 972 </w:t>
            </w:r>
            <w:r w:rsidRPr="00D318C4">
              <w:rPr>
                <w:i/>
                <w:sz w:val="25"/>
                <w:szCs w:val="25"/>
                <w:lang w:eastAsia="en-US"/>
              </w:rPr>
              <w:t>euro</w:t>
            </w:r>
            <w:r w:rsidRPr="00D318C4">
              <w:rPr>
                <w:sz w:val="25"/>
                <w:szCs w:val="25"/>
                <w:lang w:eastAsia="en-US"/>
              </w:rPr>
              <w:t xml:space="preserve"> un valsts budžeta finansējums 17 269 055 </w:t>
            </w:r>
            <w:r w:rsidRPr="00D318C4">
              <w:rPr>
                <w:i/>
                <w:sz w:val="25"/>
                <w:szCs w:val="25"/>
                <w:lang w:eastAsia="en-US"/>
              </w:rPr>
              <w:t>euro</w:t>
            </w:r>
            <w:r w:rsidRPr="00D318C4">
              <w:rPr>
                <w:sz w:val="25"/>
                <w:szCs w:val="25"/>
                <w:lang w:eastAsia="en-US"/>
              </w:rPr>
              <w:t>.</w:t>
            </w:r>
          </w:p>
          <w:p w14:paraId="463EF787" w14:textId="201F2BE7" w:rsidR="00580771" w:rsidRPr="00D318C4" w:rsidRDefault="00580771" w:rsidP="00D318C4">
            <w:pPr>
              <w:ind w:firstLine="18"/>
              <w:jc w:val="both"/>
              <w:rPr>
                <w:bCs/>
                <w:sz w:val="25"/>
                <w:szCs w:val="25"/>
              </w:rPr>
            </w:pPr>
            <w:r w:rsidRPr="00D318C4">
              <w:rPr>
                <w:sz w:val="25"/>
                <w:szCs w:val="25"/>
              </w:rPr>
              <w:lastRenderedPageBreak/>
              <w:t xml:space="preserve">Pirmās projektu iesniegumu atlases kārtas īstenošanai pieejamais publiskais finansējums ir </w:t>
            </w:r>
            <w:r w:rsidR="00F75A98" w:rsidRPr="00D318C4">
              <w:rPr>
                <w:sz w:val="25"/>
                <w:szCs w:val="25"/>
              </w:rPr>
              <w:t xml:space="preserve">82 619 415 </w:t>
            </w:r>
            <w:r w:rsidRPr="00D318C4">
              <w:rPr>
                <w:i/>
                <w:sz w:val="25"/>
                <w:szCs w:val="25"/>
              </w:rPr>
              <w:t>euro,</w:t>
            </w:r>
            <w:r w:rsidRPr="00D318C4">
              <w:rPr>
                <w:sz w:val="25"/>
                <w:szCs w:val="25"/>
              </w:rPr>
              <w:t xml:space="preserve"> tajā skaitā ERAF finansējums </w:t>
            </w:r>
            <w:r w:rsidR="00F75A98" w:rsidRPr="00D318C4">
              <w:rPr>
                <w:sz w:val="25"/>
                <w:szCs w:val="25"/>
              </w:rPr>
              <w:t xml:space="preserve">70 226 </w:t>
            </w:r>
            <w:r w:rsidR="00D446C2" w:rsidRPr="00D318C4">
              <w:rPr>
                <w:sz w:val="25"/>
                <w:szCs w:val="25"/>
              </w:rPr>
              <w:t xml:space="preserve">502 </w:t>
            </w:r>
            <w:r w:rsidRPr="00D318C4">
              <w:rPr>
                <w:i/>
                <w:sz w:val="25"/>
                <w:szCs w:val="25"/>
              </w:rPr>
              <w:t>euro</w:t>
            </w:r>
            <w:r w:rsidRPr="00D318C4">
              <w:rPr>
                <w:sz w:val="25"/>
                <w:szCs w:val="25"/>
              </w:rPr>
              <w:t xml:space="preserve"> un valsts budžeta finansējums </w:t>
            </w:r>
            <w:r w:rsidR="00F75A98" w:rsidRPr="00D318C4">
              <w:rPr>
                <w:sz w:val="25"/>
                <w:szCs w:val="25"/>
              </w:rPr>
              <w:t>12 392 </w:t>
            </w:r>
            <w:r w:rsidR="00D446C2" w:rsidRPr="00D318C4">
              <w:rPr>
                <w:sz w:val="25"/>
                <w:szCs w:val="25"/>
              </w:rPr>
              <w:t xml:space="preserve">913 </w:t>
            </w:r>
            <w:r w:rsidRPr="00D318C4">
              <w:rPr>
                <w:i/>
                <w:sz w:val="25"/>
                <w:szCs w:val="25"/>
              </w:rPr>
              <w:t xml:space="preserve">euro. </w:t>
            </w:r>
            <w:r w:rsidRPr="00D318C4">
              <w:rPr>
                <w:bCs/>
                <w:sz w:val="25"/>
                <w:szCs w:val="25"/>
              </w:rPr>
              <w:t xml:space="preserve">Otrās projektu iesniegumu atlases kārtas īstenošanai pieejamais publiskais finansējums ir </w:t>
            </w:r>
            <w:r w:rsidR="00F75A98" w:rsidRPr="00D318C4">
              <w:rPr>
                <w:sz w:val="25"/>
                <w:szCs w:val="25"/>
              </w:rPr>
              <w:t xml:space="preserve">32 507 612 </w:t>
            </w:r>
            <w:r w:rsidRPr="00D318C4">
              <w:rPr>
                <w:bCs/>
                <w:i/>
                <w:sz w:val="25"/>
                <w:szCs w:val="25"/>
              </w:rPr>
              <w:t>euro,</w:t>
            </w:r>
            <w:r w:rsidRPr="00D318C4">
              <w:rPr>
                <w:bCs/>
                <w:sz w:val="25"/>
                <w:szCs w:val="25"/>
              </w:rPr>
              <w:t xml:space="preserve"> tajā skaitā ERAF  finansējums </w:t>
            </w:r>
            <w:r w:rsidR="00F75A98" w:rsidRPr="00D318C4">
              <w:rPr>
                <w:sz w:val="25"/>
                <w:szCs w:val="25"/>
              </w:rPr>
              <w:t>27 631 4</w:t>
            </w:r>
            <w:r w:rsidR="00D446C2" w:rsidRPr="00D318C4">
              <w:rPr>
                <w:sz w:val="25"/>
                <w:szCs w:val="25"/>
              </w:rPr>
              <w:t>70</w:t>
            </w:r>
            <w:r w:rsidR="00F75A98" w:rsidRPr="00D318C4">
              <w:rPr>
                <w:sz w:val="25"/>
                <w:szCs w:val="25"/>
              </w:rPr>
              <w:t xml:space="preserve"> </w:t>
            </w:r>
            <w:r w:rsidRPr="00D318C4">
              <w:rPr>
                <w:bCs/>
                <w:i/>
                <w:sz w:val="25"/>
                <w:szCs w:val="25"/>
              </w:rPr>
              <w:t>euro</w:t>
            </w:r>
            <w:r w:rsidRPr="00D318C4">
              <w:rPr>
                <w:bCs/>
                <w:sz w:val="25"/>
                <w:szCs w:val="25"/>
              </w:rPr>
              <w:t xml:space="preserve"> un valsts budžeta finansējums </w:t>
            </w:r>
            <w:r w:rsidR="00F75A98" w:rsidRPr="00D318C4">
              <w:rPr>
                <w:sz w:val="25"/>
                <w:szCs w:val="25"/>
              </w:rPr>
              <w:t>4 876 </w:t>
            </w:r>
            <w:r w:rsidR="00D446C2" w:rsidRPr="00D318C4">
              <w:rPr>
                <w:sz w:val="25"/>
                <w:szCs w:val="25"/>
              </w:rPr>
              <w:t xml:space="preserve">142 </w:t>
            </w:r>
            <w:r w:rsidRPr="00D318C4">
              <w:rPr>
                <w:bCs/>
                <w:i/>
                <w:sz w:val="25"/>
                <w:szCs w:val="25"/>
              </w:rPr>
              <w:t>euro</w:t>
            </w:r>
            <w:r w:rsidRPr="00D318C4">
              <w:rPr>
                <w:bCs/>
                <w:sz w:val="25"/>
                <w:szCs w:val="25"/>
              </w:rPr>
              <w:t xml:space="preserve">. </w:t>
            </w:r>
            <w:r w:rsidR="00B62BD3" w:rsidRPr="00D318C4">
              <w:rPr>
                <w:bCs/>
                <w:sz w:val="25"/>
                <w:szCs w:val="25"/>
              </w:rPr>
              <w:t xml:space="preserve">Ņemot vērā 4.2.1.2. pasākumam piemērojamo snieguma rezervi 7 022 201 </w:t>
            </w:r>
            <w:r w:rsidR="00593EAD" w:rsidRPr="00D318C4">
              <w:rPr>
                <w:bCs/>
                <w:i/>
                <w:sz w:val="25"/>
                <w:szCs w:val="25"/>
              </w:rPr>
              <w:t>euro</w:t>
            </w:r>
            <w:r w:rsidR="00593EAD" w:rsidRPr="00D318C4">
              <w:rPr>
                <w:bCs/>
                <w:sz w:val="25"/>
                <w:szCs w:val="25"/>
              </w:rPr>
              <w:t xml:space="preserve"> </w:t>
            </w:r>
            <w:r w:rsidR="00B62BD3" w:rsidRPr="00D318C4">
              <w:rPr>
                <w:bCs/>
                <w:sz w:val="25"/>
                <w:szCs w:val="25"/>
              </w:rPr>
              <w:t xml:space="preserve">apmērā, pieejamais finansējums līdz 2018.gada 31.decembrim ir </w:t>
            </w:r>
            <w:r w:rsidR="00F75A98" w:rsidRPr="00D318C4">
              <w:rPr>
                <w:bCs/>
                <w:sz w:val="25"/>
                <w:szCs w:val="25"/>
                <w:shd w:val="clear" w:color="auto" w:fill="FFFFFF" w:themeFill="background1"/>
              </w:rPr>
              <w:t>25</w:t>
            </w:r>
            <w:r w:rsidR="001655F9" w:rsidRPr="00D318C4">
              <w:rPr>
                <w:bCs/>
                <w:sz w:val="25"/>
                <w:szCs w:val="25"/>
                <w:shd w:val="clear" w:color="auto" w:fill="FFFFFF" w:themeFill="background1"/>
              </w:rPr>
              <w:t> </w:t>
            </w:r>
            <w:r w:rsidR="00F75A98" w:rsidRPr="00D318C4">
              <w:rPr>
                <w:bCs/>
                <w:sz w:val="25"/>
                <w:szCs w:val="25"/>
                <w:shd w:val="clear" w:color="auto" w:fill="FFFFFF" w:themeFill="background1"/>
              </w:rPr>
              <w:t>485 411 </w:t>
            </w:r>
            <w:r w:rsidR="00F75A98" w:rsidRPr="00D318C4">
              <w:rPr>
                <w:bCs/>
                <w:i/>
                <w:sz w:val="25"/>
                <w:szCs w:val="25"/>
              </w:rPr>
              <w:t>euro</w:t>
            </w:r>
            <w:r w:rsidR="00B62BD3" w:rsidRPr="00D318C4">
              <w:rPr>
                <w:bCs/>
                <w:sz w:val="25"/>
                <w:szCs w:val="25"/>
              </w:rPr>
              <w:t xml:space="preserve">, tai skaitā ERAF finansējums </w:t>
            </w:r>
            <w:r w:rsidR="00F75A98" w:rsidRPr="00D318C4">
              <w:rPr>
                <w:bCs/>
                <w:sz w:val="25"/>
                <w:szCs w:val="25"/>
                <w:shd w:val="clear" w:color="auto" w:fill="FFFFFF" w:themeFill="background1"/>
              </w:rPr>
              <w:t xml:space="preserve">21 662 </w:t>
            </w:r>
            <w:r w:rsidR="00D446C2" w:rsidRPr="00D318C4">
              <w:rPr>
                <w:bCs/>
                <w:sz w:val="25"/>
                <w:szCs w:val="25"/>
                <w:shd w:val="clear" w:color="auto" w:fill="FFFFFF" w:themeFill="background1"/>
              </w:rPr>
              <w:t xml:space="preserve">599 </w:t>
            </w:r>
            <w:r w:rsidR="00F75A98" w:rsidRPr="00D318C4">
              <w:rPr>
                <w:i/>
                <w:sz w:val="25"/>
                <w:szCs w:val="25"/>
              </w:rPr>
              <w:t>euro</w:t>
            </w:r>
            <w:r w:rsidR="00D446C2" w:rsidRPr="00D318C4">
              <w:rPr>
                <w:i/>
                <w:sz w:val="25"/>
                <w:szCs w:val="25"/>
              </w:rPr>
              <w:t xml:space="preserve"> </w:t>
            </w:r>
            <w:r w:rsidR="00D446C2" w:rsidRPr="00D318C4">
              <w:rPr>
                <w:bCs/>
                <w:sz w:val="25"/>
                <w:szCs w:val="25"/>
              </w:rPr>
              <w:t xml:space="preserve">un valsts budžeta finansējums </w:t>
            </w:r>
            <w:r w:rsidR="00D446C2" w:rsidRPr="00D318C4">
              <w:rPr>
                <w:sz w:val="25"/>
                <w:szCs w:val="25"/>
              </w:rPr>
              <w:t xml:space="preserve">3 822 812 </w:t>
            </w:r>
            <w:r w:rsidR="00D446C2" w:rsidRPr="00D318C4">
              <w:rPr>
                <w:bCs/>
                <w:i/>
                <w:sz w:val="25"/>
                <w:szCs w:val="25"/>
              </w:rPr>
              <w:t>euro</w:t>
            </w:r>
            <w:r w:rsidR="00B62BD3" w:rsidRPr="00D318C4">
              <w:rPr>
                <w:bCs/>
                <w:sz w:val="25"/>
                <w:szCs w:val="25"/>
              </w:rPr>
              <w:t>.</w:t>
            </w:r>
            <w:r w:rsidRPr="00D318C4">
              <w:rPr>
                <w:bCs/>
                <w:sz w:val="25"/>
                <w:szCs w:val="25"/>
              </w:rPr>
              <w:t xml:space="preserve"> </w:t>
            </w:r>
            <w:r w:rsidRPr="00D318C4">
              <w:rPr>
                <w:sz w:val="25"/>
                <w:szCs w:val="25"/>
                <w:lang w:eastAsia="en-US"/>
              </w:rPr>
              <w:t xml:space="preserve">Kopējā publiskā finansējuma snieguma rezerve plānota 6,1% apmērā. </w:t>
            </w:r>
          </w:p>
          <w:p w14:paraId="78AAD31A" w14:textId="11166E67" w:rsidR="00580771" w:rsidRPr="00D318C4" w:rsidRDefault="00580771" w:rsidP="00D318C4">
            <w:pPr>
              <w:jc w:val="both"/>
              <w:rPr>
                <w:sz w:val="25"/>
                <w:szCs w:val="25"/>
                <w:lang w:eastAsia="en-US"/>
              </w:rPr>
            </w:pPr>
            <w:r w:rsidRPr="00D318C4">
              <w:rPr>
                <w:sz w:val="25"/>
                <w:szCs w:val="25"/>
                <w:lang w:eastAsia="en-US"/>
              </w:rPr>
              <w:t xml:space="preserve">Lēmums, vai snieguma rezervi izmantot projekta ietvaros, tiks pieņemts pēc darbības programmas “Izaugsme un nodarbinātība” 4.prioritātes ietvaros sasniegto rezultātu uz 2018.gada 31.decembri analīzes. </w:t>
            </w:r>
          </w:p>
          <w:p w14:paraId="4C717D36" w14:textId="70E7D0B0" w:rsidR="00580771" w:rsidRPr="00D318C4" w:rsidRDefault="00580771" w:rsidP="00D318C4">
            <w:pPr>
              <w:jc w:val="both"/>
              <w:rPr>
                <w:sz w:val="25"/>
                <w:szCs w:val="25"/>
                <w:lang w:eastAsia="en-US"/>
              </w:rPr>
            </w:pPr>
            <w:r w:rsidRPr="00D318C4">
              <w:rPr>
                <w:sz w:val="25"/>
                <w:szCs w:val="25"/>
                <w:lang w:eastAsia="en-US"/>
              </w:rPr>
              <w:t>Budžeta izdevumi ir kopējie projekta ieviešanai nepieciešamie publiskā finansējuma līdzekļi projektu īstenošanai 100% apmērā (ERAF 85% un valsts budžets 15%) no projekta attiecināmajām izmaksām.</w:t>
            </w:r>
          </w:p>
          <w:p w14:paraId="5DFA4E71" w14:textId="566F6BFA" w:rsidR="00C9712F" w:rsidRPr="00D318C4" w:rsidRDefault="00580771" w:rsidP="00D318C4">
            <w:pPr>
              <w:jc w:val="both"/>
              <w:rPr>
                <w:sz w:val="25"/>
                <w:szCs w:val="25"/>
                <w:lang w:eastAsia="en-US"/>
              </w:rPr>
            </w:pPr>
            <w:r w:rsidRPr="00D318C4">
              <w:rPr>
                <w:sz w:val="25"/>
                <w:szCs w:val="25"/>
                <w:lang w:eastAsia="en-US"/>
              </w:rPr>
              <w:t xml:space="preserve">Projektus plānots ieviest no 2016.gada 4.ceturkšņa. Projektu īstenošanu plāno saskaņā ar finansējuma saņēmēja un sadarbības iestādes noslēgto līgumu vai vienošanos, bet ne ilgāk kā līdz 2022.gada 31.oktobrim. </w:t>
            </w:r>
            <w:r w:rsidR="00C9712F" w:rsidRPr="00D318C4">
              <w:rPr>
                <w:sz w:val="25"/>
                <w:szCs w:val="25"/>
                <w:lang w:eastAsia="en-US"/>
              </w:rPr>
              <w:t xml:space="preserve">Projektu iesniegumu atlases kārtas ietvaros radušās izmaksas ir attiecināmas ne agrāk kā no 2016.gada 1.janvāra. </w:t>
            </w:r>
          </w:p>
          <w:p w14:paraId="287D6170" w14:textId="6C7DA501" w:rsidR="00077CCD" w:rsidRPr="00D318C4" w:rsidRDefault="00580771" w:rsidP="00046798">
            <w:pPr>
              <w:jc w:val="both"/>
              <w:rPr>
                <w:sz w:val="25"/>
                <w:szCs w:val="25"/>
                <w:lang w:eastAsia="en-US"/>
              </w:rPr>
            </w:pPr>
            <w:r w:rsidRPr="00D318C4">
              <w:rPr>
                <w:sz w:val="25"/>
                <w:szCs w:val="25"/>
                <w:lang w:eastAsia="en-US"/>
              </w:rPr>
              <w:t>Pirmajā ieviešanas gadā plānots mazāks finansējums (</w:t>
            </w:r>
            <w:r w:rsidR="00613635" w:rsidRPr="00D318C4">
              <w:rPr>
                <w:sz w:val="25"/>
                <w:szCs w:val="25"/>
                <w:lang w:eastAsia="en-US"/>
              </w:rPr>
              <w:t xml:space="preserve">5 </w:t>
            </w:r>
            <w:r w:rsidRPr="00D318C4">
              <w:rPr>
                <w:sz w:val="25"/>
                <w:szCs w:val="25"/>
                <w:lang w:eastAsia="en-US"/>
              </w:rPr>
              <w:t xml:space="preserve">000 000 </w:t>
            </w:r>
            <w:r w:rsidRPr="00D318C4">
              <w:rPr>
                <w:i/>
                <w:sz w:val="25"/>
                <w:szCs w:val="25"/>
                <w:lang w:eastAsia="en-US"/>
              </w:rPr>
              <w:t>euro</w:t>
            </w:r>
            <w:r w:rsidRPr="00D318C4">
              <w:rPr>
                <w:sz w:val="25"/>
                <w:szCs w:val="25"/>
                <w:lang w:eastAsia="en-US"/>
              </w:rPr>
              <w:t>), jo projektu ietvaros ir jāveic iepirkums par būvdarbiem</w:t>
            </w:r>
            <w:r w:rsidR="00046798" w:rsidRPr="00D318C4">
              <w:rPr>
                <w:sz w:val="25"/>
                <w:szCs w:val="25"/>
                <w:lang w:eastAsia="en-US"/>
              </w:rPr>
              <w:t xml:space="preserve"> un </w:t>
            </w:r>
            <w:r w:rsidR="00B05196" w:rsidRPr="00D318C4">
              <w:rPr>
                <w:sz w:val="25"/>
                <w:szCs w:val="25"/>
                <w:lang w:eastAsia="en-US"/>
              </w:rPr>
              <w:t>jānodrošina tehniskās dokumentācijas sagatavo</w:t>
            </w:r>
            <w:r w:rsidR="00046798" w:rsidRPr="00D318C4">
              <w:rPr>
                <w:sz w:val="25"/>
                <w:szCs w:val="25"/>
                <w:lang w:eastAsia="en-US"/>
              </w:rPr>
              <w:t>šana, kas tiek attiecināts jau no 201</w:t>
            </w:r>
            <w:r w:rsidR="0030599B" w:rsidRPr="00D318C4">
              <w:rPr>
                <w:sz w:val="25"/>
                <w:szCs w:val="25"/>
                <w:lang w:eastAsia="en-US"/>
              </w:rPr>
              <w:t>6</w:t>
            </w:r>
            <w:r w:rsidR="00046798" w:rsidRPr="00D318C4">
              <w:rPr>
                <w:sz w:val="25"/>
                <w:szCs w:val="25"/>
                <w:lang w:eastAsia="en-US"/>
              </w:rPr>
              <w:t>.gada 1.janvāra.</w:t>
            </w:r>
            <w:r w:rsidR="00077CCD" w:rsidRPr="00D318C4">
              <w:rPr>
                <w:sz w:val="25"/>
                <w:szCs w:val="25"/>
                <w:lang w:eastAsia="en-US"/>
              </w:rPr>
              <w:t xml:space="preserve"> Iepirkumu, kas nepieciešams projekta īstenošanai, finansējuma saņēmējs veic saskaņā ar normatīvajiem aktiem publisko iepirkumu jomā. Iepirkuma procedūras rezultātā tiek slēgti piegādes vai pakalpojuma līgumi,  kuru ietvaros var tikt paredzēta iekārtu piegāde un lietotājā instruktāža par piegādātās iekārtas lietošanu.</w:t>
            </w:r>
          </w:p>
          <w:p w14:paraId="3E10BF83" w14:textId="5B0BED8E" w:rsidR="00514C61" w:rsidRPr="00D318C4" w:rsidRDefault="006F6E12" w:rsidP="00046798">
            <w:pPr>
              <w:jc w:val="both"/>
              <w:rPr>
                <w:sz w:val="25"/>
                <w:szCs w:val="25"/>
                <w:lang w:eastAsia="en-US"/>
              </w:rPr>
            </w:pPr>
            <w:r w:rsidRPr="00D318C4">
              <w:rPr>
                <w:sz w:val="25"/>
                <w:szCs w:val="25"/>
                <w:lang w:eastAsia="en-US"/>
              </w:rPr>
              <w:t>Ņemot vērā, ka daļai no prioritārā sarakstā iekļautajām ēkām ir veikta gan energosertifikācija, gan arī izstrādāts būvprojekts vai apliecinājuma karte</w:t>
            </w:r>
            <w:r w:rsidR="0008474F" w:rsidRPr="00D318C4">
              <w:rPr>
                <w:sz w:val="25"/>
                <w:szCs w:val="25"/>
                <w:lang w:eastAsia="en-US"/>
              </w:rPr>
              <w:t xml:space="preserve"> (21 ēka)</w:t>
            </w:r>
            <w:r w:rsidRPr="00D318C4">
              <w:rPr>
                <w:sz w:val="25"/>
                <w:szCs w:val="25"/>
                <w:lang w:eastAsia="en-US"/>
              </w:rPr>
              <w:t xml:space="preserve">, </w:t>
            </w:r>
            <w:r w:rsidR="00514C61" w:rsidRPr="00D318C4">
              <w:rPr>
                <w:sz w:val="25"/>
                <w:szCs w:val="25"/>
                <w:lang w:eastAsia="en-US"/>
              </w:rPr>
              <w:t>2016.gadā finansējums energoefektivitātes pasākumu īstenošanai</w:t>
            </w:r>
            <w:r w:rsidR="001D31C4" w:rsidRPr="00D318C4">
              <w:rPr>
                <w:sz w:val="25"/>
                <w:szCs w:val="25"/>
                <w:lang w:eastAsia="en-US"/>
              </w:rPr>
              <w:t xml:space="preserve"> pirms projekta </w:t>
            </w:r>
            <w:r w:rsidRPr="00D318C4">
              <w:rPr>
                <w:sz w:val="25"/>
                <w:szCs w:val="25"/>
                <w:lang w:eastAsia="en-US"/>
              </w:rPr>
              <w:t>apstiprināšanas</w:t>
            </w:r>
            <w:r w:rsidR="001D31C4" w:rsidRPr="00D318C4">
              <w:rPr>
                <w:sz w:val="25"/>
                <w:szCs w:val="25"/>
                <w:lang w:eastAsia="en-US"/>
              </w:rPr>
              <w:t xml:space="preserve"> nepieciešams</w:t>
            </w:r>
            <w:r w:rsidR="00514C61" w:rsidRPr="00D318C4">
              <w:rPr>
                <w:sz w:val="25"/>
                <w:szCs w:val="25"/>
                <w:lang w:eastAsia="en-US"/>
              </w:rPr>
              <w:t xml:space="preserve"> </w:t>
            </w:r>
            <w:r w:rsidR="001B1061" w:rsidRPr="00D318C4">
              <w:rPr>
                <w:sz w:val="25"/>
                <w:szCs w:val="25"/>
                <w:lang w:eastAsia="en-US"/>
              </w:rPr>
              <w:t>76</w:t>
            </w:r>
            <w:r w:rsidRPr="00D318C4">
              <w:rPr>
                <w:sz w:val="25"/>
                <w:szCs w:val="25"/>
                <w:lang w:eastAsia="en-US"/>
              </w:rPr>
              <w:t xml:space="preserve"> </w:t>
            </w:r>
            <w:r w:rsidR="00514C61" w:rsidRPr="00D318C4">
              <w:rPr>
                <w:sz w:val="25"/>
                <w:szCs w:val="25"/>
                <w:lang w:eastAsia="en-US"/>
              </w:rPr>
              <w:t>ēkās</w:t>
            </w:r>
            <w:r w:rsidRPr="00D318C4">
              <w:rPr>
                <w:sz w:val="25"/>
                <w:szCs w:val="25"/>
                <w:lang w:eastAsia="en-US"/>
              </w:rPr>
              <w:t xml:space="preserve">. Pārējās prioritārā sarakstā iekļautās ēkas projekta iesniegumu plāno iesniegt 2017.gada I ceturksnī un vēlāk </w:t>
            </w:r>
            <w:r w:rsidR="001D31C4" w:rsidRPr="00D318C4">
              <w:rPr>
                <w:sz w:val="25"/>
                <w:szCs w:val="25"/>
                <w:lang w:eastAsia="en-US"/>
              </w:rPr>
              <w:t>(skatīt</w:t>
            </w:r>
            <w:r w:rsidR="009A2B55" w:rsidRPr="00D318C4">
              <w:rPr>
                <w:sz w:val="25"/>
                <w:szCs w:val="25"/>
                <w:lang w:eastAsia="en-US"/>
              </w:rPr>
              <w:t xml:space="preserve"> </w:t>
            </w:r>
            <w:r w:rsidR="00514C61" w:rsidRPr="00D318C4">
              <w:rPr>
                <w:sz w:val="25"/>
                <w:szCs w:val="25"/>
              </w:rPr>
              <w:t>4.2.1.2.pasākuma atlases kārtas sākotnējās ietekmes novērtējuma</w:t>
            </w:r>
            <w:r w:rsidR="009A2B55" w:rsidRPr="00D318C4">
              <w:rPr>
                <w:sz w:val="25"/>
                <w:szCs w:val="25"/>
              </w:rPr>
              <w:t xml:space="preserve"> ziņojuma (anotācijas) pielikum</w:t>
            </w:r>
            <w:r w:rsidR="001D31C4" w:rsidRPr="00D318C4">
              <w:rPr>
                <w:sz w:val="25"/>
                <w:szCs w:val="25"/>
              </w:rPr>
              <w:t>u)</w:t>
            </w:r>
            <w:r w:rsidR="00514C61" w:rsidRPr="00D318C4">
              <w:rPr>
                <w:sz w:val="25"/>
                <w:szCs w:val="25"/>
                <w:lang w:eastAsia="en-US"/>
              </w:rPr>
              <w:t>.</w:t>
            </w:r>
          </w:p>
          <w:p w14:paraId="6ECDE6A1" w14:textId="6B982EF1" w:rsidR="00046798" w:rsidRPr="00D318C4" w:rsidRDefault="00046798" w:rsidP="00046798">
            <w:pPr>
              <w:jc w:val="both"/>
              <w:rPr>
                <w:sz w:val="25"/>
                <w:szCs w:val="25"/>
                <w:lang w:eastAsia="en-US"/>
              </w:rPr>
            </w:pPr>
            <w:r w:rsidRPr="00D318C4">
              <w:rPr>
                <w:sz w:val="25"/>
                <w:szCs w:val="25"/>
                <w:lang w:eastAsia="en-US"/>
              </w:rPr>
              <w:t xml:space="preserve">No 2017. - 2021.gadam finansējums plānots vienmērīgi (15 000 000 </w:t>
            </w:r>
            <w:r w:rsidRPr="00D318C4">
              <w:rPr>
                <w:i/>
                <w:sz w:val="25"/>
                <w:szCs w:val="25"/>
                <w:lang w:eastAsia="en-US"/>
              </w:rPr>
              <w:t>euro</w:t>
            </w:r>
            <w:r w:rsidRPr="00D318C4">
              <w:rPr>
                <w:sz w:val="25"/>
                <w:szCs w:val="25"/>
                <w:lang w:eastAsia="en-US"/>
              </w:rPr>
              <w:t>), bet 2022.gadā 4.2.1.2.pasākuma ietvaros pub</w:t>
            </w:r>
            <w:r w:rsidR="00543FFF" w:rsidRPr="00D318C4">
              <w:rPr>
                <w:sz w:val="25"/>
                <w:szCs w:val="25"/>
                <w:lang w:eastAsia="en-US"/>
              </w:rPr>
              <w:t xml:space="preserve">liskais finansējums paredzēts </w:t>
            </w:r>
            <w:r w:rsidR="00613635" w:rsidRPr="00D318C4">
              <w:rPr>
                <w:sz w:val="25"/>
                <w:szCs w:val="25"/>
                <w:lang w:eastAsia="en-US"/>
              </w:rPr>
              <w:t>35 </w:t>
            </w:r>
            <w:r w:rsidRPr="00D318C4">
              <w:rPr>
                <w:sz w:val="25"/>
                <w:szCs w:val="25"/>
                <w:lang w:eastAsia="en-US"/>
              </w:rPr>
              <w:t>127 027 </w:t>
            </w:r>
            <w:r w:rsidRPr="00D318C4">
              <w:rPr>
                <w:i/>
                <w:sz w:val="25"/>
                <w:szCs w:val="25"/>
                <w:lang w:eastAsia="en-US"/>
              </w:rPr>
              <w:t>euro</w:t>
            </w:r>
            <w:r w:rsidRPr="00D318C4">
              <w:rPr>
                <w:sz w:val="25"/>
                <w:szCs w:val="25"/>
                <w:lang w:eastAsia="en-US"/>
              </w:rPr>
              <w:t xml:space="preserve"> apmērā, lai </w:t>
            </w:r>
            <w:r w:rsidR="006613D0" w:rsidRPr="00D318C4">
              <w:rPr>
                <w:sz w:val="25"/>
                <w:szCs w:val="25"/>
                <w:lang w:eastAsia="en-US"/>
              </w:rPr>
              <w:t>atjaunotu</w:t>
            </w:r>
            <w:r w:rsidRPr="00D318C4">
              <w:rPr>
                <w:sz w:val="25"/>
                <w:szCs w:val="25"/>
                <w:lang w:eastAsia="en-US"/>
              </w:rPr>
              <w:t xml:space="preserve"> valsts ēku sarakstā esošās ēkas, kuru </w:t>
            </w:r>
            <w:r w:rsidR="006613D0" w:rsidRPr="00D318C4">
              <w:rPr>
                <w:sz w:val="25"/>
                <w:szCs w:val="25"/>
                <w:lang w:eastAsia="en-US"/>
              </w:rPr>
              <w:t xml:space="preserve">atjaunošanas </w:t>
            </w:r>
            <w:r w:rsidRPr="00D318C4">
              <w:rPr>
                <w:sz w:val="25"/>
                <w:szCs w:val="25"/>
                <w:lang w:eastAsia="en-US"/>
              </w:rPr>
              <w:t>izpildi varētu ieskaitīt 3% mērķa izpildei uz 2023.-2025.gadu.</w:t>
            </w:r>
          </w:p>
          <w:p w14:paraId="38DD68B1" w14:textId="0ECBF892" w:rsidR="00580771" w:rsidRPr="00D318C4" w:rsidRDefault="00046798" w:rsidP="009A2B55">
            <w:pPr>
              <w:jc w:val="both"/>
              <w:rPr>
                <w:sz w:val="25"/>
                <w:szCs w:val="25"/>
                <w:lang w:eastAsia="en-US"/>
              </w:rPr>
            </w:pPr>
            <w:r w:rsidRPr="00D318C4">
              <w:rPr>
                <w:sz w:val="25"/>
                <w:szCs w:val="25"/>
                <w:lang w:eastAsia="en-US"/>
              </w:rPr>
              <w:lastRenderedPageBreak/>
              <w:t xml:space="preserve">Projekta iesniedzēji atlases kārtas ietvaros paredzētās darbības var uzsākt ar </w:t>
            </w:r>
            <w:r w:rsidR="0050729E" w:rsidRPr="00D318C4">
              <w:rPr>
                <w:sz w:val="25"/>
                <w:szCs w:val="25"/>
                <w:lang w:eastAsia="en-US"/>
              </w:rPr>
              <w:t>2016.gada 1.janvāri</w:t>
            </w:r>
            <w:r w:rsidR="0030599B" w:rsidRPr="00D318C4">
              <w:rPr>
                <w:sz w:val="25"/>
                <w:szCs w:val="25"/>
                <w:lang w:eastAsia="en-US"/>
              </w:rPr>
              <w:t xml:space="preserve"> </w:t>
            </w:r>
            <w:r w:rsidR="00543FFF" w:rsidRPr="00D318C4">
              <w:rPr>
                <w:sz w:val="25"/>
                <w:szCs w:val="25"/>
                <w:lang w:eastAsia="en-US"/>
              </w:rPr>
              <w:t>- m</w:t>
            </w:r>
            <w:r w:rsidRPr="00D318C4">
              <w:rPr>
                <w:sz w:val="25"/>
                <w:szCs w:val="25"/>
                <w:lang w:eastAsia="en-US"/>
              </w:rPr>
              <w:t xml:space="preserve">inētā prasība ir noteikta, ņemot vērā to, ka tehniskās dokumentācijas izstrāde ir sarežģīts un laikietilpīgs process. </w:t>
            </w:r>
            <w:r w:rsidR="0050729E" w:rsidRPr="00D318C4">
              <w:rPr>
                <w:sz w:val="25"/>
                <w:szCs w:val="25"/>
                <w:lang w:eastAsia="en-US"/>
              </w:rPr>
              <w:t>Papildus jāņem</w:t>
            </w:r>
            <w:r w:rsidRPr="00D318C4">
              <w:rPr>
                <w:sz w:val="25"/>
                <w:szCs w:val="25"/>
                <w:lang w:eastAsia="en-US"/>
              </w:rPr>
              <w:t xml:space="preserve"> vērā, ka</w:t>
            </w:r>
            <w:r w:rsidR="0050729E" w:rsidRPr="00D318C4">
              <w:rPr>
                <w:sz w:val="25"/>
                <w:szCs w:val="25"/>
                <w:lang w:eastAsia="en-US"/>
              </w:rPr>
              <w:t xml:space="preserve"> jau no 2015.gada 4.ceturkšņa</w:t>
            </w:r>
            <w:r w:rsidRPr="00D318C4">
              <w:rPr>
                <w:sz w:val="25"/>
                <w:szCs w:val="25"/>
                <w:lang w:eastAsia="en-US"/>
              </w:rPr>
              <w:t xml:space="preserve"> ir pieejami atlases kritēriji un kritēriju piemērošanas metodika </w:t>
            </w:r>
            <w:r w:rsidR="00C06D07" w:rsidRPr="00D318C4">
              <w:rPr>
                <w:sz w:val="25"/>
                <w:szCs w:val="25"/>
                <w:lang w:eastAsia="en-US"/>
              </w:rPr>
              <w:t>4.2.1.2.pasākuma pirmās atlases kārtas</w:t>
            </w:r>
            <w:r w:rsidRPr="00D318C4">
              <w:rPr>
                <w:sz w:val="25"/>
                <w:szCs w:val="25"/>
                <w:lang w:eastAsia="en-US"/>
              </w:rPr>
              <w:t xml:space="preserve"> ietvaros, tādējādi ir paredzams, ka darbs pie tehniskās dokumentācijas izstrādes tiks nodrošināts jau </w:t>
            </w:r>
            <w:r w:rsidR="0050729E" w:rsidRPr="00D318C4">
              <w:rPr>
                <w:sz w:val="25"/>
                <w:szCs w:val="25"/>
                <w:lang w:eastAsia="en-US"/>
              </w:rPr>
              <w:t>laicīgi</w:t>
            </w:r>
            <w:r w:rsidRPr="00D318C4">
              <w:rPr>
                <w:sz w:val="25"/>
                <w:szCs w:val="25"/>
                <w:lang w:eastAsia="en-US"/>
              </w:rPr>
              <w:t>, lai dokumentācija būtu savlaicīgi un kvalitatīvi izstrādāta</w:t>
            </w:r>
            <w:r w:rsidR="00B00D0E" w:rsidRPr="00D318C4">
              <w:rPr>
                <w:sz w:val="25"/>
                <w:szCs w:val="25"/>
                <w:lang w:eastAsia="en-US"/>
              </w:rPr>
              <w:t xml:space="preserve"> un būvdarbi var tikt uzsākti no 2016.gad</w:t>
            </w:r>
            <w:r w:rsidR="005D6C57" w:rsidRPr="00D318C4">
              <w:rPr>
                <w:sz w:val="25"/>
                <w:szCs w:val="25"/>
                <w:lang w:eastAsia="en-US"/>
              </w:rPr>
              <w:t>a</w:t>
            </w:r>
            <w:r w:rsidR="00B00D0E" w:rsidRPr="00D318C4">
              <w:rPr>
                <w:sz w:val="25"/>
                <w:szCs w:val="25"/>
                <w:lang w:eastAsia="en-US"/>
              </w:rPr>
              <w:t xml:space="preserve"> sākuma</w:t>
            </w:r>
            <w:r w:rsidRPr="00D318C4">
              <w:rPr>
                <w:sz w:val="25"/>
                <w:szCs w:val="25"/>
                <w:lang w:eastAsia="en-US"/>
              </w:rPr>
              <w:t>.</w:t>
            </w:r>
            <w:r w:rsidR="00B00D0E" w:rsidRPr="00D318C4">
              <w:rPr>
                <w:sz w:val="25"/>
                <w:szCs w:val="25"/>
                <w:lang w:eastAsia="en-US"/>
              </w:rPr>
              <w:t xml:space="preserve"> P</w:t>
            </w:r>
            <w:r w:rsidR="0050729E" w:rsidRPr="00D318C4">
              <w:rPr>
                <w:sz w:val="25"/>
                <w:szCs w:val="25"/>
                <w:lang w:eastAsia="en-US"/>
              </w:rPr>
              <w:t>ēc ministriju iesniegtās inform</w:t>
            </w:r>
            <w:r w:rsidR="00543FFF" w:rsidRPr="00D318C4">
              <w:rPr>
                <w:sz w:val="25"/>
                <w:szCs w:val="25"/>
                <w:lang w:eastAsia="en-US"/>
              </w:rPr>
              <w:t>ācijas, Ekonomikas ministrija ir apkopojusi informāciju par ēkām, kurās 4.2.1.2.pasākuma pirmās projektu iesniegumu atlases kārtas ietvaros ar ierobežotu atlasi 2016.gadā plānots īstenot energoefektivitātes paaugstināšanas pasākumus un ēkām, kurās būvniecības uzsākšana plānota 2017.gadā un vēlāk. Ņemot vērā, ka jau salīdzinoši lielai daļai no valsts ēkām, ir izstrādāta tehniskā dokumentācija, lai nekavētu šajās ēkās būvdarbu uzsākšanu, izmaksas tiek attiecinātas no 2016.gada 1.janvāra.</w:t>
            </w:r>
            <w:r w:rsidR="00514C61" w:rsidRPr="00D318C4">
              <w:rPr>
                <w:sz w:val="25"/>
                <w:szCs w:val="25"/>
                <w:lang w:eastAsia="en-US"/>
              </w:rPr>
              <w:t xml:space="preserve"> </w:t>
            </w:r>
          </w:p>
        </w:tc>
      </w:tr>
      <w:tr w:rsidR="00580771" w:rsidRPr="00D318C4" w14:paraId="08F01355" w14:textId="77777777" w:rsidTr="002F6B78">
        <w:tc>
          <w:tcPr>
            <w:tcW w:w="2547" w:type="dxa"/>
          </w:tcPr>
          <w:p w14:paraId="05F68AF8" w14:textId="7EBABF58" w:rsidR="00580771" w:rsidRPr="00D318C4" w:rsidRDefault="00580771" w:rsidP="00580771">
            <w:pPr>
              <w:rPr>
                <w:sz w:val="25"/>
                <w:szCs w:val="25"/>
                <w:lang w:eastAsia="en-US"/>
              </w:rPr>
            </w:pPr>
            <w:r w:rsidRPr="00D318C4">
              <w:rPr>
                <w:sz w:val="25"/>
                <w:szCs w:val="25"/>
                <w:lang w:eastAsia="en-US"/>
              </w:rPr>
              <w:lastRenderedPageBreak/>
              <w:t>6.1. detalizēts ieņēmumu aprēķins</w:t>
            </w:r>
          </w:p>
        </w:tc>
        <w:tc>
          <w:tcPr>
            <w:tcW w:w="7087" w:type="dxa"/>
            <w:gridSpan w:val="5"/>
            <w:vMerge/>
          </w:tcPr>
          <w:p w14:paraId="5E3DEE69" w14:textId="77777777" w:rsidR="00580771" w:rsidRPr="00D318C4" w:rsidRDefault="00580771" w:rsidP="00580771">
            <w:pPr>
              <w:jc w:val="center"/>
              <w:rPr>
                <w:sz w:val="25"/>
                <w:szCs w:val="25"/>
                <w:lang w:eastAsia="en-US"/>
              </w:rPr>
            </w:pPr>
          </w:p>
        </w:tc>
      </w:tr>
      <w:tr w:rsidR="00580771" w:rsidRPr="00D318C4" w14:paraId="00250B79" w14:textId="77777777" w:rsidTr="002F6B78">
        <w:tc>
          <w:tcPr>
            <w:tcW w:w="2547" w:type="dxa"/>
          </w:tcPr>
          <w:p w14:paraId="7D22478B" w14:textId="77777777" w:rsidR="00580771" w:rsidRPr="00D318C4" w:rsidRDefault="00580771" w:rsidP="00580771">
            <w:pPr>
              <w:rPr>
                <w:sz w:val="25"/>
                <w:szCs w:val="25"/>
                <w:lang w:eastAsia="en-US"/>
              </w:rPr>
            </w:pPr>
            <w:r w:rsidRPr="00D318C4">
              <w:rPr>
                <w:sz w:val="25"/>
                <w:szCs w:val="25"/>
                <w:lang w:eastAsia="en-US"/>
              </w:rPr>
              <w:t>6.2. detalizēts izdevumu aprēķins</w:t>
            </w:r>
          </w:p>
        </w:tc>
        <w:tc>
          <w:tcPr>
            <w:tcW w:w="7087" w:type="dxa"/>
            <w:gridSpan w:val="5"/>
            <w:vMerge/>
          </w:tcPr>
          <w:p w14:paraId="271F8B05" w14:textId="77777777" w:rsidR="00580771" w:rsidRPr="00D318C4" w:rsidRDefault="00580771" w:rsidP="00580771">
            <w:pPr>
              <w:jc w:val="center"/>
              <w:rPr>
                <w:sz w:val="25"/>
                <w:szCs w:val="25"/>
                <w:lang w:eastAsia="en-US"/>
              </w:rPr>
            </w:pPr>
          </w:p>
        </w:tc>
      </w:tr>
      <w:tr w:rsidR="00580771" w:rsidRPr="00D318C4" w14:paraId="402AE195" w14:textId="77777777" w:rsidTr="002F6B78">
        <w:tc>
          <w:tcPr>
            <w:tcW w:w="2547" w:type="dxa"/>
          </w:tcPr>
          <w:p w14:paraId="2835CD77" w14:textId="77777777" w:rsidR="00580771" w:rsidRPr="00D318C4" w:rsidRDefault="00580771" w:rsidP="00580771">
            <w:pPr>
              <w:rPr>
                <w:sz w:val="25"/>
                <w:szCs w:val="25"/>
                <w:lang w:eastAsia="en-US"/>
              </w:rPr>
            </w:pPr>
            <w:r w:rsidRPr="00D318C4">
              <w:rPr>
                <w:sz w:val="25"/>
                <w:szCs w:val="25"/>
                <w:lang w:eastAsia="en-US"/>
              </w:rPr>
              <w:t>7. Cita informācija</w:t>
            </w:r>
          </w:p>
        </w:tc>
        <w:tc>
          <w:tcPr>
            <w:tcW w:w="7087" w:type="dxa"/>
            <w:gridSpan w:val="5"/>
          </w:tcPr>
          <w:p w14:paraId="5A6E8F39" w14:textId="77777777" w:rsidR="009A2B55" w:rsidRPr="00D318C4" w:rsidRDefault="002C5C03" w:rsidP="002C5C03">
            <w:pPr>
              <w:jc w:val="both"/>
              <w:rPr>
                <w:color w:val="000000"/>
                <w:sz w:val="25"/>
                <w:szCs w:val="25"/>
                <w:shd w:val="clear" w:color="auto" w:fill="FFFFFF"/>
                <w:lang w:eastAsia="en-US"/>
              </w:rPr>
            </w:pPr>
            <w:r w:rsidRPr="00D318C4">
              <w:rPr>
                <w:color w:val="000000"/>
                <w:sz w:val="25"/>
                <w:szCs w:val="25"/>
                <w:shd w:val="clear" w:color="auto" w:fill="FFFFFF"/>
                <w:lang w:eastAsia="en-US"/>
              </w:rPr>
              <w:t>Atvasinātām publiskām personām un valsts kapitālsabiedrībām n</w:t>
            </w:r>
            <w:r w:rsidR="00580771" w:rsidRPr="00D318C4">
              <w:rPr>
                <w:color w:val="000000"/>
                <w:sz w:val="25"/>
                <w:szCs w:val="25"/>
                <w:shd w:val="clear" w:color="auto" w:fill="FFFFFF"/>
                <w:lang w:eastAsia="en-US"/>
              </w:rPr>
              <w:t>epieciešamo valsts budžeta finansējumu</w:t>
            </w:r>
            <w:r w:rsidRPr="00D318C4">
              <w:rPr>
                <w:color w:val="000000"/>
                <w:sz w:val="25"/>
                <w:szCs w:val="25"/>
                <w:shd w:val="clear" w:color="auto" w:fill="FFFFFF"/>
                <w:lang w:eastAsia="en-US"/>
              </w:rPr>
              <w:t xml:space="preserve"> </w:t>
            </w:r>
            <w:r w:rsidR="00580771" w:rsidRPr="00D318C4">
              <w:rPr>
                <w:color w:val="000000"/>
                <w:sz w:val="25"/>
                <w:szCs w:val="25"/>
                <w:shd w:val="clear" w:color="auto" w:fill="FFFFFF"/>
                <w:lang w:eastAsia="en-US"/>
              </w:rPr>
              <w:t>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D318C4">
              <w:rPr>
                <w:color w:val="000000"/>
                <w:sz w:val="25"/>
                <w:szCs w:val="25"/>
                <w:shd w:val="clear" w:color="auto" w:fill="FFFFFF"/>
                <w:lang w:eastAsia="en-US"/>
              </w:rPr>
              <w:t xml:space="preserve"> lūgs pārdalīt Finanšu ministrija, savukārt tiešās valsts pārvaldes iestādēm, t.sk. padotības iestādēm nepieciešamo finansējumu lūgs pārdalīt attiecīgā nozares ministrija</w:t>
            </w:r>
            <w:r w:rsidR="005C4913" w:rsidRPr="00D318C4">
              <w:rPr>
                <w:color w:val="000000"/>
                <w:sz w:val="25"/>
                <w:szCs w:val="25"/>
                <w:shd w:val="clear" w:color="auto" w:fill="FFFFFF"/>
                <w:lang w:eastAsia="en-US"/>
              </w:rPr>
              <w:t>.</w:t>
            </w:r>
          </w:p>
          <w:p w14:paraId="33182407" w14:textId="66196298" w:rsidR="00580771" w:rsidRPr="00D318C4" w:rsidRDefault="009A2B55" w:rsidP="002C5C03">
            <w:pPr>
              <w:jc w:val="both"/>
              <w:rPr>
                <w:sz w:val="25"/>
                <w:szCs w:val="25"/>
                <w:lang w:eastAsia="en-US"/>
              </w:rPr>
            </w:pPr>
            <w:r w:rsidRPr="00D318C4">
              <w:rPr>
                <w:sz w:val="25"/>
                <w:szCs w:val="25"/>
                <w:lang w:eastAsia="en-US"/>
              </w:rPr>
              <w:t>Izmantojot valsts budžeta finansējumu izmaksu segšanai pirms projekta apstiprināšanas, veikto izmaksu pārgrāmatošana veicama tā saimnieciskā gada ietvaros, kad ir veikti izdevumi.</w:t>
            </w:r>
          </w:p>
        </w:tc>
      </w:tr>
    </w:tbl>
    <w:p w14:paraId="481CDE15" w14:textId="77777777" w:rsidR="00120721" w:rsidRDefault="00120721">
      <w:pPr>
        <w:rPr>
          <w:sz w:val="25"/>
          <w:szCs w:val="25"/>
        </w:rPr>
      </w:pPr>
    </w:p>
    <w:p w14:paraId="6F9EC16E" w14:textId="77777777" w:rsidR="00D318C4" w:rsidRPr="00D318C4" w:rsidRDefault="00D318C4">
      <w:pPr>
        <w:rPr>
          <w:sz w:val="25"/>
          <w:szCs w:val="25"/>
        </w:rPr>
      </w:pPr>
    </w:p>
    <w:tbl>
      <w:tblPr>
        <w:tblStyle w:val="TableGrid"/>
        <w:tblW w:w="9634" w:type="dxa"/>
        <w:tblLook w:val="04A0" w:firstRow="1" w:lastRow="0" w:firstColumn="1" w:lastColumn="0" w:noHBand="0" w:noVBand="1"/>
      </w:tblPr>
      <w:tblGrid>
        <w:gridCol w:w="421"/>
        <w:gridCol w:w="2126"/>
        <w:gridCol w:w="7087"/>
      </w:tblGrid>
      <w:tr w:rsidR="00F1588A" w:rsidRPr="00D318C4" w14:paraId="5DBAFC66" w14:textId="77777777" w:rsidTr="00F1588A">
        <w:tc>
          <w:tcPr>
            <w:tcW w:w="9634" w:type="dxa"/>
            <w:gridSpan w:val="3"/>
          </w:tcPr>
          <w:p w14:paraId="16809403" w14:textId="77777777" w:rsidR="00F1588A" w:rsidRPr="00D318C4" w:rsidRDefault="00F1588A" w:rsidP="00F1588A">
            <w:pPr>
              <w:jc w:val="center"/>
              <w:rPr>
                <w:sz w:val="25"/>
                <w:szCs w:val="25"/>
              </w:rPr>
            </w:pPr>
            <w:r w:rsidRPr="00D318C4">
              <w:rPr>
                <w:b/>
                <w:sz w:val="25"/>
                <w:szCs w:val="25"/>
              </w:rPr>
              <w:t xml:space="preserve">V. </w:t>
            </w:r>
            <w:r w:rsidRPr="00D318C4">
              <w:rPr>
                <w:b/>
                <w:color w:val="000000"/>
                <w:sz w:val="25"/>
                <w:szCs w:val="25"/>
              </w:rPr>
              <w:t>Tiesību akta projekta atbilstība Latvijas Republikas starptautiskajām saistībām</w:t>
            </w:r>
          </w:p>
        </w:tc>
      </w:tr>
      <w:tr w:rsidR="00F1588A" w:rsidRPr="00D318C4" w14:paraId="36765FE6" w14:textId="77777777" w:rsidTr="00F1588A">
        <w:tc>
          <w:tcPr>
            <w:tcW w:w="421" w:type="dxa"/>
          </w:tcPr>
          <w:p w14:paraId="6971AF91" w14:textId="77777777" w:rsidR="00F1588A" w:rsidRPr="00D318C4" w:rsidRDefault="00F1588A">
            <w:pPr>
              <w:rPr>
                <w:sz w:val="25"/>
                <w:szCs w:val="25"/>
              </w:rPr>
            </w:pPr>
            <w:r w:rsidRPr="00D318C4">
              <w:rPr>
                <w:sz w:val="25"/>
                <w:szCs w:val="25"/>
              </w:rPr>
              <w:t>1.</w:t>
            </w:r>
          </w:p>
        </w:tc>
        <w:tc>
          <w:tcPr>
            <w:tcW w:w="2126" w:type="dxa"/>
          </w:tcPr>
          <w:p w14:paraId="496937B3" w14:textId="77777777" w:rsidR="00F1588A" w:rsidRPr="00D318C4" w:rsidRDefault="00F1588A">
            <w:pPr>
              <w:rPr>
                <w:sz w:val="25"/>
                <w:szCs w:val="25"/>
              </w:rPr>
            </w:pPr>
            <w:r w:rsidRPr="00D318C4">
              <w:rPr>
                <w:color w:val="000000"/>
                <w:sz w:val="25"/>
                <w:szCs w:val="25"/>
              </w:rPr>
              <w:t>Saistības pret Eiropas Savienību</w:t>
            </w:r>
          </w:p>
        </w:tc>
        <w:tc>
          <w:tcPr>
            <w:tcW w:w="7087" w:type="dxa"/>
          </w:tcPr>
          <w:p w14:paraId="072EEEB0" w14:textId="77777777" w:rsidR="0076035E" w:rsidRPr="00D318C4" w:rsidRDefault="0076035E" w:rsidP="00B8614A">
            <w:pPr>
              <w:jc w:val="both"/>
              <w:rPr>
                <w:sz w:val="25"/>
                <w:szCs w:val="25"/>
              </w:rPr>
            </w:pPr>
            <w:r w:rsidRPr="00D318C4">
              <w:rPr>
                <w:sz w:val="25"/>
                <w:szCs w:val="25"/>
              </w:rPr>
              <w:t>Ar noteikumu projektu tiks ieviestas prasības no šādiem Eiropas Savienības tiesību aktiem:</w:t>
            </w:r>
          </w:p>
          <w:p w14:paraId="36E2EEDA" w14:textId="3DCC5B93" w:rsidR="0076035E" w:rsidRPr="00D318C4" w:rsidRDefault="0076035E" w:rsidP="00B8614A">
            <w:pPr>
              <w:pStyle w:val="ListParagraph"/>
              <w:numPr>
                <w:ilvl w:val="0"/>
                <w:numId w:val="11"/>
              </w:numPr>
              <w:jc w:val="both"/>
              <w:rPr>
                <w:sz w:val="25"/>
                <w:szCs w:val="25"/>
              </w:rPr>
            </w:pPr>
            <w:r w:rsidRPr="00D318C4">
              <w:rPr>
                <w:sz w:val="25"/>
                <w:szCs w:val="25"/>
              </w:rPr>
              <w:t xml:space="preserve">Eiropas </w:t>
            </w:r>
            <w:r w:rsidR="00416455" w:rsidRPr="00D318C4">
              <w:rPr>
                <w:sz w:val="25"/>
                <w:szCs w:val="25"/>
              </w:rPr>
              <w:t>Parlamenta un Padomes 2013.gada 17.</w:t>
            </w:r>
            <w:r w:rsidRPr="00D318C4">
              <w:rPr>
                <w:sz w:val="25"/>
                <w:szCs w:val="25"/>
              </w:rPr>
              <w:t>decembra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w:t>
            </w:r>
            <w:r w:rsidR="00B8614A" w:rsidRPr="00D318C4">
              <w:rPr>
                <w:sz w:val="25"/>
                <w:szCs w:val="25"/>
              </w:rPr>
              <w:t>omes Regulu (EK) Nr.1083/2006 (</w:t>
            </w:r>
            <w:r w:rsidR="00416455" w:rsidRPr="00D318C4">
              <w:rPr>
                <w:sz w:val="25"/>
                <w:szCs w:val="25"/>
              </w:rPr>
              <w:t>ES Oficiālais Vēstnesis, 2013.</w:t>
            </w:r>
            <w:r w:rsidRPr="00D318C4">
              <w:rPr>
                <w:sz w:val="25"/>
                <w:szCs w:val="25"/>
              </w:rPr>
              <w:t>gada 20.decembris, Nr. L347/320) (turpmāk – Eiropas Parlamenta un Padomes Regula Nr. 1303/2013);</w:t>
            </w:r>
          </w:p>
          <w:p w14:paraId="648AA8B0" w14:textId="5DD3AD45" w:rsidR="00F95DDA" w:rsidRPr="00D318C4" w:rsidRDefault="0076035E" w:rsidP="00840D43">
            <w:pPr>
              <w:pStyle w:val="ListParagraph"/>
              <w:numPr>
                <w:ilvl w:val="0"/>
                <w:numId w:val="11"/>
              </w:numPr>
              <w:jc w:val="both"/>
              <w:rPr>
                <w:sz w:val="25"/>
                <w:szCs w:val="25"/>
              </w:rPr>
            </w:pPr>
            <w:r w:rsidRPr="00D318C4">
              <w:rPr>
                <w:sz w:val="25"/>
                <w:szCs w:val="25"/>
              </w:rPr>
              <w:t>Direktīva 2012/27/ES</w:t>
            </w:r>
            <w:r w:rsidR="00840D43" w:rsidRPr="00D318C4">
              <w:rPr>
                <w:sz w:val="25"/>
                <w:szCs w:val="25"/>
              </w:rPr>
              <w:t>.</w:t>
            </w:r>
          </w:p>
        </w:tc>
      </w:tr>
      <w:tr w:rsidR="00F1588A" w:rsidRPr="00D318C4" w14:paraId="584C255E" w14:textId="77777777" w:rsidTr="00F1588A">
        <w:tc>
          <w:tcPr>
            <w:tcW w:w="421" w:type="dxa"/>
          </w:tcPr>
          <w:p w14:paraId="7649CCF9" w14:textId="29D74C98" w:rsidR="00F1588A" w:rsidRPr="00D318C4" w:rsidRDefault="0076035E">
            <w:pPr>
              <w:rPr>
                <w:sz w:val="25"/>
                <w:szCs w:val="25"/>
              </w:rPr>
            </w:pPr>
            <w:r w:rsidRPr="00D318C4">
              <w:rPr>
                <w:sz w:val="25"/>
                <w:szCs w:val="25"/>
              </w:rPr>
              <w:lastRenderedPageBreak/>
              <w:t>2.</w:t>
            </w:r>
          </w:p>
        </w:tc>
        <w:tc>
          <w:tcPr>
            <w:tcW w:w="2126" w:type="dxa"/>
          </w:tcPr>
          <w:p w14:paraId="0849652C" w14:textId="55BF601E" w:rsidR="00F1588A" w:rsidRPr="00D318C4" w:rsidRDefault="0076035E">
            <w:pPr>
              <w:rPr>
                <w:sz w:val="25"/>
                <w:szCs w:val="25"/>
              </w:rPr>
            </w:pPr>
            <w:r w:rsidRPr="00D318C4">
              <w:rPr>
                <w:color w:val="000000"/>
                <w:sz w:val="25"/>
                <w:szCs w:val="25"/>
              </w:rPr>
              <w:t>Citas starptautiskās saistības</w:t>
            </w:r>
          </w:p>
        </w:tc>
        <w:tc>
          <w:tcPr>
            <w:tcW w:w="7087" w:type="dxa"/>
          </w:tcPr>
          <w:p w14:paraId="02BAEE14" w14:textId="0559F0F2" w:rsidR="00F1588A" w:rsidRPr="00D318C4" w:rsidRDefault="0076035E">
            <w:pPr>
              <w:rPr>
                <w:sz w:val="25"/>
                <w:szCs w:val="25"/>
              </w:rPr>
            </w:pPr>
            <w:r w:rsidRPr="00D318C4">
              <w:rPr>
                <w:iCs/>
                <w:color w:val="000000"/>
                <w:sz w:val="25"/>
                <w:szCs w:val="25"/>
              </w:rPr>
              <w:t>MK noteikumu projekts šo jomu neskar</w:t>
            </w:r>
          </w:p>
        </w:tc>
      </w:tr>
      <w:tr w:rsidR="00F1588A" w:rsidRPr="00D318C4" w14:paraId="35D40484" w14:textId="77777777" w:rsidTr="00F1588A">
        <w:tc>
          <w:tcPr>
            <w:tcW w:w="421" w:type="dxa"/>
          </w:tcPr>
          <w:p w14:paraId="7C427884" w14:textId="43A23A10" w:rsidR="00F1588A" w:rsidRPr="00D318C4" w:rsidRDefault="0076035E">
            <w:pPr>
              <w:rPr>
                <w:sz w:val="25"/>
                <w:szCs w:val="25"/>
              </w:rPr>
            </w:pPr>
            <w:r w:rsidRPr="00D318C4">
              <w:rPr>
                <w:sz w:val="25"/>
                <w:szCs w:val="25"/>
              </w:rPr>
              <w:t>3.</w:t>
            </w:r>
          </w:p>
        </w:tc>
        <w:tc>
          <w:tcPr>
            <w:tcW w:w="2126" w:type="dxa"/>
          </w:tcPr>
          <w:p w14:paraId="1D1649FB" w14:textId="6B7C9CC8" w:rsidR="00F1588A" w:rsidRPr="00D318C4" w:rsidRDefault="0076035E">
            <w:pPr>
              <w:rPr>
                <w:sz w:val="25"/>
                <w:szCs w:val="25"/>
              </w:rPr>
            </w:pPr>
            <w:r w:rsidRPr="00D318C4">
              <w:rPr>
                <w:sz w:val="25"/>
                <w:szCs w:val="25"/>
              </w:rPr>
              <w:t>Cita informācija</w:t>
            </w:r>
          </w:p>
        </w:tc>
        <w:tc>
          <w:tcPr>
            <w:tcW w:w="7087" w:type="dxa"/>
          </w:tcPr>
          <w:p w14:paraId="7B20D68E" w14:textId="6966C35C" w:rsidR="00F1588A" w:rsidRPr="00D318C4" w:rsidRDefault="0076035E">
            <w:pPr>
              <w:rPr>
                <w:sz w:val="25"/>
                <w:szCs w:val="25"/>
              </w:rPr>
            </w:pPr>
            <w:r w:rsidRPr="00D318C4">
              <w:rPr>
                <w:sz w:val="25"/>
                <w:szCs w:val="25"/>
              </w:rPr>
              <w:t>Nav</w:t>
            </w:r>
          </w:p>
        </w:tc>
      </w:tr>
    </w:tbl>
    <w:p w14:paraId="321423AA" w14:textId="77777777" w:rsidR="00D318C4" w:rsidRDefault="00D318C4">
      <w:pPr>
        <w:rPr>
          <w:sz w:val="25"/>
          <w:szCs w:val="25"/>
        </w:rPr>
      </w:pPr>
    </w:p>
    <w:tbl>
      <w:tblPr>
        <w:tblStyle w:val="TableGrid"/>
        <w:tblW w:w="9634" w:type="dxa"/>
        <w:tblLayout w:type="fixed"/>
        <w:tblLook w:val="04A0" w:firstRow="1" w:lastRow="0" w:firstColumn="1" w:lastColumn="0" w:noHBand="0" w:noVBand="1"/>
      </w:tblPr>
      <w:tblGrid>
        <w:gridCol w:w="2122"/>
        <w:gridCol w:w="2268"/>
        <w:gridCol w:w="2551"/>
        <w:gridCol w:w="2693"/>
      </w:tblGrid>
      <w:tr w:rsidR="00755A80" w:rsidRPr="00D318C4" w14:paraId="643652A4" w14:textId="77777777" w:rsidTr="00A15CD1">
        <w:tc>
          <w:tcPr>
            <w:tcW w:w="9634" w:type="dxa"/>
            <w:gridSpan w:val="4"/>
          </w:tcPr>
          <w:p w14:paraId="524BBF72" w14:textId="41F0CE9D" w:rsidR="003A14EF" w:rsidRPr="00D318C4" w:rsidRDefault="003A14EF" w:rsidP="00755A80">
            <w:pPr>
              <w:jc w:val="center"/>
              <w:rPr>
                <w:b/>
                <w:color w:val="000000"/>
                <w:sz w:val="25"/>
                <w:szCs w:val="25"/>
                <w:lang w:eastAsia="en-US"/>
              </w:rPr>
            </w:pPr>
            <w:r w:rsidRPr="00D318C4">
              <w:rPr>
                <w:b/>
                <w:color w:val="000000"/>
                <w:sz w:val="25"/>
                <w:szCs w:val="25"/>
                <w:lang w:eastAsia="en-US"/>
              </w:rPr>
              <w:t>1.tabula</w:t>
            </w:r>
          </w:p>
          <w:p w14:paraId="387E66B0" w14:textId="3EFC53D4" w:rsidR="00755A80" w:rsidRPr="00D318C4" w:rsidRDefault="00755A80" w:rsidP="00755A80">
            <w:pPr>
              <w:jc w:val="center"/>
              <w:rPr>
                <w:sz w:val="25"/>
                <w:szCs w:val="25"/>
              </w:rPr>
            </w:pPr>
            <w:r w:rsidRPr="00D318C4">
              <w:rPr>
                <w:b/>
                <w:color w:val="000000"/>
                <w:sz w:val="25"/>
                <w:szCs w:val="25"/>
                <w:lang w:eastAsia="en-US"/>
              </w:rPr>
              <w:t>Tiesību akta projekta atbilstība ES tiesību aktiem</w:t>
            </w:r>
          </w:p>
        </w:tc>
      </w:tr>
      <w:tr w:rsidR="00755A80" w:rsidRPr="00D318C4" w14:paraId="5283518A" w14:textId="77777777" w:rsidTr="00D318C4">
        <w:tc>
          <w:tcPr>
            <w:tcW w:w="2122" w:type="dxa"/>
          </w:tcPr>
          <w:p w14:paraId="130D3C37" w14:textId="3F2CE039" w:rsidR="00755A80" w:rsidRPr="00D318C4" w:rsidRDefault="00755A80">
            <w:pPr>
              <w:rPr>
                <w:sz w:val="25"/>
                <w:szCs w:val="25"/>
              </w:rPr>
            </w:pPr>
            <w:r w:rsidRPr="00D318C4">
              <w:rPr>
                <w:color w:val="000000"/>
                <w:sz w:val="25"/>
                <w:szCs w:val="25"/>
              </w:rPr>
              <w:t>Attiecīgā ES tiesību akta datums, numurs un nosaukums</w:t>
            </w:r>
          </w:p>
        </w:tc>
        <w:tc>
          <w:tcPr>
            <w:tcW w:w="7512" w:type="dxa"/>
            <w:gridSpan w:val="3"/>
          </w:tcPr>
          <w:p w14:paraId="3B17884A" w14:textId="77777777" w:rsidR="00755A80" w:rsidRPr="00D318C4" w:rsidRDefault="00755A80" w:rsidP="00755A80">
            <w:pPr>
              <w:rPr>
                <w:sz w:val="25"/>
                <w:szCs w:val="25"/>
              </w:rPr>
            </w:pPr>
            <w:r w:rsidRPr="00D318C4">
              <w:rPr>
                <w:sz w:val="25"/>
                <w:szCs w:val="25"/>
              </w:rPr>
              <w:t xml:space="preserve">Ar normatīvo aktu tiek ieviestas šāda Eiropas Savienības tiesību akta prasības: </w:t>
            </w:r>
          </w:p>
          <w:p w14:paraId="5A8DEFBB" w14:textId="77777777" w:rsidR="00755A80" w:rsidRPr="00D318C4" w:rsidRDefault="00755A80" w:rsidP="00840D43">
            <w:pPr>
              <w:pStyle w:val="ListParagraph"/>
              <w:numPr>
                <w:ilvl w:val="0"/>
                <w:numId w:val="14"/>
              </w:numPr>
              <w:rPr>
                <w:sz w:val="25"/>
                <w:szCs w:val="25"/>
              </w:rPr>
            </w:pPr>
            <w:r w:rsidRPr="00D318C4">
              <w:rPr>
                <w:sz w:val="25"/>
                <w:szCs w:val="25"/>
              </w:rPr>
              <w:t>Eiropas Parlamenta un Padomes Regula Nr.1303/2013;</w:t>
            </w:r>
          </w:p>
          <w:p w14:paraId="0CFFF5BF" w14:textId="3AF321F8" w:rsidR="00755A80" w:rsidRPr="00D318C4" w:rsidRDefault="00755A80" w:rsidP="00840D43">
            <w:pPr>
              <w:pStyle w:val="ListParagraph"/>
              <w:numPr>
                <w:ilvl w:val="0"/>
                <w:numId w:val="14"/>
              </w:numPr>
              <w:rPr>
                <w:sz w:val="25"/>
                <w:szCs w:val="25"/>
              </w:rPr>
            </w:pPr>
            <w:r w:rsidRPr="00D318C4">
              <w:rPr>
                <w:sz w:val="25"/>
                <w:szCs w:val="25"/>
              </w:rPr>
              <w:t>Direktīva 2012/27/ES.</w:t>
            </w:r>
          </w:p>
        </w:tc>
      </w:tr>
      <w:tr w:rsidR="00755A80" w:rsidRPr="00D318C4" w14:paraId="0B5ACA82" w14:textId="77777777" w:rsidTr="00D318C4">
        <w:tc>
          <w:tcPr>
            <w:tcW w:w="2122" w:type="dxa"/>
          </w:tcPr>
          <w:p w14:paraId="12DBFAF8" w14:textId="38E613B5" w:rsidR="00755A80" w:rsidRPr="00D318C4" w:rsidRDefault="00755A80" w:rsidP="00755A80">
            <w:pPr>
              <w:jc w:val="center"/>
              <w:rPr>
                <w:sz w:val="25"/>
                <w:szCs w:val="25"/>
              </w:rPr>
            </w:pPr>
            <w:r w:rsidRPr="00D318C4">
              <w:rPr>
                <w:color w:val="000000"/>
                <w:sz w:val="25"/>
                <w:szCs w:val="25"/>
              </w:rPr>
              <w:t>A</w:t>
            </w:r>
          </w:p>
        </w:tc>
        <w:tc>
          <w:tcPr>
            <w:tcW w:w="2268" w:type="dxa"/>
          </w:tcPr>
          <w:p w14:paraId="1C37BBC9" w14:textId="6D8EEC21" w:rsidR="00755A80" w:rsidRPr="00D318C4" w:rsidRDefault="00755A80" w:rsidP="00755A80">
            <w:pPr>
              <w:jc w:val="center"/>
              <w:rPr>
                <w:sz w:val="25"/>
                <w:szCs w:val="25"/>
              </w:rPr>
            </w:pPr>
            <w:r w:rsidRPr="00D318C4">
              <w:rPr>
                <w:color w:val="000000"/>
                <w:sz w:val="25"/>
                <w:szCs w:val="25"/>
              </w:rPr>
              <w:t>B</w:t>
            </w:r>
          </w:p>
        </w:tc>
        <w:tc>
          <w:tcPr>
            <w:tcW w:w="2551" w:type="dxa"/>
          </w:tcPr>
          <w:p w14:paraId="212BD0A2" w14:textId="1F05A4FA" w:rsidR="00755A80" w:rsidRPr="00D318C4" w:rsidRDefault="00755A80" w:rsidP="00755A80">
            <w:pPr>
              <w:jc w:val="center"/>
              <w:rPr>
                <w:sz w:val="25"/>
                <w:szCs w:val="25"/>
              </w:rPr>
            </w:pPr>
            <w:r w:rsidRPr="00D318C4">
              <w:rPr>
                <w:color w:val="000000"/>
                <w:sz w:val="25"/>
                <w:szCs w:val="25"/>
              </w:rPr>
              <w:t>C</w:t>
            </w:r>
          </w:p>
        </w:tc>
        <w:tc>
          <w:tcPr>
            <w:tcW w:w="2693" w:type="dxa"/>
          </w:tcPr>
          <w:p w14:paraId="28EF9CB0" w14:textId="3696CF61" w:rsidR="00755A80" w:rsidRPr="00D318C4" w:rsidRDefault="00755A80" w:rsidP="00755A80">
            <w:pPr>
              <w:jc w:val="center"/>
              <w:rPr>
                <w:sz w:val="25"/>
                <w:szCs w:val="25"/>
              </w:rPr>
            </w:pPr>
            <w:r w:rsidRPr="00D318C4">
              <w:rPr>
                <w:color w:val="000000"/>
                <w:sz w:val="25"/>
                <w:szCs w:val="25"/>
              </w:rPr>
              <w:t>D</w:t>
            </w:r>
          </w:p>
        </w:tc>
      </w:tr>
      <w:tr w:rsidR="00755A80" w:rsidRPr="00D318C4" w14:paraId="2C63C678" w14:textId="77777777" w:rsidTr="00D318C4">
        <w:tc>
          <w:tcPr>
            <w:tcW w:w="2122" w:type="dxa"/>
          </w:tcPr>
          <w:p w14:paraId="14B2DDE8" w14:textId="3DC6DABB" w:rsidR="00755A80" w:rsidRPr="00D318C4" w:rsidRDefault="00755A80" w:rsidP="00170FBF">
            <w:pPr>
              <w:jc w:val="both"/>
              <w:rPr>
                <w:sz w:val="25"/>
                <w:szCs w:val="25"/>
              </w:rPr>
            </w:pPr>
            <w:r w:rsidRPr="00D318C4">
              <w:rPr>
                <w:color w:val="000000"/>
                <w:sz w:val="25"/>
                <w:szCs w:val="25"/>
              </w:rPr>
              <w:t xml:space="preserve">Attiecīgā ES tiesību akta panta numurs (uzskaitot katru tiesību akta </w:t>
            </w:r>
            <w:r w:rsidRPr="00D318C4">
              <w:rPr>
                <w:color w:val="000000"/>
                <w:sz w:val="25"/>
                <w:szCs w:val="25"/>
              </w:rPr>
              <w:br/>
              <w:t>vienību – pantu, daļu, punktu, apakšpunktu)</w:t>
            </w:r>
            <w:r w:rsidR="00170FBF" w:rsidRPr="00D318C4">
              <w:rPr>
                <w:color w:val="000000"/>
                <w:sz w:val="25"/>
                <w:szCs w:val="25"/>
              </w:rPr>
              <w:t>.</w:t>
            </w:r>
          </w:p>
        </w:tc>
        <w:tc>
          <w:tcPr>
            <w:tcW w:w="2268" w:type="dxa"/>
          </w:tcPr>
          <w:p w14:paraId="2CF7BD76" w14:textId="10C21C57" w:rsidR="00755A80" w:rsidRPr="00D318C4" w:rsidRDefault="00755A80" w:rsidP="00170FBF">
            <w:pPr>
              <w:jc w:val="both"/>
              <w:rPr>
                <w:sz w:val="25"/>
                <w:szCs w:val="25"/>
              </w:rPr>
            </w:pPr>
            <w:r w:rsidRPr="00D318C4">
              <w:rPr>
                <w:color w:val="000000"/>
                <w:sz w:val="25"/>
                <w:szCs w:val="25"/>
              </w:rPr>
              <w:t>Projekta vienība, kas pārņem vai ievieš katru šīs tabulas A ailē minēto ES tiesību akta vienību, vai tiesību akts, kur attiecīgā ES tiesību akta vienība pārņemta vai ieviesta</w:t>
            </w:r>
            <w:r w:rsidR="00170FBF" w:rsidRPr="00D318C4">
              <w:rPr>
                <w:color w:val="000000"/>
                <w:sz w:val="25"/>
                <w:szCs w:val="25"/>
              </w:rPr>
              <w:t>.</w:t>
            </w:r>
          </w:p>
        </w:tc>
        <w:tc>
          <w:tcPr>
            <w:tcW w:w="2551" w:type="dxa"/>
          </w:tcPr>
          <w:p w14:paraId="11F4C16A" w14:textId="77777777" w:rsidR="00755A80" w:rsidRPr="00D318C4" w:rsidRDefault="00755A80" w:rsidP="00170FBF">
            <w:pPr>
              <w:jc w:val="both"/>
              <w:rPr>
                <w:color w:val="000000"/>
                <w:sz w:val="25"/>
                <w:szCs w:val="25"/>
              </w:rPr>
            </w:pPr>
            <w:r w:rsidRPr="00D318C4">
              <w:rPr>
                <w:color w:val="000000"/>
                <w:sz w:val="25"/>
                <w:szCs w:val="25"/>
              </w:rPr>
              <w:t>Informācija par to, vai šīs tabulas A ailē minētās ES tiesību akta vienības tiek pārņemtas vai ieviestas pilnībā vai daļēji.</w:t>
            </w:r>
          </w:p>
          <w:p w14:paraId="75ACBBAC" w14:textId="38F8723A" w:rsidR="00755A80" w:rsidRPr="00D318C4" w:rsidRDefault="00755A80" w:rsidP="00170FBF">
            <w:pPr>
              <w:jc w:val="both"/>
              <w:rPr>
                <w:color w:val="000000"/>
                <w:sz w:val="25"/>
                <w:szCs w:val="25"/>
              </w:rPr>
            </w:pPr>
            <w:r w:rsidRPr="00D318C4">
              <w:rPr>
                <w:color w:val="000000"/>
                <w:sz w:val="25"/>
                <w:szCs w:val="25"/>
              </w:rPr>
              <w:t>Ja attiecīgā ES tiesību akta vienība tiek pārņemta vai ieviesta daļēji, sniedz attiecīgu skaidrojumu, kā arī precīzi norāda, kad un kādā veidā ES tiesību akta vienība tiks pārņemta vai ieviesta pilnībā.</w:t>
            </w:r>
          </w:p>
          <w:p w14:paraId="372C29D7" w14:textId="01C5F85F" w:rsidR="00755A80" w:rsidRPr="00D318C4" w:rsidRDefault="00755A80" w:rsidP="00170FBF">
            <w:pPr>
              <w:jc w:val="both"/>
              <w:rPr>
                <w:sz w:val="25"/>
                <w:szCs w:val="25"/>
              </w:rPr>
            </w:pPr>
            <w:r w:rsidRPr="00D318C4">
              <w:rPr>
                <w:color w:val="000000"/>
                <w:sz w:val="25"/>
                <w:szCs w:val="25"/>
              </w:rPr>
              <w:t>Norāda institūciju, kas ir atbildīga par šo saistību izpildi pilnībā</w:t>
            </w:r>
            <w:r w:rsidR="00170FBF" w:rsidRPr="00D318C4">
              <w:rPr>
                <w:color w:val="000000"/>
                <w:sz w:val="25"/>
                <w:szCs w:val="25"/>
              </w:rPr>
              <w:t>.</w:t>
            </w:r>
          </w:p>
        </w:tc>
        <w:tc>
          <w:tcPr>
            <w:tcW w:w="2693" w:type="dxa"/>
          </w:tcPr>
          <w:p w14:paraId="1DFE53B7" w14:textId="77777777" w:rsidR="00755A80" w:rsidRPr="00D318C4" w:rsidRDefault="00755A80" w:rsidP="00170FBF">
            <w:pPr>
              <w:jc w:val="both"/>
              <w:rPr>
                <w:color w:val="000000"/>
                <w:sz w:val="25"/>
                <w:szCs w:val="25"/>
              </w:rPr>
            </w:pPr>
            <w:r w:rsidRPr="00D318C4">
              <w:rPr>
                <w:color w:val="000000"/>
                <w:sz w:val="25"/>
                <w:szCs w:val="25"/>
              </w:rPr>
              <w:t>Informācija par to, vai šīs tabulas B ailē minētās projekta vienības paredz stingrākas prasības nekā šīs tabulas A ailē minētās ES tiesību akta vienības.</w:t>
            </w:r>
          </w:p>
          <w:p w14:paraId="40DE5857" w14:textId="5A20F794" w:rsidR="00755A80" w:rsidRPr="00D318C4" w:rsidRDefault="00755A80" w:rsidP="00170FBF">
            <w:pPr>
              <w:jc w:val="both"/>
              <w:rPr>
                <w:color w:val="000000"/>
                <w:sz w:val="25"/>
                <w:szCs w:val="25"/>
              </w:rPr>
            </w:pPr>
            <w:r w:rsidRPr="00D318C4">
              <w:rPr>
                <w:color w:val="000000"/>
                <w:sz w:val="25"/>
                <w:szCs w:val="25"/>
              </w:rPr>
              <w:t>Ja projekts satur stingrākas prasības ne</w:t>
            </w:r>
            <w:r w:rsidR="00170FBF" w:rsidRPr="00D318C4">
              <w:rPr>
                <w:color w:val="000000"/>
                <w:sz w:val="25"/>
                <w:szCs w:val="25"/>
              </w:rPr>
              <w:t xml:space="preserve">kā attiecīgais ES tiesību akts, </w:t>
            </w:r>
            <w:r w:rsidRPr="00D318C4">
              <w:rPr>
                <w:color w:val="000000"/>
                <w:sz w:val="25"/>
                <w:szCs w:val="25"/>
              </w:rPr>
              <w:t>norāda pamatojumu un samērīgumu.</w:t>
            </w:r>
          </w:p>
          <w:p w14:paraId="344DEC02" w14:textId="22D601EC" w:rsidR="00755A80" w:rsidRPr="00D318C4" w:rsidRDefault="00755A80" w:rsidP="00170FBF">
            <w:pPr>
              <w:jc w:val="both"/>
              <w:rPr>
                <w:sz w:val="25"/>
                <w:szCs w:val="25"/>
              </w:rPr>
            </w:pPr>
            <w:r w:rsidRPr="00D318C4">
              <w:rPr>
                <w:color w:val="000000"/>
                <w:sz w:val="25"/>
                <w:szCs w:val="25"/>
              </w:rPr>
              <w:t>Norāda iespējamās alternatīvas (t.sk. alternatīvas, kas neparedz tiesiskā regulējuma izstrādi) – kādos gadījumos būtu iespējams izvairīties no stingrāku prasību noteikšanas, nekā paredzēts attiecīgajos ES tiesību aktos</w:t>
            </w:r>
            <w:r w:rsidR="00170FBF" w:rsidRPr="00D318C4">
              <w:rPr>
                <w:color w:val="000000"/>
                <w:sz w:val="25"/>
                <w:szCs w:val="25"/>
              </w:rPr>
              <w:t>.</w:t>
            </w:r>
          </w:p>
        </w:tc>
      </w:tr>
      <w:tr w:rsidR="00755A80" w:rsidRPr="00D318C4" w14:paraId="146C8733" w14:textId="77777777" w:rsidTr="00D318C4">
        <w:tc>
          <w:tcPr>
            <w:tcW w:w="2122" w:type="dxa"/>
          </w:tcPr>
          <w:p w14:paraId="11F92F55" w14:textId="573BFD53" w:rsidR="00755A80" w:rsidRPr="00D318C4" w:rsidRDefault="00755A80" w:rsidP="00755A80">
            <w:pPr>
              <w:rPr>
                <w:i/>
                <w:sz w:val="25"/>
                <w:szCs w:val="25"/>
              </w:rPr>
            </w:pPr>
            <w:r w:rsidRPr="00D318C4">
              <w:rPr>
                <w:i/>
                <w:color w:val="000000"/>
                <w:sz w:val="25"/>
                <w:szCs w:val="25"/>
              </w:rPr>
              <w:t>Eiropas Parlamenta un Padomes Regula Nr. 1303/2013</w:t>
            </w:r>
          </w:p>
        </w:tc>
        <w:tc>
          <w:tcPr>
            <w:tcW w:w="2268" w:type="dxa"/>
          </w:tcPr>
          <w:p w14:paraId="1F997E7D" w14:textId="1CAB2422" w:rsidR="00755A80" w:rsidRPr="00D318C4" w:rsidRDefault="00755A80" w:rsidP="00D46A3D">
            <w:pPr>
              <w:rPr>
                <w:i/>
                <w:sz w:val="25"/>
                <w:szCs w:val="25"/>
              </w:rPr>
            </w:pPr>
            <w:r w:rsidRPr="00D318C4">
              <w:rPr>
                <w:i/>
                <w:iCs/>
                <w:color w:val="000000"/>
                <w:sz w:val="25"/>
                <w:szCs w:val="25"/>
                <w:lang w:eastAsia="en-US"/>
              </w:rPr>
              <w:t xml:space="preserve">Noteikumu projekta </w:t>
            </w:r>
            <w:r w:rsidR="00D46A3D" w:rsidRPr="00D318C4">
              <w:rPr>
                <w:i/>
                <w:iCs/>
                <w:color w:val="000000"/>
                <w:sz w:val="25"/>
                <w:szCs w:val="25"/>
                <w:lang w:eastAsia="en-US"/>
              </w:rPr>
              <w:t>36.1. apakš</w:t>
            </w:r>
            <w:r w:rsidRPr="00D318C4">
              <w:rPr>
                <w:i/>
                <w:iCs/>
                <w:color w:val="000000"/>
                <w:sz w:val="25"/>
                <w:szCs w:val="25"/>
                <w:lang w:eastAsia="en-US"/>
              </w:rPr>
              <w:t>punkts</w:t>
            </w:r>
          </w:p>
        </w:tc>
        <w:tc>
          <w:tcPr>
            <w:tcW w:w="2551" w:type="dxa"/>
          </w:tcPr>
          <w:p w14:paraId="57A0C00A" w14:textId="54C4F43D" w:rsidR="00755A80" w:rsidRPr="00D318C4" w:rsidRDefault="00D46A3D" w:rsidP="00755A80">
            <w:pPr>
              <w:rPr>
                <w:i/>
                <w:iCs/>
                <w:color w:val="000000"/>
                <w:sz w:val="25"/>
                <w:szCs w:val="25"/>
              </w:rPr>
            </w:pPr>
            <w:r w:rsidRPr="00D318C4">
              <w:rPr>
                <w:i/>
                <w:iCs/>
                <w:color w:val="000000"/>
                <w:sz w:val="25"/>
                <w:szCs w:val="25"/>
              </w:rPr>
              <w:t>Ieviests pilnībā</w:t>
            </w:r>
          </w:p>
          <w:p w14:paraId="5E963423" w14:textId="397E5DBF" w:rsidR="00755A80" w:rsidRPr="00D318C4" w:rsidRDefault="00755A80" w:rsidP="00755A80">
            <w:pPr>
              <w:rPr>
                <w:i/>
                <w:sz w:val="25"/>
                <w:szCs w:val="25"/>
              </w:rPr>
            </w:pPr>
          </w:p>
        </w:tc>
        <w:tc>
          <w:tcPr>
            <w:tcW w:w="2693" w:type="dxa"/>
          </w:tcPr>
          <w:p w14:paraId="435AFB6E" w14:textId="7825B6F1" w:rsidR="00755A80" w:rsidRPr="00D318C4" w:rsidRDefault="00321D42" w:rsidP="00755A80">
            <w:pPr>
              <w:rPr>
                <w:i/>
                <w:sz w:val="25"/>
                <w:szCs w:val="25"/>
              </w:rPr>
            </w:pPr>
            <w:r w:rsidRPr="00D318C4">
              <w:rPr>
                <w:i/>
                <w:iCs/>
                <w:color w:val="000000"/>
                <w:sz w:val="25"/>
                <w:szCs w:val="25"/>
              </w:rPr>
              <w:t>Neparedz</w:t>
            </w:r>
            <w:r w:rsidR="00755A80" w:rsidRPr="00D318C4">
              <w:rPr>
                <w:i/>
                <w:iCs/>
                <w:color w:val="000000"/>
                <w:sz w:val="25"/>
                <w:szCs w:val="25"/>
              </w:rPr>
              <w:t xml:space="preserve"> s</w:t>
            </w:r>
            <w:r w:rsidRPr="00D318C4">
              <w:rPr>
                <w:i/>
                <w:iCs/>
                <w:color w:val="000000"/>
                <w:sz w:val="25"/>
                <w:szCs w:val="25"/>
              </w:rPr>
              <w:t>tingrākas prasības</w:t>
            </w:r>
          </w:p>
        </w:tc>
      </w:tr>
      <w:tr w:rsidR="006D37A9" w:rsidRPr="00D318C4" w14:paraId="3C451F1A" w14:textId="77777777" w:rsidTr="00D318C4">
        <w:tc>
          <w:tcPr>
            <w:tcW w:w="2122" w:type="dxa"/>
          </w:tcPr>
          <w:p w14:paraId="5CC1C524" w14:textId="21D5B77E" w:rsidR="006D37A9" w:rsidRPr="00D318C4" w:rsidRDefault="006D37A9" w:rsidP="006D37A9">
            <w:pPr>
              <w:rPr>
                <w:bCs/>
                <w:i/>
                <w:sz w:val="25"/>
                <w:szCs w:val="25"/>
              </w:rPr>
            </w:pPr>
            <w:r w:rsidRPr="00D318C4">
              <w:rPr>
                <w:bCs/>
                <w:i/>
                <w:sz w:val="25"/>
                <w:szCs w:val="25"/>
              </w:rPr>
              <w:t>Direktīvas 2012/27/ES 5.panta 2.punkts</w:t>
            </w:r>
          </w:p>
          <w:p w14:paraId="0C5C01DA" w14:textId="594C3CB5" w:rsidR="006D37A9" w:rsidRPr="00D318C4" w:rsidRDefault="006D37A9" w:rsidP="006D37A9">
            <w:pPr>
              <w:rPr>
                <w:i/>
                <w:color w:val="000000"/>
                <w:sz w:val="25"/>
                <w:szCs w:val="25"/>
              </w:rPr>
            </w:pPr>
          </w:p>
        </w:tc>
        <w:tc>
          <w:tcPr>
            <w:tcW w:w="2268" w:type="dxa"/>
          </w:tcPr>
          <w:p w14:paraId="079B6DE1" w14:textId="77777777" w:rsidR="006D37A9" w:rsidRPr="00D318C4" w:rsidRDefault="006D37A9" w:rsidP="006D37A9">
            <w:pPr>
              <w:rPr>
                <w:i/>
                <w:iCs/>
                <w:color w:val="000000"/>
                <w:sz w:val="25"/>
                <w:szCs w:val="25"/>
                <w:lang w:eastAsia="en-US"/>
              </w:rPr>
            </w:pPr>
            <w:r w:rsidRPr="00D318C4">
              <w:rPr>
                <w:i/>
                <w:iCs/>
                <w:color w:val="000000"/>
                <w:sz w:val="25"/>
                <w:szCs w:val="25"/>
                <w:lang w:eastAsia="en-US"/>
              </w:rPr>
              <w:t>Noteikumu projekta</w:t>
            </w:r>
          </w:p>
          <w:p w14:paraId="40BFC4F6" w14:textId="3BEF845B" w:rsidR="006D37A9" w:rsidRPr="00D318C4" w:rsidRDefault="006D37A9" w:rsidP="006D37A9">
            <w:pPr>
              <w:rPr>
                <w:i/>
                <w:iCs/>
                <w:color w:val="000000"/>
                <w:sz w:val="25"/>
                <w:szCs w:val="25"/>
                <w:lang w:eastAsia="en-US"/>
              </w:rPr>
            </w:pPr>
            <w:r w:rsidRPr="00D318C4">
              <w:rPr>
                <w:i/>
                <w:iCs/>
                <w:color w:val="000000"/>
                <w:sz w:val="25"/>
                <w:szCs w:val="25"/>
                <w:lang w:eastAsia="en-US"/>
              </w:rPr>
              <w:t>1</w:t>
            </w:r>
            <w:r w:rsidR="003E6707" w:rsidRPr="00D318C4">
              <w:rPr>
                <w:i/>
                <w:iCs/>
                <w:color w:val="000000"/>
                <w:sz w:val="25"/>
                <w:szCs w:val="25"/>
                <w:lang w:eastAsia="en-US"/>
              </w:rPr>
              <w:t>6</w:t>
            </w:r>
            <w:r w:rsidRPr="00D318C4">
              <w:rPr>
                <w:i/>
                <w:iCs/>
                <w:color w:val="000000"/>
                <w:sz w:val="25"/>
                <w:szCs w:val="25"/>
                <w:lang w:eastAsia="en-US"/>
              </w:rPr>
              <w:t>.</w:t>
            </w:r>
            <w:r w:rsidR="003E6707" w:rsidRPr="00D318C4">
              <w:rPr>
                <w:i/>
                <w:iCs/>
                <w:color w:val="000000"/>
                <w:sz w:val="25"/>
                <w:szCs w:val="25"/>
                <w:lang w:eastAsia="en-US"/>
              </w:rPr>
              <w:t>3. apakš</w:t>
            </w:r>
            <w:r w:rsidRPr="00D318C4">
              <w:rPr>
                <w:i/>
                <w:iCs/>
                <w:color w:val="000000"/>
                <w:sz w:val="25"/>
                <w:szCs w:val="25"/>
                <w:lang w:eastAsia="en-US"/>
              </w:rPr>
              <w:t xml:space="preserve">punkts </w:t>
            </w:r>
          </w:p>
        </w:tc>
        <w:tc>
          <w:tcPr>
            <w:tcW w:w="2551" w:type="dxa"/>
          </w:tcPr>
          <w:p w14:paraId="3CC5F15C" w14:textId="6C95EDB0" w:rsidR="006D37A9" w:rsidRPr="00D318C4" w:rsidRDefault="008C7343" w:rsidP="006D37A9">
            <w:pPr>
              <w:rPr>
                <w:i/>
                <w:iCs/>
                <w:color w:val="000000"/>
                <w:sz w:val="25"/>
                <w:szCs w:val="25"/>
              </w:rPr>
            </w:pPr>
            <w:r w:rsidRPr="00D318C4">
              <w:rPr>
                <w:i/>
                <w:iCs/>
                <w:color w:val="000000"/>
                <w:sz w:val="25"/>
                <w:szCs w:val="25"/>
              </w:rPr>
              <w:t xml:space="preserve">Pārņemts </w:t>
            </w:r>
            <w:r w:rsidR="006D37A9" w:rsidRPr="00D318C4">
              <w:rPr>
                <w:i/>
                <w:iCs/>
                <w:color w:val="000000"/>
                <w:sz w:val="25"/>
                <w:szCs w:val="25"/>
              </w:rPr>
              <w:t>pilnībā</w:t>
            </w:r>
          </w:p>
          <w:p w14:paraId="10C93309" w14:textId="6EB57DA2" w:rsidR="006D37A9" w:rsidRPr="00D318C4" w:rsidRDefault="006D37A9" w:rsidP="006D37A9">
            <w:pPr>
              <w:rPr>
                <w:i/>
                <w:iCs/>
                <w:color w:val="000000"/>
                <w:sz w:val="25"/>
                <w:szCs w:val="25"/>
              </w:rPr>
            </w:pPr>
            <w:r w:rsidRPr="00D318C4">
              <w:rPr>
                <w:i/>
                <w:iCs/>
                <w:color w:val="000000"/>
                <w:sz w:val="25"/>
                <w:szCs w:val="25"/>
              </w:rPr>
              <w:t xml:space="preserve">Pārņemts ar MK 2013.gada 2.decembra rīkojuma             Nr. 587 (prot. Nr. 63 52.§) Par Koncepciju par Direktīvas </w:t>
            </w:r>
            <w:r w:rsidRPr="00D318C4">
              <w:rPr>
                <w:i/>
                <w:iCs/>
                <w:color w:val="000000"/>
                <w:sz w:val="25"/>
                <w:szCs w:val="25"/>
              </w:rPr>
              <w:lastRenderedPageBreak/>
              <w:t>2012/27/ES prasību pārņemšanu normatīvajos aktos</w:t>
            </w:r>
          </w:p>
          <w:p w14:paraId="17F3F71F" w14:textId="2CB64876" w:rsidR="006D37A9" w:rsidRPr="00D318C4" w:rsidRDefault="006D37A9" w:rsidP="006D37A9">
            <w:pPr>
              <w:rPr>
                <w:i/>
                <w:iCs/>
                <w:color w:val="000000"/>
                <w:sz w:val="25"/>
                <w:szCs w:val="25"/>
              </w:rPr>
            </w:pPr>
            <w:r w:rsidRPr="00D318C4">
              <w:rPr>
                <w:i/>
                <w:iCs/>
                <w:color w:val="000000"/>
                <w:sz w:val="25"/>
                <w:szCs w:val="25"/>
              </w:rPr>
              <w:t>1.1.punktu un 4.punktu. Prasības piemērotas, izveidojot sarakstu “Valsts institūciju īpašumā, valdījumā un lietošanā esošo ēku ar kopējo platību virs 250 m</w:t>
            </w:r>
            <w:r w:rsidRPr="00D318C4">
              <w:rPr>
                <w:i/>
                <w:iCs/>
                <w:color w:val="000000"/>
                <w:sz w:val="25"/>
                <w:szCs w:val="25"/>
                <w:vertAlign w:val="superscript"/>
              </w:rPr>
              <w:t>2</w:t>
            </w:r>
            <w:r w:rsidRPr="00D318C4">
              <w:rPr>
                <w:i/>
                <w:iCs/>
                <w:color w:val="000000"/>
                <w:sz w:val="25"/>
                <w:szCs w:val="25"/>
              </w:rPr>
              <w:t xml:space="preserve"> uz 09.07.2015. saskaņā ar Eiropas Parlamenta un Padomes Direktīvas 2010/27/ES par energoefektivitāti 5.panta 5.punktu”</w:t>
            </w:r>
          </w:p>
        </w:tc>
        <w:tc>
          <w:tcPr>
            <w:tcW w:w="2693" w:type="dxa"/>
          </w:tcPr>
          <w:p w14:paraId="055C2D5E" w14:textId="2E1ECB0D" w:rsidR="006D37A9" w:rsidRPr="00D318C4" w:rsidRDefault="006D37A9" w:rsidP="006D37A9">
            <w:pPr>
              <w:rPr>
                <w:i/>
                <w:iCs/>
                <w:color w:val="000000"/>
                <w:sz w:val="25"/>
                <w:szCs w:val="25"/>
              </w:rPr>
            </w:pPr>
            <w:r w:rsidRPr="00D318C4">
              <w:rPr>
                <w:i/>
                <w:iCs/>
                <w:color w:val="000000"/>
                <w:sz w:val="25"/>
                <w:szCs w:val="25"/>
              </w:rPr>
              <w:lastRenderedPageBreak/>
              <w:t>Neparedz stingrākas prasības</w:t>
            </w:r>
          </w:p>
        </w:tc>
      </w:tr>
      <w:tr w:rsidR="006D37A9" w:rsidRPr="00D318C4" w14:paraId="035E7FCF" w14:textId="77777777" w:rsidTr="00D318C4">
        <w:tc>
          <w:tcPr>
            <w:tcW w:w="2122" w:type="dxa"/>
          </w:tcPr>
          <w:p w14:paraId="6E608291" w14:textId="32F276BB" w:rsidR="006D37A9" w:rsidRPr="00D318C4" w:rsidRDefault="006D37A9" w:rsidP="006D37A9">
            <w:pPr>
              <w:rPr>
                <w:bCs/>
                <w:i/>
                <w:sz w:val="25"/>
                <w:szCs w:val="25"/>
              </w:rPr>
            </w:pPr>
            <w:r w:rsidRPr="00D318C4">
              <w:rPr>
                <w:bCs/>
                <w:i/>
                <w:sz w:val="25"/>
                <w:szCs w:val="25"/>
              </w:rPr>
              <w:t>Direktīvas 2012/27/ES 5.panta 3.punkts</w:t>
            </w:r>
          </w:p>
          <w:p w14:paraId="08DA18FA" w14:textId="77777777" w:rsidR="006D37A9" w:rsidRPr="00D318C4" w:rsidRDefault="006D37A9" w:rsidP="006D37A9">
            <w:pPr>
              <w:rPr>
                <w:bCs/>
                <w:i/>
                <w:sz w:val="25"/>
                <w:szCs w:val="25"/>
              </w:rPr>
            </w:pPr>
          </w:p>
        </w:tc>
        <w:tc>
          <w:tcPr>
            <w:tcW w:w="2268" w:type="dxa"/>
          </w:tcPr>
          <w:p w14:paraId="0619CE36" w14:textId="77777777" w:rsidR="006D37A9" w:rsidRPr="00D318C4" w:rsidRDefault="006D37A9" w:rsidP="006D37A9">
            <w:pPr>
              <w:rPr>
                <w:i/>
                <w:iCs/>
                <w:color w:val="000000"/>
                <w:sz w:val="25"/>
                <w:szCs w:val="25"/>
                <w:lang w:eastAsia="en-US"/>
              </w:rPr>
            </w:pPr>
            <w:r w:rsidRPr="00D318C4">
              <w:rPr>
                <w:i/>
                <w:iCs/>
                <w:color w:val="000000"/>
                <w:sz w:val="25"/>
                <w:szCs w:val="25"/>
                <w:lang w:eastAsia="en-US"/>
              </w:rPr>
              <w:t>Noteikumu projekta</w:t>
            </w:r>
          </w:p>
          <w:p w14:paraId="31FCE585" w14:textId="43A1A33E" w:rsidR="006D37A9" w:rsidRPr="00D318C4" w:rsidRDefault="006D37A9" w:rsidP="003E6707">
            <w:pPr>
              <w:rPr>
                <w:i/>
                <w:iCs/>
                <w:color w:val="000000"/>
                <w:sz w:val="25"/>
                <w:szCs w:val="25"/>
                <w:lang w:eastAsia="en-US"/>
              </w:rPr>
            </w:pPr>
            <w:r w:rsidRPr="00D318C4">
              <w:rPr>
                <w:i/>
                <w:iCs/>
                <w:color w:val="000000"/>
                <w:sz w:val="25"/>
                <w:szCs w:val="25"/>
                <w:lang w:eastAsia="en-US"/>
              </w:rPr>
              <w:t>anotācijas I sadaļas 2.</w:t>
            </w:r>
            <w:r w:rsidR="003E6707" w:rsidRPr="00D318C4">
              <w:rPr>
                <w:i/>
                <w:iCs/>
                <w:color w:val="000000"/>
                <w:sz w:val="25"/>
                <w:szCs w:val="25"/>
                <w:lang w:eastAsia="en-US"/>
              </w:rPr>
              <w:t> </w:t>
            </w:r>
            <w:r w:rsidRPr="00D318C4">
              <w:rPr>
                <w:i/>
                <w:iCs/>
                <w:color w:val="000000"/>
                <w:sz w:val="25"/>
                <w:szCs w:val="25"/>
                <w:lang w:eastAsia="en-US"/>
              </w:rPr>
              <w:t xml:space="preserve">punkts, noteikumu projekta </w:t>
            </w:r>
            <w:r w:rsidR="003E6707" w:rsidRPr="00D318C4">
              <w:rPr>
                <w:i/>
                <w:iCs/>
                <w:color w:val="000000"/>
                <w:sz w:val="25"/>
                <w:szCs w:val="25"/>
                <w:lang w:eastAsia="en-US"/>
              </w:rPr>
              <w:t>8</w:t>
            </w:r>
            <w:r w:rsidRPr="00D318C4">
              <w:rPr>
                <w:i/>
                <w:iCs/>
                <w:color w:val="000000"/>
                <w:sz w:val="25"/>
                <w:szCs w:val="25"/>
                <w:lang w:eastAsia="en-US"/>
              </w:rPr>
              <w:t>.</w:t>
            </w:r>
            <w:r w:rsidR="003E6707" w:rsidRPr="00D318C4">
              <w:rPr>
                <w:i/>
                <w:iCs/>
                <w:color w:val="000000"/>
                <w:sz w:val="25"/>
                <w:szCs w:val="25"/>
                <w:lang w:eastAsia="en-US"/>
              </w:rPr>
              <w:t> </w:t>
            </w:r>
            <w:r w:rsidRPr="00D318C4">
              <w:rPr>
                <w:i/>
                <w:iCs/>
                <w:color w:val="000000"/>
                <w:sz w:val="25"/>
                <w:szCs w:val="25"/>
                <w:lang w:eastAsia="en-US"/>
              </w:rPr>
              <w:t>punkts</w:t>
            </w:r>
          </w:p>
        </w:tc>
        <w:tc>
          <w:tcPr>
            <w:tcW w:w="2551" w:type="dxa"/>
          </w:tcPr>
          <w:p w14:paraId="75C42CF2" w14:textId="4ECC61C3" w:rsidR="006D37A9" w:rsidRPr="00D318C4" w:rsidRDefault="006D37A9" w:rsidP="006D37A9">
            <w:pPr>
              <w:rPr>
                <w:i/>
                <w:iCs/>
                <w:color w:val="000000"/>
                <w:sz w:val="25"/>
                <w:szCs w:val="25"/>
              </w:rPr>
            </w:pPr>
            <w:r w:rsidRPr="00D318C4">
              <w:rPr>
                <w:i/>
                <w:iCs/>
                <w:color w:val="000000"/>
                <w:sz w:val="25"/>
                <w:szCs w:val="25"/>
              </w:rPr>
              <w:t>Pārņemts daļēji</w:t>
            </w:r>
          </w:p>
          <w:p w14:paraId="01FD4584" w14:textId="77777777" w:rsidR="006D37A9" w:rsidRPr="00D318C4" w:rsidRDefault="006D37A9" w:rsidP="006D37A9">
            <w:pPr>
              <w:rPr>
                <w:i/>
                <w:iCs/>
                <w:color w:val="000000"/>
                <w:sz w:val="25"/>
                <w:szCs w:val="25"/>
              </w:rPr>
            </w:pPr>
            <w:r w:rsidRPr="00D318C4">
              <w:rPr>
                <w:i/>
                <w:iCs/>
                <w:color w:val="000000"/>
                <w:sz w:val="25"/>
                <w:szCs w:val="25"/>
              </w:rPr>
              <w:t>Prasības pilnībā tiks pārņemtas ar pamatnostādņu projektu “Enerģētikas attīstības pamatnostādnes 2014.–2020.gadam”.</w:t>
            </w:r>
          </w:p>
          <w:p w14:paraId="4DFDE9B8" w14:textId="6C608755" w:rsidR="006D37A9" w:rsidRPr="00D318C4" w:rsidRDefault="006D37A9" w:rsidP="006D37A9">
            <w:pPr>
              <w:rPr>
                <w:i/>
                <w:iCs/>
                <w:color w:val="000000"/>
                <w:sz w:val="25"/>
                <w:szCs w:val="25"/>
              </w:rPr>
            </w:pPr>
            <w:r w:rsidRPr="00D318C4">
              <w:rPr>
                <w:i/>
                <w:iCs/>
                <w:color w:val="000000"/>
                <w:sz w:val="25"/>
                <w:szCs w:val="25"/>
              </w:rPr>
              <w:t>Atbildīgā Ekonomikas ministrija</w:t>
            </w:r>
          </w:p>
        </w:tc>
        <w:tc>
          <w:tcPr>
            <w:tcW w:w="2693" w:type="dxa"/>
          </w:tcPr>
          <w:p w14:paraId="20FC1FD9" w14:textId="56ADFBC1" w:rsidR="006D37A9" w:rsidRPr="00D318C4" w:rsidRDefault="006D37A9" w:rsidP="006D37A9">
            <w:pPr>
              <w:rPr>
                <w:i/>
                <w:iCs/>
                <w:color w:val="000000"/>
                <w:sz w:val="25"/>
                <w:szCs w:val="25"/>
              </w:rPr>
            </w:pPr>
            <w:r w:rsidRPr="00D318C4">
              <w:rPr>
                <w:i/>
                <w:iCs/>
                <w:color w:val="000000"/>
                <w:sz w:val="25"/>
                <w:szCs w:val="25"/>
              </w:rPr>
              <w:t>Neparedz stingrākas prasības</w:t>
            </w:r>
          </w:p>
        </w:tc>
      </w:tr>
      <w:tr w:rsidR="006D37A9" w:rsidRPr="00D318C4" w14:paraId="3938FF2E" w14:textId="77777777" w:rsidTr="00D318C4">
        <w:tc>
          <w:tcPr>
            <w:tcW w:w="2122" w:type="dxa"/>
          </w:tcPr>
          <w:p w14:paraId="6B9FF420" w14:textId="3AFDCDD0" w:rsidR="006D37A9" w:rsidRPr="00D318C4" w:rsidRDefault="006D37A9" w:rsidP="006D37A9">
            <w:pPr>
              <w:rPr>
                <w:bCs/>
                <w:i/>
                <w:sz w:val="25"/>
                <w:szCs w:val="25"/>
              </w:rPr>
            </w:pPr>
            <w:r w:rsidRPr="00D318C4">
              <w:rPr>
                <w:bCs/>
                <w:i/>
                <w:sz w:val="25"/>
                <w:szCs w:val="25"/>
              </w:rPr>
              <w:t>Direktīvas 2012/27/ES 5.panta 5.punkts</w:t>
            </w:r>
          </w:p>
          <w:p w14:paraId="350BCF87" w14:textId="77777777" w:rsidR="006D37A9" w:rsidRPr="00D318C4" w:rsidRDefault="006D37A9" w:rsidP="006D37A9">
            <w:pPr>
              <w:rPr>
                <w:bCs/>
                <w:i/>
                <w:sz w:val="25"/>
                <w:szCs w:val="25"/>
              </w:rPr>
            </w:pPr>
          </w:p>
        </w:tc>
        <w:tc>
          <w:tcPr>
            <w:tcW w:w="2268" w:type="dxa"/>
          </w:tcPr>
          <w:p w14:paraId="4B4C419B" w14:textId="77777777" w:rsidR="003E6707" w:rsidRPr="00D318C4" w:rsidRDefault="003E6707" w:rsidP="003E6707">
            <w:pPr>
              <w:rPr>
                <w:i/>
                <w:iCs/>
                <w:color w:val="000000"/>
                <w:sz w:val="25"/>
                <w:szCs w:val="25"/>
                <w:lang w:eastAsia="en-US"/>
              </w:rPr>
            </w:pPr>
            <w:r w:rsidRPr="00D318C4">
              <w:rPr>
                <w:i/>
                <w:iCs/>
                <w:color w:val="000000"/>
                <w:sz w:val="25"/>
                <w:szCs w:val="25"/>
                <w:lang w:eastAsia="en-US"/>
              </w:rPr>
              <w:t>Noteikumu projekta</w:t>
            </w:r>
          </w:p>
          <w:p w14:paraId="21254C61" w14:textId="2B0050E0" w:rsidR="00315C62" w:rsidRPr="00D318C4" w:rsidRDefault="003E6707" w:rsidP="003E6707">
            <w:pPr>
              <w:rPr>
                <w:i/>
                <w:iCs/>
                <w:color w:val="000000"/>
                <w:sz w:val="25"/>
                <w:szCs w:val="25"/>
                <w:lang w:eastAsia="en-US"/>
              </w:rPr>
            </w:pPr>
            <w:r w:rsidRPr="00D318C4">
              <w:rPr>
                <w:i/>
                <w:iCs/>
                <w:color w:val="000000"/>
                <w:sz w:val="25"/>
                <w:szCs w:val="25"/>
                <w:lang w:eastAsia="en-US"/>
              </w:rPr>
              <w:t>16.3. apakšpunkts</w:t>
            </w:r>
          </w:p>
        </w:tc>
        <w:tc>
          <w:tcPr>
            <w:tcW w:w="2551" w:type="dxa"/>
          </w:tcPr>
          <w:p w14:paraId="77597E9A" w14:textId="11CF542D" w:rsidR="006D37A9" w:rsidRPr="00D318C4" w:rsidRDefault="006D37A9" w:rsidP="006D37A9">
            <w:pPr>
              <w:rPr>
                <w:i/>
                <w:iCs/>
                <w:color w:val="000000"/>
                <w:sz w:val="25"/>
                <w:szCs w:val="25"/>
              </w:rPr>
            </w:pPr>
            <w:r w:rsidRPr="00D318C4">
              <w:rPr>
                <w:i/>
                <w:iCs/>
                <w:color w:val="000000"/>
                <w:sz w:val="25"/>
                <w:szCs w:val="25"/>
              </w:rPr>
              <w:t>Pārņemts pilnībā</w:t>
            </w:r>
          </w:p>
          <w:p w14:paraId="2EEFF304" w14:textId="74C2B3B8" w:rsidR="006D37A9" w:rsidRPr="00D318C4" w:rsidRDefault="006D37A9" w:rsidP="006D37A9">
            <w:pPr>
              <w:rPr>
                <w:i/>
                <w:iCs/>
                <w:color w:val="000000"/>
                <w:sz w:val="25"/>
                <w:szCs w:val="25"/>
              </w:rPr>
            </w:pPr>
            <w:r w:rsidRPr="00D318C4">
              <w:rPr>
                <w:i/>
                <w:iCs/>
                <w:color w:val="000000"/>
                <w:sz w:val="25"/>
                <w:szCs w:val="25"/>
              </w:rPr>
              <w:t>Prasības piemērotas, izveidojot sarakstu “Valsts īpašumā, valdījumā un lietošanā esošo ēku ar kopējo platību virs 250 m</w:t>
            </w:r>
            <w:r w:rsidRPr="00D318C4">
              <w:rPr>
                <w:i/>
                <w:iCs/>
                <w:color w:val="000000"/>
                <w:sz w:val="25"/>
                <w:szCs w:val="25"/>
                <w:vertAlign w:val="superscript"/>
              </w:rPr>
              <w:t>2</w:t>
            </w:r>
            <w:r w:rsidRPr="00D318C4">
              <w:rPr>
                <w:i/>
                <w:iCs/>
                <w:color w:val="000000"/>
                <w:sz w:val="25"/>
                <w:szCs w:val="25"/>
              </w:rPr>
              <w:t xml:space="preserve"> sarakstu  uz 09.07.2015. saskaņā ar Eiropas padomes un Parlamenta Direktīvas 2012/27/ES par energoefektivitāti 5.panta 5.punktu”</w:t>
            </w:r>
          </w:p>
        </w:tc>
        <w:tc>
          <w:tcPr>
            <w:tcW w:w="2693" w:type="dxa"/>
          </w:tcPr>
          <w:p w14:paraId="464AA8C2" w14:textId="2E041D6A" w:rsidR="006D37A9" w:rsidRPr="00D318C4" w:rsidRDefault="006D37A9" w:rsidP="006D37A9">
            <w:pPr>
              <w:rPr>
                <w:i/>
                <w:iCs/>
                <w:color w:val="000000"/>
                <w:sz w:val="25"/>
                <w:szCs w:val="25"/>
              </w:rPr>
            </w:pPr>
            <w:r w:rsidRPr="00D318C4">
              <w:rPr>
                <w:i/>
                <w:iCs/>
                <w:color w:val="000000"/>
                <w:sz w:val="25"/>
                <w:szCs w:val="25"/>
              </w:rPr>
              <w:t>Neparedz stingrākas prasības</w:t>
            </w:r>
          </w:p>
        </w:tc>
      </w:tr>
      <w:tr w:rsidR="006D37A9" w:rsidRPr="00D318C4" w14:paraId="04B7892A" w14:textId="77777777" w:rsidTr="00D318C4">
        <w:tc>
          <w:tcPr>
            <w:tcW w:w="2122" w:type="dxa"/>
          </w:tcPr>
          <w:p w14:paraId="4C7B856D" w14:textId="487D743B" w:rsidR="006D37A9" w:rsidRPr="00D318C4" w:rsidRDefault="006D37A9" w:rsidP="006D37A9">
            <w:pPr>
              <w:rPr>
                <w:bCs/>
                <w:i/>
                <w:sz w:val="25"/>
                <w:szCs w:val="25"/>
              </w:rPr>
            </w:pPr>
            <w:r w:rsidRPr="00D318C4">
              <w:rPr>
                <w:bCs/>
                <w:i/>
                <w:sz w:val="25"/>
                <w:szCs w:val="25"/>
              </w:rPr>
              <w:t>Direktīvas 2012/27/ES 25. - 28.panta 1.punkts</w:t>
            </w:r>
          </w:p>
        </w:tc>
        <w:tc>
          <w:tcPr>
            <w:tcW w:w="2268" w:type="dxa"/>
          </w:tcPr>
          <w:p w14:paraId="39BA8A8D" w14:textId="6E7AF616" w:rsidR="006D37A9" w:rsidRPr="00D318C4" w:rsidRDefault="006D37A9" w:rsidP="006D37A9">
            <w:pPr>
              <w:rPr>
                <w:i/>
                <w:iCs/>
                <w:color w:val="000000"/>
                <w:sz w:val="25"/>
                <w:szCs w:val="25"/>
                <w:lang w:eastAsia="en-US"/>
              </w:rPr>
            </w:pPr>
            <w:r w:rsidRPr="00D318C4">
              <w:rPr>
                <w:i/>
                <w:iCs/>
                <w:color w:val="000000"/>
                <w:sz w:val="25"/>
                <w:szCs w:val="25"/>
                <w:lang w:eastAsia="en-US"/>
              </w:rPr>
              <w:t>Noteikumu projekta informatīvā atsauce</w:t>
            </w:r>
          </w:p>
        </w:tc>
        <w:tc>
          <w:tcPr>
            <w:tcW w:w="2551" w:type="dxa"/>
          </w:tcPr>
          <w:p w14:paraId="6712E44B" w14:textId="59DD101F" w:rsidR="006D37A9" w:rsidRPr="00D318C4" w:rsidRDefault="006D37A9" w:rsidP="006D37A9">
            <w:pPr>
              <w:rPr>
                <w:i/>
                <w:iCs/>
                <w:color w:val="000000"/>
                <w:sz w:val="25"/>
                <w:szCs w:val="25"/>
              </w:rPr>
            </w:pPr>
            <w:r w:rsidRPr="00D318C4">
              <w:rPr>
                <w:i/>
                <w:iCs/>
                <w:color w:val="000000"/>
                <w:sz w:val="25"/>
                <w:szCs w:val="25"/>
              </w:rPr>
              <w:t>Pārņemts pilnībā</w:t>
            </w:r>
          </w:p>
          <w:p w14:paraId="446228E7" w14:textId="7E3F8D0B" w:rsidR="006D37A9" w:rsidRPr="00D318C4" w:rsidRDefault="006D37A9" w:rsidP="006D37A9">
            <w:pPr>
              <w:rPr>
                <w:i/>
                <w:iCs/>
                <w:color w:val="000000"/>
                <w:sz w:val="25"/>
                <w:szCs w:val="25"/>
              </w:rPr>
            </w:pPr>
          </w:p>
        </w:tc>
        <w:tc>
          <w:tcPr>
            <w:tcW w:w="2693" w:type="dxa"/>
          </w:tcPr>
          <w:p w14:paraId="04C7EC0E" w14:textId="5ACCF07B" w:rsidR="006D37A9" w:rsidRPr="00D318C4" w:rsidRDefault="006D37A9" w:rsidP="006D37A9">
            <w:pPr>
              <w:rPr>
                <w:i/>
                <w:iCs/>
                <w:color w:val="000000"/>
                <w:sz w:val="25"/>
                <w:szCs w:val="25"/>
              </w:rPr>
            </w:pPr>
          </w:p>
        </w:tc>
      </w:tr>
      <w:tr w:rsidR="006D37A9" w:rsidRPr="00D318C4" w14:paraId="6DDFE6CA" w14:textId="77777777" w:rsidTr="00D318C4">
        <w:tc>
          <w:tcPr>
            <w:tcW w:w="2122" w:type="dxa"/>
          </w:tcPr>
          <w:p w14:paraId="28A13992" w14:textId="2F4DAD5F" w:rsidR="006D37A9" w:rsidRPr="00D318C4" w:rsidRDefault="006D37A9" w:rsidP="006D37A9">
            <w:pPr>
              <w:rPr>
                <w:bCs/>
                <w:i/>
                <w:sz w:val="25"/>
                <w:szCs w:val="25"/>
              </w:rPr>
            </w:pPr>
            <w:r w:rsidRPr="00D318C4">
              <w:rPr>
                <w:bCs/>
                <w:i/>
                <w:sz w:val="25"/>
                <w:szCs w:val="25"/>
              </w:rPr>
              <w:t>Direktīvas 2012/27/ES 28.panta 2.punkts</w:t>
            </w:r>
          </w:p>
        </w:tc>
        <w:tc>
          <w:tcPr>
            <w:tcW w:w="2268" w:type="dxa"/>
          </w:tcPr>
          <w:p w14:paraId="4C2A5F8B" w14:textId="0F32BF3C" w:rsidR="006D37A9" w:rsidRPr="00D318C4" w:rsidRDefault="006D37A9" w:rsidP="006D37A9">
            <w:pPr>
              <w:rPr>
                <w:i/>
                <w:iCs/>
                <w:color w:val="000000"/>
                <w:sz w:val="25"/>
                <w:szCs w:val="25"/>
                <w:lang w:eastAsia="en-US"/>
              </w:rPr>
            </w:pPr>
            <w:r w:rsidRPr="00D318C4">
              <w:rPr>
                <w:i/>
                <w:iCs/>
                <w:color w:val="000000"/>
                <w:sz w:val="25"/>
                <w:szCs w:val="25"/>
                <w:lang w:eastAsia="en-US"/>
              </w:rPr>
              <w:t>Noteikumu projekta informatīvā atsauce</w:t>
            </w:r>
          </w:p>
        </w:tc>
        <w:tc>
          <w:tcPr>
            <w:tcW w:w="2551" w:type="dxa"/>
          </w:tcPr>
          <w:p w14:paraId="28DF0A16" w14:textId="10C063EF" w:rsidR="006D37A9" w:rsidRPr="00D318C4" w:rsidRDefault="006D37A9" w:rsidP="006D37A9">
            <w:pPr>
              <w:rPr>
                <w:i/>
                <w:iCs/>
                <w:color w:val="000000"/>
                <w:sz w:val="25"/>
                <w:szCs w:val="25"/>
              </w:rPr>
            </w:pPr>
            <w:r w:rsidRPr="00D318C4">
              <w:rPr>
                <w:i/>
                <w:iCs/>
                <w:color w:val="000000"/>
                <w:sz w:val="25"/>
                <w:szCs w:val="25"/>
              </w:rPr>
              <w:t>Pārņemts pilnībā</w:t>
            </w:r>
          </w:p>
          <w:p w14:paraId="10A0389B" w14:textId="49E38CDD" w:rsidR="006D37A9" w:rsidRPr="00D318C4" w:rsidRDefault="006D37A9" w:rsidP="006D37A9">
            <w:pPr>
              <w:rPr>
                <w:i/>
                <w:iCs/>
                <w:color w:val="000000"/>
                <w:sz w:val="25"/>
                <w:szCs w:val="25"/>
              </w:rPr>
            </w:pPr>
          </w:p>
        </w:tc>
        <w:tc>
          <w:tcPr>
            <w:tcW w:w="2693" w:type="dxa"/>
          </w:tcPr>
          <w:p w14:paraId="6DA8555E" w14:textId="77777777" w:rsidR="006D37A9" w:rsidRPr="00D318C4" w:rsidRDefault="006D37A9" w:rsidP="006D37A9">
            <w:pPr>
              <w:rPr>
                <w:i/>
                <w:iCs/>
                <w:color w:val="000000"/>
                <w:sz w:val="25"/>
                <w:szCs w:val="25"/>
              </w:rPr>
            </w:pPr>
          </w:p>
        </w:tc>
      </w:tr>
      <w:tr w:rsidR="00315C62" w:rsidRPr="00D318C4" w14:paraId="04C53ED2" w14:textId="77777777" w:rsidTr="00D318C4">
        <w:tc>
          <w:tcPr>
            <w:tcW w:w="4390" w:type="dxa"/>
            <w:gridSpan w:val="2"/>
          </w:tcPr>
          <w:p w14:paraId="6FF0CB14" w14:textId="09710934" w:rsidR="00315C62" w:rsidRPr="00D318C4" w:rsidRDefault="00315C62" w:rsidP="006D37A9">
            <w:pPr>
              <w:rPr>
                <w:iCs/>
                <w:color w:val="000000"/>
                <w:sz w:val="25"/>
                <w:szCs w:val="25"/>
                <w:lang w:eastAsia="en-US"/>
              </w:rPr>
            </w:pPr>
            <w:r w:rsidRPr="00D318C4">
              <w:rPr>
                <w:color w:val="000000"/>
                <w:sz w:val="25"/>
                <w:szCs w:val="25"/>
              </w:rPr>
              <w:lastRenderedPageBreak/>
              <w:t>Kā ir izmantota ES tiesību aktā paredzētā rīcības brīvība dalībvalstij pārņemt vai ieviest noteiktas ES tiesību akta normas? Kādēļ?</w:t>
            </w:r>
          </w:p>
        </w:tc>
        <w:tc>
          <w:tcPr>
            <w:tcW w:w="5244" w:type="dxa"/>
            <w:gridSpan w:val="2"/>
          </w:tcPr>
          <w:p w14:paraId="6DE4FCDB" w14:textId="3B70B535" w:rsidR="00315C62" w:rsidRPr="00D318C4" w:rsidRDefault="00315C62" w:rsidP="006D37A9">
            <w:pPr>
              <w:rPr>
                <w:i/>
                <w:iCs/>
                <w:color w:val="000000"/>
                <w:sz w:val="25"/>
                <w:szCs w:val="25"/>
              </w:rPr>
            </w:pPr>
            <w:r w:rsidRPr="00D318C4">
              <w:rPr>
                <w:iCs/>
                <w:color w:val="000000"/>
                <w:sz w:val="25"/>
                <w:szCs w:val="25"/>
              </w:rPr>
              <w:t>MK noteikumu projekts šo jomu neskar</w:t>
            </w:r>
          </w:p>
        </w:tc>
      </w:tr>
      <w:tr w:rsidR="006D37A9" w:rsidRPr="00D318C4" w14:paraId="0A90309F" w14:textId="77777777" w:rsidTr="00D318C4">
        <w:tc>
          <w:tcPr>
            <w:tcW w:w="4390" w:type="dxa"/>
            <w:gridSpan w:val="2"/>
          </w:tcPr>
          <w:p w14:paraId="5D9AFEA4" w14:textId="576CCE39" w:rsidR="006D37A9" w:rsidRPr="00D318C4" w:rsidRDefault="006D37A9" w:rsidP="006D37A9">
            <w:pPr>
              <w:rPr>
                <w:iCs/>
                <w:color w:val="000000"/>
                <w:sz w:val="25"/>
                <w:szCs w:val="25"/>
                <w:lang w:eastAsia="en-US"/>
              </w:rPr>
            </w:pPr>
            <w:r w:rsidRPr="00D318C4">
              <w:rPr>
                <w:color w:val="000000"/>
                <w:sz w:val="25"/>
                <w:szCs w:val="25"/>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44" w:type="dxa"/>
            <w:gridSpan w:val="2"/>
          </w:tcPr>
          <w:p w14:paraId="7808F447" w14:textId="4CFA53B9" w:rsidR="006D37A9" w:rsidRPr="00D318C4" w:rsidRDefault="006D37A9" w:rsidP="006D37A9">
            <w:pPr>
              <w:rPr>
                <w:iCs/>
                <w:color w:val="000000"/>
                <w:sz w:val="25"/>
                <w:szCs w:val="25"/>
              </w:rPr>
            </w:pPr>
            <w:r w:rsidRPr="00D318C4">
              <w:rPr>
                <w:iCs/>
                <w:color w:val="000000"/>
                <w:sz w:val="25"/>
                <w:szCs w:val="25"/>
              </w:rPr>
              <w:t>MK noteikumu projekts šo jomu neskar</w:t>
            </w:r>
          </w:p>
        </w:tc>
      </w:tr>
      <w:tr w:rsidR="006D37A9" w:rsidRPr="00D318C4" w14:paraId="1308AFF0" w14:textId="77777777" w:rsidTr="00D318C4">
        <w:tc>
          <w:tcPr>
            <w:tcW w:w="4390" w:type="dxa"/>
            <w:gridSpan w:val="2"/>
          </w:tcPr>
          <w:p w14:paraId="3F499CA0" w14:textId="2DEB7374" w:rsidR="006D37A9" w:rsidRPr="00D318C4" w:rsidRDefault="006D37A9" w:rsidP="006D37A9">
            <w:pPr>
              <w:rPr>
                <w:iCs/>
                <w:color w:val="000000"/>
                <w:sz w:val="25"/>
                <w:szCs w:val="25"/>
                <w:lang w:eastAsia="en-US"/>
              </w:rPr>
            </w:pPr>
            <w:r w:rsidRPr="00D318C4">
              <w:rPr>
                <w:color w:val="000000"/>
                <w:sz w:val="25"/>
                <w:szCs w:val="25"/>
                <w:lang w:eastAsia="en-US"/>
              </w:rPr>
              <w:t>Cita informācija</w:t>
            </w:r>
          </w:p>
        </w:tc>
        <w:tc>
          <w:tcPr>
            <w:tcW w:w="5244" w:type="dxa"/>
            <w:gridSpan w:val="2"/>
          </w:tcPr>
          <w:p w14:paraId="5BF2F75E" w14:textId="1C617AA6" w:rsidR="006D37A9" w:rsidRPr="00D318C4" w:rsidRDefault="006D37A9" w:rsidP="006D37A9">
            <w:pPr>
              <w:rPr>
                <w:iCs/>
                <w:color w:val="000000"/>
                <w:sz w:val="25"/>
                <w:szCs w:val="25"/>
              </w:rPr>
            </w:pPr>
            <w:r w:rsidRPr="00D318C4">
              <w:rPr>
                <w:color w:val="000000"/>
                <w:sz w:val="25"/>
                <w:szCs w:val="25"/>
              </w:rPr>
              <w:t>Nav</w:t>
            </w:r>
          </w:p>
        </w:tc>
      </w:tr>
    </w:tbl>
    <w:p w14:paraId="72D4FA99" w14:textId="77777777" w:rsidR="00D318C4" w:rsidRPr="00D318C4" w:rsidRDefault="00D318C4">
      <w:pPr>
        <w:rPr>
          <w:i/>
          <w:sz w:val="25"/>
          <w:szCs w:val="25"/>
        </w:rPr>
      </w:pPr>
    </w:p>
    <w:tbl>
      <w:tblPr>
        <w:tblW w:w="96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312"/>
        <w:gridCol w:w="2808"/>
        <w:gridCol w:w="2971"/>
        <w:gridCol w:w="3543"/>
      </w:tblGrid>
      <w:tr w:rsidR="00C7318A" w:rsidRPr="00D318C4" w14:paraId="4784EB3E" w14:textId="77777777" w:rsidTr="00A15CD1">
        <w:trPr>
          <w:gridBefore w:val="1"/>
          <w:wBefore w:w="15" w:type="dxa"/>
        </w:trPr>
        <w:tc>
          <w:tcPr>
            <w:tcW w:w="9634" w:type="dxa"/>
            <w:gridSpan w:val="4"/>
            <w:tcBorders>
              <w:top w:val="single" w:sz="4" w:space="0" w:color="auto"/>
              <w:left w:val="single" w:sz="4" w:space="0" w:color="auto"/>
              <w:bottom w:val="single" w:sz="4" w:space="0" w:color="auto"/>
              <w:right w:val="single" w:sz="4" w:space="0" w:color="auto"/>
            </w:tcBorders>
            <w:hideMark/>
          </w:tcPr>
          <w:p w14:paraId="79D21637" w14:textId="3F0ABC29" w:rsidR="00EA71CA" w:rsidRPr="00D318C4" w:rsidRDefault="00EA71CA" w:rsidP="003A14EF">
            <w:pPr>
              <w:pStyle w:val="naisnod"/>
              <w:spacing w:before="0" w:beforeAutospacing="0" w:after="0" w:afterAutospacing="0" w:line="276" w:lineRule="auto"/>
              <w:jc w:val="center"/>
              <w:rPr>
                <w:b/>
                <w:color w:val="000000"/>
                <w:sz w:val="25"/>
                <w:szCs w:val="25"/>
                <w:lang w:eastAsia="en-US"/>
              </w:rPr>
            </w:pPr>
            <w:r w:rsidRPr="00D318C4">
              <w:rPr>
                <w:b/>
                <w:color w:val="000000"/>
                <w:sz w:val="25"/>
                <w:szCs w:val="25"/>
                <w:lang w:eastAsia="en-US"/>
              </w:rPr>
              <w:t>2.tabula</w:t>
            </w:r>
          </w:p>
          <w:p w14:paraId="7C1EBDA0" w14:textId="425DABA5" w:rsidR="00F95DDA" w:rsidRPr="00D318C4" w:rsidRDefault="00C7318A" w:rsidP="00F95DDA">
            <w:pPr>
              <w:pStyle w:val="naisnod"/>
              <w:spacing w:before="0" w:beforeAutospacing="0" w:after="0" w:afterAutospacing="0"/>
              <w:jc w:val="center"/>
              <w:rPr>
                <w:b/>
                <w:color w:val="000000"/>
                <w:sz w:val="25"/>
                <w:szCs w:val="25"/>
                <w:lang w:eastAsia="en-US"/>
              </w:rPr>
            </w:pPr>
            <w:r w:rsidRPr="00D318C4">
              <w:rPr>
                <w:b/>
                <w:color w:val="000000"/>
                <w:sz w:val="25"/>
                <w:szCs w:val="25"/>
                <w:lang w:eastAsia="en-US"/>
              </w:rPr>
              <w:t>Ar tiesību akta projektu uzņemtās saistības, kas izriet no</w:t>
            </w:r>
          </w:p>
          <w:p w14:paraId="5D751878" w14:textId="42596FB1" w:rsidR="00C7318A" w:rsidRPr="00D318C4" w:rsidRDefault="00C7318A" w:rsidP="00912232">
            <w:pPr>
              <w:pStyle w:val="naisnod"/>
              <w:spacing w:before="0" w:beforeAutospacing="0" w:after="0" w:afterAutospacing="0"/>
              <w:jc w:val="center"/>
              <w:rPr>
                <w:b/>
                <w:color w:val="000000"/>
                <w:sz w:val="25"/>
                <w:szCs w:val="25"/>
                <w:lang w:eastAsia="en-US"/>
              </w:rPr>
            </w:pPr>
            <w:r w:rsidRPr="00D318C4">
              <w:rPr>
                <w:b/>
                <w:color w:val="000000"/>
                <w:sz w:val="25"/>
                <w:szCs w:val="25"/>
                <w:lang w:eastAsia="en-US"/>
              </w:rPr>
              <w:t xml:space="preserve"> starptautiskajiem tiesību aktiem vai starptautiskas institūcijas vai organizācijas dokumentiem</w:t>
            </w:r>
            <w:r w:rsidR="00EA71CA" w:rsidRPr="00D318C4">
              <w:rPr>
                <w:b/>
                <w:color w:val="000000"/>
                <w:sz w:val="25"/>
                <w:szCs w:val="25"/>
                <w:lang w:eastAsia="en-US"/>
              </w:rPr>
              <w:t>.</w:t>
            </w:r>
          </w:p>
          <w:p w14:paraId="7038A0FD" w14:textId="77777777" w:rsidR="00C7318A" w:rsidRPr="00D318C4" w:rsidRDefault="00C7318A" w:rsidP="00912232">
            <w:pPr>
              <w:jc w:val="center"/>
              <w:rPr>
                <w:color w:val="000000"/>
                <w:sz w:val="25"/>
                <w:szCs w:val="25"/>
                <w:lang w:eastAsia="en-US"/>
              </w:rPr>
            </w:pPr>
            <w:r w:rsidRPr="00D318C4">
              <w:rPr>
                <w:b/>
                <w:color w:val="000000"/>
                <w:sz w:val="25"/>
                <w:szCs w:val="25"/>
              </w:rPr>
              <w:t>Pasākumi šo saistību izpildei</w:t>
            </w:r>
          </w:p>
        </w:tc>
      </w:tr>
      <w:tr w:rsidR="00C7318A" w:rsidRPr="00D318C4" w14:paraId="7D096C84"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51418190" w14:textId="77777777" w:rsidR="00C7318A" w:rsidRPr="00D318C4" w:rsidRDefault="00C7318A" w:rsidP="003A14EF">
            <w:pPr>
              <w:rPr>
                <w:color w:val="000000"/>
                <w:sz w:val="25"/>
                <w:szCs w:val="25"/>
                <w:lang w:eastAsia="en-US"/>
              </w:rPr>
            </w:pPr>
            <w:r w:rsidRPr="00D318C4">
              <w:rPr>
                <w:color w:val="000000"/>
                <w:sz w:val="25"/>
                <w:szCs w:val="25"/>
              </w:rPr>
              <w:t>Attiecīgā starptautiskā tiesību akta vai starptautiskas institūcijas vai organizācijas dokumenta (turpmāk – starptautiskais dokuments) datums, numurs un nosaukums</w:t>
            </w:r>
          </w:p>
        </w:tc>
        <w:tc>
          <w:tcPr>
            <w:tcW w:w="6514" w:type="dxa"/>
            <w:gridSpan w:val="2"/>
            <w:tcBorders>
              <w:top w:val="single" w:sz="4" w:space="0" w:color="auto"/>
              <w:left w:val="single" w:sz="4" w:space="0" w:color="auto"/>
              <w:bottom w:val="single" w:sz="4" w:space="0" w:color="auto"/>
              <w:right w:val="single" w:sz="4" w:space="0" w:color="auto"/>
            </w:tcBorders>
            <w:hideMark/>
          </w:tcPr>
          <w:p w14:paraId="59145B8F" w14:textId="4A83A264" w:rsidR="00C7318A" w:rsidRPr="00D318C4" w:rsidRDefault="00C7318A" w:rsidP="003A14EF">
            <w:pPr>
              <w:tabs>
                <w:tab w:val="left" w:pos="325"/>
              </w:tabs>
              <w:rPr>
                <w:i/>
                <w:color w:val="000000"/>
                <w:sz w:val="25"/>
                <w:szCs w:val="25"/>
                <w:lang w:eastAsia="en-US"/>
              </w:rPr>
            </w:pPr>
            <w:r w:rsidRPr="00D318C4">
              <w:rPr>
                <w:iCs/>
                <w:color w:val="000000"/>
                <w:sz w:val="25"/>
                <w:szCs w:val="25"/>
              </w:rPr>
              <w:t>MK no</w:t>
            </w:r>
            <w:r w:rsidR="00EA71CA" w:rsidRPr="00D318C4">
              <w:rPr>
                <w:iCs/>
                <w:color w:val="000000"/>
                <w:sz w:val="25"/>
                <w:szCs w:val="25"/>
              </w:rPr>
              <w:t>teikumu projekts šo jomu neskar</w:t>
            </w:r>
          </w:p>
        </w:tc>
      </w:tr>
      <w:tr w:rsidR="00C7318A" w:rsidRPr="00D318C4" w14:paraId="2756487E"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6D94EF8C" w14:textId="77777777" w:rsidR="00C7318A" w:rsidRPr="00D318C4" w:rsidRDefault="00C7318A" w:rsidP="003A14EF">
            <w:pPr>
              <w:jc w:val="center"/>
              <w:rPr>
                <w:color w:val="000000"/>
                <w:sz w:val="25"/>
                <w:szCs w:val="25"/>
                <w:lang w:eastAsia="en-US"/>
              </w:rPr>
            </w:pPr>
            <w:r w:rsidRPr="00D318C4">
              <w:rPr>
                <w:color w:val="000000"/>
                <w:sz w:val="25"/>
                <w:szCs w:val="25"/>
              </w:rPr>
              <w:t>A</w:t>
            </w:r>
          </w:p>
        </w:tc>
        <w:tc>
          <w:tcPr>
            <w:tcW w:w="2971" w:type="dxa"/>
            <w:tcBorders>
              <w:top w:val="single" w:sz="4" w:space="0" w:color="auto"/>
              <w:left w:val="single" w:sz="4" w:space="0" w:color="auto"/>
              <w:bottom w:val="single" w:sz="4" w:space="0" w:color="auto"/>
              <w:right w:val="single" w:sz="4" w:space="0" w:color="auto"/>
            </w:tcBorders>
            <w:hideMark/>
          </w:tcPr>
          <w:p w14:paraId="05B6C7C6" w14:textId="77777777" w:rsidR="00C7318A" w:rsidRPr="00D318C4" w:rsidRDefault="00C7318A" w:rsidP="003A14EF">
            <w:pPr>
              <w:jc w:val="center"/>
              <w:rPr>
                <w:color w:val="000000"/>
                <w:sz w:val="25"/>
                <w:szCs w:val="25"/>
                <w:lang w:eastAsia="en-US"/>
              </w:rPr>
            </w:pPr>
            <w:r w:rsidRPr="00D318C4">
              <w:rPr>
                <w:color w:val="000000"/>
                <w:sz w:val="25"/>
                <w:szCs w:val="25"/>
              </w:rPr>
              <w:t>B</w:t>
            </w:r>
          </w:p>
        </w:tc>
        <w:tc>
          <w:tcPr>
            <w:tcW w:w="3543" w:type="dxa"/>
            <w:tcBorders>
              <w:top w:val="single" w:sz="4" w:space="0" w:color="auto"/>
              <w:left w:val="single" w:sz="4" w:space="0" w:color="auto"/>
              <w:bottom w:val="single" w:sz="4" w:space="0" w:color="auto"/>
              <w:right w:val="single" w:sz="4" w:space="0" w:color="auto"/>
            </w:tcBorders>
            <w:hideMark/>
          </w:tcPr>
          <w:p w14:paraId="501A986C" w14:textId="77777777" w:rsidR="00C7318A" w:rsidRPr="00D318C4" w:rsidRDefault="00C7318A" w:rsidP="003A14EF">
            <w:pPr>
              <w:jc w:val="center"/>
              <w:rPr>
                <w:color w:val="000000"/>
                <w:sz w:val="25"/>
                <w:szCs w:val="25"/>
                <w:lang w:eastAsia="en-US"/>
              </w:rPr>
            </w:pPr>
            <w:r w:rsidRPr="00D318C4">
              <w:rPr>
                <w:color w:val="000000"/>
                <w:sz w:val="25"/>
                <w:szCs w:val="25"/>
              </w:rPr>
              <w:t>C</w:t>
            </w:r>
          </w:p>
        </w:tc>
      </w:tr>
      <w:tr w:rsidR="00C7318A" w:rsidRPr="00D318C4" w14:paraId="50FA504C"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3427DAC6" w14:textId="77777777" w:rsidR="00C7318A" w:rsidRPr="00D318C4" w:rsidRDefault="00C7318A" w:rsidP="003A14EF">
            <w:pPr>
              <w:rPr>
                <w:color w:val="000000"/>
                <w:sz w:val="25"/>
                <w:szCs w:val="25"/>
              </w:rPr>
            </w:pPr>
            <w:r w:rsidRPr="00D318C4">
              <w:rPr>
                <w:color w:val="000000"/>
                <w:sz w:val="25"/>
                <w:szCs w:val="25"/>
              </w:rPr>
              <w:t>Starptautiskās saistības (pēc būtības), kas izriet no norādītā starptautiskā dokumenta.</w:t>
            </w:r>
          </w:p>
          <w:p w14:paraId="78009EF7" w14:textId="2A067EBD" w:rsidR="00C7318A" w:rsidRPr="00D318C4" w:rsidRDefault="00C7318A" w:rsidP="003A14EF">
            <w:pPr>
              <w:rPr>
                <w:color w:val="000000"/>
                <w:sz w:val="25"/>
                <w:szCs w:val="25"/>
                <w:lang w:eastAsia="en-US"/>
              </w:rPr>
            </w:pPr>
            <w:r w:rsidRPr="00D318C4">
              <w:rPr>
                <w:color w:val="000000"/>
                <w:sz w:val="25"/>
                <w:szCs w:val="25"/>
              </w:rPr>
              <w:t>Konkrēti veicamie pasākumi vai uzdevumi, kas nepieciešami šo starptautisko saistību izpildei</w:t>
            </w:r>
            <w:r w:rsidR="00655851" w:rsidRPr="00D318C4">
              <w:rPr>
                <w:color w:val="000000"/>
                <w:sz w:val="25"/>
                <w:szCs w:val="25"/>
              </w:rPr>
              <w:t>.</w:t>
            </w:r>
          </w:p>
        </w:tc>
        <w:tc>
          <w:tcPr>
            <w:tcW w:w="2971" w:type="dxa"/>
            <w:tcBorders>
              <w:top w:val="single" w:sz="4" w:space="0" w:color="auto"/>
              <w:left w:val="single" w:sz="4" w:space="0" w:color="auto"/>
              <w:bottom w:val="single" w:sz="4" w:space="0" w:color="auto"/>
              <w:right w:val="single" w:sz="4" w:space="0" w:color="auto"/>
            </w:tcBorders>
            <w:hideMark/>
          </w:tcPr>
          <w:p w14:paraId="4ADF5D0B" w14:textId="64B61012" w:rsidR="00C7318A" w:rsidRPr="00D318C4" w:rsidRDefault="00C7318A" w:rsidP="003A14EF">
            <w:pPr>
              <w:rPr>
                <w:color w:val="000000"/>
                <w:sz w:val="25"/>
                <w:szCs w:val="25"/>
                <w:lang w:eastAsia="en-US"/>
              </w:rPr>
            </w:pPr>
            <w:r w:rsidRPr="00D318C4">
              <w:rPr>
                <w:color w:val="000000"/>
                <w:sz w:val="25"/>
                <w:szCs w:val="25"/>
              </w:rPr>
              <w:t>Ja pasākumi vai uzdevumi, ar ko tiks izpildītas starptautiskās saistības, tiek noteikti projektā, norāda attiecīgo projekta vienību vai norāda dokumentu, kurā sniegts izvērsts skaidrojums, kādā veidā tiks nodrošināta starptautisko saistību izpilde</w:t>
            </w:r>
            <w:r w:rsidR="00655851" w:rsidRPr="00D318C4">
              <w:rPr>
                <w:color w:val="000000"/>
                <w:sz w:val="25"/>
                <w:szCs w:val="25"/>
              </w:rPr>
              <w:t>.</w:t>
            </w:r>
          </w:p>
        </w:tc>
        <w:tc>
          <w:tcPr>
            <w:tcW w:w="3543" w:type="dxa"/>
            <w:tcBorders>
              <w:top w:val="single" w:sz="4" w:space="0" w:color="auto"/>
              <w:left w:val="single" w:sz="4" w:space="0" w:color="auto"/>
              <w:bottom w:val="single" w:sz="4" w:space="0" w:color="auto"/>
              <w:right w:val="single" w:sz="4" w:space="0" w:color="auto"/>
            </w:tcBorders>
            <w:hideMark/>
          </w:tcPr>
          <w:p w14:paraId="76015DD0" w14:textId="77777777" w:rsidR="00C7318A" w:rsidRPr="00D318C4" w:rsidRDefault="00C7318A" w:rsidP="003A14EF">
            <w:pPr>
              <w:rPr>
                <w:color w:val="000000"/>
                <w:sz w:val="25"/>
                <w:szCs w:val="25"/>
              </w:rPr>
            </w:pPr>
            <w:r w:rsidRPr="00D318C4">
              <w:rPr>
                <w:color w:val="000000"/>
                <w:sz w:val="25"/>
                <w:szCs w:val="25"/>
              </w:rPr>
              <w:t>Informācija par to, vai starptautiskās saistības, kas minētas šīs tabulas A ailē, tiek izpildītas pilnībā vai daļēji.</w:t>
            </w:r>
          </w:p>
          <w:p w14:paraId="2D78E734" w14:textId="77777777" w:rsidR="00C7318A" w:rsidRPr="00D318C4" w:rsidRDefault="00C7318A" w:rsidP="003A14EF">
            <w:pPr>
              <w:rPr>
                <w:color w:val="000000"/>
                <w:sz w:val="25"/>
                <w:szCs w:val="25"/>
              </w:rPr>
            </w:pPr>
            <w:r w:rsidRPr="00D318C4">
              <w:rPr>
                <w:color w:val="000000"/>
                <w:sz w:val="25"/>
                <w:szCs w:val="25"/>
              </w:rPr>
              <w:t>Ja attiecīgās starptautiskās saistības tiek izpildītas daļēji, sniedz attiecīgu skaidrojumu, kā arī precīzi norāda, kad un kādā veidā starptautiskās saistības tiks izpildītas pilnībā.</w:t>
            </w:r>
          </w:p>
          <w:p w14:paraId="124A8C70" w14:textId="37937A0D" w:rsidR="00C7318A" w:rsidRPr="00D318C4" w:rsidRDefault="00C7318A" w:rsidP="003A14EF">
            <w:pPr>
              <w:rPr>
                <w:color w:val="000000"/>
                <w:sz w:val="25"/>
                <w:szCs w:val="25"/>
                <w:lang w:eastAsia="en-US"/>
              </w:rPr>
            </w:pPr>
            <w:r w:rsidRPr="00D318C4">
              <w:rPr>
                <w:color w:val="000000"/>
                <w:sz w:val="25"/>
                <w:szCs w:val="25"/>
              </w:rPr>
              <w:t>Norāda institūciju, kas ir atbildīga par šo saistību izpildi pilnībā</w:t>
            </w:r>
            <w:r w:rsidR="00655851" w:rsidRPr="00D318C4">
              <w:rPr>
                <w:color w:val="000000"/>
                <w:sz w:val="25"/>
                <w:szCs w:val="25"/>
              </w:rPr>
              <w:t>.</w:t>
            </w:r>
          </w:p>
        </w:tc>
      </w:tr>
      <w:tr w:rsidR="00C7318A" w:rsidRPr="00D318C4" w14:paraId="4876D93E"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2DE74283" w14:textId="63DC1050" w:rsidR="00C7318A" w:rsidRPr="00D318C4" w:rsidRDefault="00C7318A" w:rsidP="003A14EF">
            <w:pPr>
              <w:rPr>
                <w:color w:val="000000"/>
                <w:sz w:val="25"/>
                <w:szCs w:val="25"/>
                <w:lang w:eastAsia="en-US"/>
              </w:rPr>
            </w:pPr>
            <w:r w:rsidRPr="00D318C4">
              <w:rPr>
                <w:iCs/>
                <w:color w:val="000000"/>
                <w:sz w:val="25"/>
                <w:szCs w:val="25"/>
              </w:rPr>
              <w:t>No</w:t>
            </w:r>
            <w:r w:rsidR="00655851" w:rsidRPr="00D318C4">
              <w:rPr>
                <w:iCs/>
                <w:color w:val="000000"/>
                <w:sz w:val="25"/>
                <w:szCs w:val="25"/>
              </w:rPr>
              <w:t>teikumu projekts šo jomu neskar</w:t>
            </w:r>
          </w:p>
        </w:tc>
        <w:tc>
          <w:tcPr>
            <w:tcW w:w="2971" w:type="dxa"/>
            <w:tcBorders>
              <w:top w:val="single" w:sz="4" w:space="0" w:color="auto"/>
              <w:left w:val="single" w:sz="4" w:space="0" w:color="auto"/>
              <w:bottom w:val="single" w:sz="4" w:space="0" w:color="auto"/>
              <w:right w:val="single" w:sz="4" w:space="0" w:color="auto"/>
            </w:tcBorders>
            <w:hideMark/>
          </w:tcPr>
          <w:p w14:paraId="1BEF5955" w14:textId="6388B88D" w:rsidR="00C7318A" w:rsidRPr="00D318C4" w:rsidRDefault="00C7318A" w:rsidP="003A14EF">
            <w:pPr>
              <w:rPr>
                <w:color w:val="000000"/>
                <w:sz w:val="25"/>
                <w:szCs w:val="25"/>
                <w:lang w:eastAsia="en-US"/>
              </w:rPr>
            </w:pPr>
            <w:r w:rsidRPr="00D318C4">
              <w:rPr>
                <w:iCs/>
                <w:color w:val="000000"/>
                <w:sz w:val="25"/>
                <w:szCs w:val="25"/>
              </w:rPr>
              <w:t>MK no</w:t>
            </w:r>
            <w:r w:rsidR="00655851" w:rsidRPr="00D318C4">
              <w:rPr>
                <w:iCs/>
                <w:color w:val="000000"/>
                <w:sz w:val="25"/>
                <w:szCs w:val="25"/>
              </w:rPr>
              <w:t>teikumu projekts šo jomu neskar</w:t>
            </w:r>
          </w:p>
        </w:tc>
        <w:tc>
          <w:tcPr>
            <w:tcW w:w="3543" w:type="dxa"/>
            <w:tcBorders>
              <w:top w:val="single" w:sz="4" w:space="0" w:color="auto"/>
              <w:left w:val="single" w:sz="4" w:space="0" w:color="auto"/>
              <w:bottom w:val="single" w:sz="4" w:space="0" w:color="auto"/>
              <w:right w:val="single" w:sz="4" w:space="0" w:color="auto"/>
            </w:tcBorders>
            <w:hideMark/>
          </w:tcPr>
          <w:p w14:paraId="4842DF21" w14:textId="44190D3E" w:rsidR="00C7318A" w:rsidRPr="00D318C4" w:rsidRDefault="00C7318A" w:rsidP="003A14EF">
            <w:pPr>
              <w:rPr>
                <w:color w:val="000000"/>
                <w:sz w:val="25"/>
                <w:szCs w:val="25"/>
                <w:lang w:eastAsia="en-US"/>
              </w:rPr>
            </w:pPr>
            <w:r w:rsidRPr="00D318C4">
              <w:rPr>
                <w:iCs/>
                <w:color w:val="000000"/>
                <w:sz w:val="25"/>
                <w:szCs w:val="25"/>
              </w:rPr>
              <w:t>MK no</w:t>
            </w:r>
            <w:r w:rsidR="00655851" w:rsidRPr="00D318C4">
              <w:rPr>
                <w:iCs/>
                <w:color w:val="000000"/>
                <w:sz w:val="25"/>
                <w:szCs w:val="25"/>
              </w:rPr>
              <w:t>teikumu projekts šo jomu neskar</w:t>
            </w:r>
          </w:p>
        </w:tc>
      </w:tr>
      <w:tr w:rsidR="00C7318A" w:rsidRPr="00D318C4" w14:paraId="454071ED"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1278FAB7" w14:textId="0C6ABF68" w:rsidR="00C7318A" w:rsidRPr="00D318C4" w:rsidRDefault="00C7318A" w:rsidP="003A14EF">
            <w:pPr>
              <w:rPr>
                <w:color w:val="000000"/>
                <w:sz w:val="25"/>
                <w:szCs w:val="25"/>
                <w:lang w:eastAsia="en-US"/>
              </w:rPr>
            </w:pPr>
            <w:r w:rsidRPr="00D318C4">
              <w:rPr>
                <w:color w:val="000000"/>
                <w:sz w:val="25"/>
                <w:szCs w:val="25"/>
              </w:rPr>
              <w:t>Vai starptautiskajā dokumentā paredzētās saistības nav pretrunā ar jau esošajām Latvijas Republikas starptautiskajām saistībām</w:t>
            </w:r>
            <w:r w:rsidR="00655851" w:rsidRPr="00D318C4">
              <w:rPr>
                <w:color w:val="000000"/>
                <w:sz w:val="25"/>
                <w:szCs w:val="25"/>
              </w:rPr>
              <w:t>?</w:t>
            </w:r>
          </w:p>
        </w:tc>
        <w:tc>
          <w:tcPr>
            <w:tcW w:w="6514" w:type="dxa"/>
            <w:gridSpan w:val="2"/>
            <w:tcBorders>
              <w:top w:val="single" w:sz="4" w:space="0" w:color="auto"/>
              <w:left w:val="single" w:sz="4" w:space="0" w:color="auto"/>
              <w:bottom w:val="single" w:sz="4" w:space="0" w:color="auto"/>
              <w:right w:val="single" w:sz="4" w:space="0" w:color="auto"/>
            </w:tcBorders>
            <w:hideMark/>
          </w:tcPr>
          <w:p w14:paraId="4636F421" w14:textId="02C41AE3" w:rsidR="00C7318A" w:rsidRPr="00D318C4" w:rsidRDefault="00C7318A" w:rsidP="003A14EF">
            <w:pPr>
              <w:rPr>
                <w:i/>
                <w:color w:val="000000"/>
                <w:sz w:val="25"/>
                <w:szCs w:val="25"/>
                <w:lang w:eastAsia="en-US"/>
              </w:rPr>
            </w:pPr>
            <w:r w:rsidRPr="00D318C4">
              <w:rPr>
                <w:iCs/>
                <w:color w:val="000000"/>
                <w:sz w:val="25"/>
                <w:szCs w:val="25"/>
              </w:rPr>
              <w:t>MK no</w:t>
            </w:r>
            <w:r w:rsidR="00655851" w:rsidRPr="00D318C4">
              <w:rPr>
                <w:iCs/>
                <w:color w:val="000000"/>
                <w:sz w:val="25"/>
                <w:szCs w:val="25"/>
              </w:rPr>
              <w:t>teikumu projekts šo jomu neskar</w:t>
            </w:r>
          </w:p>
        </w:tc>
      </w:tr>
      <w:tr w:rsidR="00C7318A" w:rsidRPr="00D318C4" w14:paraId="7FE1D06A" w14:textId="77777777" w:rsidTr="00A15CD1">
        <w:trPr>
          <w:gridBefore w:val="1"/>
          <w:wBefore w:w="15" w:type="dxa"/>
        </w:trPr>
        <w:tc>
          <w:tcPr>
            <w:tcW w:w="3120" w:type="dxa"/>
            <w:gridSpan w:val="2"/>
            <w:tcBorders>
              <w:top w:val="single" w:sz="4" w:space="0" w:color="auto"/>
              <w:left w:val="single" w:sz="4" w:space="0" w:color="auto"/>
              <w:bottom w:val="single" w:sz="4" w:space="0" w:color="auto"/>
              <w:right w:val="single" w:sz="4" w:space="0" w:color="auto"/>
            </w:tcBorders>
            <w:hideMark/>
          </w:tcPr>
          <w:p w14:paraId="545F6611" w14:textId="77777777" w:rsidR="00C7318A" w:rsidRPr="00D318C4" w:rsidRDefault="00C7318A" w:rsidP="003A14EF">
            <w:pPr>
              <w:rPr>
                <w:color w:val="000000"/>
                <w:sz w:val="25"/>
                <w:szCs w:val="25"/>
                <w:lang w:eastAsia="en-US"/>
              </w:rPr>
            </w:pPr>
            <w:r w:rsidRPr="00D318C4">
              <w:rPr>
                <w:color w:val="000000"/>
                <w:sz w:val="25"/>
                <w:szCs w:val="25"/>
              </w:rPr>
              <w:t>Cita informācija</w:t>
            </w:r>
          </w:p>
        </w:tc>
        <w:tc>
          <w:tcPr>
            <w:tcW w:w="6514" w:type="dxa"/>
            <w:gridSpan w:val="2"/>
            <w:tcBorders>
              <w:top w:val="single" w:sz="4" w:space="0" w:color="auto"/>
              <w:left w:val="single" w:sz="4" w:space="0" w:color="auto"/>
              <w:bottom w:val="single" w:sz="4" w:space="0" w:color="auto"/>
              <w:right w:val="single" w:sz="4" w:space="0" w:color="auto"/>
            </w:tcBorders>
            <w:hideMark/>
          </w:tcPr>
          <w:p w14:paraId="6ADB7343" w14:textId="5F3AE703" w:rsidR="00C7318A" w:rsidRPr="00D318C4" w:rsidRDefault="00655851" w:rsidP="003A14EF">
            <w:pPr>
              <w:rPr>
                <w:color w:val="000000"/>
                <w:sz w:val="25"/>
                <w:szCs w:val="25"/>
                <w:lang w:eastAsia="en-US"/>
              </w:rPr>
            </w:pPr>
            <w:r w:rsidRPr="00D318C4">
              <w:rPr>
                <w:color w:val="000000"/>
                <w:sz w:val="25"/>
                <w:szCs w:val="25"/>
              </w:rPr>
              <w:t>Nav</w:t>
            </w:r>
          </w:p>
        </w:tc>
      </w:tr>
      <w:tr w:rsidR="00C7318A" w:rsidRPr="00D318C4" w14:paraId="580826D2" w14:textId="77777777" w:rsidTr="00A15CD1">
        <w:tblPrEx>
          <w:tblCellMar>
            <w:left w:w="0" w:type="dxa"/>
            <w:right w:w="0" w:type="dxa"/>
          </w:tblCellMar>
          <w:tblLook w:val="0000" w:firstRow="0" w:lastRow="0" w:firstColumn="0" w:lastColumn="0" w:noHBand="0" w:noVBand="0"/>
        </w:tblPrEx>
        <w:trPr>
          <w:trHeight w:val="589"/>
        </w:trPr>
        <w:tc>
          <w:tcPr>
            <w:tcW w:w="9649" w:type="dxa"/>
            <w:gridSpan w:val="5"/>
            <w:tcBorders>
              <w:left w:val="nil"/>
              <w:bottom w:val="single" w:sz="4" w:space="0" w:color="auto"/>
              <w:right w:val="nil"/>
            </w:tcBorders>
            <w:vAlign w:val="center"/>
          </w:tcPr>
          <w:p w14:paraId="6124B387" w14:textId="50B35B63" w:rsidR="00424E00" w:rsidRPr="00D318C4" w:rsidRDefault="00424E00" w:rsidP="00777064">
            <w:pPr>
              <w:pStyle w:val="naisnod"/>
              <w:spacing w:before="0" w:beforeAutospacing="0" w:after="0" w:afterAutospacing="0"/>
              <w:ind w:right="57"/>
              <w:rPr>
                <w:sz w:val="25"/>
                <w:szCs w:val="25"/>
              </w:rPr>
            </w:pPr>
          </w:p>
        </w:tc>
      </w:tr>
      <w:tr w:rsidR="00912232" w:rsidRPr="00D318C4" w14:paraId="462090C6" w14:textId="77777777" w:rsidTr="00A15CD1">
        <w:tblPrEx>
          <w:tblCellMar>
            <w:left w:w="0" w:type="dxa"/>
            <w:right w:w="0" w:type="dxa"/>
          </w:tblCellMar>
          <w:tblLook w:val="0000" w:firstRow="0" w:lastRow="0" w:firstColumn="0" w:lastColumn="0" w:noHBand="0" w:noVBand="0"/>
        </w:tblPrEx>
        <w:trPr>
          <w:trHeight w:val="340"/>
        </w:trPr>
        <w:tc>
          <w:tcPr>
            <w:tcW w:w="9649" w:type="dxa"/>
            <w:gridSpan w:val="5"/>
            <w:tcBorders>
              <w:left w:val="single" w:sz="4" w:space="0" w:color="auto"/>
              <w:right w:val="single" w:sz="4" w:space="0" w:color="auto"/>
            </w:tcBorders>
            <w:vAlign w:val="center"/>
          </w:tcPr>
          <w:p w14:paraId="07D30983" w14:textId="0BC5B824" w:rsidR="00912232" w:rsidRPr="00D318C4" w:rsidRDefault="00912232" w:rsidP="003A14EF">
            <w:pPr>
              <w:pStyle w:val="naisnod"/>
              <w:spacing w:before="0" w:after="0"/>
              <w:ind w:left="57" w:right="57"/>
              <w:jc w:val="center"/>
              <w:rPr>
                <w:b/>
                <w:sz w:val="25"/>
                <w:szCs w:val="25"/>
              </w:rPr>
            </w:pPr>
            <w:r w:rsidRPr="00D318C4">
              <w:rPr>
                <w:b/>
                <w:sz w:val="25"/>
                <w:szCs w:val="25"/>
              </w:rPr>
              <w:t>VI. Sabiedrības līdzdalība un komunikācijas aktivitātes</w:t>
            </w:r>
          </w:p>
        </w:tc>
      </w:tr>
      <w:tr w:rsidR="00C7318A" w:rsidRPr="00D318C4" w14:paraId="7145E592" w14:textId="77777777" w:rsidTr="00A15CD1">
        <w:tblPrEx>
          <w:tblCellMar>
            <w:left w:w="0" w:type="dxa"/>
            <w:right w:w="0" w:type="dxa"/>
          </w:tblCellMar>
          <w:tblLook w:val="0000" w:firstRow="0" w:lastRow="0" w:firstColumn="0" w:lastColumn="0" w:noHBand="0" w:noVBand="0"/>
        </w:tblPrEx>
        <w:trPr>
          <w:trHeight w:val="2283"/>
        </w:trPr>
        <w:tc>
          <w:tcPr>
            <w:tcW w:w="327" w:type="dxa"/>
            <w:gridSpan w:val="2"/>
          </w:tcPr>
          <w:p w14:paraId="4BC62BE4" w14:textId="77777777" w:rsidR="00C7318A" w:rsidRPr="00D318C4" w:rsidRDefault="00C7318A" w:rsidP="003A14EF">
            <w:pPr>
              <w:ind w:left="57" w:right="57"/>
              <w:jc w:val="both"/>
              <w:rPr>
                <w:bCs/>
                <w:sz w:val="25"/>
                <w:szCs w:val="25"/>
              </w:rPr>
            </w:pPr>
            <w:r w:rsidRPr="00D318C4">
              <w:rPr>
                <w:bCs/>
                <w:sz w:val="25"/>
                <w:szCs w:val="25"/>
              </w:rPr>
              <w:t>1.</w:t>
            </w:r>
          </w:p>
        </w:tc>
        <w:tc>
          <w:tcPr>
            <w:tcW w:w="2808" w:type="dxa"/>
          </w:tcPr>
          <w:p w14:paraId="0C8EAF5C" w14:textId="77777777" w:rsidR="00C7318A" w:rsidRPr="00D318C4" w:rsidRDefault="00C7318A" w:rsidP="003A14EF">
            <w:pPr>
              <w:tabs>
                <w:tab w:val="left" w:pos="170"/>
              </w:tabs>
              <w:ind w:left="57" w:right="57"/>
              <w:rPr>
                <w:sz w:val="25"/>
                <w:szCs w:val="25"/>
              </w:rPr>
            </w:pPr>
            <w:r w:rsidRPr="00D318C4">
              <w:rPr>
                <w:sz w:val="25"/>
                <w:szCs w:val="25"/>
              </w:rPr>
              <w:t>Plānotās sabiedrības līdzdalības un komunikācijas aktivitātes saistībā ar projektu</w:t>
            </w:r>
          </w:p>
        </w:tc>
        <w:tc>
          <w:tcPr>
            <w:tcW w:w="6514" w:type="dxa"/>
            <w:gridSpan w:val="2"/>
          </w:tcPr>
          <w:p w14:paraId="58EA149E" w14:textId="78D8EC7E" w:rsidR="00C7318A" w:rsidRPr="00D318C4" w:rsidRDefault="00C7318A" w:rsidP="003A14EF">
            <w:pPr>
              <w:shd w:val="clear" w:color="auto" w:fill="FFFFFF"/>
              <w:spacing w:after="120"/>
              <w:ind w:left="57" w:right="113"/>
              <w:jc w:val="both"/>
              <w:rPr>
                <w:sz w:val="25"/>
                <w:szCs w:val="25"/>
              </w:rPr>
            </w:pPr>
            <w:bookmarkStart w:id="0" w:name="p61"/>
            <w:bookmarkEnd w:id="0"/>
            <w:r w:rsidRPr="00D318C4">
              <w:rPr>
                <w:sz w:val="25"/>
                <w:szCs w:val="25"/>
              </w:rPr>
              <w:t xml:space="preserve">Atbilstoši normatīvo aktu prasībām Ekonomikas ministrija tās interneta tīmekļa vietnē publicē </w:t>
            </w:r>
            <w:r w:rsidR="00AD3AE1" w:rsidRPr="00D318C4">
              <w:rPr>
                <w:sz w:val="25"/>
                <w:szCs w:val="25"/>
              </w:rPr>
              <w:t xml:space="preserve">informāciju </w:t>
            </w:r>
            <w:r w:rsidRPr="00D318C4">
              <w:rPr>
                <w:sz w:val="25"/>
                <w:szCs w:val="25"/>
              </w:rPr>
              <w:t xml:space="preserve">par MK noteikumu projektu un tā virzību. </w:t>
            </w:r>
          </w:p>
          <w:p w14:paraId="2725D415" w14:textId="4F5DFEAF" w:rsidR="00C7318A" w:rsidRPr="00D318C4" w:rsidRDefault="00C7318A" w:rsidP="00AD3AE1">
            <w:pPr>
              <w:shd w:val="clear" w:color="auto" w:fill="FFFFFF"/>
              <w:ind w:left="57" w:right="113"/>
              <w:jc w:val="both"/>
              <w:rPr>
                <w:sz w:val="25"/>
                <w:szCs w:val="25"/>
              </w:rPr>
            </w:pPr>
            <w:r w:rsidRPr="00D318C4">
              <w:rPr>
                <w:sz w:val="25"/>
                <w:szCs w:val="25"/>
              </w:rPr>
              <w:t xml:space="preserve">4.2.1.2.pasākuma projektu iesniegumu vērtēšanas kritērijus plānots apstiprināt </w:t>
            </w:r>
            <w:bookmarkStart w:id="1" w:name="OLE_LINK3"/>
            <w:bookmarkStart w:id="2" w:name="OLE_LINK4"/>
            <w:r w:rsidRPr="00D318C4">
              <w:rPr>
                <w:kern w:val="24"/>
                <w:sz w:val="25"/>
                <w:szCs w:val="25"/>
              </w:rPr>
              <w:t xml:space="preserve">Eiropas Savienības struktūrfondu un Kohēzijas fonda </w:t>
            </w:r>
            <w:r w:rsidRPr="00D318C4">
              <w:rPr>
                <w:sz w:val="25"/>
                <w:szCs w:val="25"/>
              </w:rPr>
              <w:t xml:space="preserve">2014.–2020.gada plānošanas perioda </w:t>
            </w:r>
            <w:bookmarkEnd w:id="1"/>
            <w:bookmarkEnd w:id="2"/>
            <w:r w:rsidRPr="00D318C4">
              <w:rPr>
                <w:sz w:val="25"/>
                <w:szCs w:val="25"/>
              </w:rPr>
              <w:t>Uzraudzības komitejā, kuras sastāvā ir iekļauti arī sociālie, nevalstisko organizāciju un reģionālie partneri.</w:t>
            </w:r>
          </w:p>
        </w:tc>
      </w:tr>
      <w:tr w:rsidR="00C7318A" w:rsidRPr="00D318C4" w14:paraId="4A792954" w14:textId="77777777" w:rsidTr="00A15CD1">
        <w:tblPrEx>
          <w:tblCellMar>
            <w:left w:w="0" w:type="dxa"/>
            <w:right w:w="0" w:type="dxa"/>
          </w:tblCellMar>
          <w:tblLook w:val="0000" w:firstRow="0" w:lastRow="0" w:firstColumn="0" w:lastColumn="0" w:noHBand="0" w:noVBand="0"/>
        </w:tblPrEx>
        <w:trPr>
          <w:trHeight w:val="416"/>
        </w:trPr>
        <w:tc>
          <w:tcPr>
            <w:tcW w:w="327" w:type="dxa"/>
            <w:gridSpan w:val="2"/>
          </w:tcPr>
          <w:p w14:paraId="2184F7DE" w14:textId="77777777" w:rsidR="00C7318A" w:rsidRPr="00D318C4" w:rsidRDefault="00C7318A" w:rsidP="003A14EF">
            <w:pPr>
              <w:ind w:left="57" w:right="57"/>
              <w:jc w:val="both"/>
              <w:rPr>
                <w:bCs/>
                <w:sz w:val="25"/>
                <w:szCs w:val="25"/>
              </w:rPr>
            </w:pPr>
            <w:r w:rsidRPr="00D318C4">
              <w:rPr>
                <w:bCs/>
                <w:sz w:val="25"/>
                <w:szCs w:val="25"/>
              </w:rPr>
              <w:t>2.</w:t>
            </w:r>
          </w:p>
        </w:tc>
        <w:tc>
          <w:tcPr>
            <w:tcW w:w="2808" w:type="dxa"/>
          </w:tcPr>
          <w:p w14:paraId="0525D3CC" w14:textId="77777777" w:rsidR="00C7318A" w:rsidRPr="00D318C4" w:rsidRDefault="00C7318A" w:rsidP="003A14EF">
            <w:pPr>
              <w:ind w:left="57" w:right="57"/>
              <w:rPr>
                <w:sz w:val="25"/>
                <w:szCs w:val="25"/>
              </w:rPr>
            </w:pPr>
            <w:r w:rsidRPr="00D318C4">
              <w:rPr>
                <w:sz w:val="25"/>
                <w:szCs w:val="25"/>
              </w:rPr>
              <w:t>Sabiedrības līdzdalība projekta izstrādē</w:t>
            </w:r>
          </w:p>
        </w:tc>
        <w:tc>
          <w:tcPr>
            <w:tcW w:w="6514" w:type="dxa"/>
            <w:gridSpan w:val="2"/>
          </w:tcPr>
          <w:p w14:paraId="173AEBEA" w14:textId="7F3EC8F9" w:rsidR="00C7318A" w:rsidRPr="00D318C4" w:rsidRDefault="00C7318A" w:rsidP="00AD3AE1">
            <w:pPr>
              <w:shd w:val="clear" w:color="auto" w:fill="FFFFFF"/>
              <w:ind w:left="57" w:right="113"/>
              <w:jc w:val="both"/>
              <w:rPr>
                <w:kern w:val="24"/>
                <w:sz w:val="25"/>
                <w:szCs w:val="25"/>
              </w:rPr>
            </w:pPr>
            <w:bookmarkStart w:id="3" w:name="p62"/>
            <w:bookmarkEnd w:id="3"/>
            <w:r w:rsidRPr="00D318C4">
              <w:rPr>
                <w:sz w:val="25"/>
                <w:szCs w:val="25"/>
              </w:rPr>
              <w:t xml:space="preserve">4.2.1.2.pasākuma projektu iesniegumu vērtēšanas kritērijus plānots apstiprināt </w:t>
            </w:r>
            <w:r w:rsidRPr="00D318C4">
              <w:rPr>
                <w:kern w:val="24"/>
                <w:sz w:val="25"/>
                <w:szCs w:val="25"/>
              </w:rPr>
              <w:t xml:space="preserve">Eiropas Savienības struktūrfondu un Kohēzijas fonda </w:t>
            </w:r>
            <w:r w:rsidRPr="00D318C4">
              <w:rPr>
                <w:sz w:val="25"/>
                <w:szCs w:val="25"/>
              </w:rPr>
              <w:t>2014.–2020.gada plānošanas perioda Uzraudzības komitejā, kuras sastāvā ir iekļauti arī sociālie, nevalstisko organizāciju un reģionālie partneri.</w:t>
            </w:r>
          </w:p>
        </w:tc>
      </w:tr>
      <w:tr w:rsidR="00C7318A" w:rsidRPr="00D318C4" w14:paraId="7D02C9B6" w14:textId="77777777" w:rsidTr="00A15CD1">
        <w:tblPrEx>
          <w:tblCellMar>
            <w:left w:w="0" w:type="dxa"/>
            <w:right w:w="0" w:type="dxa"/>
          </w:tblCellMar>
          <w:tblLook w:val="0000" w:firstRow="0" w:lastRow="0" w:firstColumn="0" w:lastColumn="0" w:noHBand="0" w:noVBand="0"/>
        </w:tblPrEx>
        <w:trPr>
          <w:trHeight w:val="571"/>
        </w:trPr>
        <w:tc>
          <w:tcPr>
            <w:tcW w:w="327" w:type="dxa"/>
            <w:gridSpan w:val="2"/>
          </w:tcPr>
          <w:p w14:paraId="253353A2" w14:textId="77777777" w:rsidR="00C7318A" w:rsidRPr="00D318C4" w:rsidRDefault="00C7318A" w:rsidP="003A14EF">
            <w:pPr>
              <w:ind w:left="57" w:right="57"/>
              <w:jc w:val="both"/>
              <w:rPr>
                <w:bCs/>
                <w:sz w:val="25"/>
                <w:szCs w:val="25"/>
              </w:rPr>
            </w:pPr>
            <w:r w:rsidRPr="00D318C4">
              <w:rPr>
                <w:bCs/>
                <w:sz w:val="25"/>
                <w:szCs w:val="25"/>
              </w:rPr>
              <w:t>3.</w:t>
            </w:r>
          </w:p>
        </w:tc>
        <w:tc>
          <w:tcPr>
            <w:tcW w:w="2808" w:type="dxa"/>
          </w:tcPr>
          <w:p w14:paraId="3D1C38B5" w14:textId="77777777" w:rsidR="00C7318A" w:rsidRPr="00D318C4" w:rsidRDefault="00C7318A" w:rsidP="003A14EF">
            <w:pPr>
              <w:ind w:left="57" w:right="57"/>
              <w:rPr>
                <w:sz w:val="25"/>
                <w:szCs w:val="25"/>
              </w:rPr>
            </w:pPr>
            <w:r w:rsidRPr="00D318C4">
              <w:rPr>
                <w:sz w:val="25"/>
                <w:szCs w:val="25"/>
              </w:rPr>
              <w:t>Sabiedrības līdzdalības rezultāti</w:t>
            </w:r>
          </w:p>
        </w:tc>
        <w:tc>
          <w:tcPr>
            <w:tcW w:w="6514" w:type="dxa"/>
            <w:gridSpan w:val="2"/>
          </w:tcPr>
          <w:p w14:paraId="7EB83CD6" w14:textId="23C150C8" w:rsidR="00C7318A" w:rsidRPr="00D318C4" w:rsidRDefault="00C7318A" w:rsidP="003A14EF">
            <w:pPr>
              <w:ind w:left="57" w:right="57"/>
              <w:rPr>
                <w:sz w:val="25"/>
                <w:szCs w:val="25"/>
              </w:rPr>
            </w:pPr>
            <w:r w:rsidRPr="00D318C4">
              <w:rPr>
                <w:sz w:val="25"/>
                <w:szCs w:val="25"/>
              </w:rPr>
              <w:t xml:space="preserve">Saskaņoti 4.2.1.2.pasākuma projektu </w:t>
            </w:r>
            <w:r w:rsidR="00496B48" w:rsidRPr="00D318C4">
              <w:rPr>
                <w:sz w:val="25"/>
                <w:szCs w:val="25"/>
              </w:rPr>
              <w:t>iesniegumu vērtēšanas kritēriji</w:t>
            </w:r>
          </w:p>
        </w:tc>
      </w:tr>
      <w:tr w:rsidR="00C7318A" w:rsidRPr="00D318C4" w14:paraId="322A539B" w14:textId="77777777" w:rsidTr="00A15CD1">
        <w:tblPrEx>
          <w:tblCellMar>
            <w:left w:w="0" w:type="dxa"/>
            <w:right w:w="0" w:type="dxa"/>
          </w:tblCellMar>
          <w:tblLook w:val="0000" w:firstRow="0" w:lastRow="0" w:firstColumn="0" w:lastColumn="0" w:noHBand="0" w:noVBand="0"/>
        </w:tblPrEx>
        <w:trPr>
          <w:trHeight w:val="205"/>
        </w:trPr>
        <w:tc>
          <w:tcPr>
            <w:tcW w:w="327" w:type="dxa"/>
            <w:gridSpan w:val="2"/>
          </w:tcPr>
          <w:p w14:paraId="6F014194" w14:textId="77777777" w:rsidR="00C7318A" w:rsidRPr="00D318C4" w:rsidRDefault="00C7318A" w:rsidP="003A14EF">
            <w:pPr>
              <w:ind w:left="57" w:right="57"/>
              <w:jc w:val="both"/>
              <w:rPr>
                <w:bCs/>
                <w:sz w:val="25"/>
                <w:szCs w:val="25"/>
              </w:rPr>
            </w:pPr>
            <w:r w:rsidRPr="00D318C4">
              <w:rPr>
                <w:bCs/>
                <w:sz w:val="25"/>
                <w:szCs w:val="25"/>
              </w:rPr>
              <w:t>4.</w:t>
            </w:r>
          </w:p>
        </w:tc>
        <w:tc>
          <w:tcPr>
            <w:tcW w:w="2808" w:type="dxa"/>
          </w:tcPr>
          <w:p w14:paraId="1E3DAB5A" w14:textId="77777777" w:rsidR="00C7318A" w:rsidRPr="00D318C4" w:rsidRDefault="00C7318A" w:rsidP="003A14EF">
            <w:pPr>
              <w:ind w:left="57" w:right="57"/>
              <w:rPr>
                <w:sz w:val="25"/>
                <w:szCs w:val="25"/>
              </w:rPr>
            </w:pPr>
            <w:r w:rsidRPr="00D318C4">
              <w:rPr>
                <w:sz w:val="25"/>
                <w:szCs w:val="25"/>
              </w:rPr>
              <w:t>Cita informācija</w:t>
            </w:r>
          </w:p>
        </w:tc>
        <w:tc>
          <w:tcPr>
            <w:tcW w:w="6514" w:type="dxa"/>
            <w:gridSpan w:val="2"/>
          </w:tcPr>
          <w:p w14:paraId="3EE3546B" w14:textId="0D12CAC7" w:rsidR="00C7318A" w:rsidRPr="00D318C4" w:rsidRDefault="00496B48" w:rsidP="003A14EF">
            <w:pPr>
              <w:ind w:left="57" w:right="113"/>
              <w:jc w:val="both"/>
              <w:rPr>
                <w:sz w:val="25"/>
                <w:szCs w:val="25"/>
              </w:rPr>
            </w:pPr>
            <w:r w:rsidRPr="00D318C4">
              <w:rPr>
                <w:sz w:val="25"/>
                <w:szCs w:val="25"/>
              </w:rPr>
              <w:t>Nav</w:t>
            </w:r>
          </w:p>
        </w:tc>
      </w:tr>
    </w:tbl>
    <w:p w14:paraId="1CF4267C" w14:textId="77777777" w:rsidR="00C7318A" w:rsidRPr="00D318C4" w:rsidRDefault="00C7318A">
      <w:pPr>
        <w:rPr>
          <w:sz w:val="25"/>
          <w:szCs w:val="25"/>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16"/>
        <w:gridCol w:w="6496"/>
      </w:tblGrid>
      <w:tr w:rsidR="00C7318A" w:rsidRPr="00D318C4" w14:paraId="650E7301" w14:textId="77777777" w:rsidTr="00A15CD1">
        <w:trPr>
          <w:trHeight w:val="421"/>
        </w:trPr>
        <w:tc>
          <w:tcPr>
            <w:tcW w:w="9639" w:type="dxa"/>
            <w:gridSpan w:val="3"/>
            <w:vAlign w:val="center"/>
          </w:tcPr>
          <w:p w14:paraId="11EDA638" w14:textId="77777777" w:rsidR="00C7318A" w:rsidRPr="00D318C4" w:rsidRDefault="00C7318A" w:rsidP="003A14EF">
            <w:pPr>
              <w:pStyle w:val="naisnod"/>
              <w:spacing w:before="0" w:beforeAutospacing="0" w:after="0" w:afterAutospacing="0"/>
              <w:ind w:left="57" w:right="57"/>
              <w:jc w:val="center"/>
              <w:rPr>
                <w:sz w:val="25"/>
                <w:szCs w:val="25"/>
              </w:rPr>
            </w:pPr>
            <w:r w:rsidRPr="00D318C4">
              <w:rPr>
                <w:b/>
                <w:sz w:val="25"/>
                <w:szCs w:val="25"/>
              </w:rPr>
              <w:t>VII. Tiesību akta projekta izpildes nodrošināšana un tās ietekme uz institūcijām</w:t>
            </w:r>
          </w:p>
        </w:tc>
      </w:tr>
      <w:tr w:rsidR="00C7318A" w:rsidRPr="00D318C4" w14:paraId="4DE3DDF5" w14:textId="77777777" w:rsidTr="00A15CD1">
        <w:trPr>
          <w:trHeight w:val="553"/>
        </w:trPr>
        <w:tc>
          <w:tcPr>
            <w:tcW w:w="327" w:type="dxa"/>
          </w:tcPr>
          <w:p w14:paraId="765EE432" w14:textId="77777777" w:rsidR="00C7318A" w:rsidRPr="00D318C4" w:rsidRDefault="00C7318A" w:rsidP="003A14EF">
            <w:pPr>
              <w:ind w:left="57" w:right="57"/>
              <w:jc w:val="both"/>
              <w:rPr>
                <w:bCs/>
                <w:sz w:val="25"/>
                <w:szCs w:val="25"/>
              </w:rPr>
            </w:pPr>
            <w:r w:rsidRPr="00D318C4">
              <w:rPr>
                <w:bCs/>
                <w:sz w:val="25"/>
                <w:szCs w:val="25"/>
              </w:rPr>
              <w:t>1.</w:t>
            </w:r>
          </w:p>
        </w:tc>
        <w:tc>
          <w:tcPr>
            <w:tcW w:w="2816" w:type="dxa"/>
          </w:tcPr>
          <w:p w14:paraId="31655584" w14:textId="77777777" w:rsidR="00C7318A" w:rsidRPr="00D318C4" w:rsidRDefault="00C7318A" w:rsidP="003A14EF">
            <w:pPr>
              <w:ind w:left="57" w:right="57"/>
              <w:rPr>
                <w:sz w:val="25"/>
                <w:szCs w:val="25"/>
              </w:rPr>
            </w:pPr>
            <w:r w:rsidRPr="00D318C4">
              <w:rPr>
                <w:sz w:val="25"/>
                <w:szCs w:val="25"/>
              </w:rPr>
              <w:t>Projekta izpildē iesaistītās institūcijas</w:t>
            </w:r>
          </w:p>
        </w:tc>
        <w:tc>
          <w:tcPr>
            <w:tcW w:w="6496" w:type="dxa"/>
          </w:tcPr>
          <w:p w14:paraId="178E6C77" w14:textId="1C0ADC15" w:rsidR="00C7318A" w:rsidRPr="00D318C4" w:rsidRDefault="00C7318A" w:rsidP="003A14EF">
            <w:pPr>
              <w:shd w:val="clear" w:color="auto" w:fill="FFFFFF"/>
              <w:ind w:left="57" w:right="113"/>
              <w:jc w:val="both"/>
              <w:rPr>
                <w:sz w:val="25"/>
                <w:szCs w:val="25"/>
              </w:rPr>
            </w:pPr>
            <w:r w:rsidRPr="00D318C4">
              <w:rPr>
                <w:sz w:val="25"/>
                <w:szCs w:val="25"/>
              </w:rPr>
              <w:t>Ekonomikas ministrija kā atbildīgā iest</w:t>
            </w:r>
            <w:r w:rsidR="003C1A5A" w:rsidRPr="00D318C4">
              <w:rPr>
                <w:sz w:val="25"/>
                <w:szCs w:val="25"/>
              </w:rPr>
              <w:t>āde, CFLA kā sadarbības iestāde</w:t>
            </w:r>
          </w:p>
        </w:tc>
      </w:tr>
      <w:tr w:rsidR="00C7318A" w:rsidRPr="00D318C4" w14:paraId="3452100B" w14:textId="77777777" w:rsidTr="00A15CD1">
        <w:trPr>
          <w:trHeight w:val="339"/>
        </w:trPr>
        <w:tc>
          <w:tcPr>
            <w:tcW w:w="327" w:type="dxa"/>
          </w:tcPr>
          <w:p w14:paraId="39C6D9D8" w14:textId="77777777" w:rsidR="00C7318A" w:rsidRPr="00D318C4" w:rsidRDefault="00C7318A" w:rsidP="003A14EF">
            <w:pPr>
              <w:ind w:left="57" w:right="57"/>
              <w:jc w:val="both"/>
              <w:rPr>
                <w:bCs/>
                <w:sz w:val="25"/>
                <w:szCs w:val="25"/>
              </w:rPr>
            </w:pPr>
            <w:r w:rsidRPr="00D318C4">
              <w:rPr>
                <w:bCs/>
                <w:sz w:val="25"/>
                <w:szCs w:val="25"/>
              </w:rPr>
              <w:t>2.</w:t>
            </w:r>
          </w:p>
        </w:tc>
        <w:tc>
          <w:tcPr>
            <w:tcW w:w="2816" w:type="dxa"/>
          </w:tcPr>
          <w:p w14:paraId="1CA00525" w14:textId="77777777" w:rsidR="00C7318A" w:rsidRPr="00D318C4" w:rsidRDefault="00C7318A" w:rsidP="003A14EF">
            <w:pPr>
              <w:ind w:left="57" w:right="57"/>
              <w:rPr>
                <w:sz w:val="25"/>
                <w:szCs w:val="25"/>
              </w:rPr>
            </w:pPr>
            <w:r w:rsidRPr="00D318C4">
              <w:rPr>
                <w:sz w:val="25"/>
                <w:szCs w:val="25"/>
              </w:rPr>
              <w:t xml:space="preserve">Projekta izpildes ietekme uz pārvaldes funkcijām un institucionālo struktūru. </w:t>
            </w:r>
          </w:p>
          <w:p w14:paraId="41F20F78" w14:textId="77777777" w:rsidR="00C7318A" w:rsidRPr="00D318C4" w:rsidRDefault="00C7318A" w:rsidP="003A14EF">
            <w:pPr>
              <w:ind w:left="57" w:right="57"/>
              <w:rPr>
                <w:sz w:val="25"/>
                <w:szCs w:val="25"/>
              </w:rPr>
            </w:pPr>
            <w:r w:rsidRPr="00D318C4">
              <w:rPr>
                <w:sz w:val="25"/>
                <w:szCs w:val="25"/>
              </w:rPr>
              <w:t>Jaunu institūciju izveide, esošu institūciju likvidācija vai reorganizācija, to ietekme uz institūcijas cilvēkresursiem</w:t>
            </w:r>
          </w:p>
        </w:tc>
        <w:tc>
          <w:tcPr>
            <w:tcW w:w="6496" w:type="dxa"/>
          </w:tcPr>
          <w:p w14:paraId="7E483CD1" w14:textId="426D698B" w:rsidR="00C7318A" w:rsidRPr="00D318C4" w:rsidRDefault="00C7318A" w:rsidP="003A14EF">
            <w:pPr>
              <w:shd w:val="clear" w:color="auto" w:fill="FFFFFF"/>
              <w:ind w:left="57" w:right="113"/>
              <w:jc w:val="both"/>
              <w:rPr>
                <w:kern w:val="24"/>
                <w:sz w:val="25"/>
                <w:szCs w:val="25"/>
              </w:rPr>
            </w:pPr>
            <w:r w:rsidRPr="00D318C4">
              <w:rPr>
                <w:sz w:val="25"/>
                <w:szCs w:val="25"/>
              </w:rPr>
              <w:t xml:space="preserve">Nav plānota jaunu institūciju izveide, esošu institūciju </w:t>
            </w:r>
            <w:r w:rsidR="003C1A5A" w:rsidRPr="00D318C4">
              <w:rPr>
                <w:sz w:val="25"/>
                <w:szCs w:val="25"/>
              </w:rPr>
              <w:t>likvidācija vai reorga</w:t>
            </w:r>
            <w:r w:rsidR="003C1A5A" w:rsidRPr="00D318C4">
              <w:rPr>
                <w:sz w:val="25"/>
                <w:szCs w:val="25"/>
              </w:rPr>
              <w:softHyphen/>
              <w:t>nizācija</w:t>
            </w:r>
            <w:r w:rsidR="00364D86" w:rsidRPr="00D318C4">
              <w:rPr>
                <w:sz w:val="25"/>
                <w:szCs w:val="25"/>
              </w:rPr>
              <w:t>, vai institūciju pieejamiem cilvēkresursiem</w:t>
            </w:r>
          </w:p>
        </w:tc>
      </w:tr>
      <w:tr w:rsidR="00C7318A" w:rsidRPr="00D318C4" w14:paraId="734C5578" w14:textId="77777777" w:rsidTr="00A15CD1">
        <w:trPr>
          <w:trHeight w:val="319"/>
        </w:trPr>
        <w:tc>
          <w:tcPr>
            <w:tcW w:w="327" w:type="dxa"/>
          </w:tcPr>
          <w:p w14:paraId="4B3E420C" w14:textId="77777777" w:rsidR="00C7318A" w:rsidRPr="00D318C4" w:rsidRDefault="00C7318A" w:rsidP="003A14EF">
            <w:pPr>
              <w:ind w:left="57" w:right="57"/>
              <w:jc w:val="both"/>
              <w:rPr>
                <w:bCs/>
                <w:sz w:val="25"/>
                <w:szCs w:val="25"/>
              </w:rPr>
            </w:pPr>
            <w:r w:rsidRPr="00D318C4">
              <w:rPr>
                <w:bCs/>
                <w:sz w:val="25"/>
                <w:szCs w:val="25"/>
              </w:rPr>
              <w:t>3.</w:t>
            </w:r>
          </w:p>
        </w:tc>
        <w:tc>
          <w:tcPr>
            <w:tcW w:w="2816" w:type="dxa"/>
          </w:tcPr>
          <w:p w14:paraId="2E78AE36" w14:textId="77777777" w:rsidR="00C7318A" w:rsidRPr="00D318C4" w:rsidRDefault="00C7318A" w:rsidP="00C70049">
            <w:pPr>
              <w:ind w:left="57" w:right="57"/>
              <w:rPr>
                <w:sz w:val="25"/>
                <w:szCs w:val="25"/>
              </w:rPr>
            </w:pPr>
            <w:r w:rsidRPr="00D318C4">
              <w:rPr>
                <w:sz w:val="25"/>
                <w:szCs w:val="25"/>
              </w:rPr>
              <w:t>Cita informācija</w:t>
            </w:r>
          </w:p>
        </w:tc>
        <w:tc>
          <w:tcPr>
            <w:tcW w:w="6496" w:type="dxa"/>
          </w:tcPr>
          <w:p w14:paraId="66C01E03" w14:textId="4CBDF5D2" w:rsidR="00C7318A" w:rsidRPr="00D318C4" w:rsidRDefault="00496B48" w:rsidP="00C70049">
            <w:pPr>
              <w:shd w:val="clear" w:color="auto" w:fill="FFFFFF"/>
              <w:ind w:left="57" w:right="113"/>
              <w:jc w:val="both"/>
              <w:rPr>
                <w:sz w:val="25"/>
                <w:szCs w:val="25"/>
              </w:rPr>
            </w:pPr>
            <w:r w:rsidRPr="00D318C4">
              <w:rPr>
                <w:sz w:val="25"/>
                <w:szCs w:val="25"/>
              </w:rPr>
              <w:t>Nav</w:t>
            </w:r>
          </w:p>
        </w:tc>
      </w:tr>
    </w:tbl>
    <w:p w14:paraId="00F0B330" w14:textId="77777777" w:rsidR="00C7318A" w:rsidRPr="00D318C4" w:rsidRDefault="00C7318A" w:rsidP="00C7318A">
      <w:pPr>
        <w:ind w:firstLine="720"/>
        <w:jc w:val="both"/>
        <w:rPr>
          <w:sz w:val="25"/>
          <w:szCs w:val="25"/>
        </w:rPr>
      </w:pPr>
      <w:r w:rsidRPr="00D318C4">
        <w:rPr>
          <w:sz w:val="25"/>
          <w:szCs w:val="25"/>
        </w:rPr>
        <w:t xml:space="preserve">Anotācijas IV. sadaļa – MK noteikumu </w:t>
      </w:r>
      <w:r w:rsidRPr="00D318C4">
        <w:rPr>
          <w:iCs/>
          <w:sz w:val="25"/>
          <w:szCs w:val="25"/>
        </w:rPr>
        <w:t>projekts šo jomu neskar.</w:t>
      </w:r>
    </w:p>
    <w:p w14:paraId="58A0EF69" w14:textId="77777777" w:rsidR="00C7318A" w:rsidRPr="00D318C4" w:rsidRDefault="00C7318A" w:rsidP="00C7318A">
      <w:pPr>
        <w:rPr>
          <w:sz w:val="25"/>
          <w:szCs w:val="25"/>
        </w:rPr>
      </w:pPr>
    </w:p>
    <w:p w14:paraId="13AF6234" w14:textId="77777777" w:rsidR="004F5443" w:rsidRPr="00D318C4" w:rsidRDefault="004F5443" w:rsidP="004F5443">
      <w:pPr>
        <w:tabs>
          <w:tab w:val="left" w:pos="0"/>
        </w:tabs>
        <w:contextualSpacing/>
        <w:rPr>
          <w:sz w:val="25"/>
          <w:szCs w:val="25"/>
        </w:rPr>
      </w:pPr>
      <w:r w:rsidRPr="00D318C4">
        <w:rPr>
          <w:sz w:val="25"/>
          <w:szCs w:val="25"/>
        </w:rPr>
        <w:t>Ministru prezidenta biedra,</w:t>
      </w:r>
    </w:p>
    <w:p w14:paraId="4A572794" w14:textId="71600322" w:rsidR="004F5443" w:rsidRPr="00D318C4" w:rsidRDefault="004F5443" w:rsidP="004F5443">
      <w:pPr>
        <w:tabs>
          <w:tab w:val="left" w:pos="0"/>
        </w:tabs>
        <w:contextualSpacing/>
        <w:rPr>
          <w:sz w:val="25"/>
          <w:szCs w:val="25"/>
        </w:rPr>
      </w:pPr>
      <w:r w:rsidRPr="00D318C4">
        <w:rPr>
          <w:sz w:val="25"/>
          <w:szCs w:val="25"/>
        </w:rPr>
        <w:t>ekonomikas ministra pienākumu izpildītājs</w:t>
      </w:r>
      <w:r w:rsidR="009A473B" w:rsidRPr="00D318C4">
        <w:rPr>
          <w:sz w:val="25"/>
          <w:szCs w:val="25"/>
        </w:rPr>
        <w:t>,</w:t>
      </w:r>
    </w:p>
    <w:p w14:paraId="0C962592" w14:textId="77777777" w:rsidR="004F5443" w:rsidRPr="00D318C4" w:rsidRDefault="004F5443" w:rsidP="004F5443">
      <w:pPr>
        <w:keepLines/>
        <w:tabs>
          <w:tab w:val="left" w:pos="7230"/>
          <w:tab w:val="right" w:pos="9072"/>
        </w:tabs>
        <w:rPr>
          <w:sz w:val="25"/>
          <w:szCs w:val="25"/>
        </w:rPr>
      </w:pPr>
      <w:r w:rsidRPr="00D318C4">
        <w:rPr>
          <w:sz w:val="25"/>
          <w:szCs w:val="25"/>
        </w:rPr>
        <w:t>iekšlietu ministrs</w:t>
      </w:r>
      <w:r w:rsidRPr="00D318C4">
        <w:rPr>
          <w:sz w:val="25"/>
          <w:szCs w:val="25"/>
        </w:rPr>
        <w:tab/>
        <w:t>R. Kozlovskis</w:t>
      </w:r>
    </w:p>
    <w:p w14:paraId="7617B3AF" w14:textId="77777777" w:rsidR="00C7318A" w:rsidRPr="00D318C4" w:rsidRDefault="00C7318A" w:rsidP="00C7318A">
      <w:pPr>
        <w:rPr>
          <w:sz w:val="25"/>
          <w:szCs w:val="25"/>
        </w:rPr>
      </w:pPr>
    </w:p>
    <w:p w14:paraId="7569886A" w14:textId="77777777" w:rsidR="00D04E8B" w:rsidRPr="00D318C4" w:rsidRDefault="00C7318A" w:rsidP="00C7318A">
      <w:pPr>
        <w:rPr>
          <w:sz w:val="25"/>
          <w:szCs w:val="25"/>
        </w:rPr>
      </w:pPr>
      <w:r w:rsidRPr="00D318C4">
        <w:rPr>
          <w:sz w:val="25"/>
          <w:szCs w:val="25"/>
        </w:rPr>
        <w:t xml:space="preserve">Vīza: </w:t>
      </w:r>
    </w:p>
    <w:p w14:paraId="36159EA2" w14:textId="77777777" w:rsidR="00504890" w:rsidRPr="00D318C4" w:rsidRDefault="00504890" w:rsidP="00504890">
      <w:pPr>
        <w:rPr>
          <w:sz w:val="25"/>
          <w:szCs w:val="25"/>
        </w:rPr>
      </w:pPr>
      <w:r w:rsidRPr="00D318C4">
        <w:rPr>
          <w:sz w:val="25"/>
          <w:szCs w:val="25"/>
        </w:rPr>
        <w:t>Valsts sekretāra pienākumu izpildītājs,</w:t>
      </w:r>
    </w:p>
    <w:p w14:paraId="5B71241E" w14:textId="66E6015D" w:rsidR="008A7374" w:rsidRPr="00D318C4" w:rsidRDefault="00504890" w:rsidP="00504890">
      <w:pPr>
        <w:rPr>
          <w:sz w:val="25"/>
          <w:szCs w:val="25"/>
        </w:rPr>
      </w:pPr>
      <w:r w:rsidRPr="00D318C4">
        <w:rPr>
          <w:sz w:val="25"/>
          <w:szCs w:val="25"/>
        </w:rPr>
        <w:t>valsts sekretāra vietnieks</w:t>
      </w:r>
      <w:r w:rsidRPr="00D318C4">
        <w:rPr>
          <w:sz w:val="25"/>
          <w:szCs w:val="25"/>
        </w:rPr>
        <w:tab/>
      </w:r>
      <w:r w:rsidRPr="00D318C4">
        <w:rPr>
          <w:sz w:val="25"/>
          <w:szCs w:val="25"/>
        </w:rPr>
        <w:tab/>
      </w:r>
      <w:r w:rsidRPr="00D318C4">
        <w:rPr>
          <w:sz w:val="25"/>
          <w:szCs w:val="25"/>
        </w:rPr>
        <w:tab/>
      </w:r>
      <w:r w:rsidRPr="00D318C4">
        <w:rPr>
          <w:sz w:val="25"/>
          <w:szCs w:val="25"/>
        </w:rPr>
        <w:tab/>
      </w:r>
      <w:r w:rsidRPr="00D318C4">
        <w:rPr>
          <w:sz w:val="25"/>
          <w:szCs w:val="25"/>
        </w:rPr>
        <w:tab/>
      </w:r>
      <w:r w:rsidRPr="00D318C4">
        <w:rPr>
          <w:sz w:val="25"/>
          <w:szCs w:val="25"/>
        </w:rPr>
        <w:tab/>
      </w:r>
      <w:r w:rsidRPr="00D318C4">
        <w:rPr>
          <w:sz w:val="25"/>
          <w:szCs w:val="25"/>
        </w:rPr>
        <w:tab/>
        <w:t>R. Aleksejenko</w:t>
      </w:r>
    </w:p>
    <w:p w14:paraId="1E837B47" w14:textId="77777777" w:rsidR="008A7374" w:rsidRPr="00D318C4" w:rsidRDefault="008A7374" w:rsidP="00C70049">
      <w:pPr>
        <w:rPr>
          <w:sz w:val="25"/>
          <w:szCs w:val="25"/>
        </w:rPr>
      </w:pPr>
    </w:p>
    <w:p w14:paraId="53604530" w14:textId="77777777" w:rsidR="003D1126" w:rsidRDefault="003D1126" w:rsidP="00C70049">
      <w:pPr>
        <w:rPr>
          <w:sz w:val="20"/>
          <w:szCs w:val="20"/>
        </w:rPr>
      </w:pPr>
      <w:r>
        <w:rPr>
          <w:sz w:val="20"/>
          <w:szCs w:val="20"/>
        </w:rPr>
        <w:t>19.07.2016 09:21</w:t>
      </w:r>
    </w:p>
    <w:bookmarkStart w:id="4" w:name="_GoBack"/>
    <w:bookmarkEnd w:id="4"/>
    <w:p w14:paraId="6307F6A6" w14:textId="2F4B3561" w:rsidR="00C70049" w:rsidRPr="00424E00" w:rsidRDefault="00C70049" w:rsidP="00C70049">
      <w:pPr>
        <w:rPr>
          <w:sz w:val="20"/>
          <w:szCs w:val="20"/>
        </w:rPr>
      </w:pPr>
      <w:r w:rsidRPr="00424E00">
        <w:rPr>
          <w:sz w:val="20"/>
          <w:szCs w:val="20"/>
        </w:rPr>
        <w:fldChar w:fldCharType="begin"/>
      </w:r>
      <w:r w:rsidRPr="00424E00">
        <w:rPr>
          <w:sz w:val="20"/>
          <w:szCs w:val="20"/>
        </w:rPr>
        <w:instrText xml:space="preserve"> NUMWORDS   \* MERGEFORMAT </w:instrText>
      </w:r>
      <w:r w:rsidRPr="00424E00">
        <w:rPr>
          <w:sz w:val="20"/>
          <w:szCs w:val="20"/>
        </w:rPr>
        <w:fldChar w:fldCharType="separate"/>
      </w:r>
      <w:r w:rsidR="00777064">
        <w:rPr>
          <w:noProof/>
          <w:sz w:val="20"/>
          <w:szCs w:val="20"/>
        </w:rPr>
        <w:t>5213</w:t>
      </w:r>
      <w:r w:rsidRPr="00424E00">
        <w:rPr>
          <w:sz w:val="20"/>
          <w:szCs w:val="20"/>
        </w:rPr>
        <w:fldChar w:fldCharType="end"/>
      </w:r>
    </w:p>
    <w:p w14:paraId="3F4A0820" w14:textId="2B27426B" w:rsidR="00C7318A" w:rsidRPr="00424E00" w:rsidRDefault="00C7318A" w:rsidP="00C70049">
      <w:pPr>
        <w:rPr>
          <w:sz w:val="20"/>
          <w:szCs w:val="20"/>
        </w:rPr>
      </w:pPr>
      <w:r w:rsidRPr="00424E00">
        <w:rPr>
          <w:sz w:val="20"/>
          <w:szCs w:val="20"/>
        </w:rPr>
        <w:t>I.</w:t>
      </w:r>
      <w:r w:rsidR="002D5264" w:rsidRPr="00424E00">
        <w:rPr>
          <w:sz w:val="20"/>
          <w:szCs w:val="20"/>
        </w:rPr>
        <w:t> </w:t>
      </w:r>
      <w:r w:rsidR="001655F9" w:rsidRPr="00424E00">
        <w:rPr>
          <w:sz w:val="20"/>
          <w:szCs w:val="20"/>
        </w:rPr>
        <w:t>Muceniece</w:t>
      </w:r>
    </w:p>
    <w:p w14:paraId="162681C7" w14:textId="77777777" w:rsidR="00C7318A" w:rsidRPr="00424E00" w:rsidRDefault="00C7318A" w:rsidP="00C7318A">
      <w:pPr>
        <w:rPr>
          <w:sz w:val="20"/>
          <w:szCs w:val="20"/>
        </w:rPr>
      </w:pPr>
      <w:r w:rsidRPr="00424E00">
        <w:rPr>
          <w:sz w:val="20"/>
          <w:szCs w:val="20"/>
        </w:rPr>
        <w:t>Tel.: 67013171</w:t>
      </w:r>
    </w:p>
    <w:p w14:paraId="7B1D3DA4" w14:textId="498A89D1" w:rsidR="00D318C4" w:rsidRPr="00424E00" w:rsidRDefault="00C7318A">
      <w:pPr>
        <w:rPr>
          <w:sz w:val="25"/>
          <w:szCs w:val="25"/>
        </w:rPr>
      </w:pPr>
      <w:r w:rsidRPr="00424E00">
        <w:rPr>
          <w:sz w:val="20"/>
          <w:szCs w:val="20"/>
        </w:rPr>
        <w:t xml:space="preserve">e-pasts: </w:t>
      </w:r>
      <w:hyperlink r:id="rId9" w:history="1">
        <w:r w:rsidR="001655F9" w:rsidRPr="00424E00">
          <w:rPr>
            <w:rStyle w:val="Hyperlink"/>
            <w:color w:val="auto"/>
            <w:sz w:val="20"/>
            <w:szCs w:val="20"/>
          </w:rPr>
          <w:t>Iveta.Muceniece@em.gov.lv</w:t>
        </w:r>
      </w:hyperlink>
      <w:r w:rsidRPr="00424E00">
        <w:rPr>
          <w:rStyle w:val="Hyperlink"/>
          <w:color w:val="auto"/>
          <w:sz w:val="25"/>
          <w:szCs w:val="25"/>
        </w:rPr>
        <w:t xml:space="preserve"> </w:t>
      </w:r>
    </w:p>
    <w:sectPr w:rsidR="00D318C4" w:rsidRPr="00424E00" w:rsidSect="00D318C4">
      <w:headerReference w:type="default" r:id="rId10"/>
      <w:footerReference w:type="even" r:id="rId11"/>
      <w:footerReference w:type="default" r:id="rId12"/>
      <w:pgSz w:w="11906" w:h="16838" w:code="9"/>
      <w:pgMar w:top="993"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2ACD" w14:textId="77777777" w:rsidR="00BC262C" w:rsidRDefault="00BC262C" w:rsidP="00053BDB">
      <w:r>
        <w:separator/>
      </w:r>
    </w:p>
  </w:endnote>
  <w:endnote w:type="continuationSeparator" w:id="0">
    <w:p w14:paraId="4E7720A1" w14:textId="77777777" w:rsidR="00BC262C" w:rsidRDefault="00BC262C" w:rsidP="0005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52271" w14:textId="77777777" w:rsidR="00514C61" w:rsidRPr="00053BDB" w:rsidRDefault="00514C61" w:rsidP="00053BD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D1D8B" w14:textId="46B196D5" w:rsidR="00514C61" w:rsidRPr="00053BDB" w:rsidRDefault="00514C61" w:rsidP="00F13C26">
    <w:pPr>
      <w:ind w:right="-427"/>
      <w:jc w:val="both"/>
      <w:rPr>
        <w:sz w:val="20"/>
        <w:szCs w:val="20"/>
      </w:rPr>
    </w:pPr>
    <w:r w:rsidRPr="00053BDB">
      <w:rPr>
        <w:sz w:val="20"/>
        <w:szCs w:val="20"/>
      </w:rPr>
      <w:t>EMAnot_4212SAM_</w:t>
    </w:r>
    <w:r>
      <w:rPr>
        <w:sz w:val="20"/>
        <w:szCs w:val="20"/>
      </w:rPr>
      <w:t>1</w:t>
    </w:r>
    <w:r w:rsidR="004F5443">
      <w:rPr>
        <w:sz w:val="20"/>
        <w:szCs w:val="20"/>
      </w:rPr>
      <w:t>9</w:t>
    </w:r>
    <w:r>
      <w:rPr>
        <w:sz w:val="20"/>
        <w:szCs w:val="20"/>
      </w:rPr>
      <w:t>07</w:t>
    </w:r>
    <w:r w:rsidRPr="00053BDB">
      <w:rPr>
        <w:sz w:val="20"/>
        <w:szCs w:val="20"/>
      </w:rPr>
      <w:t>2016.docx; Ministru kabineta noteikumu projekta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99158" w14:textId="77777777" w:rsidR="00BC262C" w:rsidRDefault="00BC262C" w:rsidP="00053BDB">
      <w:r>
        <w:separator/>
      </w:r>
    </w:p>
  </w:footnote>
  <w:footnote w:type="continuationSeparator" w:id="0">
    <w:p w14:paraId="09CF2ED0" w14:textId="77777777" w:rsidR="00BC262C" w:rsidRDefault="00BC262C" w:rsidP="00053BDB">
      <w:r>
        <w:continuationSeparator/>
      </w:r>
    </w:p>
  </w:footnote>
  <w:footnote w:id="1">
    <w:p w14:paraId="055B4560" w14:textId="77777777" w:rsidR="00514C61" w:rsidRDefault="00514C61" w:rsidP="00912232">
      <w:pPr>
        <w:pStyle w:val="FootnoteText"/>
        <w:ind w:right="-427"/>
        <w:jc w:val="both"/>
      </w:pPr>
      <w:r>
        <w:rPr>
          <w:rStyle w:val="FootnoteReference"/>
        </w:rPr>
        <w:footnoteRef/>
      </w:r>
      <w:r>
        <w:t xml:space="preserve">Ekonomikas ministrijas tīmekļa vietne: </w:t>
      </w:r>
    </w:p>
    <w:p w14:paraId="79A3E50D" w14:textId="1981184B" w:rsidR="00514C61" w:rsidRDefault="00514C61" w:rsidP="00912232">
      <w:pPr>
        <w:pStyle w:val="FootnoteText"/>
        <w:ind w:right="-427"/>
        <w:jc w:val="both"/>
      </w:pPr>
      <w:r w:rsidRPr="00DF39E6">
        <w:t>https://www.em.gov.lv/lv/nozares_politika/majokli/eku_energoefektivitate/no_direktivas_2012_27_es_par_energoefektivitati_izrietosas_prasibas/</w:t>
      </w:r>
    </w:p>
  </w:footnote>
  <w:footnote w:id="2">
    <w:p w14:paraId="04278E66" w14:textId="77777777" w:rsidR="00514C61" w:rsidRDefault="00514C61" w:rsidP="00912232">
      <w:pPr>
        <w:pStyle w:val="FootnoteText"/>
        <w:ind w:right="-427"/>
        <w:jc w:val="both"/>
      </w:pPr>
      <w:r>
        <w:rPr>
          <w:rStyle w:val="FootnoteReference"/>
        </w:rPr>
        <w:footnoteRef/>
      </w:r>
      <w:r w:rsidRPr="007050B2">
        <w:t>Pasākumam piemērojamā publiskā finansējuma snieguma rezerve tiek piemērota finansējuma saņēmējiem otrajā projektu iesniegumu atlases kārtā. Papildus informācija par valsts kapitālsabiedrībām tiks sniegta līdz ar otrās kārtas MK noteikumu izstrādi.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7602"/>
      <w:docPartObj>
        <w:docPartGallery w:val="Page Numbers (Top of Page)"/>
        <w:docPartUnique/>
      </w:docPartObj>
    </w:sdtPr>
    <w:sdtEndPr>
      <w:rPr>
        <w:noProof/>
      </w:rPr>
    </w:sdtEndPr>
    <w:sdtContent>
      <w:p w14:paraId="294E0DFF" w14:textId="4D8EF14D" w:rsidR="00514C61" w:rsidRDefault="00514C61">
        <w:pPr>
          <w:pStyle w:val="Header"/>
          <w:jc w:val="center"/>
        </w:pPr>
        <w:r>
          <w:fldChar w:fldCharType="begin"/>
        </w:r>
        <w:r>
          <w:instrText xml:space="preserve"> PAGE   \* MERGEFORMAT </w:instrText>
        </w:r>
        <w:r>
          <w:fldChar w:fldCharType="separate"/>
        </w:r>
        <w:r w:rsidR="003D1126">
          <w:rPr>
            <w:noProof/>
          </w:rPr>
          <w:t>16</w:t>
        </w:r>
        <w:r>
          <w:rPr>
            <w:noProof/>
          </w:rPr>
          <w:fldChar w:fldCharType="end"/>
        </w:r>
      </w:p>
    </w:sdtContent>
  </w:sdt>
  <w:p w14:paraId="0274057A" w14:textId="77777777" w:rsidR="00514C61" w:rsidRPr="00053BDB" w:rsidRDefault="00514C61" w:rsidP="00053BD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743"/>
    <w:multiLevelType w:val="hybridMultilevel"/>
    <w:tmpl w:val="990AA4A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383F10"/>
    <w:multiLevelType w:val="hybridMultilevel"/>
    <w:tmpl w:val="29200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310507"/>
    <w:multiLevelType w:val="hybridMultilevel"/>
    <w:tmpl w:val="E258D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5714F"/>
    <w:multiLevelType w:val="hybridMultilevel"/>
    <w:tmpl w:val="7C4004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7C5375"/>
    <w:multiLevelType w:val="hybridMultilevel"/>
    <w:tmpl w:val="F48EAE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A80772"/>
    <w:multiLevelType w:val="hybridMultilevel"/>
    <w:tmpl w:val="B44079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56ECC"/>
    <w:multiLevelType w:val="hybridMultilevel"/>
    <w:tmpl w:val="CD3E68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E511C5"/>
    <w:multiLevelType w:val="multilevel"/>
    <w:tmpl w:val="5A909E1E"/>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512F8B"/>
    <w:multiLevelType w:val="hybridMultilevel"/>
    <w:tmpl w:val="3BAE14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787051"/>
    <w:multiLevelType w:val="hybridMultilevel"/>
    <w:tmpl w:val="3BAE14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892EAD"/>
    <w:multiLevelType w:val="hybridMultilevel"/>
    <w:tmpl w:val="C24690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D57341"/>
    <w:multiLevelType w:val="hybridMultilevel"/>
    <w:tmpl w:val="BADC31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0B058C"/>
    <w:multiLevelType w:val="hybridMultilevel"/>
    <w:tmpl w:val="F3DAB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710EF"/>
    <w:multiLevelType w:val="hybridMultilevel"/>
    <w:tmpl w:val="8B583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BC533AF"/>
    <w:multiLevelType w:val="hybridMultilevel"/>
    <w:tmpl w:val="1F8209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487A12"/>
    <w:multiLevelType w:val="hybridMultilevel"/>
    <w:tmpl w:val="A02E6E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717A0D"/>
    <w:multiLevelType w:val="hybridMultilevel"/>
    <w:tmpl w:val="7C764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C83030"/>
    <w:multiLevelType w:val="hybridMultilevel"/>
    <w:tmpl w:val="F48EAE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D21A44"/>
    <w:multiLevelType w:val="hybridMultilevel"/>
    <w:tmpl w:val="C31477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EC59A7"/>
    <w:multiLevelType w:val="hybridMultilevel"/>
    <w:tmpl w:val="33EA27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C944A9"/>
    <w:multiLevelType w:val="hybridMultilevel"/>
    <w:tmpl w:val="3BA4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48476F"/>
    <w:multiLevelType w:val="hybridMultilevel"/>
    <w:tmpl w:val="4488721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4"/>
  </w:num>
  <w:num w:numId="5">
    <w:abstractNumId w:val="3"/>
  </w:num>
  <w:num w:numId="6">
    <w:abstractNumId w:val="5"/>
  </w:num>
  <w:num w:numId="7">
    <w:abstractNumId w:val="20"/>
  </w:num>
  <w:num w:numId="8">
    <w:abstractNumId w:val="1"/>
  </w:num>
  <w:num w:numId="9">
    <w:abstractNumId w:val="10"/>
  </w:num>
  <w:num w:numId="10">
    <w:abstractNumId w:val="13"/>
  </w:num>
  <w:num w:numId="11">
    <w:abstractNumId w:val="9"/>
  </w:num>
  <w:num w:numId="12">
    <w:abstractNumId w:val="21"/>
  </w:num>
  <w:num w:numId="13">
    <w:abstractNumId w:val="11"/>
  </w:num>
  <w:num w:numId="14">
    <w:abstractNumId w:val="0"/>
  </w:num>
  <w:num w:numId="15">
    <w:abstractNumId w:val="18"/>
  </w:num>
  <w:num w:numId="16">
    <w:abstractNumId w:val="7"/>
  </w:num>
  <w:num w:numId="17">
    <w:abstractNumId w:val="19"/>
  </w:num>
  <w:num w:numId="18">
    <w:abstractNumId w:val="2"/>
  </w:num>
  <w:num w:numId="19">
    <w:abstractNumId w:val="8"/>
  </w:num>
  <w:num w:numId="20">
    <w:abstractNumId w:val="12"/>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B"/>
    <w:rsid w:val="00012D7F"/>
    <w:rsid w:val="00021A35"/>
    <w:rsid w:val="00022516"/>
    <w:rsid w:val="0002402C"/>
    <w:rsid w:val="0003352A"/>
    <w:rsid w:val="00040501"/>
    <w:rsid w:val="00046798"/>
    <w:rsid w:val="00047DFA"/>
    <w:rsid w:val="00053BDB"/>
    <w:rsid w:val="00064469"/>
    <w:rsid w:val="000647D2"/>
    <w:rsid w:val="00071D7B"/>
    <w:rsid w:val="00077CCD"/>
    <w:rsid w:val="000821BD"/>
    <w:rsid w:val="0008474F"/>
    <w:rsid w:val="00086BC3"/>
    <w:rsid w:val="000A2B5F"/>
    <w:rsid w:val="000A2FDB"/>
    <w:rsid w:val="000A6381"/>
    <w:rsid w:val="000C1E3F"/>
    <w:rsid w:val="000C78FF"/>
    <w:rsid w:val="000D580B"/>
    <w:rsid w:val="00113F79"/>
    <w:rsid w:val="00120721"/>
    <w:rsid w:val="00123A2A"/>
    <w:rsid w:val="00125DC1"/>
    <w:rsid w:val="00144BF4"/>
    <w:rsid w:val="00146C72"/>
    <w:rsid w:val="001550A1"/>
    <w:rsid w:val="001655F9"/>
    <w:rsid w:val="00170FBF"/>
    <w:rsid w:val="001712FB"/>
    <w:rsid w:val="00172B20"/>
    <w:rsid w:val="001779A5"/>
    <w:rsid w:val="0018254F"/>
    <w:rsid w:val="00185308"/>
    <w:rsid w:val="001963EF"/>
    <w:rsid w:val="001B1061"/>
    <w:rsid w:val="001C16F9"/>
    <w:rsid w:val="001C3203"/>
    <w:rsid w:val="001C4D09"/>
    <w:rsid w:val="001C63E8"/>
    <w:rsid w:val="001D0A4C"/>
    <w:rsid w:val="001D31C4"/>
    <w:rsid w:val="001E6904"/>
    <w:rsid w:val="001F1271"/>
    <w:rsid w:val="00204846"/>
    <w:rsid w:val="00206BC8"/>
    <w:rsid w:val="00211E6B"/>
    <w:rsid w:val="00221D9A"/>
    <w:rsid w:val="00226A5D"/>
    <w:rsid w:val="00233521"/>
    <w:rsid w:val="00260200"/>
    <w:rsid w:val="002635E1"/>
    <w:rsid w:val="00283EF8"/>
    <w:rsid w:val="002B2B44"/>
    <w:rsid w:val="002C5C03"/>
    <w:rsid w:val="002C656F"/>
    <w:rsid w:val="002D5264"/>
    <w:rsid w:val="002E38C9"/>
    <w:rsid w:val="002F4EBC"/>
    <w:rsid w:val="002F6B78"/>
    <w:rsid w:val="0030599B"/>
    <w:rsid w:val="00312732"/>
    <w:rsid w:val="00315C62"/>
    <w:rsid w:val="00321D42"/>
    <w:rsid w:val="00334FDF"/>
    <w:rsid w:val="00344524"/>
    <w:rsid w:val="00351E95"/>
    <w:rsid w:val="00364D86"/>
    <w:rsid w:val="003827A9"/>
    <w:rsid w:val="0038579C"/>
    <w:rsid w:val="00391D32"/>
    <w:rsid w:val="003A14EF"/>
    <w:rsid w:val="003A7BEB"/>
    <w:rsid w:val="003B40FD"/>
    <w:rsid w:val="003C14EB"/>
    <w:rsid w:val="003C1A5A"/>
    <w:rsid w:val="003C76AF"/>
    <w:rsid w:val="003D1126"/>
    <w:rsid w:val="003E6707"/>
    <w:rsid w:val="003F7C4A"/>
    <w:rsid w:val="00416455"/>
    <w:rsid w:val="00424E00"/>
    <w:rsid w:val="00431745"/>
    <w:rsid w:val="00446686"/>
    <w:rsid w:val="00451844"/>
    <w:rsid w:val="0047738A"/>
    <w:rsid w:val="00477EA8"/>
    <w:rsid w:val="004954C5"/>
    <w:rsid w:val="004967BB"/>
    <w:rsid w:val="004968A3"/>
    <w:rsid w:val="00496B48"/>
    <w:rsid w:val="00497ADB"/>
    <w:rsid w:val="004A7ECF"/>
    <w:rsid w:val="004B2B79"/>
    <w:rsid w:val="004D57B1"/>
    <w:rsid w:val="004D732F"/>
    <w:rsid w:val="004E71FE"/>
    <w:rsid w:val="004F5443"/>
    <w:rsid w:val="004F5B76"/>
    <w:rsid w:val="00504890"/>
    <w:rsid w:val="005065F9"/>
    <w:rsid w:val="0050729E"/>
    <w:rsid w:val="005112CE"/>
    <w:rsid w:val="00514C61"/>
    <w:rsid w:val="00517E1D"/>
    <w:rsid w:val="005343F6"/>
    <w:rsid w:val="00536274"/>
    <w:rsid w:val="00543FFF"/>
    <w:rsid w:val="0055763C"/>
    <w:rsid w:val="005605E8"/>
    <w:rsid w:val="00561AAE"/>
    <w:rsid w:val="0056778E"/>
    <w:rsid w:val="00570E33"/>
    <w:rsid w:val="00580771"/>
    <w:rsid w:val="00583AC6"/>
    <w:rsid w:val="00585BBE"/>
    <w:rsid w:val="00592769"/>
    <w:rsid w:val="005931D5"/>
    <w:rsid w:val="00593696"/>
    <w:rsid w:val="00593EAD"/>
    <w:rsid w:val="00595C3D"/>
    <w:rsid w:val="005A4F8E"/>
    <w:rsid w:val="005B7F77"/>
    <w:rsid w:val="005C4913"/>
    <w:rsid w:val="005D49EE"/>
    <w:rsid w:val="005D6C57"/>
    <w:rsid w:val="006060B0"/>
    <w:rsid w:val="006128B5"/>
    <w:rsid w:val="00613635"/>
    <w:rsid w:val="00616BDB"/>
    <w:rsid w:val="00637F82"/>
    <w:rsid w:val="0065188B"/>
    <w:rsid w:val="00655851"/>
    <w:rsid w:val="006613D0"/>
    <w:rsid w:val="00676A6D"/>
    <w:rsid w:val="00694945"/>
    <w:rsid w:val="006A51EE"/>
    <w:rsid w:val="006A602A"/>
    <w:rsid w:val="006B0E03"/>
    <w:rsid w:val="006B10B9"/>
    <w:rsid w:val="006C12CE"/>
    <w:rsid w:val="006D2ED2"/>
    <w:rsid w:val="006D37A9"/>
    <w:rsid w:val="006D402C"/>
    <w:rsid w:val="006F0403"/>
    <w:rsid w:val="006F0941"/>
    <w:rsid w:val="006F2C0E"/>
    <w:rsid w:val="006F34C5"/>
    <w:rsid w:val="006F6E12"/>
    <w:rsid w:val="00703777"/>
    <w:rsid w:val="007053A0"/>
    <w:rsid w:val="00713335"/>
    <w:rsid w:val="00721B82"/>
    <w:rsid w:val="00731E9A"/>
    <w:rsid w:val="00737CBC"/>
    <w:rsid w:val="00737E48"/>
    <w:rsid w:val="00755A80"/>
    <w:rsid w:val="007572F9"/>
    <w:rsid w:val="00757D6E"/>
    <w:rsid w:val="0076035E"/>
    <w:rsid w:val="00762FF0"/>
    <w:rsid w:val="00770B8B"/>
    <w:rsid w:val="00777064"/>
    <w:rsid w:val="007904B1"/>
    <w:rsid w:val="007A0DFE"/>
    <w:rsid w:val="007B6E76"/>
    <w:rsid w:val="007C2DEB"/>
    <w:rsid w:val="007C3A7E"/>
    <w:rsid w:val="007D1A16"/>
    <w:rsid w:val="007D4195"/>
    <w:rsid w:val="007E12D3"/>
    <w:rsid w:val="007E2608"/>
    <w:rsid w:val="007E4EDE"/>
    <w:rsid w:val="008014C2"/>
    <w:rsid w:val="00804C92"/>
    <w:rsid w:val="00811C98"/>
    <w:rsid w:val="00820863"/>
    <w:rsid w:val="0083078C"/>
    <w:rsid w:val="00840D43"/>
    <w:rsid w:val="00841F65"/>
    <w:rsid w:val="0084437F"/>
    <w:rsid w:val="008465D0"/>
    <w:rsid w:val="008616C0"/>
    <w:rsid w:val="00880833"/>
    <w:rsid w:val="00881E16"/>
    <w:rsid w:val="00882A85"/>
    <w:rsid w:val="00890277"/>
    <w:rsid w:val="008A7374"/>
    <w:rsid w:val="008A7993"/>
    <w:rsid w:val="008B71B8"/>
    <w:rsid w:val="008C7343"/>
    <w:rsid w:val="008F64AB"/>
    <w:rsid w:val="00901215"/>
    <w:rsid w:val="00912232"/>
    <w:rsid w:val="00914A69"/>
    <w:rsid w:val="00915E03"/>
    <w:rsid w:val="00923E57"/>
    <w:rsid w:val="00925F5B"/>
    <w:rsid w:val="00927549"/>
    <w:rsid w:val="00931ABF"/>
    <w:rsid w:val="00932DE3"/>
    <w:rsid w:val="009344CD"/>
    <w:rsid w:val="009417ED"/>
    <w:rsid w:val="00961FFA"/>
    <w:rsid w:val="00973434"/>
    <w:rsid w:val="00987B7E"/>
    <w:rsid w:val="00997174"/>
    <w:rsid w:val="00997756"/>
    <w:rsid w:val="009A2B55"/>
    <w:rsid w:val="009A473B"/>
    <w:rsid w:val="009B57A0"/>
    <w:rsid w:val="009D52AD"/>
    <w:rsid w:val="009F2593"/>
    <w:rsid w:val="009F78CF"/>
    <w:rsid w:val="00A06F91"/>
    <w:rsid w:val="00A07D12"/>
    <w:rsid w:val="00A15CD1"/>
    <w:rsid w:val="00A16B4F"/>
    <w:rsid w:val="00A17AD7"/>
    <w:rsid w:val="00A23D12"/>
    <w:rsid w:val="00A36A57"/>
    <w:rsid w:val="00A40EE5"/>
    <w:rsid w:val="00A6541F"/>
    <w:rsid w:val="00A768AC"/>
    <w:rsid w:val="00A842F3"/>
    <w:rsid w:val="00A87B0D"/>
    <w:rsid w:val="00A9343B"/>
    <w:rsid w:val="00A954A2"/>
    <w:rsid w:val="00A9628B"/>
    <w:rsid w:val="00A97A4E"/>
    <w:rsid w:val="00AA45C5"/>
    <w:rsid w:val="00AB668B"/>
    <w:rsid w:val="00AC051F"/>
    <w:rsid w:val="00AC20E4"/>
    <w:rsid w:val="00AD2889"/>
    <w:rsid w:val="00AD3AE1"/>
    <w:rsid w:val="00AD5BAB"/>
    <w:rsid w:val="00AE48EE"/>
    <w:rsid w:val="00AE77CD"/>
    <w:rsid w:val="00AF1D43"/>
    <w:rsid w:val="00B00D0E"/>
    <w:rsid w:val="00B01EB2"/>
    <w:rsid w:val="00B05196"/>
    <w:rsid w:val="00B06A39"/>
    <w:rsid w:val="00B123B4"/>
    <w:rsid w:val="00B153EC"/>
    <w:rsid w:val="00B17DD9"/>
    <w:rsid w:val="00B23692"/>
    <w:rsid w:val="00B35A66"/>
    <w:rsid w:val="00B40115"/>
    <w:rsid w:val="00B4167B"/>
    <w:rsid w:val="00B4660E"/>
    <w:rsid w:val="00B5565E"/>
    <w:rsid w:val="00B55B3B"/>
    <w:rsid w:val="00B62BD3"/>
    <w:rsid w:val="00B63EAD"/>
    <w:rsid w:val="00B67A66"/>
    <w:rsid w:val="00B804D6"/>
    <w:rsid w:val="00B8058A"/>
    <w:rsid w:val="00B8614A"/>
    <w:rsid w:val="00B97E53"/>
    <w:rsid w:val="00BA399B"/>
    <w:rsid w:val="00BC262C"/>
    <w:rsid w:val="00BC5BDA"/>
    <w:rsid w:val="00BD2854"/>
    <w:rsid w:val="00BE2270"/>
    <w:rsid w:val="00BF0376"/>
    <w:rsid w:val="00BF1194"/>
    <w:rsid w:val="00BF46CC"/>
    <w:rsid w:val="00C06D07"/>
    <w:rsid w:val="00C26316"/>
    <w:rsid w:val="00C3699F"/>
    <w:rsid w:val="00C46F5C"/>
    <w:rsid w:val="00C553B7"/>
    <w:rsid w:val="00C65488"/>
    <w:rsid w:val="00C70049"/>
    <w:rsid w:val="00C7009B"/>
    <w:rsid w:val="00C707EC"/>
    <w:rsid w:val="00C7193B"/>
    <w:rsid w:val="00C72795"/>
    <w:rsid w:val="00C7284A"/>
    <w:rsid w:val="00C7318A"/>
    <w:rsid w:val="00C91FF3"/>
    <w:rsid w:val="00C9712F"/>
    <w:rsid w:val="00CA1941"/>
    <w:rsid w:val="00CA48F4"/>
    <w:rsid w:val="00CA54DF"/>
    <w:rsid w:val="00CB0FCB"/>
    <w:rsid w:val="00CB6AD6"/>
    <w:rsid w:val="00CC1756"/>
    <w:rsid w:val="00CD0FFE"/>
    <w:rsid w:val="00CE203A"/>
    <w:rsid w:val="00CF127E"/>
    <w:rsid w:val="00CF21AF"/>
    <w:rsid w:val="00D04E8B"/>
    <w:rsid w:val="00D05F4D"/>
    <w:rsid w:val="00D161F0"/>
    <w:rsid w:val="00D177E3"/>
    <w:rsid w:val="00D2699B"/>
    <w:rsid w:val="00D318C4"/>
    <w:rsid w:val="00D4054B"/>
    <w:rsid w:val="00D446C2"/>
    <w:rsid w:val="00D4686C"/>
    <w:rsid w:val="00D46A3D"/>
    <w:rsid w:val="00D60818"/>
    <w:rsid w:val="00D65117"/>
    <w:rsid w:val="00D762BA"/>
    <w:rsid w:val="00DA233F"/>
    <w:rsid w:val="00DA5D41"/>
    <w:rsid w:val="00DA6C27"/>
    <w:rsid w:val="00DB7BFF"/>
    <w:rsid w:val="00DD6F62"/>
    <w:rsid w:val="00DE49DF"/>
    <w:rsid w:val="00DE7713"/>
    <w:rsid w:val="00DF3755"/>
    <w:rsid w:val="00E11ACB"/>
    <w:rsid w:val="00E34C02"/>
    <w:rsid w:val="00E43CD7"/>
    <w:rsid w:val="00E47704"/>
    <w:rsid w:val="00E635F8"/>
    <w:rsid w:val="00E74C8A"/>
    <w:rsid w:val="00E853E5"/>
    <w:rsid w:val="00E86654"/>
    <w:rsid w:val="00E87928"/>
    <w:rsid w:val="00E93579"/>
    <w:rsid w:val="00EA71CA"/>
    <w:rsid w:val="00ED3698"/>
    <w:rsid w:val="00EE1594"/>
    <w:rsid w:val="00EE3D33"/>
    <w:rsid w:val="00EE57AB"/>
    <w:rsid w:val="00EF61AE"/>
    <w:rsid w:val="00EF6597"/>
    <w:rsid w:val="00EF6B85"/>
    <w:rsid w:val="00EF7127"/>
    <w:rsid w:val="00F118FC"/>
    <w:rsid w:val="00F13C26"/>
    <w:rsid w:val="00F1464F"/>
    <w:rsid w:val="00F1588A"/>
    <w:rsid w:val="00F51E86"/>
    <w:rsid w:val="00F55033"/>
    <w:rsid w:val="00F56704"/>
    <w:rsid w:val="00F75A98"/>
    <w:rsid w:val="00F86E8F"/>
    <w:rsid w:val="00F93345"/>
    <w:rsid w:val="00F95DDA"/>
    <w:rsid w:val="00F96DB2"/>
    <w:rsid w:val="00FA1C70"/>
    <w:rsid w:val="00FA297A"/>
    <w:rsid w:val="00FA2B67"/>
    <w:rsid w:val="00FD0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2A79"/>
  <w15:chartTrackingRefBased/>
  <w15:docId w15:val="{79E68276-0D65-4DD3-A461-698AF950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DB"/>
    <w:rPr>
      <w:rFonts w:eastAsia="Calibri"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BDB"/>
    <w:pPr>
      <w:tabs>
        <w:tab w:val="center" w:pos="4153"/>
        <w:tab w:val="right" w:pos="8306"/>
      </w:tabs>
    </w:pPr>
  </w:style>
  <w:style w:type="character" w:customStyle="1" w:styleId="HeaderChar">
    <w:name w:val="Header Char"/>
    <w:basedOn w:val="DefaultParagraphFont"/>
    <w:link w:val="Header"/>
    <w:uiPriority w:val="99"/>
    <w:rsid w:val="00053BDB"/>
    <w:rPr>
      <w:rFonts w:eastAsia="Calibri" w:cs="Times New Roman"/>
      <w:sz w:val="24"/>
      <w:szCs w:val="24"/>
      <w:lang w:eastAsia="lv-LV"/>
    </w:rPr>
  </w:style>
  <w:style w:type="paragraph" w:styleId="Footer">
    <w:name w:val="footer"/>
    <w:basedOn w:val="Normal"/>
    <w:link w:val="FooterChar"/>
    <w:uiPriority w:val="99"/>
    <w:unhideWhenUsed/>
    <w:rsid w:val="00053BDB"/>
    <w:pPr>
      <w:tabs>
        <w:tab w:val="center" w:pos="4153"/>
        <w:tab w:val="right" w:pos="8306"/>
      </w:tabs>
    </w:pPr>
  </w:style>
  <w:style w:type="character" w:customStyle="1" w:styleId="FooterChar">
    <w:name w:val="Footer Char"/>
    <w:basedOn w:val="DefaultParagraphFont"/>
    <w:link w:val="Footer"/>
    <w:uiPriority w:val="99"/>
    <w:rsid w:val="00053BDB"/>
    <w:rPr>
      <w:rFonts w:eastAsia="Calibri" w:cs="Times New Roman"/>
      <w:sz w:val="24"/>
      <w:szCs w:val="24"/>
      <w:lang w:eastAsia="lv-LV"/>
    </w:rPr>
  </w:style>
  <w:style w:type="paragraph" w:styleId="ListParagraph">
    <w:name w:val="List Paragraph"/>
    <w:aliases w:val="2,Strip,H&amp;P List Paragraph"/>
    <w:basedOn w:val="Normal"/>
    <w:link w:val="ListParagraphChar"/>
    <w:uiPriority w:val="34"/>
    <w:qFormat/>
    <w:rsid w:val="00DF3755"/>
    <w:pPr>
      <w:ind w:left="720"/>
      <w:contextualSpacing/>
    </w:p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DF3755"/>
    <w:rPr>
      <w:rFonts w:eastAsia="Times New Roman"/>
      <w:sz w:val="20"/>
      <w:szCs w:val="20"/>
      <w:lang w:eastAsia="en-US"/>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DF3755"/>
    <w:rPr>
      <w:rFonts w:eastAsia="Times New Roman" w:cs="Times New Roman"/>
      <w:sz w:val="20"/>
      <w:szCs w:val="20"/>
    </w:rPr>
  </w:style>
  <w:style w:type="character" w:styleId="FootnoteReference">
    <w:name w:val="footnote reference"/>
    <w:aliases w:val="Footnote Reference Superscript,Footnote Reference Number,SUPERS"/>
    <w:uiPriority w:val="99"/>
    <w:rsid w:val="00DF3755"/>
    <w:rPr>
      <w:vertAlign w:val="superscript"/>
    </w:rPr>
  </w:style>
  <w:style w:type="paragraph" w:styleId="BodyText2">
    <w:name w:val="Body Text 2"/>
    <w:basedOn w:val="Normal"/>
    <w:link w:val="BodyText2Char"/>
    <w:semiHidden/>
    <w:rsid w:val="00DF3755"/>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3755"/>
    <w:rPr>
      <w:rFonts w:eastAsia="Calibri" w:cs="Times New Roman"/>
      <w:b/>
      <w:bCs/>
      <w:szCs w:val="28"/>
      <w:lang w:val="x-none" w:eastAsia="x-none"/>
    </w:rPr>
  </w:style>
  <w:style w:type="character" w:customStyle="1" w:styleId="ListParagraphChar">
    <w:name w:val="List Paragraph Char"/>
    <w:aliases w:val="2 Char,Strip Char,H&amp;P List Paragraph Char"/>
    <w:link w:val="ListParagraph"/>
    <w:uiPriority w:val="34"/>
    <w:rsid w:val="00DF3755"/>
    <w:rPr>
      <w:rFonts w:eastAsia="Calibri" w:cs="Times New Roman"/>
      <w:sz w:val="24"/>
      <w:szCs w:val="24"/>
      <w:lang w:eastAsia="lv-LV"/>
    </w:rPr>
  </w:style>
  <w:style w:type="paragraph" w:styleId="BalloonText">
    <w:name w:val="Balloon Text"/>
    <w:basedOn w:val="Normal"/>
    <w:link w:val="BalloonTextChar"/>
    <w:uiPriority w:val="99"/>
    <w:semiHidden/>
    <w:unhideWhenUsed/>
    <w:rsid w:val="0012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1"/>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F1588A"/>
    <w:rPr>
      <w:sz w:val="16"/>
      <w:szCs w:val="16"/>
    </w:rPr>
  </w:style>
  <w:style w:type="paragraph" w:styleId="CommentText">
    <w:name w:val="annotation text"/>
    <w:basedOn w:val="Normal"/>
    <w:link w:val="CommentTextChar"/>
    <w:uiPriority w:val="99"/>
    <w:unhideWhenUsed/>
    <w:rsid w:val="00F1588A"/>
    <w:rPr>
      <w:sz w:val="20"/>
      <w:szCs w:val="20"/>
    </w:rPr>
  </w:style>
  <w:style w:type="character" w:customStyle="1" w:styleId="CommentTextChar">
    <w:name w:val="Comment Text Char"/>
    <w:basedOn w:val="DefaultParagraphFont"/>
    <w:link w:val="CommentText"/>
    <w:uiPriority w:val="99"/>
    <w:rsid w:val="00F1588A"/>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588A"/>
    <w:rPr>
      <w:b/>
      <w:bCs/>
    </w:rPr>
  </w:style>
  <w:style w:type="character" w:customStyle="1" w:styleId="CommentSubjectChar">
    <w:name w:val="Comment Subject Char"/>
    <w:basedOn w:val="CommentTextChar"/>
    <w:link w:val="CommentSubject"/>
    <w:uiPriority w:val="99"/>
    <w:semiHidden/>
    <w:rsid w:val="00F1588A"/>
    <w:rPr>
      <w:rFonts w:eastAsia="Calibri" w:cs="Times New Roman"/>
      <w:b/>
      <w:bCs/>
      <w:sz w:val="20"/>
      <w:szCs w:val="20"/>
      <w:lang w:eastAsia="lv-LV"/>
    </w:rPr>
  </w:style>
  <w:style w:type="character" w:styleId="Hyperlink">
    <w:name w:val="Hyperlink"/>
    <w:uiPriority w:val="99"/>
    <w:rsid w:val="00755A80"/>
    <w:rPr>
      <w:rFonts w:cs="Times New Roman"/>
      <w:color w:val="0000FF"/>
      <w:u w:val="single"/>
    </w:rPr>
  </w:style>
  <w:style w:type="paragraph" w:customStyle="1" w:styleId="naisnod">
    <w:name w:val="naisnod"/>
    <w:basedOn w:val="Normal"/>
    <w:rsid w:val="00C7318A"/>
    <w:pPr>
      <w:spacing w:before="100" w:beforeAutospacing="1" w:after="100" w:afterAutospacing="1"/>
    </w:pPr>
    <w:rPr>
      <w:rFonts w:eastAsia="Times New Roman"/>
    </w:rPr>
  </w:style>
  <w:style w:type="paragraph" w:customStyle="1" w:styleId="tv213">
    <w:name w:val="tv213"/>
    <w:basedOn w:val="Normal"/>
    <w:rsid w:val="006D2ED2"/>
    <w:pPr>
      <w:spacing w:before="100" w:beforeAutospacing="1" w:after="100" w:afterAutospacing="1"/>
      <w:ind w:left="567" w:hanging="709"/>
      <w:jc w:val="both"/>
    </w:pPr>
    <w:rPr>
      <w:rFonts w:eastAsia="Times New Roman"/>
    </w:rPr>
  </w:style>
  <w:style w:type="paragraph" w:styleId="Revision">
    <w:name w:val="Revision"/>
    <w:hidden/>
    <w:uiPriority w:val="99"/>
    <w:semiHidden/>
    <w:rsid w:val="00536274"/>
    <w:rPr>
      <w:rFonts w:eastAsia="Calibr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5194">
      <w:bodyDiv w:val="1"/>
      <w:marLeft w:val="0"/>
      <w:marRight w:val="0"/>
      <w:marTop w:val="0"/>
      <w:marBottom w:val="0"/>
      <w:divBdr>
        <w:top w:val="none" w:sz="0" w:space="0" w:color="auto"/>
        <w:left w:val="none" w:sz="0" w:space="0" w:color="auto"/>
        <w:bottom w:val="none" w:sz="0" w:space="0" w:color="auto"/>
        <w:right w:val="none" w:sz="0" w:space="0" w:color="auto"/>
      </w:divBdr>
    </w:div>
    <w:div w:id="856621496">
      <w:bodyDiv w:val="1"/>
      <w:marLeft w:val="0"/>
      <w:marRight w:val="0"/>
      <w:marTop w:val="0"/>
      <w:marBottom w:val="0"/>
      <w:divBdr>
        <w:top w:val="none" w:sz="0" w:space="0" w:color="auto"/>
        <w:left w:val="none" w:sz="0" w:space="0" w:color="auto"/>
        <w:bottom w:val="none" w:sz="0" w:space="0" w:color="auto"/>
        <w:right w:val="none" w:sz="0" w:space="0" w:color="auto"/>
      </w:divBdr>
    </w:div>
    <w:div w:id="192086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eta.Muceniec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15CB-2A08-47F8-94D5-C38EA28A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1</Pages>
  <Words>26894</Words>
  <Characters>15331</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Darbības programmas “Izaugsme un nodarbinātība” 4.2.1.specifiskā atbalsta mērķa “Veicināt energoefektivitātes paaugstināšanu valsts un dzīvojamās ēkās” 4.2.1.2.pasākuma “Veicināt energoefektivitātes paaugstināšanu valsts ēkās” pirmās projektu iesniegumu a</vt:lpstr>
    </vt:vector>
  </TitlesOfParts>
  <Company/>
  <LinksUpToDate>false</LinksUpToDate>
  <CharactersWithSpaces>42141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 sākotnējās ietekmes novērtējuma ziņojums (anotācija)</dc:title>
  <dc:subject/>
  <dc:creator>Iveta.Muceniece@em.gov.lv</dc:creator>
  <cp:keywords/>
  <dc:description>67013171, Iveta.Muceniece@em.gov.lv</dc:description>
  <cp:lastModifiedBy>Iveta Muceniece</cp:lastModifiedBy>
  <cp:revision>97</cp:revision>
  <cp:lastPrinted>2016-06-30T06:03:00Z</cp:lastPrinted>
  <dcterms:created xsi:type="dcterms:W3CDTF">2016-05-16T05:45:00Z</dcterms:created>
  <dcterms:modified xsi:type="dcterms:W3CDTF">2016-07-19T06:21:00Z</dcterms:modified>
</cp:coreProperties>
</file>