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45" w:rsidRDefault="00193E45" w:rsidP="006338C0">
      <w:pPr>
        <w:jc w:val="center"/>
        <w:rPr>
          <w:b/>
          <w:sz w:val="28"/>
          <w:szCs w:val="28"/>
        </w:rPr>
      </w:pPr>
      <w:bookmarkStart w:id="0" w:name="OLE_LINK3"/>
      <w:bookmarkStart w:id="1" w:name="OLE_LINK4"/>
      <w:bookmarkStart w:id="2" w:name="OLE_LINK5"/>
      <w:bookmarkStart w:id="3" w:name="OLE_LINK1"/>
      <w:bookmarkStart w:id="4" w:name="OLE_LINK2"/>
      <w:r w:rsidRPr="00295128">
        <w:rPr>
          <w:b/>
          <w:sz w:val="28"/>
          <w:szCs w:val="28"/>
        </w:rPr>
        <w:t>Ministru kabineta noteikumu projekta</w:t>
      </w:r>
      <w:r w:rsidR="006338C0" w:rsidRPr="00295128">
        <w:rPr>
          <w:b/>
          <w:sz w:val="28"/>
          <w:szCs w:val="28"/>
        </w:rPr>
        <w:t xml:space="preserve"> </w:t>
      </w:r>
      <w:bookmarkEnd w:id="0"/>
      <w:bookmarkEnd w:id="1"/>
      <w:bookmarkEnd w:id="2"/>
      <w:bookmarkEnd w:id="3"/>
      <w:bookmarkEnd w:id="4"/>
      <w:r w:rsidR="00134A58" w:rsidRPr="00295128">
        <w:rPr>
          <w:b/>
          <w:sz w:val="28"/>
          <w:szCs w:val="28"/>
        </w:rPr>
        <w:t>„ Grozījumi Ministru kabineta 2011.gada 19.aprīļa noteikumos Nr.312 “Enerģijas lietotāju apgādes un kurināmā pārdošanas kārtība izsludinātas enerģētiskās krīzes laikā un valsts apdraudējuma gadījumā”” sākotnējās ietekmes novērtējuma ziņojums (anotācija)</w:t>
      </w:r>
    </w:p>
    <w:p w:rsidR="00EB5417" w:rsidRDefault="00EB5417" w:rsidP="006338C0">
      <w:pPr>
        <w:jc w:val="center"/>
        <w:rPr>
          <w:b/>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493"/>
      </w:tblGrid>
      <w:tr w:rsidR="00193E45" w:rsidRPr="00295128" w:rsidTr="003F1BD6">
        <w:tc>
          <w:tcPr>
            <w:tcW w:w="9194" w:type="dxa"/>
            <w:gridSpan w:val="3"/>
            <w:vAlign w:val="center"/>
          </w:tcPr>
          <w:p w:rsidR="00193E45" w:rsidRPr="00295128" w:rsidRDefault="00193E45" w:rsidP="00912A6D">
            <w:pPr>
              <w:jc w:val="center"/>
              <w:rPr>
                <w:sz w:val="28"/>
                <w:szCs w:val="28"/>
              </w:rPr>
            </w:pPr>
            <w:r w:rsidRPr="00295128">
              <w:rPr>
                <w:b/>
                <w:sz w:val="28"/>
                <w:szCs w:val="28"/>
              </w:rPr>
              <w:t>I. Tiesību akta projekta izstrādes nepieciešamība</w:t>
            </w:r>
          </w:p>
        </w:tc>
      </w:tr>
      <w:tr w:rsidR="00193E45" w:rsidRPr="00B3412A" w:rsidTr="003F1BD6">
        <w:trPr>
          <w:trHeight w:val="439"/>
        </w:trPr>
        <w:tc>
          <w:tcPr>
            <w:tcW w:w="524" w:type="dxa"/>
          </w:tcPr>
          <w:p w:rsidR="00193E45" w:rsidRPr="00295128" w:rsidRDefault="00193E45" w:rsidP="00912A6D">
            <w:pPr>
              <w:ind w:left="57" w:right="57"/>
              <w:rPr>
                <w:sz w:val="28"/>
                <w:szCs w:val="28"/>
              </w:rPr>
            </w:pPr>
            <w:r w:rsidRPr="00295128">
              <w:rPr>
                <w:sz w:val="28"/>
                <w:szCs w:val="28"/>
              </w:rPr>
              <w:t> 1.</w:t>
            </w:r>
          </w:p>
        </w:tc>
        <w:tc>
          <w:tcPr>
            <w:tcW w:w="3177" w:type="dxa"/>
          </w:tcPr>
          <w:p w:rsidR="00193E45" w:rsidRPr="00295128" w:rsidRDefault="00193E45" w:rsidP="00EB1A2C">
            <w:pPr>
              <w:ind w:left="57" w:right="57"/>
              <w:jc w:val="both"/>
              <w:rPr>
                <w:sz w:val="28"/>
                <w:szCs w:val="28"/>
              </w:rPr>
            </w:pPr>
            <w:r w:rsidRPr="00295128">
              <w:rPr>
                <w:sz w:val="28"/>
                <w:szCs w:val="28"/>
              </w:rPr>
              <w:t>Pamatojums</w:t>
            </w:r>
          </w:p>
        </w:tc>
        <w:tc>
          <w:tcPr>
            <w:tcW w:w="5493" w:type="dxa"/>
          </w:tcPr>
          <w:p w:rsidR="00193E45" w:rsidRPr="00295128" w:rsidRDefault="00134A58" w:rsidP="00A9667B">
            <w:pPr>
              <w:ind w:left="57" w:right="57"/>
              <w:jc w:val="both"/>
              <w:rPr>
                <w:sz w:val="28"/>
                <w:szCs w:val="28"/>
              </w:rPr>
            </w:pPr>
            <w:r w:rsidRPr="00295128">
              <w:rPr>
                <w:sz w:val="28"/>
                <w:szCs w:val="28"/>
              </w:rPr>
              <w:t>Ministr</w:t>
            </w:r>
            <w:r w:rsidR="00FD412C" w:rsidRPr="00295128">
              <w:rPr>
                <w:sz w:val="28"/>
                <w:szCs w:val="28"/>
              </w:rPr>
              <w:t>u kabineta noteikumu projekts „</w:t>
            </w:r>
            <w:r w:rsidRPr="00295128">
              <w:rPr>
                <w:sz w:val="28"/>
                <w:szCs w:val="28"/>
              </w:rPr>
              <w:t xml:space="preserve">Grozījumi Ministru kabineta 2011.gada </w:t>
            </w:r>
            <w:r w:rsidR="00C94150">
              <w:rPr>
                <w:sz w:val="28"/>
                <w:szCs w:val="28"/>
              </w:rPr>
              <w:t>19.aprīļa noteikumos Nr.312 „</w:t>
            </w:r>
            <w:r w:rsidRPr="00295128">
              <w:rPr>
                <w:sz w:val="28"/>
                <w:szCs w:val="28"/>
              </w:rPr>
              <w:t>Enerģijas lietotāju apgādes un kurināmā pārdošanas kārtība izsludinātas enerģētiskās krīzes laikā un valsts apdraudējuma gadījumā”” (turpmāk – noteikumu projekts) ir izstrādāts, pamatojoties uz Eiropas Parlamenta un Padomes 2010. gada 20.oktobra Regulas (ES) Nr. 994/2010 par gāzes piegādes drošības aizsardzības pasākumiem un Padomes Direktīvas 2004/67/EK atcelšanu (turpmāk – Regula</w:t>
            </w:r>
            <w:r w:rsidR="007C026A">
              <w:rPr>
                <w:sz w:val="28"/>
                <w:szCs w:val="28"/>
              </w:rPr>
              <w:t>)</w:t>
            </w:r>
            <w:r w:rsidRPr="00295128">
              <w:rPr>
                <w:sz w:val="28"/>
                <w:szCs w:val="28"/>
              </w:rPr>
              <w:t xml:space="preserve"> prasībām</w:t>
            </w:r>
            <w:r w:rsidR="00764BB4">
              <w:rPr>
                <w:sz w:val="28"/>
                <w:szCs w:val="28"/>
              </w:rPr>
              <w:t xml:space="preserve"> un </w:t>
            </w:r>
            <w:r w:rsidR="00764BB4" w:rsidRPr="00764BB4">
              <w:rPr>
                <w:sz w:val="28"/>
                <w:szCs w:val="28"/>
              </w:rPr>
              <w:t>Komisijas 2015.gada 28.oktobra atzinum</w:t>
            </w:r>
            <w:r w:rsidR="00764BB4">
              <w:rPr>
                <w:sz w:val="28"/>
                <w:szCs w:val="28"/>
              </w:rPr>
              <w:t>u</w:t>
            </w:r>
            <w:r w:rsidR="00764BB4" w:rsidRPr="00764BB4">
              <w:rPr>
                <w:sz w:val="28"/>
                <w:szCs w:val="28"/>
              </w:rPr>
              <w:t xml:space="preserve"> saskaņā ar Regulu, par Preventīvās rīcības plānu un Ārkārtas rīcības plānu, ko Latvijas Republikas kompetentā iestāde iesniegusi Eiropas Komisijai (turpmāk – Komisijas atzinums)</w:t>
            </w:r>
          </w:p>
        </w:tc>
      </w:tr>
      <w:tr w:rsidR="00193E45" w:rsidRPr="00FB6110" w:rsidTr="003F1BD6">
        <w:trPr>
          <w:trHeight w:val="977"/>
        </w:trPr>
        <w:tc>
          <w:tcPr>
            <w:tcW w:w="524" w:type="dxa"/>
          </w:tcPr>
          <w:p w:rsidR="00193E45" w:rsidRPr="00295128" w:rsidRDefault="00193E45" w:rsidP="00912A6D">
            <w:pPr>
              <w:ind w:left="57" w:right="57"/>
              <w:rPr>
                <w:sz w:val="28"/>
                <w:szCs w:val="28"/>
              </w:rPr>
            </w:pPr>
            <w:r w:rsidRPr="00295128">
              <w:rPr>
                <w:sz w:val="28"/>
                <w:szCs w:val="28"/>
              </w:rPr>
              <w:t> 2.</w:t>
            </w:r>
          </w:p>
        </w:tc>
        <w:tc>
          <w:tcPr>
            <w:tcW w:w="3177" w:type="dxa"/>
          </w:tcPr>
          <w:p w:rsidR="00193E45" w:rsidRPr="00295128" w:rsidRDefault="00193E45" w:rsidP="00CD0E4D">
            <w:pPr>
              <w:tabs>
                <w:tab w:val="center" w:pos="4153"/>
                <w:tab w:val="right" w:pos="8306"/>
              </w:tabs>
              <w:ind w:right="35"/>
              <w:jc w:val="both"/>
              <w:rPr>
                <w:sz w:val="28"/>
                <w:szCs w:val="28"/>
              </w:rPr>
            </w:pPr>
            <w:r w:rsidRPr="00295128">
              <w:rPr>
                <w:sz w:val="28"/>
                <w:szCs w:val="28"/>
              </w:rPr>
              <w:t xml:space="preserve">Pašreizējā situācija un problēmas, kuru risināšanai tiesību akta projekts izstrādāts, tiesiskā </w:t>
            </w:r>
            <w:r w:rsidRPr="00245FDD">
              <w:rPr>
                <w:rFonts w:eastAsia="Calibri"/>
                <w:noProof/>
                <w:sz w:val="28"/>
                <w:szCs w:val="28"/>
                <w:lang w:eastAsia="en-US"/>
              </w:rPr>
              <w:t>regulējuma</w:t>
            </w:r>
            <w:r w:rsidRPr="00295128">
              <w:rPr>
                <w:sz w:val="28"/>
                <w:szCs w:val="28"/>
              </w:rPr>
              <w:t xml:space="preserve"> mērķis un būtība</w:t>
            </w:r>
            <w:r w:rsidR="00245FDD">
              <w:rPr>
                <w:sz w:val="28"/>
                <w:szCs w:val="28"/>
              </w:rPr>
              <w:t>.</w:t>
            </w:r>
          </w:p>
        </w:tc>
        <w:tc>
          <w:tcPr>
            <w:tcW w:w="5493" w:type="dxa"/>
          </w:tcPr>
          <w:p w:rsidR="00CF7496" w:rsidRPr="00FB6110" w:rsidRDefault="00AA5C8D" w:rsidP="00A9667B">
            <w:pPr>
              <w:autoSpaceDE w:val="0"/>
              <w:autoSpaceDN w:val="0"/>
              <w:adjustRightInd w:val="0"/>
              <w:ind w:left="107" w:right="142"/>
              <w:jc w:val="both"/>
              <w:rPr>
                <w:color w:val="000000"/>
                <w:sz w:val="28"/>
                <w:szCs w:val="28"/>
              </w:rPr>
            </w:pPr>
            <w:r w:rsidRPr="00FB6110">
              <w:rPr>
                <w:color w:val="000000"/>
                <w:sz w:val="28"/>
                <w:szCs w:val="28"/>
              </w:rPr>
              <w:t xml:space="preserve">Ņemot vērā Regulas prasību par periodisku </w:t>
            </w:r>
            <w:r w:rsidR="00050F0B" w:rsidRPr="00FB6110">
              <w:rPr>
                <w:color w:val="000000"/>
                <w:sz w:val="28"/>
                <w:szCs w:val="28"/>
              </w:rPr>
              <w:t>dabasgāzes apgādes drošības risku novērtējum</w:t>
            </w:r>
            <w:r w:rsidRPr="00FB6110">
              <w:rPr>
                <w:color w:val="000000"/>
                <w:sz w:val="28"/>
                <w:szCs w:val="28"/>
              </w:rPr>
              <w:t xml:space="preserve">a veikšanu un Preventīvās rīcības plāna un Ārkārtas rīcības plāna </w:t>
            </w:r>
            <w:r w:rsidR="007D4E63" w:rsidRPr="00FB6110">
              <w:rPr>
                <w:color w:val="000000"/>
                <w:sz w:val="28"/>
                <w:szCs w:val="28"/>
              </w:rPr>
              <w:t>pārskatīšanu, Ekonomikas ministrija veica</w:t>
            </w:r>
            <w:r w:rsidRPr="00FB6110">
              <w:rPr>
                <w:color w:val="000000"/>
                <w:sz w:val="28"/>
                <w:szCs w:val="28"/>
              </w:rPr>
              <w:t xml:space="preserve"> </w:t>
            </w:r>
            <w:r w:rsidR="007D4E63" w:rsidRPr="00FB6110">
              <w:rPr>
                <w:color w:val="000000"/>
                <w:sz w:val="28"/>
                <w:szCs w:val="28"/>
              </w:rPr>
              <w:t>dabasgāzes apgādes drošības risku novērtējum</w:t>
            </w:r>
            <w:r w:rsidR="003665DE" w:rsidRPr="00FB6110">
              <w:rPr>
                <w:color w:val="000000"/>
                <w:sz w:val="28"/>
                <w:szCs w:val="28"/>
              </w:rPr>
              <w:t>u</w:t>
            </w:r>
            <w:r w:rsidR="007D4E63" w:rsidRPr="00FB6110">
              <w:rPr>
                <w:color w:val="000000"/>
                <w:sz w:val="28"/>
                <w:szCs w:val="28"/>
              </w:rPr>
              <w:t xml:space="preserve">, </w:t>
            </w:r>
            <w:r w:rsidRPr="00FB6110">
              <w:rPr>
                <w:color w:val="000000"/>
                <w:sz w:val="28"/>
                <w:szCs w:val="28"/>
              </w:rPr>
              <w:t>uz kur</w:t>
            </w:r>
            <w:r w:rsidR="009D3070" w:rsidRPr="00FB6110">
              <w:rPr>
                <w:color w:val="000000"/>
                <w:sz w:val="28"/>
                <w:szCs w:val="28"/>
              </w:rPr>
              <w:t>u</w:t>
            </w:r>
            <w:r w:rsidRPr="00FB6110">
              <w:rPr>
                <w:color w:val="000000"/>
                <w:sz w:val="28"/>
                <w:szCs w:val="28"/>
              </w:rPr>
              <w:t xml:space="preserve"> balstoties</w:t>
            </w:r>
            <w:r w:rsidR="009D3070" w:rsidRPr="00FB6110">
              <w:rPr>
                <w:color w:val="000000"/>
                <w:sz w:val="28"/>
                <w:szCs w:val="28"/>
              </w:rPr>
              <w:t>,</w:t>
            </w:r>
            <w:r w:rsidR="00050F0B" w:rsidRPr="00FB6110">
              <w:rPr>
                <w:color w:val="000000"/>
                <w:sz w:val="28"/>
                <w:szCs w:val="28"/>
              </w:rPr>
              <w:t xml:space="preserve"> </w:t>
            </w:r>
            <w:r w:rsidRPr="00FB6110">
              <w:rPr>
                <w:color w:val="000000"/>
                <w:sz w:val="28"/>
                <w:szCs w:val="28"/>
              </w:rPr>
              <w:t>a</w:t>
            </w:r>
            <w:r w:rsidR="003665DE" w:rsidRPr="00FB6110">
              <w:rPr>
                <w:color w:val="000000"/>
                <w:sz w:val="28"/>
                <w:szCs w:val="28"/>
              </w:rPr>
              <w:t xml:space="preserve">ktualizēja 2013.gada 23.maijā </w:t>
            </w:r>
            <w:r w:rsidR="009D3070" w:rsidRPr="00FB6110">
              <w:rPr>
                <w:color w:val="000000"/>
                <w:sz w:val="28"/>
                <w:szCs w:val="28"/>
              </w:rPr>
              <w:t xml:space="preserve">ar Ekonomikas ministrijas rīkojumu Nr. 98 </w:t>
            </w:r>
            <w:r w:rsidR="003665DE" w:rsidRPr="00FB6110">
              <w:rPr>
                <w:color w:val="000000"/>
                <w:sz w:val="28"/>
                <w:szCs w:val="28"/>
              </w:rPr>
              <w:t xml:space="preserve">apstiprināto  </w:t>
            </w:r>
            <w:r w:rsidR="007D4E63" w:rsidRPr="00FB6110">
              <w:rPr>
                <w:color w:val="000000"/>
                <w:sz w:val="28"/>
                <w:szCs w:val="28"/>
              </w:rPr>
              <w:t>Preventīvās rīcības plān</w:t>
            </w:r>
            <w:r w:rsidR="003665DE" w:rsidRPr="00FB6110">
              <w:rPr>
                <w:color w:val="000000"/>
                <w:sz w:val="28"/>
                <w:szCs w:val="28"/>
              </w:rPr>
              <w:t xml:space="preserve">u </w:t>
            </w:r>
            <w:r w:rsidR="007D4E63" w:rsidRPr="00FB6110">
              <w:rPr>
                <w:color w:val="000000"/>
                <w:sz w:val="28"/>
                <w:szCs w:val="28"/>
              </w:rPr>
              <w:t>un Ārkārtas rīcības plān</w:t>
            </w:r>
            <w:r w:rsidR="003665DE" w:rsidRPr="00FB6110">
              <w:rPr>
                <w:color w:val="000000"/>
                <w:sz w:val="28"/>
                <w:szCs w:val="28"/>
              </w:rPr>
              <w:t>u</w:t>
            </w:r>
            <w:r w:rsidR="00FF7703" w:rsidRPr="00FB6110">
              <w:rPr>
                <w:color w:val="000000"/>
                <w:sz w:val="28"/>
                <w:szCs w:val="28"/>
              </w:rPr>
              <w:t>.</w:t>
            </w:r>
            <w:r w:rsidR="007D4E63" w:rsidRPr="00FB6110">
              <w:rPr>
                <w:color w:val="000000"/>
                <w:sz w:val="28"/>
                <w:szCs w:val="28"/>
              </w:rPr>
              <w:t xml:space="preserve"> </w:t>
            </w:r>
            <w:r w:rsidR="00FF7703" w:rsidRPr="00FB6110">
              <w:rPr>
                <w:color w:val="000000"/>
                <w:sz w:val="28"/>
                <w:szCs w:val="28"/>
              </w:rPr>
              <w:t>Abi</w:t>
            </w:r>
            <w:r w:rsidR="008447F9" w:rsidRPr="00FB6110">
              <w:rPr>
                <w:color w:val="000000"/>
                <w:sz w:val="28"/>
                <w:szCs w:val="28"/>
              </w:rPr>
              <w:t xml:space="preserve"> rīcības plān</w:t>
            </w:r>
            <w:r w:rsidR="00FF7703" w:rsidRPr="00FB6110">
              <w:rPr>
                <w:color w:val="000000"/>
                <w:sz w:val="28"/>
                <w:szCs w:val="28"/>
              </w:rPr>
              <w:t>i</w:t>
            </w:r>
            <w:r w:rsidR="008447F9" w:rsidRPr="00FB6110">
              <w:rPr>
                <w:color w:val="000000"/>
                <w:sz w:val="28"/>
                <w:szCs w:val="28"/>
              </w:rPr>
              <w:t xml:space="preserve"> </w:t>
            </w:r>
            <w:r w:rsidR="00924625" w:rsidRPr="00FB6110">
              <w:rPr>
                <w:color w:val="000000"/>
                <w:sz w:val="28"/>
                <w:szCs w:val="28"/>
              </w:rPr>
              <w:t xml:space="preserve">2015.gada 23.jūlijā </w:t>
            </w:r>
            <w:r w:rsidR="00FF7703" w:rsidRPr="00FB6110">
              <w:rPr>
                <w:color w:val="000000"/>
                <w:sz w:val="28"/>
                <w:szCs w:val="28"/>
              </w:rPr>
              <w:t>tika nosūtīti</w:t>
            </w:r>
            <w:r w:rsidR="00924625" w:rsidRPr="00FB6110">
              <w:rPr>
                <w:color w:val="000000"/>
                <w:sz w:val="28"/>
                <w:szCs w:val="28"/>
              </w:rPr>
              <w:t xml:space="preserve"> Eiropas</w:t>
            </w:r>
            <w:r w:rsidR="008447F9" w:rsidRPr="00FB6110">
              <w:rPr>
                <w:color w:val="000000"/>
                <w:sz w:val="28"/>
                <w:szCs w:val="28"/>
              </w:rPr>
              <w:t xml:space="preserve"> Komisijai. </w:t>
            </w:r>
            <w:r w:rsidR="000D2E82" w:rsidRPr="00FB6110">
              <w:rPr>
                <w:color w:val="000000"/>
                <w:sz w:val="28"/>
                <w:szCs w:val="28"/>
              </w:rPr>
              <w:t>Komisijas atzinumā</w:t>
            </w:r>
            <w:r w:rsidR="00CF7496" w:rsidRPr="00FB6110">
              <w:rPr>
                <w:color w:val="000000"/>
                <w:sz w:val="28"/>
                <w:szCs w:val="28"/>
              </w:rPr>
              <w:t xml:space="preserve"> </w:t>
            </w:r>
            <w:r w:rsidR="00924625" w:rsidRPr="00FB6110">
              <w:rPr>
                <w:color w:val="000000"/>
                <w:sz w:val="28"/>
                <w:szCs w:val="28"/>
              </w:rPr>
              <w:t xml:space="preserve">īpaši </w:t>
            </w:r>
            <w:r w:rsidR="00CF7496" w:rsidRPr="00FB6110">
              <w:rPr>
                <w:color w:val="000000"/>
                <w:sz w:val="28"/>
                <w:szCs w:val="28"/>
              </w:rPr>
              <w:t xml:space="preserve">tika </w:t>
            </w:r>
            <w:r w:rsidR="00924625" w:rsidRPr="00FB6110">
              <w:rPr>
                <w:color w:val="000000"/>
                <w:sz w:val="28"/>
                <w:szCs w:val="28"/>
              </w:rPr>
              <w:t xml:space="preserve">uzteikts riska novērtējuma detalizētais izklāsts, iespējamo vājo vietu analīze un vajadzīgo </w:t>
            </w:r>
            <w:r w:rsidR="00CF7496" w:rsidRPr="00FB6110">
              <w:rPr>
                <w:color w:val="000000"/>
                <w:sz w:val="28"/>
                <w:szCs w:val="28"/>
              </w:rPr>
              <w:t xml:space="preserve">infrastruktūras projektu apraksts. Tā kā abos rīcības plānos ir atsauce uz  </w:t>
            </w:r>
            <w:r w:rsidR="00CF7496" w:rsidRPr="00FB6110">
              <w:rPr>
                <w:rFonts w:eastAsia="SimSun"/>
                <w:sz w:val="28"/>
                <w:szCs w:val="28"/>
                <w:lang w:eastAsia="zh-CN"/>
              </w:rPr>
              <w:t>Ministru kabineta 2011.gada 19.aprīļa noteikumiem</w:t>
            </w:r>
            <w:r w:rsidR="00C94150" w:rsidRPr="00FB6110">
              <w:rPr>
                <w:rFonts w:eastAsia="SimSun"/>
                <w:sz w:val="28"/>
                <w:szCs w:val="28"/>
                <w:lang w:eastAsia="zh-CN"/>
              </w:rPr>
              <w:t xml:space="preserve"> Nr.312</w:t>
            </w:r>
            <w:r w:rsidR="000D2E82" w:rsidRPr="00FB6110">
              <w:rPr>
                <w:rFonts w:eastAsia="SimSun"/>
                <w:sz w:val="28"/>
                <w:szCs w:val="28"/>
                <w:lang w:eastAsia="zh-CN"/>
              </w:rPr>
              <w:t xml:space="preserve"> </w:t>
            </w:r>
            <w:r w:rsidR="00C94150" w:rsidRPr="00FB6110">
              <w:rPr>
                <w:sz w:val="28"/>
                <w:szCs w:val="28"/>
              </w:rPr>
              <w:t>„</w:t>
            </w:r>
            <w:r w:rsidR="00CF7496" w:rsidRPr="00FB6110">
              <w:rPr>
                <w:rFonts w:eastAsia="SimSun"/>
                <w:sz w:val="28"/>
                <w:szCs w:val="28"/>
                <w:lang w:eastAsia="zh-CN"/>
              </w:rPr>
              <w:t xml:space="preserve">Enerģijas lietotāju apgādes un kurināmā pārdošanas kārtība izsludinātas enerģētiskās </w:t>
            </w:r>
            <w:r w:rsidR="00CF7496" w:rsidRPr="00FB6110">
              <w:rPr>
                <w:rFonts w:eastAsia="SimSun"/>
                <w:sz w:val="28"/>
                <w:szCs w:val="28"/>
                <w:lang w:eastAsia="zh-CN"/>
              </w:rPr>
              <w:lastRenderedPageBreak/>
              <w:t>krīzes laikā un valsts apdraudējuma gadījumā” (turpmāk –  MK noteikumi Nr.312), Eiropas Komisija savā atzinumā</w:t>
            </w:r>
            <w:r w:rsidR="008620EF" w:rsidRPr="00FB6110">
              <w:rPr>
                <w:rFonts w:eastAsia="SimSun"/>
                <w:sz w:val="28"/>
                <w:szCs w:val="28"/>
                <w:lang w:eastAsia="zh-CN"/>
              </w:rPr>
              <w:t xml:space="preserve"> par </w:t>
            </w:r>
            <w:r w:rsidR="00C94150" w:rsidRPr="00FB6110">
              <w:rPr>
                <w:rFonts w:eastAsia="SimSun"/>
                <w:sz w:val="28"/>
                <w:szCs w:val="28"/>
                <w:lang w:eastAsia="zh-CN"/>
              </w:rPr>
              <w:t xml:space="preserve">abiem </w:t>
            </w:r>
            <w:r w:rsidR="008620EF" w:rsidRPr="00FB6110">
              <w:rPr>
                <w:rFonts w:eastAsia="SimSun"/>
                <w:sz w:val="28"/>
                <w:szCs w:val="28"/>
                <w:lang w:eastAsia="zh-CN"/>
              </w:rPr>
              <w:t>rīcības plāniem</w:t>
            </w:r>
            <w:r w:rsidR="00CF7496" w:rsidRPr="00FB6110">
              <w:rPr>
                <w:rFonts w:eastAsia="SimSun"/>
                <w:sz w:val="28"/>
                <w:szCs w:val="28"/>
                <w:lang w:eastAsia="zh-CN"/>
              </w:rPr>
              <w:t>, cita starpā, sniedza savu redzējumu arī par MK noteikumiem Nr.312.</w:t>
            </w:r>
          </w:p>
          <w:p w:rsidR="001739CF" w:rsidRPr="00FB6110" w:rsidRDefault="00293C87" w:rsidP="00FB6110">
            <w:pPr>
              <w:pStyle w:val="naiskr"/>
              <w:spacing w:before="0" w:after="0"/>
              <w:ind w:left="107" w:right="142"/>
              <w:jc w:val="both"/>
              <w:rPr>
                <w:sz w:val="28"/>
                <w:szCs w:val="28"/>
              </w:rPr>
            </w:pPr>
            <w:r w:rsidRPr="00FB6110">
              <w:rPr>
                <w:rFonts w:eastAsia="SimSun"/>
                <w:sz w:val="28"/>
                <w:szCs w:val="28"/>
                <w:lang w:eastAsia="zh-CN"/>
              </w:rPr>
              <w:t xml:space="preserve">Spēkā esošajos </w:t>
            </w:r>
            <w:r w:rsidR="008620EF" w:rsidRPr="00FB6110">
              <w:rPr>
                <w:rFonts w:eastAsia="SimSun"/>
                <w:sz w:val="28"/>
                <w:szCs w:val="28"/>
                <w:lang w:eastAsia="zh-CN"/>
              </w:rPr>
              <w:t>MK noteikumos Nr.312</w:t>
            </w:r>
            <w:r w:rsidR="00245FDD" w:rsidRPr="00FB6110">
              <w:rPr>
                <w:rFonts w:eastAsia="SimSun"/>
                <w:sz w:val="28"/>
                <w:szCs w:val="28"/>
                <w:lang w:eastAsia="zh-CN"/>
              </w:rPr>
              <w:t xml:space="preserve"> </w:t>
            </w:r>
            <w:r w:rsidR="00026B89" w:rsidRPr="00FB6110">
              <w:rPr>
                <w:sz w:val="28"/>
                <w:szCs w:val="28"/>
              </w:rPr>
              <w:t xml:space="preserve">noteiktās trīs enerģijas lietotāju grupas enerģētiskās krīzes laikā precīzi neatspoguļo Regulā paredzētās prasības attiecībā uz aizsargāto </w:t>
            </w:r>
            <w:r w:rsidRPr="00FB6110">
              <w:rPr>
                <w:sz w:val="28"/>
                <w:szCs w:val="28"/>
              </w:rPr>
              <w:t>lietotāju</w:t>
            </w:r>
            <w:r w:rsidR="00026B89" w:rsidRPr="00FB6110">
              <w:rPr>
                <w:sz w:val="28"/>
                <w:szCs w:val="28"/>
              </w:rPr>
              <w:t xml:space="preserve"> dabasgāzes apgādi</w:t>
            </w:r>
            <w:r w:rsidR="001739CF" w:rsidRPr="00FB6110">
              <w:rPr>
                <w:sz w:val="28"/>
                <w:szCs w:val="28"/>
              </w:rPr>
              <w:t xml:space="preserve"> gadījumos, kad ti</w:t>
            </w:r>
            <w:r w:rsidRPr="00FB6110">
              <w:rPr>
                <w:sz w:val="28"/>
                <w:szCs w:val="28"/>
              </w:rPr>
              <w:t>ek ierobežota dabasgāzes piegāde</w:t>
            </w:r>
            <w:r w:rsidR="001739CF" w:rsidRPr="00FB6110">
              <w:rPr>
                <w:sz w:val="28"/>
                <w:szCs w:val="28"/>
              </w:rPr>
              <w:t>.</w:t>
            </w:r>
          </w:p>
          <w:p w:rsidR="00E57E51" w:rsidRPr="00FB6110" w:rsidRDefault="001875D9" w:rsidP="00800BA5">
            <w:pPr>
              <w:pStyle w:val="naiskr"/>
              <w:spacing w:before="0" w:after="0"/>
              <w:ind w:left="107" w:right="142"/>
              <w:jc w:val="both"/>
              <w:rPr>
                <w:rFonts w:eastAsia="SimSun"/>
                <w:sz w:val="28"/>
                <w:szCs w:val="28"/>
                <w:lang w:eastAsia="zh-CN"/>
              </w:rPr>
            </w:pPr>
            <w:r w:rsidRPr="00FB6110">
              <w:rPr>
                <w:rFonts w:eastAsia="SimSun"/>
                <w:sz w:val="28"/>
                <w:szCs w:val="28"/>
                <w:lang w:eastAsia="zh-CN"/>
              </w:rPr>
              <w:t>Komisija uzskata, ka rīcības plān</w:t>
            </w:r>
            <w:r w:rsidR="001133F9" w:rsidRPr="00FB6110">
              <w:rPr>
                <w:rFonts w:eastAsia="SimSun"/>
                <w:sz w:val="28"/>
                <w:szCs w:val="28"/>
                <w:lang w:eastAsia="zh-CN"/>
              </w:rPr>
              <w:t>os</w:t>
            </w:r>
            <w:r w:rsidRPr="00FB6110">
              <w:rPr>
                <w:rFonts w:eastAsia="SimSun"/>
                <w:sz w:val="28"/>
                <w:szCs w:val="28"/>
                <w:lang w:eastAsia="zh-CN"/>
              </w:rPr>
              <w:t xml:space="preserve"> </w:t>
            </w:r>
            <w:r w:rsidR="004B7124" w:rsidRPr="00FB6110">
              <w:rPr>
                <w:sz w:val="28"/>
                <w:szCs w:val="28"/>
              </w:rPr>
              <w:t>un MK noteikumos Nr.312</w:t>
            </w:r>
            <w:r w:rsidR="007C026A" w:rsidRPr="00FB6110">
              <w:rPr>
                <w:sz w:val="28"/>
                <w:szCs w:val="28"/>
              </w:rPr>
              <w:t xml:space="preserve"> </w:t>
            </w:r>
            <w:r w:rsidRPr="00FB6110">
              <w:rPr>
                <w:rFonts w:eastAsia="SimSun"/>
                <w:sz w:val="28"/>
                <w:szCs w:val="28"/>
                <w:lang w:eastAsia="zh-CN"/>
              </w:rPr>
              <w:t>ai</w:t>
            </w:r>
            <w:r w:rsidR="00E57E51" w:rsidRPr="00FB6110">
              <w:rPr>
                <w:rFonts w:eastAsia="SimSun"/>
                <w:sz w:val="28"/>
                <w:szCs w:val="28"/>
                <w:lang w:eastAsia="zh-CN"/>
              </w:rPr>
              <w:t>zsargāt</w:t>
            </w:r>
            <w:r w:rsidR="001B780F" w:rsidRPr="00FB6110">
              <w:rPr>
                <w:rFonts w:eastAsia="SimSun"/>
                <w:sz w:val="28"/>
                <w:szCs w:val="28"/>
                <w:lang w:eastAsia="zh-CN"/>
              </w:rPr>
              <w:t>ie</w:t>
            </w:r>
            <w:r w:rsidR="00E57E51" w:rsidRPr="00FB6110">
              <w:rPr>
                <w:rFonts w:eastAsia="SimSun"/>
                <w:sz w:val="28"/>
                <w:szCs w:val="28"/>
                <w:lang w:eastAsia="zh-CN"/>
              </w:rPr>
              <w:t xml:space="preserve"> patērētāj</w:t>
            </w:r>
            <w:r w:rsidR="001B780F" w:rsidRPr="00FB6110">
              <w:rPr>
                <w:rFonts w:eastAsia="SimSun"/>
                <w:sz w:val="28"/>
                <w:szCs w:val="28"/>
                <w:lang w:eastAsia="zh-CN"/>
              </w:rPr>
              <w:t>i tiek definēti atšķirīgi.</w:t>
            </w:r>
            <w:r w:rsidR="00E57E51" w:rsidRPr="00FB6110">
              <w:rPr>
                <w:rFonts w:eastAsia="SimSun"/>
                <w:sz w:val="28"/>
                <w:szCs w:val="28"/>
                <w:lang w:eastAsia="zh-CN"/>
              </w:rPr>
              <w:t xml:space="preserve"> Latvijas preventīvās rīcības plānā pie aizsargātajiem patērētājiem pieskaita mājsaimniecības un sociālo pakalpojumu sniedzējus. </w:t>
            </w:r>
            <w:r w:rsidR="007C026A" w:rsidRPr="00FB6110">
              <w:rPr>
                <w:rFonts w:eastAsia="SimSun"/>
                <w:sz w:val="28"/>
                <w:szCs w:val="28"/>
                <w:lang w:eastAsia="zh-CN"/>
              </w:rPr>
              <w:t xml:space="preserve">Tāpat </w:t>
            </w:r>
            <w:r w:rsidR="00E57E51" w:rsidRPr="00FB6110">
              <w:rPr>
                <w:rFonts w:eastAsia="SimSun"/>
                <w:sz w:val="28"/>
                <w:szCs w:val="28"/>
                <w:lang w:eastAsia="zh-CN"/>
              </w:rPr>
              <w:t>Latvijas preventīvās rīcības plānā iekļautā definīcij</w:t>
            </w:r>
            <w:r w:rsidR="007C026A" w:rsidRPr="00FB6110">
              <w:rPr>
                <w:rFonts w:eastAsia="SimSun"/>
                <w:sz w:val="28"/>
                <w:szCs w:val="28"/>
                <w:lang w:eastAsia="zh-CN"/>
              </w:rPr>
              <w:t>a</w:t>
            </w:r>
            <w:r w:rsidR="00E57E51" w:rsidRPr="00FB6110">
              <w:rPr>
                <w:rFonts w:eastAsia="SimSun"/>
                <w:sz w:val="28"/>
                <w:szCs w:val="28"/>
                <w:lang w:eastAsia="zh-CN"/>
              </w:rPr>
              <w:t xml:space="preserve"> atbilst </w:t>
            </w:r>
            <w:r w:rsidR="007C026A" w:rsidRPr="00FB6110">
              <w:rPr>
                <w:rFonts w:eastAsia="SimSun"/>
                <w:sz w:val="28"/>
                <w:szCs w:val="28"/>
                <w:lang w:eastAsia="zh-CN"/>
              </w:rPr>
              <w:t>R</w:t>
            </w:r>
            <w:r w:rsidR="00E57E51" w:rsidRPr="00FB6110">
              <w:rPr>
                <w:rFonts w:eastAsia="SimSun"/>
                <w:sz w:val="28"/>
                <w:szCs w:val="28"/>
                <w:lang w:eastAsia="zh-CN"/>
              </w:rPr>
              <w:t>egulas 2.panta 1.punktam</w:t>
            </w:r>
            <w:r w:rsidR="001B780F" w:rsidRPr="00FB6110">
              <w:rPr>
                <w:rFonts w:eastAsia="SimSun"/>
                <w:sz w:val="28"/>
                <w:szCs w:val="28"/>
                <w:lang w:eastAsia="zh-CN"/>
              </w:rPr>
              <w:t>.</w:t>
            </w:r>
            <w:r w:rsidR="00114F87" w:rsidRPr="00FB6110">
              <w:rPr>
                <w:rFonts w:eastAsia="SimSun"/>
                <w:sz w:val="28"/>
                <w:szCs w:val="28"/>
                <w:lang w:eastAsia="zh-CN"/>
              </w:rPr>
              <w:t xml:space="preserve"> </w:t>
            </w:r>
            <w:r w:rsidR="001B780F" w:rsidRPr="00FB6110">
              <w:rPr>
                <w:rFonts w:eastAsia="SimSun"/>
                <w:sz w:val="28"/>
                <w:szCs w:val="28"/>
                <w:lang w:eastAsia="zh-CN"/>
              </w:rPr>
              <w:t xml:space="preserve">Turpretī, </w:t>
            </w:r>
            <w:r w:rsidR="00E57E51" w:rsidRPr="00FB6110">
              <w:rPr>
                <w:rFonts w:eastAsia="SimSun"/>
                <w:sz w:val="28"/>
                <w:szCs w:val="28"/>
                <w:lang w:eastAsia="zh-CN"/>
              </w:rPr>
              <w:t>MK noteikum</w:t>
            </w:r>
            <w:r w:rsidR="007C026A" w:rsidRPr="00FB6110">
              <w:rPr>
                <w:rFonts w:eastAsia="SimSun"/>
                <w:sz w:val="28"/>
                <w:szCs w:val="28"/>
                <w:lang w:eastAsia="zh-CN"/>
              </w:rPr>
              <w:t xml:space="preserve">os </w:t>
            </w:r>
            <w:r w:rsidR="00E57E51" w:rsidRPr="00FB6110">
              <w:rPr>
                <w:rFonts w:eastAsia="SimSun"/>
                <w:sz w:val="28"/>
                <w:szCs w:val="28"/>
                <w:lang w:eastAsia="zh-CN"/>
              </w:rPr>
              <w:t>Nr.312</w:t>
            </w:r>
            <w:r w:rsidR="001B780F" w:rsidRPr="00FB6110">
              <w:rPr>
                <w:rFonts w:eastAsia="SimSun"/>
                <w:sz w:val="28"/>
                <w:szCs w:val="28"/>
                <w:lang w:eastAsia="zh-CN"/>
              </w:rPr>
              <w:t xml:space="preserve"> </w:t>
            </w:r>
            <w:r w:rsidR="007C026A" w:rsidRPr="00FB6110">
              <w:rPr>
                <w:rFonts w:eastAsia="SimSun"/>
                <w:sz w:val="28"/>
                <w:szCs w:val="28"/>
                <w:lang w:eastAsia="zh-CN"/>
              </w:rPr>
              <w:t>p</w:t>
            </w:r>
            <w:r w:rsidR="00E57E51" w:rsidRPr="00FB6110">
              <w:rPr>
                <w:rFonts w:eastAsia="SimSun"/>
                <w:sz w:val="28"/>
                <w:szCs w:val="28"/>
                <w:lang w:eastAsia="zh-CN"/>
              </w:rPr>
              <w:t>irmajā grupā, kam pienākas visaugstākā līmeņa aizsardzība, iekļauti daži sociālie pakalpojumi, taču nav ieļautas mājsaimniecības. Tās ir minētas otrajā grupā kopā ar noteikta veida rūpniecības uzņēmumiem, un to patēriņš smagas enerģētikas krīzes laika varētu tikt ierobežots līdz 80%. Tādejādi</w:t>
            </w:r>
            <w:r w:rsidR="001B780F" w:rsidRPr="00FB6110">
              <w:rPr>
                <w:rFonts w:eastAsia="SimSun"/>
                <w:sz w:val="28"/>
                <w:szCs w:val="28"/>
                <w:lang w:eastAsia="zh-CN"/>
              </w:rPr>
              <w:t>, aizsargāto lietotāju definējums</w:t>
            </w:r>
            <w:r w:rsidR="007C026A" w:rsidRPr="00FB6110">
              <w:rPr>
                <w:rFonts w:eastAsia="SimSun"/>
                <w:sz w:val="28"/>
                <w:szCs w:val="28"/>
                <w:lang w:eastAsia="zh-CN"/>
              </w:rPr>
              <w:t xml:space="preserve"> </w:t>
            </w:r>
            <w:r w:rsidR="00E57E51" w:rsidRPr="00FB6110">
              <w:rPr>
                <w:rFonts w:eastAsia="SimSun"/>
                <w:sz w:val="28"/>
                <w:szCs w:val="28"/>
                <w:lang w:eastAsia="zh-CN"/>
              </w:rPr>
              <w:t>preventīvās rīcības plān</w:t>
            </w:r>
            <w:r w:rsidR="001B780F" w:rsidRPr="00FB6110">
              <w:rPr>
                <w:rFonts w:eastAsia="SimSun"/>
                <w:sz w:val="28"/>
                <w:szCs w:val="28"/>
                <w:lang w:eastAsia="zh-CN"/>
              </w:rPr>
              <w:t>ā</w:t>
            </w:r>
            <w:r w:rsidR="00E57E51" w:rsidRPr="00FB6110">
              <w:rPr>
                <w:rFonts w:eastAsia="SimSun"/>
                <w:sz w:val="28"/>
                <w:szCs w:val="28"/>
                <w:lang w:eastAsia="zh-CN"/>
              </w:rPr>
              <w:t xml:space="preserve"> un </w:t>
            </w:r>
            <w:r w:rsidR="00AF214B" w:rsidRPr="00FB6110">
              <w:rPr>
                <w:rFonts w:eastAsia="SimSun"/>
                <w:sz w:val="28"/>
                <w:szCs w:val="28"/>
                <w:lang w:eastAsia="zh-CN"/>
              </w:rPr>
              <w:t xml:space="preserve">MK </w:t>
            </w:r>
            <w:r w:rsidR="00E57E51" w:rsidRPr="00FB6110">
              <w:rPr>
                <w:rFonts w:eastAsia="SimSun"/>
                <w:sz w:val="28"/>
                <w:szCs w:val="28"/>
                <w:lang w:eastAsia="zh-CN"/>
              </w:rPr>
              <w:t>noteikum</w:t>
            </w:r>
            <w:r w:rsidR="001B780F" w:rsidRPr="00FB6110">
              <w:rPr>
                <w:rFonts w:eastAsia="SimSun"/>
                <w:sz w:val="28"/>
                <w:szCs w:val="28"/>
                <w:lang w:eastAsia="zh-CN"/>
              </w:rPr>
              <w:t>os</w:t>
            </w:r>
            <w:r w:rsidR="00E57E51" w:rsidRPr="00FB6110">
              <w:rPr>
                <w:rFonts w:eastAsia="SimSun"/>
                <w:sz w:val="28"/>
                <w:szCs w:val="28"/>
                <w:lang w:eastAsia="zh-CN"/>
              </w:rPr>
              <w:t xml:space="preserve"> Nr. 312 ir pretrunā. </w:t>
            </w:r>
          </w:p>
          <w:p w:rsidR="0020542F" w:rsidRPr="00FB6110" w:rsidRDefault="00026B89" w:rsidP="00A9667B">
            <w:pPr>
              <w:pStyle w:val="naiskr"/>
              <w:spacing w:before="0" w:after="0"/>
              <w:ind w:left="57" w:right="57" w:firstLine="284"/>
              <w:jc w:val="both"/>
              <w:rPr>
                <w:sz w:val="28"/>
                <w:szCs w:val="28"/>
              </w:rPr>
            </w:pPr>
            <w:r w:rsidRPr="00FB6110">
              <w:rPr>
                <w:sz w:val="28"/>
                <w:szCs w:val="28"/>
              </w:rPr>
              <w:t>Regula</w:t>
            </w:r>
            <w:r w:rsidR="001739CF" w:rsidRPr="00FB6110">
              <w:rPr>
                <w:sz w:val="28"/>
                <w:szCs w:val="28"/>
              </w:rPr>
              <w:t>s</w:t>
            </w:r>
            <w:r w:rsidRPr="00FB6110">
              <w:rPr>
                <w:sz w:val="28"/>
                <w:szCs w:val="28"/>
              </w:rPr>
              <w:t xml:space="preserve"> </w:t>
            </w:r>
            <w:r w:rsidR="0020542F" w:rsidRPr="00FB6110">
              <w:rPr>
                <w:sz w:val="28"/>
                <w:szCs w:val="28"/>
              </w:rPr>
              <w:t>2.</w:t>
            </w:r>
            <w:r w:rsidR="001739CF" w:rsidRPr="00FB6110">
              <w:rPr>
                <w:sz w:val="28"/>
                <w:szCs w:val="28"/>
              </w:rPr>
              <w:t xml:space="preserve">panta </w:t>
            </w:r>
            <w:r w:rsidR="0020542F" w:rsidRPr="00FB6110">
              <w:rPr>
                <w:sz w:val="28"/>
                <w:szCs w:val="28"/>
              </w:rPr>
              <w:t xml:space="preserve">pirmā </w:t>
            </w:r>
            <w:r w:rsidR="001739CF" w:rsidRPr="00FB6110">
              <w:rPr>
                <w:sz w:val="28"/>
                <w:szCs w:val="28"/>
              </w:rPr>
              <w:t xml:space="preserve">daļa nosaka, ka aizsargātie </w:t>
            </w:r>
            <w:r w:rsidR="00293C87" w:rsidRPr="00FB6110">
              <w:rPr>
                <w:sz w:val="28"/>
                <w:szCs w:val="28"/>
              </w:rPr>
              <w:t>lietotāji</w:t>
            </w:r>
            <w:r w:rsidR="001739CF" w:rsidRPr="00FB6110">
              <w:rPr>
                <w:sz w:val="28"/>
                <w:szCs w:val="28"/>
              </w:rPr>
              <w:t xml:space="preserve"> ir visi mājsaimniecības lietotāji, kas ir pieslēgti dabasgāzes sadales tīklam, turklāt, ja attiecīgā dalībvalsts tā izlemj, tie var būt arī mazie un vidējie uzņēmumi un būtisku sociālu pakalpojumu sniedzēji, ja tie ir pieslēgti dabasgāzes sadales </w:t>
            </w:r>
            <w:r w:rsidR="0020542F" w:rsidRPr="00FB6110">
              <w:rPr>
                <w:sz w:val="28"/>
                <w:szCs w:val="28"/>
              </w:rPr>
              <w:t>tīklam</w:t>
            </w:r>
            <w:r w:rsidR="001739CF" w:rsidRPr="00FB6110">
              <w:rPr>
                <w:sz w:val="28"/>
                <w:szCs w:val="28"/>
              </w:rPr>
              <w:t xml:space="preserve"> un vis</w:t>
            </w:r>
            <w:r w:rsidR="00293C87" w:rsidRPr="00FB6110">
              <w:rPr>
                <w:sz w:val="28"/>
                <w:szCs w:val="28"/>
              </w:rPr>
              <w:t>u šo</w:t>
            </w:r>
            <w:r w:rsidR="001739CF" w:rsidRPr="00FB6110">
              <w:rPr>
                <w:sz w:val="28"/>
                <w:szCs w:val="28"/>
              </w:rPr>
              <w:t xml:space="preserve"> papildu </w:t>
            </w:r>
            <w:r w:rsidR="0020542F" w:rsidRPr="00FB6110">
              <w:rPr>
                <w:sz w:val="28"/>
                <w:szCs w:val="28"/>
              </w:rPr>
              <w:t xml:space="preserve">lietotāju patēriņa daļa nepārsniedz 20 %  no </w:t>
            </w:r>
            <w:r w:rsidR="00293C87" w:rsidRPr="00FB6110">
              <w:rPr>
                <w:sz w:val="28"/>
                <w:szCs w:val="28"/>
              </w:rPr>
              <w:t xml:space="preserve"> valsts kopējā </w:t>
            </w:r>
            <w:r w:rsidR="0020542F" w:rsidRPr="00FB6110">
              <w:rPr>
                <w:sz w:val="28"/>
                <w:szCs w:val="28"/>
              </w:rPr>
              <w:t xml:space="preserve">dabasgāzes gala patēriņa. </w:t>
            </w:r>
            <w:r w:rsidR="001739CF" w:rsidRPr="00FB6110">
              <w:rPr>
                <w:sz w:val="28"/>
                <w:szCs w:val="28"/>
              </w:rPr>
              <w:t xml:space="preserve"> </w:t>
            </w:r>
            <w:r w:rsidR="0020542F" w:rsidRPr="00FB6110">
              <w:rPr>
                <w:sz w:val="28"/>
                <w:szCs w:val="28"/>
              </w:rPr>
              <w:t xml:space="preserve">Savukārt Regulas 8.panta pirmā daļa nosaka, ka dabasgāzes piegāde valsts aizsargātajiem </w:t>
            </w:r>
            <w:r w:rsidR="004F587E" w:rsidRPr="00FB6110">
              <w:rPr>
                <w:sz w:val="28"/>
                <w:szCs w:val="28"/>
              </w:rPr>
              <w:t>lietotājiem</w:t>
            </w:r>
            <w:r w:rsidR="0020542F" w:rsidRPr="00FB6110">
              <w:rPr>
                <w:sz w:val="28"/>
                <w:szCs w:val="28"/>
              </w:rPr>
              <w:t xml:space="preserve"> </w:t>
            </w:r>
            <w:r w:rsidR="00CE5326" w:rsidRPr="00FB6110">
              <w:rPr>
                <w:sz w:val="28"/>
                <w:szCs w:val="28"/>
              </w:rPr>
              <w:t>jānodrošina</w:t>
            </w:r>
            <w:r w:rsidR="0020542F" w:rsidRPr="00FB6110">
              <w:rPr>
                <w:sz w:val="28"/>
                <w:szCs w:val="28"/>
              </w:rPr>
              <w:t xml:space="preserve"> šādos gadījumos:</w:t>
            </w:r>
          </w:p>
          <w:p w:rsidR="0020542F" w:rsidRPr="00FB6110" w:rsidRDefault="00293C87">
            <w:pPr>
              <w:pStyle w:val="naiskr"/>
              <w:spacing w:before="0" w:after="0"/>
              <w:ind w:left="57" w:right="57" w:firstLine="284"/>
              <w:jc w:val="both"/>
              <w:rPr>
                <w:sz w:val="28"/>
                <w:szCs w:val="28"/>
              </w:rPr>
            </w:pPr>
            <w:r w:rsidRPr="00FB6110">
              <w:rPr>
                <w:sz w:val="28"/>
                <w:szCs w:val="28"/>
              </w:rPr>
              <w:lastRenderedPageBreak/>
              <w:t xml:space="preserve">a) </w:t>
            </w:r>
            <w:r w:rsidR="0020542F" w:rsidRPr="00FB6110">
              <w:rPr>
                <w:sz w:val="28"/>
                <w:szCs w:val="28"/>
              </w:rPr>
              <w:t>galējas temperatūras septiņu dienu aukstākajā periodā, ko statistiski novēro reizi 20 gados;</w:t>
            </w:r>
          </w:p>
          <w:p w:rsidR="0020542F" w:rsidRPr="00FB6110" w:rsidRDefault="0020542F">
            <w:pPr>
              <w:pStyle w:val="naiskr"/>
              <w:spacing w:before="0" w:after="0"/>
              <w:ind w:left="57" w:right="57" w:firstLine="284"/>
              <w:jc w:val="both"/>
              <w:rPr>
                <w:sz w:val="28"/>
                <w:szCs w:val="28"/>
              </w:rPr>
            </w:pPr>
            <w:r w:rsidRPr="00FB6110">
              <w:rPr>
                <w:sz w:val="28"/>
                <w:szCs w:val="28"/>
              </w:rPr>
              <w:t>b) kad ārkārtīgi liels gāzes pieprasījums ilgst vismaz 30 dienas, ko statistiski novēro reizi 20 gados; un</w:t>
            </w:r>
          </w:p>
          <w:p w:rsidR="001739CF" w:rsidRPr="00FB6110" w:rsidRDefault="0020542F">
            <w:pPr>
              <w:pStyle w:val="naiskr"/>
              <w:spacing w:before="0" w:after="0"/>
              <w:ind w:left="57" w:right="57" w:firstLine="284"/>
              <w:jc w:val="both"/>
              <w:rPr>
                <w:sz w:val="28"/>
                <w:szCs w:val="28"/>
              </w:rPr>
            </w:pPr>
            <w:r w:rsidRPr="00FB6110">
              <w:rPr>
                <w:sz w:val="28"/>
                <w:szCs w:val="28"/>
              </w:rPr>
              <w:t xml:space="preserve">c) uz vismaz 30 dienām, ja vienotas lielākās gāzes piegādes infrastruktūras traucējumi rodas vidējos ziemas apstākļos.   </w:t>
            </w:r>
          </w:p>
          <w:p w:rsidR="00021106" w:rsidRPr="00FB6110" w:rsidRDefault="00114F87" w:rsidP="00FB6110">
            <w:pPr>
              <w:pStyle w:val="naiskr"/>
              <w:spacing w:before="0" w:after="0"/>
              <w:ind w:left="57" w:right="57" w:firstLine="284"/>
              <w:jc w:val="both"/>
              <w:rPr>
                <w:sz w:val="28"/>
                <w:szCs w:val="28"/>
              </w:rPr>
            </w:pPr>
            <w:r w:rsidRPr="00FB6110">
              <w:rPr>
                <w:sz w:val="28"/>
                <w:szCs w:val="28"/>
              </w:rPr>
              <w:t xml:space="preserve">Tā kā Regulā </w:t>
            </w:r>
            <w:r w:rsidR="00021106" w:rsidRPr="00FB6110">
              <w:rPr>
                <w:sz w:val="28"/>
                <w:szCs w:val="28"/>
              </w:rPr>
              <w:t xml:space="preserve">lietotais termins  “aizsargātais lietotājs” tiek lietots Elektroenerģijas tirgus likumā saistībā ar trūcīgas vai maznodrošinātas ģimenes (personas), daudzbērnu ģimenes vai ģimenes (personas), kuras aprūpē ir bērns ar invaliditāti, personas ar I invaliditātes grupu apgādi ar elektroenerģiju, noteikumu projektā tiek lietots termins “nodrošināmais lietotājs”. </w:t>
            </w:r>
          </w:p>
          <w:p w:rsidR="009D39E1" w:rsidRPr="00FB6110" w:rsidRDefault="00CE5326" w:rsidP="00FB6110">
            <w:pPr>
              <w:pStyle w:val="naiskr"/>
              <w:spacing w:before="0" w:after="0"/>
              <w:ind w:left="57" w:right="57" w:firstLine="284"/>
              <w:jc w:val="both"/>
              <w:rPr>
                <w:sz w:val="28"/>
                <w:szCs w:val="28"/>
              </w:rPr>
            </w:pPr>
            <w:r w:rsidRPr="00FB6110">
              <w:rPr>
                <w:sz w:val="28"/>
                <w:szCs w:val="28"/>
              </w:rPr>
              <w:t xml:space="preserve">Par </w:t>
            </w:r>
            <w:r w:rsidR="00021106" w:rsidRPr="00FB6110">
              <w:rPr>
                <w:sz w:val="28"/>
                <w:szCs w:val="28"/>
              </w:rPr>
              <w:t>nodrošināmiem</w:t>
            </w:r>
            <w:r w:rsidRPr="00FB6110">
              <w:rPr>
                <w:sz w:val="28"/>
                <w:szCs w:val="28"/>
              </w:rPr>
              <w:t xml:space="preserve"> lietotājiem atzīstami visi mājsaimniecības lietotāji un sociālu pakalpojumu sniedzēji (slimnīcas, </w:t>
            </w:r>
            <w:r w:rsidR="00CD4F9D" w:rsidRPr="00FB6110">
              <w:rPr>
                <w:sz w:val="28"/>
                <w:szCs w:val="28"/>
              </w:rPr>
              <w:t xml:space="preserve">valsts un pašvaldību ilgstošas sociālās aprūpes un sociālās rehabilitācijas institūcijas, krīzes centri, sociālās rehabilitācijas institūcijas personām, kuram izveidojusies atkarība no narkotiskajām, toksiskajām vai citām apreibinošām vielām, </w:t>
            </w:r>
            <w:r w:rsidRPr="00FB6110">
              <w:rPr>
                <w:sz w:val="28"/>
                <w:szCs w:val="28"/>
              </w:rPr>
              <w:t>avārijas dienesti, telekomunikāciju mezgli, Neatliekamās medicīniskās palīdzības dienests, Valsts ugunsdzēsības un glābšanas dienests, Nacionālie bruņotie spēki, Valsts policija, Valsts robežsardze, ūdensapgādes un kanalizācijas stacijas, brīvības atņemšanas iestādes; skolas, pirmsskolas izglītības iestādes</w:t>
            </w:r>
            <w:r w:rsidR="00021106" w:rsidRPr="00FB6110">
              <w:rPr>
                <w:sz w:val="28"/>
                <w:szCs w:val="28"/>
              </w:rPr>
              <w:t>, mobilizējamie civilās aizsardzības formējumi</w:t>
            </w:r>
            <w:r w:rsidRPr="00FB6110">
              <w:rPr>
                <w:sz w:val="28"/>
                <w:szCs w:val="28"/>
              </w:rPr>
              <w:t xml:space="preserve">).  </w:t>
            </w:r>
            <w:r w:rsidR="0083406F" w:rsidRPr="00FB6110">
              <w:rPr>
                <w:sz w:val="28"/>
                <w:szCs w:val="28"/>
              </w:rPr>
              <w:t xml:space="preserve">Nodrošināmo lietotāju skaitā iekļauti arī sociālo pakalpojumu sniedzēji, jo </w:t>
            </w:r>
            <w:r w:rsidR="004A61A7" w:rsidRPr="00FB6110">
              <w:rPr>
                <w:sz w:val="28"/>
                <w:szCs w:val="28"/>
              </w:rPr>
              <w:t xml:space="preserve">tie īsteno svarīgas sabiedrības funkcijas, kas saistītas ar cilvēku veselības </w:t>
            </w:r>
            <w:r w:rsidR="00210E5A" w:rsidRPr="00FB6110">
              <w:rPr>
                <w:sz w:val="28"/>
                <w:szCs w:val="28"/>
              </w:rPr>
              <w:t>aprūpes nodrošināšanu.</w:t>
            </w:r>
            <w:r w:rsidR="00DA6D33" w:rsidRPr="00FB6110">
              <w:rPr>
                <w:sz w:val="28"/>
                <w:szCs w:val="28"/>
              </w:rPr>
              <w:t xml:space="preserve"> </w:t>
            </w:r>
          </w:p>
          <w:p w:rsidR="009D39E1" w:rsidRPr="00FB6110" w:rsidRDefault="009D39E1" w:rsidP="00FB6110">
            <w:pPr>
              <w:pStyle w:val="naiskr"/>
              <w:spacing w:before="0" w:after="0"/>
              <w:ind w:left="57" w:right="57" w:firstLine="284"/>
              <w:jc w:val="both"/>
              <w:rPr>
                <w:sz w:val="28"/>
                <w:szCs w:val="28"/>
              </w:rPr>
            </w:pPr>
            <w:r w:rsidRPr="00FB6110">
              <w:rPr>
                <w:sz w:val="28"/>
                <w:szCs w:val="28"/>
              </w:rPr>
              <w:t xml:space="preserve">Nodrošināmo lietotāju </w:t>
            </w:r>
            <w:r w:rsidR="0083406F" w:rsidRPr="00FB6110">
              <w:rPr>
                <w:sz w:val="28"/>
                <w:szCs w:val="28"/>
              </w:rPr>
              <w:t>skaitā</w:t>
            </w:r>
            <w:r w:rsidRPr="00FB6110">
              <w:rPr>
                <w:sz w:val="28"/>
                <w:szCs w:val="28"/>
              </w:rPr>
              <w:t xml:space="preserve"> nav iekļauti </w:t>
            </w:r>
            <w:r w:rsidR="00E23D83" w:rsidRPr="00FB6110">
              <w:rPr>
                <w:sz w:val="28"/>
                <w:szCs w:val="28"/>
              </w:rPr>
              <w:t xml:space="preserve">visi </w:t>
            </w:r>
            <w:r w:rsidRPr="00FB6110">
              <w:rPr>
                <w:sz w:val="28"/>
                <w:szCs w:val="28"/>
              </w:rPr>
              <w:t>dabasgāzes sistēmai pieslēgtie mazie un vi</w:t>
            </w:r>
            <w:r w:rsidR="004B7124" w:rsidRPr="00FB6110">
              <w:rPr>
                <w:sz w:val="28"/>
                <w:szCs w:val="28"/>
              </w:rPr>
              <w:t xml:space="preserve">dējie uzņēmumi, jo </w:t>
            </w:r>
            <w:r w:rsidRPr="00FB6110">
              <w:rPr>
                <w:sz w:val="28"/>
                <w:szCs w:val="28"/>
              </w:rPr>
              <w:t>Ministru kabineta 2016.gad</w:t>
            </w:r>
            <w:r w:rsidR="00C94150" w:rsidRPr="00FB6110">
              <w:rPr>
                <w:sz w:val="28"/>
                <w:szCs w:val="28"/>
              </w:rPr>
              <w:t>a 9.februāra noteikumu Nr.85 „</w:t>
            </w:r>
            <w:r w:rsidRPr="00FB6110">
              <w:rPr>
                <w:sz w:val="28"/>
                <w:szCs w:val="28"/>
              </w:rPr>
              <w:t xml:space="preserve">Dabasgāzes piegādes un lietošanas noteikumi”  19. un 20.punkts nosaka, ka lietotājs pieņem lēmumu </w:t>
            </w:r>
            <w:r w:rsidRPr="00FB6110">
              <w:rPr>
                <w:sz w:val="28"/>
                <w:szCs w:val="28"/>
              </w:rPr>
              <w:lastRenderedPageBreak/>
              <w:t>par nepieciešamo dabasgāzes apgādes drošumu un, ja nepieciešams, par cita kurināmā izmantošanu dabasgāzes piegādes pārtraukumu laikā. Ja atbilstoši tehnoloģiskajam procesam gazificētā objektā izvietotajām iekārtām ir nepieciešama nepārtraukta kurināmā piegāde, lietotājs dabasgāzes apgādes pārtraukuma laikā nodrošina un izmanto citu kurināmo.</w:t>
            </w:r>
          </w:p>
          <w:p w:rsidR="00707815" w:rsidRPr="00BE154E" w:rsidRDefault="00707815" w:rsidP="00FB6110">
            <w:pPr>
              <w:pStyle w:val="naiskr"/>
              <w:spacing w:before="0" w:after="0"/>
              <w:ind w:left="57" w:right="57" w:firstLine="284"/>
              <w:jc w:val="both"/>
              <w:rPr>
                <w:sz w:val="28"/>
                <w:szCs w:val="28"/>
              </w:rPr>
            </w:pPr>
            <w:r w:rsidRPr="00BE154E">
              <w:rPr>
                <w:sz w:val="28"/>
                <w:szCs w:val="28"/>
              </w:rPr>
              <w:t>Taču Latvijā sociālie  pakalpojumu sniedzēji</w:t>
            </w:r>
            <w:r w:rsidR="00FB6110" w:rsidRPr="00BE154E">
              <w:rPr>
                <w:sz w:val="28"/>
                <w:szCs w:val="28"/>
              </w:rPr>
              <w:t>, vienlaicīgi,</w:t>
            </w:r>
            <w:r w:rsidRPr="00BE154E">
              <w:rPr>
                <w:sz w:val="28"/>
                <w:szCs w:val="28"/>
              </w:rPr>
              <w:t xml:space="preserve"> ir arī mazie un vidējie uzņēmumi, kas ir pieslēgti gāzes sadales tīklam.</w:t>
            </w:r>
            <w:r w:rsidR="007112FC" w:rsidRPr="00BE154E">
              <w:rPr>
                <w:sz w:val="28"/>
                <w:szCs w:val="28"/>
              </w:rPr>
              <w:t xml:space="preserve"> Tādējādi </w:t>
            </w:r>
            <w:r w:rsidR="00E23D83" w:rsidRPr="00BE154E">
              <w:rPr>
                <w:sz w:val="28"/>
                <w:szCs w:val="28"/>
              </w:rPr>
              <w:t>Regulas</w:t>
            </w:r>
            <w:r w:rsidR="00356BEF" w:rsidRPr="00BE154E">
              <w:rPr>
                <w:sz w:val="28"/>
                <w:szCs w:val="28"/>
              </w:rPr>
              <w:t xml:space="preserve"> 2.panta 1.punkta a) apakšpunkta izpratnē aizsargāto lietotāju subjektu loks ietver arī mazos un vidējos uzņēmumus, kas atbilst noteiktiem kritērijiem</w:t>
            </w:r>
            <w:r w:rsidR="00167E1D" w:rsidRPr="00BE154E">
              <w:rPr>
                <w:sz w:val="28"/>
                <w:szCs w:val="28"/>
              </w:rPr>
              <w:t>.</w:t>
            </w:r>
          </w:p>
          <w:p w:rsidR="0020542F" w:rsidRPr="00FB6110" w:rsidRDefault="00B66226" w:rsidP="00FB6110">
            <w:pPr>
              <w:pStyle w:val="naiskr"/>
              <w:spacing w:before="0" w:after="0"/>
              <w:ind w:left="57" w:right="57" w:firstLine="284"/>
              <w:jc w:val="both"/>
              <w:rPr>
                <w:sz w:val="28"/>
                <w:szCs w:val="28"/>
              </w:rPr>
            </w:pPr>
            <w:r w:rsidRPr="00BE154E">
              <w:rPr>
                <w:sz w:val="28"/>
                <w:szCs w:val="28"/>
              </w:rPr>
              <w:t>Papildu mājsaimniecībām</w:t>
            </w:r>
            <w:r w:rsidRPr="00FB6110">
              <w:rPr>
                <w:sz w:val="28"/>
                <w:szCs w:val="28"/>
              </w:rPr>
              <w:t xml:space="preserve"> noteikto </w:t>
            </w:r>
            <w:r w:rsidR="00021106" w:rsidRPr="00FB6110">
              <w:rPr>
                <w:sz w:val="28"/>
                <w:szCs w:val="28"/>
              </w:rPr>
              <w:t>nodrošināmo</w:t>
            </w:r>
            <w:r w:rsidRPr="00FB6110">
              <w:rPr>
                <w:sz w:val="28"/>
                <w:szCs w:val="28"/>
              </w:rPr>
              <w:t xml:space="preserve"> lietotāju dabasgāzes patēriņa īpatsvars</w:t>
            </w:r>
            <w:r w:rsidR="00245A98" w:rsidRPr="00FB6110">
              <w:rPr>
                <w:sz w:val="28"/>
                <w:szCs w:val="28"/>
              </w:rPr>
              <w:t xml:space="preserve"> kopējā dabasgāzes patēriņā</w:t>
            </w:r>
            <w:r w:rsidRPr="00FB6110">
              <w:rPr>
                <w:sz w:val="28"/>
                <w:szCs w:val="28"/>
              </w:rPr>
              <w:t xml:space="preserve"> </w:t>
            </w:r>
            <w:r w:rsidR="00245A98" w:rsidRPr="00FB6110">
              <w:rPr>
                <w:sz w:val="28"/>
                <w:szCs w:val="28"/>
              </w:rPr>
              <w:t>2014. un 2015.gadā bija ap 10%</w:t>
            </w:r>
            <w:r w:rsidR="00CC250B" w:rsidRPr="00FB6110">
              <w:rPr>
                <w:sz w:val="28"/>
                <w:szCs w:val="28"/>
              </w:rPr>
              <w:t xml:space="preserve"> (skat. tabulu zemāk)</w:t>
            </w:r>
            <w:r w:rsidR="00245A98" w:rsidRPr="00FB6110">
              <w:rPr>
                <w:sz w:val="28"/>
                <w:szCs w:val="28"/>
              </w:rPr>
              <w:t xml:space="preserve"> un nepārsniedz Regulā </w:t>
            </w:r>
            <w:r w:rsidR="009B5CA0" w:rsidRPr="00FB6110">
              <w:rPr>
                <w:sz w:val="28"/>
                <w:szCs w:val="28"/>
              </w:rPr>
              <w:t>noteikto, neveido vairāk  kā 20% no galīgā gāzes patēriņa.</w:t>
            </w:r>
          </w:p>
          <w:p w:rsidR="001C7408" w:rsidRPr="00FB6110" w:rsidRDefault="008C28C5" w:rsidP="00FB6110">
            <w:pPr>
              <w:pStyle w:val="naiskr"/>
              <w:spacing w:before="0" w:after="0"/>
              <w:ind w:left="57" w:right="57" w:firstLine="284"/>
              <w:jc w:val="center"/>
            </w:pPr>
            <w:r w:rsidRPr="00FB6110">
              <w:t>D</w:t>
            </w:r>
            <w:r w:rsidR="001C7408" w:rsidRPr="00FB6110">
              <w:t xml:space="preserve">abasgāzes patēriņš un patēriņa īpatsvars </w:t>
            </w:r>
            <w:r w:rsidRPr="00FB6110">
              <w:t>pa lietotāju grupām</w:t>
            </w:r>
          </w:p>
          <w:tbl>
            <w:tblPr>
              <w:tblStyle w:val="TableGrid"/>
              <w:tblW w:w="0" w:type="auto"/>
              <w:tblLayout w:type="fixed"/>
              <w:tblLook w:val="04A0" w:firstRow="1" w:lastRow="0" w:firstColumn="1" w:lastColumn="0" w:noHBand="0" w:noVBand="1"/>
            </w:tblPr>
            <w:tblGrid>
              <w:gridCol w:w="1780"/>
              <w:gridCol w:w="890"/>
              <w:gridCol w:w="890"/>
              <w:gridCol w:w="890"/>
              <w:gridCol w:w="891"/>
            </w:tblGrid>
            <w:tr w:rsidR="008C28C5" w:rsidRPr="00FB6110" w:rsidTr="008C28C5">
              <w:tc>
                <w:tcPr>
                  <w:tcW w:w="1780" w:type="dxa"/>
                  <w:vMerge w:val="restart"/>
                  <w:vAlign w:val="center"/>
                </w:tcPr>
                <w:p w:rsidR="008C28C5" w:rsidRPr="00FB6110" w:rsidRDefault="008C28C5" w:rsidP="00A9667B">
                  <w:pPr>
                    <w:pStyle w:val="naiskr"/>
                    <w:spacing w:before="0" w:after="0"/>
                    <w:ind w:right="57"/>
                    <w:jc w:val="center"/>
                    <w:rPr>
                      <w:sz w:val="20"/>
                      <w:szCs w:val="20"/>
                    </w:rPr>
                  </w:pPr>
                  <w:r w:rsidRPr="00FB6110">
                    <w:rPr>
                      <w:sz w:val="20"/>
                      <w:szCs w:val="20"/>
                    </w:rPr>
                    <w:t>Lietotāju grupa</w:t>
                  </w:r>
                </w:p>
              </w:tc>
              <w:tc>
                <w:tcPr>
                  <w:tcW w:w="1780" w:type="dxa"/>
                  <w:gridSpan w:val="2"/>
                </w:tcPr>
                <w:p w:rsidR="008C28C5" w:rsidRPr="00FB6110" w:rsidRDefault="008C28C5">
                  <w:pPr>
                    <w:pStyle w:val="naiskr"/>
                    <w:spacing w:before="0" w:after="0"/>
                    <w:ind w:right="57"/>
                    <w:jc w:val="center"/>
                    <w:rPr>
                      <w:sz w:val="20"/>
                      <w:szCs w:val="20"/>
                    </w:rPr>
                  </w:pPr>
                  <w:r w:rsidRPr="00FB6110">
                    <w:rPr>
                      <w:sz w:val="20"/>
                      <w:szCs w:val="20"/>
                    </w:rPr>
                    <w:t>2014.gads</w:t>
                  </w:r>
                </w:p>
              </w:tc>
              <w:tc>
                <w:tcPr>
                  <w:tcW w:w="1781" w:type="dxa"/>
                  <w:gridSpan w:val="2"/>
                </w:tcPr>
                <w:p w:rsidR="008C28C5" w:rsidRPr="00FB6110" w:rsidRDefault="008C28C5">
                  <w:pPr>
                    <w:pStyle w:val="naiskr"/>
                    <w:spacing w:before="0" w:after="0"/>
                    <w:ind w:right="57"/>
                    <w:jc w:val="center"/>
                    <w:rPr>
                      <w:sz w:val="20"/>
                      <w:szCs w:val="20"/>
                    </w:rPr>
                  </w:pPr>
                  <w:r w:rsidRPr="00FB6110">
                    <w:rPr>
                      <w:sz w:val="20"/>
                      <w:szCs w:val="20"/>
                    </w:rPr>
                    <w:t>2015.gads</w:t>
                  </w:r>
                </w:p>
              </w:tc>
            </w:tr>
            <w:tr w:rsidR="008C28C5" w:rsidRPr="00FB6110" w:rsidTr="00D052FA">
              <w:tc>
                <w:tcPr>
                  <w:tcW w:w="1780" w:type="dxa"/>
                  <w:vMerge/>
                </w:tcPr>
                <w:p w:rsidR="008C28C5" w:rsidRPr="00FB6110" w:rsidRDefault="008C28C5">
                  <w:pPr>
                    <w:pStyle w:val="naiskr"/>
                    <w:spacing w:before="0" w:after="0"/>
                    <w:ind w:right="57"/>
                    <w:jc w:val="center"/>
                    <w:rPr>
                      <w:sz w:val="20"/>
                      <w:szCs w:val="20"/>
                    </w:rPr>
                  </w:pPr>
                </w:p>
              </w:tc>
              <w:tc>
                <w:tcPr>
                  <w:tcW w:w="890" w:type="dxa"/>
                </w:tcPr>
                <w:p w:rsidR="008C28C5" w:rsidRPr="00FB6110" w:rsidRDefault="008C28C5">
                  <w:pPr>
                    <w:pStyle w:val="naiskr"/>
                    <w:spacing w:before="0" w:after="0"/>
                    <w:ind w:left="-92" w:right="57" w:firstLine="7"/>
                    <w:jc w:val="center"/>
                    <w:rPr>
                      <w:sz w:val="20"/>
                      <w:szCs w:val="20"/>
                    </w:rPr>
                  </w:pPr>
                  <w:r w:rsidRPr="00FB6110">
                    <w:rPr>
                      <w:sz w:val="20"/>
                      <w:szCs w:val="20"/>
                    </w:rPr>
                    <w:t>milj.m</w:t>
                  </w:r>
                  <w:r w:rsidRPr="00FB6110">
                    <w:rPr>
                      <w:sz w:val="20"/>
                      <w:szCs w:val="20"/>
                      <w:vertAlign w:val="superscript"/>
                    </w:rPr>
                    <w:t>3</w:t>
                  </w:r>
                </w:p>
              </w:tc>
              <w:tc>
                <w:tcPr>
                  <w:tcW w:w="890" w:type="dxa"/>
                </w:tcPr>
                <w:p w:rsidR="008C28C5" w:rsidRPr="00FB6110" w:rsidRDefault="008C28C5">
                  <w:pPr>
                    <w:pStyle w:val="naiskr"/>
                    <w:spacing w:before="0" w:after="0"/>
                    <w:ind w:right="57"/>
                    <w:jc w:val="center"/>
                    <w:rPr>
                      <w:sz w:val="20"/>
                      <w:szCs w:val="20"/>
                    </w:rPr>
                  </w:pPr>
                  <w:r w:rsidRPr="00FB6110">
                    <w:rPr>
                      <w:sz w:val="20"/>
                      <w:szCs w:val="20"/>
                    </w:rPr>
                    <w:t>%</w:t>
                  </w:r>
                </w:p>
              </w:tc>
              <w:tc>
                <w:tcPr>
                  <w:tcW w:w="890" w:type="dxa"/>
                </w:tcPr>
                <w:p w:rsidR="008C28C5" w:rsidRPr="00FB6110" w:rsidRDefault="008C28C5">
                  <w:pPr>
                    <w:pStyle w:val="naiskr"/>
                    <w:spacing w:before="0" w:after="0"/>
                    <w:ind w:right="57"/>
                    <w:jc w:val="center"/>
                    <w:rPr>
                      <w:sz w:val="20"/>
                      <w:szCs w:val="20"/>
                    </w:rPr>
                  </w:pPr>
                  <w:r w:rsidRPr="00FB6110">
                    <w:rPr>
                      <w:sz w:val="20"/>
                      <w:szCs w:val="20"/>
                    </w:rPr>
                    <w:t>milj.m</w:t>
                  </w:r>
                  <w:r w:rsidRPr="00FB6110">
                    <w:rPr>
                      <w:sz w:val="20"/>
                      <w:szCs w:val="20"/>
                      <w:vertAlign w:val="superscript"/>
                    </w:rPr>
                    <w:t>3</w:t>
                  </w:r>
                </w:p>
              </w:tc>
              <w:tc>
                <w:tcPr>
                  <w:tcW w:w="891" w:type="dxa"/>
                </w:tcPr>
                <w:p w:rsidR="008C28C5" w:rsidRPr="00FB6110" w:rsidRDefault="008C28C5">
                  <w:pPr>
                    <w:pStyle w:val="naiskr"/>
                    <w:spacing w:before="0" w:after="0"/>
                    <w:ind w:right="57"/>
                    <w:jc w:val="center"/>
                    <w:rPr>
                      <w:sz w:val="20"/>
                      <w:szCs w:val="20"/>
                    </w:rPr>
                  </w:pPr>
                  <w:r w:rsidRPr="00FB6110">
                    <w:rPr>
                      <w:sz w:val="20"/>
                      <w:szCs w:val="20"/>
                    </w:rPr>
                    <w:t>%</w:t>
                  </w:r>
                </w:p>
              </w:tc>
            </w:tr>
            <w:tr w:rsidR="008C28C5" w:rsidRPr="00FB6110" w:rsidTr="008C28C5">
              <w:trPr>
                <w:trHeight w:val="142"/>
              </w:trPr>
              <w:tc>
                <w:tcPr>
                  <w:tcW w:w="1780" w:type="dxa"/>
                </w:tcPr>
                <w:p w:rsidR="008C28C5" w:rsidRPr="00FB6110" w:rsidRDefault="008C28C5" w:rsidP="00A9667B">
                  <w:pPr>
                    <w:pStyle w:val="naiskr"/>
                    <w:spacing w:before="0" w:after="0"/>
                    <w:ind w:right="57"/>
                    <w:jc w:val="both"/>
                    <w:rPr>
                      <w:sz w:val="20"/>
                      <w:szCs w:val="20"/>
                    </w:rPr>
                  </w:pPr>
                  <w:r w:rsidRPr="00FB6110">
                    <w:rPr>
                      <w:sz w:val="20"/>
                      <w:szCs w:val="20"/>
                    </w:rPr>
                    <w:t>Mājsaimniecības</w:t>
                  </w:r>
                </w:p>
              </w:tc>
              <w:tc>
                <w:tcPr>
                  <w:tcW w:w="890" w:type="dxa"/>
                </w:tcPr>
                <w:p w:rsidR="008C28C5" w:rsidRPr="00FB6110" w:rsidRDefault="008C28C5">
                  <w:pPr>
                    <w:pStyle w:val="naiskr"/>
                    <w:spacing w:before="0" w:after="0"/>
                    <w:ind w:right="57"/>
                    <w:jc w:val="right"/>
                    <w:rPr>
                      <w:sz w:val="20"/>
                      <w:szCs w:val="20"/>
                    </w:rPr>
                  </w:pPr>
                  <w:r w:rsidRPr="00FB6110">
                    <w:rPr>
                      <w:sz w:val="20"/>
                      <w:szCs w:val="20"/>
                    </w:rPr>
                    <w:t>125</w:t>
                  </w:r>
                </w:p>
              </w:tc>
              <w:tc>
                <w:tcPr>
                  <w:tcW w:w="890" w:type="dxa"/>
                </w:tcPr>
                <w:p w:rsidR="008C28C5" w:rsidRPr="00FB6110" w:rsidRDefault="00D24014">
                  <w:pPr>
                    <w:pStyle w:val="naiskr"/>
                    <w:tabs>
                      <w:tab w:val="left" w:pos="442"/>
                    </w:tabs>
                    <w:spacing w:before="0" w:after="0"/>
                    <w:ind w:right="57"/>
                    <w:jc w:val="right"/>
                    <w:rPr>
                      <w:sz w:val="20"/>
                      <w:szCs w:val="20"/>
                    </w:rPr>
                  </w:pPr>
                  <w:r w:rsidRPr="00FB6110">
                    <w:rPr>
                      <w:sz w:val="20"/>
                      <w:szCs w:val="20"/>
                    </w:rPr>
                    <w:t>9,7</w:t>
                  </w:r>
                </w:p>
              </w:tc>
              <w:tc>
                <w:tcPr>
                  <w:tcW w:w="890" w:type="dxa"/>
                </w:tcPr>
                <w:p w:rsidR="008C28C5" w:rsidRPr="00FB6110" w:rsidRDefault="008C28C5">
                  <w:pPr>
                    <w:pStyle w:val="naiskr"/>
                    <w:spacing w:before="0" w:after="0"/>
                    <w:ind w:right="57"/>
                    <w:jc w:val="right"/>
                    <w:rPr>
                      <w:sz w:val="20"/>
                      <w:szCs w:val="20"/>
                    </w:rPr>
                  </w:pPr>
                  <w:r w:rsidRPr="00FB6110">
                    <w:rPr>
                      <w:sz w:val="20"/>
                      <w:szCs w:val="20"/>
                    </w:rPr>
                    <w:t>120</w:t>
                  </w:r>
                </w:p>
              </w:tc>
              <w:tc>
                <w:tcPr>
                  <w:tcW w:w="891" w:type="dxa"/>
                </w:tcPr>
                <w:p w:rsidR="008C28C5" w:rsidRPr="00FB6110" w:rsidRDefault="00D24014">
                  <w:pPr>
                    <w:pStyle w:val="naiskr"/>
                    <w:spacing w:before="0" w:after="0"/>
                    <w:ind w:right="57"/>
                    <w:jc w:val="right"/>
                    <w:rPr>
                      <w:sz w:val="20"/>
                      <w:szCs w:val="20"/>
                    </w:rPr>
                  </w:pPr>
                  <w:r w:rsidRPr="00FB6110">
                    <w:rPr>
                      <w:sz w:val="20"/>
                      <w:szCs w:val="20"/>
                    </w:rPr>
                    <w:t>9,1</w:t>
                  </w:r>
                </w:p>
              </w:tc>
            </w:tr>
            <w:tr w:rsidR="008C28C5" w:rsidRPr="00FB6110" w:rsidTr="00D052FA">
              <w:tc>
                <w:tcPr>
                  <w:tcW w:w="1780" w:type="dxa"/>
                </w:tcPr>
                <w:p w:rsidR="008C28C5" w:rsidRPr="00FB6110" w:rsidRDefault="008C28C5" w:rsidP="00A9667B">
                  <w:pPr>
                    <w:pStyle w:val="naiskr"/>
                    <w:spacing w:before="0" w:after="0"/>
                    <w:ind w:right="57"/>
                    <w:jc w:val="both"/>
                    <w:rPr>
                      <w:sz w:val="20"/>
                      <w:szCs w:val="20"/>
                    </w:rPr>
                  </w:pPr>
                  <w:r w:rsidRPr="00FB6110">
                    <w:rPr>
                      <w:sz w:val="20"/>
                      <w:szCs w:val="20"/>
                    </w:rPr>
                    <w:t>Sociālo pakalpojumu sniedzēji</w:t>
                  </w:r>
                </w:p>
              </w:tc>
              <w:tc>
                <w:tcPr>
                  <w:tcW w:w="890" w:type="dxa"/>
                </w:tcPr>
                <w:p w:rsidR="008C28C5" w:rsidRPr="00FB6110" w:rsidRDefault="008C28C5">
                  <w:pPr>
                    <w:pStyle w:val="naiskr"/>
                    <w:spacing w:before="0" w:after="0"/>
                    <w:ind w:right="57"/>
                    <w:jc w:val="right"/>
                    <w:rPr>
                      <w:sz w:val="20"/>
                      <w:szCs w:val="20"/>
                    </w:rPr>
                  </w:pPr>
                  <w:r w:rsidRPr="00FB6110">
                    <w:rPr>
                      <w:sz w:val="20"/>
                      <w:szCs w:val="20"/>
                    </w:rPr>
                    <w:t>131</w:t>
                  </w:r>
                </w:p>
              </w:tc>
              <w:tc>
                <w:tcPr>
                  <w:tcW w:w="890" w:type="dxa"/>
                </w:tcPr>
                <w:p w:rsidR="008C28C5" w:rsidRPr="00FB6110" w:rsidRDefault="00D24014">
                  <w:pPr>
                    <w:pStyle w:val="naiskr"/>
                    <w:tabs>
                      <w:tab w:val="left" w:pos="442"/>
                    </w:tabs>
                    <w:spacing w:before="0" w:after="0"/>
                    <w:ind w:right="57"/>
                    <w:jc w:val="right"/>
                    <w:rPr>
                      <w:sz w:val="20"/>
                      <w:szCs w:val="20"/>
                    </w:rPr>
                  </w:pPr>
                  <w:r w:rsidRPr="00FB6110">
                    <w:rPr>
                      <w:sz w:val="20"/>
                      <w:szCs w:val="20"/>
                    </w:rPr>
                    <w:t>10,1</w:t>
                  </w:r>
                </w:p>
              </w:tc>
              <w:tc>
                <w:tcPr>
                  <w:tcW w:w="890" w:type="dxa"/>
                </w:tcPr>
                <w:p w:rsidR="008C28C5" w:rsidRPr="00FB6110" w:rsidRDefault="008C28C5">
                  <w:pPr>
                    <w:pStyle w:val="naiskr"/>
                    <w:spacing w:before="0" w:after="0"/>
                    <w:ind w:right="57"/>
                    <w:jc w:val="right"/>
                    <w:rPr>
                      <w:sz w:val="20"/>
                      <w:szCs w:val="20"/>
                    </w:rPr>
                  </w:pPr>
                  <w:r w:rsidRPr="00FB6110">
                    <w:rPr>
                      <w:sz w:val="20"/>
                      <w:szCs w:val="20"/>
                    </w:rPr>
                    <w:t>12</w:t>
                  </w:r>
                  <w:r w:rsidR="00D24014" w:rsidRPr="00FB6110">
                    <w:rPr>
                      <w:sz w:val="20"/>
                      <w:szCs w:val="20"/>
                    </w:rPr>
                    <w:t>5</w:t>
                  </w:r>
                </w:p>
              </w:tc>
              <w:tc>
                <w:tcPr>
                  <w:tcW w:w="891" w:type="dxa"/>
                </w:tcPr>
                <w:p w:rsidR="008C28C5" w:rsidRPr="00FB6110" w:rsidRDefault="00D24014">
                  <w:pPr>
                    <w:pStyle w:val="naiskr"/>
                    <w:spacing w:before="0" w:after="0"/>
                    <w:ind w:right="57"/>
                    <w:jc w:val="right"/>
                    <w:rPr>
                      <w:sz w:val="20"/>
                      <w:szCs w:val="20"/>
                    </w:rPr>
                  </w:pPr>
                  <w:r w:rsidRPr="00FB6110">
                    <w:rPr>
                      <w:sz w:val="20"/>
                      <w:szCs w:val="20"/>
                    </w:rPr>
                    <w:t>9,5</w:t>
                  </w:r>
                </w:p>
              </w:tc>
            </w:tr>
            <w:tr w:rsidR="008C28C5" w:rsidRPr="00FB6110" w:rsidTr="00D052FA">
              <w:tc>
                <w:tcPr>
                  <w:tcW w:w="1780" w:type="dxa"/>
                </w:tcPr>
                <w:p w:rsidR="008C28C5" w:rsidRPr="00FB6110" w:rsidRDefault="008C28C5" w:rsidP="00A9667B">
                  <w:pPr>
                    <w:pStyle w:val="naiskr"/>
                    <w:spacing w:before="0" w:after="0"/>
                    <w:ind w:right="57"/>
                    <w:jc w:val="both"/>
                    <w:rPr>
                      <w:sz w:val="20"/>
                      <w:szCs w:val="20"/>
                    </w:rPr>
                  </w:pPr>
                  <w:r w:rsidRPr="00FB6110">
                    <w:rPr>
                      <w:sz w:val="20"/>
                      <w:szCs w:val="20"/>
                    </w:rPr>
                    <w:t>Pārējie lietotāji</w:t>
                  </w:r>
                </w:p>
              </w:tc>
              <w:tc>
                <w:tcPr>
                  <w:tcW w:w="890" w:type="dxa"/>
                </w:tcPr>
                <w:p w:rsidR="008C28C5" w:rsidRPr="00FB6110" w:rsidRDefault="008C28C5">
                  <w:pPr>
                    <w:pStyle w:val="naiskr"/>
                    <w:spacing w:before="0" w:after="0"/>
                    <w:ind w:right="57"/>
                    <w:jc w:val="right"/>
                    <w:rPr>
                      <w:sz w:val="20"/>
                      <w:szCs w:val="20"/>
                    </w:rPr>
                  </w:pPr>
                  <w:r w:rsidRPr="00FB6110">
                    <w:rPr>
                      <w:sz w:val="20"/>
                      <w:szCs w:val="20"/>
                    </w:rPr>
                    <w:t>1038</w:t>
                  </w:r>
                </w:p>
              </w:tc>
              <w:tc>
                <w:tcPr>
                  <w:tcW w:w="890" w:type="dxa"/>
                </w:tcPr>
                <w:p w:rsidR="008C28C5" w:rsidRPr="00FB6110" w:rsidRDefault="00D24014">
                  <w:pPr>
                    <w:pStyle w:val="naiskr"/>
                    <w:tabs>
                      <w:tab w:val="left" w:pos="442"/>
                    </w:tabs>
                    <w:spacing w:before="0" w:after="0"/>
                    <w:ind w:right="57"/>
                    <w:jc w:val="right"/>
                    <w:rPr>
                      <w:sz w:val="20"/>
                      <w:szCs w:val="20"/>
                    </w:rPr>
                  </w:pPr>
                  <w:r w:rsidRPr="00FB6110">
                    <w:rPr>
                      <w:sz w:val="20"/>
                      <w:szCs w:val="20"/>
                    </w:rPr>
                    <w:t>80,2</w:t>
                  </w:r>
                </w:p>
              </w:tc>
              <w:tc>
                <w:tcPr>
                  <w:tcW w:w="890" w:type="dxa"/>
                </w:tcPr>
                <w:p w:rsidR="008C28C5" w:rsidRPr="00FB6110" w:rsidRDefault="008C28C5">
                  <w:pPr>
                    <w:pStyle w:val="naiskr"/>
                    <w:spacing w:before="0" w:after="0"/>
                    <w:ind w:right="57"/>
                    <w:jc w:val="right"/>
                    <w:rPr>
                      <w:sz w:val="20"/>
                      <w:szCs w:val="20"/>
                    </w:rPr>
                  </w:pPr>
                  <w:r w:rsidRPr="00FB6110">
                    <w:rPr>
                      <w:sz w:val="20"/>
                      <w:szCs w:val="20"/>
                    </w:rPr>
                    <w:t>1073</w:t>
                  </w:r>
                </w:p>
              </w:tc>
              <w:tc>
                <w:tcPr>
                  <w:tcW w:w="891" w:type="dxa"/>
                </w:tcPr>
                <w:p w:rsidR="008C28C5" w:rsidRPr="00FB6110" w:rsidRDefault="00D24014">
                  <w:pPr>
                    <w:pStyle w:val="naiskr"/>
                    <w:spacing w:before="0" w:after="0"/>
                    <w:ind w:right="57"/>
                    <w:jc w:val="right"/>
                    <w:rPr>
                      <w:sz w:val="20"/>
                      <w:szCs w:val="20"/>
                    </w:rPr>
                  </w:pPr>
                  <w:r w:rsidRPr="00FB6110">
                    <w:rPr>
                      <w:sz w:val="20"/>
                      <w:szCs w:val="20"/>
                    </w:rPr>
                    <w:t>81,4</w:t>
                  </w:r>
                </w:p>
              </w:tc>
            </w:tr>
            <w:tr w:rsidR="008C28C5" w:rsidRPr="00FB6110" w:rsidTr="00D052FA">
              <w:tc>
                <w:tcPr>
                  <w:tcW w:w="1780" w:type="dxa"/>
                </w:tcPr>
                <w:p w:rsidR="008C28C5" w:rsidRPr="00FB6110" w:rsidRDefault="008C28C5" w:rsidP="00A9667B">
                  <w:pPr>
                    <w:pStyle w:val="naiskr"/>
                    <w:spacing w:before="0" w:after="0"/>
                    <w:ind w:right="57"/>
                    <w:jc w:val="both"/>
                    <w:rPr>
                      <w:b/>
                      <w:sz w:val="20"/>
                      <w:szCs w:val="20"/>
                    </w:rPr>
                  </w:pPr>
                  <w:r w:rsidRPr="00FB6110">
                    <w:rPr>
                      <w:b/>
                      <w:sz w:val="20"/>
                      <w:szCs w:val="20"/>
                    </w:rPr>
                    <w:t>KOPĀ</w:t>
                  </w:r>
                </w:p>
              </w:tc>
              <w:tc>
                <w:tcPr>
                  <w:tcW w:w="890" w:type="dxa"/>
                </w:tcPr>
                <w:p w:rsidR="008C28C5" w:rsidRPr="00FB6110" w:rsidRDefault="008C28C5">
                  <w:pPr>
                    <w:pStyle w:val="naiskr"/>
                    <w:spacing w:before="0" w:after="0"/>
                    <w:ind w:right="57"/>
                    <w:jc w:val="right"/>
                    <w:rPr>
                      <w:b/>
                      <w:sz w:val="20"/>
                      <w:szCs w:val="20"/>
                    </w:rPr>
                  </w:pPr>
                  <w:r w:rsidRPr="00FB6110">
                    <w:rPr>
                      <w:b/>
                      <w:sz w:val="20"/>
                      <w:szCs w:val="20"/>
                    </w:rPr>
                    <w:t>1294</w:t>
                  </w:r>
                </w:p>
              </w:tc>
              <w:tc>
                <w:tcPr>
                  <w:tcW w:w="890" w:type="dxa"/>
                </w:tcPr>
                <w:p w:rsidR="008C28C5" w:rsidRPr="00FB6110" w:rsidRDefault="00D24014">
                  <w:pPr>
                    <w:pStyle w:val="naiskr"/>
                    <w:tabs>
                      <w:tab w:val="left" w:pos="442"/>
                    </w:tabs>
                    <w:spacing w:before="0" w:after="0"/>
                    <w:ind w:right="57"/>
                    <w:jc w:val="right"/>
                    <w:rPr>
                      <w:b/>
                      <w:sz w:val="20"/>
                      <w:szCs w:val="20"/>
                    </w:rPr>
                  </w:pPr>
                  <w:r w:rsidRPr="00FB6110">
                    <w:rPr>
                      <w:b/>
                      <w:sz w:val="20"/>
                      <w:szCs w:val="20"/>
                    </w:rPr>
                    <w:t>100,0</w:t>
                  </w:r>
                </w:p>
              </w:tc>
              <w:tc>
                <w:tcPr>
                  <w:tcW w:w="890" w:type="dxa"/>
                </w:tcPr>
                <w:p w:rsidR="008C28C5" w:rsidRPr="00FB6110" w:rsidRDefault="008C28C5">
                  <w:pPr>
                    <w:pStyle w:val="naiskr"/>
                    <w:spacing w:before="0" w:after="0"/>
                    <w:ind w:right="57"/>
                    <w:jc w:val="right"/>
                    <w:rPr>
                      <w:b/>
                      <w:sz w:val="20"/>
                      <w:szCs w:val="20"/>
                    </w:rPr>
                  </w:pPr>
                  <w:r w:rsidRPr="00FB6110">
                    <w:rPr>
                      <w:b/>
                      <w:sz w:val="20"/>
                      <w:szCs w:val="20"/>
                    </w:rPr>
                    <w:t>1318</w:t>
                  </w:r>
                </w:p>
              </w:tc>
              <w:tc>
                <w:tcPr>
                  <w:tcW w:w="891" w:type="dxa"/>
                </w:tcPr>
                <w:p w:rsidR="008C28C5" w:rsidRPr="00FB6110" w:rsidRDefault="00D24014">
                  <w:pPr>
                    <w:pStyle w:val="naiskr"/>
                    <w:spacing w:before="0" w:after="0"/>
                    <w:ind w:right="57"/>
                    <w:jc w:val="right"/>
                    <w:rPr>
                      <w:b/>
                      <w:sz w:val="20"/>
                      <w:szCs w:val="20"/>
                    </w:rPr>
                  </w:pPr>
                  <w:r w:rsidRPr="00FB6110">
                    <w:rPr>
                      <w:b/>
                      <w:sz w:val="20"/>
                      <w:szCs w:val="20"/>
                    </w:rPr>
                    <w:t>100,0</w:t>
                  </w:r>
                </w:p>
              </w:tc>
            </w:tr>
          </w:tbl>
          <w:p w:rsidR="00F346D3" w:rsidRPr="00FB6110" w:rsidRDefault="007112FC" w:rsidP="00A9667B">
            <w:pPr>
              <w:pStyle w:val="naiskr"/>
              <w:spacing w:before="0" w:after="0"/>
              <w:ind w:right="57"/>
              <w:jc w:val="both"/>
            </w:pPr>
            <w:r w:rsidRPr="00FB6110">
              <w:t>Avots: Ekonomikas ministrija</w:t>
            </w:r>
          </w:p>
          <w:p w:rsidR="007112FC" w:rsidRPr="00FB6110" w:rsidRDefault="007112FC" w:rsidP="00A9667B">
            <w:pPr>
              <w:pStyle w:val="naiskr"/>
              <w:spacing w:before="0" w:after="0"/>
              <w:ind w:right="57"/>
              <w:jc w:val="both"/>
              <w:rPr>
                <w:sz w:val="28"/>
                <w:szCs w:val="28"/>
              </w:rPr>
            </w:pPr>
          </w:p>
          <w:p w:rsidR="00F346D3" w:rsidRPr="00FB6110" w:rsidRDefault="00F346D3">
            <w:pPr>
              <w:pStyle w:val="naiskr"/>
              <w:spacing w:before="0" w:after="0"/>
              <w:ind w:right="57" w:firstLine="284"/>
              <w:jc w:val="both"/>
              <w:rPr>
                <w:sz w:val="28"/>
                <w:szCs w:val="28"/>
              </w:rPr>
            </w:pPr>
            <w:r w:rsidRPr="00FB6110">
              <w:rPr>
                <w:sz w:val="28"/>
                <w:szCs w:val="28"/>
              </w:rPr>
              <w:t>Noteikumu projekts nosaka, ka pie jebkura enerģētiskās krīzes līmeņa</w:t>
            </w:r>
            <w:r w:rsidRPr="00FB6110">
              <w:t xml:space="preserve"> </w:t>
            </w:r>
            <w:r w:rsidR="00021106" w:rsidRPr="00FB6110">
              <w:rPr>
                <w:sz w:val="28"/>
                <w:szCs w:val="28"/>
              </w:rPr>
              <w:t>nodrošināmiem</w:t>
            </w:r>
            <w:r w:rsidRPr="00FB6110">
              <w:rPr>
                <w:sz w:val="28"/>
                <w:szCs w:val="28"/>
              </w:rPr>
              <w:t xml:space="preserve"> lietotājiem dabasgāzes patēriņš netiek ierobežots.</w:t>
            </w:r>
          </w:p>
          <w:p w:rsidR="00027037" w:rsidRPr="00FB6110" w:rsidRDefault="008470E0">
            <w:pPr>
              <w:pStyle w:val="naiskr"/>
              <w:spacing w:before="0" w:after="0"/>
              <w:ind w:right="57" w:firstLine="284"/>
              <w:jc w:val="both"/>
              <w:rPr>
                <w:sz w:val="28"/>
                <w:szCs w:val="28"/>
              </w:rPr>
            </w:pPr>
            <w:r w:rsidRPr="00FB6110">
              <w:rPr>
                <w:sz w:val="28"/>
                <w:szCs w:val="28"/>
              </w:rPr>
              <w:t>Ņemot vērā lielo elektroenerģijas</w:t>
            </w:r>
            <w:r w:rsidR="00435997" w:rsidRPr="00FB6110">
              <w:rPr>
                <w:sz w:val="28"/>
                <w:szCs w:val="28"/>
              </w:rPr>
              <w:t xml:space="preserve"> lietotāju</w:t>
            </w:r>
            <w:r w:rsidR="00E56397" w:rsidRPr="00FB6110">
              <w:rPr>
                <w:sz w:val="28"/>
                <w:szCs w:val="28"/>
              </w:rPr>
              <w:t xml:space="preserve"> (900 tūks.)</w:t>
            </w:r>
            <w:r w:rsidR="00435997" w:rsidRPr="00FB6110">
              <w:rPr>
                <w:sz w:val="28"/>
                <w:szCs w:val="28"/>
              </w:rPr>
              <w:t xml:space="preserve"> </w:t>
            </w:r>
            <w:r w:rsidRPr="00FB6110">
              <w:rPr>
                <w:sz w:val="28"/>
                <w:szCs w:val="28"/>
              </w:rPr>
              <w:t xml:space="preserve"> un dabasgāzes lietotāju</w:t>
            </w:r>
            <w:r w:rsidR="00E56397" w:rsidRPr="00FB6110">
              <w:rPr>
                <w:sz w:val="28"/>
                <w:szCs w:val="28"/>
              </w:rPr>
              <w:t xml:space="preserve"> (443 tūkst.)</w:t>
            </w:r>
            <w:r w:rsidRPr="00FB6110">
              <w:rPr>
                <w:sz w:val="28"/>
                <w:szCs w:val="28"/>
              </w:rPr>
              <w:t xml:space="preserve"> skaitu</w:t>
            </w:r>
            <w:r w:rsidR="00E56397" w:rsidRPr="00FB6110">
              <w:rPr>
                <w:sz w:val="28"/>
                <w:szCs w:val="28"/>
              </w:rPr>
              <w:t>, noteikumu projektā paredzēts</w:t>
            </w:r>
            <w:r w:rsidR="00E24113" w:rsidRPr="00FB6110">
              <w:rPr>
                <w:sz w:val="28"/>
                <w:szCs w:val="28"/>
              </w:rPr>
              <w:t xml:space="preserve">, ka </w:t>
            </w:r>
            <w:r w:rsidR="00E56397" w:rsidRPr="00FB6110">
              <w:rPr>
                <w:sz w:val="28"/>
                <w:szCs w:val="28"/>
              </w:rPr>
              <w:t xml:space="preserve"> enerģijas lietotāju sarakstu</w:t>
            </w:r>
            <w:r w:rsidR="00E24113" w:rsidRPr="00FB6110">
              <w:rPr>
                <w:sz w:val="28"/>
                <w:szCs w:val="28"/>
              </w:rPr>
              <w:t>s</w:t>
            </w:r>
            <w:r w:rsidR="00E56397" w:rsidRPr="00FB6110">
              <w:rPr>
                <w:sz w:val="28"/>
                <w:szCs w:val="28"/>
              </w:rPr>
              <w:t xml:space="preserve"> enerģijas apgādes ierobežošanai </w:t>
            </w:r>
            <w:r w:rsidR="006338C0" w:rsidRPr="00FB6110">
              <w:rPr>
                <w:sz w:val="28"/>
                <w:szCs w:val="28"/>
              </w:rPr>
              <w:t xml:space="preserve"> un </w:t>
            </w:r>
            <w:r w:rsidR="00E56397" w:rsidRPr="00FB6110">
              <w:rPr>
                <w:sz w:val="28"/>
                <w:szCs w:val="28"/>
              </w:rPr>
              <w:t>elektroenerģijas un dabasgāzes apgādes ierobe</w:t>
            </w:r>
            <w:r w:rsidR="00E24113" w:rsidRPr="00FB6110">
              <w:rPr>
                <w:sz w:val="28"/>
                <w:szCs w:val="28"/>
              </w:rPr>
              <w:t>žošanas un pārtraukšanas kārtību Licencētie dabasgāzes un elektroenerģijas sadales sistēmas operatori iesniedz</w:t>
            </w:r>
            <w:r w:rsidR="00E56397" w:rsidRPr="00FB6110">
              <w:rPr>
                <w:sz w:val="28"/>
                <w:szCs w:val="28"/>
              </w:rPr>
              <w:t xml:space="preserve"> Ekonomikas ministrijā elektronisk</w:t>
            </w:r>
            <w:r w:rsidR="000C3CBC" w:rsidRPr="00FB6110">
              <w:rPr>
                <w:sz w:val="28"/>
                <w:szCs w:val="28"/>
              </w:rPr>
              <w:t>ā</w:t>
            </w:r>
            <w:r w:rsidR="00E24113" w:rsidRPr="00FB6110">
              <w:rPr>
                <w:sz w:val="28"/>
                <w:szCs w:val="28"/>
              </w:rPr>
              <w:t xml:space="preserve"> formā</w:t>
            </w:r>
            <w:r w:rsidR="00E56397" w:rsidRPr="00FB6110">
              <w:rPr>
                <w:sz w:val="28"/>
                <w:szCs w:val="28"/>
              </w:rPr>
              <w:t>, uzlabo</w:t>
            </w:r>
            <w:r w:rsidR="00E24113" w:rsidRPr="00FB6110">
              <w:rPr>
                <w:sz w:val="28"/>
                <w:szCs w:val="28"/>
              </w:rPr>
              <w:t>jot</w:t>
            </w:r>
            <w:r w:rsidR="00E56397" w:rsidRPr="00FB6110">
              <w:rPr>
                <w:sz w:val="28"/>
                <w:szCs w:val="28"/>
              </w:rPr>
              <w:t xml:space="preserve"> </w:t>
            </w:r>
            <w:r w:rsidR="00AD0A80" w:rsidRPr="00FB6110">
              <w:rPr>
                <w:sz w:val="28"/>
                <w:szCs w:val="28"/>
              </w:rPr>
              <w:t xml:space="preserve">to </w:t>
            </w:r>
            <w:r w:rsidR="00AD0A80" w:rsidRPr="00FB6110">
              <w:rPr>
                <w:sz w:val="28"/>
                <w:szCs w:val="28"/>
              </w:rPr>
              <w:lastRenderedPageBreak/>
              <w:t>izmant</w:t>
            </w:r>
            <w:r w:rsidR="000C3CBC" w:rsidRPr="00FB6110">
              <w:rPr>
                <w:sz w:val="28"/>
                <w:szCs w:val="28"/>
              </w:rPr>
              <w:t>ošanas un uzglabāšanas iespējas, kā arī</w:t>
            </w:r>
            <w:r w:rsidR="00035F36" w:rsidRPr="00FB6110">
              <w:rPr>
                <w:sz w:val="28"/>
                <w:szCs w:val="28"/>
              </w:rPr>
              <w:t xml:space="preserve"> noteikts, ka</w:t>
            </w:r>
            <w:r w:rsidR="002A40A1" w:rsidRPr="00FB6110">
              <w:rPr>
                <w:sz w:val="28"/>
                <w:szCs w:val="28"/>
              </w:rPr>
              <w:t xml:space="preserve"> minētais</w:t>
            </w:r>
            <w:r w:rsidR="00035F36" w:rsidRPr="00FB6110">
              <w:rPr>
                <w:sz w:val="28"/>
                <w:szCs w:val="28"/>
              </w:rPr>
              <w:t xml:space="preserve"> lietotāju sarakst</w:t>
            </w:r>
            <w:r w:rsidR="000C3CBC" w:rsidRPr="00FB6110">
              <w:rPr>
                <w:sz w:val="28"/>
                <w:szCs w:val="28"/>
              </w:rPr>
              <w:t>s netiek apstiprināts Ministru kabinetā.</w:t>
            </w:r>
          </w:p>
          <w:p w:rsidR="008620EF" w:rsidRPr="00FB6110" w:rsidRDefault="008620EF" w:rsidP="00800BA5">
            <w:pPr>
              <w:pStyle w:val="naiskr"/>
              <w:spacing w:before="0" w:after="0"/>
              <w:ind w:left="57" w:right="57"/>
              <w:jc w:val="both"/>
              <w:rPr>
                <w:sz w:val="28"/>
                <w:szCs w:val="28"/>
              </w:rPr>
            </w:pPr>
            <w:r w:rsidRPr="00FB6110">
              <w:rPr>
                <w:sz w:val="28"/>
                <w:szCs w:val="28"/>
              </w:rPr>
              <w:t>Noteikumu projekta mērķis ir precizēt MK noteikumos Nr.312 noteikto aizsargāto lietotāju loku Latvijā, definējot atbilstoši Regulas prasībām un izpildot Komisijas atzinuma prasības.</w:t>
            </w:r>
          </w:p>
          <w:p w:rsidR="00320B70" w:rsidRPr="00FB6110" w:rsidRDefault="003665DE" w:rsidP="00A9667B">
            <w:pPr>
              <w:pStyle w:val="Normal1"/>
              <w:spacing w:before="0" w:beforeAutospacing="0" w:after="0" w:afterAutospacing="0"/>
              <w:ind w:left="108" w:right="142"/>
              <w:jc w:val="both"/>
              <w:rPr>
                <w:rFonts w:eastAsia="SimSun"/>
                <w:sz w:val="28"/>
                <w:szCs w:val="28"/>
                <w:lang w:eastAsia="zh-CN"/>
              </w:rPr>
            </w:pPr>
            <w:r w:rsidRPr="00FB6110">
              <w:rPr>
                <w:rFonts w:eastAsia="SimSun"/>
                <w:sz w:val="28"/>
                <w:szCs w:val="28"/>
                <w:lang w:eastAsia="zh-CN"/>
              </w:rPr>
              <w:t>Regula secina</w:t>
            </w:r>
            <w:r w:rsidR="00182186" w:rsidRPr="00FB6110">
              <w:rPr>
                <w:rFonts w:eastAsia="SimSun"/>
                <w:sz w:val="28"/>
                <w:szCs w:val="28"/>
                <w:lang w:eastAsia="zh-CN"/>
              </w:rPr>
              <w:t xml:space="preserve">, </w:t>
            </w:r>
            <w:r w:rsidRPr="00FB6110">
              <w:rPr>
                <w:rFonts w:eastAsia="SimSun"/>
                <w:sz w:val="28"/>
                <w:szCs w:val="28"/>
                <w:lang w:eastAsia="zh-CN"/>
              </w:rPr>
              <w:t xml:space="preserve">ka </w:t>
            </w:r>
            <w:r w:rsidR="00182186" w:rsidRPr="00FB6110">
              <w:rPr>
                <w:rFonts w:eastAsia="SimSun"/>
                <w:sz w:val="28"/>
                <w:szCs w:val="28"/>
                <w:lang w:eastAsia="zh-CN"/>
              </w:rPr>
              <w:t>atbilst</w:t>
            </w:r>
            <w:r w:rsidR="000D2E82" w:rsidRPr="00FB6110">
              <w:rPr>
                <w:rFonts w:eastAsia="SimSun"/>
                <w:sz w:val="28"/>
                <w:szCs w:val="28"/>
                <w:lang w:eastAsia="zh-CN"/>
              </w:rPr>
              <w:t>oši</w:t>
            </w:r>
            <w:r w:rsidR="00182186" w:rsidRPr="00FB6110">
              <w:rPr>
                <w:rFonts w:eastAsia="SimSun"/>
                <w:sz w:val="28"/>
                <w:szCs w:val="28"/>
                <w:lang w:eastAsia="zh-CN"/>
              </w:rPr>
              <w:t xml:space="preserve"> pašreizējiem gāzes piegādes drošības pasākumiem, kas veikti Savienības mērogā, dalībvalstīm joprojām ir liela rīcības brīvība attiecībā uz pasākumu izvēli, kas var apdraudēt iekšējā gāzes tirgus pareizu darbību. Lai iekšējais gāzes tirgus varētu darboties arī piegādes traucējumu gadījumā, atbildes reakcijai uz piegādes krīzi jābūt solidārai un koordinētai. </w:t>
            </w:r>
          </w:p>
          <w:p w:rsidR="00101B2C" w:rsidRPr="00FB6110" w:rsidRDefault="00182186">
            <w:pPr>
              <w:pStyle w:val="Normal1"/>
              <w:spacing w:before="0" w:beforeAutospacing="0" w:after="0" w:afterAutospacing="0"/>
              <w:ind w:left="108" w:right="142"/>
              <w:jc w:val="both"/>
              <w:rPr>
                <w:rFonts w:eastAsia="SimSun"/>
                <w:sz w:val="28"/>
                <w:szCs w:val="28"/>
                <w:lang w:eastAsia="zh-CN"/>
              </w:rPr>
            </w:pPr>
            <w:r w:rsidRPr="00FB6110">
              <w:rPr>
                <w:rFonts w:eastAsia="SimSun"/>
                <w:sz w:val="28"/>
                <w:szCs w:val="28"/>
                <w:lang w:eastAsia="zh-CN"/>
              </w:rPr>
              <w:t xml:space="preserve">Iekšējā gāzes tirgus izveide piedāvā Savienībai augstākā līmeņa piegādes drošību visām dalībvalstīm ar noteikumu, ka tirgum ļauj pilnībā darboties, neatkarīgi no traucējumu iemesla. Mērķa sasniegšanai būtu aktīvi jāatbalsta ieguldījumi jaunas gāzes infrastruktūras izveidē, lai atsevišķas dalībvalstis attiecībā uz gāzes apgādi neatrastos uz „gāzes salas”, jo tām trūkst savienojumu ar pārējām dalībvalstīm. </w:t>
            </w:r>
            <w:r w:rsidR="00A15B77" w:rsidRPr="00FB6110">
              <w:rPr>
                <w:rFonts w:eastAsia="SimSun"/>
                <w:sz w:val="28"/>
                <w:szCs w:val="28"/>
                <w:lang w:eastAsia="zh-CN"/>
              </w:rPr>
              <w:br/>
              <w:t xml:space="preserve">Kopumā šīs regulas mērķis ir dabasgāzes uzņēmumiem un dalībvalstu kompetentajām iestādēm uzticēt iekšējā gāzes tirgus efektīvas darbības nodrošināšanu, </w:t>
            </w:r>
            <w:r w:rsidR="006644ED" w:rsidRPr="00FB6110">
              <w:rPr>
                <w:rFonts w:eastAsia="SimSun"/>
                <w:sz w:val="28"/>
                <w:szCs w:val="28"/>
                <w:lang w:eastAsia="zh-CN"/>
              </w:rPr>
              <w:t>un apliecināt gāzes patērētājiem, ka tiek veikti visi nepieciešamie pasākumi, lai viņiem nodrošinātu pastāvīgas piegādes, jo īpaši sarežģītos klimata apstākļos un piegādes traucējumu gadījumā, turklāt, šie mērķi būtu jāsasniedz ar visefektīvākajiem pasākumiem izmaksu ziņā.</w:t>
            </w:r>
          </w:p>
          <w:p w:rsidR="0044684C" w:rsidRPr="00FB6110" w:rsidRDefault="0044684C">
            <w:pPr>
              <w:pStyle w:val="Normal1"/>
              <w:spacing w:before="0" w:beforeAutospacing="0" w:after="0" w:afterAutospacing="0"/>
              <w:ind w:left="108" w:right="142"/>
              <w:jc w:val="both"/>
              <w:rPr>
                <w:rFonts w:eastAsia="SimSun"/>
                <w:sz w:val="28"/>
                <w:szCs w:val="28"/>
                <w:lang w:eastAsia="zh-CN"/>
              </w:rPr>
            </w:pPr>
            <w:r w:rsidRPr="00FB6110">
              <w:rPr>
                <w:rFonts w:eastAsia="SimSun"/>
                <w:sz w:val="28"/>
                <w:szCs w:val="28"/>
                <w:lang w:eastAsia="zh-CN"/>
              </w:rPr>
              <w:t>Savienības tīkla attīstības desmit gadu plāns ir galvenais instruments Savienības mērogā vajadzīgo ieguldījumu identificēšanai, lai, </w:t>
            </w:r>
            <w:proofErr w:type="spellStart"/>
            <w:r w:rsidRPr="00800BA5">
              <w:rPr>
                <w:rFonts w:eastAsia="SimSun"/>
                <w:i/>
                <w:sz w:val="28"/>
                <w:szCs w:val="28"/>
                <w:lang w:eastAsia="zh-CN"/>
              </w:rPr>
              <w:t>inter</w:t>
            </w:r>
            <w:proofErr w:type="spellEnd"/>
            <w:r w:rsidRPr="00800BA5">
              <w:rPr>
                <w:rFonts w:eastAsia="SimSun"/>
                <w:i/>
                <w:sz w:val="28"/>
                <w:szCs w:val="28"/>
                <w:lang w:eastAsia="zh-CN"/>
              </w:rPr>
              <w:t xml:space="preserve"> </w:t>
            </w:r>
            <w:proofErr w:type="spellStart"/>
            <w:r w:rsidRPr="00800BA5">
              <w:rPr>
                <w:rFonts w:eastAsia="SimSun"/>
                <w:i/>
                <w:sz w:val="28"/>
                <w:szCs w:val="28"/>
                <w:lang w:eastAsia="zh-CN"/>
              </w:rPr>
              <w:t>alia</w:t>
            </w:r>
            <w:proofErr w:type="spellEnd"/>
            <w:r w:rsidR="00313E26" w:rsidRPr="00FB6110">
              <w:rPr>
                <w:rFonts w:eastAsia="SimSun"/>
                <w:sz w:val="28"/>
                <w:szCs w:val="28"/>
                <w:lang w:eastAsia="zh-CN"/>
              </w:rPr>
              <w:t>, izpildītu R</w:t>
            </w:r>
            <w:r w:rsidRPr="00FB6110">
              <w:rPr>
                <w:rFonts w:eastAsia="SimSun"/>
                <w:sz w:val="28"/>
                <w:szCs w:val="28"/>
                <w:lang w:eastAsia="zh-CN"/>
              </w:rPr>
              <w:t>egulā iekļautās infrastruktūras prasības.</w:t>
            </w:r>
          </w:p>
          <w:p w:rsidR="00182186" w:rsidRPr="00FB6110" w:rsidRDefault="00182186" w:rsidP="00800BA5">
            <w:pPr>
              <w:pStyle w:val="Normal1"/>
              <w:spacing w:before="0" w:beforeAutospacing="0" w:after="0" w:afterAutospacing="0"/>
              <w:jc w:val="both"/>
              <w:rPr>
                <w:rFonts w:eastAsia="SimSun"/>
                <w:sz w:val="28"/>
                <w:szCs w:val="28"/>
                <w:lang w:eastAsia="zh-CN"/>
              </w:rPr>
            </w:pPr>
            <w:r w:rsidRPr="00FB6110">
              <w:rPr>
                <w:rFonts w:eastAsia="SimSun"/>
                <w:sz w:val="28"/>
                <w:szCs w:val="28"/>
                <w:lang w:eastAsia="zh-CN"/>
              </w:rPr>
              <w:lastRenderedPageBreak/>
              <w:t>Komisijas atzinumā par abiem rīcības plāniem ir teikts, ka ņemot vērā, cik nozīmīga kaimiņos esošajām dalībvalstīm ir Inčukalna pazemes gāzes krātuve, ir svarīgi rīcības plānos rūpīgi analizēt valsts ārkārtas pasākumu iespējamo ietekmi un pilnībā ņemt vērā piegādes drošības apdraudējumu citās dalībvalstīs (Regulas 5.panta 3.punkts, 9.panta 1.punkta d) apakšpunkts un 4.panta 3.punkts).</w:t>
            </w:r>
          </w:p>
        </w:tc>
      </w:tr>
      <w:tr w:rsidR="00193E45" w:rsidRPr="00295128" w:rsidTr="003F1BD6">
        <w:trPr>
          <w:trHeight w:val="706"/>
        </w:trPr>
        <w:tc>
          <w:tcPr>
            <w:tcW w:w="524" w:type="dxa"/>
          </w:tcPr>
          <w:p w:rsidR="00193E45" w:rsidRPr="00295128" w:rsidRDefault="00193E45" w:rsidP="00912A6D">
            <w:pPr>
              <w:ind w:left="57" w:right="57"/>
              <w:rPr>
                <w:sz w:val="28"/>
                <w:szCs w:val="28"/>
              </w:rPr>
            </w:pPr>
            <w:r w:rsidRPr="00295128">
              <w:rPr>
                <w:sz w:val="28"/>
                <w:szCs w:val="28"/>
              </w:rPr>
              <w:lastRenderedPageBreak/>
              <w:t> 3.</w:t>
            </w:r>
          </w:p>
        </w:tc>
        <w:tc>
          <w:tcPr>
            <w:tcW w:w="3177" w:type="dxa"/>
          </w:tcPr>
          <w:p w:rsidR="00193E45" w:rsidRPr="00295128" w:rsidRDefault="00193E45" w:rsidP="00912A6D">
            <w:pPr>
              <w:ind w:left="57" w:right="57"/>
              <w:jc w:val="both"/>
              <w:rPr>
                <w:sz w:val="28"/>
                <w:szCs w:val="28"/>
              </w:rPr>
            </w:pPr>
            <w:r w:rsidRPr="00295128">
              <w:rPr>
                <w:sz w:val="28"/>
                <w:szCs w:val="28"/>
              </w:rPr>
              <w:t>Projekta izstrādē iesaistītās institūcijas</w:t>
            </w:r>
          </w:p>
        </w:tc>
        <w:tc>
          <w:tcPr>
            <w:tcW w:w="5493" w:type="dxa"/>
          </w:tcPr>
          <w:p w:rsidR="00193E45" w:rsidRPr="00295128" w:rsidRDefault="00193E45" w:rsidP="00B82066">
            <w:pPr>
              <w:ind w:right="57"/>
              <w:jc w:val="both"/>
              <w:rPr>
                <w:sz w:val="28"/>
                <w:szCs w:val="28"/>
              </w:rPr>
            </w:pPr>
            <w:r w:rsidRPr="00295128">
              <w:rPr>
                <w:sz w:val="28"/>
                <w:szCs w:val="28"/>
              </w:rPr>
              <w:t>Projekts šo jomu neskar</w:t>
            </w:r>
            <w:r w:rsidR="006338C0" w:rsidRPr="00295128">
              <w:rPr>
                <w:sz w:val="28"/>
                <w:szCs w:val="28"/>
              </w:rPr>
              <w:t>.</w:t>
            </w:r>
          </w:p>
        </w:tc>
      </w:tr>
      <w:tr w:rsidR="00193E45" w:rsidRPr="00295128" w:rsidTr="003F1BD6">
        <w:trPr>
          <w:trHeight w:val="384"/>
        </w:trPr>
        <w:tc>
          <w:tcPr>
            <w:tcW w:w="524" w:type="dxa"/>
          </w:tcPr>
          <w:p w:rsidR="00193E45" w:rsidRPr="00295128" w:rsidRDefault="00193E45" w:rsidP="00912A6D">
            <w:pPr>
              <w:ind w:left="57" w:right="57"/>
              <w:rPr>
                <w:sz w:val="28"/>
                <w:szCs w:val="28"/>
              </w:rPr>
            </w:pPr>
            <w:r w:rsidRPr="00295128">
              <w:rPr>
                <w:sz w:val="28"/>
                <w:szCs w:val="28"/>
              </w:rPr>
              <w:t> 4.</w:t>
            </w:r>
          </w:p>
        </w:tc>
        <w:tc>
          <w:tcPr>
            <w:tcW w:w="3177" w:type="dxa"/>
          </w:tcPr>
          <w:p w:rsidR="00193E45" w:rsidRPr="00295128" w:rsidRDefault="00193E45" w:rsidP="00912A6D">
            <w:pPr>
              <w:ind w:left="57" w:right="57"/>
              <w:jc w:val="both"/>
              <w:rPr>
                <w:sz w:val="28"/>
                <w:szCs w:val="28"/>
              </w:rPr>
            </w:pPr>
            <w:r w:rsidRPr="00295128">
              <w:rPr>
                <w:sz w:val="28"/>
                <w:szCs w:val="28"/>
              </w:rPr>
              <w:t>Cita informācija</w:t>
            </w:r>
          </w:p>
        </w:tc>
        <w:tc>
          <w:tcPr>
            <w:tcW w:w="5493" w:type="dxa"/>
          </w:tcPr>
          <w:p w:rsidR="00193E45" w:rsidRPr="00295128" w:rsidRDefault="00193E45" w:rsidP="00B82066">
            <w:pPr>
              <w:pStyle w:val="naiskr"/>
              <w:spacing w:before="0" w:after="0"/>
              <w:ind w:right="57"/>
              <w:rPr>
                <w:sz w:val="28"/>
                <w:szCs w:val="28"/>
              </w:rPr>
            </w:pPr>
            <w:r w:rsidRPr="00295128">
              <w:rPr>
                <w:sz w:val="28"/>
                <w:szCs w:val="28"/>
              </w:rPr>
              <w:t>Nav</w:t>
            </w:r>
            <w:r w:rsidR="006338C0" w:rsidRPr="00295128">
              <w:rPr>
                <w:sz w:val="28"/>
                <w:szCs w:val="28"/>
              </w:rPr>
              <w:t>.</w:t>
            </w:r>
          </w:p>
        </w:tc>
      </w:tr>
    </w:tbl>
    <w:p w:rsidR="00193E45" w:rsidRPr="00295128" w:rsidRDefault="00193E45" w:rsidP="00912A6D">
      <w:pPr>
        <w:ind w:left="57" w:right="57"/>
        <w:rPr>
          <w:color w:val="FF0000"/>
          <w:sz w:val="28"/>
          <w:szCs w:val="28"/>
        </w:rPr>
      </w:pPr>
    </w:p>
    <w:tbl>
      <w:tblPr>
        <w:tblW w:w="9194"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518"/>
      </w:tblGrid>
      <w:tr w:rsidR="00193E45" w:rsidRPr="00295128" w:rsidTr="003F1BD6">
        <w:tc>
          <w:tcPr>
            <w:tcW w:w="9194" w:type="dxa"/>
            <w:gridSpan w:val="3"/>
            <w:tcBorders>
              <w:top w:val="single" w:sz="4" w:space="0" w:color="auto"/>
              <w:left w:val="single" w:sz="4" w:space="0" w:color="auto"/>
              <w:bottom w:val="single" w:sz="4" w:space="0" w:color="auto"/>
              <w:right w:val="single" w:sz="4" w:space="0" w:color="auto"/>
            </w:tcBorders>
            <w:vAlign w:val="center"/>
            <w:hideMark/>
          </w:tcPr>
          <w:p w:rsidR="00193E45" w:rsidRPr="00295128" w:rsidRDefault="00193E45" w:rsidP="00912A6D">
            <w:pPr>
              <w:ind w:left="57" w:right="57"/>
              <w:jc w:val="center"/>
              <w:rPr>
                <w:b/>
                <w:sz w:val="28"/>
                <w:szCs w:val="28"/>
              </w:rPr>
            </w:pPr>
            <w:r w:rsidRPr="00295128">
              <w:rPr>
                <w:b/>
                <w:sz w:val="28"/>
                <w:szCs w:val="28"/>
              </w:rPr>
              <w:t>II. Tiesību akta projekta ietekme uz sabiedrību tautsaimniecības attīstību un administratīvo slogu</w:t>
            </w:r>
          </w:p>
        </w:tc>
      </w:tr>
      <w:tr w:rsidR="00193E45" w:rsidRPr="00295128" w:rsidTr="003F1BD6">
        <w:trPr>
          <w:trHeight w:val="467"/>
        </w:trPr>
        <w:tc>
          <w:tcPr>
            <w:tcW w:w="523" w:type="dxa"/>
            <w:tcBorders>
              <w:top w:val="single" w:sz="4" w:space="0" w:color="auto"/>
              <w:left w:val="single" w:sz="4" w:space="0" w:color="auto"/>
              <w:bottom w:val="single" w:sz="4" w:space="0" w:color="auto"/>
              <w:right w:val="single" w:sz="4" w:space="0" w:color="auto"/>
            </w:tcBorders>
            <w:hideMark/>
          </w:tcPr>
          <w:p w:rsidR="00193E45" w:rsidRPr="00295128" w:rsidRDefault="00193E45" w:rsidP="00912A6D">
            <w:pPr>
              <w:ind w:left="57" w:right="57"/>
              <w:rPr>
                <w:sz w:val="28"/>
                <w:szCs w:val="28"/>
              </w:rPr>
            </w:pPr>
            <w:r w:rsidRPr="00295128">
              <w:rPr>
                <w:sz w:val="28"/>
                <w:szCs w:val="28"/>
              </w:rPr>
              <w:t> 1.</w:t>
            </w:r>
          </w:p>
        </w:tc>
        <w:tc>
          <w:tcPr>
            <w:tcW w:w="3153" w:type="dxa"/>
            <w:tcBorders>
              <w:top w:val="single" w:sz="4" w:space="0" w:color="auto"/>
              <w:left w:val="single" w:sz="4" w:space="0" w:color="auto"/>
              <w:bottom w:val="single" w:sz="4" w:space="0" w:color="auto"/>
              <w:right w:val="single" w:sz="4" w:space="0" w:color="auto"/>
            </w:tcBorders>
            <w:hideMark/>
          </w:tcPr>
          <w:p w:rsidR="00193E45" w:rsidRPr="00295128" w:rsidRDefault="00193E45" w:rsidP="00912A6D">
            <w:pPr>
              <w:ind w:left="57" w:right="57"/>
              <w:jc w:val="both"/>
              <w:rPr>
                <w:sz w:val="28"/>
                <w:szCs w:val="28"/>
              </w:rPr>
            </w:pPr>
            <w:r w:rsidRPr="00295128">
              <w:rPr>
                <w:sz w:val="28"/>
                <w:szCs w:val="28"/>
              </w:rPr>
              <w:t> Sabiedrības mērķgrupas, kuras tiesiskais regulējums  ietekmē vai varētu ietekmēt</w:t>
            </w:r>
          </w:p>
        </w:tc>
        <w:tc>
          <w:tcPr>
            <w:tcW w:w="5518" w:type="dxa"/>
            <w:tcBorders>
              <w:top w:val="single" w:sz="4" w:space="0" w:color="auto"/>
              <w:left w:val="single" w:sz="4" w:space="0" w:color="auto"/>
              <w:bottom w:val="single" w:sz="4" w:space="0" w:color="auto"/>
              <w:right w:val="single" w:sz="4" w:space="0" w:color="auto"/>
            </w:tcBorders>
            <w:hideMark/>
          </w:tcPr>
          <w:p w:rsidR="00193E45" w:rsidRPr="00295128" w:rsidRDefault="00DE2756" w:rsidP="00D27977">
            <w:pPr>
              <w:ind w:left="57" w:right="57"/>
              <w:jc w:val="both"/>
              <w:rPr>
                <w:iCs/>
                <w:sz w:val="28"/>
                <w:szCs w:val="28"/>
              </w:rPr>
            </w:pPr>
            <w:r w:rsidRPr="00295128">
              <w:rPr>
                <w:iCs/>
                <w:sz w:val="28"/>
                <w:szCs w:val="28"/>
              </w:rPr>
              <w:t>Noteikumu projekts attiecas uz d</w:t>
            </w:r>
            <w:r w:rsidR="00C45E46" w:rsidRPr="00295128">
              <w:rPr>
                <w:iCs/>
                <w:sz w:val="28"/>
                <w:szCs w:val="28"/>
              </w:rPr>
              <w:t>abasgāzes sadales sist</w:t>
            </w:r>
            <w:r w:rsidR="00B82066" w:rsidRPr="00295128">
              <w:rPr>
                <w:iCs/>
                <w:sz w:val="28"/>
                <w:szCs w:val="28"/>
              </w:rPr>
              <w:t>ēmas operatoriem</w:t>
            </w:r>
            <w:r w:rsidRPr="00295128">
              <w:rPr>
                <w:iCs/>
                <w:sz w:val="28"/>
                <w:szCs w:val="28"/>
              </w:rPr>
              <w:t xml:space="preserve"> un</w:t>
            </w:r>
            <w:r w:rsidR="00C45E46" w:rsidRPr="00295128">
              <w:rPr>
                <w:iCs/>
                <w:sz w:val="28"/>
                <w:szCs w:val="28"/>
              </w:rPr>
              <w:t xml:space="preserve"> </w:t>
            </w:r>
            <w:r w:rsidR="00D27977">
              <w:rPr>
                <w:iCs/>
                <w:sz w:val="28"/>
                <w:szCs w:val="28"/>
              </w:rPr>
              <w:t xml:space="preserve">tādiem </w:t>
            </w:r>
            <w:r w:rsidR="00C45E46" w:rsidRPr="00295128">
              <w:rPr>
                <w:iCs/>
                <w:sz w:val="28"/>
                <w:szCs w:val="28"/>
              </w:rPr>
              <w:t>dabasgāzes lietotāji</w:t>
            </w:r>
            <w:r w:rsidRPr="00295128">
              <w:rPr>
                <w:iCs/>
                <w:sz w:val="28"/>
                <w:szCs w:val="28"/>
              </w:rPr>
              <w:t>em</w:t>
            </w:r>
            <w:r w:rsidR="00D27977">
              <w:rPr>
                <w:iCs/>
                <w:sz w:val="28"/>
                <w:szCs w:val="28"/>
              </w:rPr>
              <w:t xml:space="preserve"> kā </w:t>
            </w:r>
            <w:r w:rsidR="00D27977" w:rsidRPr="00D27977">
              <w:rPr>
                <w:iCs/>
                <w:sz w:val="28"/>
                <w:szCs w:val="28"/>
              </w:rPr>
              <w:t>mājsaimniecības, skolas, pirmsskolas izglītības iestādes, slimnīcas, valsts un pašvaldību ilgstošas sociālās aprūpes un sociālās rehabilitācijas institūcijas, krīzes centri, sociālās rehabilitācijas institūcijas personām, kuram izveidojusies atkarība no narkotiskajām, toksiskajām vai citām apreibinošām vielām, avārijas dienesti, telekomunikāciju mezgli, Neatliekamās medicīniskās palīdzības dienests, Valsts ugunsdzēsības un glābšanas dienests, Nacionālie bruņotie spēki, Valsts policija, Valsts robežsardze, valsts drošības iestādes, ūdensapgādes un kanalizācijas stacijas, brīvības atņemšanas iestādes, mobilizējamie</w:t>
            </w:r>
            <w:r w:rsidR="00D27977">
              <w:rPr>
                <w:iCs/>
                <w:sz w:val="28"/>
                <w:szCs w:val="28"/>
              </w:rPr>
              <w:t xml:space="preserve"> civilās aizsardzības formējumi.</w:t>
            </w:r>
          </w:p>
        </w:tc>
      </w:tr>
      <w:tr w:rsidR="00193E45" w:rsidRPr="00295128" w:rsidTr="003F1BD6">
        <w:trPr>
          <w:trHeight w:val="523"/>
        </w:trPr>
        <w:tc>
          <w:tcPr>
            <w:tcW w:w="523" w:type="dxa"/>
            <w:tcBorders>
              <w:top w:val="single" w:sz="4" w:space="0" w:color="auto"/>
              <w:left w:val="single" w:sz="4" w:space="0" w:color="auto"/>
              <w:bottom w:val="single" w:sz="4" w:space="0" w:color="auto"/>
              <w:right w:val="single" w:sz="4" w:space="0" w:color="auto"/>
            </w:tcBorders>
            <w:hideMark/>
          </w:tcPr>
          <w:p w:rsidR="00193E45" w:rsidRPr="00295128" w:rsidRDefault="00193E45" w:rsidP="00912A6D">
            <w:pPr>
              <w:ind w:left="57" w:right="57"/>
              <w:rPr>
                <w:sz w:val="28"/>
                <w:szCs w:val="28"/>
              </w:rPr>
            </w:pPr>
            <w:r w:rsidRPr="00295128">
              <w:rPr>
                <w:sz w:val="28"/>
                <w:szCs w:val="28"/>
              </w:rPr>
              <w:t> 2.</w:t>
            </w:r>
          </w:p>
        </w:tc>
        <w:tc>
          <w:tcPr>
            <w:tcW w:w="3153" w:type="dxa"/>
            <w:tcBorders>
              <w:top w:val="single" w:sz="4" w:space="0" w:color="auto"/>
              <w:left w:val="single" w:sz="4" w:space="0" w:color="auto"/>
              <w:bottom w:val="single" w:sz="4" w:space="0" w:color="auto"/>
              <w:right w:val="single" w:sz="4" w:space="0" w:color="auto"/>
            </w:tcBorders>
            <w:hideMark/>
          </w:tcPr>
          <w:p w:rsidR="00193E45" w:rsidRPr="00295128" w:rsidRDefault="00193E45" w:rsidP="00912A6D">
            <w:pPr>
              <w:ind w:left="57" w:right="57"/>
              <w:jc w:val="both"/>
              <w:rPr>
                <w:sz w:val="28"/>
                <w:szCs w:val="28"/>
              </w:rPr>
            </w:pPr>
            <w:r w:rsidRPr="00295128">
              <w:rPr>
                <w:sz w:val="28"/>
                <w:szCs w:val="28"/>
              </w:rPr>
              <w:t>Tiesiskā regulējuma ietekme uz tautsaimniecību un administratīvo slogu</w:t>
            </w:r>
          </w:p>
        </w:tc>
        <w:tc>
          <w:tcPr>
            <w:tcW w:w="5518" w:type="dxa"/>
            <w:tcBorders>
              <w:top w:val="single" w:sz="4" w:space="0" w:color="auto"/>
              <w:left w:val="single" w:sz="4" w:space="0" w:color="auto"/>
              <w:bottom w:val="single" w:sz="4" w:space="0" w:color="auto"/>
              <w:right w:val="single" w:sz="4" w:space="0" w:color="auto"/>
            </w:tcBorders>
            <w:hideMark/>
          </w:tcPr>
          <w:p w:rsidR="008B3A77" w:rsidRDefault="008B3A77" w:rsidP="008B3A77">
            <w:pPr>
              <w:ind w:left="57" w:right="57"/>
              <w:jc w:val="both"/>
              <w:rPr>
                <w:sz w:val="28"/>
                <w:szCs w:val="28"/>
              </w:rPr>
            </w:pPr>
            <w:r>
              <w:rPr>
                <w:sz w:val="28"/>
                <w:szCs w:val="28"/>
              </w:rPr>
              <w:t>MK noteikumu Nr.312 11.punkts nosaka, ka l</w:t>
            </w:r>
            <w:r w:rsidRPr="008B3A77">
              <w:rPr>
                <w:sz w:val="28"/>
                <w:szCs w:val="28"/>
              </w:rPr>
              <w:t>icencētie gāzes un elektroenerģijas sadales sistēmu operatori katru gadu līdz 1.septembrim pārskata enerģijas lietotāju sarakstu un, ja nepieciešams, sagatavo un iesniedz Ekonomikas ministrijā priekšlikumus par precizējumiem enerģijas lietotāju sarakstā, kā arī elektroenerģijas un gāzes apgādes ierobežošanas un pārtraukšanas kārtībā.</w:t>
            </w:r>
          </w:p>
          <w:p w:rsidR="00193E45" w:rsidRDefault="00A665B1" w:rsidP="00A665B1">
            <w:pPr>
              <w:ind w:left="57" w:right="57"/>
              <w:jc w:val="both"/>
              <w:rPr>
                <w:sz w:val="28"/>
                <w:szCs w:val="28"/>
              </w:rPr>
            </w:pPr>
            <w:r>
              <w:rPr>
                <w:sz w:val="28"/>
                <w:szCs w:val="28"/>
              </w:rPr>
              <w:lastRenderedPageBreak/>
              <w:t>Tā kā ar spēkā esošo regulējumu l</w:t>
            </w:r>
            <w:r w:rsidRPr="008B3A77">
              <w:rPr>
                <w:sz w:val="28"/>
                <w:szCs w:val="28"/>
              </w:rPr>
              <w:t>icencētie</w:t>
            </w:r>
            <w:r>
              <w:rPr>
                <w:sz w:val="28"/>
                <w:szCs w:val="28"/>
              </w:rPr>
              <w:t xml:space="preserve">m </w:t>
            </w:r>
            <w:r w:rsidRPr="008B3A77">
              <w:rPr>
                <w:sz w:val="28"/>
                <w:szCs w:val="28"/>
              </w:rPr>
              <w:t>gāzes un elektroenerģijas sadales sistēmu operatori</w:t>
            </w:r>
            <w:r>
              <w:rPr>
                <w:sz w:val="28"/>
                <w:szCs w:val="28"/>
              </w:rPr>
              <w:t>em</w:t>
            </w:r>
            <w:r w:rsidRPr="008B3A77">
              <w:rPr>
                <w:sz w:val="28"/>
                <w:szCs w:val="28"/>
              </w:rPr>
              <w:t xml:space="preserve"> </w:t>
            </w:r>
            <w:r>
              <w:rPr>
                <w:sz w:val="28"/>
                <w:szCs w:val="28"/>
              </w:rPr>
              <w:t xml:space="preserve">ir noteikts pienākums </w:t>
            </w:r>
            <w:r w:rsidRPr="008B3A77">
              <w:rPr>
                <w:sz w:val="28"/>
                <w:szCs w:val="28"/>
              </w:rPr>
              <w:t>katru</w:t>
            </w:r>
            <w:r>
              <w:rPr>
                <w:sz w:val="28"/>
                <w:szCs w:val="28"/>
              </w:rPr>
              <w:t xml:space="preserve"> gadu līdz 1.septembrim pārskatīt</w:t>
            </w:r>
            <w:r w:rsidRPr="008B3A77">
              <w:rPr>
                <w:sz w:val="28"/>
                <w:szCs w:val="28"/>
              </w:rPr>
              <w:t xml:space="preserve"> enerģijas lietotāju sarakstu</w:t>
            </w:r>
            <w:r>
              <w:rPr>
                <w:sz w:val="28"/>
                <w:szCs w:val="28"/>
              </w:rPr>
              <w:t>, tad n</w:t>
            </w:r>
            <w:r w:rsidR="00126742" w:rsidRPr="00295128">
              <w:rPr>
                <w:sz w:val="28"/>
                <w:szCs w:val="28"/>
              </w:rPr>
              <w:t xml:space="preserve">oteikumu projekta tiesiskais regulējums nemaina sabiedrības grupām noteiktās tiesības un pienākumus, kā arī veicamās darbības. </w:t>
            </w:r>
          </w:p>
          <w:p w:rsidR="001133F9" w:rsidRPr="00295128" w:rsidRDefault="001133F9" w:rsidP="00A665B1">
            <w:pPr>
              <w:ind w:left="57" w:right="57"/>
              <w:jc w:val="both"/>
              <w:rPr>
                <w:sz w:val="28"/>
                <w:szCs w:val="28"/>
              </w:rPr>
            </w:pPr>
          </w:p>
        </w:tc>
      </w:tr>
      <w:tr w:rsidR="00193E45" w:rsidRPr="00295128" w:rsidTr="003F1BD6">
        <w:trPr>
          <w:trHeight w:val="517"/>
        </w:trPr>
        <w:tc>
          <w:tcPr>
            <w:tcW w:w="523" w:type="dxa"/>
            <w:tcBorders>
              <w:top w:val="single" w:sz="4" w:space="0" w:color="auto"/>
              <w:left w:val="single" w:sz="4" w:space="0" w:color="auto"/>
              <w:bottom w:val="single" w:sz="4" w:space="0" w:color="auto"/>
              <w:right w:val="single" w:sz="4" w:space="0" w:color="auto"/>
            </w:tcBorders>
            <w:hideMark/>
          </w:tcPr>
          <w:p w:rsidR="00193E45" w:rsidRPr="00295128" w:rsidRDefault="00193E45" w:rsidP="00912A6D">
            <w:pPr>
              <w:ind w:left="57" w:right="57"/>
              <w:rPr>
                <w:sz w:val="28"/>
                <w:szCs w:val="28"/>
              </w:rPr>
            </w:pPr>
            <w:r w:rsidRPr="00295128">
              <w:rPr>
                <w:sz w:val="28"/>
                <w:szCs w:val="28"/>
              </w:rPr>
              <w:lastRenderedPageBreak/>
              <w:t> 3.</w:t>
            </w:r>
          </w:p>
        </w:tc>
        <w:tc>
          <w:tcPr>
            <w:tcW w:w="3153" w:type="dxa"/>
            <w:tcBorders>
              <w:top w:val="single" w:sz="4" w:space="0" w:color="auto"/>
              <w:left w:val="single" w:sz="4" w:space="0" w:color="auto"/>
              <w:bottom w:val="single" w:sz="4" w:space="0" w:color="auto"/>
              <w:right w:val="single" w:sz="4" w:space="0" w:color="auto"/>
            </w:tcBorders>
            <w:hideMark/>
          </w:tcPr>
          <w:p w:rsidR="00193E45" w:rsidRPr="00295128" w:rsidRDefault="00193E45" w:rsidP="00912A6D">
            <w:pPr>
              <w:ind w:left="57" w:right="57"/>
              <w:jc w:val="both"/>
              <w:rPr>
                <w:sz w:val="28"/>
                <w:szCs w:val="28"/>
              </w:rPr>
            </w:pPr>
            <w:r w:rsidRPr="00295128">
              <w:rPr>
                <w:sz w:val="28"/>
                <w:szCs w:val="28"/>
              </w:rPr>
              <w:t>Administratīvo izmaksu monetārs novērtējums</w:t>
            </w:r>
          </w:p>
        </w:tc>
        <w:tc>
          <w:tcPr>
            <w:tcW w:w="5518" w:type="dxa"/>
            <w:tcBorders>
              <w:top w:val="single" w:sz="4" w:space="0" w:color="auto"/>
              <w:left w:val="single" w:sz="4" w:space="0" w:color="auto"/>
              <w:bottom w:val="single" w:sz="4" w:space="0" w:color="auto"/>
              <w:right w:val="single" w:sz="4" w:space="0" w:color="auto"/>
            </w:tcBorders>
            <w:hideMark/>
          </w:tcPr>
          <w:p w:rsidR="00033CE4" w:rsidRPr="008620EF" w:rsidRDefault="00033CE4" w:rsidP="00033CE4">
            <w:pPr>
              <w:ind w:left="142" w:right="57"/>
              <w:jc w:val="both"/>
              <w:rPr>
                <w:iCs/>
                <w:sz w:val="28"/>
                <w:szCs w:val="28"/>
              </w:rPr>
            </w:pPr>
            <w:r w:rsidRPr="008620EF">
              <w:rPr>
                <w:iCs/>
                <w:sz w:val="28"/>
                <w:szCs w:val="28"/>
              </w:rPr>
              <w:t xml:space="preserve">Noteikumu projekta 7.punkts paredz pienākumu licencētiem sadales sistēmu operatoriem katru gadu </w:t>
            </w:r>
            <w:r w:rsidR="0052460C" w:rsidRPr="008620EF">
              <w:rPr>
                <w:iCs/>
                <w:sz w:val="28"/>
                <w:szCs w:val="28"/>
              </w:rPr>
              <w:t xml:space="preserve">elektroniskā formā iesniegt </w:t>
            </w:r>
            <w:r w:rsidRPr="008620EF">
              <w:rPr>
                <w:rFonts w:eastAsiaTheme="minorHAnsi"/>
                <w:iCs/>
                <w:sz w:val="28"/>
                <w:szCs w:val="28"/>
              </w:rPr>
              <w:t>elektroenerģijas un dabasgāzes apgādes ierobežošanas un pārt</w:t>
            </w:r>
            <w:r w:rsidRPr="008620EF">
              <w:rPr>
                <w:iCs/>
                <w:sz w:val="28"/>
                <w:szCs w:val="28"/>
              </w:rPr>
              <w:t xml:space="preserve">raukšanas kārtību un četrus </w:t>
            </w:r>
            <w:r w:rsidRPr="008620EF">
              <w:rPr>
                <w:rFonts w:eastAsiaTheme="minorHAnsi"/>
                <w:iCs/>
                <w:sz w:val="28"/>
                <w:szCs w:val="28"/>
              </w:rPr>
              <w:t xml:space="preserve">dabasgāzes lietotāju sarakstus, </w:t>
            </w:r>
            <w:r w:rsidR="0052460C" w:rsidRPr="008620EF">
              <w:rPr>
                <w:iCs/>
                <w:sz w:val="28"/>
                <w:szCs w:val="28"/>
              </w:rPr>
              <w:t>kas klasificējams</w:t>
            </w:r>
            <w:r w:rsidRPr="008620EF">
              <w:rPr>
                <w:iCs/>
                <w:sz w:val="28"/>
                <w:szCs w:val="28"/>
              </w:rPr>
              <w:t xml:space="preserve"> kā informācijas sniegšanas prasība, un tā sastāv no trīs datu prasībām (turpmāk – DP):</w:t>
            </w:r>
          </w:p>
          <w:p w:rsidR="00033CE4" w:rsidRPr="008620EF" w:rsidRDefault="00033CE4" w:rsidP="00033CE4">
            <w:pPr>
              <w:pStyle w:val="ListParagraph"/>
              <w:widowControl w:val="0"/>
              <w:numPr>
                <w:ilvl w:val="0"/>
                <w:numId w:val="17"/>
              </w:numPr>
              <w:suppressAutoHyphens/>
              <w:ind w:right="57"/>
              <w:jc w:val="both"/>
              <w:rPr>
                <w:iCs/>
                <w:sz w:val="28"/>
                <w:szCs w:val="28"/>
              </w:rPr>
            </w:pPr>
            <w:proofErr w:type="spellStart"/>
            <w:r w:rsidRPr="008620EF">
              <w:rPr>
                <w:iCs/>
                <w:sz w:val="28"/>
                <w:szCs w:val="28"/>
              </w:rPr>
              <w:t>pavadvēstules</w:t>
            </w:r>
            <w:proofErr w:type="spellEnd"/>
            <w:r w:rsidRPr="008620EF">
              <w:rPr>
                <w:iCs/>
                <w:sz w:val="28"/>
                <w:szCs w:val="28"/>
              </w:rPr>
              <w:t xml:space="preserve"> </w:t>
            </w:r>
            <w:proofErr w:type="spellStart"/>
            <w:r w:rsidRPr="008620EF">
              <w:rPr>
                <w:iCs/>
                <w:sz w:val="28"/>
                <w:szCs w:val="28"/>
              </w:rPr>
              <w:t>sagatavošana</w:t>
            </w:r>
            <w:proofErr w:type="spellEnd"/>
            <w:r w:rsidRPr="008620EF">
              <w:rPr>
                <w:iCs/>
                <w:sz w:val="28"/>
                <w:szCs w:val="28"/>
              </w:rPr>
              <w:t>;</w:t>
            </w:r>
          </w:p>
          <w:p w:rsidR="00033CE4" w:rsidRPr="008620EF" w:rsidRDefault="00033CE4" w:rsidP="00033CE4">
            <w:pPr>
              <w:pStyle w:val="ListParagraph"/>
              <w:widowControl w:val="0"/>
              <w:numPr>
                <w:ilvl w:val="0"/>
                <w:numId w:val="17"/>
              </w:numPr>
              <w:suppressAutoHyphens/>
              <w:ind w:right="57"/>
              <w:jc w:val="both"/>
              <w:rPr>
                <w:iCs/>
                <w:sz w:val="28"/>
                <w:szCs w:val="28"/>
              </w:rPr>
            </w:pPr>
            <w:proofErr w:type="spellStart"/>
            <w:r w:rsidRPr="008620EF">
              <w:rPr>
                <w:sz w:val="28"/>
                <w:szCs w:val="28"/>
              </w:rPr>
              <w:t>elektroenerģijas</w:t>
            </w:r>
            <w:proofErr w:type="spellEnd"/>
            <w:r w:rsidRPr="008620EF">
              <w:rPr>
                <w:sz w:val="28"/>
                <w:szCs w:val="28"/>
              </w:rPr>
              <w:t xml:space="preserve"> un </w:t>
            </w:r>
            <w:proofErr w:type="spellStart"/>
            <w:r w:rsidRPr="008620EF">
              <w:rPr>
                <w:sz w:val="28"/>
                <w:szCs w:val="28"/>
              </w:rPr>
              <w:t>dabasgāzes</w:t>
            </w:r>
            <w:proofErr w:type="spellEnd"/>
            <w:r w:rsidRPr="008620EF">
              <w:rPr>
                <w:sz w:val="28"/>
                <w:szCs w:val="28"/>
              </w:rPr>
              <w:t xml:space="preserve"> </w:t>
            </w:r>
            <w:proofErr w:type="spellStart"/>
            <w:r w:rsidRPr="008620EF">
              <w:rPr>
                <w:sz w:val="28"/>
                <w:szCs w:val="28"/>
              </w:rPr>
              <w:t>apgādes</w:t>
            </w:r>
            <w:proofErr w:type="spellEnd"/>
            <w:r w:rsidRPr="008620EF">
              <w:rPr>
                <w:sz w:val="28"/>
                <w:szCs w:val="28"/>
              </w:rPr>
              <w:t xml:space="preserve"> </w:t>
            </w:r>
            <w:proofErr w:type="spellStart"/>
            <w:r w:rsidRPr="008620EF">
              <w:rPr>
                <w:sz w:val="28"/>
                <w:szCs w:val="28"/>
              </w:rPr>
              <w:t>ierobežošanas</w:t>
            </w:r>
            <w:proofErr w:type="spellEnd"/>
            <w:r w:rsidRPr="008620EF">
              <w:rPr>
                <w:sz w:val="28"/>
                <w:szCs w:val="28"/>
              </w:rPr>
              <w:t xml:space="preserve"> un </w:t>
            </w:r>
            <w:proofErr w:type="spellStart"/>
            <w:r w:rsidRPr="008620EF">
              <w:rPr>
                <w:sz w:val="28"/>
                <w:szCs w:val="28"/>
              </w:rPr>
              <w:t>pārtraukšanas</w:t>
            </w:r>
            <w:proofErr w:type="spellEnd"/>
            <w:r w:rsidRPr="008620EF">
              <w:rPr>
                <w:sz w:val="28"/>
                <w:szCs w:val="28"/>
              </w:rPr>
              <w:t xml:space="preserve"> </w:t>
            </w:r>
            <w:proofErr w:type="spellStart"/>
            <w:r w:rsidRPr="008620EF">
              <w:rPr>
                <w:sz w:val="28"/>
                <w:szCs w:val="28"/>
              </w:rPr>
              <w:t>kārtības</w:t>
            </w:r>
            <w:proofErr w:type="spellEnd"/>
            <w:r w:rsidRPr="008620EF">
              <w:rPr>
                <w:sz w:val="28"/>
                <w:szCs w:val="28"/>
              </w:rPr>
              <w:t xml:space="preserve"> </w:t>
            </w:r>
            <w:proofErr w:type="spellStart"/>
            <w:r w:rsidRPr="008620EF">
              <w:rPr>
                <w:sz w:val="28"/>
                <w:szCs w:val="28"/>
              </w:rPr>
              <w:t>pievienošana</w:t>
            </w:r>
            <w:proofErr w:type="spellEnd"/>
            <w:r w:rsidRPr="008620EF">
              <w:rPr>
                <w:sz w:val="28"/>
                <w:szCs w:val="28"/>
              </w:rPr>
              <w:t>;</w:t>
            </w:r>
          </w:p>
          <w:p w:rsidR="00033CE4" w:rsidRPr="008620EF" w:rsidRDefault="00033CE4" w:rsidP="0052460C">
            <w:pPr>
              <w:pStyle w:val="ListParagraph"/>
              <w:numPr>
                <w:ilvl w:val="0"/>
                <w:numId w:val="17"/>
              </w:numPr>
              <w:ind w:right="57"/>
              <w:jc w:val="both"/>
              <w:rPr>
                <w:iCs/>
                <w:sz w:val="28"/>
                <w:szCs w:val="28"/>
              </w:rPr>
            </w:pPr>
            <w:proofErr w:type="spellStart"/>
            <w:proofErr w:type="gramStart"/>
            <w:r w:rsidRPr="008620EF">
              <w:rPr>
                <w:iCs/>
                <w:sz w:val="28"/>
                <w:szCs w:val="28"/>
              </w:rPr>
              <w:t>četru</w:t>
            </w:r>
            <w:proofErr w:type="spellEnd"/>
            <w:proofErr w:type="gramEnd"/>
            <w:r w:rsidRPr="008620EF">
              <w:rPr>
                <w:iCs/>
                <w:sz w:val="28"/>
                <w:szCs w:val="28"/>
              </w:rPr>
              <w:t xml:space="preserve"> </w:t>
            </w:r>
            <w:proofErr w:type="spellStart"/>
            <w:r w:rsidRPr="008620EF">
              <w:rPr>
                <w:iCs/>
                <w:sz w:val="28"/>
                <w:szCs w:val="28"/>
              </w:rPr>
              <w:t>sarakstu</w:t>
            </w:r>
            <w:proofErr w:type="spellEnd"/>
            <w:r w:rsidRPr="008620EF">
              <w:rPr>
                <w:iCs/>
                <w:sz w:val="28"/>
                <w:szCs w:val="28"/>
              </w:rPr>
              <w:t xml:space="preserve"> </w:t>
            </w:r>
            <w:proofErr w:type="spellStart"/>
            <w:r w:rsidRPr="008620EF">
              <w:rPr>
                <w:iCs/>
                <w:sz w:val="28"/>
                <w:szCs w:val="28"/>
              </w:rPr>
              <w:t>pievienošana</w:t>
            </w:r>
            <w:proofErr w:type="spellEnd"/>
            <w:r w:rsidRPr="008620EF">
              <w:rPr>
                <w:iCs/>
                <w:sz w:val="28"/>
                <w:szCs w:val="28"/>
              </w:rPr>
              <w:t>.</w:t>
            </w:r>
          </w:p>
          <w:p w:rsidR="00033CE4" w:rsidRPr="008620EF" w:rsidRDefault="00033CE4" w:rsidP="00033CE4">
            <w:pPr>
              <w:ind w:left="142" w:right="57"/>
              <w:jc w:val="both"/>
              <w:rPr>
                <w:iCs/>
                <w:sz w:val="28"/>
                <w:szCs w:val="28"/>
              </w:rPr>
            </w:pPr>
            <w:r w:rsidRPr="008620EF">
              <w:rPr>
                <w:iCs/>
                <w:sz w:val="28"/>
                <w:szCs w:val="28"/>
              </w:rPr>
              <w:t>Saskaņā ar metodi, ko piedāvā paplašinātais standarta izmaksu modelis (turpmāk – PSIM), pēc PSIM formulas pirmās DP vērtība ir:</w:t>
            </w:r>
          </w:p>
          <w:p w:rsidR="00033CE4" w:rsidRPr="008620EF" w:rsidRDefault="00033CE4" w:rsidP="00033CE4">
            <w:pPr>
              <w:ind w:left="142" w:right="57"/>
              <w:jc w:val="both"/>
              <w:rPr>
                <w:iCs/>
                <w:sz w:val="28"/>
                <w:szCs w:val="28"/>
              </w:rPr>
            </w:pPr>
            <w:r w:rsidRPr="008620EF">
              <w:rPr>
                <w:iCs/>
                <w:sz w:val="28"/>
                <w:szCs w:val="28"/>
              </w:rPr>
              <w:t>(stundas samaksa x patērētais laiks stundās) x (populācija/kopa x cik reizes gada laikā informāciju sniedz) = (</w:t>
            </w:r>
            <w:r w:rsidRPr="008620EF">
              <w:rPr>
                <w:rFonts w:eastAsiaTheme="minorHAnsi"/>
                <w:iCs/>
                <w:sz w:val="28"/>
                <w:szCs w:val="28"/>
              </w:rPr>
              <w:t xml:space="preserve">8,73 </w:t>
            </w:r>
            <w:r w:rsidRPr="008620EF">
              <w:rPr>
                <w:iCs/>
                <w:sz w:val="28"/>
                <w:szCs w:val="28"/>
              </w:rPr>
              <w:t>x1,5)</w:t>
            </w:r>
            <w:r w:rsidR="00A9667B">
              <w:rPr>
                <w:iCs/>
                <w:sz w:val="28"/>
                <w:szCs w:val="28"/>
              </w:rPr>
              <w:t xml:space="preserve"> </w:t>
            </w:r>
            <w:r w:rsidRPr="008620EF">
              <w:rPr>
                <w:iCs/>
                <w:sz w:val="28"/>
                <w:szCs w:val="28"/>
              </w:rPr>
              <w:t>x</w:t>
            </w:r>
            <w:r w:rsidR="00A9667B">
              <w:rPr>
                <w:iCs/>
                <w:sz w:val="28"/>
                <w:szCs w:val="28"/>
              </w:rPr>
              <w:t xml:space="preserve"> </w:t>
            </w:r>
            <w:r w:rsidRPr="008620EF">
              <w:rPr>
                <w:iCs/>
                <w:sz w:val="28"/>
                <w:szCs w:val="28"/>
              </w:rPr>
              <w:t xml:space="preserve">(1x1)= 13,1 </w:t>
            </w:r>
            <w:r w:rsidRPr="008620EF">
              <w:rPr>
                <w:i/>
                <w:sz w:val="28"/>
                <w:szCs w:val="28"/>
              </w:rPr>
              <w:t>euro.</w:t>
            </w:r>
          </w:p>
          <w:p w:rsidR="00033CE4" w:rsidRPr="008620EF" w:rsidRDefault="00033CE4" w:rsidP="00033CE4">
            <w:pPr>
              <w:ind w:left="142" w:right="57"/>
              <w:jc w:val="both"/>
              <w:rPr>
                <w:iCs/>
                <w:sz w:val="28"/>
                <w:szCs w:val="28"/>
              </w:rPr>
            </w:pPr>
            <w:r w:rsidRPr="008620EF">
              <w:rPr>
                <w:iCs/>
                <w:sz w:val="28"/>
                <w:szCs w:val="28"/>
              </w:rPr>
              <w:t xml:space="preserve">Kur: </w:t>
            </w:r>
          </w:p>
          <w:p w:rsidR="00033CE4" w:rsidRPr="008620EF" w:rsidRDefault="00033CE4" w:rsidP="00033CE4">
            <w:pPr>
              <w:ind w:left="142" w:right="57"/>
              <w:jc w:val="both"/>
              <w:rPr>
                <w:i/>
                <w:sz w:val="28"/>
                <w:szCs w:val="28"/>
              </w:rPr>
            </w:pPr>
            <w:r w:rsidRPr="008620EF">
              <w:rPr>
                <w:i/>
                <w:iCs/>
                <w:sz w:val="28"/>
                <w:szCs w:val="28"/>
              </w:rPr>
              <w:t>stundas samaksa -</w:t>
            </w:r>
            <w:r w:rsidRPr="008620EF">
              <w:rPr>
                <w:iCs/>
                <w:sz w:val="28"/>
                <w:szCs w:val="28"/>
              </w:rPr>
              <w:t xml:space="preserve"> </w:t>
            </w:r>
            <w:r w:rsidRPr="008620EF">
              <w:rPr>
                <w:rFonts w:eastAsiaTheme="minorHAnsi"/>
                <w:iCs/>
                <w:sz w:val="28"/>
                <w:szCs w:val="28"/>
              </w:rPr>
              <w:t>atbilstoši Centrālās statistikas pārvaldes datiem vienas stundas darba spēka izmaksas darbības veidā „</w:t>
            </w:r>
            <w:r w:rsidRPr="008620EF">
              <w:rPr>
                <w:rFonts w:eastAsiaTheme="minorHAnsi"/>
                <w:iCs/>
                <w:sz w:val="28"/>
                <w:szCs w:val="28"/>
                <w:lang w:eastAsia="en-US"/>
              </w:rPr>
              <w:t>(D) Elektroenerģija, gāzes apgāde, siltumapgāde un gaisa kondicionēšana</w:t>
            </w:r>
            <w:r w:rsidRPr="008620EF">
              <w:rPr>
                <w:rFonts w:eastAsiaTheme="minorHAnsi"/>
                <w:iCs/>
                <w:sz w:val="28"/>
                <w:szCs w:val="28"/>
              </w:rPr>
              <w:t xml:space="preserve">” 2016.gada 1.ceturksnī bija 8,73 </w:t>
            </w:r>
            <w:r w:rsidRPr="008620EF">
              <w:rPr>
                <w:rFonts w:eastAsiaTheme="minorHAnsi"/>
                <w:i/>
                <w:iCs/>
                <w:sz w:val="28"/>
                <w:szCs w:val="28"/>
              </w:rPr>
              <w:t>euro.</w:t>
            </w:r>
            <w:r w:rsidRPr="008620EF">
              <w:rPr>
                <w:rFonts w:eastAsiaTheme="minorHAnsi"/>
                <w:iCs/>
                <w:sz w:val="28"/>
                <w:szCs w:val="28"/>
              </w:rPr>
              <w:t xml:space="preserve"> </w:t>
            </w:r>
          </w:p>
          <w:p w:rsidR="00033CE4" w:rsidRPr="008620EF" w:rsidRDefault="00033CE4" w:rsidP="00A9667B">
            <w:pPr>
              <w:pStyle w:val="tv213"/>
              <w:spacing w:before="0" w:beforeAutospacing="0" w:after="0" w:afterAutospacing="0" w:line="293" w:lineRule="atLeast"/>
              <w:ind w:left="132" w:right="142"/>
              <w:jc w:val="both"/>
              <w:rPr>
                <w:rFonts w:eastAsiaTheme="minorHAnsi"/>
                <w:iCs/>
                <w:sz w:val="28"/>
                <w:szCs w:val="28"/>
              </w:rPr>
            </w:pPr>
            <w:r w:rsidRPr="008620EF">
              <w:rPr>
                <w:i/>
                <w:iCs/>
                <w:sz w:val="28"/>
                <w:szCs w:val="28"/>
              </w:rPr>
              <w:t xml:space="preserve">populācija/kopa – </w:t>
            </w:r>
            <w:r w:rsidRPr="008620EF">
              <w:rPr>
                <w:iCs/>
                <w:sz w:val="28"/>
                <w:szCs w:val="28"/>
              </w:rPr>
              <w:t xml:space="preserve">šajā kontekstā ir Ekonomikas ministrijai elektroniskā formā nosūtāmie dokumenti - </w:t>
            </w:r>
            <w:r w:rsidRPr="008620EF">
              <w:rPr>
                <w:rFonts w:eastAsiaTheme="minorHAnsi"/>
                <w:iCs/>
                <w:sz w:val="28"/>
                <w:szCs w:val="28"/>
              </w:rPr>
              <w:t>elektroenerģijas un dabasgāzes apgādes ierobežošanas un pārtraukšanas kārtība un</w:t>
            </w:r>
            <w:r w:rsidRPr="008620EF">
              <w:rPr>
                <w:iCs/>
                <w:sz w:val="28"/>
                <w:szCs w:val="28"/>
              </w:rPr>
              <w:t xml:space="preserve"> četri </w:t>
            </w:r>
            <w:r w:rsidRPr="008620EF">
              <w:rPr>
                <w:rFonts w:eastAsiaTheme="minorHAnsi"/>
                <w:iCs/>
                <w:sz w:val="28"/>
                <w:szCs w:val="28"/>
              </w:rPr>
              <w:t xml:space="preserve">dabasgāzes lietotāju saraksti. AS „Latvijas Gāze” ir </w:t>
            </w:r>
            <w:r w:rsidRPr="008620EF">
              <w:rPr>
                <w:rFonts w:eastAsiaTheme="minorHAnsi"/>
                <w:iCs/>
                <w:sz w:val="28"/>
                <w:szCs w:val="28"/>
              </w:rPr>
              <w:lastRenderedPageBreak/>
              <w:t>vienīgais sistēmas operators Latvijā, kura komercdarbību enerģētikas nozarē kā sabiedrisko pakalpojumu sniedzējam regulē valsts, un kura rīcībā ir aktuālas nosūtāmo dokumentu versijas.</w:t>
            </w:r>
          </w:p>
          <w:p w:rsidR="00033CE4" w:rsidRPr="008620EF" w:rsidRDefault="00033CE4" w:rsidP="00033CE4">
            <w:pPr>
              <w:pStyle w:val="tv213"/>
              <w:spacing w:before="0" w:beforeAutospacing="0" w:after="0" w:afterAutospacing="0" w:line="293" w:lineRule="atLeast"/>
              <w:ind w:firstLine="300"/>
              <w:jc w:val="both"/>
              <w:rPr>
                <w:rFonts w:eastAsiaTheme="minorHAnsi"/>
                <w:iCs/>
                <w:sz w:val="28"/>
                <w:szCs w:val="28"/>
              </w:rPr>
            </w:pPr>
          </w:p>
          <w:p w:rsidR="00033CE4" w:rsidRPr="008620EF" w:rsidRDefault="00033CE4" w:rsidP="00033CE4">
            <w:pPr>
              <w:ind w:left="142" w:right="57"/>
              <w:jc w:val="both"/>
              <w:rPr>
                <w:iCs/>
                <w:sz w:val="28"/>
                <w:szCs w:val="28"/>
              </w:rPr>
            </w:pPr>
            <w:r w:rsidRPr="008620EF">
              <w:rPr>
                <w:i/>
                <w:iCs/>
                <w:sz w:val="28"/>
                <w:szCs w:val="28"/>
              </w:rPr>
              <w:t xml:space="preserve">cik reizes gada laikā informāciju sniedz – </w:t>
            </w:r>
            <w:r w:rsidRPr="008620EF">
              <w:rPr>
                <w:iCs/>
                <w:sz w:val="28"/>
                <w:szCs w:val="28"/>
              </w:rPr>
              <w:t>katru gadu līdz 1.septembrim dokumenti elektroniskā veidā tiek sūtīti uz Ekonomikas ministriju. Informācija tiek sniegta vienu reizi gadā.</w:t>
            </w:r>
          </w:p>
          <w:p w:rsidR="00033CE4" w:rsidRPr="008620EF" w:rsidRDefault="00033CE4" w:rsidP="00033CE4">
            <w:pPr>
              <w:ind w:left="142" w:right="57"/>
              <w:jc w:val="both"/>
              <w:rPr>
                <w:iCs/>
                <w:sz w:val="28"/>
                <w:szCs w:val="28"/>
              </w:rPr>
            </w:pPr>
            <w:r w:rsidRPr="008620EF">
              <w:rPr>
                <w:iCs/>
                <w:sz w:val="28"/>
                <w:szCs w:val="28"/>
              </w:rPr>
              <w:t>Otrās DP vērtība ir:</w:t>
            </w:r>
          </w:p>
          <w:p w:rsidR="00033CE4" w:rsidRPr="008620EF" w:rsidRDefault="00033CE4" w:rsidP="00033CE4">
            <w:pPr>
              <w:ind w:left="142" w:right="57"/>
              <w:jc w:val="both"/>
              <w:rPr>
                <w:sz w:val="28"/>
                <w:szCs w:val="28"/>
              </w:rPr>
            </w:pPr>
            <w:r w:rsidRPr="008620EF">
              <w:rPr>
                <w:iCs/>
                <w:sz w:val="28"/>
                <w:szCs w:val="28"/>
              </w:rPr>
              <w:t>(</w:t>
            </w:r>
            <w:r w:rsidRPr="008620EF">
              <w:rPr>
                <w:rFonts w:eastAsiaTheme="minorHAnsi"/>
                <w:bCs/>
                <w:iCs/>
                <w:sz w:val="28"/>
                <w:szCs w:val="28"/>
              </w:rPr>
              <w:t>8,73</w:t>
            </w:r>
            <w:r w:rsidRPr="008620EF">
              <w:rPr>
                <w:rFonts w:eastAsiaTheme="minorHAnsi"/>
                <w:iCs/>
                <w:sz w:val="28"/>
                <w:szCs w:val="28"/>
              </w:rPr>
              <w:t xml:space="preserve"> </w:t>
            </w:r>
            <w:r w:rsidRPr="008620EF">
              <w:rPr>
                <w:iCs/>
                <w:sz w:val="28"/>
                <w:szCs w:val="28"/>
              </w:rPr>
              <w:t>x1)</w:t>
            </w:r>
            <w:r w:rsidR="009479A2">
              <w:rPr>
                <w:iCs/>
                <w:sz w:val="28"/>
                <w:szCs w:val="28"/>
              </w:rPr>
              <w:t xml:space="preserve"> </w:t>
            </w:r>
            <w:r w:rsidRPr="008620EF">
              <w:rPr>
                <w:iCs/>
                <w:sz w:val="28"/>
                <w:szCs w:val="28"/>
              </w:rPr>
              <w:t>x</w:t>
            </w:r>
            <w:r w:rsidR="009479A2">
              <w:rPr>
                <w:iCs/>
                <w:sz w:val="28"/>
                <w:szCs w:val="28"/>
              </w:rPr>
              <w:t xml:space="preserve"> </w:t>
            </w:r>
            <w:r w:rsidRPr="008620EF">
              <w:rPr>
                <w:iCs/>
                <w:sz w:val="28"/>
                <w:szCs w:val="28"/>
              </w:rPr>
              <w:t>(1x1)=</w:t>
            </w:r>
            <w:r w:rsidRPr="008620EF">
              <w:rPr>
                <w:bCs/>
                <w:iCs/>
                <w:sz w:val="28"/>
                <w:szCs w:val="28"/>
              </w:rPr>
              <w:t xml:space="preserve"> </w:t>
            </w:r>
            <w:r w:rsidRPr="008620EF">
              <w:rPr>
                <w:rFonts w:eastAsiaTheme="minorHAnsi"/>
                <w:bCs/>
                <w:iCs/>
                <w:sz w:val="28"/>
                <w:szCs w:val="28"/>
              </w:rPr>
              <w:t>8,73</w:t>
            </w:r>
            <w:r w:rsidRPr="008620EF">
              <w:rPr>
                <w:rFonts w:eastAsiaTheme="minorHAnsi"/>
                <w:iCs/>
                <w:sz w:val="28"/>
                <w:szCs w:val="28"/>
              </w:rPr>
              <w:t xml:space="preserve"> </w:t>
            </w:r>
            <w:r w:rsidRPr="008620EF">
              <w:rPr>
                <w:i/>
                <w:sz w:val="28"/>
                <w:szCs w:val="28"/>
              </w:rPr>
              <w:t>euro</w:t>
            </w:r>
            <w:r w:rsidRPr="008620EF">
              <w:rPr>
                <w:sz w:val="28"/>
                <w:szCs w:val="28"/>
              </w:rPr>
              <w:t>.</w:t>
            </w:r>
          </w:p>
          <w:p w:rsidR="00033CE4" w:rsidRPr="008620EF" w:rsidRDefault="00A9667B" w:rsidP="00033CE4">
            <w:pPr>
              <w:ind w:left="142" w:right="57"/>
              <w:jc w:val="both"/>
              <w:rPr>
                <w:iCs/>
                <w:sz w:val="28"/>
                <w:szCs w:val="28"/>
              </w:rPr>
            </w:pPr>
            <w:r>
              <w:rPr>
                <w:iCs/>
                <w:sz w:val="28"/>
                <w:szCs w:val="28"/>
              </w:rPr>
              <w:t>T</w:t>
            </w:r>
            <w:r w:rsidRPr="008620EF">
              <w:rPr>
                <w:iCs/>
                <w:sz w:val="28"/>
                <w:szCs w:val="28"/>
              </w:rPr>
              <w:t xml:space="preserve">rešās </w:t>
            </w:r>
            <w:r w:rsidR="00033CE4" w:rsidRPr="008620EF">
              <w:rPr>
                <w:iCs/>
                <w:sz w:val="28"/>
                <w:szCs w:val="28"/>
              </w:rPr>
              <w:t>DP vērtība ir:</w:t>
            </w:r>
          </w:p>
          <w:p w:rsidR="00033CE4" w:rsidRPr="008620EF" w:rsidRDefault="00033CE4" w:rsidP="00033CE4">
            <w:pPr>
              <w:ind w:left="142" w:right="57"/>
              <w:jc w:val="both"/>
              <w:rPr>
                <w:sz w:val="28"/>
                <w:szCs w:val="28"/>
              </w:rPr>
            </w:pPr>
            <w:r w:rsidRPr="008620EF">
              <w:rPr>
                <w:iCs/>
                <w:sz w:val="28"/>
                <w:szCs w:val="28"/>
              </w:rPr>
              <w:t>(</w:t>
            </w:r>
            <w:r w:rsidRPr="008620EF">
              <w:rPr>
                <w:rFonts w:eastAsiaTheme="minorHAnsi"/>
                <w:bCs/>
                <w:iCs/>
                <w:sz w:val="28"/>
                <w:szCs w:val="28"/>
              </w:rPr>
              <w:t>8,73</w:t>
            </w:r>
            <w:r w:rsidRPr="008620EF">
              <w:rPr>
                <w:rFonts w:eastAsiaTheme="minorHAnsi"/>
                <w:iCs/>
                <w:sz w:val="28"/>
                <w:szCs w:val="28"/>
              </w:rPr>
              <w:t xml:space="preserve"> </w:t>
            </w:r>
            <w:r w:rsidRPr="008620EF">
              <w:rPr>
                <w:iCs/>
                <w:sz w:val="28"/>
                <w:szCs w:val="28"/>
              </w:rPr>
              <w:t>x2,5)</w:t>
            </w:r>
            <w:r w:rsidR="009479A2">
              <w:rPr>
                <w:iCs/>
                <w:sz w:val="28"/>
                <w:szCs w:val="28"/>
              </w:rPr>
              <w:t xml:space="preserve"> </w:t>
            </w:r>
            <w:r w:rsidRPr="008620EF">
              <w:rPr>
                <w:iCs/>
                <w:sz w:val="28"/>
                <w:szCs w:val="28"/>
              </w:rPr>
              <w:t>x</w:t>
            </w:r>
            <w:r w:rsidR="009479A2">
              <w:rPr>
                <w:iCs/>
                <w:sz w:val="28"/>
                <w:szCs w:val="28"/>
              </w:rPr>
              <w:t xml:space="preserve"> </w:t>
            </w:r>
            <w:r w:rsidRPr="008620EF">
              <w:rPr>
                <w:iCs/>
                <w:sz w:val="28"/>
                <w:szCs w:val="28"/>
              </w:rPr>
              <w:t>(1x1)=</w:t>
            </w:r>
            <w:r w:rsidRPr="008620EF">
              <w:rPr>
                <w:bCs/>
                <w:iCs/>
                <w:sz w:val="28"/>
                <w:szCs w:val="28"/>
              </w:rPr>
              <w:t xml:space="preserve"> 17,46 </w:t>
            </w:r>
            <w:r w:rsidRPr="008620EF">
              <w:rPr>
                <w:i/>
                <w:sz w:val="28"/>
                <w:szCs w:val="28"/>
              </w:rPr>
              <w:t>euro</w:t>
            </w:r>
            <w:r w:rsidRPr="008620EF">
              <w:rPr>
                <w:sz w:val="28"/>
                <w:szCs w:val="28"/>
              </w:rPr>
              <w:t>.</w:t>
            </w:r>
          </w:p>
          <w:p w:rsidR="00033CE4" w:rsidRPr="008620EF" w:rsidRDefault="00033CE4" w:rsidP="00033CE4">
            <w:pPr>
              <w:ind w:left="142" w:right="57"/>
              <w:jc w:val="both"/>
              <w:rPr>
                <w:sz w:val="28"/>
                <w:szCs w:val="28"/>
              </w:rPr>
            </w:pPr>
            <w:r w:rsidRPr="008620EF">
              <w:rPr>
                <w:sz w:val="28"/>
                <w:szCs w:val="28"/>
              </w:rPr>
              <w:t>Summējot augstāk minētās datu prasību izmaksas:</w:t>
            </w:r>
          </w:p>
          <w:p w:rsidR="00033CE4" w:rsidRPr="008620EF" w:rsidRDefault="00033CE4" w:rsidP="00033CE4">
            <w:pPr>
              <w:ind w:left="142" w:right="57"/>
              <w:jc w:val="both"/>
              <w:rPr>
                <w:sz w:val="28"/>
                <w:szCs w:val="28"/>
              </w:rPr>
            </w:pPr>
            <w:r w:rsidRPr="008620EF">
              <w:rPr>
                <w:iCs/>
                <w:sz w:val="28"/>
                <w:szCs w:val="28"/>
              </w:rPr>
              <w:t xml:space="preserve">13,1 </w:t>
            </w:r>
            <w:r w:rsidRPr="008620EF">
              <w:rPr>
                <w:i/>
                <w:sz w:val="28"/>
                <w:szCs w:val="28"/>
              </w:rPr>
              <w:t>euro</w:t>
            </w:r>
            <w:r w:rsidRPr="008620EF">
              <w:rPr>
                <w:sz w:val="28"/>
                <w:szCs w:val="28"/>
              </w:rPr>
              <w:t xml:space="preserve"> +</w:t>
            </w:r>
            <w:r w:rsidRPr="008620EF">
              <w:rPr>
                <w:iCs/>
                <w:sz w:val="28"/>
                <w:szCs w:val="28"/>
              </w:rPr>
              <w:t xml:space="preserve">8,73 </w:t>
            </w:r>
            <w:r w:rsidRPr="008620EF">
              <w:rPr>
                <w:i/>
                <w:sz w:val="28"/>
                <w:szCs w:val="28"/>
              </w:rPr>
              <w:t>euro</w:t>
            </w:r>
            <w:r w:rsidRPr="008620EF">
              <w:rPr>
                <w:sz w:val="28"/>
                <w:szCs w:val="28"/>
              </w:rPr>
              <w:t xml:space="preserve"> + 17,46=</w:t>
            </w:r>
            <w:r w:rsidR="009479A2">
              <w:rPr>
                <w:sz w:val="28"/>
                <w:szCs w:val="28"/>
              </w:rPr>
              <w:t xml:space="preserve"> </w:t>
            </w:r>
            <w:r w:rsidRPr="008620EF">
              <w:rPr>
                <w:b/>
                <w:sz w:val="28"/>
                <w:szCs w:val="28"/>
              </w:rPr>
              <w:t>39,29</w:t>
            </w:r>
            <w:r w:rsidR="009479A2">
              <w:rPr>
                <w:b/>
                <w:sz w:val="28"/>
                <w:szCs w:val="28"/>
              </w:rPr>
              <w:t xml:space="preserve"> </w:t>
            </w:r>
            <w:r w:rsidRPr="008620EF">
              <w:rPr>
                <w:i/>
                <w:sz w:val="28"/>
                <w:szCs w:val="28"/>
              </w:rPr>
              <w:t>euro</w:t>
            </w:r>
            <w:r w:rsidRPr="008620EF">
              <w:rPr>
                <w:sz w:val="28"/>
                <w:szCs w:val="28"/>
              </w:rPr>
              <w:t>.</w:t>
            </w:r>
          </w:p>
          <w:p w:rsidR="00193E45" w:rsidRPr="00295128" w:rsidRDefault="00193E45" w:rsidP="00B82066">
            <w:pPr>
              <w:ind w:right="57"/>
              <w:jc w:val="both"/>
              <w:rPr>
                <w:sz w:val="28"/>
                <w:szCs w:val="28"/>
              </w:rPr>
            </w:pPr>
          </w:p>
        </w:tc>
      </w:tr>
      <w:tr w:rsidR="00193E45" w:rsidRPr="00295128" w:rsidTr="003F1BD6">
        <w:tc>
          <w:tcPr>
            <w:tcW w:w="523" w:type="dxa"/>
            <w:tcBorders>
              <w:top w:val="single" w:sz="4" w:space="0" w:color="auto"/>
              <w:left w:val="single" w:sz="4" w:space="0" w:color="auto"/>
              <w:bottom w:val="single" w:sz="4" w:space="0" w:color="auto"/>
              <w:right w:val="single" w:sz="4" w:space="0" w:color="auto"/>
            </w:tcBorders>
            <w:hideMark/>
          </w:tcPr>
          <w:p w:rsidR="00193E45" w:rsidRPr="00295128" w:rsidRDefault="00193E45" w:rsidP="00912A6D">
            <w:pPr>
              <w:ind w:left="57" w:right="57"/>
              <w:rPr>
                <w:sz w:val="28"/>
                <w:szCs w:val="28"/>
              </w:rPr>
            </w:pPr>
            <w:r w:rsidRPr="00295128">
              <w:rPr>
                <w:sz w:val="28"/>
                <w:szCs w:val="28"/>
              </w:rPr>
              <w:lastRenderedPageBreak/>
              <w:t> 4.</w:t>
            </w:r>
          </w:p>
        </w:tc>
        <w:tc>
          <w:tcPr>
            <w:tcW w:w="3153" w:type="dxa"/>
            <w:tcBorders>
              <w:top w:val="single" w:sz="4" w:space="0" w:color="auto"/>
              <w:left w:val="single" w:sz="4" w:space="0" w:color="auto"/>
              <w:bottom w:val="single" w:sz="4" w:space="0" w:color="auto"/>
              <w:right w:val="single" w:sz="4" w:space="0" w:color="auto"/>
            </w:tcBorders>
            <w:hideMark/>
          </w:tcPr>
          <w:p w:rsidR="00193E45" w:rsidRPr="00295128" w:rsidRDefault="00193E45" w:rsidP="00912A6D">
            <w:pPr>
              <w:ind w:left="57" w:right="57"/>
              <w:jc w:val="both"/>
              <w:rPr>
                <w:sz w:val="28"/>
                <w:szCs w:val="28"/>
              </w:rPr>
            </w:pPr>
            <w:r w:rsidRPr="00295128">
              <w:rPr>
                <w:sz w:val="28"/>
                <w:szCs w:val="28"/>
              </w:rPr>
              <w:t> Cita informācija</w:t>
            </w:r>
          </w:p>
        </w:tc>
        <w:tc>
          <w:tcPr>
            <w:tcW w:w="5518" w:type="dxa"/>
            <w:tcBorders>
              <w:top w:val="single" w:sz="4" w:space="0" w:color="auto"/>
              <w:left w:val="single" w:sz="4" w:space="0" w:color="auto"/>
              <w:bottom w:val="single" w:sz="4" w:space="0" w:color="auto"/>
              <w:right w:val="single" w:sz="4" w:space="0" w:color="auto"/>
            </w:tcBorders>
            <w:hideMark/>
          </w:tcPr>
          <w:p w:rsidR="00193E45" w:rsidRPr="00295128" w:rsidRDefault="00193E45" w:rsidP="00B82066">
            <w:pPr>
              <w:ind w:right="57"/>
              <w:rPr>
                <w:sz w:val="28"/>
                <w:szCs w:val="28"/>
              </w:rPr>
            </w:pPr>
            <w:r w:rsidRPr="00295128">
              <w:rPr>
                <w:sz w:val="28"/>
                <w:szCs w:val="28"/>
              </w:rPr>
              <w:t>Nav</w:t>
            </w:r>
            <w:r w:rsidR="00126742" w:rsidRPr="00295128">
              <w:rPr>
                <w:sz w:val="28"/>
                <w:szCs w:val="28"/>
              </w:rPr>
              <w:t>.</w:t>
            </w:r>
          </w:p>
        </w:tc>
      </w:tr>
    </w:tbl>
    <w:p w:rsidR="008E6B7D" w:rsidRPr="00295128" w:rsidRDefault="008E6B7D" w:rsidP="00912A6D">
      <w:pPr>
        <w:ind w:left="57" w:right="57"/>
        <w:rPr>
          <w:sz w:val="28"/>
          <w:szCs w:val="28"/>
        </w:rPr>
      </w:pPr>
    </w:p>
    <w:tbl>
      <w:tblPr>
        <w:tblW w:w="49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3119"/>
        <w:gridCol w:w="5529"/>
      </w:tblGrid>
      <w:tr w:rsidR="00FD412C" w:rsidRPr="00295128" w:rsidTr="00FD412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D412C" w:rsidRPr="00295128" w:rsidRDefault="00FD412C" w:rsidP="00DA66BC">
            <w:pPr>
              <w:spacing w:before="100" w:beforeAutospacing="1" w:after="100" w:afterAutospacing="1" w:line="360" w:lineRule="auto"/>
              <w:ind w:firstLine="300"/>
              <w:jc w:val="center"/>
              <w:rPr>
                <w:b/>
                <w:bCs/>
                <w:sz w:val="28"/>
                <w:szCs w:val="28"/>
              </w:rPr>
            </w:pPr>
            <w:r w:rsidRPr="00295128">
              <w:rPr>
                <w:b/>
                <w:bCs/>
                <w:sz w:val="28"/>
                <w:szCs w:val="28"/>
              </w:rPr>
              <w:t>IV. Tiesību akta projekta ietekme uz spēkā esošo tiesību normu sistēmu</w:t>
            </w:r>
          </w:p>
        </w:tc>
      </w:tr>
      <w:tr w:rsidR="00FD412C" w:rsidRPr="00295128" w:rsidTr="00FD412C">
        <w:trPr>
          <w:trHeight w:val="540"/>
        </w:trPr>
        <w:tc>
          <w:tcPr>
            <w:tcW w:w="303" w:type="pct"/>
            <w:tcBorders>
              <w:top w:val="outset" w:sz="6" w:space="0" w:color="414142"/>
              <w:left w:val="outset" w:sz="6" w:space="0" w:color="414142"/>
              <w:bottom w:val="outset" w:sz="6" w:space="0" w:color="414142"/>
              <w:right w:val="outset" w:sz="6" w:space="0" w:color="414142"/>
            </w:tcBorders>
            <w:hideMark/>
          </w:tcPr>
          <w:p w:rsidR="00FD412C" w:rsidRPr="00295128" w:rsidRDefault="00FD412C" w:rsidP="00DA66BC">
            <w:r w:rsidRPr="00295128">
              <w:t>1.</w:t>
            </w:r>
          </w:p>
        </w:tc>
        <w:tc>
          <w:tcPr>
            <w:tcW w:w="1694" w:type="pct"/>
            <w:tcBorders>
              <w:top w:val="outset" w:sz="6" w:space="0" w:color="414142"/>
              <w:left w:val="outset" w:sz="6" w:space="0" w:color="414142"/>
              <w:bottom w:val="outset" w:sz="6" w:space="0" w:color="414142"/>
              <w:right w:val="outset" w:sz="6" w:space="0" w:color="414142"/>
            </w:tcBorders>
          </w:tcPr>
          <w:p w:rsidR="00FD412C" w:rsidRPr="00295128" w:rsidRDefault="00FD412C" w:rsidP="00DA66BC">
            <w:pPr>
              <w:rPr>
                <w:sz w:val="28"/>
                <w:szCs w:val="28"/>
              </w:rPr>
            </w:pPr>
            <w:r w:rsidRPr="00295128">
              <w:rPr>
                <w:sz w:val="28"/>
                <w:szCs w:val="28"/>
              </w:rPr>
              <w:t>Nepieciešamie saistītie tiesību aktu projekti</w:t>
            </w:r>
          </w:p>
        </w:tc>
        <w:tc>
          <w:tcPr>
            <w:tcW w:w="3003" w:type="pct"/>
            <w:tcBorders>
              <w:top w:val="outset" w:sz="6" w:space="0" w:color="414142"/>
              <w:left w:val="outset" w:sz="6" w:space="0" w:color="414142"/>
              <w:bottom w:val="outset" w:sz="6" w:space="0" w:color="414142"/>
              <w:right w:val="outset" w:sz="6" w:space="0" w:color="414142"/>
            </w:tcBorders>
            <w:hideMark/>
          </w:tcPr>
          <w:p w:rsidR="00FD412C" w:rsidRPr="00295128" w:rsidRDefault="00FD412C" w:rsidP="00DA66BC">
            <w:pPr>
              <w:spacing w:before="75" w:after="75"/>
              <w:jc w:val="both"/>
              <w:rPr>
                <w:sz w:val="28"/>
                <w:szCs w:val="28"/>
              </w:rPr>
            </w:pPr>
            <w:r w:rsidRPr="00295128">
              <w:rPr>
                <w:sz w:val="28"/>
                <w:szCs w:val="28"/>
              </w:rPr>
              <w:t>Nav nepieciešams izstrādāt jaunus tiesību aktu projektus.</w:t>
            </w:r>
          </w:p>
        </w:tc>
      </w:tr>
      <w:tr w:rsidR="00FD412C" w:rsidRPr="00295128" w:rsidTr="00FD412C">
        <w:trPr>
          <w:trHeight w:val="330"/>
        </w:trPr>
        <w:tc>
          <w:tcPr>
            <w:tcW w:w="303" w:type="pct"/>
            <w:tcBorders>
              <w:top w:val="outset" w:sz="6" w:space="0" w:color="414142"/>
              <w:left w:val="outset" w:sz="6" w:space="0" w:color="414142"/>
              <w:bottom w:val="outset" w:sz="6" w:space="0" w:color="414142"/>
              <w:right w:val="outset" w:sz="6" w:space="0" w:color="414142"/>
            </w:tcBorders>
            <w:hideMark/>
          </w:tcPr>
          <w:p w:rsidR="00FD412C" w:rsidRPr="00295128" w:rsidRDefault="00FD412C" w:rsidP="00DA66BC">
            <w:r w:rsidRPr="00295128">
              <w:t>2.</w:t>
            </w:r>
          </w:p>
        </w:tc>
        <w:tc>
          <w:tcPr>
            <w:tcW w:w="1694" w:type="pct"/>
            <w:tcBorders>
              <w:top w:val="outset" w:sz="6" w:space="0" w:color="414142"/>
              <w:left w:val="outset" w:sz="6" w:space="0" w:color="414142"/>
              <w:bottom w:val="outset" w:sz="6" w:space="0" w:color="414142"/>
              <w:right w:val="outset" w:sz="6" w:space="0" w:color="414142"/>
            </w:tcBorders>
          </w:tcPr>
          <w:p w:rsidR="00FD412C" w:rsidRPr="00295128" w:rsidRDefault="00FD412C" w:rsidP="00DA66BC">
            <w:pPr>
              <w:rPr>
                <w:sz w:val="28"/>
                <w:szCs w:val="28"/>
              </w:rPr>
            </w:pPr>
            <w:r w:rsidRPr="00295128">
              <w:rPr>
                <w:sz w:val="28"/>
                <w:szCs w:val="28"/>
              </w:rPr>
              <w:t>Atbildīgā institūcija</w:t>
            </w:r>
          </w:p>
        </w:tc>
        <w:tc>
          <w:tcPr>
            <w:tcW w:w="3003" w:type="pct"/>
            <w:tcBorders>
              <w:top w:val="outset" w:sz="6" w:space="0" w:color="414142"/>
              <w:left w:val="outset" w:sz="6" w:space="0" w:color="414142"/>
              <w:bottom w:val="outset" w:sz="6" w:space="0" w:color="414142"/>
              <w:right w:val="outset" w:sz="6" w:space="0" w:color="414142"/>
            </w:tcBorders>
            <w:hideMark/>
          </w:tcPr>
          <w:p w:rsidR="00FD412C" w:rsidRPr="00295128" w:rsidRDefault="00FD412C" w:rsidP="00DA66BC">
            <w:pPr>
              <w:autoSpaceDE w:val="0"/>
              <w:autoSpaceDN w:val="0"/>
              <w:adjustRightInd w:val="0"/>
              <w:jc w:val="both"/>
              <w:rPr>
                <w:sz w:val="28"/>
                <w:szCs w:val="28"/>
              </w:rPr>
            </w:pPr>
            <w:r w:rsidRPr="00295128">
              <w:rPr>
                <w:sz w:val="28"/>
                <w:szCs w:val="28"/>
              </w:rPr>
              <w:t xml:space="preserve">Ekonomikas ministrija. </w:t>
            </w:r>
          </w:p>
        </w:tc>
      </w:tr>
      <w:tr w:rsidR="00FD412C" w:rsidRPr="00295128" w:rsidTr="00FD412C">
        <w:trPr>
          <w:trHeight w:val="330"/>
        </w:trPr>
        <w:tc>
          <w:tcPr>
            <w:tcW w:w="303" w:type="pct"/>
            <w:tcBorders>
              <w:top w:val="outset" w:sz="6" w:space="0" w:color="414142"/>
              <w:left w:val="outset" w:sz="6" w:space="0" w:color="414142"/>
              <w:bottom w:val="outset" w:sz="6" w:space="0" w:color="414142"/>
              <w:right w:val="outset" w:sz="6" w:space="0" w:color="414142"/>
            </w:tcBorders>
          </w:tcPr>
          <w:p w:rsidR="00FD412C" w:rsidRPr="00295128" w:rsidRDefault="00FD412C" w:rsidP="00DA66BC">
            <w:r w:rsidRPr="00295128">
              <w:t>3.</w:t>
            </w:r>
          </w:p>
        </w:tc>
        <w:tc>
          <w:tcPr>
            <w:tcW w:w="1694" w:type="pct"/>
            <w:tcBorders>
              <w:top w:val="outset" w:sz="6" w:space="0" w:color="414142"/>
              <w:left w:val="outset" w:sz="6" w:space="0" w:color="414142"/>
              <w:bottom w:val="outset" w:sz="6" w:space="0" w:color="414142"/>
              <w:right w:val="outset" w:sz="6" w:space="0" w:color="414142"/>
            </w:tcBorders>
          </w:tcPr>
          <w:p w:rsidR="00FD412C" w:rsidRPr="00295128" w:rsidRDefault="00FD412C" w:rsidP="00DA66BC">
            <w:pPr>
              <w:rPr>
                <w:sz w:val="28"/>
                <w:szCs w:val="28"/>
              </w:rPr>
            </w:pPr>
            <w:r w:rsidRPr="00295128">
              <w:rPr>
                <w:sz w:val="28"/>
                <w:szCs w:val="28"/>
              </w:rPr>
              <w:t>Cita informācija</w:t>
            </w:r>
          </w:p>
        </w:tc>
        <w:tc>
          <w:tcPr>
            <w:tcW w:w="3003" w:type="pct"/>
            <w:tcBorders>
              <w:top w:val="outset" w:sz="6" w:space="0" w:color="414142"/>
              <w:left w:val="outset" w:sz="6" w:space="0" w:color="414142"/>
              <w:bottom w:val="outset" w:sz="6" w:space="0" w:color="414142"/>
              <w:right w:val="outset" w:sz="6" w:space="0" w:color="414142"/>
            </w:tcBorders>
          </w:tcPr>
          <w:p w:rsidR="00FD412C" w:rsidRPr="00295128" w:rsidRDefault="00FD412C" w:rsidP="00DA66BC">
            <w:pPr>
              <w:autoSpaceDE w:val="0"/>
              <w:autoSpaceDN w:val="0"/>
              <w:adjustRightInd w:val="0"/>
              <w:jc w:val="both"/>
              <w:rPr>
                <w:sz w:val="28"/>
                <w:szCs w:val="28"/>
              </w:rPr>
            </w:pPr>
            <w:r w:rsidRPr="00295128">
              <w:rPr>
                <w:sz w:val="28"/>
                <w:szCs w:val="28"/>
              </w:rPr>
              <w:t>Nav.</w:t>
            </w:r>
          </w:p>
        </w:tc>
      </w:tr>
    </w:tbl>
    <w:p w:rsidR="008E6B7D" w:rsidRPr="00295128" w:rsidRDefault="008E6B7D" w:rsidP="00912A6D">
      <w:pPr>
        <w:ind w:left="57" w:right="57"/>
        <w:rPr>
          <w:sz w:val="28"/>
          <w:szCs w:val="28"/>
        </w:rPr>
      </w:pPr>
    </w:p>
    <w:tbl>
      <w:tblPr>
        <w:tblW w:w="49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09"/>
        <w:gridCol w:w="6036"/>
      </w:tblGrid>
      <w:tr w:rsidR="00040B08" w:rsidRPr="00295128" w:rsidTr="00040B08">
        <w:tc>
          <w:tcPr>
            <w:tcW w:w="5000" w:type="pct"/>
            <w:gridSpan w:val="3"/>
            <w:shd w:val="clear" w:color="auto" w:fill="auto"/>
            <w:hideMark/>
          </w:tcPr>
          <w:p w:rsidR="00040B08" w:rsidRPr="00295128" w:rsidRDefault="00040B08" w:rsidP="00DA66BC">
            <w:pPr>
              <w:jc w:val="center"/>
              <w:rPr>
                <w:b/>
                <w:bCs/>
                <w:sz w:val="28"/>
                <w:szCs w:val="28"/>
              </w:rPr>
            </w:pPr>
            <w:r w:rsidRPr="00295128">
              <w:rPr>
                <w:b/>
                <w:bCs/>
                <w:sz w:val="28"/>
                <w:szCs w:val="28"/>
              </w:rPr>
              <w:t>V. Tiesību akta projekta atbilstība Latvijas Republikas starptautiskajām saistībām</w:t>
            </w:r>
          </w:p>
        </w:tc>
      </w:tr>
      <w:tr w:rsidR="00040B08" w:rsidRPr="00295128" w:rsidTr="00040B08">
        <w:tc>
          <w:tcPr>
            <w:tcW w:w="308" w:type="pct"/>
            <w:shd w:val="clear" w:color="auto" w:fill="auto"/>
            <w:hideMark/>
          </w:tcPr>
          <w:p w:rsidR="00040B08" w:rsidRPr="00295128" w:rsidRDefault="00040B08" w:rsidP="00DA66BC">
            <w:pPr>
              <w:rPr>
                <w:sz w:val="22"/>
              </w:rPr>
            </w:pPr>
            <w:r w:rsidRPr="00295128">
              <w:rPr>
                <w:sz w:val="22"/>
              </w:rPr>
              <w:t>1.</w:t>
            </w:r>
          </w:p>
        </w:tc>
        <w:tc>
          <w:tcPr>
            <w:tcW w:w="1416" w:type="pct"/>
            <w:shd w:val="clear" w:color="auto" w:fill="auto"/>
            <w:hideMark/>
          </w:tcPr>
          <w:p w:rsidR="00040B08" w:rsidRPr="00295128" w:rsidRDefault="00040B08" w:rsidP="00DA66BC">
            <w:pPr>
              <w:rPr>
                <w:sz w:val="28"/>
                <w:szCs w:val="28"/>
              </w:rPr>
            </w:pPr>
            <w:r w:rsidRPr="00295128">
              <w:rPr>
                <w:sz w:val="28"/>
                <w:szCs w:val="28"/>
              </w:rPr>
              <w:t>Saistības pret Eiropas Savienību</w:t>
            </w:r>
          </w:p>
        </w:tc>
        <w:tc>
          <w:tcPr>
            <w:tcW w:w="3276" w:type="pct"/>
            <w:shd w:val="clear" w:color="auto" w:fill="auto"/>
            <w:hideMark/>
          </w:tcPr>
          <w:p w:rsidR="00040B08" w:rsidRPr="00295128" w:rsidRDefault="004F0074" w:rsidP="00B82066">
            <w:pPr>
              <w:pStyle w:val="doc-ti"/>
              <w:spacing w:before="0" w:after="0"/>
              <w:jc w:val="both"/>
              <w:rPr>
                <w:b w:val="0"/>
                <w:sz w:val="28"/>
                <w:szCs w:val="28"/>
              </w:rPr>
            </w:pPr>
            <w:r w:rsidRPr="00295128">
              <w:rPr>
                <w:b w:val="0"/>
                <w:sz w:val="28"/>
                <w:szCs w:val="28"/>
              </w:rPr>
              <w:t>Eiropas Parlamenta un Padomes 2010.gada 20.oktobra Regula (ES) Nr. 994/2010 par gāzes piegādes drošības aizsardzības pasākumiem un Padomes Direktīvas 2004/67/EK.</w:t>
            </w:r>
          </w:p>
          <w:p w:rsidR="004F0074" w:rsidRPr="00295128" w:rsidRDefault="004F0074" w:rsidP="004F0074">
            <w:pPr>
              <w:pStyle w:val="doc-ti"/>
              <w:spacing w:before="0" w:after="0"/>
              <w:jc w:val="both"/>
              <w:rPr>
                <w:b w:val="0"/>
                <w:color w:val="000000"/>
                <w:sz w:val="28"/>
                <w:szCs w:val="28"/>
              </w:rPr>
            </w:pPr>
            <w:r w:rsidRPr="00295128">
              <w:rPr>
                <w:b w:val="0"/>
                <w:color w:val="000000"/>
                <w:sz w:val="28"/>
                <w:szCs w:val="28"/>
              </w:rPr>
              <w:t>Publicēta “Eiropas Savienības Oficiālajā Vēstnesī” L 295, 12.11.2010., 1.-22. lpp.</w:t>
            </w:r>
          </w:p>
        </w:tc>
      </w:tr>
      <w:tr w:rsidR="00040B08" w:rsidRPr="00295128" w:rsidTr="00040B08">
        <w:tc>
          <w:tcPr>
            <w:tcW w:w="308" w:type="pct"/>
            <w:shd w:val="clear" w:color="auto" w:fill="auto"/>
            <w:hideMark/>
          </w:tcPr>
          <w:p w:rsidR="00040B08" w:rsidRPr="00295128" w:rsidRDefault="00040B08" w:rsidP="00DA66BC">
            <w:pPr>
              <w:rPr>
                <w:sz w:val="22"/>
              </w:rPr>
            </w:pPr>
            <w:r w:rsidRPr="00295128">
              <w:rPr>
                <w:sz w:val="22"/>
              </w:rPr>
              <w:t>2.</w:t>
            </w:r>
          </w:p>
        </w:tc>
        <w:tc>
          <w:tcPr>
            <w:tcW w:w="1416" w:type="pct"/>
            <w:shd w:val="clear" w:color="auto" w:fill="auto"/>
            <w:hideMark/>
          </w:tcPr>
          <w:p w:rsidR="00040B08" w:rsidRPr="00295128" w:rsidRDefault="00040B08" w:rsidP="00DA66BC">
            <w:pPr>
              <w:rPr>
                <w:sz w:val="28"/>
                <w:szCs w:val="28"/>
              </w:rPr>
            </w:pPr>
            <w:r w:rsidRPr="00295128">
              <w:rPr>
                <w:sz w:val="28"/>
                <w:szCs w:val="28"/>
              </w:rPr>
              <w:t>Citas starptautiskās saistības</w:t>
            </w:r>
          </w:p>
        </w:tc>
        <w:tc>
          <w:tcPr>
            <w:tcW w:w="3276" w:type="pct"/>
            <w:shd w:val="clear" w:color="auto" w:fill="auto"/>
            <w:hideMark/>
          </w:tcPr>
          <w:p w:rsidR="00040B08" w:rsidRPr="00295128" w:rsidRDefault="004F0074" w:rsidP="004F0074">
            <w:pPr>
              <w:jc w:val="both"/>
              <w:rPr>
                <w:sz w:val="28"/>
                <w:szCs w:val="28"/>
              </w:rPr>
            </w:pPr>
            <w:r w:rsidRPr="00295128">
              <w:rPr>
                <w:sz w:val="28"/>
                <w:szCs w:val="28"/>
              </w:rPr>
              <w:t>Projekts šo jomu neskar</w:t>
            </w:r>
            <w:r w:rsidR="006338C0" w:rsidRPr="00295128">
              <w:rPr>
                <w:sz w:val="28"/>
                <w:szCs w:val="28"/>
              </w:rPr>
              <w:t>.</w:t>
            </w:r>
          </w:p>
        </w:tc>
      </w:tr>
      <w:tr w:rsidR="00040B08" w:rsidRPr="00295128" w:rsidTr="00040B08">
        <w:trPr>
          <w:trHeight w:val="333"/>
        </w:trPr>
        <w:tc>
          <w:tcPr>
            <w:tcW w:w="308" w:type="pct"/>
            <w:shd w:val="clear" w:color="auto" w:fill="auto"/>
            <w:hideMark/>
          </w:tcPr>
          <w:p w:rsidR="00040B08" w:rsidRPr="00295128" w:rsidRDefault="00040B08" w:rsidP="00DA66BC">
            <w:pPr>
              <w:rPr>
                <w:sz w:val="22"/>
              </w:rPr>
            </w:pPr>
            <w:r w:rsidRPr="00295128">
              <w:rPr>
                <w:sz w:val="22"/>
              </w:rPr>
              <w:t>3.</w:t>
            </w:r>
          </w:p>
        </w:tc>
        <w:tc>
          <w:tcPr>
            <w:tcW w:w="1416" w:type="pct"/>
            <w:shd w:val="clear" w:color="auto" w:fill="auto"/>
            <w:hideMark/>
          </w:tcPr>
          <w:p w:rsidR="00040B08" w:rsidRPr="00295128" w:rsidRDefault="00040B08" w:rsidP="00DA66BC">
            <w:pPr>
              <w:rPr>
                <w:sz w:val="28"/>
                <w:szCs w:val="28"/>
              </w:rPr>
            </w:pPr>
            <w:r w:rsidRPr="00295128">
              <w:rPr>
                <w:sz w:val="28"/>
                <w:szCs w:val="28"/>
              </w:rPr>
              <w:t>Cita informācija</w:t>
            </w:r>
          </w:p>
        </w:tc>
        <w:tc>
          <w:tcPr>
            <w:tcW w:w="3276" w:type="pct"/>
            <w:shd w:val="clear" w:color="auto" w:fill="auto"/>
            <w:hideMark/>
          </w:tcPr>
          <w:p w:rsidR="00040B08" w:rsidRPr="00295128" w:rsidRDefault="00040B08" w:rsidP="00DA66BC">
            <w:pPr>
              <w:rPr>
                <w:sz w:val="28"/>
                <w:szCs w:val="28"/>
              </w:rPr>
            </w:pPr>
            <w:r w:rsidRPr="00295128">
              <w:rPr>
                <w:sz w:val="28"/>
                <w:szCs w:val="28"/>
              </w:rPr>
              <w:t>Nav.</w:t>
            </w:r>
          </w:p>
        </w:tc>
      </w:tr>
    </w:tbl>
    <w:p w:rsidR="00B60B88" w:rsidRPr="00295128" w:rsidRDefault="00B60B88" w:rsidP="00040B08"/>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928"/>
        <w:gridCol w:w="1095"/>
        <w:gridCol w:w="1787"/>
        <w:gridCol w:w="1268"/>
        <w:gridCol w:w="2237"/>
        <w:gridCol w:w="7"/>
        <w:gridCol w:w="15"/>
      </w:tblGrid>
      <w:tr w:rsidR="00040B08" w:rsidRPr="00295128" w:rsidTr="008E6B7D">
        <w:tc>
          <w:tcPr>
            <w:tcW w:w="5000" w:type="pct"/>
            <w:gridSpan w:val="8"/>
            <w:shd w:val="clear" w:color="auto" w:fill="auto"/>
          </w:tcPr>
          <w:p w:rsidR="00040B08" w:rsidRPr="00B60B88" w:rsidRDefault="00040B08" w:rsidP="00DA66BC">
            <w:pPr>
              <w:jc w:val="center"/>
              <w:rPr>
                <w:sz w:val="28"/>
                <w:szCs w:val="28"/>
              </w:rPr>
            </w:pPr>
            <w:r w:rsidRPr="00B60B88">
              <w:rPr>
                <w:b/>
                <w:bCs/>
                <w:sz w:val="28"/>
                <w:szCs w:val="28"/>
              </w:rPr>
              <w:t>1. tabula</w:t>
            </w:r>
            <w:r w:rsidRPr="00B60B88">
              <w:rPr>
                <w:b/>
                <w:bCs/>
                <w:sz w:val="28"/>
                <w:szCs w:val="28"/>
              </w:rPr>
              <w:br/>
              <w:t>Tiesību akta projekta atbilstība ES tiesību aktiem</w:t>
            </w:r>
          </w:p>
        </w:tc>
      </w:tr>
      <w:tr w:rsidR="00040B08" w:rsidRPr="00295128" w:rsidTr="008E6B7D">
        <w:tc>
          <w:tcPr>
            <w:tcW w:w="1014" w:type="pct"/>
            <w:shd w:val="clear" w:color="auto" w:fill="auto"/>
          </w:tcPr>
          <w:p w:rsidR="00040B08" w:rsidRPr="00B60B88" w:rsidRDefault="00040B08" w:rsidP="00DA66BC">
            <w:pPr>
              <w:rPr>
                <w:sz w:val="28"/>
                <w:szCs w:val="28"/>
              </w:rPr>
            </w:pPr>
            <w:r w:rsidRPr="00B60B88">
              <w:rPr>
                <w:sz w:val="28"/>
                <w:szCs w:val="28"/>
              </w:rPr>
              <w:lastRenderedPageBreak/>
              <w:t>Attiecīgā ES tiesību akta datums, numurs un nosaukums</w:t>
            </w:r>
          </w:p>
        </w:tc>
        <w:tc>
          <w:tcPr>
            <w:tcW w:w="3986" w:type="pct"/>
            <w:gridSpan w:val="7"/>
            <w:shd w:val="clear" w:color="auto" w:fill="auto"/>
          </w:tcPr>
          <w:p w:rsidR="004F0074" w:rsidRPr="00B60B88" w:rsidRDefault="004F0074" w:rsidP="004F0074">
            <w:pPr>
              <w:jc w:val="both"/>
              <w:rPr>
                <w:sz w:val="28"/>
                <w:szCs w:val="28"/>
              </w:rPr>
            </w:pPr>
            <w:r w:rsidRPr="00B60B88">
              <w:rPr>
                <w:sz w:val="28"/>
                <w:szCs w:val="28"/>
              </w:rPr>
              <w:t>Eiropas Parlamenta un Padomes 2010. gada 20. oktobra Regula (ES) Nr. 994/2010 par gāzes piegādes drošības aizsardzības pasākumiem un Padomes Direktīvas 2004/67/EK.</w:t>
            </w:r>
          </w:p>
          <w:p w:rsidR="00040B08" w:rsidRPr="00B60B88" w:rsidRDefault="004F0074" w:rsidP="004F0074">
            <w:pPr>
              <w:jc w:val="both"/>
              <w:rPr>
                <w:sz w:val="28"/>
                <w:szCs w:val="28"/>
              </w:rPr>
            </w:pPr>
            <w:r w:rsidRPr="00B60B88">
              <w:rPr>
                <w:sz w:val="28"/>
                <w:szCs w:val="28"/>
              </w:rPr>
              <w:t>Publicēta “Eiropas Savienības Oficiālajā Vēstnesī” L 295, 12.11.2010., 1.-22. lpp.</w:t>
            </w:r>
          </w:p>
        </w:tc>
      </w:tr>
      <w:tr w:rsidR="008E6B7D" w:rsidRPr="00295128" w:rsidTr="00800BA5">
        <w:tc>
          <w:tcPr>
            <w:tcW w:w="1014" w:type="pct"/>
            <w:shd w:val="clear" w:color="auto" w:fill="auto"/>
            <w:hideMark/>
          </w:tcPr>
          <w:p w:rsidR="00040B08" w:rsidRPr="00B60B88" w:rsidRDefault="00040B08" w:rsidP="00DA66BC">
            <w:pPr>
              <w:jc w:val="center"/>
              <w:rPr>
                <w:sz w:val="28"/>
                <w:szCs w:val="28"/>
              </w:rPr>
            </w:pPr>
            <w:r w:rsidRPr="00B60B88">
              <w:rPr>
                <w:sz w:val="28"/>
                <w:szCs w:val="28"/>
              </w:rPr>
              <w:t>A</w:t>
            </w:r>
          </w:p>
        </w:tc>
        <w:tc>
          <w:tcPr>
            <w:tcW w:w="1099" w:type="pct"/>
            <w:gridSpan w:val="2"/>
            <w:shd w:val="clear" w:color="auto" w:fill="auto"/>
            <w:hideMark/>
          </w:tcPr>
          <w:p w:rsidR="00040B08" w:rsidRPr="00B60B88" w:rsidRDefault="00040B08" w:rsidP="00DA66BC">
            <w:pPr>
              <w:jc w:val="center"/>
              <w:rPr>
                <w:sz w:val="28"/>
                <w:szCs w:val="28"/>
              </w:rPr>
            </w:pPr>
            <w:r w:rsidRPr="00B60B88">
              <w:rPr>
                <w:sz w:val="28"/>
                <w:szCs w:val="28"/>
              </w:rPr>
              <w:t>B</w:t>
            </w:r>
          </w:p>
        </w:tc>
        <w:tc>
          <w:tcPr>
            <w:tcW w:w="1660" w:type="pct"/>
            <w:gridSpan w:val="2"/>
            <w:shd w:val="clear" w:color="auto" w:fill="auto"/>
            <w:hideMark/>
          </w:tcPr>
          <w:p w:rsidR="00040B08" w:rsidRPr="00B60B88" w:rsidRDefault="00040B08" w:rsidP="00DA66BC">
            <w:pPr>
              <w:jc w:val="center"/>
              <w:rPr>
                <w:sz w:val="28"/>
                <w:szCs w:val="28"/>
              </w:rPr>
            </w:pPr>
            <w:r w:rsidRPr="00B60B88">
              <w:rPr>
                <w:sz w:val="28"/>
                <w:szCs w:val="28"/>
              </w:rPr>
              <w:t>C</w:t>
            </w:r>
          </w:p>
        </w:tc>
        <w:tc>
          <w:tcPr>
            <w:tcW w:w="1227" w:type="pct"/>
            <w:gridSpan w:val="3"/>
            <w:shd w:val="clear" w:color="auto" w:fill="auto"/>
            <w:hideMark/>
          </w:tcPr>
          <w:p w:rsidR="00040B08" w:rsidRPr="00B60B88" w:rsidRDefault="00040B08" w:rsidP="00DA66BC">
            <w:pPr>
              <w:jc w:val="center"/>
              <w:rPr>
                <w:sz w:val="28"/>
                <w:szCs w:val="28"/>
              </w:rPr>
            </w:pPr>
            <w:r w:rsidRPr="00B60B88">
              <w:rPr>
                <w:sz w:val="28"/>
                <w:szCs w:val="28"/>
              </w:rPr>
              <w:t>D</w:t>
            </w:r>
          </w:p>
        </w:tc>
      </w:tr>
      <w:tr w:rsidR="008E6B7D" w:rsidRPr="00295128" w:rsidTr="00800BA5">
        <w:tc>
          <w:tcPr>
            <w:tcW w:w="1014" w:type="pct"/>
            <w:tcBorders>
              <w:top w:val="single" w:sz="4" w:space="0" w:color="auto"/>
              <w:left w:val="single" w:sz="4" w:space="0" w:color="auto"/>
              <w:bottom w:val="single" w:sz="4" w:space="0" w:color="auto"/>
              <w:right w:val="single" w:sz="4" w:space="0" w:color="auto"/>
            </w:tcBorders>
            <w:shd w:val="clear" w:color="auto" w:fill="auto"/>
            <w:hideMark/>
          </w:tcPr>
          <w:p w:rsidR="004F0074" w:rsidRPr="00B60B88" w:rsidRDefault="004F0074" w:rsidP="004F0074">
            <w:pPr>
              <w:jc w:val="center"/>
              <w:rPr>
                <w:sz w:val="28"/>
                <w:szCs w:val="28"/>
              </w:rPr>
            </w:pPr>
            <w:r w:rsidRPr="00B60B88">
              <w:rPr>
                <w:sz w:val="28"/>
                <w:szCs w:val="28"/>
              </w:rPr>
              <w:t>Attiecīgā ES tiesību akta panta numurs (uzskaitot katru tiesību akta vienību – pantu, daļu, punktu, apakšpunktu)</w:t>
            </w:r>
          </w:p>
        </w:tc>
        <w:tc>
          <w:tcPr>
            <w:tcW w:w="1099" w:type="pct"/>
            <w:gridSpan w:val="2"/>
            <w:tcBorders>
              <w:top w:val="single" w:sz="4" w:space="0" w:color="auto"/>
              <w:left w:val="single" w:sz="4" w:space="0" w:color="auto"/>
              <w:bottom w:val="single" w:sz="4" w:space="0" w:color="auto"/>
              <w:right w:val="single" w:sz="4" w:space="0" w:color="auto"/>
            </w:tcBorders>
            <w:shd w:val="clear" w:color="auto" w:fill="auto"/>
            <w:hideMark/>
          </w:tcPr>
          <w:p w:rsidR="004F0074" w:rsidRPr="00B60B88" w:rsidRDefault="004F0074" w:rsidP="004F0074">
            <w:pPr>
              <w:jc w:val="center"/>
              <w:rPr>
                <w:sz w:val="28"/>
                <w:szCs w:val="28"/>
              </w:rPr>
            </w:pPr>
            <w:r w:rsidRPr="00B60B88">
              <w:rPr>
                <w:sz w:val="28"/>
                <w:szCs w:val="28"/>
              </w:rPr>
              <w:t>Projekta vienība, kas pārņem vai ievieš katru šīs tabulas A ailē minēto ES tiesību akta vienību, vai tiesību akts, kur attiecīgā ES tiesību akta vienība pārņemta vai ieviesta</w:t>
            </w: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hideMark/>
          </w:tcPr>
          <w:p w:rsidR="004F0074" w:rsidRPr="00B60B88" w:rsidRDefault="004F0074" w:rsidP="004F0074">
            <w:pPr>
              <w:jc w:val="center"/>
              <w:rPr>
                <w:sz w:val="28"/>
                <w:szCs w:val="28"/>
              </w:rPr>
            </w:pPr>
            <w:r w:rsidRPr="00B60B88">
              <w:rPr>
                <w:sz w:val="28"/>
                <w:szCs w:val="28"/>
              </w:rPr>
              <w:t>Informācija par to, vai šīs tabulas A ailē minētās ES tiesību akta vienības tiek pārņemtas vai ieviestas pilnībā vai daļēji.</w:t>
            </w:r>
          </w:p>
          <w:p w:rsidR="004F0074" w:rsidRPr="00B60B88" w:rsidRDefault="004F0074" w:rsidP="004F0074">
            <w:pPr>
              <w:jc w:val="center"/>
              <w:rPr>
                <w:sz w:val="28"/>
                <w:szCs w:val="28"/>
              </w:rPr>
            </w:pPr>
            <w:r w:rsidRPr="00B60B88">
              <w:rPr>
                <w:sz w:val="28"/>
                <w:szCs w:val="28"/>
              </w:rPr>
              <w:t>Ja attiecīgā ES tiesību akta vienība tiek pārņemta vai ieviesta daļēji, sniedz attiecīgu skaidrojumu, kā arī precīzi norāda, kad un kādā veidā ES tiesību akta vienība tiks pārņemta vai ieviesta pilnībā.</w:t>
            </w:r>
          </w:p>
          <w:p w:rsidR="004F0074" w:rsidRPr="00B60B88" w:rsidRDefault="004F0074" w:rsidP="004F0074">
            <w:pPr>
              <w:jc w:val="center"/>
              <w:rPr>
                <w:sz w:val="28"/>
                <w:szCs w:val="28"/>
              </w:rPr>
            </w:pPr>
            <w:r w:rsidRPr="00B60B88">
              <w:rPr>
                <w:sz w:val="28"/>
                <w:szCs w:val="28"/>
              </w:rPr>
              <w:t>Norāda institūciju, kas ir atbildīga par šo saistību izpildi pilnībā</w:t>
            </w:r>
          </w:p>
        </w:tc>
        <w:tc>
          <w:tcPr>
            <w:tcW w:w="1227" w:type="pct"/>
            <w:gridSpan w:val="3"/>
            <w:tcBorders>
              <w:top w:val="single" w:sz="4" w:space="0" w:color="auto"/>
              <w:left w:val="single" w:sz="4" w:space="0" w:color="auto"/>
              <w:bottom w:val="single" w:sz="4" w:space="0" w:color="auto"/>
              <w:right w:val="single" w:sz="4" w:space="0" w:color="auto"/>
            </w:tcBorders>
            <w:shd w:val="clear" w:color="auto" w:fill="auto"/>
            <w:hideMark/>
          </w:tcPr>
          <w:p w:rsidR="004F0074" w:rsidRPr="00B60B88" w:rsidRDefault="004F0074" w:rsidP="004F0074">
            <w:pPr>
              <w:jc w:val="center"/>
              <w:rPr>
                <w:sz w:val="28"/>
                <w:szCs w:val="28"/>
              </w:rPr>
            </w:pPr>
            <w:r w:rsidRPr="00B60B88">
              <w:rPr>
                <w:sz w:val="28"/>
                <w:szCs w:val="28"/>
              </w:rPr>
              <w:t>Informācija par to, vai šīs tabulas B ailē minētās projekta vienības paredz stingrākas prasības nekā šīs tabulas A ailē minētās ES tiesību akta vienības.</w:t>
            </w:r>
          </w:p>
          <w:p w:rsidR="004F0074" w:rsidRPr="00B60B88" w:rsidRDefault="004F0074" w:rsidP="004F0074">
            <w:pPr>
              <w:jc w:val="center"/>
              <w:rPr>
                <w:sz w:val="28"/>
                <w:szCs w:val="28"/>
              </w:rPr>
            </w:pPr>
            <w:r w:rsidRPr="00B60B88">
              <w:rPr>
                <w:sz w:val="28"/>
                <w:szCs w:val="28"/>
              </w:rPr>
              <w:t>Ja projekts satur stingrākas prasības nekā attiecīgais ES tiesību akts, norāda pamatojumu un samērīgumu.</w:t>
            </w:r>
          </w:p>
          <w:p w:rsidR="004F0074" w:rsidRPr="00B60B88" w:rsidRDefault="004F0074" w:rsidP="004F0074">
            <w:pPr>
              <w:jc w:val="center"/>
              <w:rPr>
                <w:sz w:val="28"/>
                <w:szCs w:val="28"/>
              </w:rPr>
            </w:pPr>
            <w:r w:rsidRPr="00B60B88">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8E6B7D" w:rsidRPr="00295128" w:rsidTr="00800BA5">
        <w:tc>
          <w:tcPr>
            <w:tcW w:w="1014" w:type="pct"/>
            <w:tcBorders>
              <w:top w:val="single" w:sz="4" w:space="0" w:color="auto"/>
              <w:left w:val="single" w:sz="4" w:space="0" w:color="auto"/>
              <w:bottom w:val="single" w:sz="4" w:space="0" w:color="auto"/>
              <w:right w:val="single" w:sz="4" w:space="0" w:color="auto"/>
            </w:tcBorders>
            <w:shd w:val="clear" w:color="auto" w:fill="auto"/>
            <w:hideMark/>
          </w:tcPr>
          <w:p w:rsidR="004F0074" w:rsidRPr="00B60B88" w:rsidRDefault="006E5DA8" w:rsidP="004F0074">
            <w:pPr>
              <w:jc w:val="center"/>
              <w:rPr>
                <w:sz w:val="28"/>
                <w:szCs w:val="28"/>
              </w:rPr>
            </w:pPr>
            <w:r w:rsidRPr="00B60B88">
              <w:rPr>
                <w:sz w:val="28"/>
                <w:szCs w:val="28"/>
              </w:rPr>
              <w:t>2</w:t>
            </w:r>
            <w:r w:rsidR="004F0074" w:rsidRPr="00B60B88">
              <w:rPr>
                <w:sz w:val="28"/>
                <w:szCs w:val="28"/>
              </w:rPr>
              <w:t>.panta 1.punkts</w:t>
            </w:r>
          </w:p>
        </w:tc>
        <w:tc>
          <w:tcPr>
            <w:tcW w:w="1099" w:type="pct"/>
            <w:gridSpan w:val="2"/>
            <w:tcBorders>
              <w:top w:val="single" w:sz="4" w:space="0" w:color="auto"/>
              <w:left w:val="single" w:sz="4" w:space="0" w:color="auto"/>
              <w:bottom w:val="single" w:sz="4" w:space="0" w:color="auto"/>
              <w:right w:val="single" w:sz="4" w:space="0" w:color="auto"/>
            </w:tcBorders>
            <w:shd w:val="clear" w:color="auto" w:fill="auto"/>
            <w:hideMark/>
          </w:tcPr>
          <w:p w:rsidR="004F0074" w:rsidRPr="00B60B88" w:rsidRDefault="008E1D9D" w:rsidP="004F0074">
            <w:pPr>
              <w:jc w:val="center"/>
              <w:rPr>
                <w:sz w:val="28"/>
                <w:szCs w:val="28"/>
              </w:rPr>
            </w:pPr>
            <w:r>
              <w:rPr>
                <w:sz w:val="28"/>
                <w:szCs w:val="28"/>
              </w:rPr>
              <w:t>3</w:t>
            </w:r>
            <w:r w:rsidR="00BC5638">
              <w:rPr>
                <w:sz w:val="28"/>
                <w:szCs w:val="28"/>
              </w:rPr>
              <w:t>.</w:t>
            </w:r>
            <w:r w:rsidR="004F0074" w:rsidRPr="00B60B88">
              <w:rPr>
                <w:sz w:val="28"/>
                <w:szCs w:val="28"/>
              </w:rPr>
              <w:t>punkts</w:t>
            </w: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hideMark/>
          </w:tcPr>
          <w:p w:rsidR="004F0074" w:rsidRDefault="004F0074" w:rsidP="00F92C8A">
            <w:pPr>
              <w:jc w:val="both"/>
              <w:rPr>
                <w:sz w:val="28"/>
                <w:szCs w:val="28"/>
              </w:rPr>
            </w:pPr>
            <w:r w:rsidRPr="00B60B88">
              <w:rPr>
                <w:sz w:val="28"/>
                <w:szCs w:val="28"/>
              </w:rPr>
              <w:t>ES tiesību akta norma tiek īstenota pilnībā.</w:t>
            </w:r>
          </w:p>
          <w:p w:rsidR="006174F9" w:rsidRPr="00BE154E" w:rsidRDefault="00A9667B" w:rsidP="00EB5417">
            <w:pPr>
              <w:jc w:val="both"/>
              <w:rPr>
                <w:sz w:val="28"/>
                <w:szCs w:val="28"/>
              </w:rPr>
            </w:pPr>
            <w:r w:rsidRPr="00BE154E">
              <w:rPr>
                <w:sz w:val="28"/>
                <w:szCs w:val="28"/>
              </w:rPr>
              <w:t xml:space="preserve">Latvija ir izmantojusi Regulas 2.pantā </w:t>
            </w:r>
            <w:r w:rsidR="00EB5417" w:rsidRPr="00BE154E">
              <w:rPr>
                <w:sz w:val="28"/>
                <w:szCs w:val="28"/>
              </w:rPr>
              <w:t xml:space="preserve">ietverto </w:t>
            </w:r>
            <w:r w:rsidR="00EB5417" w:rsidRPr="00BE154E">
              <w:rPr>
                <w:sz w:val="28"/>
                <w:szCs w:val="28"/>
              </w:rPr>
              <w:lastRenderedPageBreak/>
              <w:t>rīcības brīvību un attiecīgi sagatavojusi noteikumu projekta tiesību normas. Detalizēts pamatojums aprakstīts anotācijas I sadaļas 2.punktā.</w:t>
            </w:r>
          </w:p>
        </w:tc>
        <w:tc>
          <w:tcPr>
            <w:tcW w:w="1227" w:type="pct"/>
            <w:gridSpan w:val="3"/>
            <w:tcBorders>
              <w:top w:val="single" w:sz="4" w:space="0" w:color="auto"/>
              <w:left w:val="single" w:sz="4" w:space="0" w:color="auto"/>
              <w:bottom w:val="single" w:sz="4" w:space="0" w:color="auto"/>
              <w:right w:val="single" w:sz="4" w:space="0" w:color="auto"/>
            </w:tcBorders>
            <w:shd w:val="clear" w:color="auto" w:fill="auto"/>
            <w:hideMark/>
          </w:tcPr>
          <w:p w:rsidR="004F0074" w:rsidRPr="00B60B88" w:rsidRDefault="004F0074" w:rsidP="00800BA5">
            <w:pPr>
              <w:jc w:val="center"/>
              <w:rPr>
                <w:sz w:val="28"/>
                <w:szCs w:val="28"/>
              </w:rPr>
            </w:pPr>
            <w:r w:rsidRPr="00B60B88">
              <w:rPr>
                <w:sz w:val="28"/>
                <w:szCs w:val="28"/>
              </w:rPr>
              <w:lastRenderedPageBreak/>
              <w:t xml:space="preserve">Normatīvā akta projekta vienība neparedz </w:t>
            </w:r>
            <w:r w:rsidRPr="00B60B88">
              <w:rPr>
                <w:sz w:val="28"/>
                <w:szCs w:val="28"/>
              </w:rPr>
              <w:lastRenderedPageBreak/>
              <w:t>stingrākas prasības</w:t>
            </w:r>
            <w:r w:rsidR="00800BA5">
              <w:rPr>
                <w:sz w:val="28"/>
                <w:szCs w:val="28"/>
              </w:rPr>
              <w:t xml:space="preserve">     </w:t>
            </w:r>
          </w:p>
        </w:tc>
      </w:tr>
      <w:tr w:rsidR="00B32A6D" w:rsidRPr="00295128" w:rsidTr="00800BA5">
        <w:tc>
          <w:tcPr>
            <w:tcW w:w="1014" w:type="pct"/>
            <w:tcBorders>
              <w:top w:val="single" w:sz="4" w:space="0" w:color="auto"/>
              <w:left w:val="single" w:sz="4" w:space="0" w:color="auto"/>
              <w:bottom w:val="single" w:sz="4" w:space="0" w:color="auto"/>
              <w:right w:val="single" w:sz="4" w:space="0" w:color="auto"/>
            </w:tcBorders>
            <w:shd w:val="clear" w:color="auto" w:fill="auto"/>
          </w:tcPr>
          <w:p w:rsidR="00B32A6D" w:rsidRPr="00B60B88" w:rsidRDefault="00B32A6D" w:rsidP="004F0074">
            <w:pPr>
              <w:jc w:val="center"/>
              <w:rPr>
                <w:sz w:val="28"/>
                <w:szCs w:val="28"/>
              </w:rPr>
            </w:pPr>
            <w:r w:rsidRPr="00B60B88">
              <w:rPr>
                <w:sz w:val="28"/>
                <w:szCs w:val="28"/>
              </w:rPr>
              <w:lastRenderedPageBreak/>
              <w:t>8.panta</w:t>
            </w:r>
          </w:p>
          <w:p w:rsidR="00B32A6D" w:rsidRPr="00B60B88" w:rsidRDefault="00B32A6D" w:rsidP="004F0074">
            <w:pPr>
              <w:jc w:val="center"/>
              <w:rPr>
                <w:sz w:val="28"/>
                <w:szCs w:val="28"/>
              </w:rPr>
            </w:pPr>
            <w:r w:rsidRPr="00B60B88">
              <w:rPr>
                <w:sz w:val="28"/>
                <w:szCs w:val="28"/>
              </w:rPr>
              <w:t>1.punkts</w:t>
            </w:r>
          </w:p>
        </w:tc>
        <w:tc>
          <w:tcPr>
            <w:tcW w:w="1099" w:type="pct"/>
            <w:gridSpan w:val="2"/>
            <w:tcBorders>
              <w:top w:val="single" w:sz="4" w:space="0" w:color="auto"/>
              <w:left w:val="single" w:sz="4" w:space="0" w:color="auto"/>
              <w:bottom w:val="single" w:sz="4" w:space="0" w:color="auto"/>
              <w:right w:val="single" w:sz="4" w:space="0" w:color="auto"/>
            </w:tcBorders>
            <w:shd w:val="clear" w:color="auto" w:fill="auto"/>
          </w:tcPr>
          <w:p w:rsidR="00B32A6D" w:rsidRPr="00B60B88" w:rsidRDefault="008E1D9D" w:rsidP="00610965">
            <w:pPr>
              <w:jc w:val="center"/>
              <w:rPr>
                <w:sz w:val="28"/>
                <w:szCs w:val="28"/>
              </w:rPr>
            </w:pPr>
            <w:r>
              <w:rPr>
                <w:sz w:val="28"/>
                <w:szCs w:val="28"/>
              </w:rPr>
              <w:t>4., 5.</w:t>
            </w:r>
            <w:r w:rsidR="00610965" w:rsidRPr="00B60B88">
              <w:rPr>
                <w:sz w:val="28"/>
                <w:szCs w:val="28"/>
              </w:rPr>
              <w:t>punkts</w:t>
            </w: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tcPr>
          <w:p w:rsidR="00B32A6D" w:rsidRPr="00B60B88" w:rsidRDefault="00B32A6D" w:rsidP="004F0074">
            <w:pPr>
              <w:jc w:val="center"/>
              <w:rPr>
                <w:b/>
                <w:sz w:val="28"/>
                <w:szCs w:val="28"/>
              </w:rPr>
            </w:pPr>
            <w:r w:rsidRPr="00B60B88">
              <w:rPr>
                <w:sz w:val="28"/>
                <w:szCs w:val="28"/>
              </w:rPr>
              <w:t>ES tiesību akta norma tiek īstenota pilnībā.</w:t>
            </w:r>
          </w:p>
        </w:tc>
        <w:tc>
          <w:tcPr>
            <w:tcW w:w="1227" w:type="pct"/>
            <w:gridSpan w:val="3"/>
            <w:tcBorders>
              <w:top w:val="single" w:sz="4" w:space="0" w:color="auto"/>
              <w:left w:val="single" w:sz="4" w:space="0" w:color="auto"/>
              <w:bottom w:val="single" w:sz="4" w:space="0" w:color="auto"/>
              <w:right w:val="single" w:sz="4" w:space="0" w:color="auto"/>
            </w:tcBorders>
            <w:shd w:val="clear" w:color="auto" w:fill="auto"/>
          </w:tcPr>
          <w:p w:rsidR="00B32A6D" w:rsidRPr="00B60B88" w:rsidRDefault="00610965" w:rsidP="004F0074">
            <w:pPr>
              <w:jc w:val="center"/>
              <w:rPr>
                <w:sz w:val="28"/>
                <w:szCs w:val="28"/>
              </w:rPr>
            </w:pPr>
            <w:r w:rsidRPr="00B60B88">
              <w:rPr>
                <w:sz w:val="28"/>
                <w:szCs w:val="28"/>
              </w:rPr>
              <w:t>Normatīvā akta projekta vienība neparedz stingrākas prasības</w:t>
            </w:r>
          </w:p>
        </w:tc>
      </w:tr>
      <w:tr w:rsidR="008E6B7D" w:rsidRPr="00295128" w:rsidTr="008E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81"/>
        </w:trPr>
        <w:tc>
          <w:tcPr>
            <w:tcW w:w="2113" w:type="pct"/>
            <w:gridSpan w:val="3"/>
            <w:tcBorders>
              <w:top w:val="single" w:sz="4" w:space="0" w:color="000000"/>
              <w:left w:val="single" w:sz="4" w:space="0" w:color="000000"/>
              <w:bottom w:val="single" w:sz="4" w:space="0" w:color="000000"/>
              <w:right w:val="single" w:sz="4" w:space="0" w:color="000000"/>
            </w:tcBorders>
            <w:shd w:val="clear" w:color="000000" w:fill="FFFFFF"/>
          </w:tcPr>
          <w:p w:rsidR="004F0074" w:rsidRPr="00B60B88" w:rsidRDefault="004F0074" w:rsidP="007844A5">
            <w:pPr>
              <w:autoSpaceDE w:val="0"/>
              <w:autoSpaceDN w:val="0"/>
              <w:adjustRightInd w:val="0"/>
              <w:ind w:left="57"/>
              <w:rPr>
                <w:spacing w:val="-3"/>
                <w:sz w:val="28"/>
                <w:szCs w:val="28"/>
              </w:rPr>
            </w:pPr>
            <w:r w:rsidRPr="00B60B88">
              <w:rPr>
                <w:spacing w:val="-3"/>
                <w:sz w:val="28"/>
                <w:szCs w:val="28"/>
              </w:rPr>
              <w:t>Kā ir izmantota ES tiesību aktā paredzētā rīcības brīvība dalībvalstij pārņemt vai ieviest noteiktas ES tiesību akta normas?</w:t>
            </w:r>
          </w:p>
          <w:p w:rsidR="004F0074" w:rsidRPr="00B60B88" w:rsidRDefault="004F0074" w:rsidP="007844A5">
            <w:pPr>
              <w:autoSpaceDE w:val="0"/>
              <w:autoSpaceDN w:val="0"/>
              <w:adjustRightInd w:val="0"/>
              <w:ind w:left="57"/>
              <w:rPr>
                <w:sz w:val="28"/>
                <w:szCs w:val="28"/>
              </w:rPr>
            </w:pPr>
            <w:r w:rsidRPr="00B60B88">
              <w:rPr>
                <w:spacing w:val="-3"/>
                <w:sz w:val="28"/>
                <w:szCs w:val="28"/>
              </w:rPr>
              <w:t>Kādēļ?</w:t>
            </w:r>
          </w:p>
        </w:tc>
        <w:tc>
          <w:tcPr>
            <w:tcW w:w="2887" w:type="pct"/>
            <w:gridSpan w:val="5"/>
            <w:tcBorders>
              <w:top w:val="single" w:sz="4" w:space="0" w:color="000000"/>
              <w:left w:val="single" w:sz="4" w:space="0" w:color="000000"/>
              <w:bottom w:val="single" w:sz="4" w:space="0" w:color="000000"/>
              <w:right w:val="single" w:sz="4" w:space="0" w:color="000000"/>
            </w:tcBorders>
            <w:shd w:val="clear" w:color="000000" w:fill="FFFFFF"/>
          </w:tcPr>
          <w:p w:rsidR="004F0074" w:rsidRPr="00B60B88" w:rsidRDefault="004F0074" w:rsidP="007844A5">
            <w:pPr>
              <w:autoSpaceDE w:val="0"/>
              <w:autoSpaceDN w:val="0"/>
              <w:adjustRightInd w:val="0"/>
              <w:ind w:left="57"/>
              <w:rPr>
                <w:sz w:val="28"/>
                <w:szCs w:val="28"/>
              </w:rPr>
            </w:pPr>
            <w:r w:rsidRPr="00B60B88">
              <w:rPr>
                <w:sz w:val="28"/>
                <w:szCs w:val="28"/>
              </w:rPr>
              <w:t>Projekts šo jomu neskar</w:t>
            </w:r>
            <w:r w:rsidR="00B60B88">
              <w:rPr>
                <w:sz w:val="28"/>
                <w:szCs w:val="28"/>
              </w:rPr>
              <w:t>.</w:t>
            </w:r>
          </w:p>
        </w:tc>
      </w:tr>
      <w:tr w:rsidR="008E6B7D" w:rsidRPr="00295128" w:rsidTr="008E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3"/>
        </w:trPr>
        <w:tc>
          <w:tcPr>
            <w:tcW w:w="2113" w:type="pct"/>
            <w:gridSpan w:val="3"/>
            <w:tcBorders>
              <w:top w:val="single" w:sz="4" w:space="0" w:color="000000"/>
              <w:left w:val="single" w:sz="4" w:space="0" w:color="000000"/>
              <w:bottom w:val="single" w:sz="4" w:space="0" w:color="000000"/>
              <w:right w:val="single" w:sz="4" w:space="0" w:color="000000"/>
            </w:tcBorders>
            <w:shd w:val="clear" w:color="000000" w:fill="FFFFFF"/>
          </w:tcPr>
          <w:p w:rsidR="004F0074" w:rsidRPr="00B60B88" w:rsidRDefault="004F0074" w:rsidP="007844A5">
            <w:pPr>
              <w:autoSpaceDE w:val="0"/>
              <w:autoSpaceDN w:val="0"/>
              <w:adjustRightInd w:val="0"/>
              <w:ind w:left="57"/>
              <w:rPr>
                <w:sz w:val="28"/>
                <w:szCs w:val="28"/>
              </w:rPr>
            </w:pPr>
            <w:r w:rsidRPr="00B60B88">
              <w:rPr>
                <w:spacing w:val="-4"/>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87" w:type="pct"/>
            <w:gridSpan w:val="5"/>
            <w:tcBorders>
              <w:top w:val="single" w:sz="4" w:space="0" w:color="000000"/>
              <w:left w:val="single" w:sz="4" w:space="0" w:color="000000"/>
              <w:bottom w:val="single" w:sz="4" w:space="0" w:color="000000"/>
              <w:right w:val="single" w:sz="4" w:space="0" w:color="000000"/>
            </w:tcBorders>
            <w:shd w:val="clear" w:color="000000" w:fill="FFFFFF"/>
          </w:tcPr>
          <w:p w:rsidR="004F0074" w:rsidRPr="00B60B88" w:rsidRDefault="004F0074" w:rsidP="007844A5">
            <w:pPr>
              <w:autoSpaceDE w:val="0"/>
              <w:autoSpaceDN w:val="0"/>
              <w:adjustRightInd w:val="0"/>
              <w:ind w:left="57"/>
              <w:rPr>
                <w:sz w:val="28"/>
                <w:szCs w:val="28"/>
              </w:rPr>
            </w:pPr>
            <w:r w:rsidRPr="00B60B88">
              <w:rPr>
                <w:sz w:val="28"/>
                <w:szCs w:val="28"/>
              </w:rPr>
              <w:t>Projekts šo jomu neskar</w:t>
            </w:r>
            <w:r w:rsidR="00B60B88">
              <w:rPr>
                <w:sz w:val="28"/>
                <w:szCs w:val="28"/>
              </w:rPr>
              <w:t>.</w:t>
            </w:r>
          </w:p>
        </w:tc>
      </w:tr>
      <w:tr w:rsidR="008E6B7D" w:rsidRPr="00295128" w:rsidTr="008E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79"/>
        </w:trPr>
        <w:tc>
          <w:tcPr>
            <w:tcW w:w="2113" w:type="pct"/>
            <w:gridSpan w:val="3"/>
            <w:tcBorders>
              <w:top w:val="single" w:sz="4" w:space="0" w:color="000000"/>
              <w:left w:val="single" w:sz="4" w:space="0" w:color="000000"/>
              <w:bottom w:val="single" w:sz="4" w:space="0" w:color="000000"/>
              <w:right w:val="single" w:sz="4" w:space="0" w:color="000000"/>
            </w:tcBorders>
            <w:shd w:val="clear" w:color="000000" w:fill="FFFFFF"/>
          </w:tcPr>
          <w:p w:rsidR="004F0074" w:rsidRPr="00B60B88" w:rsidRDefault="004F0074" w:rsidP="007844A5">
            <w:pPr>
              <w:autoSpaceDE w:val="0"/>
              <w:autoSpaceDN w:val="0"/>
              <w:adjustRightInd w:val="0"/>
              <w:ind w:left="57"/>
              <w:rPr>
                <w:sz w:val="28"/>
                <w:szCs w:val="28"/>
              </w:rPr>
            </w:pPr>
            <w:r w:rsidRPr="00B60B88">
              <w:rPr>
                <w:sz w:val="28"/>
                <w:szCs w:val="28"/>
              </w:rPr>
              <w:t>Cita informācija</w:t>
            </w:r>
          </w:p>
        </w:tc>
        <w:tc>
          <w:tcPr>
            <w:tcW w:w="2887" w:type="pct"/>
            <w:gridSpan w:val="5"/>
            <w:tcBorders>
              <w:top w:val="single" w:sz="4" w:space="0" w:color="000000"/>
              <w:left w:val="single" w:sz="4" w:space="0" w:color="000000"/>
              <w:bottom w:val="single" w:sz="4" w:space="0" w:color="000000"/>
              <w:right w:val="single" w:sz="4" w:space="0" w:color="000000"/>
            </w:tcBorders>
            <w:shd w:val="clear" w:color="000000" w:fill="FFFFFF"/>
          </w:tcPr>
          <w:p w:rsidR="004F0074" w:rsidRPr="00B60B88" w:rsidRDefault="004F0074" w:rsidP="007844A5">
            <w:pPr>
              <w:autoSpaceDE w:val="0"/>
              <w:autoSpaceDN w:val="0"/>
              <w:adjustRightInd w:val="0"/>
              <w:ind w:left="57"/>
              <w:jc w:val="both"/>
              <w:rPr>
                <w:sz w:val="28"/>
                <w:szCs w:val="28"/>
              </w:rPr>
            </w:pPr>
            <w:r w:rsidRPr="00B60B88">
              <w:rPr>
                <w:sz w:val="28"/>
                <w:szCs w:val="28"/>
              </w:rPr>
              <w:t>Projekts šo jomu neskar</w:t>
            </w:r>
            <w:r w:rsidR="00B60B88">
              <w:rPr>
                <w:sz w:val="28"/>
                <w:szCs w:val="28"/>
              </w:rPr>
              <w:t>.</w:t>
            </w:r>
          </w:p>
        </w:tc>
      </w:tr>
      <w:tr w:rsidR="00040B08" w:rsidRPr="00295128" w:rsidTr="00D04A30">
        <w:trPr>
          <w:gridAfter w:val="1"/>
          <w:wAfter w:w="8" w:type="pct"/>
        </w:trPr>
        <w:tc>
          <w:tcPr>
            <w:tcW w:w="4992" w:type="pct"/>
            <w:gridSpan w:val="7"/>
            <w:shd w:val="clear" w:color="auto" w:fill="auto"/>
            <w:hideMark/>
          </w:tcPr>
          <w:p w:rsidR="00040B08" w:rsidRPr="00B60B88" w:rsidRDefault="00040B08" w:rsidP="00DA66BC">
            <w:pPr>
              <w:jc w:val="center"/>
              <w:rPr>
                <w:b/>
                <w:bCs/>
                <w:sz w:val="28"/>
                <w:szCs w:val="28"/>
              </w:rPr>
            </w:pPr>
            <w:r w:rsidRPr="00B60B88">
              <w:rPr>
                <w:b/>
                <w:bCs/>
                <w:sz w:val="28"/>
                <w:szCs w:val="28"/>
              </w:rPr>
              <w:t>2. tabula</w:t>
            </w:r>
            <w:r w:rsidRPr="00B60B88">
              <w:rPr>
                <w:b/>
                <w:bCs/>
                <w:sz w:val="28"/>
                <w:szCs w:val="28"/>
              </w:rPr>
              <w:br/>
              <w:t>Ar tiesību akta projektu izpildītās vai uzņemtās saistības, kas izriet no starptautiskajiem tiesību aktiem vai starptautiskas institūcijas vai organizācijas dokumentiem.</w:t>
            </w:r>
            <w:r w:rsidRPr="00B60B88">
              <w:rPr>
                <w:b/>
                <w:bCs/>
                <w:sz w:val="28"/>
                <w:szCs w:val="28"/>
              </w:rPr>
              <w:br/>
              <w:t>Pasākumi šo saistību izpildei</w:t>
            </w:r>
          </w:p>
        </w:tc>
      </w:tr>
      <w:tr w:rsidR="00432E5F" w:rsidRPr="00295128" w:rsidTr="00813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2"/>
          <w:wAfter w:w="12" w:type="pct"/>
          <w:trHeight w:val="20"/>
        </w:trPr>
        <w:tc>
          <w:tcPr>
            <w:tcW w:w="1518"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32E5F" w:rsidRPr="00B60B88" w:rsidRDefault="00432E5F" w:rsidP="007844A5">
            <w:pPr>
              <w:autoSpaceDE w:val="0"/>
              <w:autoSpaceDN w:val="0"/>
              <w:adjustRightInd w:val="0"/>
              <w:ind w:left="57"/>
              <w:rPr>
                <w:sz w:val="28"/>
                <w:szCs w:val="28"/>
              </w:rPr>
            </w:pPr>
            <w:r w:rsidRPr="00B60B88">
              <w:rPr>
                <w:sz w:val="28"/>
                <w:szCs w:val="28"/>
              </w:rPr>
              <w:t>Attiecīgā starptautiskā tiesību akta vai starptautiskas institūcijas vai organizācijas dokumenta (turpmāk – starptautiskais dokuments) datums, numurs un nosaukums</w:t>
            </w:r>
          </w:p>
        </w:tc>
        <w:tc>
          <w:tcPr>
            <w:tcW w:w="3470" w:type="pct"/>
            <w:gridSpan w:val="4"/>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7844A5">
            <w:pPr>
              <w:autoSpaceDE w:val="0"/>
              <w:autoSpaceDN w:val="0"/>
              <w:adjustRightInd w:val="0"/>
              <w:ind w:left="57"/>
              <w:rPr>
                <w:sz w:val="28"/>
                <w:szCs w:val="28"/>
              </w:rPr>
            </w:pPr>
            <w:r w:rsidRPr="00B60B88">
              <w:rPr>
                <w:sz w:val="28"/>
                <w:szCs w:val="28"/>
              </w:rPr>
              <w:t>Projekts šo jomu neskar</w:t>
            </w:r>
          </w:p>
        </w:tc>
      </w:tr>
      <w:tr w:rsidR="008E6B7D" w:rsidRPr="00295128" w:rsidTr="008E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2"/>
          <w:wAfter w:w="12" w:type="pct"/>
          <w:trHeight w:val="20"/>
        </w:trPr>
        <w:tc>
          <w:tcPr>
            <w:tcW w:w="1518"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32E5F" w:rsidRPr="00B60B88" w:rsidRDefault="00432E5F" w:rsidP="007844A5">
            <w:pPr>
              <w:autoSpaceDE w:val="0"/>
              <w:autoSpaceDN w:val="0"/>
              <w:adjustRightInd w:val="0"/>
              <w:ind w:left="57"/>
              <w:jc w:val="center"/>
              <w:rPr>
                <w:sz w:val="28"/>
                <w:szCs w:val="28"/>
              </w:rPr>
            </w:pPr>
            <w:r w:rsidRPr="00B60B88">
              <w:rPr>
                <w:sz w:val="28"/>
                <w:szCs w:val="28"/>
              </w:rPr>
              <w:t>A</w:t>
            </w:r>
          </w:p>
        </w:tc>
        <w:tc>
          <w:tcPr>
            <w:tcW w:w="1566"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32E5F" w:rsidRPr="00B60B88" w:rsidRDefault="00432E5F" w:rsidP="007844A5">
            <w:pPr>
              <w:autoSpaceDE w:val="0"/>
              <w:autoSpaceDN w:val="0"/>
              <w:adjustRightInd w:val="0"/>
              <w:ind w:left="57"/>
              <w:jc w:val="center"/>
              <w:rPr>
                <w:sz w:val="28"/>
                <w:szCs w:val="28"/>
              </w:rPr>
            </w:pPr>
            <w:r w:rsidRPr="00B60B88">
              <w:rPr>
                <w:sz w:val="28"/>
                <w:szCs w:val="28"/>
              </w:rPr>
              <w:t>B</w:t>
            </w:r>
          </w:p>
        </w:tc>
        <w:tc>
          <w:tcPr>
            <w:tcW w:w="1904"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32E5F" w:rsidRPr="00B60B88" w:rsidRDefault="00432E5F" w:rsidP="007844A5">
            <w:pPr>
              <w:autoSpaceDE w:val="0"/>
              <w:autoSpaceDN w:val="0"/>
              <w:adjustRightInd w:val="0"/>
              <w:ind w:left="57"/>
              <w:jc w:val="center"/>
              <w:rPr>
                <w:sz w:val="28"/>
                <w:szCs w:val="28"/>
              </w:rPr>
            </w:pPr>
            <w:r w:rsidRPr="00B60B88">
              <w:rPr>
                <w:sz w:val="28"/>
                <w:szCs w:val="28"/>
              </w:rPr>
              <w:t>C</w:t>
            </w:r>
          </w:p>
        </w:tc>
      </w:tr>
      <w:tr w:rsidR="008E6B7D" w:rsidRPr="00295128" w:rsidTr="008E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2"/>
          <w:wAfter w:w="12" w:type="pct"/>
          <w:trHeight w:val="20"/>
        </w:trPr>
        <w:tc>
          <w:tcPr>
            <w:tcW w:w="15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7844A5">
            <w:pPr>
              <w:autoSpaceDE w:val="0"/>
              <w:autoSpaceDN w:val="0"/>
              <w:adjustRightInd w:val="0"/>
              <w:ind w:left="57"/>
              <w:rPr>
                <w:sz w:val="28"/>
                <w:szCs w:val="28"/>
              </w:rPr>
            </w:pPr>
            <w:r w:rsidRPr="00B60B88">
              <w:rPr>
                <w:sz w:val="28"/>
                <w:szCs w:val="28"/>
              </w:rPr>
              <w:lastRenderedPageBreak/>
              <w:t>Starptautiskās saistības (pēc būtības), kas izriet no norādītā starptautiskā dokumenta.</w:t>
            </w:r>
          </w:p>
          <w:p w:rsidR="00432E5F" w:rsidRPr="00B60B88" w:rsidRDefault="00432E5F" w:rsidP="007844A5">
            <w:pPr>
              <w:autoSpaceDE w:val="0"/>
              <w:autoSpaceDN w:val="0"/>
              <w:adjustRightInd w:val="0"/>
              <w:ind w:left="57"/>
              <w:rPr>
                <w:sz w:val="28"/>
                <w:szCs w:val="28"/>
              </w:rPr>
            </w:pPr>
            <w:r w:rsidRPr="00B60B88">
              <w:rPr>
                <w:sz w:val="28"/>
                <w:szCs w:val="28"/>
              </w:rPr>
              <w:t>Konkrēti veicamie pasākumi vai uzdevumi, kas nepieciešami šo starptautisko saistību izpildei</w:t>
            </w:r>
          </w:p>
        </w:tc>
        <w:tc>
          <w:tcPr>
            <w:tcW w:w="156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7844A5">
            <w:pPr>
              <w:autoSpaceDE w:val="0"/>
              <w:autoSpaceDN w:val="0"/>
              <w:adjustRightInd w:val="0"/>
              <w:ind w:left="57"/>
              <w:rPr>
                <w:sz w:val="28"/>
                <w:szCs w:val="28"/>
              </w:rPr>
            </w:pPr>
            <w:r w:rsidRPr="00B60B88">
              <w:rPr>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904"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7844A5">
            <w:pPr>
              <w:autoSpaceDE w:val="0"/>
              <w:autoSpaceDN w:val="0"/>
              <w:adjustRightInd w:val="0"/>
              <w:ind w:left="57"/>
              <w:rPr>
                <w:sz w:val="28"/>
                <w:szCs w:val="28"/>
              </w:rPr>
            </w:pPr>
            <w:r w:rsidRPr="00B60B88">
              <w:rPr>
                <w:sz w:val="28"/>
                <w:szCs w:val="28"/>
              </w:rPr>
              <w:t>Informācija par to, vai starptautiskās saistības, kas minētas šīs tabulas A ailē, tiek izpildītas pilnībā vai daļēji.</w:t>
            </w:r>
          </w:p>
          <w:p w:rsidR="00432E5F" w:rsidRPr="00B60B88" w:rsidRDefault="00432E5F" w:rsidP="007844A5">
            <w:pPr>
              <w:autoSpaceDE w:val="0"/>
              <w:autoSpaceDN w:val="0"/>
              <w:adjustRightInd w:val="0"/>
              <w:ind w:left="57"/>
              <w:rPr>
                <w:sz w:val="28"/>
                <w:szCs w:val="28"/>
              </w:rPr>
            </w:pPr>
            <w:r w:rsidRPr="00B60B88">
              <w:rPr>
                <w:sz w:val="28"/>
                <w:szCs w:val="28"/>
              </w:rPr>
              <w:t>Ja attiecīgās starptautiskās saistības tiek izpildītas daļēji, sniedz attiecīgu skaidrojumu, kā arī precīzi norāda, kad un kādā veidā starptautiskās saistības tiks izpildītas pilnībā.</w:t>
            </w:r>
          </w:p>
          <w:p w:rsidR="00432E5F" w:rsidRPr="00B60B88" w:rsidRDefault="00432E5F" w:rsidP="007844A5">
            <w:pPr>
              <w:autoSpaceDE w:val="0"/>
              <w:autoSpaceDN w:val="0"/>
              <w:adjustRightInd w:val="0"/>
              <w:ind w:left="57" w:right="57"/>
              <w:rPr>
                <w:sz w:val="28"/>
                <w:szCs w:val="28"/>
              </w:rPr>
            </w:pPr>
            <w:r w:rsidRPr="00B60B88">
              <w:rPr>
                <w:sz w:val="28"/>
                <w:szCs w:val="28"/>
              </w:rPr>
              <w:t>Norāda institūciju, kas ir atbildīga par šo saistību izpildi pilnībā</w:t>
            </w:r>
          </w:p>
        </w:tc>
      </w:tr>
      <w:tr w:rsidR="008E6B7D" w:rsidRPr="00295128" w:rsidTr="008E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2"/>
          <w:wAfter w:w="12" w:type="pct"/>
          <w:trHeight w:val="20"/>
        </w:trPr>
        <w:tc>
          <w:tcPr>
            <w:tcW w:w="15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7844A5">
            <w:pPr>
              <w:autoSpaceDE w:val="0"/>
              <w:autoSpaceDN w:val="0"/>
              <w:adjustRightInd w:val="0"/>
              <w:ind w:left="57"/>
              <w:rPr>
                <w:sz w:val="28"/>
                <w:szCs w:val="28"/>
              </w:rPr>
            </w:pPr>
            <w:r w:rsidRPr="00B60B88">
              <w:rPr>
                <w:sz w:val="28"/>
                <w:szCs w:val="28"/>
              </w:rPr>
              <w:t>Projekts šo jomu neskar</w:t>
            </w:r>
          </w:p>
        </w:tc>
        <w:tc>
          <w:tcPr>
            <w:tcW w:w="1566"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7844A5">
            <w:pPr>
              <w:autoSpaceDE w:val="0"/>
              <w:autoSpaceDN w:val="0"/>
              <w:adjustRightInd w:val="0"/>
              <w:ind w:left="57"/>
              <w:rPr>
                <w:sz w:val="28"/>
                <w:szCs w:val="28"/>
              </w:rPr>
            </w:pPr>
            <w:r w:rsidRPr="00B60B88">
              <w:rPr>
                <w:sz w:val="28"/>
                <w:szCs w:val="28"/>
              </w:rPr>
              <w:t>Projekts šo jomu neskar</w:t>
            </w:r>
            <w:r w:rsidR="00B60B88">
              <w:rPr>
                <w:sz w:val="28"/>
                <w:szCs w:val="28"/>
              </w:rPr>
              <w:t>.</w:t>
            </w:r>
          </w:p>
        </w:tc>
        <w:tc>
          <w:tcPr>
            <w:tcW w:w="1904"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7844A5">
            <w:pPr>
              <w:autoSpaceDE w:val="0"/>
              <w:autoSpaceDN w:val="0"/>
              <w:adjustRightInd w:val="0"/>
              <w:ind w:left="57"/>
              <w:rPr>
                <w:sz w:val="28"/>
                <w:szCs w:val="28"/>
              </w:rPr>
            </w:pPr>
            <w:r w:rsidRPr="00B60B88">
              <w:rPr>
                <w:sz w:val="28"/>
                <w:szCs w:val="28"/>
              </w:rPr>
              <w:t>Projekts šo jomu neskar</w:t>
            </w:r>
            <w:r w:rsidR="00B60B88">
              <w:rPr>
                <w:sz w:val="28"/>
                <w:szCs w:val="28"/>
              </w:rPr>
              <w:t>.</w:t>
            </w:r>
          </w:p>
        </w:tc>
      </w:tr>
      <w:tr w:rsidR="00432E5F" w:rsidRPr="00295128" w:rsidTr="00813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2"/>
          <w:wAfter w:w="12" w:type="pct"/>
          <w:trHeight w:val="20"/>
        </w:trPr>
        <w:tc>
          <w:tcPr>
            <w:tcW w:w="15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7844A5">
            <w:pPr>
              <w:autoSpaceDE w:val="0"/>
              <w:autoSpaceDN w:val="0"/>
              <w:adjustRightInd w:val="0"/>
              <w:ind w:left="57"/>
              <w:rPr>
                <w:sz w:val="28"/>
                <w:szCs w:val="28"/>
              </w:rPr>
            </w:pPr>
            <w:r w:rsidRPr="00B60B88">
              <w:rPr>
                <w:sz w:val="28"/>
                <w:szCs w:val="28"/>
              </w:rPr>
              <w:t>Vai starptautiskajā dokumentā paredzētās saistības nav pretrunā ar jau esošajām Latvijas Republikas starptautiskajām saistībām</w:t>
            </w:r>
          </w:p>
        </w:tc>
        <w:tc>
          <w:tcPr>
            <w:tcW w:w="3470" w:type="pct"/>
            <w:gridSpan w:val="4"/>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7844A5">
            <w:pPr>
              <w:autoSpaceDE w:val="0"/>
              <w:autoSpaceDN w:val="0"/>
              <w:adjustRightInd w:val="0"/>
              <w:ind w:left="57"/>
              <w:rPr>
                <w:sz w:val="28"/>
                <w:szCs w:val="28"/>
              </w:rPr>
            </w:pPr>
            <w:r w:rsidRPr="00B60B88">
              <w:rPr>
                <w:sz w:val="28"/>
                <w:szCs w:val="28"/>
              </w:rPr>
              <w:t>Projekts šo jomu neskar</w:t>
            </w:r>
            <w:r w:rsidR="00B60B88">
              <w:rPr>
                <w:sz w:val="28"/>
                <w:szCs w:val="28"/>
              </w:rPr>
              <w:t>.</w:t>
            </w:r>
          </w:p>
        </w:tc>
      </w:tr>
      <w:tr w:rsidR="00432E5F" w:rsidRPr="00295128" w:rsidTr="00813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2"/>
          <w:wAfter w:w="12" w:type="pct"/>
          <w:trHeight w:val="20"/>
        </w:trPr>
        <w:tc>
          <w:tcPr>
            <w:tcW w:w="1518" w:type="pct"/>
            <w:gridSpan w:val="2"/>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8E6B7D">
            <w:pPr>
              <w:autoSpaceDE w:val="0"/>
              <w:autoSpaceDN w:val="0"/>
              <w:adjustRightInd w:val="0"/>
              <w:ind w:left="57"/>
              <w:rPr>
                <w:sz w:val="28"/>
                <w:szCs w:val="28"/>
              </w:rPr>
            </w:pPr>
            <w:r w:rsidRPr="00B60B88">
              <w:rPr>
                <w:sz w:val="28"/>
                <w:szCs w:val="28"/>
              </w:rPr>
              <w:t>Cita informācij</w:t>
            </w:r>
            <w:r w:rsidR="008E6B7D">
              <w:rPr>
                <w:sz w:val="28"/>
                <w:szCs w:val="28"/>
              </w:rPr>
              <w:t>a</w:t>
            </w:r>
          </w:p>
        </w:tc>
        <w:tc>
          <w:tcPr>
            <w:tcW w:w="3470" w:type="pct"/>
            <w:gridSpan w:val="4"/>
            <w:tcBorders>
              <w:top w:val="single" w:sz="4" w:space="0" w:color="000000"/>
              <w:left w:val="single" w:sz="4" w:space="0" w:color="000000"/>
              <w:bottom w:val="single" w:sz="4" w:space="0" w:color="000000"/>
              <w:right w:val="single" w:sz="4" w:space="0" w:color="000000"/>
            </w:tcBorders>
            <w:shd w:val="clear" w:color="000000" w:fill="FFFFFF"/>
          </w:tcPr>
          <w:p w:rsidR="00432E5F" w:rsidRPr="00B60B88" w:rsidRDefault="00432E5F" w:rsidP="007844A5">
            <w:pPr>
              <w:autoSpaceDE w:val="0"/>
              <w:autoSpaceDN w:val="0"/>
              <w:adjustRightInd w:val="0"/>
              <w:ind w:left="57"/>
              <w:rPr>
                <w:sz w:val="28"/>
                <w:szCs w:val="28"/>
              </w:rPr>
            </w:pPr>
            <w:r w:rsidRPr="00B60B88">
              <w:rPr>
                <w:sz w:val="28"/>
                <w:szCs w:val="28"/>
              </w:rPr>
              <w:t>Nav</w:t>
            </w:r>
            <w:r w:rsidR="00B60B88">
              <w:rPr>
                <w:sz w:val="28"/>
                <w:szCs w:val="28"/>
              </w:rPr>
              <w:t>.</w:t>
            </w:r>
          </w:p>
        </w:tc>
      </w:tr>
    </w:tbl>
    <w:p w:rsidR="00040B08" w:rsidRPr="00295128" w:rsidRDefault="00040B08" w:rsidP="00912A6D">
      <w:pPr>
        <w:ind w:left="57" w:right="57"/>
        <w:rPr>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193E45" w:rsidRPr="00295128" w:rsidTr="008E6B7D">
        <w:trPr>
          <w:jc w:val="center"/>
        </w:trPr>
        <w:tc>
          <w:tcPr>
            <w:tcW w:w="9215" w:type="dxa"/>
            <w:gridSpan w:val="3"/>
          </w:tcPr>
          <w:p w:rsidR="00193E45" w:rsidRPr="00295128" w:rsidRDefault="00193E45" w:rsidP="00912A6D">
            <w:pPr>
              <w:pStyle w:val="naisnod"/>
              <w:spacing w:before="0" w:after="0"/>
              <w:ind w:left="57" w:right="57"/>
              <w:rPr>
                <w:sz w:val="28"/>
                <w:szCs w:val="28"/>
              </w:rPr>
            </w:pPr>
            <w:r w:rsidRPr="00295128">
              <w:rPr>
                <w:sz w:val="28"/>
                <w:szCs w:val="28"/>
              </w:rPr>
              <w:t>VI. Sabiedrības līdzdalība un komunikācijas aktivitātes</w:t>
            </w:r>
          </w:p>
        </w:tc>
      </w:tr>
      <w:tr w:rsidR="00193E45" w:rsidRPr="00295128" w:rsidTr="008E6B7D">
        <w:trPr>
          <w:trHeight w:val="553"/>
          <w:jc w:val="center"/>
        </w:trPr>
        <w:tc>
          <w:tcPr>
            <w:tcW w:w="567" w:type="dxa"/>
          </w:tcPr>
          <w:p w:rsidR="00193E45" w:rsidRPr="00295128" w:rsidRDefault="00193E45" w:rsidP="00912A6D">
            <w:pPr>
              <w:pStyle w:val="naiskr"/>
              <w:spacing w:before="0" w:after="0"/>
              <w:ind w:left="57" w:right="57"/>
              <w:rPr>
                <w:bCs/>
                <w:sz w:val="28"/>
                <w:szCs w:val="28"/>
              </w:rPr>
            </w:pPr>
            <w:r w:rsidRPr="00295128">
              <w:rPr>
                <w:bCs/>
                <w:sz w:val="28"/>
                <w:szCs w:val="28"/>
              </w:rPr>
              <w:t>1.</w:t>
            </w:r>
          </w:p>
        </w:tc>
        <w:tc>
          <w:tcPr>
            <w:tcW w:w="2934" w:type="dxa"/>
          </w:tcPr>
          <w:p w:rsidR="00193E45" w:rsidRPr="00295128" w:rsidRDefault="00193E45" w:rsidP="00912A6D">
            <w:pPr>
              <w:pStyle w:val="naiskr"/>
              <w:tabs>
                <w:tab w:val="left" w:pos="170"/>
              </w:tabs>
              <w:spacing w:before="0" w:after="0"/>
              <w:ind w:left="57" w:right="57"/>
              <w:jc w:val="both"/>
              <w:rPr>
                <w:sz w:val="28"/>
                <w:szCs w:val="28"/>
              </w:rPr>
            </w:pPr>
            <w:r w:rsidRPr="00295128">
              <w:rPr>
                <w:sz w:val="28"/>
                <w:szCs w:val="28"/>
              </w:rPr>
              <w:t>P</w:t>
            </w:r>
            <w:r w:rsidR="00912A6D" w:rsidRPr="00295128">
              <w:rPr>
                <w:sz w:val="28"/>
                <w:szCs w:val="28"/>
              </w:rPr>
              <w:t xml:space="preserve">lānotās sabiedrības līdzdalības </w:t>
            </w:r>
            <w:r w:rsidRPr="00295128">
              <w:rPr>
                <w:sz w:val="28"/>
                <w:szCs w:val="28"/>
              </w:rPr>
              <w:t>un komunikācijas aktivitātes saistībā ar projektu</w:t>
            </w:r>
          </w:p>
        </w:tc>
        <w:tc>
          <w:tcPr>
            <w:tcW w:w="5714" w:type="dxa"/>
          </w:tcPr>
          <w:p w:rsidR="007A30FA" w:rsidRPr="00295128" w:rsidRDefault="00DE6802" w:rsidP="00FD412C">
            <w:pPr>
              <w:pStyle w:val="naiskr"/>
              <w:spacing w:before="0" w:after="0"/>
              <w:ind w:left="57" w:right="57"/>
              <w:jc w:val="both"/>
              <w:rPr>
                <w:sz w:val="28"/>
                <w:szCs w:val="28"/>
              </w:rPr>
            </w:pPr>
            <w:r w:rsidRPr="00295128">
              <w:rPr>
                <w:sz w:val="28"/>
                <w:szCs w:val="28"/>
              </w:rPr>
              <w:t>Noteikum</w:t>
            </w:r>
            <w:r w:rsidR="00DE2756" w:rsidRPr="00295128">
              <w:rPr>
                <w:sz w:val="28"/>
                <w:szCs w:val="28"/>
              </w:rPr>
              <w:t>u projekta</w:t>
            </w:r>
            <w:r w:rsidRPr="00295128">
              <w:rPr>
                <w:sz w:val="28"/>
                <w:szCs w:val="28"/>
              </w:rPr>
              <w:t xml:space="preserve"> </w:t>
            </w:r>
            <w:r w:rsidR="00DE2756" w:rsidRPr="00295128">
              <w:rPr>
                <w:sz w:val="28"/>
                <w:szCs w:val="28"/>
              </w:rPr>
              <w:t>publikācija iestādes tīmekļa vietnē.</w:t>
            </w:r>
          </w:p>
          <w:p w:rsidR="00193E45" w:rsidRPr="00295128" w:rsidRDefault="00193E45" w:rsidP="00912A6D">
            <w:pPr>
              <w:pStyle w:val="naiskr"/>
              <w:spacing w:before="0" w:after="0"/>
              <w:ind w:left="57" w:right="57"/>
              <w:rPr>
                <w:sz w:val="28"/>
                <w:szCs w:val="28"/>
              </w:rPr>
            </w:pPr>
          </w:p>
          <w:p w:rsidR="00193E45" w:rsidRPr="00295128" w:rsidRDefault="00193E45" w:rsidP="00912A6D">
            <w:pPr>
              <w:pStyle w:val="naiskr"/>
              <w:spacing w:before="0" w:after="0"/>
              <w:ind w:left="57" w:right="57" w:firstLine="284"/>
              <w:rPr>
                <w:sz w:val="28"/>
                <w:szCs w:val="28"/>
              </w:rPr>
            </w:pPr>
          </w:p>
        </w:tc>
      </w:tr>
      <w:tr w:rsidR="00193E45" w:rsidRPr="00295128" w:rsidTr="008E6B7D">
        <w:trPr>
          <w:trHeight w:val="339"/>
          <w:jc w:val="center"/>
        </w:trPr>
        <w:tc>
          <w:tcPr>
            <w:tcW w:w="567" w:type="dxa"/>
          </w:tcPr>
          <w:p w:rsidR="00193E45" w:rsidRPr="00295128" w:rsidRDefault="00193E45" w:rsidP="00912A6D">
            <w:pPr>
              <w:pStyle w:val="naiskr"/>
              <w:spacing w:before="0" w:after="0"/>
              <w:ind w:left="57" w:right="57"/>
              <w:rPr>
                <w:bCs/>
                <w:sz w:val="28"/>
                <w:szCs w:val="28"/>
              </w:rPr>
            </w:pPr>
            <w:r w:rsidRPr="00295128">
              <w:rPr>
                <w:bCs/>
                <w:sz w:val="28"/>
                <w:szCs w:val="28"/>
              </w:rPr>
              <w:t>2.</w:t>
            </w:r>
          </w:p>
        </w:tc>
        <w:tc>
          <w:tcPr>
            <w:tcW w:w="2934" w:type="dxa"/>
          </w:tcPr>
          <w:p w:rsidR="00193E45" w:rsidRPr="00295128" w:rsidRDefault="00193E45" w:rsidP="00912A6D">
            <w:pPr>
              <w:pStyle w:val="naiskr"/>
              <w:spacing w:before="0" w:after="0"/>
              <w:ind w:left="57" w:right="57"/>
              <w:jc w:val="both"/>
              <w:rPr>
                <w:sz w:val="28"/>
                <w:szCs w:val="28"/>
              </w:rPr>
            </w:pPr>
            <w:r w:rsidRPr="00295128">
              <w:rPr>
                <w:sz w:val="28"/>
                <w:szCs w:val="28"/>
              </w:rPr>
              <w:t xml:space="preserve">Sabiedrības līdzdalība projekta izstrādē </w:t>
            </w:r>
          </w:p>
        </w:tc>
        <w:tc>
          <w:tcPr>
            <w:tcW w:w="5714" w:type="dxa"/>
          </w:tcPr>
          <w:p w:rsidR="008C5C24" w:rsidRPr="00295128" w:rsidRDefault="00DE2756" w:rsidP="0085282F">
            <w:pPr>
              <w:pStyle w:val="naiskr"/>
              <w:spacing w:before="0" w:after="0"/>
              <w:ind w:left="57" w:right="57"/>
              <w:jc w:val="both"/>
              <w:rPr>
                <w:sz w:val="28"/>
                <w:szCs w:val="28"/>
              </w:rPr>
            </w:pPr>
            <w:r w:rsidRPr="00295128">
              <w:rPr>
                <w:sz w:val="28"/>
                <w:szCs w:val="28"/>
              </w:rPr>
              <w:t xml:space="preserve">Noteikumu projekts pirms izsludināšanas valsts sekretāru sanāksmē </w:t>
            </w:r>
            <w:r w:rsidR="00347CEE">
              <w:rPr>
                <w:sz w:val="28"/>
                <w:szCs w:val="28"/>
              </w:rPr>
              <w:t xml:space="preserve"> - 2016.gada 16.martā, </w:t>
            </w:r>
            <w:r w:rsidRPr="00295128">
              <w:rPr>
                <w:sz w:val="28"/>
                <w:szCs w:val="28"/>
              </w:rPr>
              <w:t>publicēts Ekonomikas ministrijas  tīmekļa vietnē</w:t>
            </w:r>
            <w:r w:rsidR="0085282F" w:rsidRPr="00295128">
              <w:rPr>
                <w:sz w:val="28"/>
                <w:szCs w:val="28"/>
              </w:rPr>
              <w:t xml:space="preserve"> </w:t>
            </w:r>
            <w:hyperlink r:id="rId8" w:history="1">
              <w:r w:rsidR="0085282F" w:rsidRPr="00295128">
                <w:rPr>
                  <w:rStyle w:val="Hyperlink"/>
                  <w:sz w:val="28"/>
                  <w:szCs w:val="28"/>
                </w:rPr>
                <w:t>www.em.gov.lv</w:t>
              </w:r>
            </w:hyperlink>
            <w:r w:rsidR="00126742" w:rsidRPr="00295128">
              <w:rPr>
                <w:sz w:val="28"/>
                <w:szCs w:val="28"/>
              </w:rPr>
              <w:t>, aicinot sabiedrības pārstāvjus sniegt viedokli</w:t>
            </w:r>
            <w:r w:rsidRPr="00295128">
              <w:rPr>
                <w:sz w:val="28"/>
                <w:szCs w:val="28"/>
              </w:rPr>
              <w:t>.</w:t>
            </w:r>
          </w:p>
        </w:tc>
      </w:tr>
      <w:tr w:rsidR="00193E45" w:rsidRPr="00295128" w:rsidTr="008E6B7D">
        <w:trPr>
          <w:trHeight w:val="375"/>
          <w:jc w:val="center"/>
        </w:trPr>
        <w:tc>
          <w:tcPr>
            <w:tcW w:w="567" w:type="dxa"/>
          </w:tcPr>
          <w:p w:rsidR="00193E45" w:rsidRPr="00295128" w:rsidRDefault="00193E45" w:rsidP="00912A6D">
            <w:pPr>
              <w:pStyle w:val="naiskr"/>
              <w:spacing w:before="0" w:after="0"/>
              <w:ind w:left="57" w:right="57"/>
              <w:rPr>
                <w:bCs/>
                <w:sz w:val="28"/>
                <w:szCs w:val="28"/>
              </w:rPr>
            </w:pPr>
            <w:r w:rsidRPr="00295128">
              <w:rPr>
                <w:bCs/>
                <w:sz w:val="28"/>
                <w:szCs w:val="28"/>
              </w:rPr>
              <w:t>3.</w:t>
            </w:r>
          </w:p>
        </w:tc>
        <w:tc>
          <w:tcPr>
            <w:tcW w:w="2934" w:type="dxa"/>
          </w:tcPr>
          <w:p w:rsidR="00193E45" w:rsidRPr="00295128" w:rsidRDefault="00193E45" w:rsidP="00912A6D">
            <w:pPr>
              <w:pStyle w:val="naiskr"/>
              <w:spacing w:before="0" w:after="0"/>
              <w:ind w:left="57" w:right="57"/>
              <w:jc w:val="both"/>
              <w:rPr>
                <w:sz w:val="28"/>
                <w:szCs w:val="28"/>
              </w:rPr>
            </w:pPr>
            <w:r w:rsidRPr="00295128">
              <w:rPr>
                <w:sz w:val="28"/>
                <w:szCs w:val="28"/>
              </w:rPr>
              <w:t xml:space="preserve">Sabiedrības līdzdalības rezultāti </w:t>
            </w:r>
          </w:p>
        </w:tc>
        <w:tc>
          <w:tcPr>
            <w:tcW w:w="5714" w:type="dxa"/>
          </w:tcPr>
          <w:p w:rsidR="00193E45" w:rsidRPr="00295128" w:rsidRDefault="00DE2756" w:rsidP="00DE2756">
            <w:pPr>
              <w:pStyle w:val="naiskr"/>
              <w:spacing w:before="0" w:after="0"/>
              <w:ind w:left="57" w:right="57" w:firstLine="284"/>
              <w:jc w:val="both"/>
              <w:rPr>
                <w:sz w:val="28"/>
                <w:szCs w:val="28"/>
              </w:rPr>
            </w:pPr>
            <w:r w:rsidRPr="00295128">
              <w:rPr>
                <w:sz w:val="28"/>
                <w:szCs w:val="28"/>
              </w:rPr>
              <w:t>Komentāri par noteikumu projektu nav saņemti.</w:t>
            </w:r>
          </w:p>
        </w:tc>
      </w:tr>
      <w:tr w:rsidR="00193E45" w:rsidRPr="00295128" w:rsidTr="008E6B7D">
        <w:trPr>
          <w:trHeight w:val="476"/>
          <w:jc w:val="center"/>
        </w:trPr>
        <w:tc>
          <w:tcPr>
            <w:tcW w:w="567" w:type="dxa"/>
          </w:tcPr>
          <w:p w:rsidR="00193E45" w:rsidRPr="00295128" w:rsidRDefault="00193E45" w:rsidP="00912A6D">
            <w:pPr>
              <w:pStyle w:val="naiskr"/>
              <w:spacing w:before="0" w:after="0"/>
              <w:ind w:left="57" w:right="57"/>
              <w:rPr>
                <w:bCs/>
                <w:sz w:val="28"/>
                <w:szCs w:val="28"/>
              </w:rPr>
            </w:pPr>
            <w:r w:rsidRPr="00295128">
              <w:rPr>
                <w:bCs/>
                <w:sz w:val="28"/>
                <w:szCs w:val="28"/>
              </w:rPr>
              <w:t>4.</w:t>
            </w:r>
          </w:p>
        </w:tc>
        <w:tc>
          <w:tcPr>
            <w:tcW w:w="2934" w:type="dxa"/>
          </w:tcPr>
          <w:p w:rsidR="00193E45" w:rsidRPr="00295128" w:rsidRDefault="00193E45" w:rsidP="00912A6D">
            <w:pPr>
              <w:pStyle w:val="naiskr"/>
              <w:spacing w:before="0" w:after="0"/>
              <w:ind w:left="57" w:right="57"/>
              <w:jc w:val="both"/>
              <w:rPr>
                <w:sz w:val="28"/>
                <w:szCs w:val="28"/>
              </w:rPr>
            </w:pPr>
            <w:r w:rsidRPr="00295128">
              <w:rPr>
                <w:sz w:val="28"/>
                <w:szCs w:val="28"/>
              </w:rPr>
              <w:t>Cita informācija</w:t>
            </w:r>
          </w:p>
        </w:tc>
        <w:tc>
          <w:tcPr>
            <w:tcW w:w="5714" w:type="dxa"/>
          </w:tcPr>
          <w:p w:rsidR="00193E45" w:rsidRPr="00295128" w:rsidRDefault="00193E45" w:rsidP="00912A6D">
            <w:pPr>
              <w:pStyle w:val="naiskr"/>
              <w:spacing w:before="0" w:after="0"/>
              <w:ind w:left="57" w:right="57" w:firstLine="284"/>
              <w:rPr>
                <w:sz w:val="28"/>
                <w:szCs w:val="28"/>
              </w:rPr>
            </w:pPr>
            <w:r w:rsidRPr="00295128">
              <w:rPr>
                <w:sz w:val="28"/>
                <w:szCs w:val="28"/>
              </w:rPr>
              <w:t>Nav.</w:t>
            </w:r>
          </w:p>
        </w:tc>
      </w:tr>
    </w:tbl>
    <w:p w:rsidR="00193E45" w:rsidRPr="00295128" w:rsidRDefault="00193E45" w:rsidP="00912A6D">
      <w:pPr>
        <w:ind w:left="57" w:right="57"/>
        <w:rPr>
          <w:color w:val="FF0000"/>
          <w:sz w:val="28"/>
          <w:szCs w:val="28"/>
        </w:rPr>
      </w:pPr>
    </w:p>
    <w:tbl>
      <w:tblPr>
        <w:tblW w:w="933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3172"/>
        <w:gridCol w:w="5654"/>
      </w:tblGrid>
      <w:tr w:rsidR="00193E45" w:rsidRPr="00295128" w:rsidTr="003F1BD6">
        <w:trPr>
          <w:trHeight w:val="65"/>
        </w:trPr>
        <w:tc>
          <w:tcPr>
            <w:tcW w:w="9333" w:type="dxa"/>
            <w:gridSpan w:val="3"/>
          </w:tcPr>
          <w:p w:rsidR="00193E45" w:rsidRPr="00295128" w:rsidRDefault="00193E45" w:rsidP="00912A6D">
            <w:pPr>
              <w:ind w:left="57" w:right="57"/>
              <w:jc w:val="center"/>
              <w:rPr>
                <w:sz w:val="28"/>
                <w:szCs w:val="28"/>
              </w:rPr>
            </w:pPr>
            <w:r w:rsidRPr="00295128">
              <w:rPr>
                <w:b/>
                <w:sz w:val="28"/>
                <w:szCs w:val="28"/>
              </w:rPr>
              <w:lastRenderedPageBreak/>
              <w:t>VII. Tiesību akta projekta izpildes nodrošināšana un tās ietekme uz institūcijām</w:t>
            </w:r>
          </w:p>
        </w:tc>
      </w:tr>
      <w:tr w:rsidR="00193E45" w:rsidRPr="00295128" w:rsidTr="003F1BD6">
        <w:trPr>
          <w:trHeight w:val="427"/>
        </w:trPr>
        <w:tc>
          <w:tcPr>
            <w:tcW w:w="507" w:type="dxa"/>
          </w:tcPr>
          <w:p w:rsidR="00193E45" w:rsidRPr="00295128" w:rsidRDefault="00193E45" w:rsidP="00912A6D">
            <w:pPr>
              <w:ind w:left="57" w:right="57"/>
              <w:rPr>
                <w:sz w:val="28"/>
                <w:szCs w:val="28"/>
              </w:rPr>
            </w:pPr>
            <w:r w:rsidRPr="00295128">
              <w:rPr>
                <w:sz w:val="28"/>
                <w:szCs w:val="28"/>
              </w:rPr>
              <w:t> 1.</w:t>
            </w:r>
          </w:p>
        </w:tc>
        <w:tc>
          <w:tcPr>
            <w:tcW w:w="3172" w:type="dxa"/>
          </w:tcPr>
          <w:p w:rsidR="00193E45" w:rsidRPr="00295128" w:rsidRDefault="00193E45" w:rsidP="00912A6D">
            <w:pPr>
              <w:ind w:left="57" w:right="57"/>
              <w:jc w:val="both"/>
              <w:rPr>
                <w:sz w:val="28"/>
                <w:szCs w:val="28"/>
              </w:rPr>
            </w:pPr>
            <w:r w:rsidRPr="00295128">
              <w:rPr>
                <w:sz w:val="28"/>
                <w:szCs w:val="28"/>
              </w:rPr>
              <w:t> Projekta izpildē iesaistītās institūcijas</w:t>
            </w:r>
          </w:p>
        </w:tc>
        <w:tc>
          <w:tcPr>
            <w:tcW w:w="5654" w:type="dxa"/>
          </w:tcPr>
          <w:p w:rsidR="00193E45" w:rsidRPr="00295128" w:rsidRDefault="00E26DA5" w:rsidP="00F93674">
            <w:pPr>
              <w:pStyle w:val="naisnod"/>
              <w:spacing w:before="0" w:after="0"/>
              <w:ind w:left="142" w:right="141" w:firstLine="283"/>
              <w:jc w:val="both"/>
              <w:rPr>
                <w:b w:val="0"/>
                <w:sz w:val="28"/>
                <w:szCs w:val="28"/>
              </w:rPr>
            </w:pPr>
            <w:r w:rsidRPr="00295128">
              <w:rPr>
                <w:b w:val="0"/>
                <w:sz w:val="28"/>
                <w:szCs w:val="28"/>
              </w:rPr>
              <w:t>Ekonomikas ministrija</w:t>
            </w:r>
            <w:r w:rsidR="00F909A0" w:rsidRPr="00295128" w:rsidDel="00F909A0">
              <w:rPr>
                <w:b w:val="0"/>
                <w:sz w:val="28"/>
                <w:szCs w:val="28"/>
              </w:rPr>
              <w:t xml:space="preserve"> </w:t>
            </w:r>
          </w:p>
        </w:tc>
      </w:tr>
      <w:tr w:rsidR="00193E45" w:rsidRPr="00295128" w:rsidTr="003F1BD6">
        <w:trPr>
          <w:trHeight w:val="463"/>
        </w:trPr>
        <w:tc>
          <w:tcPr>
            <w:tcW w:w="507" w:type="dxa"/>
          </w:tcPr>
          <w:p w:rsidR="00193E45" w:rsidRPr="00295128" w:rsidRDefault="00193E45" w:rsidP="00912A6D">
            <w:pPr>
              <w:ind w:left="57" w:right="57"/>
              <w:rPr>
                <w:sz w:val="28"/>
                <w:szCs w:val="28"/>
              </w:rPr>
            </w:pPr>
            <w:r w:rsidRPr="00295128">
              <w:rPr>
                <w:sz w:val="28"/>
                <w:szCs w:val="28"/>
              </w:rPr>
              <w:t> 2.</w:t>
            </w:r>
          </w:p>
        </w:tc>
        <w:tc>
          <w:tcPr>
            <w:tcW w:w="3172" w:type="dxa"/>
          </w:tcPr>
          <w:p w:rsidR="00193E45" w:rsidRPr="00295128" w:rsidRDefault="00193E45" w:rsidP="00912A6D">
            <w:pPr>
              <w:ind w:left="57" w:right="57"/>
              <w:jc w:val="both"/>
              <w:rPr>
                <w:sz w:val="28"/>
                <w:szCs w:val="28"/>
              </w:rPr>
            </w:pPr>
            <w:r w:rsidRPr="00295128">
              <w:rPr>
                <w:sz w:val="28"/>
                <w:szCs w:val="28"/>
              </w:rPr>
              <w:t> Projekta izpildes ietekme uz pārvaldes funkcijām un institucionālo struktūru. Jaunu institūciju izveide, esošu institūciju likvidācija vai reorganizācija, to ietekme uz institūcijas cilvēkresursiem</w:t>
            </w:r>
          </w:p>
        </w:tc>
        <w:tc>
          <w:tcPr>
            <w:tcW w:w="5654" w:type="dxa"/>
          </w:tcPr>
          <w:p w:rsidR="00193E45" w:rsidRPr="00295128" w:rsidRDefault="00FD412C" w:rsidP="00912A6D">
            <w:pPr>
              <w:pStyle w:val="naisnod"/>
              <w:spacing w:before="0" w:after="0"/>
              <w:ind w:left="57" w:right="57" w:firstLine="368"/>
              <w:jc w:val="both"/>
              <w:rPr>
                <w:b w:val="0"/>
                <w:sz w:val="28"/>
                <w:szCs w:val="28"/>
              </w:rPr>
            </w:pPr>
            <w:r w:rsidRPr="00295128">
              <w:rPr>
                <w:b w:val="0"/>
                <w:sz w:val="28"/>
                <w:szCs w:val="28"/>
              </w:rPr>
              <w:t>Noteikumu projekts neparedz pārvaldes funkciju paplašināšanu un jaunu valsts institūciju veidošanu</w:t>
            </w:r>
            <w:r w:rsidR="00E26DA5" w:rsidRPr="00295128">
              <w:rPr>
                <w:b w:val="0"/>
                <w:sz w:val="28"/>
                <w:szCs w:val="28"/>
              </w:rPr>
              <w:t>, kā arī esošu institūciju likvidācija vai reorganizācija.</w:t>
            </w:r>
          </w:p>
        </w:tc>
      </w:tr>
      <w:tr w:rsidR="00193E45" w:rsidRPr="00295128" w:rsidTr="003F1BD6">
        <w:trPr>
          <w:trHeight w:val="476"/>
        </w:trPr>
        <w:tc>
          <w:tcPr>
            <w:tcW w:w="507" w:type="dxa"/>
          </w:tcPr>
          <w:p w:rsidR="00193E45" w:rsidRPr="00295128" w:rsidRDefault="00193E45" w:rsidP="00912A6D">
            <w:pPr>
              <w:ind w:left="57" w:right="57"/>
              <w:rPr>
                <w:sz w:val="28"/>
                <w:szCs w:val="28"/>
              </w:rPr>
            </w:pPr>
            <w:r w:rsidRPr="00295128">
              <w:rPr>
                <w:sz w:val="28"/>
                <w:szCs w:val="28"/>
              </w:rPr>
              <w:t> 3.</w:t>
            </w:r>
          </w:p>
        </w:tc>
        <w:tc>
          <w:tcPr>
            <w:tcW w:w="3172" w:type="dxa"/>
          </w:tcPr>
          <w:p w:rsidR="00193E45" w:rsidRPr="00295128" w:rsidRDefault="00193E45" w:rsidP="00912A6D">
            <w:pPr>
              <w:ind w:left="57" w:right="57"/>
              <w:jc w:val="both"/>
              <w:rPr>
                <w:sz w:val="28"/>
                <w:szCs w:val="28"/>
              </w:rPr>
            </w:pPr>
            <w:r w:rsidRPr="00295128">
              <w:rPr>
                <w:sz w:val="28"/>
                <w:szCs w:val="28"/>
              </w:rPr>
              <w:t> Cita informācija</w:t>
            </w:r>
          </w:p>
        </w:tc>
        <w:tc>
          <w:tcPr>
            <w:tcW w:w="5654" w:type="dxa"/>
          </w:tcPr>
          <w:p w:rsidR="00193E45" w:rsidRPr="00295128" w:rsidRDefault="00193E45" w:rsidP="00912A6D">
            <w:pPr>
              <w:ind w:left="57" w:right="57" w:firstLine="368"/>
              <w:jc w:val="both"/>
              <w:rPr>
                <w:sz w:val="28"/>
                <w:szCs w:val="28"/>
              </w:rPr>
            </w:pPr>
            <w:r w:rsidRPr="00295128">
              <w:rPr>
                <w:sz w:val="28"/>
                <w:szCs w:val="28"/>
              </w:rPr>
              <w:t>Nav.</w:t>
            </w:r>
          </w:p>
        </w:tc>
      </w:tr>
    </w:tbl>
    <w:p w:rsidR="00193E45" w:rsidRPr="00295128" w:rsidRDefault="00193E45" w:rsidP="004F3345">
      <w:pPr>
        <w:pStyle w:val="naisf"/>
        <w:tabs>
          <w:tab w:val="left" w:pos="6710"/>
        </w:tabs>
        <w:spacing w:before="0" w:after="0"/>
        <w:ind w:firstLine="374"/>
        <w:rPr>
          <w:i/>
          <w:sz w:val="28"/>
          <w:szCs w:val="28"/>
        </w:rPr>
      </w:pPr>
      <w:r w:rsidRPr="00295128">
        <w:rPr>
          <w:i/>
          <w:sz w:val="28"/>
          <w:szCs w:val="28"/>
        </w:rPr>
        <w:t>Anotācijas III sadaļa - projekts šīs jomas neskar.</w:t>
      </w:r>
    </w:p>
    <w:p w:rsidR="00126742" w:rsidRPr="00295128" w:rsidRDefault="00126742" w:rsidP="004F3345">
      <w:pPr>
        <w:spacing w:before="360"/>
        <w:rPr>
          <w:sz w:val="28"/>
          <w:szCs w:val="28"/>
        </w:rPr>
      </w:pPr>
      <w:r w:rsidRPr="00295128">
        <w:rPr>
          <w:sz w:val="28"/>
          <w:szCs w:val="28"/>
        </w:rPr>
        <w:t xml:space="preserve">Ministru prezidenta biedrs, </w:t>
      </w:r>
    </w:p>
    <w:p w:rsidR="00747AAB" w:rsidRPr="00295128" w:rsidRDefault="00126742" w:rsidP="00126742">
      <w:pPr>
        <w:rPr>
          <w:iCs/>
          <w:color w:val="000000"/>
          <w:sz w:val="28"/>
          <w:szCs w:val="28"/>
          <w:lang w:eastAsia="en-US"/>
        </w:rPr>
      </w:pPr>
      <w:r w:rsidRPr="00295128">
        <w:rPr>
          <w:sz w:val="28"/>
          <w:szCs w:val="28"/>
        </w:rPr>
        <w:t>ekonomikas ministrs</w:t>
      </w:r>
      <w:r w:rsidR="00747AAB" w:rsidRPr="00295128">
        <w:rPr>
          <w:sz w:val="28"/>
          <w:szCs w:val="28"/>
        </w:rPr>
        <w:tab/>
      </w:r>
      <w:r w:rsidR="00747AAB" w:rsidRPr="00295128">
        <w:rPr>
          <w:sz w:val="28"/>
          <w:szCs w:val="28"/>
        </w:rPr>
        <w:tab/>
      </w:r>
      <w:r w:rsidR="00747AAB" w:rsidRPr="00295128">
        <w:rPr>
          <w:sz w:val="28"/>
          <w:szCs w:val="28"/>
        </w:rPr>
        <w:tab/>
      </w:r>
      <w:r w:rsidR="00747AAB" w:rsidRPr="00295128">
        <w:rPr>
          <w:sz w:val="28"/>
          <w:szCs w:val="28"/>
        </w:rPr>
        <w:tab/>
      </w:r>
      <w:r w:rsidR="00747AAB" w:rsidRPr="00295128">
        <w:rPr>
          <w:sz w:val="28"/>
          <w:szCs w:val="28"/>
        </w:rPr>
        <w:tab/>
      </w:r>
      <w:r w:rsidRPr="00295128">
        <w:rPr>
          <w:sz w:val="28"/>
          <w:szCs w:val="28"/>
        </w:rPr>
        <w:tab/>
      </w:r>
      <w:r w:rsidRPr="00295128">
        <w:rPr>
          <w:sz w:val="28"/>
          <w:szCs w:val="28"/>
        </w:rPr>
        <w:tab/>
        <w:t xml:space="preserve">     </w:t>
      </w:r>
      <w:r w:rsidR="008E6B7D">
        <w:rPr>
          <w:sz w:val="28"/>
          <w:szCs w:val="28"/>
        </w:rPr>
        <w:t xml:space="preserve"> </w:t>
      </w:r>
      <w:r w:rsidR="00AD6EA6">
        <w:rPr>
          <w:sz w:val="28"/>
          <w:szCs w:val="28"/>
        </w:rPr>
        <w:t xml:space="preserve"> </w:t>
      </w:r>
      <w:r w:rsidRPr="00295128">
        <w:rPr>
          <w:sz w:val="28"/>
          <w:szCs w:val="28"/>
        </w:rPr>
        <w:t>A.Ašeradens</w:t>
      </w:r>
    </w:p>
    <w:p w:rsidR="00747AAB" w:rsidRPr="00295128" w:rsidRDefault="00747AAB" w:rsidP="00747AAB">
      <w:pPr>
        <w:tabs>
          <w:tab w:val="left" w:pos="-142"/>
        </w:tabs>
        <w:spacing w:line="276" w:lineRule="auto"/>
        <w:rPr>
          <w:sz w:val="28"/>
          <w:szCs w:val="28"/>
        </w:rPr>
      </w:pPr>
    </w:p>
    <w:p w:rsidR="00126742" w:rsidRPr="00295128" w:rsidRDefault="00126742" w:rsidP="00126742">
      <w:pPr>
        <w:rPr>
          <w:sz w:val="28"/>
          <w:szCs w:val="28"/>
        </w:rPr>
      </w:pPr>
      <w:r w:rsidRPr="00295128">
        <w:rPr>
          <w:sz w:val="28"/>
          <w:szCs w:val="28"/>
        </w:rPr>
        <w:t xml:space="preserve">Iesniedzējs: Ministru prezidenta biedrs, </w:t>
      </w:r>
    </w:p>
    <w:p w:rsidR="00126742" w:rsidRPr="00295128" w:rsidRDefault="00126742" w:rsidP="00126742">
      <w:pPr>
        <w:ind w:left="1418"/>
        <w:rPr>
          <w:sz w:val="28"/>
          <w:szCs w:val="28"/>
        </w:rPr>
      </w:pPr>
      <w:r w:rsidRPr="00295128">
        <w:rPr>
          <w:sz w:val="28"/>
          <w:szCs w:val="28"/>
        </w:rPr>
        <w:t>ekonomikas ministrs</w:t>
      </w:r>
      <w:r w:rsidRPr="00295128">
        <w:rPr>
          <w:sz w:val="28"/>
          <w:szCs w:val="28"/>
        </w:rPr>
        <w:tab/>
        <w:t xml:space="preserve">       </w:t>
      </w:r>
      <w:r w:rsidRPr="00295128">
        <w:rPr>
          <w:sz w:val="28"/>
          <w:szCs w:val="28"/>
        </w:rPr>
        <w:tab/>
      </w:r>
      <w:r w:rsidRPr="00295128">
        <w:rPr>
          <w:sz w:val="28"/>
          <w:szCs w:val="28"/>
        </w:rPr>
        <w:tab/>
      </w:r>
      <w:r w:rsidRPr="00295128">
        <w:rPr>
          <w:sz w:val="28"/>
          <w:szCs w:val="28"/>
        </w:rPr>
        <w:tab/>
      </w:r>
      <w:r w:rsidRPr="00295128">
        <w:rPr>
          <w:sz w:val="28"/>
          <w:szCs w:val="28"/>
        </w:rPr>
        <w:tab/>
        <w:t xml:space="preserve">       A.Ašeradens</w:t>
      </w:r>
    </w:p>
    <w:p w:rsidR="00126742" w:rsidRPr="00295128" w:rsidRDefault="00126742" w:rsidP="00126742">
      <w:pPr>
        <w:rPr>
          <w:sz w:val="16"/>
          <w:szCs w:val="28"/>
        </w:rPr>
      </w:pPr>
    </w:p>
    <w:p w:rsidR="00126742" w:rsidRPr="00295128" w:rsidRDefault="00126742" w:rsidP="00A749EA">
      <w:pPr>
        <w:rPr>
          <w:color w:val="000000"/>
          <w:sz w:val="28"/>
          <w:szCs w:val="28"/>
        </w:rPr>
      </w:pPr>
      <w:r w:rsidRPr="00295128">
        <w:rPr>
          <w:sz w:val="28"/>
          <w:szCs w:val="28"/>
        </w:rPr>
        <w:t>Vīza: valsts sekretār</w:t>
      </w:r>
      <w:r w:rsidR="00A749EA">
        <w:rPr>
          <w:sz w:val="28"/>
          <w:szCs w:val="28"/>
        </w:rPr>
        <w:t>s</w:t>
      </w:r>
      <w:r w:rsidRPr="00295128">
        <w:rPr>
          <w:sz w:val="28"/>
          <w:szCs w:val="28"/>
        </w:rPr>
        <w:tab/>
      </w:r>
      <w:r w:rsidRPr="00295128">
        <w:rPr>
          <w:sz w:val="28"/>
          <w:szCs w:val="28"/>
        </w:rPr>
        <w:tab/>
      </w:r>
      <w:r w:rsidRPr="00295128">
        <w:rPr>
          <w:sz w:val="28"/>
          <w:szCs w:val="28"/>
        </w:rPr>
        <w:tab/>
      </w:r>
      <w:r w:rsidRPr="00295128">
        <w:rPr>
          <w:sz w:val="28"/>
          <w:szCs w:val="28"/>
        </w:rPr>
        <w:tab/>
        <w:t xml:space="preserve">       </w:t>
      </w:r>
      <w:r w:rsidR="00A749EA">
        <w:rPr>
          <w:sz w:val="28"/>
          <w:szCs w:val="28"/>
        </w:rPr>
        <w:t xml:space="preserve">                                       J.Stinka</w:t>
      </w:r>
    </w:p>
    <w:p w:rsidR="00126742" w:rsidRPr="00295128" w:rsidRDefault="00126742" w:rsidP="00126742">
      <w:pPr>
        <w:tabs>
          <w:tab w:val="right" w:pos="9072"/>
        </w:tabs>
        <w:ind w:firstLine="567"/>
        <w:jc w:val="both"/>
        <w:rPr>
          <w:sz w:val="28"/>
          <w:szCs w:val="28"/>
        </w:rPr>
      </w:pPr>
      <w:r w:rsidRPr="00295128">
        <w:rPr>
          <w:sz w:val="28"/>
          <w:szCs w:val="28"/>
        </w:rPr>
        <w:tab/>
      </w:r>
    </w:p>
    <w:p w:rsidR="001D2179" w:rsidRDefault="001D2179" w:rsidP="00126742">
      <w:pPr>
        <w:rPr>
          <w:color w:val="000000"/>
          <w:sz w:val="20"/>
          <w:szCs w:val="20"/>
        </w:rPr>
      </w:pPr>
    </w:p>
    <w:p w:rsidR="001D2179" w:rsidRDefault="001D2179" w:rsidP="00126742">
      <w:pPr>
        <w:rPr>
          <w:color w:val="000000"/>
          <w:sz w:val="20"/>
          <w:szCs w:val="20"/>
        </w:rPr>
      </w:pPr>
    </w:p>
    <w:p w:rsidR="00705888" w:rsidRDefault="00705888" w:rsidP="00705888">
      <w:pPr>
        <w:rPr>
          <w:color w:val="000000"/>
          <w:sz w:val="20"/>
          <w:szCs w:val="20"/>
        </w:rPr>
      </w:pPr>
      <w:r>
        <w:rPr>
          <w:sz w:val="20"/>
          <w:szCs w:val="20"/>
        </w:rPr>
        <w:fldChar w:fldCharType="begin"/>
      </w:r>
      <w:r>
        <w:rPr>
          <w:sz w:val="20"/>
          <w:szCs w:val="20"/>
        </w:rPr>
        <w:instrText xml:space="preserve"> TIME \@ "dd.MM.yyyy HH:mm" </w:instrText>
      </w:r>
      <w:r>
        <w:rPr>
          <w:sz w:val="20"/>
          <w:szCs w:val="20"/>
        </w:rPr>
        <w:fldChar w:fldCharType="separate"/>
      </w:r>
      <w:r w:rsidR="000F7432">
        <w:rPr>
          <w:noProof/>
          <w:sz w:val="20"/>
          <w:szCs w:val="20"/>
        </w:rPr>
        <w:t>06.07.2016 14:29</w:t>
      </w:r>
      <w:r>
        <w:rPr>
          <w:sz w:val="20"/>
          <w:szCs w:val="20"/>
        </w:rPr>
        <w:fldChar w:fldCharType="end"/>
      </w:r>
    </w:p>
    <w:bookmarkStart w:id="5" w:name="_GoBack"/>
    <w:p w:rsidR="00705888" w:rsidRPr="00755A23" w:rsidRDefault="001678E5" w:rsidP="00705888">
      <w:pPr>
        <w:rPr>
          <w:color w:val="000000"/>
          <w:sz w:val="20"/>
          <w:szCs w:val="20"/>
        </w:rPr>
      </w:pPr>
      <w:r>
        <w:fldChar w:fldCharType="begin"/>
      </w:r>
      <w:r>
        <w:instrText xml:space="preserve"> NUMWORDS   \* MERGEFORMAT </w:instrText>
      </w:r>
      <w:r>
        <w:fldChar w:fldCharType="separate"/>
      </w:r>
      <w:r w:rsidR="000F7432" w:rsidRPr="000F7432">
        <w:rPr>
          <w:noProof/>
          <w:color w:val="000000"/>
          <w:sz w:val="20"/>
          <w:szCs w:val="20"/>
        </w:rPr>
        <w:t>2383</w:t>
      </w:r>
      <w:r>
        <w:rPr>
          <w:noProof/>
          <w:color w:val="000000"/>
          <w:sz w:val="20"/>
          <w:szCs w:val="20"/>
        </w:rPr>
        <w:fldChar w:fldCharType="end"/>
      </w:r>
    </w:p>
    <w:bookmarkEnd w:id="5"/>
    <w:p w:rsidR="00705888" w:rsidRPr="00755A23" w:rsidRDefault="00705888" w:rsidP="00705888">
      <w:pPr>
        <w:rPr>
          <w:color w:val="000000"/>
          <w:sz w:val="20"/>
          <w:szCs w:val="20"/>
        </w:rPr>
      </w:pPr>
      <w:r>
        <w:rPr>
          <w:color w:val="000000"/>
          <w:sz w:val="20"/>
          <w:szCs w:val="20"/>
        </w:rPr>
        <w:t>K.Piģēns</w:t>
      </w:r>
      <w:r w:rsidRPr="00755A23">
        <w:rPr>
          <w:color w:val="000000"/>
          <w:sz w:val="20"/>
          <w:szCs w:val="20"/>
        </w:rPr>
        <w:t xml:space="preserve">, </w:t>
      </w:r>
    </w:p>
    <w:p w:rsidR="00705888" w:rsidRDefault="00705888" w:rsidP="00705888">
      <w:r w:rsidRPr="00DE5300">
        <w:rPr>
          <w:noProof/>
          <w:sz w:val="20"/>
          <w:szCs w:val="20"/>
        </w:rPr>
        <w:t>67013133</w:t>
      </w:r>
      <w:r w:rsidRPr="00755A23">
        <w:rPr>
          <w:color w:val="000000"/>
          <w:sz w:val="20"/>
          <w:szCs w:val="20"/>
        </w:rPr>
        <w:t xml:space="preserve">, </w:t>
      </w:r>
      <w:hyperlink r:id="rId9" w:history="1">
        <w:r>
          <w:rPr>
            <w:color w:val="0000FF"/>
            <w:sz w:val="20"/>
            <w:szCs w:val="20"/>
            <w:u w:val="single"/>
          </w:rPr>
          <w:t>Karlis.Pigens</w:t>
        </w:r>
        <w:r w:rsidRPr="00755A23">
          <w:rPr>
            <w:color w:val="0000FF"/>
            <w:sz w:val="20"/>
            <w:szCs w:val="20"/>
            <w:u w:val="single"/>
          </w:rPr>
          <w:t>@em.gov.lv</w:t>
        </w:r>
      </w:hyperlink>
      <w:r w:rsidRPr="00755A23">
        <w:rPr>
          <w:color w:val="000000"/>
          <w:sz w:val="20"/>
          <w:szCs w:val="20"/>
        </w:rPr>
        <w:t xml:space="preserve"> </w:t>
      </w:r>
    </w:p>
    <w:p w:rsidR="00193E45" w:rsidRPr="005E42AA" w:rsidRDefault="00193E45" w:rsidP="00705888">
      <w:pPr>
        <w:rPr>
          <w:lang w:val="de-DE"/>
        </w:rPr>
      </w:pPr>
    </w:p>
    <w:sectPr w:rsidR="00193E45" w:rsidRPr="005E42AA" w:rsidSect="005F01AA">
      <w:headerReference w:type="even" r:id="rId10"/>
      <w:headerReference w:type="default" r:id="rId11"/>
      <w:footerReference w:type="default" r:id="rId12"/>
      <w:footerReference w:type="first" r:id="rId13"/>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8D" w:rsidRDefault="001D1A8D">
      <w:r>
        <w:separator/>
      </w:r>
    </w:p>
  </w:endnote>
  <w:endnote w:type="continuationSeparator" w:id="0">
    <w:p w:rsidR="001D1A8D" w:rsidRDefault="001D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4E" w:rsidRPr="0051709A" w:rsidRDefault="00BE154E" w:rsidP="00BE154E">
    <w:pPr>
      <w:pStyle w:val="Footer"/>
      <w:jc w:val="both"/>
    </w:pPr>
    <w:r w:rsidRPr="00EA4366">
      <w:rPr>
        <w:noProof/>
        <w:sz w:val="20"/>
        <w:szCs w:val="20"/>
      </w:rPr>
      <w:fldChar w:fldCharType="begin"/>
    </w:r>
    <w:r w:rsidRPr="00EA4366">
      <w:rPr>
        <w:noProof/>
        <w:sz w:val="20"/>
        <w:szCs w:val="20"/>
      </w:rPr>
      <w:instrText xml:space="preserve"> FILENAME   \* MERGEFORMAT </w:instrText>
    </w:r>
    <w:r w:rsidRPr="00EA4366">
      <w:rPr>
        <w:noProof/>
        <w:sz w:val="20"/>
        <w:szCs w:val="20"/>
      </w:rPr>
      <w:fldChar w:fldCharType="separate"/>
    </w:r>
    <w:r>
      <w:rPr>
        <w:noProof/>
        <w:sz w:val="20"/>
        <w:szCs w:val="20"/>
      </w:rPr>
      <w:t>EManot_060716_nodr.docx</w:t>
    </w:r>
    <w:r w:rsidRPr="00EA4366">
      <w:rPr>
        <w:noProof/>
        <w:sz w:val="20"/>
        <w:szCs w:val="20"/>
      </w:rPr>
      <w:fldChar w:fldCharType="end"/>
    </w:r>
    <w:r>
      <w:rPr>
        <w:sz w:val="20"/>
        <w:szCs w:val="20"/>
      </w:rPr>
      <w:t>;</w:t>
    </w:r>
    <w:r w:rsidRPr="0051709A">
      <w:rPr>
        <w:sz w:val="20"/>
        <w:szCs w:val="20"/>
      </w:rPr>
      <w:t xml:space="preserve">Ministru kabineta noteikumu projekta </w:t>
    </w:r>
    <w:r>
      <w:rPr>
        <w:sz w:val="20"/>
        <w:szCs w:val="20"/>
      </w:rPr>
      <w:t>„</w:t>
    </w:r>
    <w:r w:rsidRPr="0051709A">
      <w:rPr>
        <w:sz w:val="20"/>
        <w:szCs w:val="20"/>
      </w:rPr>
      <w:t>Grozījumi Ministru kabineta 2011.gada 19.aprīļa noteikumos Nr.312 “Enerģijas lietotāju apgādes un kurināmā pārdošanas kārtība izsludinātas enerģētiskās krīzes laikā un valsts apdraudējuma gadījumā”” sākotnējās ietekmes novērtējuma ziņojums (anotācija)</w:t>
    </w:r>
  </w:p>
  <w:p w:rsidR="00426C37" w:rsidRPr="00BE154E" w:rsidRDefault="00426C37" w:rsidP="00BE1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4E" w:rsidRPr="0051709A" w:rsidRDefault="00BE154E" w:rsidP="00BE154E">
    <w:pPr>
      <w:pStyle w:val="Footer"/>
      <w:jc w:val="both"/>
    </w:pPr>
    <w:r w:rsidRPr="00EA4366">
      <w:rPr>
        <w:noProof/>
        <w:sz w:val="20"/>
        <w:szCs w:val="20"/>
      </w:rPr>
      <w:fldChar w:fldCharType="begin"/>
    </w:r>
    <w:r w:rsidRPr="00EA4366">
      <w:rPr>
        <w:noProof/>
        <w:sz w:val="20"/>
        <w:szCs w:val="20"/>
      </w:rPr>
      <w:instrText xml:space="preserve"> FILENAME   \* MERGEFORMAT </w:instrText>
    </w:r>
    <w:r w:rsidRPr="00EA4366">
      <w:rPr>
        <w:noProof/>
        <w:sz w:val="20"/>
        <w:szCs w:val="20"/>
      </w:rPr>
      <w:fldChar w:fldCharType="separate"/>
    </w:r>
    <w:r>
      <w:rPr>
        <w:noProof/>
        <w:sz w:val="20"/>
        <w:szCs w:val="20"/>
      </w:rPr>
      <w:t>EManot_060716_nodr.docx</w:t>
    </w:r>
    <w:r w:rsidRPr="00EA4366">
      <w:rPr>
        <w:noProof/>
        <w:sz w:val="20"/>
        <w:szCs w:val="20"/>
      </w:rPr>
      <w:fldChar w:fldCharType="end"/>
    </w:r>
    <w:r>
      <w:rPr>
        <w:sz w:val="20"/>
        <w:szCs w:val="20"/>
      </w:rPr>
      <w:t>;</w:t>
    </w:r>
    <w:r w:rsidRPr="0051709A">
      <w:rPr>
        <w:sz w:val="20"/>
        <w:szCs w:val="20"/>
      </w:rPr>
      <w:t xml:space="preserve">Ministru kabineta noteikumu projekta </w:t>
    </w:r>
    <w:r>
      <w:rPr>
        <w:sz w:val="20"/>
        <w:szCs w:val="20"/>
      </w:rPr>
      <w:t>„</w:t>
    </w:r>
    <w:r w:rsidRPr="0051709A">
      <w:rPr>
        <w:sz w:val="20"/>
        <w:szCs w:val="20"/>
      </w:rPr>
      <w:t>Grozījumi Ministru kabineta 2011.gada 19.aprīļa noteikumos Nr.312 “Enerģijas lietotāju apgādes un kurināmā pārdošanas kārtība izsludinātas enerģētiskās krīzes laikā un valsts apdraudējuma gadījumā”” sākotnējās ietekmes novērtējuma ziņojums (anotācija)</w:t>
    </w:r>
  </w:p>
  <w:p w:rsidR="00426C37" w:rsidRPr="00BE154E" w:rsidRDefault="00426C37" w:rsidP="00BE1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8D" w:rsidRDefault="001D1A8D">
      <w:r>
        <w:separator/>
      </w:r>
    </w:p>
  </w:footnote>
  <w:footnote w:type="continuationSeparator" w:id="0">
    <w:p w:rsidR="001D1A8D" w:rsidRDefault="001D1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A2" w:rsidRDefault="00A735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5A2" w:rsidRDefault="00A73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A2" w:rsidRDefault="00A735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432">
      <w:rPr>
        <w:rStyle w:val="PageNumber"/>
        <w:noProof/>
      </w:rPr>
      <w:t>10</w:t>
    </w:r>
    <w:r>
      <w:rPr>
        <w:rStyle w:val="PageNumber"/>
      </w:rPr>
      <w:fldChar w:fldCharType="end"/>
    </w:r>
  </w:p>
  <w:p w:rsidR="00A735A2" w:rsidRDefault="00A73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D01F92"/>
    <w:multiLevelType w:val="hybridMultilevel"/>
    <w:tmpl w:val="F39E84C8"/>
    <w:lvl w:ilvl="0" w:tplc="475CEFB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11E10873"/>
    <w:multiLevelType w:val="hybridMultilevel"/>
    <w:tmpl w:val="B9268F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F43F8"/>
    <w:multiLevelType w:val="hybridMultilevel"/>
    <w:tmpl w:val="ABFC718E"/>
    <w:lvl w:ilvl="0" w:tplc="D7E2AB76">
      <w:start w:val="1"/>
      <w:numFmt w:val="bullet"/>
      <w:lvlText w:val="-"/>
      <w:lvlJc w:val="left"/>
      <w:pPr>
        <w:ind w:left="777" w:hanging="360"/>
      </w:pPr>
      <w:rPr>
        <w:rFonts w:ascii="Arial" w:hAnsi="Aria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6"/>
  </w:num>
  <w:num w:numId="3">
    <w:abstractNumId w:val="5"/>
  </w:num>
  <w:num w:numId="4">
    <w:abstractNumId w:val="3"/>
  </w:num>
  <w:num w:numId="5">
    <w:abstractNumId w:val="0"/>
  </w:num>
  <w:num w:numId="6">
    <w:abstractNumId w:val="13"/>
  </w:num>
  <w:num w:numId="7">
    <w:abstractNumId w:val="17"/>
  </w:num>
  <w:num w:numId="8">
    <w:abstractNumId w:val="9"/>
  </w:num>
  <w:num w:numId="9">
    <w:abstractNumId w:val="4"/>
  </w:num>
  <w:num w:numId="10">
    <w:abstractNumId w:val="10"/>
  </w:num>
  <w:num w:numId="11">
    <w:abstractNumId w:val="12"/>
  </w:num>
  <w:num w:numId="12">
    <w:abstractNumId w:val="14"/>
  </w:num>
  <w:num w:numId="13">
    <w:abstractNumId w:val="15"/>
  </w:num>
  <w:num w:numId="14">
    <w:abstractNumId w:val="6"/>
  </w:num>
  <w:num w:numId="15">
    <w:abstractNumId w:val="8"/>
  </w:num>
  <w:num w:numId="16">
    <w:abstractNumId w:val="11"/>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959"/>
    <w:rsid w:val="00004F4C"/>
    <w:rsid w:val="00011D24"/>
    <w:rsid w:val="00013FF4"/>
    <w:rsid w:val="00020423"/>
    <w:rsid w:val="00020FE1"/>
    <w:rsid w:val="00021106"/>
    <w:rsid w:val="00022E13"/>
    <w:rsid w:val="00023E7C"/>
    <w:rsid w:val="00025186"/>
    <w:rsid w:val="00026B89"/>
    <w:rsid w:val="00027037"/>
    <w:rsid w:val="000312DB"/>
    <w:rsid w:val="00032388"/>
    <w:rsid w:val="0003379D"/>
    <w:rsid w:val="00033CE4"/>
    <w:rsid w:val="00035CE2"/>
    <w:rsid w:val="00035F36"/>
    <w:rsid w:val="00040B08"/>
    <w:rsid w:val="00042899"/>
    <w:rsid w:val="00042D0E"/>
    <w:rsid w:val="00045178"/>
    <w:rsid w:val="00050F0B"/>
    <w:rsid w:val="000521D3"/>
    <w:rsid w:val="00054A3F"/>
    <w:rsid w:val="0005553B"/>
    <w:rsid w:val="00056ED2"/>
    <w:rsid w:val="0005711F"/>
    <w:rsid w:val="000604D2"/>
    <w:rsid w:val="00061C83"/>
    <w:rsid w:val="00067B8A"/>
    <w:rsid w:val="000704C8"/>
    <w:rsid w:val="0007765D"/>
    <w:rsid w:val="0008764A"/>
    <w:rsid w:val="00087F6C"/>
    <w:rsid w:val="0009005E"/>
    <w:rsid w:val="000941C5"/>
    <w:rsid w:val="00094EC0"/>
    <w:rsid w:val="00096A3E"/>
    <w:rsid w:val="000A2CD9"/>
    <w:rsid w:val="000A5505"/>
    <w:rsid w:val="000A6451"/>
    <w:rsid w:val="000B064E"/>
    <w:rsid w:val="000B0DBC"/>
    <w:rsid w:val="000B1D4D"/>
    <w:rsid w:val="000B617F"/>
    <w:rsid w:val="000B65B3"/>
    <w:rsid w:val="000B69CF"/>
    <w:rsid w:val="000C3CBC"/>
    <w:rsid w:val="000C4249"/>
    <w:rsid w:val="000C7730"/>
    <w:rsid w:val="000C790C"/>
    <w:rsid w:val="000C7D39"/>
    <w:rsid w:val="000D1C54"/>
    <w:rsid w:val="000D2E82"/>
    <w:rsid w:val="000D5B55"/>
    <w:rsid w:val="000E21B9"/>
    <w:rsid w:val="000F061D"/>
    <w:rsid w:val="000F0E60"/>
    <w:rsid w:val="000F4794"/>
    <w:rsid w:val="000F4870"/>
    <w:rsid w:val="000F50ED"/>
    <w:rsid w:val="000F6162"/>
    <w:rsid w:val="000F7432"/>
    <w:rsid w:val="00100CB1"/>
    <w:rsid w:val="00101021"/>
    <w:rsid w:val="00101909"/>
    <w:rsid w:val="00101B2C"/>
    <w:rsid w:val="00102A15"/>
    <w:rsid w:val="00106417"/>
    <w:rsid w:val="0011244A"/>
    <w:rsid w:val="001133F9"/>
    <w:rsid w:val="00113F3B"/>
    <w:rsid w:val="0011461E"/>
    <w:rsid w:val="00114F87"/>
    <w:rsid w:val="001152DB"/>
    <w:rsid w:val="00120766"/>
    <w:rsid w:val="00124F12"/>
    <w:rsid w:val="001261F5"/>
    <w:rsid w:val="00126742"/>
    <w:rsid w:val="0013160C"/>
    <w:rsid w:val="001334C0"/>
    <w:rsid w:val="00134A58"/>
    <w:rsid w:val="00137D89"/>
    <w:rsid w:val="00141136"/>
    <w:rsid w:val="00142CB5"/>
    <w:rsid w:val="00144E3A"/>
    <w:rsid w:val="00146E24"/>
    <w:rsid w:val="0015060C"/>
    <w:rsid w:val="00155AE8"/>
    <w:rsid w:val="0016018A"/>
    <w:rsid w:val="00161F0E"/>
    <w:rsid w:val="001627FF"/>
    <w:rsid w:val="0016588C"/>
    <w:rsid w:val="001678E5"/>
    <w:rsid w:val="00167E1D"/>
    <w:rsid w:val="00170E2A"/>
    <w:rsid w:val="001739CF"/>
    <w:rsid w:val="0017683A"/>
    <w:rsid w:val="00177394"/>
    <w:rsid w:val="00177CF1"/>
    <w:rsid w:val="001813F5"/>
    <w:rsid w:val="00181F05"/>
    <w:rsid w:val="00182186"/>
    <w:rsid w:val="00182C18"/>
    <w:rsid w:val="0018387B"/>
    <w:rsid w:val="00183CC2"/>
    <w:rsid w:val="0018489C"/>
    <w:rsid w:val="001860E1"/>
    <w:rsid w:val="001875D9"/>
    <w:rsid w:val="001900E4"/>
    <w:rsid w:val="00190F88"/>
    <w:rsid w:val="00193E45"/>
    <w:rsid w:val="001A4066"/>
    <w:rsid w:val="001A4B82"/>
    <w:rsid w:val="001A6AE4"/>
    <w:rsid w:val="001B01FD"/>
    <w:rsid w:val="001B101F"/>
    <w:rsid w:val="001B20D9"/>
    <w:rsid w:val="001B2E01"/>
    <w:rsid w:val="001B31BD"/>
    <w:rsid w:val="001B4A71"/>
    <w:rsid w:val="001B6DEF"/>
    <w:rsid w:val="001B75E2"/>
    <w:rsid w:val="001B780F"/>
    <w:rsid w:val="001C25F1"/>
    <w:rsid w:val="001C4C84"/>
    <w:rsid w:val="001C7408"/>
    <w:rsid w:val="001D0A1B"/>
    <w:rsid w:val="001D1A8D"/>
    <w:rsid w:val="001D2179"/>
    <w:rsid w:val="001D5B54"/>
    <w:rsid w:val="001D7368"/>
    <w:rsid w:val="001E08CD"/>
    <w:rsid w:val="001E1DBF"/>
    <w:rsid w:val="001E3136"/>
    <w:rsid w:val="001E4639"/>
    <w:rsid w:val="001E4A7D"/>
    <w:rsid w:val="001E4D48"/>
    <w:rsid w:val="001E5B05"/>
    <w:rsid w:val="001F0085"/>
    <w:rsid w:val="001F3263"/>
    <w:rsid w:val="001F43A8"/>
    <w:rsid w:val="001F49BD"/>
    <w:rsid w:val="001F5B7B"/>
    <w:rsid w:val="001F5CD6"/>
    <w:rsid w:val="001F7C6E"/>
    <w:rsid w:val="0020542F"/>
    <w:rsid w:val="002059BF"/>
    <w:rsid w:val="00210E5A"/>
    <w:rsid w:val="0021263D"/>
    <w:rsid w:val="00213F0C"/>
    <w:rsid w:val="00213FED"/>
    <w:rsid w:val="00214094"/>
    <w:rsid w:val="00215121"/>
    <w:rsid w:val="0021592D"/>
    <w:rsid w:val="00216983"/>
    <w:rsid w:val="00222D76"/>
    <w:rsid w:val="00223EB1"/>
    <w:rsid w:val="00225DA2"/>
    <w:rsid w:val="0022770D"/>
    <w:rsid w:val="00231344"/>
    <w:rsid w:val="00231365"/>
    <w:rsid w:val="00231B20"/>
    <w:rsid w:val="00231CAE"/>
    <w:rsid w:val="0023436E"/>
    <w:rsid w:val="002347C0"/>
    <w:rsid w:val="00235A8B"/>
    <w:rsid w:val="00241A6C"/>
    <w:rsid w:val="00242135"/>
    <w:rsid w:val="00242A6C"/>
    <w:rsid w:val="00242D2B"/>
    <w:rsid w:val="00244474"/>
    <w:rsid w:val="00245A98"/>
    <w:rsid w:val="00245FDD"/>
    <w:rsid w:val="00250A0F"/>
    <w:rsid w:val="00257FDB"/>
    <w:rsid w:val="00261E2B"/>
    <w:rsid w:val="002621B9"/>
    <w:rsid w:val="00262E2B"/>
    <w:rsid w:val="00265F0D"/>
    <w:rsid w:val="00270429"/>
    <w:rsid w:val="002709C6"/>
    <w:rsid w:val="002721B6"/>
    <w:rsid w:val="002723E9"/>
    <w:rsid w:val="00277929"/>
    <w:rsid w:val="00280D1A"/>
    <w:rsid w:val="00281FC1"/>
    <w:rsid w:val="00283B82"/>
    <w:rsid w:val="002846E9"/>
    <w:rsid w:val="00284C34"/>
    <w:rsid w:val="0029066C"/>
    <w:rsid w:val="00291645"/>
    <w:rsid w:val="00293C87"/>
    <w:rsid w:val="00295128"/>
    <w:rsid w:val="00297520"/>
    <w:rsid w:val="002A1535"/>
    <w:rsid w:val="002A40A1"/>
    <w:rsid w:val="002B50DB"/>
    <w:rsid w:val="002C12AB"/>
    <w:rsid w:val="002C7CAC"/>
    <w:rsid w:val="002D3306"/>
    <w:rsid w:val="002D473F"/>
    <w:rsid w:val="002D48AA"/>
    <w:rsid w:val="002D7BAA"/>
    <w:rsid w:val="002D7F54"/>
    <w:rsid w:val="002E0E16"/>
    <w:rsid w:val="002E2D9B"/>
    <w:rsid w:val="002E3FF4"/>
    <w:rsid w:val="002E4FFE"/>
    <w:rsid w:val="002F19EB"/>
    <w:rsid w:val="002F3BB7"/>
    <w:rsid w:val="002F57C3"/>
    <w:rsid w:val="002F6B1E"/>
    <w:rsid w:val="002F78C8"/>
    <w:rsid w:val="00301CF3"/>
    <w:rsid w:val="00301D2B"/>
    <w:rsid w:val="003101A7"/>
    <w:rsid w:val="00312F59"/>
    <w:rsid w:val="00313560"/>
    <w:rsid w:val="00313AD1"/>
    <w:rsid w:val="00313E26"/>
    <w:rsid w:val="00314C96"/>
    <w:rsid w:val="00320B70"/>
    <w:rsid w:val="003211FF"/>
    <w:rsid w:val="0032226E"/>
    <w:rsid w:val="00322789"/>
    <w:rsid w:val="003260A8"/>
    <w:rsid w:val="0032711D"/>
    <w:rsid w:val="0032715C"/>
    <w:rsid w:val="00331E2B"/>
    <w:rsid w:val="00335CF7"/>
    <w:rsid w:val="00337CA5"/>
    <w:rsid w:val="00337CF8"/>
    <w:rsid w:val="003416C7"/>
    <w:rsid w:val="00343716"/>
    <w:rsid w:val="003439D8"/>
    <w:rsid w:val="003444D1"/>
    <w:rsid w:val="0034495D"/>
    <w:rsid w:val="00347CEE"/>
    <w:rsid w:val="003504C2"/>
    <w:rsid w:val="00356BEF"/>
    <w:rsid w:val="00362478"/>
    <w:rsid w:val="003642C0"/>
    <w:rsid w:val="00365984"/>
    <w:rsid w:val="003665DE"/>
    <w:rsid w:val="00373439"/>
    <w:rsid w:val="00375B25"/>
    <w:rsid w:val="00384BFF"/>
    <w:rsid w:val="003904F9"/>
    <w:rsid w:val="00390B05"/>
    <w:rsid w:val="00396542"/>
    <w:rsid w:val="0039685B"/>
    <w:rsid w:val="003A0A64"/>
    <w:rsid w:val="003A12AD"/>
    <w:rsid w:val="003A31A6"/>
    <w:rsid w:val="003A60BD"/>
    <w:rsid w:val="003A68F6"/>
    <w:rsid w:val="003A7F0C"/>
    <w:rsid w:val="003A7F79"/>
    <w:rsid w:val="003B0CF3"/>
    <w:rsid w:val="003B2B58"/>
    <w:rsid w:val="003B37A7"/>
    <w:rsid w:val="003B6404"/>
    <w:rsid w:val="003B6ED2"/>
    <w:rsid w:val="003C0BD6"/>
    <w:rsid w:val="003C2203"/>
    <w:rsid w:val="003C3BAB"/>
    <w:rsid w:val="003C449B"/>
    <w:rsid w:val="003C52F2"/>
    <w:rsid w:val="003D21FF"/>
    <w:rsid w:val="003E3C4B"/>
    <w:rsid w:val="003E448B"/>
    <w:rsid w:val="003F0112"/>
    <w:rsid w:val="003F071A"/>
    <w:rsid w:val="003F160B"/>
    <w:rsid w:val="003F1BD6"/>
    <w:rsid w:val="003F230C"/>
    <w:rsid w:val="003F2D9D"/>
    <w:rsid w:val="003F5747"/>
    <w:rsid w:val="003F659B"/>
    <w:rsid w:val="00400032"/>
    <w:rsid w:val="004009B5"/>
    <w:rsid w:val="00400B5B"/>
    <w:rsid w:val="00404F48"/>
    <w:rsid w:val="00405A00"/>
    <w:rsid w:val="00405ACC"/>
    <w:rsid w:val="0040629F"/>
    <w:rsid w:val="00407529"/>
    <w:rsid w:val="00414DB2"/>
    <w:rsid w:val="00420870"/>
    <w:rsid w:val="00426880"/>
    <w:rsid w:val="00426C37"/>
    <w:rsid w:val="00431366"/>
    <w:rsid w:val="0043240D"/>
    <w:rsid w:val="00432E5F"/>
    <w:rsid w:val="00435997"/>
    <w:rsid w:val="004367EE"/>
    <w:rsid w:val="00437385"/>
    <w:rsid w:val="0043791B"/>
    <w:rsid w:val="00441483"/>
    <w:rsid w:val="00441BCB"/>
    <w:rsid w:val="004427D6"/>
    <w:rsid w:val="00443978"/>
    <w:rsid w:val="00445273"/>
    <w:rsid w:val="0044684C"/>
    <w:rsid w:val="0045176A"/>
    <w:rsid w:val="00452DE3"/>
    <w:rsid w:val="00456332"/>
    <w:rsid w:val="00461826"/>
    <w:rsid w:val="004624A3"/>
    <w:rsid w:val="004636C4"/>
    <w:rsid w:val="00464CD2"/>
    <w:rsid w:val="004657C6"/>
    <w:rsid w:val="00466838"/>
    <w:rsid w:val="00470164"/>
    <w:rsid w:val="004746C8"/>
    <w:rsid w:val="00475203"/>
    <w:rsid w:val="004772F7"/>
    <w:rsid w:val="004800F9"/>
    <w:rsid w:val="00482024"/>
    <w:rsid w:val="00483638"/>
    <w:rsid w:val="00483F4C"/>
    <w:rsid w:val="004855B3"/>
    <w:rsid w:val="00485BB5"/>
    <w:rsid w:val="00487B0A"/>
    <w:rsid w:val="004910D1"/>
    <w:rsid w:val="0049134A"/>
    <w:rsid w:val="00491A89"/>
    <w:rsid w:val="00492386"/>
    <w:rsid w:val="00492D71"/>
    <w:rsid w:val="004940BA"/>
    <w:rsid w:val="004942F6"/>
    <w:rsid w:val="004A00EA"/>
    <w:rsid w:val="004A1B92"/>
    <w:rsid w:val="004A328E"/>
    <w:rsid w:val="004A58CB"/>
    <w:rsid w:val="004A61A7"/>
    <w:rsid w:val="004B1795"/>
    <w:rsid w:val="004B3D2B"/>
    <w:rsid w:val="004B527D"/>
    <w:rsid w:val="004B56DD"/>
    <w:rsid w:val="004B6C7E"/>
    <w:rsid w:val="004B7124"/>
    <w:rsid w:val="004C020F"/>
    <w:rsid w:val="004C1AFD"/>
    <w:rsid w:val="004C558B"/>
    <w:rsid w:val="004D016C"/>
    <w:rsid w:val="004D618C"/>
    <w:rsid w:val="004D7A1E"/>
    <w:rsid w:val="004E3748"/>
    <w:rsid w:val="004F0074"/>
    <w:rsid w:val="004F1F88"/>
    <w:rsid w:val="004F3345"/>
    <w:rsid w:val="004F587E"/>
    <w:rsid w:val="004F5F1B"/>
    <w:rsid w:val="004F6E0A"/>
    <w:rsid w:val="00502374"/>
    <w:rsid w:val="005060A1"/>
    <w:rsid w:val="005152C1"/>
    <w:rsid w:val="00516072"/>
    <w:rsid w:val="00516697"/>
    <w:rsid w:val="0051709A"/>
    <w:rsid w:val="00521535"/>
    <w:rsid w:val="0052460C"/>
    <w:rsid w:val="00526056"/>
    <w:rsid w:val="0053284D"/>
    <w:rsid w:val="005331BA"/>
    <w:rsid w:val="005332EC"/>
    <w:rsid w:val="00534418"/>
    <w:rsid w:val="005353AB"/>
    <w:rsid w:val="00537C87"/>
    <w:rsid w:val="0054236A"/>
    <w:rsid w:val="00544CC2"/>
    <w:rsid w:val="00545943"/>
    <w:rsid w:val="005477F7"/>
    <w:rsid w:val="00550853"/>
    <w:rsid w:val="00551541"/>
    <w:rsid w:val="00552DDA"/>
    <w:rsid w:val="005560BC"/>
    <w:rsid w:val="005573BE"/>
    <w:rsid w:val="00560E2F"/>
    <w:rsid w:val="005610E2"/>
    <w:rsid w:val="00561A37"/>
    <w:rsid w:val="005641E4"/>
    <w:rsid w:val="00567A16"/>
    <w:rsid w:val="00570AA6"/>
    <w:rsid w:val="00572700"/>
    <w:rsid w:val="00572A7A"/>
    <w:rsid w:val="00573E98"/>
    <w:rsid w:val="00580468"/>
    <w:rsid w:val="00580FB7"/>
    <w:rsid w:val="0058603B"/>
    <w:rsid w:val="005878E9"/>
    <w:rsid w:val="00590AF8"/>
    <w:rsid w:val="0059390D"/>
    <w:rsid w:val="0059431B"/>
    <w:rsid w:val="005947E4"/>
    <w:rsid w:val="005A086D"/>
    <w:rsid w:val="005A39CC"/>
    <w:rsid w:val="005A6D78"/>
    <w:rsid w:val="005A7FB1"/>
    <w:rsid w:val="005B017F"/>
    <w:rsid w:val="005B3373"/>
    <w:rsid w:val="005B4730"/>
    <w:rsid w:val="005C23A4"/>
    <w:rsid w:val="005E0222"/>
    <w:rsid w:val="005E05D7"/>
    <w:rsid w:val="005E0E6E"/>
    <w:rsid w:val="005E41E7"/>
    <w:rsid w:val="005E450F"/>
    <w:rsid w:val="005E7D3F"/>
    <w:rsid w:val="005F01AA"/>
    <w:rsid w:val="005F5D61"/>
    <w:rsid w:val="00601B5E"/>
    <w:rsid w:val="00605E8E"/>
    <w:rsid w:val="00610965"/>
    <w:rsid w:val="00612F7F"/>
    <w:rsid w:val="00616859"/>
    <w:rsid w:val="006174F9"/>
    <w:rsid w:val="00622790"/>
    <w:rsid w:val="0062298A"/>
    <w:rsid w:val="00623F65"/>
    <w:rsid w:val="00624ED5"/>
    <w:rsid w:val="0062512B"/>
    <w:rsid w:val="006264EF"/>
    <w:rsid w:val="00626514"/>
    <w:rsid w:val="00626589"/>
    <w:rsid w:val="006338C0"/>
    <w:rsid w:val="006339A0"/>
    <w:rsid w:val="00640E1B"/>
    <w:rsid w:val="006413A8"/>
    <w:rsid w:val="00641E54"/>
    <w:rsid w:val="0064293B"/>
    <w:rsid w:val="00642E56"/>
    <w:rsid w:val="00644331"/>
    <w:rsid w:val="006446A4"/>
    <w:rsid w:val="00651E00"/>
    <w:rsid w:val="00652825"/>
    <w:rsid w:val="006570D6"/>
    <w:rsid w:val="006624F1"/>
    <w:rsid w:val="006644ED"/>
    <w:rsid w:val="00664750"/>
    <w:rsid w:val="006648BB"/>
    <w:rsid w:val="00664B6B"/>
    <w:rsid w:val="00666AC0"/>
    <w:rsid w:val="00666B88"/>
    <w:rsid w:val="00674572"/>
    <w:rsid w:val="00674F6D"/>
    <w:rsid w:val="00686831"/>
    <w:rsid w:val="00687763"/>
    <w:rsid w:val="00690E8D"/>
    <w:rsid w:val="006915DA"/>
    <w:rsid w:val="00691C30"/>
    <w:rsid w:val="00692B0D"/>
    <w:rsid w:val="00692DBC"/>
    <w:rsid w:val="00693E0E"/>
    <w:rsid w:val="0069474E"/>
    <w:rsid w:val="00696F5F"/>
    <w:rsid w:val="006A0A17"/>
    <w:rsid w:val="006A1AE3"/>
    <w:rsid w:val="006A59AB"/>
    <w:rsid w:val="006B2F2A"/>
    <w:rsid w:val="006C2A82"/>
    <w:rsid w:val="006C2C96"/>
    <w:rsid w:val="006C2CF7"/>
    <w:rsid w:val="006C30E1"/>
    <w:rsid w:val="006C391E"/>
    <w:rsid w:val="006C4607"/>
    <w:rsid w:val="006C4D33"/>
    <w:rsid w:val="006C731A"/>
    <w:rsid w:val="006C7451"/>
    <w:rsid w:val="006C7561"/>
    <w:rsid w:val="006D0FF9"/>
    <w:rsid w:val="006D48F1"/>
    <w:rsid w:val="006D5702"/>
    <w:rsid w:val="006E1380"/>
    <w:rsid w:val="006E25D2"/>
    <w:rsid w:val="006E2CA1"/>
    <w:rsid w:val="006E3CB8"/>
    <w:rsid w:val="006E3FB0"/>
    <w:rsid w:val="006E5DA8"/>
    <w:rsid w:val="006E7EB7"/>
    <w:rsid w:val="006F05D4"/>
    <w:rsid w:val="006F3D17"/>
    <w:rsid w:val="006F45BE"/>
    <w:rsid w:val="006F5782"/>
    <w:rsid w:val="007004FC"/>
    <w:rsid w:val="007005F0"/>
    <w:rsid w:val="00704877"/>
    <w:rsid w:val="00705888"/>
    <w:rsid w:val="00706670"/>
    <w:rsid w:val="00707815"/>
    <w:rsid w:val="007112FC"/>
    <w:rsid w:val="00717E74"/>
    <w:rsid w:val="0072170E"/>
    <w:rsid w:val="007225F5"/>
    <w:rsid w:val="00723E79"/>
    <w:rsid w:val="0072417C"/>
    <w:rsid w:val="00726B33"/>
    <w:rsid w:val="00734450"/>
    <w:rsid w:val="0073452D"/>
    <w:rsid w:val="00736E73"/>
    <w:rsid w:val="00743F6E"/>
    <w:rsid w:val="00745F67"/>
    <w:rsid w:val="00747AAB"/>
    <w:rsid w:val="0075039E"/>
    <w:rsid w:val="00751422"/>
    <w:rsid w:val="00752D9D"/>
    <w:rsid w:val="00754784"/>
    <w:rsid w:val="00754B59"/>
    <w:rsid w:val="00756837"/>
    <w:rsid w:val="00757C6E"/>
    <w:rsid w:val="00760EC3"/>
    <w:rsid w:val="00762BDA"/>
    <w:rsid w:val="00764AE2"/>
    <w:rsid w:val="00764BB4"/>
    <w:rsid w:val="00766200"/>
    <w:rsid w:val="00767F08"/>
    <w:rsid w:val="00777D88"/>
    <w:rsid w:val="00777FA2"/>
    <w:rsid w:val="007805FD"/>
    <w:rsid w:val="00780A39"/>
    <w:rsid w:val="00781565"/>
    <w:rsid w:val="007840F1"/>
    <w:rsid w:val="00784422"/>
    <w:rsid w:val="00791D71"/>
    <w:rsid w:val="007921BB"/>
    <w:rsid w:val="00792B7C"/>
    <w:rsid w:val="00792EDE"/>
    <w:rsid w:val="00796293"/>
    <w:rsid w:val="007A012B"/>
    <w:rsid w:val="007A01E8"/>
    <w:rsid w:val="007A30FA"/>
    <w:rsid w:val="007A3124"/>
    <w:rsid w:val="007A4ED3"/>
    <w:rsid w:val="007B3B54"/>
    <w:rsid w:val="007B3FA0"/>
    <w:rsid w:val="007B5978"/>
    <w:rsid w:val="007B6E26"/>
    <w:rsid w:val="007B7A7D"/>
    <w:rsid w:val="007C026A"/>
    <w:rsid w:val="007C0F2C"/>
    <w:rsid w:val="007C2BCC"/>
    <w:rsid w:val="007C4EF0"/>
    <w:rsid w:val="007C548B"/>
    <w:rsid w:val="007C6B53"/>
    <w:rsid w:val="007C78A4"/>
    <w:rsid w:val="007D099D"/>
    <w:rsid w:val="007D0CB8"/>
    <w:rsid w:val="007D3179"/>
    <w:rsid w:val="007D4E63"/>
    <w:rsid w:val="007D6961"/>
    <w:rsid w:val="007E0E1B"/>
    <w:rsid w:val="007E2664"/>
    <w:rsid w:val="007E3ABF"/>
    <w:rsid w:val="007E4BC7"/>
    <w:rsid w:val="007E5BFA"/>
    <w:rsid w:val="007E6689"/>
    <w:rsid w:val="007E731C"/>
    <w:rsid w:val="007E7409"/>
    <w:rsid w:val="007E7A7A"/>
    <w:rsid w:val="007F0A03"/>
    <w:rsid w:val="007F2BAB"/>
    <w:rsid w:val="007F5184"/>
    <w:rsid w:val="007F5E40"/>
    <w:rsid w:val="007F75DA"/>
    <w:rsid w:val="008004A5"/>
    <w:rsid w:val="00800BA5"/>
    <w:rsid w:val="00804310"/>
    <w:rsid w:val="008059CB"/>
    <w:rsid w:val="00807D3B"/>
    <w:rsid w:val="00810040"/>
    <w:rsid w:val="008104E0"/>
    <w:rsid w:val="00813258"/>
    <w:rsid w:val="008134A7"/>
    <w:rsid w:val="00816A82"/>
    <w:rsid w:val="008176C5"/>
    <w:rsid w:val="0082023A"/>
    <w:rsid w:val="00821A7A"/>
    <w:rsid w:val="008253F8"/>
    <w:rsid w:val="00827E9F"/>
    <w:rsid w:val="008310B4"/>
    <w:rsid w:val="00831902"/>
    <w:rsid w:val="008325E4"/>
    <w:rsid w:val="00832A2B"/>
    <w:rsid w:val="00832FA8"/>
    <w:rsid w:val="0083406F"/>
    <w:rsid w:val="00834F23"/>
    <w:rsid w:val="00836927"/>
    <w:rsid w:val="0083727C"/>
    <w:rsid w:val="00842733"/>
    <w:rsid w:val="008447F9"/>
    <w:rsid w:val="00844B60"/>
    <w:rsid w:val="00845811"/>
    <w:rsid w:val="00846994"/>
    <w:rsid w:val="008470E0"/>
    <w:rsid w:val="00850451"/>
    <w:rsid w:val="0085101A"/>
    <w:rsid w:val="00852042"/>
    <w:rsid w:val="008525D6"/>
    <w:rsid w:val="0085282F"/>
    <w:rsid w:val="008534C9"/>
    <w:rsid w:val="008542BA"/>
    <w:rsid w:val="008550FB"/>
    <w:rsid w:val="0085599D"/>
    <w:rsid w:val="0085721E"/>
    <w:rsid w:val="008620EF"/>
    <w:rsid w:val="008678A9"/>
    <w:rsid w:val="0087510C"/>
    <w:rsid w:val="00875637"/>
    <w:rsid w:val="00875A6F"/>
    <w:rsid w:val="0087752C"/>
    <w:rsid w:val="008779C6"/>
    <w:rsid w:val="008824CB"/>
    <w:rsid w:val="00884487"/>
    <w:rsid w:val="00885DF9"/>
    <w:rsid w:val="008863B5"/>
    <w:rsid w:val="00891910"/>
    <w:rsid w:val="008937A7"/>
    <w:rsid w:val="00893D7F"/>
    <w:rsid w:val="00895AE0"/>
    <w:rsid w:val="008963AB"/>
    <w:rsid w:val="008967DB"/>
    <w:rsid w:val="0089738E"/>
    <w:rsid w:val="008A0046"/>
    <w:rsid w:val="008A03E3"/>
    <w:rsid w:val="008A5AC9"/>
    <w:rsid w:val="008A7973"/>
    <w:rsid w:val="008B3A77"/>
    <w:rsid w:val="008B45E2"/>
    <w:rsid w:val="008B5CD1"/>
    <w:rsid w:val="008B5FDB"/>
    <w:rsid w:val="008B610E"/>
    <w:rsid w:val="008C28C5"/>
    <w:rsid w:val="008C440F"/>
    <w:rsid w:val="008C50F4"/>
    <w:rsid w:val="008C5649"/>
    <w:rsid w:val="008C5C24"/>
    <w:rsid w:val="008D1E68"/>
    <w:rsid w:val="008D3027"/>
    <w:rsid w:val="008D5E9E"/>
    <w:rsid w:val="008D5F3B"/>
    <w:rsid w:val="008D6F3C"/>
    <w:rsid w:val="008E07E3"/>
    <w:rsid w:val="008E1D9D"/>
    <w:rsid w:val="008E3127"/>
    <w:rsid w:val="008E44A2"/>
    <w:rsid w:val="008E697D"/>
    <w:rsid w:val="008E6A10"/>
    <w:rsid w:val="008E6B7D"/>
    <w:rsid w:val="008F1AA0"/>
    <w:rsid w:val="008F1DE4"/>
    <w:rsid w:val="008F1EFC"/>
    <w:rsid w:val="008F2E7A"/>
    <w:rsid w:val="008F698D"/>
    <w:rsid w:val="00902797"/>
    <w:rsid w:val="00903263"/>
    <w:rsid w:val="00906A21"/>
    <w:rsid w:val="009079C3"/>
    <w:rsid w:val="00910462"/>
    <w:rsid w:val="00910B14"/>
    <w:rsid w:val="00912A6D"/>
    <w:rsid w:val="00913F76"/>
    <w:rsid w:val="0091476F"/>
    <w:rsid w:val="00914FAF"/>
    <w:rsid w:val="00915AB1"/>
    <w:rsid w:val="00917532"/>
    <w:rsid w:val="00920073"/>
    <w:rsid w:val="00920E33"/>
    <w:rsid w:val="009235BA"/>
    <w:rsid w:val="00924023"/>
    <w:rsid w:val="009242B6"/>
    <w:rsid w:val="00924625"/>
    <w:rsid w:val="00924B5C"/>
    <w:rsid w:val="00924CE2"/>
    <w:rsid w:val="00925124"/>
    <w:rsid w:val="009256E6"/>
    <w:rsid w:val="00925B9F"/>
    <w:rsid w:val="009302E0"/>
    <w:rsid w:val="00931AED"/>
    <w:rsid w:val="009356C2"/>
    <w:rsid w:val="0093754C"/>
    <w:rsid w:val="009408E4"/>
    <w:rsid w:val="009476A3"/>
    <w:rsid w:val="009479A2"/>
    <w:rsid w:val="00950075"/>
    <w:rsid w:val="0095334F"/>
    <w:rsid w:val="0095467D"/>
    <w:rsid w:val="00956429"/>
    <w:rsid w:val="00965897"/>
    <w:rsid w:val="00966AE6"/>
    <w:rsid w:val="0096765C"/>
    <w:rsid w:val="009727E4"/>
    <w:rsid w:val="00980B2E"/>
    <w:rsid w:val="009835BD"/>
    <w:rsid w:val="00987819"/>
    <w:rsid w:val="009934C5"/>
    <w:rsid w:val="00994356"/>
    <w:rsid w:val="00994C0F"/>
    <w:rsid w:val="009964C8"/>
    <w:rsid w:val="009A5C53"/>
    <w:rsid w:val="009B22D7"/>
    <w:rsid w:val="009B554C"/>
    <w:rsid w:val="009B5CA0"/>
    <w:rsid w:val="009B72ED"/>
    <w:rsid w:val="009C08B3"/>
    <w:rsid w:val="009C32F1"/>
    <w:rsid w:val="009C4885"/>
    <w:rsid w:val="009C694B"/>
    <w:rsid w:val="009C6DEB"/>
    <w:rsid w:val="009D0DD4"/>
    <w:rsid w:val="009D3070"/>
    <w:rsid w:val="009D39E1"/>
    <w:rsid w:val="009D3DB0"/>
    <w:rsid w:val="009D6504"/>
    <w:rsid w:val="009D7946"/>
    <w:rsid w:val="009E12D7"/>
    <w:rsid w:val="009E3892"/>
    <w:rsid w:val="009E5925"/>
    <w:rsid w:val="009E661A"/>
    <w:rsid w:val="009F1CD4"/>
    <w:rsid w:val="009F3195"/>
    <w:rsid w:val="009F5102"/>
    <w:rsid w:val="009F7D2B"/>
    <w:rsid w:val="00A0162F"/>
    <w:rsid w:val="00A06781"/>
    <w:rsid w:val="00A074C3"/>
    <w:rsid w:val="00A145FE"/>
    <w:rsid w:val="00A1509C"/>
    <w:rsid w:val="00A15B77"/>
    <w:rsid w:val="00A16443"/>
    <w:rsid w:val="00A20B4E"/>
    <w:rsid w:val="00A23DDB"/>
    <w:rsid w:val="00A23ECB"/>
    <w:rsid w:val="00A2489F"/>
    <w:rsid w:val="00A34260"/>
    <w:rsid w:val="00A35BB8"/>
    <w:rsid w:val="00A36AC7"/>
    <w:rsid w:val="00A41F5A"/>
    <w:rsid w:val="00A4360F"/>
    <w:rsid w:val="00A442FD"/>
    <w:rsid w:val="00A44DFD"/>
    <w:rsid w:val="00A5144F"/>
    <w:rsid w:val="00A524DE"/>
    <w:rsid w:val="00A52FFD"/>
    <w:rsid w:val="00A62D80"/>
    <w:rsid w:val="00A639E5"/>
    <w:rsid w:val="00A64ACE"/>
    <w:rsid w:val="00A665B1"/>
    <w:rsid w:val="00A70CFD"/>
    <w:rsid w:val="00A72A0B"/>
    <w:rsid w:val="00A735A2"/>
    <w:rsid w:val="00A7399A"/>
    <w:rsid w:val="00A749EA"/>
    <w:rsid w:val="00A77BC5"/>
    <w:rsid w:val="00A81E42"/>
    <w:rsid w:val="00A8598A"/>
    <w:rsid w:val="00A864FE"/>
    <w:rsid w:val="00A86F41"/>
    <w:rsid w:val="00A87D04"/>
    <w:rsid w:val="00A950C5"/>
    <w:rsid w:val="00A9667B"/>
    <w:rsid w:val="00AA0A1F"/>
    <w:rsid w:val="00AA1D25"/>
    <w:rsid w:val="00AA4AD1"/>
    <w:rsid w:val="00AA5C8D"/>
    <w:rsid w:val="00AB002C"/>
    <w:rsid w:val="00AB2A1B"/>
    <w:rsid w:val="00AB2B1A"/>
    <w:rsid w:val="00AB397F"/>
    <w:rsid w:val="00AB3CED"/>
    <w:rsid w:val="00AB5832"/>
    <w:rsid w:val="00AC51F2"/>
    <w:rsid w:val="00AC698B"/>
    <w:rsid w:val="00AC70B6"/>
    <w:rsid w:val="00AD0A80"/>
    <w:rsid w:val="00AD36B7"/>
    <w:rsid w:val="00AD6B18"/>
    <w:rsid w:val="00AD6EA6"/>
    <w:rsid w:val="00AD7C24"/>
    <w:rsid w:val="00AD7C3B"/>
    <w:rsid w:val="00AE5066"/>
    <w:rsid w:val="00AE5E24"/>
    <w:rsid w:val="00AE61B7"/>
    <w:rsid w:val="00AE6B1E"/>
    <w:rsid w:val="00AE6CBA"/>
    <w:rsid w:val="00AE79AD"/>
    <w:rsid w:val="00AF214B"/>
    <w:rsid w:val="00AF2793"/>
    <w:rsid w:val="00AF344C"/>
    <w:rsid w:val="00AF35E4"/>
    <w:rsid w:val="00AF5CDE"/>
    <w:rsid w:val="00B051B0"/>
    <w:rsid w:val="00B05BA6"/>
    <w:rsid w:val="00B068F0"/>
    <w:rsid w:val="00B06A10"/>
    <w:rsid w:val="00B102CA"/>
    <w:rsid w:val="00B10C59"/>
    <w:rsid w:val="00B11A57"/>
    <w:rsid w:val="00B1256F"/>
    <w:rsid w:val="00B12A9E"/>
    <w:rsid w:val="00B143FC"/>
    <w:rsid w:val="00B164B7"/>
    <w:rsid w:val="00B176BD"/>
    <w:rsid w:val="00B17767"/>
    <w:rsid w:val="00B211C3"/>
    <w:rsid w:val="00B221D3"/>
    <w:rsid w:val="00B25597"/>
    <w:rsid w:val="00B267B9"/>
    <w:rsid w:val="00B32A6D"/>
    <w:rsid w:val="00B33E09"/>
    <w:rsid w:val="00B3412A"/>
    <w:rsid w:val="00B34B28"/>
    <w:rsid w:val="00B363F2"/>
    <w:rsid w:val="00B407CC"/>
    <w:rsid w:val="00B457E5"/>
    <w:rsid w:val="00B50708"/>
    <w:rsid w:val="00B509F1"/>
    <w:rsid w:val="00B50C68"/>
    <w:rsid w:val="00B51293"/>
    <w:rsid w:val="00B52B1E"/>
    <w:rsid w:val="00B545A4"/>
    <w:rsid w:val="00B54D7B"/>
    <w:rsid w:val="00B55481"/>
    <w:rsid w:val="00B56122"/>
    <w:rsid w:val="00B567A4"/>
    <w:rsid w:val="00B56C32"/>
    <w:rsid w:val="00B56F98"/>
    <w:rsid w:val="00B572E0"/>
    <w:rsid w:val="00B57ACF"/>
    <w:rsid w:val="00B60B88"/>
    <w:rsid w:val="00B631A9"/>
    <w:rsid w:val="00B64BB1"/>
    <w:rsid w:val="00B66226"/>
    <w:rsid w:val="00B73166"/>
    <w:rsid w:val="00B82066"/>
    <w:rsid w:val="00B8426C"/>
    <w:rsid w:val="00B842FD"/>
    <w:rsid w:val="00B868DE"/>
    <w:rsid w:val="00B87A70"/>
    <w:rsid w:val="00B90271"/>
    <w:rsid w:val="00B91B8D"/>
    <w:rsid w:val="00B924F5"/>
    <w:rsid w:val="00B93B99"/>
    <w:rsid w:val="00B94E90"/>
    <w:rsid w:val="00BA0D9E"/>
    <w:rsid w:val="00BA23D3"/>
    <w:rsid w:val="00BB0A82"/>
    <w:rsid w:val="00BB7989"/>
    <w:rsid w:val="00BB7C94"/>
    <w:rsid w:val="00BC0A9D"/>
    <w:rsid w:val="00BC14F1"/>
    <w:rsid w:val="00BC484C"/>
    <w:rsid w:val="00BC5638"/>
    <w:rsid w:val="00BC7336"/>
    <w:rsid w:val="00BD556B"/>
    <w:rsid w:val="00BD7CCD"/>
    <w:rsid w:val="00BE154E"/>
    <w:rsid w:val="00BE34BA"/>
    <w:rsid w:val="00BF05EB"/>
    <w:rsid w:val="00BF40ED"/>
    <w:rsid w:val="00BF5A5A"/>
    <w:rsid w:val="00BF5BC2"/>
    <w:rsid w:val="00BF7637"/>
    <w:rsid w:val="00C1133D"/>
    <w:rsid w:val="00C11761"/>
    <w:rsid w:val="00C13494"/>
    <w:rsid w:val="00C144B7"/>
    <w:rsid w:val="00C175ED"/>
    <w:rsid w:val="00C176FA"/>
    <w:rsid w:val="00C27A08"/>
    <w:rsid w:val="00C31312"/>
    <w:rsid w:val="00C326C6"/>
    <w:rsid w:val="00C35295"/>
    <w:rsid w:val="00C36ADD"/>
    <w:rsid w:val="00C36E74"/>
    <w:rsid w:val="00C40595"/>
    <w:rsid w:val="00C41621"/>
    <w:rsid w:val="00C449FA"/>
    <w:rsid w:val="00C45E46"/>
    <w:rsid w:val="00C5384F"/>
    <w:rsid w:val="00C56964"/>
    <w:rsid w:val="00C65021"/>
    <w:rsid w:val="00C656D5"/>
    <w:rsid w:val="00C67103"/>
    <w:rsid w:val="00C71BB9"/>
    <w:rsid w:val="00C72E81"/>
    <w:rsid w:val="00C74061"/>
    <w:rsid w:val="00C762A5"/>
    <w:rsid w:val="00C844DC"/>
    <w:rsid w:val="00C94150"/>
    <w:rsid w:val="00C94C28"/>
    <w:rsid w:val="00CA1220"/>
    <w:rsid w:val="00CA4EB9"/>
    <w:rsid w:val="00CA5D2D"/>
    <w:rsid w:val="00CB0247"/>
    <w:rsid w:val="00CB3440"/>
    <w:rsid w:val="00CB6531"/>
    <w:rsid w:val="00CC045A"/>
    <w:rsid w:val="00CC14FD"/>
    <w:rsid w:val="00CC1692"/>
    <w:rsid w:val="00CC250B"/>
    <w:rsid w:val="00CC2836"/>
    <w:rsid w:val="00CC5164"/>
    <w:rsid w:val="00CC7DF4"/>
    <w:rsid w:val="00CD045E"/>
    <w:rsid w:val="00CD0767"/>
    <w:rsid w:val="00CD0E4D"/>
    <w:rsid w:val="00CD11DC"/>
    <w:rsid w:val="00CD138B"/>
    <w:rsid w:val="00CD31AF"/>
    <w:rsid w:val="00CD3E31"/>
    <w:rsid w:val="00CD4F9D"/>
    <w:rsid w:val="00CD74A3"/>
    <w:rsid w:val="00CE0527"/>
    <w:rsid w:val="00CE0E80"/>
    <w:rsid w:val="00CE12B8"/>
    <w:rsid w:val="00CE1D10"/>
    <w:rsid w:val="00CE501B"/>
    <w:rsid w:val="00CE5326"/>
    <w:rsid w:val="00CE5B23"/>
    <w:rsid w:val="00CE5C01"/>
    <w:rsid w:val="00CF70AD"/>
    <w:rsid w:val="00CF7496"/>
    <w:rsid w:val="00CF7729"/>
    <w:rsid w:val="00D00059"/>
    <w:rsid w:val="00D0113A"/>
    <w:rsid w:val="00D0181A"/>
    <w:rsid w:val="00D04A30"/>
    <w:rsid w:val="00D107FA"/>
    <w:rsid w:val="00D11F3B"/>
    <w:rsid w:val="00D12275"/>
    <w:rsid w:val="00D12766"/>
    <w:rsid w:val="00D13936"/>
    <w:rsid w:val="00D15F3B"/>
    <w:rsid w:val="00D16159"/>
    <w:rsid w:val="00D20FF4"/>
    <w:rsid w:val="00D24014"/>
    <w:rsid w:val="00D24D2C"/>
    <w:rsid w:val="00D27977"/>
    <w:rsid w:val="00D3323D"/>
    <w:rsid w:val="00D33AF2"/>
    <w:rsid w:val="00D35881"/>
    <w:rsid w:val="00D40C36"/>
    <w:rsid w:val="00D4313E"/>
    <w:rsid w:val="00D44F56"/>
    <w:rsid w:val="00D45045"/>
    <w:rsid w:val="00D458FC"/>
    <w:rsid w:val="00D45F07"/>
    <w:rsid w:val="00D572E6"/>
    <w:rsid w:val="00D6514E"/>
    <w:rsid w:val="00D7399A"/>
    <w:rsid w:val="00D76406"/>
    <w:rsid w:val="00D85642"/>
    <w:rsid w:val="00D856A1"/>
    <w:rsid w:val="00D86B78"/>
    <w:rsid w:val="00D9307E"/>
    <w:rsid w:val="00D93C45"/>
    <w:rsid w:val="00D945D9"/>
    <w:rsid w:val="00D94A16"/>
    <w:rsid w:val="00D97223"/>
    <w:rsid w:val="00DA6D33"/>
    <w:rsid w:val="00DA7DA5"/>
    <w:rsid w:val="00DB073B"/>
    <w:rsid w:val="00DB09FC"/>
    <w:rsid w:val="00DB1732"/>
    <w:rsid w:val="00DB78F0"/>
    <w:rsid w:val="00DC2E43"/>
    <w:rsid w:val="00DC4EEC"/>
    <w:rsid w:val="00DD095C"/>
    <w:rsid w:val="00DD1020"/>
    <w:rsid w:val="00DD1330"/>
    <w:rsid w:val="00DD58A1"/>
    <w:rsid w:val="00DD6827"/>
    <w:rsid w:val="00DE0B83"/>
    <w:rsid w:val="00DE1664"/>
    <w:rsid w:val="00DE1A81"/>
    <w:rsid w:val="00DE1C13"/>
    <w:rsid w:val="00DE2756"/>
    <w:rsid w:val="00DE277D"/>
    <w:rsid w:val="00DE356F"/>
    <w:rsid w:val="00DE4543"/>
    <w:rsid w:val="00DE4E10"/>
    <w:rsid w:val="00DE6802"/>
    <w:rsid w:val="00DE7236"/>
    <w:rsid w:val="00DF2694"/>
    <w:rsid w:val="00DF5DB6"/>
    <w:rsid w:val="00DF644D"/>
    <w:rsid w:val="00DF6A69"/>
    <w:rsid w:val="00E00C5D"/>
    <w:rsid w:val="00E00D78"/>
    <w:rsid w:val="00E02ABF"/>
    <w:rsid w:val="00E116CF"/>
    <w:rsid w:val="00E143B0"/>
    <w:rsid w:val="00E14576"/>
    <w:rsid w:val="00E14995"/>
    <w:rsid w:val="00E14D4D"/>
    <w:rsid w:val="00E179CD"/>
    <w:rsid w:val="00E224CC"/>
    <w:rsid w:val="00E23D83"/>
    <w:rsid w:val="00E23E8D"/>
    <w:rsid w:val="00E24113"/>
    <w:rsid w:val="00E26DA5"/>
    <w:rsid w:val="00E30957"/>
    <w:rsid w:val="00E3159B"/>
    <w:rsid w:val="00E342F3"/>
    <w:rsid w:val="00E35726"/>
    <w:rsid w:val="00E3650A"/>
    <w:rsid w:val="00E37F98"/>
    <w:rsid w:val="00E45110"/>
    <w:rsid w:val="00E46559"/>
    <w:rsid w:val="00E55C52"/>
    <w:rsid w:val="00E55F72"/>
    <w:rsid w:val="00E56083"/>
    <w:rsid w:val="00E56397"/>
    <w:rsid w:val="00E57E51"/>
    <w:rsid w:val="00E6670C"/>
    <w:rsid w:val="00E70DDC"/>
    <w:rsid w:val="00E7374E"/>
    <w:rsid w:val="00E7656A"/>
    <w:rsid w:val="00E776E8"/>
    <w:rsid w:val="00E82EF6"/>
    <w:rsid w:val="00E83FE9"/>
    <w:rsid w:val="00E84871"/>
    <w:rsid w:val="00E84E03"/>
    <w:rsid w:val="00E8539B"/>
    <w:rsid w:val="00E92C1F"/>
    <w:rsid w:val="00E95D4B"/>
    <w:rsid w:val="00E95EBA"/>
    <w:rsid w:val="00EA0679"/>
    <w:rsid w:val="00EA0B61"/>
    <w:rsid w:val="00EA5B15"/>
    <w:rsid w:val="00EA7EEC"/>
    <w:rsid w:val="00EB0FD8"/>
    <w:rsid w:val="00EB199F"/>
    <w:rsid w:val="00EB1A2C"/>
    <w:rsid w:val="00EB3569"/>
    <w:rsid w:val="00EB5417"/>
    <w:rsid w:val="00EC08AE"/>
    <w:rsid w:val="00EC22F4"/>
    <w:rsid w:val="00EC23F7"/>
    <w:rsid w:val="00EC4BD8"/>
    <w:rsid w:val="00EC63EB"/>
    <w:rsid w:val="00EC7D47"/>
    <w:rsid w:val="00ED412F"/>
    <w:rsid w:val="00ED57AE"/>
    <w:rsid w:val="00ED7059"/>
    <w:rsid w:val="00EE4C1C"/>
    <w:rsid w:val="00EF1DF6"/>
    <w:rsid w:val="00EF1F0C"/>
    <w:rsid w:val="00EF36B2"/>
    <w:rsid w:val="00EF4D83"/>
    <w:rsid w:val="00EF6EAB"/>
    <w:rsid w:val="00EF7F1D"/>
    <w:rsid w:val="00F14FB1"/>
    <w:rsid w:val="00F1723D"/>
    <w:rsid w:val="00F201EC"/>
    <w:rsid w:val="00F208A9"/>
    <w:rsid w:val="00F31E83"/>
    <w:rsid w:val="00F33144"/>
    <w:rsid w:val="00F33C58"/>
    <w:rsid w:val="00F346D3"/>
    <w:rsid w:val="00F40F49"/>
    <w:rsid w:val="00F41D6D"/>
    <w:rsid w:val="00F41D75"/>
    <w:rsid w:val="00F466EE"/>
    <w:rsid w:val="00F467EF"/>
    <w:rsid w:val="00F50B4D"/>
    <w:rsid w:val="00F51250"/>
    <w:rsid w:val="00F5139D"/>
    <w:rsid w:val="00F52175"/>
    <w:rsid w:val="00F5297F"/>
    <w:rsid w:val="00F567F3"/>
    <w:rsid w:val="00F56F2D"/>
    <w:rsid w:val="00F63074"/>
    <w:rsid w:val="00F63DAC"/>
    <w:rsid w:val="00F648ED"/>
    <w:rsid w:val="00F64E50"/>
    <w:rsid w:val="00F64EF2"/>
    <w:rsid w:val="00F65B25"/>
    <w:rsid w:val="00F72B39"/>
    <w:rsid w:val="00F72EE7"/>
    <w:rsid w:val="00F7454F"/>
    <w:rsid w:val="00F77988"/>
    <w:rsid w:val="00F77F48"/>
    <w:rsid w:val="00F801EC"/>
    <w:rsid w:val="00F909A0"/>
    <w:rsid w:val="00F92C8A"/>
    <w:rsid w:val="00F93674"/>
    <w:rsid w:val="00F964F8"/>
    <w:rsid w:val="00FA3B26"/>
    <w:rsid w:val="00FA60A5"/>
    <w:rsid w:val="00FA63D3"/>
    <w:rsid w:val="00FB2207"/>
    <w:rsid w:val="00FB30F1"/>
    <w:rsid w:val="00FB53E7"/>
    <w:rsid w:val="00FB5A1E"/>
    <w:rsid w:val="00FB6110"/>
    <w:rsid w:val="00FC554D"/>
    <w:rsid w:val="00FC5644"/>
    <w:rsid w:val="00FD1A00"/>
    <w:rsid w:val="00FD2F0E"/>
    <w:rsid w:val="00FD412C"/>
    <w:rsid w:val="00FD4D0A"/>
    <w:rsid w:val="00FD5F30"/>
    <w:rsid w:val="00FD7109"/>
    <w:rsid w:val="00FD76CC"/>
    <w:rsid w:val="00FD7C7B"/>
    <w:rsid w:val="00FE0BEB"/>
    <w:rsid w:val="00FE19EF"/>
    <w:rsid w:val="00FE4483"/>
    <w:rsid w:val="00FE7CD9"/>
    <w:rsid w:val="00FF227D"/>
    <w:rsid w:val="00FF54CC"/>
    <w:rsid w:val="00FF71ED"/>
    <w:rsid w:val="00FF7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957D0C-7060-49C5-A80C-3B9536E5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eastAsia="x-none"/>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uiPriority w:val="22"/>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customStyle="1" w:styleId="doc-ti">
    <w:name w:val="doc-ti"/>
    <w:basedOn w:val="Normal"/>
    <w:rsid w:val="00040B08"/>
    <w:pPr>
      <w:spacing w:before="240" w:after="120"/>
      <w:jc w:val="center"/>
    </w:pPr>
    <w:rPr>
      <w:b/>
      <w:bCs/>
      <w:sz w:val="18"/>
      <w:szCs w:val="18"/>
    </w:rPr>
  </w:style>
  <w:style w:type="paragraph" w:customStyle="1" w:styleId="tv213">
    <w:name w:val="tv213"/>
    <w:basedOn w:val="Normal"/>
    <w:rsid w:val="00033CE4"/>
    <w:pPr>
      <w:spacing w:before="100" w:beforeAutospacing="1" w:after="100" w:afterAutospacing="1"/>
    </w:pPr>
  </w:style>
  <w:style w:type="character" w:customStyle="1" w:styleId="HeaderChar">
    <w:name w:val="Header Char"/>
    <w:basedOn w:val="DefaultParagraphFont"/>
    <w:link w:val="Header"/>
    <w:rsid w:val="00050F0B"/>
    <w:rPr>
      <w:sz w:val="24"/>
      <w:szCs w:val="24"/>
    </w:rPr>
  </w:style>
  <w:style w:type="character" w:customStyle="1" w:styleId="apple-converted-space">
    <w:name w:val="apple-converted-space"/>
    <w:basedOn w:val="DefaultParagraphFont"/>
    <w:rsid w:val="008447F9"/>
  </w:style>
  <w:style w:type="paragraph" w:customStyle="1" w:styleId="Normal1">
    <w:name w:val="Normal1"/>
    <w:basedOn w:val="Normal"/>
    <w:rsid w:val="00182186"/>
    <w:pPr>
      <w:spacing w:before="100" w:beforeAutospacing="1" w:after="100" w:afterAutospacing="1"/>
    </w:pPr>
  </w:style>
  <w:style w:type="character" w:customStyle="1" w:styleId="italic">
    <w:name w:val="italic"/>
    <w:basedOn w:val="DefaultParagraphFont"/>
    <w:rsid w:val="0044684C"/>
  </w:style>
  <w:style w:type="paragraph" w:customStyle="1" w:styleId="Normal2">
    <w:name w:val="Normal2"/>
    <w:basedOn w:val="Normal"/>
    <w:rsid w:val="00A15B77"/>
    <w:pPr>
      <w:spacing w:before="100" w:beforeAutospacing="1" w:after="100" w:afterAutospacing="1"/>
    </w:pPr>
  </w:style>
  <w:style w:type="paragraph" w:customStyle="1" w:styleId="Normal3">
    <w:name w:val="Normal3"/>
    <w:basedOn w:val="Normal"/>
    <w:rsid w:val="001F49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37901236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1034815795">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ra.Niedrit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0080-8E6B-45F3-A602-B7D03DF9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2428</Words>
  <Characters>17048</Characters>
  <Application>Microsoft Office Word</Application>
  <DocSecurity>0</DocSecurity>
  <Lines>710</Lines>
  <Paragraphs>226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2011.gada 19.aprīļa noteikumos Nr.312 “Enerģijas lietotāju apgādes un kurināmā pārdošanas kārtība izsludinātas enerģētiskās krīzes laikā un valsts apdraudējuma gadījumā”” sākotnējās ietekme</vt:lpstr>
      <vt:lpstr>Ministru kabineta instrukcijas projekts “Tiesību akta projekta sākotnējās ietekmes izvērtēšanas kārtība”</vt:lpstr>
    </vt:vector>
  </TitlesOfParts>
  <Company>LR Ekonomikas ministrija</Company>
  <LinksUpToDate>false</LinksUpToDate>
  <CharactersWithSpaces>19250</CharactersWithSpaces>
  <SharedDoc>false</SharedDoc>
  <HLinks>
    <vt:vector size="6" baseType="variant">
      <vt:variant>
        <vt:i4>3932179</vt:i4>
      </vt:variant>
      <vt:variant>
        <vt:i4>3</vt:i4>
      </vt:variant>
      <vt:variant>
        <vt:i4>0</vt:i4>
      </vt:variant>
      <vt:variant>
        <vt:i4>5</vt:i4>
      </vt:variant>
      <vt:variant>
        <vt:lpwstr>mailto:Elga.Bucinska@em.gov.lv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19.aprīļa noteikumos Nr.312 “Enerģijas lietotāju apgādes un kurināmā pārdošanas kārtība izsludinātas enerģētiskās krīzes laikā un valsts apdraudējuma gadījumā”” sākotnējās ietekmes novērtējuma ziņojums (anotācija)</dc:title>
  <dc:subject>Anotācija</dc:subject>
  <dc:creator>Indra.Niedrite@em.gov.lv</dc:creator>
  <cp:keywords/>
  <cp:lastModifiedBy>Gunta Rēpele</cp:lastModifiedBy>
  <cp:revision>8</cp:revision>
  <cp:lastPrinted>2016-06-28T13:53:00Z</cp:lastPrinted>
  <dcterms:created xsi:type="dcterms:W3CDTF">2016-07-05T13:40:00Z</dcterms:created>
  <dcterms:modified xsi:type="dcterms:W3CDTF">2016-07-06T11:29:00Z</dcterms:modified>
</cp:coreProperties>
</file>