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D8729" w14:textId="77777777" w:rsidR="00933C15" w:rsidRPr="0059022A" w:rsidRDefault="00933C15" w:rsidP="00031EF0">
      <w:pPr>
        <w:jc w:val="center"/>
        <w:rPr>
          <w:rFonts w:cs="Times New Roman"/>
          <w:b/>
          <w:szCs w:val="24"/>
        </w:rPr>
      </w:pPr>
      <w:r w:rsidRPr="0059022A">
        <w:rPr>
          <w:rFonts w:cs="Times New Roman"/>
          <w:b/>
          <w:szCs w:val="24"/>
        </w:rPr>
        <w:t>Likumprojekta</w:t>
      </w:r>
    </w:p>
    <w:p w14:paraId="3876F92D" w14:textId="74F93AFA" w:rsidR="00933C15" w:rsidRPr="0059022A" w:rsidRDefault="00F67CAA" w:rsidP="00933C15">
      <w:pPr>
        <w:jc w:val="center"/>
        <w:rPr>
          <w:rFonts w:cs="Times New Roman"/>
          <w:b/>
          <w:szCs w:val="24"/>
        </w:rPr>
      </w:pPr>
      <w:r w:rsidRPr="0059022A">
        <w:rPr>
          <w:rFonts w:cs="Times New Roman"/>
          <w:b/>
          <w:bCs/>
          <w:szCs w:val="24"/>
        </w:rPr>
        <w:t>"</w:t>
      </w:r>
      <w:r w:rsidR="00933C15" w:rsidRPr="00553F2C">
        <w:rPr>
          <w:rFonts w:cs="Times New Roman"/>
          <w:b/>
          <w:bCs/>
          <w:szCs w:val="24"/>
        </w:rPr>
        <w:t>Grozījum</w:t>
      </w:r>
      <w:r w:rsidR="00E24A71">
        <w:rPr>
          <w:rFonts w:cs="Times New Roman"/>
          <w:b/>
          <w:bCs/>
          <w:szCs w:val="24"/>
        </w:rPr>
        <w:t>i</w:t>
      </w:r>
      <w:r w:rsidR="00933C15" w:rsidRPr="00553F2C">
        <w:rPr>
          <w:rFonts w:cs="Times New Roman"/>
          <w:b/>
          <w:bCs/>
          <w:szCs w:val="24"/>
        </w:rPr>
        <w:t xml:space="preserve"> </w:t>
      </w:r>
      <w:r w:rsidRPr="00553F2C">
        <w:rPr>
          <w:rFonts w:cs="Times New Roman"/>
          <w:b/>
          <w:bCs/>
          <w:szCs w:val="24"/>
        </w:rPr>
        <w:t>likumā</w:t>
      </w:r>
      <w:r w:rsidRPr="0059022A">
        <w:rPr>
          <w:rFonts w:cs="Times New Roman"/>
          <w:b/>
          <w:bCs/>
          <w:szCs w:val="24"/>
        </w:rPr>
        <w:t xml:space="preserve"> "Par Latvijas Banku"</w:t>
      </w:r>
      <w:r w:rsidR="00933C15" w:rsidRPr="0059022A">
        <w:rPr>
          <w:rFonts w:cs="Times New Roman"/>
          <w:b/>
          <w:szCs w:val="24"/>
        </w:rPr>
        <w:t>"</w:t>
      </w:r>
    </w:p>
    <w:p w14:paraId="4741FF8D" w14:textId="77777777" w:rsidR="00933C15" w:rsidRDefault="00933C15" w:rsidP="00933C15">
      <w:pPr>
        <w:jc w:val="center"/>
        <w:rPr>
          <w:rFonts w:cs="Times New Roman"/>
          <w:b/>
          <w:szCs w:val="24"/>
        </w:rPr>
      </w:pPr>
      <w:r w:rsidRPr="0059022A">
        <w:rPr>
          <w:rFonts w:cs="Times New Roman"/>
          <w:b/>
          <w:szCs w:val="24"/>
        </w:rPr>
        <w:t>sākotnējās ietekmes novērtējuma ziņojums (anotācija)</w:t>
      </w:r>
    </w:p>
    <w:p w14:paraId="39679DA8" w14:textId="77777777" w:rsidR="00F66A4C" w:rsidRPr="0059022A" w:rsidRDefault="00F66A4C" w:rsidP="00933C15">
      <w:pPr>
        <w:jc w:val="center"/>
        <w:rPr>
          <w:rFonts w:cs="Times New Roman"/>
          <w:b/>
          <w:szCs w:val="24"/>
        </w:rPr>
      </w:pPr>
    </w:p>
    <w:p w14:paraId="49F593A5" w14:textId="77777777" w:rsidR="00997F20" w:rsidRPr="0059022A" w:rsidRDefault="00997F20" w:rsidP="00933C15">
      <w:pPr>
        <w:jc w:val="center"/>
        <w:rPr>
          <w:rFonts w:cs="Times New Roman"/>
          <w:b/>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1505"/>
        <w:gridCol w:w="6175"/>
      </w:tblGrid>
      <w:tr w:rsidR="0059022A" w:rsidRPr="0059022A" w14:paraId="1B13F8A3" w14:textId="77777777" w:rsidTr="00C13065">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2E0F75" w14:textId="77777777" w:rsidR="00933C15" w:rsidRPr="0059022A" w:rsidRDefault="00933C15" w:rsidP="00C13065">
            <w:pPr>
              <w:spacing w:before="100" w:beforeAutospacing="1" w:after="100" w:afterAutospacing="1" w:line="360" w:lineRule="auto"/>
              <w:ind w:firstLine="300"/>
              <w:jc w:val="center"/>
              <w:rPr>
                <w:rFonts w:eastAsia="Times New Roman" w:cs="Times New Roman"/>
                <w:b/>
                <w:bCs/>
                <w:szCs w:val="24"/>
                <w:lang w:eastAsia="lv-LV"/>
              </w:rPr>
            </w:pPr>
            <w:r w:rsidRPr="0059022A">
              <w:rPr>
                <w:rFonts w:eastAsia="Times New Roman" w:cs="Times New Roman"/>
                <w:b/>
                <w:bCs/>
                <w:szCs w:val="24"/>
                <w:lang w:eastAsia="lv-LV"/>
              </w:rPr>
              <w:t>I. Tiesību akta projekta izstrādes nepieciešamība</w:t>
            </w:r>
          </w:p>
        </w:tc>
      </w:tr>
      <w:tr w:rsidR="0059022A" w:rsidRPr="0059022A" w14:paraId="05677CB8" w14:textId="77777777" w:rsidTr="00C13065">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683645E0" w14:textId="77777777" w:rsidR="00933C15" w:rsidRPr="0059022A" w:rsidRDefault="00933C15" w:rsidP="00C13065">
            <w:pPr>
              <w:spacing w:before="100" w:beforeAutospacing="1" w:after="100" w:afterAutospacing="1" w:line="360" w:lineRule="auto"/>
              <w:ind w:firstLine="300"/>
              <w:jc w:val="center"/>
              <w:rPr>
                <w:rFonts w:eastAsia="Times New Roman" w:cs="Times New Roman"/>
                <w:szCs w:val="24"/>
                <w:lang w:eastAsia="lv-LV"/>
              </w:rPr>
            </w:pPr>
            <w:r w:rsidRPr="0059022A">
              <w:rPr>
                <w:rFonts w:eastAsia="Times New Roman" w:cs="Times New Roman"/>
                <w:szCs w:val="24"/>
                <w:lang w:eastAsia="lv-LV"/>
              </w:rPr>
              <w:t>1.</w:t>
            </w:r>
          </w:p>
        </w:tc>
        <w:tc>
          <w:tcPr>
            <w:tcW w:w="889" w:type="pct"/>
            <w:tcBorders>
              <w:top w:val="outset" w:sz="6" w:space="0" w:color="auto"/>
              <w:left w:val="outset" w:sz="6" w:space="0" w:color="auto"/>
              <w:bottom w:val="outset" w:sz="6" w:space="0" w:color="auto"/>
              <w:right w:val="outset" w:sz="6" w:space="0" w:color="auto"/>
            </w:tcBorders>
            <w:hideMark/>
          </w:tcPr>
          <w:p w14:paraId="05239937"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Pamatojums</w:t>
            </w:r>
          </w:p>
        </w:tc>
        <w:tc>
          <w:tcPr>
            <w:tcW w:w="3695" w:type="pct"/>
            <w:tcBorders>
              <w:top w:val="outset" w:sz="6" w:space="0" w:color="auto"/>
              <w:left w:val="outset" w:sz="6" w:space="0" w:color="auto"/>
              <w:bottom w:val="outset" w:sz="6" w:space="0" w:color="auto"/>
              <w:right w:val="outset" w:sz="6" w:space="0" w:color="auto"/>
            </w:tcBorders>
            <w:hideMark/>
          </w:tcPr>
          <w:p w14:paraId="68CC6C66" w14:textId="4B85FCC6" w:rsidR="0057464C" w:rsidRPr="0059022A" w:rsidRDefault="0057464C" w:rsidP="00502042">
            <w:pPr>
              <w:autoSpaceDE w:val="0"/>
              <w:autoSpaceDN w:val="0"/>
              <w:adjustRightInd w:val="0"/>
              <w:jc w:val="both"/>
              <w:rPr>
                <w:rFonts w:cs="Times New Roman"/>
                <w:szCs w:val="24"/>
              </w:rPr>
            </w:pPr>
            <w:r w:rsidRPr="0059022A">
              <w:rPr>
                <w:rFonts w:cs="Times New Roman"/>
                <w:szCs w:val="24"/>
              </w:rPr>
              <w:t>Likumprojekt</w:t>
            </w:r>
            <w:r w:rsidR="002E3392">
              <w:rPr>
                <w:rFonts w:cs="Times New Roman"/>
                <w:szCs w:val="24"/>
              </w:rPr>
              <w:t>s</w:t>
            </w:r>
            <w:r w:rsidR="00502042">
              <w:rPr>
                <w:rFonts w:cs="Times New Roman"/>
                <w:szCs w:val="24"/>
              </w:rPr>
              <w:t xml:space="preserve"> "Grozījumi</w:t>
            </w:r>
            <w:r w:rsidRPr="0059022A">
              <w:rPr>
                <w:rFonts w:cs="Times New Roman"/>
                <w:szCs w:val="24"/>
              </w:rPr>
              <w:t xml:space="preserve"> likumā "Par Latvijas Banku"" </w:t>
            </w:r>
            <w:r w:rsidRPr="0059022A">
              <w:rPr>
                <w:rFonts w:cs="Times New Roman"/>
                <w:iCs/>
                <w:szCs w:val="24"/>
              </w:rPr>
              <w:t xml:space="preserve">(turpmāk </w:t>
            </w:r>
            <w:r w:rsidRPr="0059022A">
              <w:rPr>
                <w:rFonts w:cs="Times New Roman"/>
                <w:szCs w:val="24"/>
              </w:rPr>
              <w:t>– likumprojekts)</w:t>
            </w:r>
            <w:r w:rsidR="002E3392">
              <w:rPr>
                <w:rFonts w:cs="Times New Roman"/>
                <w:szCs w:val="24"/>
              </w:rPr>
              <w:t xml:space="preserve"> tika izstrādāts pēc Latvijas Bankas iniciatīvas.</w:t>
            </w:r>
            <w:r w:rsidRPr="0059022A">
              <w:rPr>
                <w:rFonts w:cs="Times New Roman"/>
                <w:szCs w:val="24"/>
              </w:rPr>
              <w:t xml:space="preserve"> </w:t>
            </w:r>
          </w:p>
        </w:tc>
      </w:tr>
      <w:tr w:rsidR="0059022A" w:rsidRPr="0059022A" w14:paraId="3EE82B94" w14:textId="77777777" w:rsidTr="00C13065">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6E285564" w14:textId="77777777" w:rsidR="00933C15" w:rsidRPr="0059022A" w:rsidRDefault="00933C15" w:rsidP="00C13065">
            <w:pPr>
              <w:spacing w:before="100" w:beforeAutospacing="1" w:after="100" w:afterAutospacing="1" w:line="360" w:lineRule="auto"/>
              <w:ind w:firstLine="300"/>
              <w:jc w:val="center"/>
              <w:rPr>
                <w:rFonts w:eastAsia="Times New Roman" w:cs="Times New Roman"/>
                <w:szCs w:val="24"/>
                <w:lang w:eastAsia="lv-LV"/>
              </w:rPr>
            </w:pPr>
            <w:r w:rsidRPr="0059022A">
              <w:rPr>
                <w:rFonts w:eastAsia="Times New Roman" w:cs="Times New Roman"/>
                <w:szCs w:val="24"/>
                <w:lang w:eastAsia="lv-LV"/>
              </w:rPr>
              <w:t>2.</w:t>
            </w:r>
          </w:p>
        </w:tc>
        <w:tc>
          <w:tcPr>
            <w:tcW w:w="889" w:type="pct"/>
            <w:tcBorders>
              <w:top w:val="outset" w:sz="6" w:space="0" w:color="auto"/>
              <w:left w:val="outset" w:sz="6" w:space="0" w:color="auto"/>
              <w:bottom w:val="outset" w:sz="6" w:space="0" w:color="auto"/>
              <w:right w:val="outset" w:sz="6" w:space="0" w:color="auto"/>
            </w:tcBorders>
            <w:hideMark/>
          </w:tcPr>
          <w:p w14:paraId="1C60C029"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Pašreizējā situācija un problēmas, kuru risināšanai tiesību akta projekts izstrādāts, tiesiskā regulējuma mērķis un būtība</w:t>
            </w:r>
          </w:p>
        </w:tc>
        <w:tc>
          <w:tcPr>
            <w:tcW w:w="3695" w:type="pct"/>
            <w:tcBorders>
              <w:top w:val="outset" w:sz="6" w:space="0" w:color="auto"/>
              <w:left w:val="outset" w:sz="6" w:space="0" w:color="auto"/>
              <w:bottom w:val="outset" w:sz="6" w:space="0" w:color="auto"/>
              <w:right w:val="outset" w:sz="6" w:space="0" w:color="auto"/>
            </w:tcBorders>
            <w:hideMark/>
          </w:tcPr>
          <w:p w14:paraId="0FC0570E" w14:textId="079C5463" w:rsidR="002E3392" w:rsidRPr="0059022A" w:rsidRDefault="003D7CFC" w:rsidP="002E3392">
            <w:pPr>
              <w:autoSpaceDE w:val="0"/>
              <w:autoSpaceDN w:val="0"/>
              <w:adjustRightInd w:val="0"/>
              <w:jc w:val="both"/>
              <w:rPr>
                <w:rFonts w:cs="Times New Roman"/>
                <w:szCs w:val="24"/>
              </w:rPr>
            </w:pPr>
            <w:r>
              <w:rPr>
                <w:rFonts w:cs="Times New Roman"/>
                <w:szCs w:val="24"/>
              </w:rPr>
              <w:t>Šis likumprojekts izstrādāts</w:t>
            </w:r>
            <w:r w:rsidR="002E3392" w:rsidRPr="0059022A">
              <w:rPr>
                <w:rFonts w:cs="Times New Roman"/>
                <w:szCs w:val="24"/>
              </w:rPr>
              <w:t>, lai:</w:t>
            </w:r>
          </w:p>
          <w:p w14:paraId="60D880E3" w14:textId="4046C443" w:rsidR="002E3392" w:rsidRPr="0059022A" w:rsidRDefault="002E3392" w:rsidP="002E3392">
            <w:pPr>
              <w:autoSpaceDE w:val="0"/>
              <w:autoSpaceDN w:val="0"/>
              <w:adjustRightInd w:val="0"/>
              <w:jc w:val="both"/>
              <w:rPr>
                <w:rFonts w:cs="Times New Roman"/>
                <w:szCs w:val="24"/>
              </w:rPr>
            </w:pPr>
            <w:r w:rsidRPr="0059022A">
              <w:rPr>
                <w:rFonts w:cs="Times New Roman"/>
                <w:szCs w:val="24"/>
              </w:rPr>
              <w:t>1) nostiprinātu ārējā normatīvajā aktā Latvijas Bankas Aizsardzības pārvaldes (turpmāk arī – Aizsardzības pārvalde) pamatuzdevumu</w:t>
            </w:r>
            <w:r w:rsidR="0040581C">
              <w:rPr>
                <w:rFonts w:cs="Times New Roman"/>
                <w:szCs w:val="24"/>
              </w:rPr>
              <w:t>s</w:t>
            </w:r>
            <w:r w:rsidRPr="0059022A">
              <w:rPr>
                <w:rFonts w:cs="Times New Roman"/>
                <w:szCs w:val="24"/>
              </w:rPr>
              <w:t xml:space="preserve"> un tiesības;</w:t>
            </w:r>
          </w:p>
          <w:p w14:paraId="6CD56545" w14:textId="77777777" w:rsidR="002E3392" w:rsidRPr="0059022A" w:rsidRDefault="002E3392" w:rsidP="002E3392">
            <w:pPr>
              <w:autoSpaceDE w:val="0"/>
              <w:autoSpaceDN w:val="0"/>
              <w:adjustRightInd w:val="0"/>
              <w:jc w:val="both"/>
              <w:rPr>
                <w:rFonts w:cs="Times New Roman"/>
                <w:szCs w:val="24"/>
              </w:rPr>
            </w:pPr>
            <w:r w:rsidRPr="0059022A">
              <w:rPr>
                <w:rFonts w:cs="Times New Roman"/>
                <w:szCs w:val="24"/>
              </w:rPr>
              <w:t>2) noteiktu likumā minimālās prasības, kādām jāatbilst Aizsardzības pārvaldes darbiniekam;</w:t>
            </w:r>
          </w:p>
          <w:p w14:paraId="6AEC5595" w14:textId="4A2BA623" w:rsidR="002E3392" w:rsidRDefault="002E3392" w:rsidP="002E3392">
            <w:pPr>
              <w:pStyle w:val="BodyTextIndent"/>
              <w:spacing w:after="0"/>
              <w:rPr>
                <w:b w:val="0"/>
              </w:rPr>
            </w:pPr>
            <w:r w:rsidRPr="00553F2C">
              <w:rPr>
                <w:b w:val="0"/>
              </w:rPr>
              <w:t xml:space="preserve">3) noteiktu Aizsardzības pārvaldes </w:t>
            </w:r>
            <w:r w:rsidR="0040581C">
              <w:rPr>
                <w:b w:val="0"/>
              </w:rPr>
              <w:t>pamat</w:t>
            </w:r>
            <w:r w:rsidRPr="00553F2C">
              <w:rPr>
                <w:b w:val="0"/>
              </w:rPr>
              <w:t>uzdevumiem, darbības specifikai un risku profilam atbilstošus ieroču un speciālo līdzekļu izmantošanas un pielietošanas nosacījumus.</w:t>
            </w:r>
          </w:p>
          <w:p w14:paraId="46B8AED9" w14:textId="079C29B9" w:rsidR="00996509" w:rsidRPr="0059022A" w:rsidRDefault="00E77941" w:rsidP="002E3392">
            <w:pPr>
              <w:pStyle w:val="BodyTextIndent"/>
              <w:spacing w:after="0"/>
              <w:rPr>
                <w:b w:val="0"/>
              </w:rPr>
            </w:pPr>
            <w:r w:rsidRPr="0059022A">
              <w:rPr>
                <w:b w:val="0"/>
              </w:rPr>
              <w:t xml:space="preserve">Aizsardzības pārvalde ir </w:t>
            </w:r>
            <w:r w:rsidR="00E6388A">
              <w:rPr>
                <w:b w:val="0"/>
              </w:rPr>
              <w:t xml:space="preserve">bruņota </w:t>
            </w:r>
            <w:r w:rsidR="00AC2D07" w:rsidRPr="0059022A">
              <w:rPr>
                <w:b w:val="0"/>
              </w:rPr>
              <w:t xml:space="preserve">Latvijas Bankas </w:t>
            </w:r>
            <w:r w:rsidRPr="0059022A">
              <w:rPr>
                <w:b w:val="0"/>
              </w:rPr>
              <w:t xml:space="preserve">struktūrvienība, kura nodrošina Latvijas Bankas </w:t>
            </w:r>
            <w:r w:rsidR="00AC2D07" w:rsidRPr="0059022A">
              <w:rPr>
                <w:b w:val="0"/>
              </w:rPr>
              <w:t xml:space="preserve">objektu aizsardzību pret fiziskiem apdraudējumiem un ar Latvijas Bankas objektu fizisko drošību saistīto risku analīzi un drošības pasākumu īstenošanu. </w:t>
            </w:r>
          </w:p>
          <w:p w14:paraId="36189F63" w14:textId="062D676C" w:rsidR="00396911" w:rsidRDefault="00AC2D07" w:rsidP="00396911">
            <w:pPr>
              <w:pStyle w:val="BodyTextIndent"/>
              <w:spacing w:after="0"/>
              <w:rPr>
                <w:b w:val="0"/>
              </w:rPr>
            </w:pPr>
            <w:r w:rsidRPr="0059022A">
              <w:rPr>
                <w:b w:val="0"/>
              </w:rPr>
              <w:t xml:space="preserve">Aizsardzības pārvalde </w:t>
            </w:r>
            <w:r w:rsidR="00EC6AFF">
              <w:rPr>
                <w:b w:val="0"/>
              </w:rPr>
              <w:t xml:space="preserve">šobrīd </w:t>
            </w:r>
            <w:r w:rsidR="00396911" w:rsidRPr="0059022A">
              <w:rPr>
                <w:b w:val="0"/>
              </w:rPr>
              <w:t xml:space="preserve">ir reģistrēta un darbojas </w:t>
            </w:r>
            <w:r w:rsidR="00C043F2" w:rsidRPr="0059022A">
              <w:rPr>
                <w:b w:val="0"/>
              </w:rPr>
              <w:t>kā iekšējās drošības dienests</w:t>
            </w:r>
            <w:r w:rsidR="00396911" w:rsidRPr="0059022A">
              <w:rPr>
                <w:b w:val="0"/>
              </w:rPr>
              <w:t xml:space="preserve"> atbilstoši Apsardzes darbības likumam</w:t>
            </w:r>
            <w:r w:rsidR="00EC6AFF">
              <w:rPr>
                <w:b w:val="0"/>
              </w:rPr>
              <w:t xml:space="preserve">, taču </w:t>
            </w:r>
            <w:r w:rsidR="00EC6AFF" w:rsidRPr="00EC6AFF">
              <w:rPr>
                <w:b w:val="0"/>
              </w:rPr>
              <w:t>Aizsardzības pārvaldes loma un darbības specifika pārsniedz Apsardzes darbības likumā regulētā iekšējās drošības dienesta funkcijas</w:t>
            </w:r>
            <w:r w:rsidR="00396911" w:rsidRPr="0059022A">
              <w:rPr>
                <w:b w:val="0"/>
              </w:rPr>
              <w:t>. Aizsardzības pārvalde</w:t>
            </w:r>
            <w:r w:rsidR="009907FD">
              <w:rPr>
                <w:b w:val="0"/>
              </w:rPr>
              <w:t>s</w:t>
            </w:r>
            <w:r w:rsidR="00396911" w:rsidRPr="0059022A">
              <w:rPr>
                <w:b w:val="0"/>
              </w:rPr>
              <w:t xml:space="preserve"> </w:t>
            </w:r>
            <w:r w:rsidR="009907FD">
              <w:rPr>
                <w:b w:val="0"/>
              </w:rPr>
              <w:t xml:space="preserve">darbība </w:t>
            </w:r>
            <w:r w:rsidR="00396911" w:rsidRPr="0059022A">
              <w:rPr>
                <w:b w:val="0"/>
              </w:rPr>
              <w:t xml:space="preserve">ir </w:t>
            </w:r>
            <w:r w:rsidR="009907FD">
              <w:rPr>
                <w:b w:val="0"/>
              </w:rPr>
              <w:t>regulē</w:t>
            </w:r>
            <w:r w:rsidR="009907FD" w:rsidRPr="0059022A">
              <w:rPr>
                <w:b w:val="0"/>
              </w:rPr>
              <w:t xml:space="preserve">ta </w:t>
            </w:r>
            <w:r w:rsidR="00396911" w:rsidRPr="0059022A">
              <w:rPr>
                <w:b w:val="0"/>
              </w:rPr>
              <w:t xml:space="preserve">arī </w:t>
            </w:r>
            <w:r w:rsidR="009907FD">
              <w:rPr>
                <w:b w:val="0"/>
              </w:rPr>
              <w:t>cit</w:t>
            </w:r>
            <w:r w:rsidR="009907FD" w:rsidRPr="0059022A">
              <w:rPr>
                <w:b w:val="0"/>
              </w:rPr>
              <w:t xml:space="preserve">os </w:t>
            </w:r>
            <w:r w:rsidR="00396911" w:rsidRPr="0059022A">
              <w:rPr>
                <w:b w:val="0"/>
              </w:rPr>
              <w:t xml:space="preserve">ārējos normatīvajos aktos, kuri tai </w:t>
            </w:r>
            <w:r w:rsidR="00106058" w:rsidRPr="0059022A">
              <w:rPr>
                <w:b w:val="0"/>
              </w:rPr>
              <w:t xml:space="preserve">cita starpā </w:t>
            </w:r>
            <w:r w:rsidR="00396911" w:rsidRPr="0059022A">
              <w:rPr>
                <w:b w:val="0"/>
              </w:rPr>
              <w:t>nosaka izņēmuma tiesības ieroču un speciālo līdzekļu aprites jomā, kā arī īpašu statusu valsts aizsardzības jomā.</w:t>
            </w:r>
            <w:r w:rsidR="00E313A7" w:rsidRPr="0059022A">
              <w:rPr>
                <w:b w:val="0"/>
              </w:rPr>
              <w:t xml:space="preserve"> </w:t>
            </w:r>
            <w:r w:rsidR="00EC6AFF" w:rsidRPr="00EC6AFF">
              <w:rPr>
                <w:b w:val="0"/>
              </w:rPr>
              <w:t>Aizsardzības pārvalde pēc būtības ir pieskaitāma valsts aizsardzības sektoram</w:t>
            </w:r>
            <w:r w:rsidR="00EC6AFF">
              <w:rPr>
                <w:b w:val="0"/>
              </w:rPr>
              <w:t>, jo</w:t>
            </w:r>
            <w:r w:rsidR="00EC6AFF" w:rsidRPr="0059022A">
              <w:rPr>
                <w:b w:val="0"/>
              </w:rPr>
              <w:t xml:space="preserve"> </w:t>
            </w:r>
            <w:r w:rsidR="00EC6AFF">
              <w:rPr>
                <w:b w:val="0"/>
              </w:rPr>
              <w:t>s</w:t>
            </w:r>
            <w:r w:rsidR="00396911" w:rsidRPr="0059022A">
              <w:rPr>
                <w:b w:val="0"/>
              </w:rPr>
              <w:t xml:space="preserve">askaņā ar Nacionālo bruņoto spēku likuma 3. panta trešo daļu kara laikā vai izņēmuma stāvoklī Aizsardzības pārvalde tiek iekļauta Nacionālo bruņoto spēku sastāvā. </w:t>
            </w:r>
            <w:r w:rsidR="005E63C2" w:rsidRPr="0059022A">
              <w:rPr>
                <w:b w:val="0"/>
              </w:rPr>
              <w:t>A</w:t>
            </w:r>
            <w:r w:rsidR="00396911" w:rsidRPr="0059022A">
              <w:rPr>
                <w:b w:val="0"/>
              </w:rPr>
              <w:t xml:space="preserve">tbilstoši </w:t>
            </w:r>
            <w:r w:rsidR="000C35B5">
              <w:rPr>
                <w:b w:val="0"/>
              </w:rPr>
              <w:t xml:space="preserve">ar Saeimas </w:t>
            </w:r>
            <w:r w:rsidR="005E63C2" w:rsidRPr="0059022A">
              <w:rPr>
                <w:b w:val="0"/>
              </w:rPr>
              <w:t>2012. gada 10. maij</w:t>
            </w:r>
            <w:r w:rsidR="000C35B5">
              <w:rPr>
                <w:b w:val="0"/>
              </w:rPr>
              <w:t>a lēmumu "Par Valsts aizsardzības koncepcijas apstiprināšanu"</w:t>
            </w:r>
            <w:r w:rsidR="005E63C2" w:rsidRPr="0059022A">
              <w:rPr>
                <w:b w:val="0"/>
              </w:rPr>
              <w:t xml:space="preserve"> apstiprinātās </w:t>
            </w:r>
            <w:r w:rsidR="00396911" w:rsidRPr="0059022A">
              <w:rPr>
                <w:b w:val="0"/>
              </w:rPr>
              <w:t xml:space="preserve">Valsts aizsardzības koncepcijas 28. punktam miera laikā Nacionālie bruņotie spēki, Aizsardzības pārvalde un Valsts robežsardze plāno savstarpējo savietojamību (bruņojuma, ekipējuma un sakaru nodrošināšanas jomā, kā arī apmācību jomā) un koordinē sadarbības mehānismus krīzes situācijām. </w:t>
            </w:r>
            <w:r w:rsidR="00F175DD">
              <w:rPr>
                <w:b w:val="0"/>
              </w:rPr>
              <w:t xml:space="preserve">Savukārt </w:t>
            </w:r>
            <w:r w:rsidR="00F175DD" w:rsidRPr="0059022A">
              <w:rPr>
                <w:b w:val="0"/>
              </w:rPr>
              <w:t xml:space="preserve">Ieroču un speciālo līdzekļu aprites likuma 10. panta otrā daļa </w:t>
            </w:r>
            <w:r w:rsidR="00756B26">
              <w:rPr>
                <w:b w:val="0"/>
              </w:rPr>
              <w:t xml:space="preserve">cita starpā </w:t>
            </w:r>
            <w:r w:rsidR="00F175DD" w:rsidRPr="0059022A">
              <w:rPr>
                <w:b w:val="0"/>
              </w:rPr>
              <w:t>nosaka, ka uz Aizsardzības pārvaldi neattiecas Ieroču un speciālo līdzekļu aprites likuma</w:t>
            </w:r>
            <w:r w:rsidR="00F175DD">
              <w:rPr>
                <w:b w:val="0"/>
              </w:rPr>
              <w:t xml:space="preserve"> </w:t>
            </w:r>
            <w:r w:rsidR="00F175DD" w:rsidRPr="0059022A">
              <w:rPr>
                <w:b w:val="0"/>
              </w:rPr>
              <w:t>9. panta trešajā daļā minētie ieroču, to sastāvdaļu, munīcijas un speciālo līdzekļu (izņemot koncentrētas virzītas enerģijas ieročus) iegādāšanās, glabāšanas, nēsāšanas, realizēšanas, izmantošanas un pielietošanas aizliegumi</w:t>
            </w:r>
            <w:r w:rsidR="00756B26">
              <w:rPr>
                <w:b w:val="0"/>
              </w:rPr>
              <w:t xml:space="preserve">. Līdz ar to </w:t>
            </w:r>
            <w:r w:rsidR="00756B26" w:rsidRPr="0059022A">
              <w:rPr>
                <w:b w:val="0"/>
              </w:rPr>
              <w:t xml:space="preserve">uz </w:t>
            </w:r>
            <w:r w:rsidR="00756B26" w:rsidRPr="0059022A">
              <w:rPr>
                <w:b w:val="0"/>
              </w:rPr>
              <w:lastRenderedPageBreak/>
              <w:t>Aizsardzības pārvaldi neattiecas</w:t>
            </w:r>
            <w:r w:rsidR="00756B26">
              <w:rPr>
                <w:b w:val="0"/>
              </w:rPr>
              <w:t xml:space="preserve"> arī </w:t>
            </w:r>
            <w:r w:rsidR="00756B26" w:rsidRPr="0059022A">
              <w:rPr>
                <w:b w:val="0"/>
              </w:rPr>
              <w:t>Ieroču un speciālo līdzekļu aprites likuma</w:t>
            </w:r>
            <w:r w:rsidR="00756B26">
              <w:rPr>
                <w:b w:val="0"/>
              </w:rPr>
              <w:t xml:space="preserve"> 9. panta treš</w:t>
            </w:r>
            <w:r w:rsidR="00756B26" w:rsidRPr="0059022A">
              <w:rPr>
                <w:b w:val="0"/>
              </w:rPr>
              <w:t>ā</w:t>
            </w:r>
            <w:r w:rsidR="00756B26">
              <w:rPr>
                <w:b w:val="0"/>
              </w:rPr>
              <w:t>s</w:t>
            </w:r>
            <w:r w:rsidR="00756B26" w:rsidRPr="0059022A">
              <w:rPr>
                <w:b w:val="0"/>
              </w:rPr>
              <w:t xml:space="preserve"> daļ</w:t>
            </w:r>
            <w:r w:rsidR="00756B26">
              <w:rPr>
                <w:b w:val="0"/>
              </w:rPr>
              <w:t>as 2. punktā minētais</w:t>
            </w:r>
            <w:r w:rsidR="00F175DD" w:rsidRPr="0059022A">
              <w:rPr>
                <w:b w:val="0"/>
              </w:rPr>
              <w:t xml:space="preserve"> aizliegums iegādāties, glabāt, nēsāt, realizēt, izmantot un pielietot A kategorijas ieročus, to munīciju un </w:t>
            </w:r>
            <w:r w:rsidR="00F175DD" w:rsidRPr="00EC6AFF">
              <w:rPr>
                <w:b w:val="0"/>
              </w:rPr>
              <w:t>sastāvdaļas.</w:t>
            </w:r>
          </w:p>
          <w:p w14:paraId="5042D65B" w14:textId="231DF531" w:rsidR="00EC6AFF" w:rsidRPr="00EC6AFF" w:rsidRDefault="00EC6AFF" w:rsidP="00B13490">
            <w:pPr>
              <w:autoSpaceDE w:val="0"/>
              <w:autoSpaceDN w:val="0"/>
              <w:adjustRightInd w:val="0"/>
              <w:jc w:val="both"/>
              <w:rPr>
                <w:b/>
              </w:rPr>
            </w:pPr>
            <w:r w:rsidRPr="00EC6AFF">
              <w:t xml:space="preserve">No </w:t>
            </w:r>
            <w:r w:rsidRPr="00B13490">
              <w:rPr>
                <w:rFonts w:cs="Times New Roman"/>
                <w:szCs w:val="24"/>
              </w:rPr>
              <w:t>citām</w:t>
            </w:r>
            <w:r w:rsidRPr="00EC6AFF">
              <w:t xml:space="preserve"> aizsardzības sektoram piederīgajām struktūrām Aizsardzības pārvalde atšķiras ar to, ka tai miera laikā ir specifiska pakļautības forma un uzdevums, proti, tā ir Latvijas Bankas struktūrvienība, kuras pamatuzdevumi ir nodrošināt Latvijas Bankas objektu aizsardzību pret fiziskiem apdraudējumiem un veikt ar Latvijas Bankas objektu fizisko drošību saistīto risku analīzi un drošības pasākumu īstenošanu. Lai nodrošinātu Aizsardzības pārvaldes gatavību jebkurā brīdī iekļauties Nacionālo bruņoto spēku sastāvā, Aizsardzības pārvaldes darbinieki tiek sagatavoti un apmācīti līdzvērtīgi profesionālā militārā dienesta prasībām, tādējādi pārsniedzot apsardzes darbiniekam nepieciešamo prasmju līmeni.</w:t>
            </w:r>
            <w:r>
              <w:t xml:space="preserve"> </w:t>
            </w:r>
            <w:r w:rsidRPr="00EC6AFF">
              <w:t xml:space="preserve">Aizsardzības pārvaldes </w:t>
            </w:r>
            <w:r>
              <w:t>pamatuzdevumu izpild</w:t>
            </w:r>
            <w:r w:rsidRPr="00EC6AFF">
              <w:t>i</w:t>
            </w:r>
            <w:r w:rsidR="00F163A8">
              <w:t xml:space="preserve"> raksturo</w:t>
            </w:r>
            <w:r w:rsidRPr="00EC6AFF">
              <w:t xml:space="preserve"> ļoti augst</w:t>
            </w:r>
            <w:r w:rsidR="00F163A8">
              <w:t>s</w:t>
            </w:r>
            <w:r w:rsidRPr="00EC6AFF">
              <w:t xml:space="preserve"> riska un atbildības līmeni</w:t>
            </w:r>
            <w:r w:rsidR="00F163A8">
              <w:t>s</w:t>
            </w:r>
            <w:r w:rsidRPr="00EC6AFF">
              <w:t>, jo to izpildes ietvaros ir jānodrošina liela apjoma naudas pārvadājumu</w:t>
            </w:r>
            <w:r w:rsidR="00F163A8">
              <w:t xml:space="preserve"> </w:t>
            </w:r>
            <w:r w:rsidRPr="00EC6AFF">
              <w:t>un kritiskās infrastruktūras statusā esošu objektu aizsardzība</w:t>
            </w:r>
            <w:r>
              <w:t>.</w:t>
            </w:r>
          </w:p>
          <w:p w14:paraId="4F80212E" w14:textId="77777777" w:rsidR="00EC6AFF" w:rsidRPr="0059022A" w:rsidRDefault="00EC6AFF" w:rsidP="00396911">
            <w:pPr>
              <w:pStyle w:val="BodyTextIndent"/>
              <w:spacing w:after="0"/>
              <w:rPr>
                <w:b w:val="0"/>
              </w:rPr>
            </w:pPr>
          </w:p>
          <w:p w14:paraId="568D6A49" w14:textId="7602AF5D" w:rsidR="003C47D3" w:rsidRDefault="00E313A7" w:rsidP="003C47D3">
            <w:pPr>
              <w:autoSpaceDE w:val="0"/>
              <w:autoSpaceDN w:val="0"/>
              <w:adjustRightInd w:val="0"/>
              <w:jc w:val="both"/>
              <w:rPr>
                <w:rFonts w:cs="Times New Roman"/>
                <w:szCs w:val="24"/>
              </w:rPr>
            </w:pPr>
            <w:r w:rsidRPr="0059022A">
              <w:rPr>
                <w:rFonts w:cs="Times New Roman"/>
                <w:szCs w:val="24"/>
              </w:rPr>
              <w:t>Likumprojekts paredz Aizsardzības pārvaldes pamatuzdevumu</w:t>
            </w:r>
            <w:r w:rsidR="00CE497E">
              <w:rPr>
                <w:rFonts w:cs="Times New Roman"/>
                <w:szCs w:val="24"/>
              </w:rPr>
              <w:t>s</w:t>
            </w:r>
            <w:r w:rsidRPr="0059022A">
              <w:rPr>
                <w:rFonts w:cs="Times New Roman"/>
                <w:szCs w:val="24"/>
              </w:rPr>
              <w:t xml:space="preserve"> un tiesības nostiprināt ārējā normatīvajā aktā </w:t>
            </w:r>
            <w:r w:rsidR="00051788" w:rsidRPr="0059022A">
              <w:rPr>
                <w:rFonts w:cs="Times New Roman"/>
                <w:szCs w:val="24"/>
              </w:rPr>
              <w:t>–</w:t>
            </w:r>
            <w:r w:rsidRPr="0059022A">
              <w:rPr>
                <w:rFonts w:cs="Times New Roman"/>
                <w:szCs w:val="24"/>
              </w:rPr>
              <w:t xml:space="preserve"> likumā "Par Latvijas Banku"</w:t>
            </w:r>
            <w:r w:rsidR="00051788" w:rsidRPr="0059022A">
              <w:rPr>
                <w:rFonts w:cs="Times New Roman"/>
                <w:szCs w:val="24"/>
              </w:rPr>
              <w:t>. Šobrīd Aizsardzības pārvalde ir vienīgā Ieroču un speciālo līdzekļu aprites likuma 10. panta otrajā daļā un</w:t>
            </w:r>
            <w:r w:rsidR="00F22D64">
              <w:rPr>
                <w:rFonts w:cs="Times New Roman"/>
                <w:szCs w:val="24"/>
              </w:rPr>
              <w:t xml:space="preserve"> </w:t>
            </w:r>
            <w:r w:rsidR="00051788" w:rsidRPr="0059022A">
              <w:rPr>
                <w:rFonts w:cs="Times New Roman"/>
                <w:szCs w:val="24"/>
              </w:rPr>
              <w:t xml:space="preserve">25. panta otrajā daļā minētā </w:t>
            </w:r>
            <w:r w:rsidR="00106058" w:rsidRPr="007B33A8">
              <w:rPr>
                <w:rFonts w:cs="Times New Roman"/>
                <w:szCs w:val="24"/>
              </w:rPr>
              <w:t>iestāde</w:t>
            </w:r>
            <w:r w:rsidR="00051788" w:rsidRPr="007B33A8">
              <w:rPr>
                <w:rFonts w:cs="Times New Roman"/>
                <w:szCs w:val="24"/>
              </w:rPr>
              <w:t xml:space="preserve"> (</w:t>
            </w:r>
            <w:r w:rsidR="00106058" w:rsidRPr="007B33A8">
              <w:rPr>
                <w:rFonts w:cs="Times New Roman"/>
                <w:szCs w:val="24"/>
              </w:rPr>
              <w:t xml:space="preserve">tās </w:t>
            </w:r>
            <w:r w:rsidR="00051788" w:rsidRPr="007B33A8">
              <w:rPr>
                <w:rFonts w:cs="Times New Roman"/>
                <w:szCs w:val="24"/>
              </w:rPr>
              <w:t>struktūr</w:t>
            </w:r>
            <w:r w:rsidR="00106058" w:rsidRPr="007B33A8">
              <w:rPr>
                <w:rFonts w:cs="Times New Roman"/>
                <w:szCs w:val="24"/>
              </w:rPr>
              <w:t>vienība</w:t>
            </w:r>
            <w:r w:rsidR="00051788" w:rsidRPr="007B33A8">
              <w:rPr>
                <w:rFonts w:cs="Times New Roman"/>
                <w:szCs w:val="24"/>
              </w:rPr>
              <w:t>)</w:t>
            </w:r>
            <w:r w:rsidR="00051788" w:rsidRPr="007D599F">
              <w:rPr>
                <w:rFonts w:cs="Times New Roman"/>
                <w:szCs w:val="24"/>
              </w:rPr>
              <w:t>,</w:t>
            </w:r>
            <w:r w:rsidR="00051788" w:rsidRPr="0059022A">
              <w:rPr>
                <w:rFonts w:cs="Times New Roman"/>
                <w:szCs w:val="24"/>
              </w:rPr>
              <w:t xml:space="preserve"> kurai ar likumu ir piešķirtas speciālas izņēmuma tiesības ieroču un speciālo līdzekļu aprites jomā, kā arī īpašs statuss valsts aizsardzības jomā, bet nav izdots speciāls ārējais normatīvais akts, kurš noteiktu tās pamatuzdevumu</w:t>
            </w:r>
            <w:r w:rsidR="00F22D64">
              <w:rPr>
                <w:rFonts w:cs="Times New Roman"/>
                <w:szCs w:val="24"/>
              </w:rPr>
              <w:t>s</w:t>
            </w:r>
            <w:r w:rsidR="00051788" w:rsidRPr="0059022A">
              <w:rPr>
                <w:rFonts w:cs="Times New Roman"/>
                <w:szCs w:val="24"/>
              </w:rPr>
              <w:t xml:space="preserve"> un ar t</w:t>
            </w:r>
            <w:r w:rsidR="00F22D64">
              <w:rPr>
                <w:rFonts w:cs="Times New Roman"/>
                <w:szCs w:val="24"/>
              </w:rPr>
              <w:t>o</w:t>
            </w:r>
            <w:r w:rsidR="00051788" w:rsidRPr="0059022A">
              <w:rPr>
                <w:rFonts w:cs="Times New Roman"/>
                <w:szCs w:val="24"/>
              </w:rPr>
              <w:t xml:space="preserve"> izpildi saistīto tiesību apjomu.</w:t>
            </w:r>
            <w:r w:rsidR="00FC56AD" w:rsidRPr="0059022A">
              <w:rPr>
                <w:rFonts w:cs="Times New Roman"/>
                <w:szCs w:val="24"/>
              </w:rPr>
              <w:t xml:space="preserve"> Aizsardzības pārvaldes pamatuzdevumu</w:t>
            </w:r>
            <w:r w:rsidR="00F22D64">
              <w:rPr>
                <w:rFonts w:cs="Times New Roman"/>
                <w:szCs w:val="24"/>
              </w:rPr>
              <w:t>s</w:t>
            </w:r>
            <w:r w:rsidR="00FC56AD" w:rsidRPr="0059022A">
              <w:rPr>
                <w:rFonts w:cs="Times New Roman"/>
                <w:szCs w:val="24"/>
              </w:rPr>
              <w:t xml:space="preserve"> un tiesības nostiprinot ārējā normatīvajā aktā, </w:t>
            </w:r>
            <w:r w:rsidR="003C47D3" w:rsidRPr="0059022A">
              <w:rPr>
                <w:rFonts w:cs="Times New Roman"/>
                <w:szCs w:val="24"/>
              </w:rPr>
              <w:t>t.sk. nepārprotami nosakot, ka Latvijas Bankai tās Aizsardzības pārvaldes pamatuzdevum</w:t>
            </w:r>
            <w:r w:rsidR="00F22D64">
              <w:rPr>
                <w:rFonts w:cs="Times New Roman"/>
                <w:szCs w:val="24"/>
              </w:rPr>
              <w:t>u</w:t>
            </w:r>
            <w:r w:rsidR="003C47D3" w:rsidRPr="0059022A">
              <w:rPr>
                <w:rFonts w:cs="Times New Roman"/>
                <w:szCs w:val="24"/>
              </w:rPr>
              <w:t xml:space="preserve"> veikšanas nodr</w:t>
            </w:r>
            <w:r w:rsidR="00615964" w:rsidRPr="0059022A">
              <w:rPr>
                <w:rFonts w:cs="Times New Roman"/>
                <w:szCs w:val="24"/>
              </w:rPr>
              <w:t>o</w:t>
            </w:r>
            <w:r w:rsidR="003C47D3" w:rsidRPr="0059022A">
              <w:rPr>
                <w:rFonts w:cs="Times New Roman"/>
                <w:szCs w:val="24"/>
              </w:rPr>
              <w:t xml:space="preserve">šināšanai ir tiesības iegādāties, glabāt, realizēt un savā darbībā izmantot ieročus, to munīciju un speciālos līdzekļus, </w:t>
            </w:r>
            <w:r w:rsidR="00FC56AD" w:rsidRPr="0059022A">
              <w:rPr>
                <w:rFonts w:cs="Times New Roman"/>
                <w:szCs w:val="24"/>
              </w:rPr>
              <w:t xml:space="preserve">tiks </w:t>
            </w:r>
            <w:r w:rsidR="00F175DD">
              <w:rPr>
                <w:rFonts w:cs="Times New Roman"/>
                <w:szCs w:val="24"/>
              </w:rPr>
              <w:t xml:space="preserve">nodrošināta juridiskā noteiktība </w:t>
            </w:r>
            <w:r w:rsidR="008D5AA3" w:rsidRPr="0059022A">
              <w:rPr>
                <w:rFonts w:cs="Times New Roman"/>
                <w:szCs w:val="24"/>
              </w:rPr>
              <w:t>saistībā ar</w:t>
            </w:r>
            <w:r w:rsidR="00FC56AD" w:rsidRPr="0059022A">
              <w:rPr>
                <w:rFonts w:cs="Times New Roman"/>
                <w:szCs w:val="24"/>
              </w:rPr>
              <w:t xml:space="preserve"> </w:t>
            </w:r>
            <w:r w:rsidR="003C47D3" w:rsidRPr="0059022A">
              <w:rPr>
                <w:rFonts w:cs="Times New Roman"/>
                <w:szCs w:val="24"/>
              </w:rPr>
              <w:t xml:space="preserve">Aizsardzības pārvaldes </w:t>
            </w:r>
            <w:r w:rsidR="00A86B79" w:rsidRPr="0059022A">
              <w:rPr>
                <w:rFonts w:cs="Times New Roman"/>
                <w:szCs w:val="24"/>
              </w:rPr>
              <w:t>tiesību apjomu</w:t>
            </w:r>
            <w:r w:rsidR="00FC56AD" w:rsidRPr="0059022A">
              <w:rPr>
                <w:rFonts w:cs="Times New Roman"/>
                <w:szCs w:val="24"/>
              </w:rPr>
              <w:t xml:space="preserve"> </w:t>
            </w:r>
            <w:r w:rsidR="003C47D3" w:rsidRPr="0059022A">
              <w:rPr>
                <w:rFonts w:cs="Times New Roman"/>
                <w:szCs w:val="24"/>
              </w:rPr>
              <w:t>Ieroču un speciālo līdzekļu aprites likuma regulējuma kontekstā</w:t>
            </w:r>
            <w:r w:rsidR="00FC56AD" w:rsidRPr="0059022A">
              <w:rPr>
                <w:rFonts w:cs="Times New Roman"/>
                <w:szCs w:val="24"/>
              </w:rPr>
              <w:t xml:space="preserve">. </w:t>
            </w:r>
            <w:r w:rsidR="003C47D3" w:rsidRPr="0059022A">
              <w:rPr>
                <w:rFonts w:cs="Times New Roman"/>
                <w:szCs w:val="24"/>
              </w:rPr>
              <w:t xml:space="preserve">Virknē Ieroču un speciālo līdzekļu aprites likuma normu tiek lietots formulējums </w:t>
            </w:r>
            <w:r w:rsidR="00615964" w:rsidRPr="0059022A">
              <w:rPr>
                <w:rFonts w:cs="Times New Roman"/>
                <w:szCs w:val="24"/>
              </w:rPr>
              <w:t>"</w:t>
            </w:r>
            <w:r w:rsidR="003C47D3" w:rsidRPr="0059022A">
              <w:rPr>
                <w:rFonts w:cs="Times New Roman"/>
                <w:szCs w:val="24"/>
              </w:rPr>
              <w:t>valsts un pašvaldību iestādēm, kurām tiesības iegādāties, glabāt un savā darbībā izmantot šaujamieročus piešķirtas saskaņā ar likumu</w:t>
            </w:r>
            <w:r w:rsidR="00615964" w:rsidRPr="0059022A">
              <w:rPr>
                <w:rFonts w:cs="Times New Roman"/>
                <w:szCs w:val="24"/>
              </w:rPr>
              <w:t xml:space="preserve">", kurš </w:t>
            </w:r>
            <w:r w:rsidR="00A86B79" w:rsidRPr="0059022A">
              <w:rPr>
                <w:rFonts w:cs="Times New Roman"/>
                <w:szCs w:val="24"/>
              </w:rPr>
              <w:t xml:space="preserve">pēc likumprojekta pieņemšanas būs viennozīmīgi attiecināms arī uz </w:t>
            </w:r>
            <w:r w:rsidR="003C47D3" w:rsidRPr="0059022A">
              <w:rPr>
                <w:rFonts w:cs="Times New Roman"/>
                <w:szCs w:val="24"/>
              </w:rPr>
              <w:t>Aizsardzības pārvaldi.</w:t>
            </w:r>
            <w:r w:rsidR="00174D6A">
              <w:rPr>
                <w:rFonts w:cs="Times New Roman"/>
                <w:szCs w:val="24"/>
              </w:rPr>
              <w:t xml:space="preserve"> Ja likumprojektā paredzētais regulējums netiek pieņemts, tad</w:t>
            </w:r>
            <w:r w:rsidR="00174D6A" w:rsidRPr="0059022A">
              <w:rPr>
                <w:rFonts w:cs="Times New Roman"/>
                <w:szCs w:val="24"/>
              </w:rPr>
              <w:t xml:space="preserve"> </w:t>
            </w:r>
            <w:r w:rsidR="00E306F9">
              <w:rPr>
                <w:rFonts w:cs="Times New Roman"/>
                <w:szCs w:val="24"/>
              </w:rPr>
              <w:t xml:space="preserve">attiecībā uz Aizsardzības pārvaldes darbību netiek </w:t>
            </w:r>
            <w:r w:rsidR="00B301CB">
              <w:rPr>
                <w:rFonts w:cs="Times New Roman"/>
                <w:szCs w:val="24"/>
              </w:rPr>
              <w:t>novērs</w:t>
            </w:r>
            <w:r w:rsidR="00E306F9">
              <w:rPr>
                <w:rFonts w:cs="Times New Roman"/>
                <w:szCs w:val="24"/>
              </w:rPr>
              <w:t xml:space="preserve">ts </w:t>
            </w:r>
            <w:r w:rsidR="00174D6A" w:rsidRPr="0059022A">
              <w:rPr>
                <w:rFonts w:cs="Times New Roman"/>
                <w:szCs w:val="24"/>
              </w:rPr>
              <w:t>Ieroču un speciālo līdzekļu aprites likum</w:t>
            </w:r>
            <w:r w:rsidR="006506DC">
              <w:rPr>
                <w:rFonts w:cs="Times New Roman"/>
                <w:szCs w:val="24"/>
              </w:rPr>
              <w:t xml:space="preserve">a 11. panta pirmajā daļā un 18. panta pirmās daļas 1. punktā </w:t>
            </w:r>
            <w:r w:rsidR="00174D6A" w:rsidRPr="0059022A">
              <w:rPr>
                <w:rFonts w:cs="Times New Roman"/>
                <w:szCs w:val="24"/>
              </w:rPr>
              <w:t>lietot</w:t>
            </w:r>
            <w:r w:rsidR="00E306F9">
              <w:rPr>
                <w:rFonts w:cs="Times New Roman"/>
                <w:szCs w:val="24"/>
              </w:rPr>
              <w:t>ā</w:t>
            </w:r>
            <w:r w:rsidR="00174D6A" w:rsidRPr="0059022A">
              <w:rPr>
                <w:rFonts w:cs="Times New Roman"/>
                <w:szCs w:val="24"/>
              </w:rPr>
              <w:t xml:space="preserve"> formulējum</w:t>
            </w:r>
            <w:r w:rsidR="00E306F9">
              <w:rPr>
                <w:rFonts w:cs="Times New Roman"/>
                <w:szCs w:val="24"/>
              </w:rPr>
              <w:t>a</w:t>
            </w:r>
            <w:r w:rsidR="00174D6A" w:rsidRPr="0059022A">
              <w:rPr>
                <w:rFonts w:cs="Times New Roman"/>
                <w:szCs w:val="24"/>
              </w:rPr>
              <w:t xml:space="preserve"> "valsts un pašvaldību iestādēm, kurām tiesības iegādāties, glabāt un savā darbībā izmantot šaujamieročus piešķirtas saskaņā ar likumu"</w:t>
            </w:r>
            <w:r w:rsidR="00174D6A">
              <w:rPr>
                <w:rFonts w:cs="Times New Roman"/>
                <w:szCs w:val="24"/>
              </w:rPr>
              <w:t xml:space="preserve"> </w:t>
            </w:r>
            <w:r w:rsidR="00E306F9">
              <w:rPr>
                <w:rFonts w:cs="Times New Roman"/>
                <w:szCs w:val="24"/>
              </w:rPr>
              <w:t xml:space="preserve">interpretācijas </w:t>
            </w:r>
            <w:r w:rsidR="00E306F9">
              <w:rPr>
                <w:rFonts w:cs="Times New Roman"/>
                <w:szCs w:val="24"/>
              </w:rPr>
              <w:lastRenderedPageBreak/>
              <w:t>risks. A</w:t>
            </w:r>
            <w:r w:rsidR="00174D6A">
              <w:rPr>
                <w:rFonts w:cs="Times New Roman"/>
                <w:szCs w:val="24"/>
              </w:rPr>
              <w:t xml:space="preserve">tbilstoši vienai no interpretācijām </w:t>
            </w:r>
            <w:r w:rsidR="00E306F9">
              <w:rPr>
                <w:rFonts w:cs="Times New Roman"/>
                <w:szCs w:val="24"/>
              </w:rPr>
              <w:t xml:space="preserve">minētais formulējums </w:t>
            </w:r>
            <w:r w:rsidR="00174D6A">
              <w:rPr>
                <w:rFonts w:cs="Times New Roman"/>
                <w:szCs w:val="24"/>
              </w:rPr>
              <w:t xml:space="preserve">nav attiecināms uz Aizsardzības </w:t>
            </w:r>
            <w:r w:rsidR="00174D6A" w:rsidRPr="003B12FE">
              <w:rPr>
                <w:rFonts w:cs="Times New Roman"/>
                <w:szCs w:val="24"/>
              </w:rPr>
              <w:t>pārvaldi, kā rezultātā var tikt apšaubītas Aizsardzības pārvaldes tiesības iegādāties, glabāt un savā darbībā izmantot šaujamieročus, lielas enerģijas pneimatiskos ieročus un to munīciju bez Valsts policijas atļaujas.</w:t>
            </w:r>
          </w:p>
          <w:p w14:paraId="55C08BF3" w14:textId="387083C7" w:rsidR="00FF7FF2" w:rsidRDefault="00FF7FF2" w:rsidP="003C47D3">
            <w:pPr>
              <w:autoSpaceDE w:val="0"/>
              <w:autoSpaceDN w:val="0"/>
              <w:adjustRightInd w:val="0"/>
              <w:jc w:val="both"/>
              <w:rPr>
                <w:rFonts w:cs="Times New Roman"/>
                <w:szCs w:val="24"/>
              </w:rPr>
            </w:pPr>
          </w:p>
          <w:p w14:paraId="1FF3E825" w14:textId="6E7A5DA9" w:rsidR="00A22175" w:rsidRDefault="00FF7FF2" w:rsidP="003C47D3">
            <w:pPr>
              <w:autoSpaceDE w:val="0"/>
              <w:autoSpaceDN w:val="0"/>
              <w:adjustRightInd w:val="0"/>
              <w:jc w:val="both"/>
              <w:rPr>
                <w:rFonts w:cs="Times New Roman"/>
                <w:szCs w:val="24"/>
              </w:rPr>
            </w:pPr>
            <w:r w:rsidRPr="0059022A">
              <w:rPr>
                <w:rFonts w:cs="Times New Roman"/>
                <w:szCs w:val="24"/>
              </w:rPr>
              <w:t>Ieroču un speciālo līdzekļu aprites likuma 25. panta otrā daļ</w:t>
            </w:r>
            <w:r>
              <w:rPr>
                <w:rFonts w:cs="Times New Roman"/>
                <w:szCs w:val="24"/>
              </w:rPr>
              <w:t xml:space="preserve">a nosaka, ka </w:t>
            </w:r>
            <w:proofErr w:type="spellStart"/>
            <w:r w:rsidRPr="00FF7FF2">
              <w:rPr>
                <w:rFonts w:cs="Times New Roman"/>
                <w:szCs w:val="24"/>
              </w:rPr>
              <w:t>Iekšlietu</w:t>
            </w:r>
            <w:proofErr w:type="spellEnd"/>
            <w:r w:rsidRPr="00FF7FF2">
              <w:rPr>
                <w:rFonts w:cs="Times New Roman"/>
                <w:szCs w:val="24"/>
              </w:rPr>
              <w:t xml:space="preserve"> ministrijas sistēmas iestāžu, valsts drošības iestāžu, Nacionālo bruņoto spēku, </w:t>
            </w:r>
            <w:proofErr w:type="spellStart"/>
            <w:r w:rsidRPr="00FF7FF2">
              <w:rPr>
                <w:rFonts w:cs="Times New Roman"/>
                <w:szCs w:val="24"/>
              </w:rPr>
              <w:t>Rekrutēšanas</w:t>
            </w:r>
            <w:proofErr w:type="spellEnd"/>
            <w:r w:rsidRPr="00FF7FF2">
              <w:rPr>
                <w:rFonts w:cs="Times New Roman"/>
                <w:szCs w:val="24"/>
              </w:rPr>
              <w:t xml:space="preserve"> un </w:t>
            </w:r>
            <w:proofErr w:type="spellStart"/>
            <w:r w:rsidRPr="00FF7FF2">
              <w:rPr>
                <w:rFonts w:cs="Times New Roman"/>
                <w:szCs w:val="24"/>
              </w:rPr>
              <w:t>jaunsardzes</w:t>
            </w:r>
            <w:proofErr w:type="spellEnd"/>
            <w:r w:rsidRPr="00FF7FF2">
              <w:rPr>
                <w:rFonts w:cs="Times New Roman"/>
                <w:szCs w:val="24"/>
              </w:rPr>
              <w:t xml:space="preserve"> centra, Latvijas Bankas Aizsardzības pārvaldes, Valsts ieņēmumu dienesta, Ieslodzījuma vietu pārvaldes, Korupcijas novēršanas un apkarošanas biroja, ostas policijas un pašvaldības policijas īpašumā (valdījumā) esošo ieroču un speciālo līdzekļu glabāšanas, nēsāšanas, izmantošanas un pielietošanas kārtību nosaka šo institūciju darbību reglamentējoši normatīvie akti, bet kārtību, kādā minētās institūcijas iegādājas un realizē ieročus, munīciju un speciālos līdzekļus, nosaka Ministru kabinets.</w:t>
            </w:r>
            <w:r>
              <w:rPr>
                <w:rFonts w:cs="Times New Roman"/>
                <w:szCs w:val="24"/>
              </w:rPr>
              <w:t xml:space="preserve"> </w:t>
            </w:r>
            <w:r w:rsidR="006E359B">
              <w:rPr>
                <w:rFonts w:cs="Times New Roman"/>
                <w:szCs w:val="24"/>
              </w:rPr>
              <w:t xml:space="preserve">Kārtībā, kādā </w:t>
            </w:r>
            <w:r w:rsidR="006E359B" w:rsidRPr="00FF7FF2">
              <w:rPr>
                <w:rFonts w:cs="Times New Roman"/>
                <w:szCs w:val="24"/>
              </w:rPr>
              <w:t xml:space="preserve">Aizsardzības pārvalde iegādājas un realizē ieročus, munīciju un speciālos līdzekļus, </w:t>
            </w:r>
            <w:r w:rsidR="008067BF">
              <w:rPr>
                <w:rFonts w:cs="Times New Roman"/>
                <w:szCs w:val="24"/>
              </w:rPr>
              <w:t>ir noteikta</w:t>
            </w:r>
            <w:r w:rsidR="006E359B">
              <w:rPr>
                <w:rFonts w:cs="Times New Roman"/>
                <w:szCs w:val="24"/>
              </w:rPr>
              <w:t xml:space="preserve"> Ministru kabineta 2016. gada 23. februāra noteikum</w:t>
            </w:r>
            <w:r w:rsidR="008067BF">
              <w:rPr>
                <w:rFonts w:cs="Times New Roman"/>
                <w:szCs w:val="24"/>
              </w:rPr>
              <w:t>os</w:t>
            </w:r>
            <w:r w:rsidR="006E359B">
              <w:rPr>
                <w:rFonts w:cs="Times New Roman"/>
                <w:szCs w:val="24"/>
              </w:rPr>
              <w:t xml:space="preserve"> Nr. 109 "</w:t>
            </w:r>
            <w:r w:rsidR="006E359B" w:rsidRPr="004D71FD">
              <w:rPr>
                <w:rFonts w:cs="Times New Roman"/>
                <w:szCs w:val="24"/>
              </w:rPr>
              <w:t>Kārtība, kādā valsts un pašvaldību iestādes iegādājas un realizē ieročus, munīciju un speciālos līdzekļu</w:t>
            </w:r>
            <w:r w:rsidR="006E359B">
              <w:rPr>
                <w:rFonts w:cs="Times New Roman"/>
                <w:szCs w:val="24"/>
              </w:rPr>
              <w:t xml:space="preserve">s", savukārt Aizsardzības pārvaldes rīcībā esošo </w:t>
            </w:r>
            <w:r w:rsidR="006E359B" w:rsidRPr="00FF7FF2">
              <w:rPr>
                <w:rFonts w:cs="Times New Roman"/>
                <w:szCs w:val="24"/>
              </w:rPr>
              <w:t>ieroču un speciālo līdzekļu glabāšanas, nēsāšanas, izmantošanas un pielietošanas kārtīb</w:t>
            </w:r>
            <w:r w:rsidR="008067BF">
              <w:rPr>
                <w:rFonts w:cs="Times New Roman"/>
                <w:szCs w:val="24"/>
              </w:rPr>
              <w:t xml:space="preserve">a </w:t>
            </w:r>
            <w:r w:rsidR="008441EE">
              <w:rPr>
                <w:rFonts w:cs="Times New Roman"/>
                <w:szCs w:val="24"/>
              </w:rPr>
              <w:t xml:space="preserve">šobrīd </w:t>
            </w:r>
            <w:r w:rsidR="008067BF">
              <w:rPr>
                <w:rFonts w:cs="Times New Roman"/>
                <w:szCs w:val="24"/>
              </w:rPr>
              <w:t>ir noteikta</w:t>
            </w:r>
            <w:r w:rsidR="006E359B" w:rsidRPr="00FF7FF2">
              <w:rPr>
                <w:rFonts w:cs="Times New Roman"/>
                <w:szCs w:val="24"/>
              </w:rPr>
              <w:t xml:space="preserve"> </w:t>
            </w:r>
            <w:r w:rsidR="006E359B">
              <w:rPr>
                <w:rFonts w:cs="Times New Roman"/>
                <w:szCs w:val="24"/>
              </w:rPr>
              <w:t>Latvijas Bankas iekšēj</w:t>
            </w:r>
            <w:r w:rsidR="008067BF">
              <w:rPr>
                <w:rFonts w:cs="Times New Roman"/>
                <w:szCs w:val="24"/>
              </w:rPr>
              <w:t>os</w:t>
            </w:r>
            <w:r w:rsidR="006E359B" w:rsidRPr="00FF7FF2">
              <w:rPr>
                <w:rFonts w:cs="Times New Roman"/>
                <w:szCs w:val="24"/>
              </w:rPr>
              <w:t xml:space="preserve"> normatīv</w:t>
            </w:r>
            <w:r w:rsidR="008067BF">
              <w:rPr>
                <w:rFonts w:cs="Times New Roman"/>
                <w:szCs w:val="24"/>
              </w:rPr>
              <w:t>ajos</w:t>
            </w:r>
            <w:r w:rsidR="006E359B" w:rsidRPr="00FF7FF2">
              <w:rPr>
                <w:rFonts w:cs="Times New Roman"/>
                <w:szCs w:val="24"/>
              </w:rPr>
              <w:t xml:space="preserve"> akt</w:t>
            </w:r>
            <w:r w:rsidR="008067BF">
              <w:rPr>
                <w:rFonts w:cs="Times New Roman"/>
                <w:szCs w:val="24"/>
              </w:rPr>
              <w:t>os</w:t>
            </w:r>
            <w:r w:rsidR="006E359B">
              <w:rPr>
                <w:rFonts w:cs="Times New Roman"/>
                <w:szCs w:val="24"/>
              </w:rPr>
              <w:t xml:space="preserve">. </w:t>
            </w:r>
            <w:r w:rsidR="008067BF">
              <w:rPr>
                <w:rFonts w:cs="Times New Roman"/>
                <w:szCs w:val="24"/>
              </w:rPr>
              <w:t>Likumprojektā ietvert</w:t>
            </w:r>
            <w:r w:rsidR="005B6874">
              <w:rPr>
                <w:rFonts w:cs="Times New Roman"/>
                <w:szCs w:val="24"/>
              </w:rPr>
              <w:t>ais</w:t>
            </w:r>
            <w:r w:rsidR="008067BF">
              <w:rPr>
                <w:rFonts w:cs="Times New Roman"/>
                <w:szCs w:val="24"/>
              </w:rPr>
              <w:t xml:space="preserve"> likuma 42.</w:t>
            </w:r>
            <w:r w:rsidR="008067BF" w:rsidRPr="004D71FD">
              <w:rPr>
                <w:rFonts w:cs="Times New Roman"/>
                <w:szCs w:val="24"/>
                <w:vertAlign w:val="superscript"/>
              </w:rPr>
              <w:t>2</w:t>
            </w:r>
            <w:r w:rsidR="008067BF">
              <w:rPr>
                <w:rFonts w:cs="Times New Roman"/>
                <w:szCs w:val="24"/>
              </w:rPr>
              <w:t xml:space="preserve"> panta otrās daļas regulējums ir nepieciešams, lai </w:t>
            </w:r>
            <w:r w:rsidR="00A22175">
              <w:rPr>
                <w:rFonts w:cs="Times New Roman"/>
                <w:szCs w:val="24"/>
              </w:rPr>
              <w:t xml:space="preserve">nodrošinātu </w:t>
            </w:r>
            <w:r w:rsidR="00CD7AE4">
              <w:rPr>
                <w:rFonts w:cs="Times New Roman"/>
                <w:szCs w:val="24"/>
              </w:rPr>
              <w:t xml:space="preserve">juridisko noteiktību kontekstā ar </w:t>
            </w:r>
            <w:r w:rsidR="00CD7AE4" w:rsidRPr="0059022A">
              <w:rPr>
                <w:rFonts w:cs="Times New Roman"/>
                <w:szCs w:val="24"/>
              </w:rPr>
              <w:t>Ieroču un speciālo līdzekļu aprites likuma 25. panta otrā</w:t>
            </w:r>
            <w:r w:rsidR="00CD7AE4">
              <w:rPr>
                <w:rFonts w:cs="Times New Roman"/>
                <w:szCs w:val="24"/>
              </w:rPr>
              <w:t>s</w:t>
            </w:r>
            <w:r w:rsidR="00CD7AE4" w:rsidRPr="0059022A">
              <w:rPr>
                <w:rFonts w:cs="Times New Roman"/>
                <w:szCs w:val="24"/>
              </w:rPr>
              <w:t xml:space="preserve"> daļ</w:t>
            </w:r>
            <w:r w:rsidR="00CD7AE4">
              <w:rPr>
                <w:rFonts w:cs="Times New Roman"/>
                <w:szCs w:val="24"/>
              </w:rPr>
              <w:t>as regulējumu</w:t>
            </w:r>
            <w:r w:rsidR="00A22175">
              <w:rPr>
                <w:rFonts w:cs="Times New Roman"/>
                <w:szCs w:val="24"/>
              </w:rPr>
              <w:t>, t.i., lai būtu viennozīmīgi saprotams:</w:t>
            </w:r>
          </w:p>
          <w:p w14:paraId="38CE5291" w14:textId="4A32C0AF" w:rsidR="00D1691C" w:rsidRDefault="00A22175" w:rsidP="003C47D3">
            <w:pPr>
              <w:autoSpaceDE w:val="0"/>
              <w:autoSpaceDN w:val="0"/>
              <w:adjustRightInd w:val="0"/>
              <w:jc w:val="both"/>
              <w:rPr>
                <w:rFonts w:cs="Times New Roman"/>
                <w:szCs w:val="24"/>
              </w:rPr>
            </w:pPr>
            <w:r>
              <w:rPr>
                <w:rFonts w:cs="Times New Roman"/>
                <w:szCs w:val="24"/>
              </w:rPr>
              <w:t xml:space="preserve">1) </w:t>
            </w:r>
            <w:r w:rsidR="00D1691C">
              <w:rPr>
                <w:rFonts w:cs="Times New Roman"/>
                <w:szCs w:val="24"/>
              </w:rPr>
              <w:t>kur</w:t>
            </w:r>
            <w:r w:rsidR="000E727C">
              <w:rPr>
                <w:rFonts w:cs="Times New Roman"/>
                <w:szCs w:val="24"/>
              </w:rPr>
              <w:t>i</w:t>
            </w:r>
            <w:r w:rsidR="00D1691C">
              <w:rPr>
                <w:rFonts w:cs="Times New Roman"/>
                <w:szCs w:val="24"/>
              </w:rPr>
              <w:t xml:space="preserve"> </w:t>
            </w:r>
            <w:r w:rsidR="00D1691C" w:rsidRPr="00FF7FF2">
              <w:rPr>
                <w:rFonts w:cs="Times New Roman"/>
                <w:szCs w:val="24"/>
              </w:rPr>
              <w:t>ieroču un speciālo līdzekļu glabāšanas, nēsāšanas, izmantošanas un pielietošanas</w:t>
            </w:r>
            <w:r w:rsidR="00D1691C">
              <w:rPr>
                <w:rFonts w:cs="Times New Roman"/>
                <w:szCs w:val="24"/>
              </w:rPr>
              <w:t xml:space="preserve"> kārtības jautājum</w:t>
            </w:r>
            <w:r w:rsidR="000E727C">
              <w:rPr>
                <w:rFonts w:cs="Times New Roman"/>
                <w:szCs w:val="24"/>
              </w:rPr>
              <w:t xml:space="preserve">i tiks noteikti likumā "Par Latvijas Banku", bet kuri – </w:t>
            </w:r>
            <w:r w:rsidR="00D1691C">
              <w:rPr>
                <w:rFonts w:cs="Times New Roman"/>
                <w:szCs w:val="24"/>
              </w:rPr>
              <w:t>Latvijas Bankas padome</w:t>
            </w:r>
            <w:r w:rsidR="003B0BB6">
              <w:rPr>
                <w:rFonts w:cs="Times New Roman"/>
                <w:szCs w:val="24"/>
              </w:rPr>
              <w:t>s noteikumos</w:t>
            </w:r>
            <w:r w:rsidR="00D1691C">
              <w:rPr>
                <w:rFonts w:cs="Times New Roman"/>
                <w:szCs w:val="24"/>
              </w:rPr>
              <w:t>;</w:t>
            </w:r>
          </w:p>
          <w:p w14:paraId="4F7C3605" w14:textId="3F0CB76E" w:rsidR="00FF7FF2" w:rsidRPr="0059022A" w:rsidRDefault="00D1691C" w:rsidP="00946D34">
            <w:pPr>
              <w:autoSpaceDE w:val="0"/>
              <w:autoSpaceDN w:val="0"/>
              <w:adjustRightInd w:val="0"/>
              <w:jc w:val="both"/>
              <w:rPr>
                <w:rFonts w:cs="Times New Roman"/>
                <w:szCs w:val="24"/>
              </w:rPr>
            </w:pPr>
            <w:r>
              <w:rPr>
                <w:rFonts w:cs="Times New Roman"/>
                <w:szCs w:val="24"/>
              </w:rPr>
              <w:t xml:space="preserve">2) ka </w:t>
            </w:r>
            <w:r w:rsidRPr="0059022A">
              <w:rPr>
                <w:rFonts w:cs="Times New Roman"/>
                <w:szCs w:val="24"/>
              </w:rPr>
              <w:t>Ieroču un speciālo līdzekļu aprites likuma 25. panta otr</w:t>
            </w:r>
            <w:r>
              <w:rPr>
                <w:rFonts w:cs="Times New Roman"/>
                <w:szCs w:val="24"/>
              </w:rPr>
              <w:t>aj</w:t>
            </w:r>
            <w:r w:rsidRPr="0059022A">
              <w:rPr>
                <w:rFonts w:cs="Times New Roman"/>
                <w:szCs w:val="24"/>
              </w:rPr>
              <w:t>ā daļ</w:t>
            </w:r>
            <w:r>
              <w:rPr>
                <w:rFonts w:cs="Times New Roman"/>
                <w:szCs w:val="24"/>
              </w:rPr>
              <w:t>ā minētais jēdziens "</w:t>
            </w:r>
            <w:r w:rsidRPr="00FF7FF2">
              <w:rPr>
                <w:rFonts w:cs="Times New Roman"/>
                <w:szCs w:val="24"/>
              </w:rPr>
              <w:t>institūciju darbību reglamentējoši normatīvie akti</w:t>
            </w:r>
            <w:r>
              <w:rPr>
                <w:rFonts w:cs="Times New Roman"/>
                <w:szCs w:val="24"/>
              </w:rPr>
              <w:t>" Latvijas Bankas gadījumā aptver</w:t>
            </w:r>
            <w:r w:rsidR="003D0C27">
              <w:rPr>
                <w:rFonts w:cs="Times New Roman"/>
                <w:szCs w:val="24"/>
              </w:rPr>
              <w:t>s</w:t>
            </w:r>
            <w:r>
              <w:rPr>
                <w:rFonts w:cs="Times New Roman"/>
                <w:szCs w:val="24"/>
              </w:rPr>
              <w:t xml:space="preserve"> gan likumu "Par Latvijas Banku"</w:t>
            </w:r>
            <w:r w:rsidR="00CF2DF1">
              <w:rPr>
                <w:rFonts w:cs="Times New Roman"/>
                <w:szCs w:val="24"/>
              </w:rPr>
              <w:t>, gan likumprojektā minētos Latvijas Bankas padomes noteikumus</w:t>
            </w:r>
            <w:r w:rsidR="00C471D3">
              <w:rPr>
                <w:rFonts w:cs="Times New Roman"/>
                <w:szCs w:val="24"/>
              </w:rPr>
              <w:t>.</w:t>
            </w:r>
          </w:p>
          <w:p w14:paraId="0A334FF5" w14:textId="5BC42978" w:rsidR="008D5AA3" w:rsidRDefault="008D5AA3" w:rsidP="00E313A7">
            <w:pPr>
              <w:autoSpaceDE w:val="0"/>
              <w:autoSpaceDN w:val="0"/>
              <w:adjustRightInd w:val="0"/>
              <w:jc w:val="both"/>
              <w:rPr>
                <w:rFonts w:cs="Times New Roman"/>
                <w:szCs w:val="24"/>
              </w:rPr>
            </w:pPr>
          </w:p>
          <w:p w14:paraId="0F77BC29" w14:textId="6472C996" w:rsidR="00F22D64" w:rsidRDefault="00F22D64" w:rsidP="00E313A7">
            <w:pPr>
              <w:autoSpaceDE w:val="0"/>
              <w:autoSpaceDN w:val="0"/>
              <w:adjustRightInd w:val="0"/>
              <w:jc w:val="both"/>
              <w:rPr>
                <w:rFonts w:cs="Times New Roman"/>
                <w:szCs w:val="24"/>
              </w:rPr>
            </w:pPr>
            <w:r>
              <w:rPr>
                <w:rFonts w:cs="Times New Roman"/>
                <w:szCs w:val="24"/>
              </w:rPr>
              <w:t xml:space="preserve">Papildus likumprojektā minētajiem pamatuzdevumiem Aizsardzības pārvalde </w:t>
            </w:r>
            <w:r w:rsidR="00017D77">
              <w:rPr>
                <w:rFonts w:cs="Times New Roman"/>
                <w:szCs w:val="24"/>
              </w:rPr>
              <w:t>veic</w:t>
            </w:r>
            <w:r>
              <w:rPr>
                <w:rFonts w:cs="Times New Roman"/>
                <w:szCs w:val="24"/>
              </w:rPr>
              <w:t xml:space="preserve"> arī citus uzdevumus, kuri tai noteikti Latvijas Bankas iekšējos normatīvajos aktos</w:t>
            </w:r>
            <w:r w:rsidR="00703650">
              <w:rPr>
                <w:rFonts w:cs="Times New Roman"/>
                <w:szCs w:val="24"/>
              </w:rPr>
              <w:t xml:space="preserve"> un kuru </w:t>
            </w:r>
            <w:r w:rsidR="00017D77">
              <w:rPr>
                <w:rFonts w:cs="Times New Roman"/>
                <w:szCs w:val="24"/>
              </w:rPr>
              <w:t>veik</w:t>
            </w:r>
            <w:r w:rsidR="00703650">
              <w:rPr>
                <w:rFonts w:cs="Times New Roman"/>
                <w:szCs w:val="24"/>
              </w:rPr>
              <w:t xml:space="preserve">šanai nav nepieciešams </w:t>
            </w:r>
            <w:r w:rsidR="00843E0D">
              <w:rPr>
                <w:rFonts w:cs="Times New Roman"/>
                <w:szCs w:val="24"/>
              </w:rPr>
              <w:t>izmantot</w:t>
            </w:r>
            <w:r w:rsidR="00703650">
              <w:rPr>
                <w:rFonts w:cs="Times New Roman"/>
                <w:szCs w:val="24"/>
              </w:rPr>
              <w:t xml:space="preserve"> likumprojektā paredzētās Aizsardzības pārvaldes un tās darbinieka tiesības</w:t>
            </w:r>
            <w:r w:rsidR="0043306A">
              <w:rPr>
                <w:rFonts w:cs="Times New Roman"/>
                <w:szCs w:val="24"/>
              </w:rPr>
              <w:t xml:space="preserve"> (piemēram, </w:t>
            </w:r>
            <w:r w:rsidR="0043306A">
              <w:t>ugunsdrošības prasību ievērošanas kontrole</w:t>
            </w:r>
            <w:r w:rsidR="0043306A">
              <w:rPr>
                <w:rFonts w:cs="Times New Roman"/>
                <w:szCs w:val="24"/>
              </w:rPr>
              <w:t>)</w:t>
            </w:r>
            <w:r w:rsidR="00703650">
              <w:rPr>
                <w:rFonts w:cs="Times New Roman"/>
                <w:szCs w:val="24"/>
              </w:rPr>
              <w:t xml:space="preserve">. </w:t>
            </w:r>
          </w:p>
          <w:p w14:paraId="1D4D500E" w14:textId="77777777" w:rsidR="00F22D64" w:rsidRPr="0059022A" w:rsidRDefault="00F22D64" w:rsidP="00E313A7">
            <w:pPr>
              <w:autoSpaceDE w:val="0"/>
              <w:autoSpaceDN w:val="0"/>
              <w:adjustRightInd w:val="0"/>
              <w:jc w:val="both"/>
              <w:rPr>
                <w:rFonts w:cs="Times New Roman"/>
                <w:szCs w:val="24"/>
              </w:rPr>
            </w:pPr>
          </w:p>
          <w:p w14:paraId="73036E79" w14:textId="5FF6F87A" w:rsidR="00820733" w:rsidRDefault="004865FA" w:rsidP="004865FA">
            <w:pPr>
              <w:autoSpaceDE w:val="0"/>
              <w:autoSpaceDN w:val="0"/>
              <w:adjustRightInd w:val="0"/>
              <w:jc w:val="both"/>
              <w:rPr>
                <w:rFonts w:cs="Times New Roman"/>
                <w:szCs w:val="24"/>
              </w:rPr>
            </w:pPr>
            <w:r w:rsidRPr="0059022A">
              <w:rPr>
                <w:rFonts w:cs="Times New Roman"/>
                <w:szCs w:val="24"/>
              </w:rPr>
              <w:t xml:space="preserve">Likumprojekts paredz noteikt likumā "Par Latvijas Banku" minimālās prasības, kādām jāatbilst Aizsardzības pārvaldes </w:t>
            </w:r>
            <w:r w:rsidRPr="0059022A">
              <w:rPr>
                <w:rFonts w:cs="Times New Roman"/>
                <w:szCs w:val="24"/>
              </w:rPr>
              <w:lastRenderedPageBreak/>
              <w:t xml:space="preserve">darbiniekam. </w:t>
            </w:r>
            <w:r w:rsidR="00820733">
              <w:rPr>
                <w:rFonts w:cs="Times New Roman"/>
                <w:szCs w:val="24"/>
              </w:rPr>
              <w:t xml:space="preserve">Tā kā dažādu </w:t>
            </w:r>
            <w:r w:rsidR="00820733" w:rsidRPr="0059022A">
              <w:rPr>
                <w:rFonts w:cs="Times New Roman"/>
                <w:szCs w:val="24"/>
              </w:rPr>
              <w:t>Aizsardzības pārvaldes darbiniek</w:t>
            </w:r>
            <w:r w:rsidR="00820733">
              <w:rPr>
                <w:rFonts w:cs="Times New Roman"/>
                <w:szCs w:val="24"/>
              </w:rPr>
              <w:t xml:space="preserve">u amatu pienākumi savstarpēji atšķiras, kā arī, lai nodrošinātu iespēju nepieciešamības gadījumā </w:t>
            </w:r>
            <w:r w:rsidR="008549A1">
              <w:rPr>
                <w:rFonts w:cs="Times New Roman"/>
                <w:szCs w:val="24"/>
              </w:rPr>
              <w:t xml:space="preserve">konkrētam </w:t>
            </w:r>
            <w:r w:rsidR="00820733">
              <w:rPr>
                <w:rFonts w:cs="Times New Roman"/>
                <w:szCs w:val="24"/>
              </w:rPr>
              <w:t>amatam izvirzāmās prasības paplašināt</w:t>
            </w:r>
            <w:r w:rsidR="00DB623D">
              <w:rPr>
                <w:rFonts w:cs="Times New Roman"/>
                <w:szCs w:val="24"/>
              </w:rPr>
              <w:t xml:space="preserve"> vai precizēt</w:t>
            </w:r>
            <w:r w:rsidR="00820733">
              <w:rPr>
                <w:rFonts w:cs="Times New Roman"/>
                <w:szCs w:val="24"/>
              </w:rPr>
              <w:t xml:space="preserve">, likumprojekts aptver </w:t>
            </w:r>
            <w:r w:rsidR="008549A1">
              <w:rPr>
                <w:rFonts w:cs="Times New Roman"/>
                <w:szCs w:val="24"/>
              </w:rPr>
              <w:t>tikai minimālās prasības, kādas izvirzāmas</w:t>
            </w:r>
            <w:r w:rsidR="00820733">
              <w:rPr>
                <w:rFonts w:cs="Times New Roman"/>
                <w:szCs w:val="24"/>
              </w:rPr>
              <w:t xml:space="preserve"> </w:t>
            </w:r>
            <w:r w:rsidR="00484EB0">
              <w:rPr>
                <w:rFonts w:cs="Times New Roman"/>
                <w:szCs w:val="24"/>
              </w:rPr>
              <w:t>ikvienam</w:t>
            </w:r>
            <w:r w:rsidR="00DB623D">
              <w:rPr>
                <w:rFonts w:cs="Times New Roman"/>
                <w:szCs w:val="24"/>
              </w:rPr>
              <w:t xml:space="preserve"> </w:t>
            </w:r>
            <w:r w:rsidR="00820733" w:rsidRPr="0059022A">
              <w:rPr>
                <w:rFonts w:cs="Times New Roman"/>
                <w:szCs w:val="24"/>
              </w:rPr>
              <w:t>Aizsardzības pārvaldes darbiniekam</w:t>
            </w:r>
            <w:r w:rsidR="008549A1">
              <w:rPr>
                <w:rFonts w:cs="Times New Roman"/>
                <w:szCs w:val="24"/>
              </w:rPr>
              <w:t>.</w:t>
            </w:r>
          </w:p>
          <w:p w14:paraId="3CAB1D39" w14:textId="77777777" w:rsidR="00820733" w:rsidRDefault="00820733" w:rsidP="004865FA">
            <w:pPr>
              <w:autoSpaceDE w:val="0"/>
              <w:autoSpaceDN w:val="0"/>
              <w:adjustRightInd w:val="0"/>
              <w:jc w:val="both"/>
              <w:rPr>
                <w:rFonts w:cs="Times New Roman"/>
                <w:szCs w:val="24"/>
              </w:rPr>
            </w:pPr>
          </w:p>
          <w:p w14:paraId="12484D15" w14:textId="7F1C33E8" w:rsidR="0088321A" w:rsidRDefault="00684239" w:rsidP="004865FA">
            <w:pPr>
              <w:autoSpaceDE w:val="0"/>
              <w:autoSpaceDN w:val="0"/>
              <w:adjustRightInd w:val="0"/>
              <w:jc w:val="both"/>
              <w:rPr>
                <w:rFonts w:cs="Times New Roman"/>
                <w:szCs w:val="24"/>
              </w:rPr>
            </w:pPr>
            <w:r w:rsidRPr="0059022A">
              <w:rPr>
                <w:rFonts w:cs="Times New Roman"/>
                <w:szCs w:val="24"/>
              </w:rPr>
              <w:t xml:space="preserve">Likumprojekta mērķis ir </w:t>
            </w:r>
            <w:r w:rsidR="00A86B79" w:rsidRPr="0059022A">
              <w:rPr>
                <w:rFonts w:cs="Times New Roman"/>
                <w:szCs w:val="24"/>
              </w:rPr>
              <w:t>noteikt tādu</w:t>
            </w:r>
            <w:r w:rsidRPr="0059022A">
              <w:rPr>
                <w:rFonts w:cs="Times New Roman"/>
                <w:szCs w:val="24"/>
              </w:rPr>
              <w:t xml:space="preserve"> </w:t>
            </w:r>
            <w:r w:rsidR="00781B97" w:rsidRPr="0059022A">
              <w:rPr>
                <w:rFonts w:cs="Times New Roman"/>
                <w:szCs w:val="24"/>
              </w:rPr>
              <w:t xml:space="preserve">Aizsardzības pārvaldes darbiniekam izvirzāmo </w:t>
            </w:r>
            <w:r w:rsidR="00A86B79" w:rsidRPr="0059022A">
              <w:rPr>
                <w:rFonts w:cs="Times New Roman"/>
                <w:szCs w:val="24"/>
              </w:rPr>
              <w:t xml:space="preserve">minimālo </w:t>
            </w:r>
            <w:r w:rsidR="00781B97" w:rsidRPr="0059022A">
              <w:rPr>
                <w:rFonts w:cs="Times New Roman"/>
                <w:szCs w:val="24"/>
              </w:rPr>
              <w:t xml:space="preserve">prasību līmeni, </w:t>
            </w:r>
            <w:r w:rsidR="00A86B79" w:rsidRPr="0059022A">
              <w:rPr>
                <w:rFonts w:cs="Times New Roman"/>
                <w:szCs w:val="24"/>
              </w:rPr>
              <w:t xml:space="preserve">kas </w:t>
            </w:r>
            <w:r w:rsidR="00795BE9">
              <w:rPr>
                <w:rFonts w:cs="Times New Roman"/>
                <w:szCs w:val="24"/>
              </w:rPr>
              <w:t xml:space="preserve">mazina </w:t>
            </w:r>
            <w:r w:rsidR="00834EB2">
              <w:rPr>
                <w:rFonts w:cs="Times New Roman"/>
                <w:szCs w:val="24"/>
              </w:rPr>
              <w:t xml:space="preserve">drošības riskus, kas saistīti ar Aizsardzības pārvaldē nodarbināmo personu uzticamību un </w:t>
            </w:r>
            <w:r w:rsidR="00C84C41">
              <w:rPr>
                <w:rFonts w:cs="Times New Roman"/>
                <w:szCs w:val="24"/>
              </w:rPr>
              <w:t xml:space="preserve">iespējamo </w:t>
            </w:r>
            <w:r w:rsidR="00834EB2">
              <w:rPr>
                <w:rFonts w:cs="Times New Roman"/>
                <w:szCs w:val="24"/>
              </w:rPr>
              <w:t xml:space="preserve">agrāko </w:t>
            </w:r>
            <w:r w:rsidR="00D82FF5">
              <w:rPr>
                <w:rFonts w:cs="Times New Roman"/>
                <w:szCs w:val="24"/>
              </w:rPr>
              <w:t xml:space="preserve">kriminālo vai administratīvo </w:t>
            </w:r>
            <w:r w:rsidR="00834EB2">
              <w:rPr>
                <w:rFonts w:cs="Times New Roman"/>
                <w:szCs w:val="24"/>
              </w:rPr>
              <w:t xml:space="preserve">sodāmību, un </w:t>
            </w:r>
            <w:r w:rsidR="00A86B79" w:rsidRPr="0059022A">
              <w:rPr>
                <w:rFonts w:cs="Times New Roman"/>
                <w:szCs w:val="24"/>
              </w:rPr>
              <w:t xml:space="preserve">ir pietuvināts </w:t>
            </w:r>
            <w:r w:rsidR="00781B97" w:rsidRPr="0059022A">
              <w:rPr>
                <w:rFonts w:cs="Times New Roman"/>
                <w:szCs w:val="24"/>
              </w:rPr>
              <w:t>militārā dienesta prasību līmenim</w:t>
            </w:r>
            <w:r w:rsidR="00167BF0">
              <w:rPr>
                <w:rFonts w:cs="Times New Roman"/>
                <w:szCs w:val="24"/>
              </w:rPr>
              <w:t xml:space="preserve">, tādējādi arī </w:t>
            </w:r>
            <w:r w:rsidR="00167BF0">
              <w:t>nodrošinot</w:t>
            </w:r>
            <w:r w:rsidR="00167BF0" w:rsidRPr="0059022A">
              <w:t xml:space="preserve"> Aizsardzības pārvaldes gatavīb</w:t>
            </w:r>
            <w:r w:rsidR="00167BF0">
              <w:t>u</w:t>
            </w:r>
            <w:r w:rsidR="00167BF0" w:rsidRPr="0059022A">
              <w:t xml:space="preserve"> iekļauties Nacionālajos bruņotajos spēkos kara laikā vai izņēmuma stāvoklī</w:t>
            </w:r>
            <w:r w:rsidR="00F33DF6" w:rsidRPr="0059022A">
              <w:rPr>
                <w:rFonts w:cs="Times New Roman"/>
                <w:szCs w:val="24"/>
              </w:rPr>
              <w:t xml:space="preserve">. </w:t>
            </w:r>
            <w:r w:rsidR="00B3675C" w:rsidRPr="00B3675C">
              <w:rPr>
                <w:rFonts w:cs="Times New Roman"/>
                <w:szCs w:val="24"/>
              </w:rPr>
              <w:t>Likumprojektā</w:t>
            </w:r>
            <w:r w:rsidR="00B3675C">
              <w:rPr>
                <w:rFonts w:cs="Times New Roman"/>
                <w:szCs w:val="24"/>
              </w:rPr>
              <w:t xml:space="preserve"> ietvertā likuma 42.</w:t>
            </w:r>
            <w:r w:rsidR="00B3675C" w:rsidRPr="00C12DCA">
              <w:rPr>
                <w:rFonts w:cs="Times New Roman"/>
                <w:szCs w:val="24"/>
                <w:vertAlign w:val="superscript"/>
              </w:rPr>
              <w:t>3</w:t>
            </w:r>
            <w:r w:rsidR="00B3675C">
              <w:rPr>
                <w:rFonts w:cs="Times New Roman"/>
                <w:szCs w:val="24"/>
                <w:vertAlign w:val="superscript"/>
              </w:rPr>
              <w:t xml:space="preserve"> </w:t>
            </w:r>
            <w:r w:rsidR="00B3675C">
              <w:rPr>
                <w:rFonts w:cs="Times New Roman"/>
                <w:szCs w:val="24"/>
              </w:rPr>
              <w:t xml:space="preserve">panta 1. punktā paredzētā </w:t>
            </w:r>
            <w:r w:rsidR="00B3675C" w:rsidRPr="0059022A">
              <w:rPr>
                <w:rFonts w:cs="Times New Roman"/>
                <w:szCs w:val="24"/>
              </w:rPr>
              <w:t>Aizsardzības pārvaldes dar</w:t>
            </w:r>
            <w:r w:rsidR="00B3675C">
              <w:rPr>
                <w:rFonts w:cs="Times New Roman"/>
                <w:szCs w:val="24"/>
              </w:rPr>
              <w:t>biniekam izvirzāmā</w:t>
            </w:r>
            <w:r w:rsidR="00B3675C" w:rsidRPr="0059022A">
              <w:rPr>
                <w:rFonts w:cs="Times New Roman"/>
                <w:szCs w:val="24"/>
              </w:rPr>
              <w:t xml:space="preserve"> </w:t>
            </w:r>
            <w:r w:rsidR="00B3675C">
              <w:rPr>
                <w:rFonts w:cs="Times New Roman"/>
                <w:szCs w:val="24"/>
              </w:rPr>
              <w:t xml:space="preserve">prasība "ir Latvijas Republikas pilsonis" noteikta ņemot vērā to, ka </w:t>
            </w:r>
            <w:r w:rsidR="00B3675C" w:rsidRPr="0059022A">
              <w:t>kara laikā vai izņēmuma stāvoklī Aizsardzības pārvalde tiek iekļauta Nacionālo bruņoto spēku sastāvā</w:t>
            </w:r>
            <w:r w:rsidR="00B3675C">
              <w:t>, kurā atbilstoši Militārā dienesta likumam var dienēt tikai Latvijas Republikas pilsonis</w:t>
            </w:r>
            <w:r w:rsidR="00B3675C" w:rsidRPr="00730C2B">
              <w:t xml:space="preserve">. </w:t>
            </w:r>
            <w:r w:rsidR="00B04ABD" w:rsidRPr="00730C2B">
              <w:rPr>
                <w:rFonts w:cs="Times New Roman"/>
                <w:szCs w:val="24"/>
              </w:rPr>
              <w:t>Likumprojektā ietvertaj</w:t>
            </w:r>
            <w:r w:rsidR="00983AEE" w:rsidRPr="00730C2B">
              <w:rPr>
                <w:rFonts w:cs="Times New Roman"/>
                <w:szCs w:val="24"/>
              </w:rPr>
              <w:t>ā likuma 42.</w:t>
            </w:r>
            <w:r w:rsidR="00983AEE" w:rsidRPr="00730C2B">
              <w:rPr>
                <w:rFonts w:cs="Times New Roman"/>
                <w:szCs w:val="24"/>
                <w:vertAlign w:val="superscript"/>
              </w:rPr>
              <w:t xml:space="preserve">3 </w:t>
            </w:r>
            <w:r w:rsidR="00983AEE" w:rsidRPr="00730C2B">
              <w:rPr>
                <w:rFonts w:cs="Times New Roman"/>
                <w:szCs w:val="24"/>
              </w:rPr>
              <w:t xml:space="preserve">panta </w:t>
            </w:r>
            <w:r w:rsidR="0088321A" w:rsidRPr="00730C2B">
              <w:rPr>
                <w:rFonts w:cs="Times New Roman"/>
                <w:szCs w:val="24"/>
              </w:rPr>
              <w:t>2</w:t>
            </w:r>
            <w:r w:rsidR="00983AEE" w:rsidRPr="00730C2B">
              <w:rPr>
                <w:rFonts w:cs="Times New Roman"/>
                <w:szCs w:val="24"/>
              </w:rPr>
              <w:t>.</w:t>
            </w:r>
            <w:r w:rsidR="00730C2B" w:rsidRPr="00730C2B">
              <w:rPr>
                <w:rFonts w:cs="Times New Roman"/>
                <w:szCs w:val="24"/>
              </w:rPr>
              <w:t>,</w:t>
            </w:r>
            <w:r w:rsidR="00983AEE" w:rsidRPr="00730C2B">
              <w:rPr>
                <w:rFonts w:cs="Times New Roman"/>
                <w:szCs w:val="24"/>
              </w:rPr>
              <w:t xml:space="preserve"> </w:t>
            </w:r>
            <w:r w:rsidR="0088321A" w:rsidRPr="00730C2B">
              <w:rPr>
                <w:rFonts w:cs="Times New Roman"/>
                <w:szCs w:val="24"/>
              </w:rPr>
              <w:t>3</w:t>
            </w:r>
            <w:r w:rsidR="00983AEE" w:rsidRPr="00730C2B">
              <w:rPr>
                <w:rFonts w:cs="Times New Roman"/>
                <w:szCs w:val="24"/>
              </w:rPr>
              <w:t xml:space="preserve">. </w:t>
            </w:r>
            <w:r w:rsidR="00730C2B" w:rsidRPr="00730C2B">
              <w:rPr>
                <w:rFonts w:cs="Times New Roman"/>
                <w:szCs w:val="24"/>
              </w:rPr>
              <w:t xml:space="preserve">un 4. </w:t>
            </w:r>
            <w:r w:rsidR="00983AEE" w:rsidRPr="00730C2B">
              <w:rPr>
                <w:rFonts w:cs="Times New Roman"/>
                <w:szCs w:val="24"/>
              </w:rPr>
              <w:t xml:space="preserve">punktā </w:t>
            </w:r>
            <w:r w:rsidR="007C06BC" w:rsidRPr="00730C2B">
              <w:rPr>
                <w:rFonts w:cs="Times New Roman"/>
                <w:szCs w:val="24"/>
              </w:rPr>
              <w:t>paredzē</w:t>
            </w:r>
            <w:r w:rsidR="00983AEE" w:rsidRPr="00730C2B">
              <w:rPr>
                <w:rFonts w:cs="Times New Roman"/>
                <w:szCs w:val="24"/>
              </w:rPr>
              <w:t>tās Aizsardzības pārvaldes darbiniekam izvirzāmās minimālās prasības ir noteiktas</w:t>
            </w:r>
            <w:r w:rsidR="00730C2B">
              <w:rPr>
                <w:rFonts w:cs="Times New Roman"/>
                <w:szCs w:val="24"/>
              </w:rPr>
              <w:t xml:space="preserve"> samērīgi </w:t>
            </w:r>
            <w:r w:rsidR="00730C2B" w:rsidRPr="00730C2B">
              <w:rPr>
                <w:rFonts w:cs="Times New Roman"/>
                <w:szCs w:val="24"/>
              </w:rPr>
              <w:t>Aizsardzības pārvaldes darbinieka</w:t>
            </w:r>
            <w:r w:rsidR="00730C2B">
              <w:rPr>
                <w:rFonts w:cs="Times New Roman"/>
                <w:szCs w:val="24"/>
              </w:rPr>
              <w:t xml:space="preserve"> veicamo pienākumu </w:t>
            </w:r>
            <w:r w:rsidR="00E835A3">
              <w:rPr>
                <w:rFonts w:cs="Times New Roman"/>
                <w:szCs w:val="24"/>
              </w:rPr>
              <w:t xml:space="preserve">raksturam un </w:t>
            </w:r>
            <w:r w:rsidR="00730C2B">
              <w:rPr>
                <w:rFonts w:cs="Times New Roman"/>
                <w:szCs w:val="24"/>
              </w:rPr>
              <w:t>atbildības l</w:t>
            </w:r>
            <w:r w:rsidR="00E835A3">
              <w:rPr>
                <w:rFonts w:cs="Times New Roman"/>
                <w:szCs w:val="24"/>
              </w:rPr>
              <w:t xml:space="preserve">īmenim, </w:t>
            </w:r>
            <w:r w:rsidR="00C84C41">
              <w:rPr>
                <w:rFonts w:cs="Times New Roman"/>
                <w:szCs w:val="24"/>
              </w:rPr>
              <w:t>ņem</w:t>
            </w:r>
            <w:r w:rsidR="00834EB2">
              <w:rPr>
                <w:rFonts w:cs="Times New Roman"/>
                <w:szCs w:val="24"/>
              </w:rPr>
              <w:t xml:space="preserve">ot </w:t>
            </w:r>
            <w:r w:rsidR="00C84C41">
              <w:rPr>
                <w:rFonts w:cs="Times New Roman"/>
                <w:szCs w:val="24"/>
              </w:rPr>
              <w:t>vērā dažādu</w:t>
            </w:r>
            <w:r w:rsidR="00834EB2">
              <w:rPr>
                <w:rFonts w:cs="Times New Roman"/>
                <w:szCs w:val="24"/>
              </w:rPr>
              <w:t xml:space="preserve"> </w:t>
            </w:r>
            <w:r w:rsidR="00C84C41">
              <w:rPr>
                <w:rFonts w:cs="Times New Roman"/>
                <w:szCs w:val="24"/>
              </w:rPr>
              <w:t xml:space="preserve">citu </w:t>
            </w:r>
            <w:r w:rsidR="00DE35F4">
              <w:rPr>
                <w:rFonts w:cs="Times New Roman"/>
                <w:szCs w:val="24"/>
              </w:rPr>
              <w:t>sfēru (</w:t>
            </w:r>
            <w:r w:rsidR="008A503D">
              <w:rPr>
                <w:rFonts w:cs="Times New Roman"/>
                <w:szCs w:val="24"/>
              </w:rPr>
              <w:t xml:space="preserve">t.sk. </w:t>
            </w:r>
            <w:r w:rsidR="00DE35F4">
              <w:rPr>
                <w:rFonts w:cs="Times New Roman"/>
                <w:szCs w:val="24"/>
              </w:rPr>
              <w:t>militār</w:t>
            </w:r>
            <w:r w:rsidR="008A503D">
              <w:rPr>
                <w:rFonts w:cs="Times New Roman"/>
                <w:szCs w:val="24"/>
              </w:rPr>
              <w:t>ā dienesta</w:t>
            </w:r>
            <w:r w:rsidR="005D5B1F">
              <w:rPr>
                <w:rFonts w:cs="Times New Roman"/>
                <w:szCs w:val="24"/>
              </w:rPr>
              <w:t xml:space="preserve"> un</w:t>
            </w:r>
            <w:r w:rsidR="00DE35F4">
              <w:rPr>
                <w:rFonts w:cs="Times New Roman"/>
                <w:szCs w:val="24"/>
              </w:rPr>
              <w:t xml:space="preserve"> iekšēj</w:t>
            </w:r>
            <w:r w:rsidR="008A503D">
              <w:rPr>
                <w:rFonts w:cs="Times New Roman"/>
                <w:szCs w:val="24"/>
              </w:rPr>
              <w:t>o</w:t>
            </w:r>
            <w:r w:rsidR="00DE35F4">
              <w:rPr>
                <w:rFonts w:cs="Times New Roman"/>
                <w:szCs w:val="24"/>
              </w:rPr>
              <w:t xml:space="preserve"> drošības dienest</w:t>
            </w:r>
            <w:r w:rsidR="008A503D">
              <w:rPr>
                <w:rFonts w:cs="Times New Roman"/>
                <w:szCs w:val="24"/>
              </w:rPr>
              <w:t>u</w:t>
            </w:r>
            <w:r w:rsidR="00DE35F4">
              <w:rPr>
                <w:rFonts w:cs="Times New Roman"/>
                <w:szCs w:val="24"/>
              </w:rPr>
              <w:t>)</w:t>
            </w:r>
            <w:r w:rsidR="00834EB2">
              <w:rPr>
                <w:rFonts w:cs="Times New Roman"/>
                <w:szCs w:val="24"/>
              </w:rPr>
              <w:t xml:space="preserve"> </w:t>
            </w:r>
            <w:r w:rsidR="00DE35F4">
              <w:rPr>
                <w:rFonts w:cs="Times New Roman"/>
                <w:szCs w:val="24"/>
              </w:rPr>
              <w:t xml:space="preserve">regulējuma </w:t>
            </w:r>
            <w:r w:rsidR="00C84C41">
              <w:rPr>
                <w:rFonts w:cs="Times New Roman"/>
                <w:szCs w:val="24"/>
              </w:rPr>
              <w:t>piemērus</w:t>
            </w:r>
            <w:r w:rsidR="00834EB2">
              <w:rPr>
                <w:rFonts w:cs="Times New Roman"/>
                <w:szCs w:val="24"/>
              </w:rPr>
              <w:t xml:space="preserve"> un </w:t>
            </w:r>
            <w:r w:rsidR="00E835A3">
              <w:rPr>
                <w:rFonts w:cs="Times New Roman"/>
                <w:szCs w:val="24"/>
              </w:rPr>
              <w:t>iespējamos drošības riskus, kādi izriet no liela apjoma naudas pārvadājumu veikšanas un objektu, kuriem piešķirts kritiskās infrastruktūras objekta statuss, aizsardzības nodrošināšanas</w:t>
            </w:r>
            <w:r w:rsidR="007C06BC" w:rsidRPr="00730C2B">
              <w:rPr>
                <w:rFonts w:cs="Times New Roman"/>
                <w:szCs w:val="24"/>
              </w:rPr>
              <w:t>.</w:t>
            </w:r>
            <w:r w:rsidR="007C06BC" w:rsidRPr="00B3675C">
              <w:rPr>
                <w:rFonts w:cs="Times New Roman"/>
                <w:szCs w:val="24"/>
              </w:rPr>
              <w:t xml:space="preserve"> </w:t>
            </w:r>
            <w:r w:rsidR="0086235E">
              <w:rPr>
                <w:rFonts w:cs="Times New Roman"/>
                <w:szCs w:val="24"/>
              </w:rPr>
              <w:t>Papildus l</w:t>
            </w:r>
            <w:r w:rsidR="0086235E" w:rsidRPr="00B3675C">
              <w:rPr>
                <w:rFonts w:cs="Times New Roman"/>
                <w:szCs w:val="24"/>
              </w:rPr>
              <w:t>ikumprojektā</w:t>
            </w:r>
            <w:r w:rsidR="0086235E">
              <w:rPr>
                <w:rFonts w:cs="Times New Roman"/>
                <w:szCs w:val="24"/>
              </w:rPr>
              <w:t xml:space="preserve"> ietvertā likuma 42.</w:t>
            </w:r>
            <w:r w:rsidR="0086235E" w:rsidRPr="00C12DCA">
              <w:rPr>
                <w:rFonts w:cs="Times New Roman"/>
                <w:szCs w:val="24"/>
                <w:vertAlign w:val="superscript"/>
              </w:rPr>
              <w:t>3</w:t>
            </w:r>
            <w:r w:rsidR="0086235E">
              <w:rPr>
                <w:rFonts w:cs="Times New Roman"/>
                <w:szCs w:val="24"/>
                <w:vertAlign w:val="superscript"/>
              </w:rPr>
              <w:t xml:space="preserve"> </w:t>
            </w:r>
            <w:r w:rsidR="0086235E">
              <w:rPr>
                <w:rFonts w:cs="Times New Roman"/>
                <w:szCs w:val="24"/>
              </w:rPr>
              <w:t xml:space="preserve">pantā paredzētajām prasībām uz jebkuru </w:t>
            </w:r>
            <w:r w:rsidR="0086235E" w:rsidRPr="00730C2B">
              <w:rPr>
                <w:rFonts w:cs="Times New Roman"/>
                <w:szCs w:val="24"/>
              </w:rPr>
              <w:t>Aizsardzības pārvaldes dar</w:t>
            </w:r>
            <w:r w:rsidR="0086235E">
              <w:rPr>
                <w:rFonts w:cs="Times New Roman"/>
                <w:szCs w:val="24"/>
              </w:rPr>
              <w:t>binieku, kuram izsnie</w:t>
            </w:r>
            <w:r w:rsidR="002208B0">
              <w:rPr>
                <w:rFonts w:cs="Times New Roman"/>
                <w:szCs w:val="24"/>
              </w:rPr>
              <w:t>dzam</w:t>
            </w:r>
            <w:r w:rsidR="00946D34">
              <w:rPr>
                <w:rFonts w:cs="Times New Roman"/>
                <w:szCs w:val="24"/>
              </w:rPr>
              <w:t>s nēsāšanai</w:t>
            </w:r>
            <w:r w:rsidR="0086235E">
              <w:rPr>
                <w:rFonts w:cs="Times New Roman"/>
                <w:szCs w:val="24"/>
              </w:rPr>
              <w:t xml:space="preserve"> dienesta iero</w:t>
            </w:r>
            <w:r w:rsidR="00946D34">
              <w:rPr>
                <w:rFonts w:cs="Times New Roman"/>
                <w:szCs w:val="24"/>
              </w:rPr>
              <w:t>cis</w:t>
            </w:r>
            <w:r w:rsidR="0086235E">
              <w:rPr>
                <w:rFonts w:cs="Times New Roman"/>
                <w:szCs w:val="24"/>
              </w:rPr>
              <w:t>, ir attiecinām</w:t>
            </w:r>
            <w:r w:rsidR="002208B0">
              <w:rPr>
                <w:rFonts w:cs="Times New Roman"/>
                <w:szCs w:val="24"/>
              </w:rPr>
              <w:t>a</w:t>
            </w:r>
            <w:r w:rsidR="0086235E">
              <w:rPr>
                <w:rFonts w:cs="Times New Roman"/>
                <w:szCs w:val="24"/>
              </w:rPr>
              <w:t>s arī</w:t>
            </w:r>
            <w:r w:rsidR="002208B0">
              <w:rPr>
                <w:rFonts w:cs="Times New Roman"/>
                <w:szCs w:val="24"/>
              </w:rPr>
              <w:t xml:space="preserve"> Ieroču un speciālo līdzekļu aprites likuma 17. pantā noteiktās prasības.</w:t>
            </w:r>
          </w:p>
          <w:p w14:paraId="3E68C90C" w14:textId="77777777" w:rsidR="00B04ABD" w:rsidRDefault="00B04ABD" w:rsidP="004865FA">
            <w:pPr>
              <w:autoSpaceDE w:val="0"/>
              <w:autoSpaceDN w:val="0"/>
              <w:adjustRightInd w:val="0"/>
              <w:jc w:val="both"/>
              <w:rPr>
                <w:rFonts w:cs="Times New Roman"/>
                <w:szCs w:val="24"/>
              </w:rPr>
            </w:pPr>
          </w:p>
          <w:p w14:paraId="6D8F30E2" w14:textId="679C6AD7" w:rsidR="004865FA" w:rsidRPr="0059022A" w:rsidRDefault="006506DC" w:rsidP="004865FA">
            <w:pPr>
              <w:autoSpaceDE w:val="0"/>
              <w:autoSpaceDN w:val="0"/>
              <w:adjustRightInd w:val="0"/>
              <w:jc w:val="both"/>
              <w:rPr>
                <w:rFonts w:cs="Times New Roman"/>
                <w:szCs w:val="24"/>
              </w:rPr>
            </w:pPr>
            <w:r>
              <w:rPr>
                <w:rFonts w:cs="Times New Roman"/>
                <w:szCs w:val="24"/>
              </w:rPr>
              <w:t xml:space="preserve">Likumprojektā paredzēts, ka </w:t>
            </w:r>
            <w:r w:rsidR="00A86B79" w:rsidRPr="0059022A">
              <w:rPr>
                <w:rFonts w:cs="Times New Roman"/>
                <w:szCs w:val="24"/>
              </w:rPr>
              <w:t xml:space="preserve">Latvijas Bankai </w:t>
            </w:r>
            <w:r>
              <w:rPr>
                <w:rFonts w:cs="Times New Roman"/>
                <w:szCs w:val="24"/>
              </w:rPr>
              <w:t xml:space="preserve">ir </w:t>
            </w:r>
            <w:r w:rsidR="00946378">
              <w:rPr>
                <w:rFonts w:cs="Times New Roman"/>
                <w:szCs w:val="24"/>
              </w:rPr>
              <w:t>tiesības</w:t>
            </w:r>
            <w:r w:rsidR="00167BF0">
              <w:rPr>
                <w:rFonts w:cs="Times New Roman"/>
                <w:szCs w:val="24"/>
              </w:rPr>
              <w:t xml:space="preserve"> </w:t>
            </w:r>
            <w:r w:rsidR="00A86B79" w:rsidRPr="0059022A">
              <w:rPr>
                <w:rFonts w:cs="Times New Roman"/>
                <w:szCs w:val="24"/>
              </w:rPr>
              <w:t xml:space="preserve">pieprasīt </w:t>
            </w:r>
            <w:r w:rsidR="00A86B79" w:rsidRPr="00D86B66">
              <w:rPr>
                <w:rFonts w:cs="Times New Roman"/>
                <w:szCs w:val="24"/>
              </w:rPr>
              <w:t xml:space="preserve">no </w:t>
            </w:r>
            <w:r w:rsidR="00F33DF6" w:rsidRPr="00D86B66">
              <w:rPr>
                <w:rFonts w:cs="Times New Roman"/>
                <w:szCs w:val="24"/>
              </w:rPr>
              <w:t>Sodu reģistra</w:t>
            </w:r>
            <w:r w:rsidR="00946D34">
              <w:rPr>
                <w:rFonts w:cs="Times New Roman"/>
                <w:szCs w:val="24"/>
              </w:rPr>
              <w:t>,</w:t>
            </w:r>
            <w:r w:rsidR="00D86B66">
              <w:rPr>
                <w:rFonts w:cs="Times New Roman"/>
                <w:szCs w:val="24"/>
              </w:rPr>
              <w:t xml:space="preserve"> </w:t>
            </w:r>
            <w:r w:rsidR="00BB668A">
              <w:rPr>
                <w:rFonts w:cs="Times New Roman"/>
                <w:szCs w:val="24"/>
              </w:rPr>
              <w:t xml:space="preserve">Ieroču reģistra, </w:t>
            </w:r>
            <w:r w:rsidR="00BB668A">
              <w:rPr>
                <w:szCs w:val="24"/>
              </w:rPr>
              <w:t>Valsts policijas, prokuratūras un valsts drošības iestā</w:t>
            </w:r>
            <w:r w:rsidR="00946D34">
              <w:rPr>
                <w:szCs w:val="24"/>
              </w:rPr>
              <w:t>dēm</w:t>
            </w:r>
            <w:r w:rsidR="00F33DF6" w:rsidRPr="0059022A">
              <w:rPr>
                <w:rFonts w:cs="Times New Roman"/>
                <w:szCs w:val="24"/>
              </w:rPr>
              <w:t xml:space="preserve"> ziņas, kas nepieciešamas, lai pārbaudītu fiziskās personas atbi</w:t>
            </w:r>
            <w:r w:rsidR="00F33DF6" w:rsidRPr="00423C5D">
              <w:rPr>
                <w:rFonts w:cs="Times New Roman"/>
                <w:szCs w:val="24"/>
              </w:rPr>
              <w:t>lstību</w:t>
            </w:r>
            <w:r w:rsidR="00D86B66">
              <w:rPr>
                <w:szCs w:val="24"/>
              </w:rPr>
              <w:t xml:space="preserve"> likumprojektā ietvertā likuma 42.</w:t>
            </w:r>
            <w:r w:rsidR="00D86B66">
              <w:rPr>
                <w:szCs w:val="24"/>
                <w:vertAlign w:val="superscript"/>
              </w:rPr>
              <w:t>3</w:t>
            </w:r>
            <w:r w:rsidR="00D86B66">
              <w:rPr>
                <w:szCs w:val="24"/>
              </w:rPr>
              <w:t xml:space="preserve"> </w:t>
            </w:r>
            <w:r w:rsidR="00D86B66" w:rsidRPr="00BB668A">
              <w:rPr>
                <w:szCs w:val="24"/>
              </w:rPr>
              <w:t>panta 2., 3. un 4. punktā</w:t>
            </w:r>
            <w:r w:rsidR="00D86B66">
              <w:rPr>
                <w:szCs w:val="24"/>
              </w:rPr>
              <w:t xml:space="preserve"> noteiktajām prasībām un ieroču apriti regulējošaj</w:t>
            </w:r>
            <w:r w:rsidR="00BB668A">
              <w:rPr>
                <w:szCs w:val="24"/>
              </w:rPr>
              <w:t>os normatīvajos aktos no</w:t>
            </w:r>
            <w:r w:rsidR="00D86B66">
              <w:rPr>
                <w:szCs w:val="24"/>
              </w:rPr>
              <w:t>teiktajiem ierobežojumiem, kas jāievēro, izsniedzot fiziskajai personai šaujamieroču vai lielas enerģijas pneimatisko ieroču g</w:t>
            </w:r>
            <w:r w:rsidR="00196B6E">
              <w:rPr>
                <w:szCs w:val="24"/>
              </w:rPr>
              <w:t>labāšanas vai nēsāšanas atļauju. Ierobežojumus, kas jāievēro, izsniedzot fiziskajai personai šaujamieroču vai lielas enerģijas pneimatisko ieroču glabāšanas vai nēsāšanas atļauju, nosaka Ieroču un speciālo līdzekļu aprites likuma 17. pants</w:t>
            </w:r>
            <w:r w:rsidR="00781B97" w:rsidRPr="0059022A">
              <w:rPr>
                <w:rFonts w:cs="Times New Roman"/>
                <w:szCs w:val="24"/>
              </w:rPr>
              <w:t>.</w:t>
            </w:r>
            <w:r>
              <w:rPr>
                <w:rFonts w:cs="Times New Roman"/>
                <w:szCs w:val="24"/>
              </w:rPr>
              <w:t xml:space="preserve"> Ja likumprojektā paredzētais regulējums netiek pieņemts, tad Latvijas Bankai </w:t>
            </w:r>
            <w:r w:rsidR="00926361">
              <w:rPr>
                <w:rFonts w:cs="Times New Roman"/>
                <w:szCs w:val="24"/>
              </w:rPr>
              <w:t>joprojām būs</w:t>
            </w:r>
            <w:r>
              <w:rPr>
                <w:rFonts w:cs="Times New Roman"/>
                <w:szCs w:val="24"/>
              </w:rPr>
              <w:t xml:space="preserve"> ierobežotas </w:t>
            </w:r>
            <w:r>
              <w:rPr>
                <w:rFonts w:cs="Times New Roman"/>
                <w:szCs w:val="24"/>
              </w:rPr>
              <w:lastRenderedPageBreak/>
              <w:t xml:space="preserve">iespējas </w:t>
            </w:r>
            <w:r w:rsidR="00926361">
              <w:rPr>
                <w:rFonts w:cs="Times New Roman"/>
                <w:szCs w:val="24"/>
              </w:rPr>
              <w:t xml:space="preserve">operatīvi </w:t>
            </w:r>
            <w:r w:rsidR="00B64C04">
              <w:rPr>
                <w:rFonts w:cs="Times New Roman"/>
                <w:szCs w:val="24"/>
              </w:rPr>
              <w:t xml:space="preserve">un bez </w:t>
            </w:r>
            <w:r w:rsidR="00DE22EC">
              <w:rPr>
                <w:rFonts w:cs="Times New Roman"/>
                <w:szCs w:val="24"/>
              </w:rPr>
              <w:t xml:space="preserve">pašu </w:t>
            </w:r>
            <w:r w:rsidR="00B64C04">
              <w:rPr>
                <w:rFonts w:cs="Times New Roman"/>
                <w:szCs w:val="24"/>
              </w:rPr>
              <w:t xml:space="preserve">Aizsardzības pārvaldes darbinieku starpniecības </w:t>
            </w:r>
            <w:r w:rsidR="00926361">
              <w:rPr>
                <w:rFonts w:cs="Times New Roman"/>
                <w:szCs w:val="24"/>
              </w:rPr>
              <w:t>saņemt aktuālāk</w:t>
            </w:r>
            <w:r w:rsidR="00946D34">
              <w:rPr>
                <w:rFonts w:cs="Times New Roman"/>
                <w:szCs w:val="24"/>
              </w:rPr>
              <w:t>ās</w:t>
            </w:r>
            <w:r w:rsidR="00926361">
              <w:rPr>
                <w:rFonts w:cs="Times New Roman"/>
                <w:szCs w:val="24"/>
              </w:rPr>
              <w:t xml:space="preserve"> </w:t>
            </w:r>
            <w:r w:rsidR="00946D34">
              <w:rPr>
                <w:rFonts w:cs="Times New Roman"/>
                <w:szCs w:val="24"/>
              </w:rPr>
              <w:t>ziņas</w:t>
            </w:r>
            <w:r w:rsidR="00926361">
              <w:rPr>
                <w:rFonts w:cs="Times New Roman"/>
                <w:szCs w:val="24"/>
              </w:rPr>
              <w:t xml:space="preserve"> </w:t>
            </w:r>
            <w:r w:rsidR="00926361" w:rsidRPr="00196B6E">
              <w:rPr>
                <w:rFonts w:cs="Times New Roman"/>
                <w:szCs w:val="24"/>
              </w:rPr>
              <w:t>no Sodu reģistra</w:t>
            </w:r>
            <w:r w:rsidR="00BB668A">
              <w:rPr>
                <w:rFonts w:cs="Times New Roman"/>
                <w:szCs w:val="24"/>
              </w:rPr>
              <w:t>, Ieroču reģistra,</w:t>
            </w:r>
            <w:r w:rsidR="00196B6E">
              <w:rPr>
                <w:rFonts w:cs="Times New Roman"/>
                <w:szCs w:val="24"/>
              </w:rPr>
              <w:t xml:space="preserve"> </w:t>
            </w:r>
            <w:r w:rsidR="00BB668A">
              <w:rPr>
                <w:szCs w:val="24"/>
              </w:rPr>
              <w:t>Valsts policijas, prokuratūras un valsts drošības iestādēm</w:t>
            </w:r>
            <w:r w:rsidR="00926361">
              <w:rPr>
                <w:rFonts w:cs="Times New Roman"/>
                <w:szCs w:val="24"/>
              </w:rPr>
              <w:t xml:space="preserve"> par </w:t>
            </w:r>
            <w:r w:rsidR="00926361" w:rsidRPr="0059022A">
              <w:rPr>
                <w:rFonts w:cs="Times New Roman"/>
                <w:szCs w:val="24"/>
              </w:rPr>
              <w:t>Aizsardzības pārvaldes dar</w:t>
            </w:r>
            <w:r w:rsidR="00926361">
              <w:rPr>
                <w:rFonts w:cs="Times New Roman"/>
                <w:szCs w:val="24"/>
              </w:rPr>
              <w:t>binieku</w:t>
            </w:r>
            <w:r w:rsidR="00196B6E">
              <w:rPr>
                <w:rFonts w:cs="Times New Roman"/>
                <w:szCs w:val="24"/>
              </w:rPr>
              <w:t xml:space="preserve"> (vai kandidātu)</w:t>
            </w:r>
            <w:r w:rsidR="00926361">
              <w:rPr>
                <w:rFonts w:cs="Times New Roman"/>
                <w:szCs w:val="24"/>
              </w:rPr>
              <w:t xml:space="preserve"> atbilstību Ieroču un speciālo līdzekļu aprites likuma 17.</w:t>
            </w:r>
            <w:bookmarkStart w:id="0" w:name="_GoBack"/>
            <w:bookmarkEnd w:id="0"/>
            <w:r w:rsidR="00926361">
              <w:rPr>
                <w:rFonts w:cs="Times New Roman"/>
                <w:szCs w:val="24"/>
              </w:rPr>
              <w:t xml:space="preserve">pantā minētajiem </w:t>
            </w:r>
            <w:r w:rsidR="00196B6E">
              <w:rPr>
                <w:szCs w:val="24"/>
              </w:rPr>
              <w:t>šaujamieroču vai lielas enerģijas pneimatisko ieroču</w:t>
            </w:r>
            <w:r w:rsidR="00926361">
              <w:rPr>
                <w:rFonts w:cs="Times New Roman"/>
                <w:szCs w:val="24"/>
              </w:rPr>
              <w:t xml:space="preserve"> glabāšanas un nēsāšanas atļauju izsniegšanas </w:t>
            </w:r>
            <w:r w:rsidR="00196B6E">
              <w:rPr>
                <w:rFonts w:cs="Times New Roman"/>
                <w:szCs w:val="24"/>
              </w:rPr>
              <w:t>ierobežoj</w:t>
            </w:r>
            <w:r w:rsidR="00926361">
              <w:rPr>
                <w:rFonts w:cs="Times New Roman"/>
                <w:szCs w:val="24"/>
              </w:rPr>
              <w:t>umiem</w:t>
            </w:r>
            <w:r w:rsidR="00FF0F50">
              <w:rPr>
                <w:rFonts w:cs="Times New Roman"/>
                <w:szCs w:val="24"/>
              </w:rPr>
              <w:t>, kā rezultātā var izveidoties situācija, kad</w:t>
            </w:r>
            <w:r w:rsidR="00C45D09">
              <w:rPr>
                <w:rFonts w:cs="Times New Roman"/>
                <w:szCs w:val="24"/>
              </w:rPr>
              <w:t xml:space="preserve"> </w:t>
            </w:r>
            <w:r w:rsidR="00EB74E3">
              <w:rPr>
                <w:rFonts w:cs="Times New Roman"/>
                <w:szCs w:val="24"/>
              </w:rPr>
              <w:t xml:space="preserve">Latvijas Banka </w:t>
            </w:r>
            <w:r w:rsidR="00C45D09">
              <w:rPr>
                <w:rFonts w:cs="Times New Roman"/>
                <w:szCs w:val="24"/>
              </w:rPr>
              <w:t xml:space="preserve">laicīgi </w:t>
            </w:r>
            <w:r w:rsidR="00EB74E3">
              <w:rPr>
                <w:rFonts w:cs="Times New Roman"/>
                <w:szCs w:val="24"/>
              </w:rPr>
              <w:t>ne</w:t>
            </w:r>
            <w:r w:rsidR="00BB668A">
              <w:rPr>
                <w:rFonts w:cs="Times New Roman"/>
                <w:szCs w:val="24"/>
              </w:rPr>
              <w:t>uzzina par</w:t>
            </w:r>
            <w:r w:rsidR="00C45D09">
              <w:rPr>
                <w:rFonts w:cs="Times New Roman"/>
                <w:szCs w:val="24"/>
              </w:rPr>
              <w:t xml:space="preserve"> </w:t>
            </w:r>
            <w:r w:rsidR="00C45D09" w:rsidRPr="0059022A">
              <w:rPr>
                <w:rFonts w:cs="Times New Roman"/>
                <w:szCs w:val="24"/>
              </w:rPr>
              <w:t>Aizsardzības pārvaldes dar</w:t>
            </w:r>
            <w:r w:rsidR="00C45D09">
              <w:rPr>
                <w:rFonts w:cs="Times New Roman"/>
                <w:szCs w:val="24"/>
              </w:rPr>
              <w:t>biniek</w:t>
            </w:r>
            <w:r w:rsidR="004813B0">
              <w:rPr>
                <w:rFonts w:cs="Times New Roman"/>
                <w:szCs w:val="24"/>
              </w:rPr>
              <w:t>a faktisk</w:t>
            </w:r>
            <w:r w:rsidR="00EB74E3">
              <w:rPr>
                <w:rFonts w:cs="Times New Roman"/>
                <w:szCs w:val="24"/>
              </w:rPr>
              <w:t>o</w:t>
            </w:r>
            <w:r w:rsidR="00C45D09">
              <w:rPr>
                <w:rFonts w:cs="Times New Roman"/>
                <w:szCs w:val="24"/>
              </w:rPr>
              <w:t xml:space="preserve"> neatbilstīb</w:t>
            </w:r>
            <w:r w:rsidR="00EB74E3">
              <w:rPr>
                <w:rFonts w:cs="Times New Roman"/>
                <w:szCs w:val="24"/>
              </w:rPr>
              <w:t>u</w:t>
            </w:r>
            <w:r w:rsidR="00C45D09">
              <w:rPr>
                <w:rFonts w:cs="Times New Roman"/>
                <w:szCs w:val="24"/>
              </w:rPr>
              <w:t xml:space="preserve"> </w:t>
            </w:r>
            <w:r w:rsidR="00196B6E">
              <w:rPr>
                <w:rFonts w:cs="Times New Roman"/>
                <w:szCs w:val="24"/>
              </w:rPr>
              <w:t xml:space="preserve">likumā </w:t>
            </w:r>
            <w:r w:rsidR="00C45D09">
              <w:rPr>
                <w:rFonts w:cs="Times New Roman"/>
                <w:szCs w:val="24"/>
              </w:rPr>
              <w:t>minētajiem ieroču glabāšanas un nēsāšanas atļauju izsniegšanas nosacījumiem</w:t>
            </w:r>
            <w:r w:rsidR="00926361">
              <w:rPr>
                <w:rFonts w:cs="Times New Roman"/>
                <w:szCs w:val="24"/>
              </w:rPr>
              <w:t>.</w:t>
            </w:r>
          </w:p>
          <w:p w14:paraId="295347DD" w14:textId="77777777" w:rsidR="004865FA" w:rsidRPr="0059022A" w:rsidRDefault="004865FA" w:rsidP="00E81136">
            <w:pPr>
              <w:pStyle w:val="BodyTextIndent"/>
              <w:spacing w:after="0"/>
              <w:rPr>
                <w:b w:val="0"/>
              </w:rPr>
            </w:pPr>
          </w:p>
          <w:p w14:paraId="17BC5A28" w14:textId="386A055C" w:rsidR="00135DEC" w:rsidRDefault="00FD6886">
            <w:pPr>
              <w:pStyle w:val="BodyTextIndent"/>
              <w:spacing w:after="0"/>
              <w:rPr>
                <w:b w:val="0"/>
              </w:rPr>
            </w:pPr>
            <w:r w:rsidRPr="0059022A">
              <w:rPr>
                <w:b w:val="0"/>
              </w:rPr>
              <w:t>Likumprojekts paredz noteikt</w:t>
            </w:r>
            <w:r w:rsidR="00BE041C" w:rsidRPr="0059022A">
              <w:rPr>
                <w:b w:val="0"/>
              </w:rPr>
              <w:t xml:space="preserve"> Aizsardzības pārvalde</w:t>
            </w:r>
            <w:r w:rsidR="00E81136" w:rsidRPr="0059022A">
              <w:rPr>
                <w:b w:val="0"/>
              </w:rPr>
              <w:t>s</w:t>
            </w:r>
            <w:r w:rsidR="00BE041C" w:rsidRPr="0059022A">
              <w:rPr>
                <w:b w:val="0"/>
              </w:rPr>
              <w:t xml:space="preserve"> </w:t>
            </w:r>
            <w:r w:rsidR="00E81136" w:rsidRPr="0059022A">
              <w:rPr>
                <w:b w:val="0"/>
              </w:rPr>
              <w:t>pamat</w:t>
            </w:r>
            <w:r w:rsidR="00BE041C" w:rsidRPr="0059022A">
              <w:rPr>
                <w:b w:val="0"/>
              </w:rPr>
              <w:t>uzdevum</w:t>
            </w:r>
            <w:r w:rsidR="0040581C">
              <w:rPr>
                <w:b w:val="0"/>
              </w:rPr>
              <w:t>ie</w:t>
            </w:r>
            <w:r w:rsidR="00E81136" w:rsidRPr="0059022A">
              <w:rPr>
                <w:b w:val="0"/>
              </w:rPr>
              <w:t xml:space="preserve">m, </w:t>
            </w:r>
            <w:r w:rsidR="00BE041C" w:rsidRPr="0059022A">
              <w:rPr>
                <w:b w:val="0"/>
              </w:rPr>
              <w:t>darbības specifik</w:t>
            </w:r>
            <w:r w:rsidR="00E81136" w:rsidRPr="0059022A">
              <w:rPr>
                <w:b w:val="0"/>
              </w:rPr>
              <w:t>ai</w:t>
            </w:r>
            <w:r w:rsidR="00BE041C" w:rsidRPr="0059022A">
              <w:rPr>
                <w:b w:val="0"/>
              </w:rPr>
              <w:t xml:space="preserve"> un mūsdienu situācijai atbilstoš</w:t>
            </w:r>
            <w:r w:rsidR="00E81136" w:rsidRPr="0059022A">
              <w:rPr>
                <w:b w:val="0"/>
              </w:rPr>
              <w:t>am</w:t>
            </w:r>
            <w:r w:rsidR="00BE041C" w:rsidRPr="0059022A">
              <w:rPr>
                <w:b w:val="0"/>
              </w:rPr>
              <w:t xml:space="preserve"> risku profil</w:t>
            </w:r>
            <w:r w:rsidR="00E81136" w:rsidRPr="0059022A">
              <w:rPr>
                <w:b w:val="0"/>
              </w:rPr>
              <w:t>am piemērotus ieroču un speciālo līdzekļu izmantošanas un pielietošanas nosacījumus un kārtību. Apsardzes darbības likumā iekšējās drošības dienestam noteiktie ieroču un speciālo līdzekļu izmantošanas un pielietošanas nosacījumi un kārtība nav atbilstoši Aizsardzības pārvaldes darbības specifikai un ar citiem likumiem piešķirto tiesību un pienākumu apjomam.</w:t>
            </w:r>
            <w:r w:rsidR="00E313A7" w:rsidRPr="0059022A">
              <w:rPr>
                <w:b w:val="0"/>
              </w:rPr>
              <w:t xml:space="preserve"> </w:t>
            </w:r>
            <w:r w:rsidR="00E81136" w:rsidRPr="0059022A">
              <w:rPr>
                <w:b w:val="0"/>
              </w:rPr>
              <w:t xml:space="preserve">Apsardzes darbības likuma </w:t>
            </w:r>
            <w:r w:rsidR="00544FB8" w:rsidRPr="0059022A">
              <w:rPr>
                <w:b w:val="0"/>
              </w:rPr>
              <w:br/>
            </w:r>
            <w:r w:rsidR="00E81136" w:rsidRPr="0059022A">
              <w:rPr>
                <w:b w:val="0"/>
              </w:rPr>
              <w:t xml:space="preserve">21. pants neparedz A kategorijas ieroču izmantošanu un </w:t>
            </w:r>
            <w:r w:rsidR="00312793" w:rsidRPr="0059022A">
              <w:rPr>
                <w:b w:val="0"/>
              </w:rPr>
              <w:t>paredz</w:t>
            </w:r>
            <w:r w:rsidR="00E81136" w:rsidRPr="0059022A">
              <w:rPr>
                <w:b w:val="0"/>
              </w:rPr>
              <w:t xml:space="preserve"> </w:t>
            </w:r>
            <w:r w:rsidR="00312793" w:rsidRPr="0059022A">
              <w:rPr>
                <w:b w:val="0"/>
              </w:rPr>
              <w:t>tikai dažus</w:t>
            </w:r>
            <w:r w:rsidR="00E81136" w:rsidRPr="0059022A">
              <w:rPr>
                <w:b w:val="0"/>
              </w:rPr>
              <w:t xml:space="preserve"> speciālo līdzekļu </w:t>
            </w:r>
            <w:r w:rsidR="00312793" w:rsidRPr="0059022A">
              <w:rPr>
                <w:b w:val="0"/>
              </w:rPr>
              <w:t>veidus</w:t>
            </w:r>
            <w:r w:rsidR="00E81136" w:rsidRPr="0059022A">
              <w:rPr>
                <w:b w:val="0"/>
              </w:rPr>
              <w:t xml:space="preserve">, kādus iekšējās drošības dienests var izmantot apsardzes darbības veikšanai. </w:t>
            </w:r>
            <w:r w:rsidR="00167BF0">
              <w:rPr>
                <w:b w:val="0"/>
              </w:rPr>
              <w:t xml:space="preserve">Savukārt saskaņā ar </w:t>
            </w:r>
            <w:r w:rsidR="00E81136" w:rsidRPr="0059022A">
              <w:rPr>
                <w:b w:val="0"/>
              </w:rPr>
              <w:t xml:space="preserve">Ieroču un speciālo līdzekļu aprites likuma </w:t>
            </w:r>
            <w:r w:rsidR="00A61A6A">
              <w:rPr>
                <w:b w:val="0"/>
              </w:rPr>
              <w:t>10</w:t>
            </w:r>
            <w:r w:rsidR="00E81136" w:rsidRPr="0059022A">
              <w:rPr>
                <w:b w:val="0"/>
              </w:rPr>
              <w:t xml:space="preserve">. panta </w:t>
            </w:r>
            <w:r w:rsidR="00A61A6A">
              <w:rPr>
                <w:b w:val="0"/>
              </w:rPr>
              <w:t>otr</w:t>
            </w:r>
            <w:r w:rsidR="00E81136" w:rsidRPr="0059022A">
              <w:rPr>
                <w:b w:val="0"/>
              </w:rPr>
              <w:t xml:space="preserve">o daļu </w:t>
            </w:r>
            <w:r w:rsidR="00167BF0">
              <w:rPr>
                <w:b w:val="0"/>
              </w:rPr>
              <w:t>Aizsardzības pārvaldei piešķirtas tiesības savā darbībā izmantot arī A kategorijas ieročus, tādējādi</w:t>
            </w:r>
            <w:r w:rsidR="00167BF0" w:rsidRPr="0059022A">
              <w:rPr>
                <w:b w:val="0"/>
              </w:rPr>
              <w:t xml:space="preserve"> </w:t>
            </w:r>
            <w:r w:rsidR="00167BF0">
              <w:rPr>
                <w:b w:val="0"/>
              </w:rPr>
              <w:t>nodrošinot arī</w:t>
            </w:r>
            <w:r w:rsidR="00167BF0" w:rsidRPr="0059022A">
              <w:rPr>
                <w:b w:val="0"/>
              </w:rPr>
              <w:t xml:space="preserve"> Aizsardzības pārvaldes gatavīb</w:t>
            </w:r>
            <w:r w:rsidR="00167BF0">
              <w:rPr>
                <w:b w:val="0"/>
              </w:rPr>
              <w:t>u</w:t>
            </w:r>
            <w:r w:rsidR="00167BF0" w:rsidRPr="0059022A">
              <w:rPr>
                <w:b w:val="0"/>
              </w:rPr>
              <w:t xml:space="preserve"> iekļauties Nacionālajos bruņotajos spēkos k</w:t>
            </w:r>
            <w:r w:rsidR="00167BF0">
              <w:rPr>
                <w:b w:val="0"/>
              </w:rPr>
              <w:t xml:space="preserve">ara laikā vai izņēmuma stāvoklī. Likumprojekts paredz juridisko noteiktību attiecībā uz ieroču </w:t>
            </w:r>
            <w:r w:rsidR="00A83E8E">
              <w:rPr>
                <w:b w:val="0"/>
              </w:rPr>
              <w:t xml:space="preserve">un speciālo līdzekļu izmantošanas un pielietošanas </w:t>
            </w:r>
            <w:r w:rsidR="00167BF0">
              <w:rPr>
                <w:b w:val="0"/>
              </w:rPr>
              <w:t>regulējumu.</w:t>
            </w:r>
          </w:p>
          <w:p w14:paraId="714A4267" w14:textId="6AF70130" w:rsidR="00A74D68" w:rsidRDefault="00A74D68">
            <w:pPr>
              <w:pStyle w:val="BodyTextIndent"/>
              <w:spacing w:after="0"/>
              <w:rPr>
                <w:b w:val="0"/>
              </w:rPr>
            </w:pPr>
          </w:p>
          <w:p w14:paraId="20F5722B" w14:textId="3E6766C7" w:rsidR="00A74D68" w:rsidRDefault="00A74D68">
            <w:pPr>
              <w:pStyle w:val="BodyTextIndent"/>
              <w:spacing w:after="0"/>
              <w:rPr>
                <w:b w:val="0"/>
              </w:rPr>
            </w:pPr>
            <w:r>
              <w:rPr>
                <w:b w:val="0"/>
              </w:rPr>
              <w:t>Likumprojektā ietvertā likuma 42.</w:t>
            </w:r>
            <w:r w:rsidRPr="00A74D68">
              <w:rPr>
                <w:b w:val="0"/>
                <w:vertAlign w:val="superscript"/>
              </w:rPr>
              <w:t>5</w:t>
            </w:r>
            <w:r>
              <w:rPr>
                <w:b w:val="0"/>
              </w:rPr>
              <w:t xml:space="preserve"> panta pirmās daļas 4. punkts cita starpā dod tiesības </w:t>
            </w:r>
            <w:r w:rsidRPr="00A74D68">
              <w:rPr>
                <w:b w:val="0"/>
              </w:rPr>
              <w:t xml:space="preserve">Aizsardzības pārvaldes darbiniekam, pildot darba pienākumus, </w:t>
            </w:r>
            <w:r w:rsidR="00032D0E">
              <w:rPr>
                <w:b w:val="0"/>
              </w:rPr>
              <w:t xml:space="preserve">kā galējo līdzekli </w:t>
            </w:r>
            <w:r w:rsidRPr="00A74D68">
              <w:rPr>
                <w:b w:val="0"/>
              </w:rPr>
              <w:t>pielietot dienesta šaujamieroci, lai apturētu transportlīdzekli, nodarot tam bojājumus, ja tā vadītājs ar savu rīcību rada reālus draudus Latvijas Bankas objektam un j</w:t>
            </w:r>
            <w:r>
              <w:rPr>
                <w:b w:val="0"/>
              </w:rPr>
              <w:t>a nav citas iespējas to apturēt</w:t>
            </w:r>
            <w:r w:rsidRPr="00A74D68">
              <w:rPr>
                <w:b w:val="0"/>
              </w:rPr>
              <w:t>.</w:t>
            </w:r>
            <w:r>
              <w:rPr>
                <w:b w:val="0"/>
              </w:rPr>
              <w:t xml:space="preserve"> </w:t>
            </w:r>
            <w:r w:rsidR="00032D0E">
              <w:rPr>
                <w:b w:val="0"/>
              </w:rPr>
              <w:t>Apsardzes darbības likums iekšējam drošības dienesta</w:t>
            </w:r>
            <w:r w:rsidR="008554DF">
              <w:rPr>
                <w:b w:val="0"/>
              </w:rPr>
              <w:t xml:space="preserve"> darbinieka</w:t>
            </w:r>
            <w:r w:rsidR="00032D0E">
              <w:rPr>
                <w:b w:val="0"/>
              </w:rPr>
              <w:t>m š</w:t>
            </w:r>
            <w:r>
              <w:rPr>
                <w:b w:val="0"/>
              </w:rPr>
              <w:t>ādas tiesības n</w:t>
            </w:r>
            <w:r w:rsidR="00032D0E">
              <w:rPr>
                <w:b w:val="0"/>
              </w:rPr>
              <w:t>e</w:t>
            </w:r>
            <w:r>
              <w:rPr>
                <w:b w:val="0"/>
              </w:rPr>
              <w:t xml:space="preserve">paredz, tādējādi nenodrošinot </w:t>
            </w:r>
            <w:r w:rsidR="00032D0E">
              <w:rPr>
                <w:b w:val="0"/>
              </w:rPr>
              <w:t>Aizsardzības pārvaldei pilnvērtīgas tiesī</w:t>
            </w:r>
            <w:r w:rsidR="00CE0217">
              <w:rPr>
                <w:b w:val="0"/>
              </w:rPr>
              <w:t>b</w:t>
            </w:r>
            <w:r w:rsidR="00032D0E">
              <w:rPr>
                <w:b w:val="0"/>
              </w:rPr>
              <w:t>as aizsargāt Latvijas Bankas objektus (piemēram, situācijā, kad transportlīdzeklis tiek izmantots kā uzbrukuma līdzeklis naudas pārvadājuma</w:t>
            </w:r>
            <w:r w:rsidR="008554DF">
              <w:rPr>
                <w:b w:val="0"/>
              </w:rPr>
              <w:t>m</w:t>
            </w:r>
            <w:r w:rsidR="00032D0E">
              <w:rPr>
                <w:b w:val="0"/>
              </w:rPr>
              <w:t xml:space="preserve"> vai kā uzbrukuma līdzeklis, ar kuru tiek veikta ielaušanās Latvijas Bankas teritorijā vai ēkā). </w:t>
            </w:r>
          </w:p>
          <w:p w14:paraId="0384C990" w14:textId="77777777" w:rsidR="000C6AF2" w:rsidRDefault="000C6AF2">
            <w:pPr>
              <w:pStyle w:val="BodyTextIndent"/>
              <w:spacing w:after="0"/>
              <w:rPr>
                <w:b w:val="0"/>
              </w:rPr>
            </w:pPr>
          </w:p>
          <w:p w14:paraId="7AF8A334" w14:textId="565C7D8D" w:rsidR="00EA2694" w:rsidRDefault="00135DEC">
            <w:pPr>
              <w:pStyle w:val="BodyTextIndent"/>
              <w:spacing w:after="0"/>
              <w:rPr>
                <w:b w:val="0"/>
              </w:rPr>
            </w:pPr>
            <w:r>
              <w:rPr>
                <w:b w:val="0"/>
              </w:rPr>
              <w:t xml:space="preserve">Likumprojektā termins "šaujamieroča pielietošana" tiek lietots Ieroču un speciālo līdzekļu aprites likuma 30. panta pirmās daļas izpratnē. </w:t>
            </w:r>
            <w:r w:rsidR="00D0553F">
              <w:rPr>
                <w:b w:val="0"/>
              </w:rPr>
              <w:t>A</w:t>
            </w:r>
            <w:r w:rsidR="00651082">
              <w:rPr>
                <w:b w:val="0"/>
              </w:rPr>
              <w:t xml:space="preserve">r </w:t>
            </w:r>
            <w:r>
              <w:rPr>
                <w:b w:val="0"/>
              </w:rPr>
              <w:t>termin</w:t>
            </w:r>
            <w:r w:rsidR="00651082">
              <w:rPr>
                <w:b w:val="0"/>
              </w:rPr>
              <w:t>u</w:t>
            </w:r>
            <w:r>
              <w:rPr>
                <w:b w:val="0"/>
              </w:rPr>
              <w:t xml:space="preserve"> "ievērojams mantiskais zaudējums"</w:t>
            </w:r>
            <w:r w:rsidR="004865FA" w:rsidRPr="0059022A">
              <w:rPr>
                <w:b w:val="0"/>
              </w:rPr>
              <w:t xml:space="preserve"> </w:t>
            </w:r>
            <w:r>
              <w:rPr>
                <w:b w:val="0"/>
              </w:rPr>
              <w:lastRenderedPageBreak/>
              <w:t>likumprojektā tiek</w:t>
            </w:r>
            <w:r w:rsidR="00651082">
              <w:rPr>
                <w:b w:val="0"/>
              </w:rPr>
              <w:t xml:space="preserve"> saprasts </w:t>
            </w:r>
            <w:r w:rsidR="00651082" w:rsidRPr="00651082">
              <w:rPr>
                <w:b w:val="0"/>
              </w:rPr>
              <w:t>tāds mantiskais zaudējums, kas nodarījuma izdarīšanas brīdī pārsniedz piecu tai laikā Latvijas Republikā noteikto minimālo mēnešalgu kopsummu.</w:t>
            </w:r>
          </w:p>
          <w:p w14:paraId="27F1FD72" w14:textId="38F3CF10" w:rsidR="00EF46AA" w:rsidRDefault="00EF46AA">
            <w:pPr>
              <w:pStyle w:val="BodyTextIndent"/>
              <w:spacing w:after="0"/>
              <w:rPr>
                <w:b w:val="0"/>
              </w:rPr>
            </w:pPr>
          </w:p>
          <w:p w14:paraId="1C5917AF" w14:textId="4FF1238E" w:rsidR="00EF46AA" w:rsidRDefault="00EF46AA">
            <w:pPr>
              <w:pStyle w:val="BodyTextIndent"/>
              <w:spacing w:after="0"/>
              <w:rPr>
                <w:b w:val="0"/>
              </w:rPr>
            </w:pPr>
            <w:r w:rsidRPr="00EF46AA">
              <w:rPr>
                <w:b w:val="0"/>
              </w:rPr>
              <w:t>Savu funkciju izpildes ietvaros Latvijas Banka atsevišķos gadījumos (piemēram, atbilstoši Eiropas Centrālo banku sistēmas vai Eiropas Centrālās bankas tiesību aktos noteiktajam vai centrālo banku savstarpējās sadarbības ietvaros) nodrošina arī</w:t>
            </w:r>
            <w:r>
              <w:rPr>
                <w:b w:val="0"/>
              </w:rPr>
              <w:t xml:space="preserve"> </w:t>
            </w:r>
            <w:r w:rsidRPr="00EF46AA">
              <w:rPr>
                <w:b w:val="0"/>
              </w:rPr>
              <w:t xml:space="preserve">citām centrālajām bankām piederošās naudas pārvadājumu </w:t>
            </w:r>
            <w:r>
              <w:rPr>
                <w:b w:val="0"/>
              </w:rPr>
              <w:t>nodrošinā</w:t>
            </w:r>
            <w:r w:rsidRPr="00EF46AA">
              <w:rPr>
                <w:b w:val="0"/>
              </w:rPr>
              <w:t>šanu</w:t>
            </w:r>
            <w:r>
              <w:rPr>
                <w:b w:val="0"/>
              </w:rPr>
              <w:t xml:space="preserve"> vai</w:t>
            </w:r>
            <w:r w:rsidRPr="00EF46AA">
              <w:rPr>
                <w:b w:val="0"/>
              </w:rPr>
              <w:t xml:space="preserve"> citu centrālo banku organizēto naudas pārvadājumu pavadīšanu.</w:t>
            </w:r>
            <w:r>
              <w:rPr>
                <w:b w:val="0"/>
              </w:rPr>
              <w:t xml:space="preserve"> Līdz ar to likumprojektā lietotais vārdojums "Latvijas Bankas veiktos naudas pārvadājumus" aptver gan pašas Latvijas Bankas naudas pārvadājumu nodrošināšanu, gan </w:t>
            </w:r>
            <w:r w:rsidR="002E0DD1">
              <w:rPr>
                <w:b w:val="0"/>
              </w:rPr>
              <w:t>Latvijas Bankas veikto</w:t>
            </w:r>
            <w:r>
              <w:rPr>
                <w:b w:val="0"/>
              </w:rPr>
              <w:t xml:space="preserve"> citu </w:t>
            </w:r>
            <w:r w:rsidRPr="00EF46AA">
              <w:rPr>
                <w:b w:val="0"/>
              </w:rPr>
              <w:t>centrālo banku</w:t>
            </w:r>
            <w:r>
              <w:rPr>
                <w:b w:val="0"/>
              </w:rPr>
              <w:t xml:space="preserve"> naudas pārvadājumu </w:t>
            </w:r>
            <w:r w:rsidR="002E0DD1">
              <w:rPr>
                <w:b w:val="0"/>
              </w:rPr>
              <w:t>nodrošin</w:t>
            </w:r>
            <w:r w:rsidR="00570D0B">
              <w:rPr>
                <w:b w:val="0"/>
              </w:rPr>
              <w:t>āšanu vai pavadīšanu.</w:t>
            </w:r>
          </w:p>
          <w:p w14:paraId="4F20155D" w14:textId="77777777" w:rsidR="000C6AF2" w:rsidRDefault="000C6AF2">
            <w:pPr>
              <w:pStyle w:val="BodyTextIndent"/>
              <w:spacing w:after="0"/>
              <w:rPr>
                <w:b w:val="0"/>
              </w:rPr>
            </w:pPr>
          </w:p>
          <w:p w14:paraId="5AB7BC6C" w14:textId="77777777" w:rsidR="00997F20" w:rsidRDefault="002E58C4">
            <w:pPr>
              <w:pStyle w:val="BodyTextIndent"/>
              <w:spacing w:after="0"/>
              <w:rPr>
                <w:b w:val="0"/>
              </w:rPr>
            </w:pPr>
            <w:r w:rsidRPr="0059022A">
              <w:rPr>
                <w:b w:val="0"/>
              </w:rPr>
              <w:t>U</w:t>
            </w:r>
            <w:r w:rsidR="00312793" w:rsidRPr="0059022A">
              <w:rPr>
                <w:b w:val="0"/>
              </w:rPr>
              <w:t>z</w:t>
            </w:r>
            <w:r w:rsidRPr="0059022A">
              <w:rPr>
                <w:b w:val="0"/>
              </w:rPr>
              <w:t xml:space="preserve"> l</w:t>
            </w:r>
            <w:r w:rsidR="00E415B6" w:rsidRPr="0059022A">
              <w:rPr>
                <w:b w:val="0"/>
              </w:rPr>
              <w:t xml:space="preserve">ikumprojektā </w:t>
            </w:r>
            <w:r w:rsidRPr="0059022A">
              <w:rPr>
                <w:b w:val="0"/>
              </w:rPr>
              <w:t xml:space="preserve">noteiktajiem ieroču un speciālo līdzekļu izmantošanas un pielietošanas nosacījumiem ir attiecināms </w:t>
            </w:r>
            <w:r w:rsidR="00312793" w:rsidRPr="0059022A">
              <w:rPr>
                <w:b w:val="0"/>
              </w:rPr>
              <w:t xml:space="preserve">arī </w:t>
            </w:r>
            <w:r w:rsidRPr="0059022A">
              <w:rPr>
                <w:b w:val="0"/>
              </w:rPr>
              <w:t xml:space="preserve">aizliegums pārkāpt nepieciešamās aizstāvēšanās robežas un radīt personai kaitējumu, kas acīmredzami neatbilst nodarījuma, nepakļaušanās vai pretošanās raksturam, </w:t>
            </w:r>
            <w:r w:rsidR="00EA2694">
              <w:rPr>
                <w:b w:val="0"/>
              </w:rPr>
              <w:t xml:space="preserve">un šāds aizliegums </w:t>
            </w:r>
            <w:r w:rsidR="006D08CD" w:rsidRPr="0059022A">
              <w:rPr>
                <w:b w:val="0"/>
              </w:rPr>
              <w:t>paredzēts</w:t>
            </w:r>
            <w:r w:rsidRPr="0059022A">
              <w:rPr>
                <w:b w:val="0"/>
              </w:rPr>
              <w:t xml:space="preserve"> Krimināllikum</w:t>
            </w:r>
            <w:r w:rsidR="006D08CD" w:rsidRPr="0059022A">
              <w:rPr>
                <w:b w:val="0"/>
              </w:rPr>
              <w:t>ā</w:t>
            </w:r>
            <w:r w:rsidRPr="0059022A">
              <w:rPr>
                <w:b w:val="0"/>
              </w:rPr>
              <w:t>.</w:t>
            </w:r>
          </w:p>
          <w:p w14:paraId="02320E70" w14:textId="77777777" w:rsidR="00C359DF" w:rsidRDefault="00C359DF">
            <w:pPr>
              <w:pStyle w:val="BodyTextIndent"/>
              <w:spacing w:after="0"/>
              <w:rPr>
                <w:b w:val="0"/>
              </w:rPr>
            </w:pPr>
          </w:p>
          <w:p w14:paraId="2F99EB64" w14:textId="07AEDFD6" w:rsidR="007E666A" w:rsidRPr="00E24A71" w:rsidRDefault="00C359DF" w:rsidP="006E4E41">
            <w:pPr>
              <w:pStyle w:val="BodyTextIndent"/>
              <w:spacing w:after="0"/>
              <w:rPr>
                <w:b w:val="0"/>
              </w:rPr>
            </w:pPr>
            <w:r>
              <w:rPr>
                <w:b w:val="0"/>
              </w:rPr>
              <w:t>Pēc l</w:t>
            </w:r>
            <w:r w:rsidRPr="00C359DF">
              <w:rPr>
                <w:b w:val="0"/>
              </w:rPr>
              <w:t>ikumprojekta "Grozījums Apsardzes darbības likumā"</w:t>
            </w:r>
            <w:r w:rsidR="00211AF1">
              <w:rPr>
                <w:b w:val="0"/>
              </w:rPr>
              <w:t xml:space="preserve"> </w:t>
            </w:r>
            <w:r w:rsidR="00211AF1" w:rsidRPr="00211AF1">
              <w:rPr>
                <w:b w:val="0"/>
              </w:rPr>
              <w:t>(izsludināts 2016.gada 5.maija Valsts sekretāru sanāksmē (prot. Nr. 18 8. § (VSS-389))</w:t>
            </w:r>
            <w:r w:rsidRPr="00C359DF">
              <w:rPr>
                <w:b w:val="0"/>
              </w:rPr>
              <w:t xml:space="preserve">, kurš tiek virzīts vienlaikus ar šo likumprojektu, </w:t>
            </w:r>
            <w:r>
              <w:rPr>
                <w:b w:val="0"/>
              </w:rPr>
              <w:t>pieņemšanas</w:t>
            </w:r>
            <w:r w:rsidR="00E32F24">
              <w:rPr>
                <w:b w:val="0"/>
              </w:rPr>
              <w:t xml:space="preserve">, bet ne vēlāk kā </w:t>
            </w:r>
            <w:r w:rsidR="00E32F24" w:rsidRPr="00E32F24">
              <w:rPr>
                <w:b w:val="0"/>
              </w:rPr>
              <w:t>likuma spēkā stāšanās dienā</w:t>
            </w:r>
            <w:r w:rsidR="00E32F24">
              <w:rPr>
                <w:b w:val="0"/>
              </w:rPr>
              <w:t xml:space="preserve">, </w:t>
            </w:r>
            <w:r w:rsidR="00E32F24" w:rsidRPr="00E32F24">
              <w:rPr>
                <w:b w:val="0"/>
              </w:rPr>
              <w:t xml:space="preserve">Latvijas Banka nodos Valsts policijai Aizsardzības pārvaldei izsniegtās iekšējās drošības </w:t>
            </w:r>
            <w:r w:rsidR="00837B9F">
              <w:rPr>
                <w:b w:val="0"/>
              </w:rPr>
              <w:t>dienesta reģistrācijas apliecības</w:t>
            </w:r>
            <w:r w:rsidR="00E32F24" w:rsidRPr="00E32F24">
              <w:rPr>
                <w:b w:val="0"/>
              </w:rPr>
              <w:t xml:space="preserve"> un Valsts policija veiks attiecīgas izmaiņas tās administrētajā licenču un sertifikātu reģistrā, tādējādi izbeidzot Aizsardzības pārvaldes kā iekšējās drošības dienesta darbību</w:t>
            </w:r>
            <w:r w:rsidR="00E32F24">
              <w:rPr>
                <w:b w:val="0"/>
              </w:rPr>
              <w:t>.</w:t>
            </w:r>
          </w:p>
        </w:tc>
      </w:tr>
      <w:tr w:rsidR="0059022A" w:rsidRPr="0059022A" w14:paraId="5BC33471" w14:textId="77777777" w:rsidTr="00C13065">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6BDC94D8" w14:textId="77777777" w:rsidR="00933C15" w:rsidRPr="0059022A" w:rsidRDefault="00933C15" w:rsidP="00C13065">
            <w:pPr>
              <w:spacing w:before="100" w:beforeAutospacing="1" w:after="100" w:afterAutospacing="1" w:line="360" w:lineRule="auto"/>
              <w:ind w:firstLine="300"/>
              <w:jc w:val="center"/>
              <w:rPr>
                <w:rFonts w:eastAsia="Times New Roman" w:cs="Times New Roman"/>
                <w:szCs w:val="24"/>
                <w:lang w:eastAsia="lv-LV"/>
              </w:rPr>
            </w:pPr>
            <w:r w:rsidRPr="0059022A">
              <w:rPr>
                <w:rFonts w:eastAsia="Times New Roman" w:cs="Times New Roman"/>
                <w:szCs w:val="24"/>
                <w:lang w:eastAsia="lv-LV"/>
              </w:rPr>
              <w:lastRenderedPageBreak/>
              <w:t>3.</w:t>
            </w:r>
          </w:p>
        </w:tc>
        <w:tc>
          <w:tcPr>
            <w:tcW w:w="889" w:type="pct"/>
            <w:tcBorders>
              <w:top w:val="outset" w:sz="6" w:space="0" w:color="auto"/>
              <w:left w:val="outset" w:sz="6" w:space="0" w:color="auto"/>
              <w:bottom w:val="outset" w:sz="6" w:space="0" w:color="auto"/>
              <w:right w:val="outset" w:sz="6" w:space="0" w:color="auto"/>
            </w:tcBorders>
            <w:hideMark/>
          </w:tcPr>
          <w:p w14:paraId="084718A2"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Projekta izstrādē iesaistītās institūcijas</w:t>
            </w:r>
          </w:p>
        </w:tc>
        <w:tc>
          <w:tcPr>
            <w:tcW w:w="3695" w:type="pct"/>
            <w:tcBorders>
              <w:top w:val="outset" w:sz="6" w:space="0" w:color="auto"/>
              <w:left w:val="outset" w:sz="6" w:space="0" w:color="auto"/>
              <w:bottom w:val="outset" w:sz="6" w:space="0" w:color="auto"/>
              <w:right w:val="outset" w:sz="6" w:space="0" w:color="auto"/>
            </w:tcBorders>
            <w:hideMark/>
          </w:tcPr>
          <w:p w14:paraId="2A88C390" w14:textId="77777777" w:rsidR="00933C15" w:rsidRPr="0059022A" w:rsidRDefault="00933C15">
            <w:pPr>
              <w:jc w:val="both"/>
              <w:rPr>
                <w:rFonts w:cs="Times New Roman"/>
                <w:szCs w:val="24"/>
              </w:rPr>
            </w:pPr>
            <w:r w:rsidRPr="0059022A">
              <w:rPr>
                <w:rFonts w:cs="Times New Roman"/>
                <w:szCs w:val="24"/>
              </w:rPr>
              <w:t xml:space="preserve">Par likumprojekta izstrādi atbildīgā institūcija ir </w:t>
            </w:r>
            <w:r w:rsidR="006D08CD" w:rsidRPr="0059022A">
              <w:rPr>
                <w:rFonts w:cs="Times New Roman"/>
                <w:szCs w:val="24"/>
              </w:rPr>
              <w:t>Finanšu ministrija</w:t>
            </w:r>
            <w:r w:rsidR="00EA2694">
              <w:rPr>
                <w:rFonts w:cs="Times New Roman"/>
                <w:szCs w:val="24"/>
              </w:rPr>
              <w:t xml:space="preserve"> un </w:t>
            </w:r>
            <w:r w:rsidR="00EA2694" w:rsidRPr="0059022A">
              <w:rPr>
                <w:rFonts w:cs="Times New Roman"/>
                <w:szCs w:val="24"/>
              </w:rPr>
              <w:t>Latvijas Banka</w:t>
            </w:r>
            <w:r w:rsidRPr="0059022A">
              <w:rPr>
                <w:rFonts w:cs="Times New Roman"/>
                <w:szCs w:val="24"/>
              </w:rPr>
              <w:t>.</w:t>
            </w:r>
            <w:r w:rsidR="008D5AA3" w:rsidRPr="0059022A">
              <w:rPr>
                <w:rFonts w:cs="Times New Roman"/>
                <w:szCs w:val="24"/>
              </w:rPr>
              <w:t xml:space="preserve"> Likumprojekta izstrādes laikā </w:t>
            </w:r>
            <w:r w:rsidR="006D08CD" w:rsidRPr="0059022A">
              <w:rPr>
                <w:rFonts w:cs="Times New Roman"/>
                <w:szCs w:val="24"/>
              </w:rPr>
              <w:t xml:space="preserve">Latvijas Banka </w:t>
            </w:r>
            <w:r w:rsidR="008D5AA3" w:rsidRPr="0059022A">
              <w:rPr>
                <w:rFonts w:cs="Times New Roman"/>
                <w:szCs w:val="24"/>
              </w:rPr>
              <w:t>ir veik</w:t>
            </w:r>
            <w:r w:rsidR="006D08CD" w:rsidRPr="0059022A">
              <w:rPr>
                <w:rFonts w:cs="Times New Roman"/>
                <w:szCs w:val="24"/>
              </w:rPr>
              <w:t>usi</w:t>
            </w:r>
            <w:r w:rsidR="008D5AA3" w:rsidRPr="0059022A">
              <w:rPr>
                <w:rFonts w:cs="Times New Roman"/>
                <w:szCs w:val="24"/>
              </w:rPr>
              <w:t xml:space="preserve"> neformālas konsultācijas ar </w:t>
            </w:r>
            <w:proofErr w:type="spellStart"/>
            <w:r w:rsidR="008D5AA3" w:rsidRPr="0059022A">
              <w:rPr>
                <w:rFonts w:cs="Times New Roman"/>
                <w:szCs w:val="24"/>
              </w:rPr>
              <w:t>Iekšlietu</w:t>
            </w:r>
            <w:proofErr w:type="spellEnd"/>
            <w:r w:rsidR="008D5AA3" w:rsidRPr="0059022A">
              <w:rPr>
                <w:rFonts w:cs="Times New Roman"/>
                <w:szCs w:val="24"/>
              </w:rPr>
              <w:t xml:space="preserve"> ministrijas un Valsts policijas amatpersonām. </w:t>
            </w:r>
          </w:p>
        </w:tc>
      </w:tr>
      <w:tr w:rsidR="00933C15" w:rsidRPr="0059022A" w14:paraId="35D6D941" w14:textId="77777777" w:rsidTr="00C13065">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6ABFB7AD" w14:textId="77777777" w:rsidR="00933C15" w:rsidRPr="0059022A" w:rsidRDefault="00933C15" w:rsidP="00C13065">
            <w:pPr>
              <w:spacing w:before="100" w:beforeAutospacing="1" w:after="100" w:afterAutospacing="1" w:line="360" w:lineRule="auto"/>
              <w:ind w:firstLine="300"/>
              <w:jc w:val="center"/>
              <w:rPr>
                <w:rFonts w:eastAsia="Times New Roman" w:cs="Times New Roman"/>
                <w:szCs w:val="24"/>
                <w:lang w:eastAsia="lv-LV"/>
              </w:rPr>
            </w:pPr>
            <w:r w:rsidRPr="0059022A">
              <w:rPr>
                <w:rFonts w:eastAsia="Times New Roman" w:cs="Times New Roman"/>
                <w:szCs w:val="24"/>
                <w:lang w:eastAsia="lv-LV"/>
              </w:rPr>
              <w:t>4.</w:t>
            </w:r>
          </w:p>
        </w:tc>
        <w:tc>
          <w:tcPr>
            <w:tcW w:w="889" w:type="pct"/>
            <w:tcBorders>
              <w:top w:val="outset" w:sz="6" w:space="0" w:color="auto"/>
              <w:left w:val="outset" w:sz="6" w:space="0" w:color="auto"/>
              <w:bottom w:val="outset" w:sz="6" w:space="0" w:color="auto"/>
              <w:right w:val="outset" w:sz="6" w:space="0" w:color="auto"/>
            </w:tcBorders>
            <w:hideMark/>
          </w:tcPr>
          <w:p w14:paraId="57F665E0"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Cita informācija</w:t>
            </w:r>
          </w:p>
        </w:tc>
        <w:tc>
          <w:tcPr>
            <w:tcW w:w="3695" w:type="pct"/>
            <w:tcBorders>
              <w:top w:val="outset" w:sz="6" w:space="0" w:color="auto"/>
              <w:left w:val="outset" w:sz="6" w:space="0" w:color="auto"/>
              <w:bottom w:val="outset" w:sz="6" w:space="0" w:color="auto"/>
              <w:right w:val="outset" w:sz="6" w:space="0" w:color="auto"/>
            </w:tcBorders>
            <w:hideMark/>
          </w:tcPr>
          <w:p w14:paraId="22AF3026" w14:textId="4B586760" w:rsidR="00933C15" w:rsidRPr="0059022A" w:rsidRDefault="00933C15" w:rsidP="00C13065">
            <w:pPr>
              <w:spacing w:before="100" w:beforeAutospacing="1" w:after="100" w:afterAutospacing="1" w:line="360" w:lineRule="auto"/>
              <w:rPr>
                <w:rFonts w:eastAsia="Times New Roman" w:cs="Times New Roman"/>
                <w:szCs w:val="24"/>
                <w:lang w:eastAsia="lv-LV"/>
              </w:rPr>
            </w:pPr>
            <w:r w:rsidRPr="0059022A">
              <w:rPr>
                <w:rFonts w:eastAsia="Times New Roman" w:cs="Times New Roman"/>
                <w:szCs w:val="24"/>
                <w:lang w:eastAsia="lv-LV"/>
              </w:rPr>
              <w:t>Nav</w:t>
            </w:r>
            <w:r w:rsidR="00C17EA3">
              <w:rPr>
                <w:rFonts w:eastAsia="Times New Roman" w:cs="Times New Roman"/>
                <w:szCs w:val="24"/>
                <w:lang w:eastAsia="lv-LV"/>
              </w:rPr>
              <w:t>.</w:t>
            </w:r>
          </w:p>
        </w:tc>
      </w:tr>
    </w:tbl>
    <w:p w14:paraId="0E5955FA" w14:textId="77777777" w:rsidR="00997F20" w:rsidRDefault="00997F20" w:rsidP="00933C15">
      <w:pPr>
        <w:spacing w:before="100" w:beforeAutospacing="1" w:after="100" w:afterAutospacing="1" w:line="360" w:lineRule="auto"/>
        <w:rPr>
          <w:rFonts w:eastAsia="Times New Roman" w:cs="Times New Roman"/>
          <w:szCs w:val="24"/>
          <w:lang w:eastAsia="lv-LV"/>
        </w:rPr>
      </w:pPr>
    </w:p>
    <w:p w14:paraId="42B51EB3" w14:textId="77777777" w:rsidR="00F66A4C" w:rsidRPr="0059022A" w:rsidRDefault="00F66A4C" w:rsidP="00933C15">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5"/>
        <w:gridCol w:w="5278"/>
      </w:tblGrid>
      <w:tr w:rsidR="00837B9F" w:rsidRPr="0059022A" w14:paraId="774D479F" w14:textId="77777777" w:rsidTr="00DD2194">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FEE2BD" w14:textId="77777777" w:rsidR="00837B9F" w:rsidRPr="0059022A" w:rsidRDefault="00837B9F" w:rsidP="00DD2194">
            <w:pPr>
              <w:spacing w:before="100" w:beforeAutospacing="1" w:after="100" w:afterAutospacing="1" w:line="360" w:lineRule="auto"/>
              <w:ind w:firstLine="300"/>
              <w:jc w:val="center"/>
              <w:rPr>
                <w:rFonts w:eastAsia="Times New Roman" w:cs="Times New Roman"/>
                <w:b/>
                <w:bCs/>
                <w:szCs w:val="24"/>
                <w:lang w:eastAsia="lv-LV"/>
              </w:rPr>
            </w:pPr>
            <w:r w:rsidRPr="0059022A">
              <w:rPr>
                <w:rFonts w:eastAsia="Times New Roman" w:cs="Times New Roman"/>
                <w:b/>
                <w:bCs/>
                <w:szCs w:val="24"/>
                <w:lang w:eastAsia="lv-LV"/>
              </w:rPr>
              <w:t>II. Tiesību akta projekta ietekme uz sabiedrību, tautsaimniecības attīstību un administratīvo slogu</w:t>
            </w:r>
          </w:p>
        </w:tc>
      </w:tr>
      <w:tr w:rsidR="00837B9F" w:rsidRPr="0059022A" w14:paraId="7F7B659F" w14:textId="77777777" w:rsidTr="00DD2194">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AC18C3B" w14:textId="77777777" w:rsidR="00837B9F" w:rsidRPr="0059022A" w:rsidRDefault="00837B9F" w:rsidP="00DD2194">
            <w:pPr>
              <w:rPr>
                <w:rFonts w:eastAsia="Times New Roman" w:cs="Times New Roman"/>
                <w:szCs w:val="24"/>
                <w:lang w:eastAsia="lv-LV"/>
              </w:rPr>
            </w:pPr>
            <w:r w:rsidRPr="0059022A">
              <w:rPr>
                <w:rFonts w:eastAsia="Times New Roman" w:cs="Times New Roman"/>
                <w:szCs w:val="24"/>
                <w:lang w:eastAsia="lv-LV"/>
              </w:rPr>
              <w:lastRenderedPageBreak/>
              <w:t>1.</w:t>
            </w:r>
          </w:p>
        </w:tc>
        <w:tc>
          <w:tcPr>
            <w:tcW w:w="1528" w:type="pct"/>
            <w:tcBorders>
              <w:top w:val="outset" w:sz="6" w:space="0" w:color="auto"/>
              <w:left w:val="outset" w:sz="6" w:space="0" w:color="auto"/>
              <w:bottom w:val="outset" w:sz="6" w:space="0" w:color="auto"/>
              <w:right w:val="outset" w:sz="6" w:space="0" w:color="auto"/>
            </w:tcBorders>
            <w:hideMark/>
          </w:tcPr>
          <w:p w14:paraId="1E2D9BD0" w14:textId="77777777" w:rsidR="00837B9F" w:rsidRPr="0059022A" w:rsidRDefault="00837B9F" w:rsidP="00DD2194">
            <w:pPr>
              <w:rPr>
                <w:rFonts w:eastAsia="Times New Roman" w:cs="Times New Roman"/>
                <w:szCs w:val="24"/>
                <w:lang w:eastAsia="lv-LV"/>
              </w:rPr>
            </w:pPr>
            <w:r w:rsidRPr="0059022A">
              <w:rPr>
                <w:rFonts w:eastAsia="Times New Roman" w:cs="Times New Roman"/>
                <w:szCs w:val="24"/>
                <w:lang w:eastAsia="lv-LV"/>
              </w:rPr>
              <w:t xml:space="preserve">Sabiedrības </w:t>
            </w:r>
            <w:proofErr w:type="spellStart"/>
            <w:r w:rsidRPr="0059022A">
              <w:rPr>
                <w:rFonts w:eastAsia="Times New Roman" w:cs="Times New Roman"/>
                <w:szCs w:val="24"/>
                <w:lang w:eastAsia="lv-LV"/>
              </w:rPr>
              <w:t>mērķgrupas</w:t>
            </w:r>
            <w:proofErr w:type="spellEnd"/>
            <w:r w:rsidRPr="0059022A">
              <w:rPr>
                <w:rFonts w:eastAsia="Times New Roman" w:cs="Times New Roman"/>
                <w:szCs w:val="24"/>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14:paraId="56BF2F03" w14:textId="66F96A93" w:rsidR="00C17EA3" w:rsidRPr="00C17EA3" w:rsidRDefault="00837B9F" w:rsidP="00DD2194">
            <w:pPr>
              <w:jc w:val="both"/>
              <w:rPr>
                <w:rFonts w:cs="Times New Roman"/>
              </w:rPr>
            </w:pPr>
            <w:r>
              <w:rPr>
                <w:rFonts w:cs="Times New Roman"/>
              </w:rPr>
              <w:t>Jautājumam nav tiešas ietekmes uz sabiedrību kopumā</w:t>
            </w:r>
            <w:r w:rsidRPr="0059022A">
              <w:rPr>
                <w:rFonts w:cs="Times New Roman"/>
              </w:rPr>
              <w:t>.</w:t>
            </w:r>
            <w:r w:rsidR="00C17EA3">
              <w:rPr>
                <w:rFonts w:cs="Times New Roman"/>
              </w:rPr>
              <w:t xml:space="preserve"> Jautājums saistīts ar Latvijas Bankas funkciju izpildi.</w:t>
            </w:r>
          </w:p>
        </w:tc>
      </w:tr>
      <w:tr w:rsidR="00837B9F" w:rsidRPr="0059022A" w14:paraId="70B325FA" w14:textId="77777777" w:rsidTr="00DD2194">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3BF6754E" w14:textId="6CC13507" w:rsidR="00837B9F" w:rsidRPr="0059022A" w:rsidRDefault="00837B9F" w:rsidP="00DD2194">
            <w:pPr>
              <w:rPr>
                <w:rFonts w:eastAsia="Times New Roman" w:cs="Times New Roman"/>
                <w:szCs w:val="24"/>
                <w:lang w:eastAsia="lv-LV"/>
              </w:rPr>
            </w:pPr>
            <w:r w:rsidRPr="0059022A">
              <w:rPr>
                <w:rFonts w:eastAsia="Times New Roman" w:cs="Times New Roman"/>
                <w:szCs w:val="24"/>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14:paraId="78FF0494" w14:textId="77777777" w:rsidR="00837B9F" w:rsidRPr="0059022A" w:rsidRDefault="00837B9F" w:rsidP="00DD2194">
            <w:pPr>
              <w:rPr>
                <w:rFonts w:eastAsia="Times New Roman" w:cs="Times New Roman"/>
                <w:szCs w:val="24"/>
                <w:lang w:eastAsia="lv-LV"/>
              </w:rPr>
            </w:pPr>
            <w:r w:rsidRPr="0059022A">
              <w:rPr>
                <w:rFonts w:eastAsia="Times New Roman" w:cs="Times New Roman"/>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14:paraId="6A5F9A66" w14:textId="77777777" w:rsidR="00837B9F" w:rsidRPr="0059022A" w:rsidRDefault="00837B9F" w:rsidP="00DD2194">
            <w:pPr>
              <w:jc w:val="both"/>
              <w:rPr>
                <w:rFonts w:cs="Times New Roman"/>
                <w:szCs w:val="24"/>
              </w:rPr>
            </w:pPr>
            <w:r w:rsidRPr="0059022A">
              <w:rPr>
                <w:rFonts w:eastAsia="Calibri" w:cs="Times New Roman"/>
                <w:szCs w:val="24"/>
              </w:rPr>
              <w:t xml:space="preserve">Likumprojekta pieņemšana neatstāj ietekmi uz </w:t>
            </w:r>
            <w:r w:rsidRPr="0059022A">
              <w:rPr>
                <w:rFonts w:eastAsia="Times New Roman" w:cs="Times New Roman"/>
                <w:szCs w:val="24"/>
                <w:lang w:eastAsia="lv-LV"/>
              </w:rPr>
              <w:t>tautsaimniecību un administratīvo slogu</w:t>
            </w:r>
            <w:r w:rsidRPr="0059022A">
              <w:rPr>
                <w:rFonts w:eastAsia="Calibri" w:cs="Times New Roman"/>
                <w:szCs w:val="24"/>
              </w:rPr>
              <w:t>.</w:t>
            </w:r>
          </w:p>
        </w:tc>
      </w:tr>
      <w:tr w:rsidR="00837B9F" w:rsidRPr="0059022A" w14:paraId="7ADD2490" w14:textId="77777777" w:rsidTr="00DD2194">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3C4C961" w14:textId="77777777" w:rsidR="00837B9F" w:rsidRPr="0059022A" w:rsidRDefault="00837B9F" w:rsidP="00DD2194">
            <w:pPr>
              <w:rPr>
                <w:rFonts w:eastAsia="Times New Roman" w:cs="Times New Roman"/>
                <w:szCs w:val="24"/>
                <w:lang w:eastAsia="lv-LV"/>
              </w:rPr>
            </w:pPr>
            <w:r w:rsidRPr="0059022A">
              <w:rPr>
                <w:rFonts w:eastAsia="Times New Roman" w:cs="Times New Roman"/>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14:paraId="4F6E54E5" w14:textId="77777777" w:rsidR="00837B9F" w:rsidRPr="0059022A" w:rsidRDefault="00837B9F" w:rsidP="00DD2194">
            <w:pPr>
              <w:rPr>
                <w:rFonts w:eastAsia="Times New Roman" w:cs="Times New Roman"/>
                <w:szCs w:val="24"/>
                <w:lang w:eastAsia="lv-LV"/>
              </w:rPr>
            </w:pPr>
            <w:r w:rsidRPr="0059022A">
              <w:rPr>
                <w:rFonts w:eastAsia="Times New Roman" w:cs="Times New Roman"/>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14:paraId="56BBBA0B" w14:textId="77777777" w:rsidR="00837B9F" w:rsidRPr="0059022A" w:rsidRDefault="00837B9F" w:rsidP="00DD2194">
            <w:pPr>
              <w:jc w:val="both"/>
              <w:rPr>
                <w:rFonts w:eastAsia="Calibri" w:cs="Times New Roman"/>
                <w:szCs w:val="24"/>
              </w:rPr>
            </w:pPr>
            <w:r w:rsidRPr="0059022A">
              <w:rPr>
                <w:rFonts w:eastAsia="Calibri" w:cs="Times New Roman"/>
                <w:szCs w:val="24"/>
              </w:rPr>
              <w:t>Nav attiecināms.</w:t>
            </w:r>
          </w:p>
        </w:tc>
      </w:tr>
      <w:tr w:rsidR="00837B9F" w:rsidRPr="0059022A" w14:paraId="0FCF4AA9" w14:textId="77777777" w:rsidTr="00DD2194">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10D0B016" w14:textId="77777777" w:rsidR="00837B9F" w:rsidRPr="0059022A" w:rsidRDefault="00837B9F" w:rsidP="00DD2194">
            <w:pPr>
              <w:rPr>
                <w:rFonts w:eastAsia="Times New Roman" w:cs="Times New Roman"/>
                <w:szCs w:val="24"/>
                <w:lang w:eastAsia="lv-LV"/>
              </w:rPr>
            </w:pPr>
            <w:r w:rsidRPr="0059022A">
              <w:rPr>
                <w:rFonts w:eastAsia="Times New Roman" w:cs="Times New Roman"/>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14:paraId="30FFF490" w14:textId="77777777" w:rsidR="00837B9F" w:rsidRPr="0059022A" w:rsidRDefault="00837B9F" w:rsidP="00DD2194">
            <w:pPr>
              <w:rPr>
                <w:rFonts w:eastAsia="Times New Roman" w:cs="Times New Roman"/>
                <w:szCs w:val="24"/>
                <w:lang w:eastAsia="lv-LV"/>
              </w:rPr>
            </w:pPr>
            <w:r w:rsidRPr="0059022A">
              <w:rPr>
                <w:rFonts w:eastAsia="Times New Roman" w:cs="Times New Roman"/>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14:paraId="66561778" w14:textId="32D30285" w:rsidR="00837B9F" w:rsidRPr="0059022A" w:rsidRDefault="00837B9F" w:rsidP="00DD2194">
            <w:pPr>
              <w:spacing w:before="100" w:beforeAutospacing="1" w:after="100" w:afterAutospacing="1" w:line="360" w:lineRule="auto"/>
              <w:jc w:val="both"/>
              <w:rPr>
                <w:rFonts w:eastAsia="Times New Roman" w:cs="Times New Roman"/>
                <w:szCs w:val="24"/>
                <w:lang w:eastAsia="lv-LV"/>
              </w:rPr>
            </w:pPr>
            <w:r w:rsidRPr="0059022A">
              <w:rPr>
                <w:rFonts w:eastAsia="Times New Roman" w:cs="Times New Roman"/>
                <w:szCs w:val="24"/>
                <w:lang w:eastAsia="lv-LV"/>
              </w:rPr>
              <w:t>Nav</w:t>
            </w:r>
            <w:r w:rsidR="00C17EA3">
              <w:rPr>
                <w:rFonts w:eastAsia="Times New Roman" w:cs="Times New Roman"/>
                <w:szCs w:val="24"/>
                <w:lang w:eastAsia="lv-LV"/>
              </w:rPr>
              <w:t>.</w:t>
            </w:r>
            <w:r w:rsidRPr="0059022A">
              <w:rPr>
                <w:rFonts w:eastAsia="Times New Roman" w:cs="Times New Roman"/>
                <w:szCs w:val="24"/>
                <w:lang w:eastAsia="lv-LV"/>
              </w:rPr>
              <w:t xml:space="preserve"> </w:t>
            </w:r>
          </w:p>
        </w:tc>
      </w:tr>
    </w:tbl>
    <w:p w14:paraId="75F36928" w14:textId="77777777" w:rsidR="00837B9F" w:rsidRPr="0059022A" w:rsidRDefault="00837B9F" w:rsidP="00933C15">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6"/>
      </w:tblGrid>
      <w:tr w:rsidR="0059022A" w:rsidRPr="0059022A" w14:paraId="7B877435" w14:textId="77777777" w:rsidTr="008B7644">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BDC050" w14:textId="77777777" w:rsidR="0038617D" w:rsidRPr="0059022A" w:rsidRDefault="0038617D" w:rsidP="008B7644">
            <w:pPr>
              <w:spacing w:before="100" w:beforeAutospacing="1" w:after="100" w:afterAutospacing="1" w:line="360" w:lineRule="auto"/>
              <w:ind w:firstLine="300"/>
              <w:jc w:val="center"/>
              <w:rPr>
                <w:rFonts w:eastAsia="Times New Roman" w:cs="Times New Roman"/>
                <w:b/>
                <w:bCs/>
                <w:szCs w:val="24"/>
                <w:lang w:eastAsia="lv-LV"/>
              </w:rPr>
            </w:pPr>
            <w:r w:rsidRPr="0059022A">
              <w:rPr>
                <w:rFonts w:eastAsia="Times New Roman" w:cs="Times New Roman"/>
                <w:b/>
                <w:bCs/>
                <w:szCs w:val="24"/>
                <w:lang w:eastAsia="lv-LV"/>
              </w:rPr>
              <w:t>III. Tiesību akta projekta ietekme uz valsts budžetu un pašvaldību budžetiem</w:t>
            </w:r>
          </w:p>
        </w:tc>
      </w:tr>
      <w:tr w:rsidR="0059022A" w:rsidRPr="0059022A" w14:paraId="15B20FF2" w14:textId="77777777" w:rsidTr="008B7644">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6820978" w14:textId="77777777" w:rsidR="0038617D" w:rsidRPr="0059022A" w:rsidRDefault="0038617D" w:rsidP="008B7644">
            <w:pPr>
              <w:spacing w:before="100" w:beforeAutospacing="1" w:after="100" w:afterAutospacing="1" w:line="360" w:lineRule="auto"/>
              <w:ind w:firstLine="300"/>
              <w:jc w:val="center"/>
              <w:rPr>
                <w:rFonts w:eastAsia="Times New Roman" w:cs="Times New Roman"/>
                <w:b/>
                <w:bCs/>
                <w:szCs w:val="24"/>
                <w:lang w:eastAsia="lv-LV"/>
              </w:rPr>
            </w:pPr>
            <w:r w:rsidRPr="0059022A">
              <w:rPr>
                <w:rFonts w:cs="Times New Roman"/>
                <w:i/>
              </w:rPr>
              <w:t>Projekts šo jomu neskar</w:t>
            </w:r>
            <w:r w:rsidRPr="0059022A">
              <w:rPr>
                <w:rFonts w:cs="Times New Roman"/>
              </w:rPr>
              <w:t>.</w:t>
            </w:r>
          </w:p>
        </w:tc>
      </w:tr>
    </w:tbl>
    <w:p w14:paraId="6B1A7819" w14:textId="77777777" w:rsidR="0038617D" w:rsidRPr="00F66A4C" w:rsidRDefault="0038617D" w:rsidP="00FF0F84">
      <w:pPr>
        <w:spacing w:before="100" w:beforeAutospacing="1" w:after="100" w:afterAutospacing="1" w:line="360" w:lineRule="auto"/>
        <w:rPr>
          <w:rFonts w:cs="Times New Roman"/>
          <w:bCs/>
          <w:iCs/>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45"/>
        <w:gridCol w:w="6036"/>
      </w:tblGrid>
      <w:tr w:rsidR="0059022A" w:rsidRPr="0059022A" w14:paraId="170F9B75" w14:textId="77777777" w:rsidTr="008B7644">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7E5855" w14:textId="77777777" w:rsidR="0038617D" w:rsidRPr="0059022A" w:rsidRDefault="0038617D" w:rsidP="008B7644">
            <w:pPr>
              <w:spacing w:before="100" w:beforeAutospacing="1" w:after="100" w:afterAutospacing="1" w:line="360" w:lineRule="auto"/>
              <w:ind w:firstLine="300"/>
              <w:jc w:val="center"/>
              <w:rPr>
                <w:rFonts w:eastAsia="Times New Roman" w:cs="Times New Roman"/>
                <w:b/>
                <w:bCs/>
                <w:szCs w:val="24"/>
                <w:lang w:eastAsia="lv-LV"/>
              </w:rPr>
            </w:pPr>
            <w:r w:rsidRPr="0059022A">
              <w:rPr>
                <w:rFonts w:eastAsia="Times New Roman" w:cs="Times New Roman"/>
                <w:b/>
                <w:bCs/>
                <w:szCs w:val="24"/>
                <w:lang w:eastAsia="lv-LV"/>
              </w:rPr>
              <w:t>IV. Tiesību akta projekta ietekme uz spēkā esošo tiesību normu sistēmu</w:t>
            </w:r>
          </w:p>
        </w:tc>
      </w:tr>
      <w:tr w:rsidR="00132A5F" w:rsidRPr="0059022A" w14:paraId="138F2FDA" w14:textId="77777777" w:rsidTr="0099212F">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4CCBA49B" w14:textId="77777777" w:rsidR="001346BF" w:rsidRPr="0059022A" w:rsidRDefault="001346BF" w:rsidP="001346BF">
            <w:pPr>
              <w:rPr>
                <w:rFonts w:eastAsia="Times New Roman" w:cs="Times New Roman"/>
                <w:szCs w:val="24"/>
                <w:lang w:eastAsia="lv-LV"/>
              </w:rPr>
            </w:pPr>
            <w:r w:rsidRPr="0059022A">
              <w:rPr>
                <w:rFonts w:eastAsia="Times New Roman" w:cs="Times New Roman"/>
                <w:szCs w:val="24"/>
                <w:lang w:eastAsia="lv-LV"/>
              </w:rPr>
              <w:t>1.</w:t>
            </w:r>
          </w:p>
        </w:tc>
        <w:tc>
          <w:tcPr>
            <w:tcW w:w="0" w:type="auto"/>
            <w:tcBorders>
              <w:top w:val="outset" w:sz="6" w:space="0" w:color="auto"/>
              <w:left w:val="outset" w:sz="6" w:space="0" w:color="auto"/>
              <w:bottom w:val="outset" w:sz="6" w:space="0" w:color="auto"/>
              <w:right w:val="outset" w:sz="6" w:space="0" w:color="auto"/>
            </w:tcBorders>
          </w:tcPr>
          <w:p w14:paraId="3B76A4A0" w14:textId="77777777" w:rsidR="001346BF" w:rsidRPr="0059022A" w:rsidRDefault="001346BF" w:rsidP="001346BF">
            <w:pPr>
              <w:rPr>
                <w:rFonts w:eastAsia="Times New Roman" w:cs="Times New Roman"/>
                <w:szCs w:val="24"/>
                <w:lang w:eastAsia="lv-LV"/>
              </w:rPr>
            </w:pPr>
            <w:r w:rsidRPr="0059022A">
              <w:rPr>
                <w:rFonts w:eastAsia="Times New Roman" w:cs="Times New Roman"/>
                <w:szCs w:val="24"/>
                <w:lang w:eastAsia="lv-LV"/>
              </w:rPr>
              <w:t>Nepieciešamie saistītie tiesību aktu projekti</w:t>
            </w:r>
          </w:p>
        </w:tc>
        <w:tc>
          <w:tcPr>
            <w:tcW w:w="0" w:type="auto"/>
            <w:tcBorders>
              <w:top w:val="outset" w:sz="6" w:space="0" w:color="auto"/>
              <w:left w:val="outset" w:sz="6" w:space="0" w:color="auto"/>
              <w:bottom w:val="outset" w:sz="6" w:space="0" w:color="auto"/>
              <w:right w:val="outset" w:sz="6" w:space="0" w:color="auto"/>
            </w:tcBorders>
          </w:tcPr>
          <w:p w14:paraId="2D0D2AAB" w14:textId="7E8FD53C" w:rsidR="001346BF" w:rsidRDefault="00562206" w:rsidP="003002E2">
            <w:pPr>
              <w:pStyle w:val="naiskr"/>
              <w:tabs>
                <w:tab w:val="left" w:pos="2628"/>
              </w:tabs>
              <w:spacing w:before="0" w:after="0"/>
              <w:jc w:val="both"/>
            </w:pPr>
            <w:r>
              <w:t>Vienlaikus nepieciešams</w:t>
            </w:r>
            <w:r w:rsidR="001346BF" w:rsidRPr="0059022A">
              <w:t xml:space="preserve"> veikt grozījumu Apsardzes darbības likuma 2.panta trešās daļas 1.punktā</w:t>
            </w:r>
            <w:r w:rsidR="00132A5F">
              <w:t xml:space="preserve"> (likumprojekts "Grozījums Apsardzes darbības likumā" izsludināts 2016.gada 5.maija Valsts sekretāru sanāksm</w:t>
            </w:r>
            <w:r w:rsidR="00837B9F">
              <w:t>ē (prot. Nr. 18 8. § (VSS-389))</w:t>
            </w:r>
            <w:r w:rsidR="001346BF" w:rsidRPr="0059022A">
              <w:t>,</w:t>
            </w:r>
            <w:r w:rsidR="00C17EA3">
              <w:t xml:space="preserve"> </w:t>
            </w:r>
            <w:r w:rsidR="001346BF" w:rsidRPr="0059022A">
              <w:t>nosakot, ka Apsardzes darbības likums neattiecas uz Aizsardzības pārvaldi, jo tās darbību nosaka speciāls likums</w:t>
            </w:r>
            <w:r w:rsidR="00DC6E0A" w:rsidRPr="0059022A">
              <w:t xml:space="preserve"> (likums "Par Latvijas Banku")</w:t>
            </w:r>
            <w:r w:rsidR="001346BF" w:rsidRPr="0059022A">
              <w:t>.</w:t>
            </w:r>
          </w:p>
          <w:p w14:paraId="68A273F1" w14:textId="77777777" w:rsidR="00316EF2" w:rsidRDefault="00316EF2" w:rsidP="00864022">
            <w:pPr>
              <w:pStyle w:val="naiskr"/>
              <w:tabs>
                <w:tab w:val="left" w:pos="2628"/>
              </w:tabs>
              <w:spacing w:before="0" w:after="0"/>
              <w:jc w:val="both"/>
            </w:pPr>
          </w:p>
          <w:p w14:paraId="4A39035E" w14:textId="7A068ED5" w:rsidR="00864022" w:rsidRDefault="00C4771C" w:rsidP="00864022">
            <w:pPr>
              <w:pStyle w:val="naiskr"/>
              <w:tabs>
                <w:tab w:val="left" w:pos="2628"/>
              </w:tabs>
              <w:spacing w:before="0" w:after="0"/>
              <w:jc w:val="both"/>
            </w:pPr>
            <w:r>
              <w:t>L</w:t>
            </w:r>
            <w:r w:rsidR="00F846EB">
              <w:t>īdz likumprojektā paredzētajai likuma</w:t>
            </w:r>
            <w:r>
              <w:t xml:space="preserve"> spēkā stāšanās dienai nepieciešams izdot likumprojektā ietvertā likuma 42.</w:t>
            </w:r>
            <w:r w:rsidRPr="00326604">
              <w:rPr>
                <w:vertAlign w:val="superscript"/>
              </w:rPr>
              <w:t xml:space="preserve">2 </w:t>
            </w:r>
            <w:r>
              <w:t>panta otrajā daļā minētos Latvijas Bankas iekšējos normatīvos aktus</w:t>
            </w:r>
            <w:r w:rsidR="00F846EB">
              <w:t xml:space="preserve"> </w:t>
            </w:r>
            <w:r w:rsidR="00864022">
              <w:t>(</w:t>
            </w:r>
            <w:r w:rsidR="00F846EB">
              <w:t>Latvijas Bankas padomes noteikumus</w:t>
            </w:r>
            <w:r w:rsidR="00864022">
              <w:t>), ar kuriem tiks:</w:t>
            </w:r>
          </w:p>
          <w:p w14:paraId="7D9FA739" w14:textId="6F8193E7" w:rsidR="00864022" w:rsidRDefault="00864022" w:rsidP="00864022">
            <w:pPr>
              <w:rPr>
                <w:szCs w:val="24"/>
              </w:rPr>
            </w:pPr>
            <w:r>
              <w:rPr>
                <w:szCs w:val="24"/>
              </w:rPr>
              <w:t>1)</w:t>
            </w:r>
            <w:r w:rsidR="00AA6D1B">
              <w:rPr>
                <w:szCs w:val="24"/>
              </w:rPr>
              <w:t xml:space="preserve"> noteikta</w:t>
            </w:r>
            <w:r>
              <w:rPr>
                <w:szCs w:val="24"/>
              </w:rPr>
              <w:t xml:space="preserve"> </w:t>
            </w:r>
            <w:r w:rsidRPr="00712E0F">
              <w:rPr>
                <w:szCs w:val="24"/>
              </w:rPr>
              <w:t>Latvijas Bankas Aizsardzības pārvaldes valdījumā esošo ieroču un speciālo līdzekļu glabāšanas</w:t>
            </w:r>
            <w:r>
              <w:rPr>
                <w:szCs w:val="24"/>
              </w:rPr>
              <w:t>,</w:t>
            </w:r>
            <w:r w:rsidRPr="00712E0F">
              <w:rPr>
                <w:szCs w:val="24"/>
              </w:rPr>
              <w:t xml:space="preserve"> nēsāšanas</w:t>
            </w:r>
            <w:r>
              <w:rPr>
                <w:szCs w:val="24"/>
              </w:rPr>
              <w:t>, izmantošanas un pielietošanas</w:t>
            </w:r>
            <w:r w:rsidRPr="00712E0F">
              <w:rPr>
                <w:szCs w:val="24"/>
              </w:rPr>
              <w:t xml:space="preserve"> kārtīb</w:t>
            </w:r>
            <w:r>
              <w:rPr>
                <w:szCs w:val="24"/>
              </w:rPr>
              <w:t>a;</w:t>
            </w:r>
          </w:p>
          <w:p w14:paraId="5196718E" w14:textId="249231FE" w:rsidR="00882C88" w:rsidRPr="00882C88" w:rsidRDefault="00864022" w:rsidP="006E4E41">
            <w:pPr>
              <w:pStyle w:val="naiskr"/>
              <w:tabs>
                <w:tab w:val="left" w:pos="2628"/>
              </w:tabs>
              <w:spacing w:before="0" w:after="0"/>
              <w:jc w:val="both"/>
            </w:pPr>
            <w:r>
              <w:t xml:space="preserve">2) </w:t>
            </w:r>
            <w:r w:rsidR="00AA6D1B">
              <w:t xml:space="preserve">noteikti </w:t>
            </w:r>
            <w:r>
              <w:t xml:space="preserve">speciālo līdzekļu veidi, kurus ir tiesīgs lietot </w:t>
            </w:r>
            <w:r w:rsidRPr="00712E0F">
              <w:t>Latvijas Bankas Aizsardzības pārvaldes darbiniek</w:t>
            </w:r>
            <w:r>
              <w:t xml:space="preserve">s, pildot </w:t>
            </w:r>
            <w:r w:rsidRPr="00712E0F">
              <w:t>darba pienākumu</w:t>
            </w:r>
            <w:r>
              <w:t>s</w:t>
            </w:r>
            <w:r w:rsidR="00C4771C">
              <w:t>.</w:t>
            </w:r>
          </w:p>
        </w:tc>
      </w:tr>
      <w:tr w:rsidR="00132A5F" w:rsidRPr="0059022A" w14:paraId="6DF70CB2" w14:textId="77777777" w:rsidTr="0099212F">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772B7ACF" w14:textId="77777777" w:rsidR="001346BF" w:rsidRPr="0059022A" w:rsidRDefault="001346BF" w:rsidP="001346BF">
            <w:pPr>
              <w:rPr>
                <w:rFonts w:eastAsia="Times New Roman" w:cs="Times New Roman"/>
                <w:szCs w:val="24"/>
                <w:lang w:eastAsia="lv-LV"/>
              </w:rPr>
            </w:pPr>
            <w:r w:rsidRPr="0059022A">
              <w:rPr>
                <w:rFonts w:eastAsia="Times New Roman" w:cs="Times New Roman"/>
                <w:szCs w:val="24"/>
                <w:lang w:eastAsia="lv-LV"/>
              </w:rPr>
              <w:t>2.</w:t>
            </w:r>
          </w:p>
        </w:tc>
        <w:tc>
          <w:tcPr>
            <w:tcW w:w="0" w:type="auto"/>
            <w:tcBorders>
              <w:top w:val="outset" w:sz="6" w:space="0" w:color="auto"/>
              <w:left w:val="outset" w:sz="6" w:space="0" w:color="auto"/>
              <w:bottom w:val="outset" w:sz="6" w:space="0" w:color="auto"/>
              <w:right w:val="outset" w:sz="6" w:space="0" w:color="auto"/>
            </w:tcBorders>
          </w:tcPr>
          <w:p w14:paraId="5A135561" w14:textId="77777777" w:rsidR="001346BF" w:rsidRPr="0059022A" w:rsidRDefault="001346BF" w:rsidP="001346BF">
            <w:pPr>
              <w:rPr>
                <w:rFonts w:eastAsia="Times New Roman" w:cs="Times New Roman"/>
                <w:szCs w:val="24"/>
                <w:lang w:eastAsia="lv-LV"/>
              </w:rPr>
            </w:pPr>
            <w:r w:rsidRPr="0059022A">
              <w:rPr>
                <w:rFonts w:eastAsia="Times New Roman" w:cs="Times New Roman"/>
                <w:szCs w:val="24"/>
                <w:lang w:eastAsia="lv-LV"/>
              </w:rPr>
              <w:t>Atbildīgā institūcija</w:t>
            </w:r>
          </w:p>
        </w:tc>
        <w:tc>
          <w:tcPr>
            <w:tcW w:w="0" w:type="auto"/>
            <w:tcBorders>
              <w:top w:val="outset" w:sz="6" w:space="0" w:color="auto"/>
              <w:left w:val="outset" w:sz="6" w:space="0" w:color="auto"/>
              <w:bottom w:val="outset" w:sz="6" w:space="0" w:color="auto"/>
              <w:right w:val="outset" w:sz="6" w:space="0" w:color="auto"/>
            </w:tcBorders>
          </w:tcPr>
          <w:p w14:paraId="32BF3F95" w14:textId="77777777" w:rsidR="001346BF" w:rsidRPr="0059022A" w:rsidRDefault="001346BF" w:rsidP="001346BF">
            <w:pPr>
              <w:rPr>
                <w:rFonts w:eastAsia="Times New Roman" w:cs="Times New Roman"/>
                <w:szCs w:val="24"/>
                <w:lang w:eastAsia="lv-LV"/>
              </w:rPr>
            </w:pPr>
            <w:r w:rsidRPr="0059022A">
              <w:rPr>
                <w:rFonts w:cs="Times New Roman"/>
                <w:szCs w:val="24"/>
              </w:rPr>
              <w:t>Finanšu ministrija</w:t>
            </w:r>
            <w:r w:rsidR="00A83E8E">
              <w:rPr>
                <w:rFonts w:cs="Times New Roman"/>
                <w:szCs w:val="24"/>
              </w:rPr>
              <w:t xml:space="preserve"> un </w:t>
            </w:r>
            <w:r w:rsidR="00A83E8E" w:rsidRPr="0059022A">
              <w:rPr>
                <w:rFonts w:cs="Times New Roman"/>
                <w:szCs w:val="24"/>
              </w:rPr>
              <w:t xml:space="preserve">Latvijas </w:t>
            </w:r>
            <w:r w:rsidR="00A83E8E">
              <w:rPr>
                <w:rFonts w:cs="Times New Roman"/>
                <w:szCs w:val="24"/>
              </w:rPr>
              <w:t>Banka</w:t>
            </w:r>
            <w:r w:rsidRPr="0059022A">
              <w:rPr>
                <w:rFonts w:cs="Times New Roman"/>
                <w:szCs w:val="24"/>
              </w:rPr>
              <w:t>.</w:t>
            </w:r>
          </w:p>
        </w:tc>
      </w:tr>
    </w:tbl>
    <w:p w14:paraId="39AEF323" w14:textId="77777777" w:rsidR="0038617D" w:rsidRPr="0059022A" w:rsidRDefault="0038617D" w:rsidP="00933C15">
      <w:pPr>
        <w:spacing w:before="100" w:beforeAutospacing="1" w:after="100" w:afterAutospacing="1" w:line="360" w:lineRule="auto"/>
        <w:rPr>
          <w:rFonts w:cs="Times New Roman"/>
          <w:b/>
          <w:bCs/>
          <w:iCs/>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4"/>
        <w:gridCol w:w="2483"/>
        <w:gridCol w:w="5359"/>
      </w:tblGrid>
      <w:tr w:rsidR="0059022A" w:rsidRPr="0059022A" w14:paraId="61AF54C1" w14:textId="77777777" w:rsidTr="00C13065">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B263E7" w14:textId="77777777" w:rsidR="00933C15" w:rsidRPr="0059022A" w:rsidRDefault="00933C15" w:rsidP="00C13065">
            <w:pPr>
              <w:spacing w:before="100" w:beforeAutospacing="1" w:after="100" w:afterAutospacing="1" w:line="360" w:lineRule="auto"/>
              <w:ind w:firstLine="300"/>
              <w:jc w:val="center"/>
              <w:rPr>
                <w:rFonts w:eastAsia="Times New Roman" w:cs="Times New Roman"/>
                <w:b/>
                <w:bCs/>
                <w:szCs w:val="24"/>
                <w:lang w:eastAsia="lv-LV"/>
              </w:rPr>
            </w:pPr>
            <w:r w:rsidRPr="0059022A">
              <w:rPr>
                <w:rFonts w:eastAsia="Times New Roman" w:cs="Times New Roman"/>
                <w:b/>
                <w:bCs/>
                <w:szCs w:val="24"/>
                <w:lang w:eastAsia="lv-LV"/>
              </w:rPr>
              <w:t>VI. Sabiedrības līdzdalība un komunikācijas aktivitātes</w:t>
            </w:r>
          </w:p>
        </w:tc>
      </w:tr>
      <w:tr w:rsidR="0059022A" w:rsidRPr="0059022A" w14:paraId="6359DC0A" w14:textId="77777777" w:rsidTr="00FF0F84">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1E536707"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14:paraId="00A43523"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tcPr>
          <w:p w14:paraId="36973F08" w14:textId="6BEAE197" w:rsidR="00933C15" w:rsidRPr="00C17EA3" w:rsidRDefault="002E3392" w:rsidP="00553F2C">
            <w:pPr>
              <w:jc w:val="both"/>
              <w:rPr>
                <w:rFonts w:cs="Times New Roman"/>
                <w:szCs w:val="24"/>
              </w:rPr>
            </w:pPr>
            <w:r w:rsidRPr="00C17EA3">
              <w:rPr>
                <w:rFonts w:eastAsia="Times New Roman"/>
                <w:szCs w:val="24"/>
              </w:rPr>
              <w:t xml:space="preserve">Uzziņa par likumprojektu </w:t>
            </w:r>
            <w:r w:rsidR="00946D34" w:rsidRPr="00C17EA3">
              <w:rPr>
                <w:rFonts w:eastAsia="Times New Roman"/>
                <w:szCs w:val="24"/>
              </w:rPr>
              <w:t xml:space="preserve">2016.gada 14.aprīlī </w:t>
            </w:r>
            <w:r w:rsidRPr="00C17EA3">
              <w:rPr>
                <w:rFonts w:eastAsia="Times New Roman"/>
                <w:szCs w:val="24"/>
              </w:rPr>
              <w:t xml:space="preserve">tika publicēta Finanšu ministrijas mājas lapā, sadaļā </w:t>
            </w:r>
            <w:r w:rsidR="00553F2C" w:rsidRPr="00C17EA3">
              <w:rPr>
                <w:rFonts w:eastAsia="Times New Roman"/>
                <w:szCs w:val="24"/>
              </w:rPr>
              <w:t>"</w:t>
            </w:r>
            <w:r w:rsidRPr="00C17EA3">
              <w:rPr>
                <w:rFonts w:eastAsia="Times New Roman"/>
                <w:szCs w:val="24"/>
              </w:rPr>
              <w:t>Sabiedrības līdzdalība</w:t>
            </w:r>
            <w:r w:rsidR="00553F2C" w:rsidRPr="00C17EA3">
              <w:rPr>
                <w:rFonts w:eastAsia="Times New Roman"/>
                <w:szCs w:val="24"/>
              </w:rPr>
              <w:t>"</w:t>
            </w:r>
            <w:r w:rsidRPr="00C17EA3">
              <w:rPr>
                <w:rFonts w:eastAsia="Times New Roman"/>
                <w:szCs w:val="24"/>
              </w:rPr>
              <w:t>.</w:t>
            </w:r>
            <w:r w:rsidRPr="00C17EA3">
              <w:rPr>
                <w:rFonts w:cs="Times New Roman"/>
                <w:szCs w:val="24"/>
              </w:rPr>
              <w:t xml:space="preserve"> </w:t>
            </w:r>
          </w:p>
        </w:tc>
      </w:tr>
      <w:tr w:rsidR="0059022A" w:rsidRPr="0059022A" w14:paraId="54F58F9C" w14:textId="77777777" w:rsidTr="00FF0F84">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095B518A"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14:paraId="0F53CFD0"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tcPr>
          <w:p w14:paraId="1D580647" w14:textId="01970B30" w:rsidR="00F66A4C" w:rsidRPr="00C17EA3" w:rsidRDefault="00C17EA3" w:rsidP="00C17EA3">
            <w:pPr>
              <w:jc w:val="both"/>
              <w:rPr>
                <w:rFonts w:cs="Times New Roman"/>
                <w:szCs w:val="24"/>
              </w:rPr>
            </w:pPr>
            <w:r w:rsidRPr="00C17EA3">
              <w:rPr>
                <w:rFonts w:eastAsia="Times New Roman"/>
                <w:szCs w:val="24"/>
              </w:rPr>
              <w:t>Likumprojekts tika izstrādāts sadarbībā ar Latvijas Banku.</w:t>
            </w:r>
          </w:p>
        </w:tc>
      </w:tr>
      <w:tr w:rsidR="0059022A" w:rsidRPr="0059022A" w14:paraId="1B3BD7D3" w14:textId="77777777" w:rsidTr="00946D34">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6B9327E4"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14:paraId="076E35F7"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tcPr>
          <w:p w14:paraId="2A18FA02" w14:textId="565B2A87" w:rsidR="001308BF" w:rsidRPr="00D00DDC" w:rsidRDefault="00AC1E10" w:rsidP="00AC1E10">
            <w:pPr>
              <w:jc w:val="both"/>
              <w:rPr>
                <w:rFonts w:cs="Times New Roman"/>
                <w:szCs w:val="24"/>
              </w:rPr>
            </w:pPr>
            <w:r>
              <w:rPr>
                <w:rFonts w:eastAsia="Times New Roman" w:cs="Times New Roman"/>
                <w:szCs w:val="24"/>
                <w:lang w:eastAsia="lv-LV"/>
              </w:rPr>
              <w:t>S</w:t>
            </w:r>
            <w:r w:rsidR="00F66A4C" w:rsidRPr="0059022A">
              <w:rPr>
                <w:rFonts w:eastAsia="Times New Roman" w:cs="Times New Roman"/>
                <w:szCs w:val="24"/>
                <w:lang w:eastAsia="lv-LV"/>
              </w:rPr>
              <w:t>abiedrības līdzdalī</w:t>
            </w:r>
            <w:r w:rsidR="00F66A4C">
              <w:rPr>
                <w:rFonts w:eastAsia="Times New Roman" w:cs="Times New Roman"/>
                <w:szCs w:val="24"/>
                <w:lang w:eastAsia="lv-LV"/>
              </w:rPr>
              <w:t>bas u</w:t>
            </w:r>
            <w:r w:rsidR="00F73BDE">
              <w:rPr>
                <w:rFonts w:eastAsia="Times New Roman" w:cs="Times New Roman"/>
                <w:szCs w:val="24"/>
                <w:lang w:eastAsia="lv-LV"/>
              </w:rPr>
              <w:t>n komunikācijas aktivitāšu laikā</w:t>
            </w:r>
            <w:r w:rsidR="00F66A4C">
              <w:rPr>
                <w:rFonts w:eastAsia="Times New Roman" w:cs="Times New Roman"/>
                <w:szCs w:val="24"/>
                <w:lang w:eastAsia="lv-LV"/>
              </w:rPr>
              <w:t xml:space="preserve"> netika saņemti komentāri vai iebildumi.</w:t>
            </w:r>
          </w:p>
        </w:tc>
      </w:tr>
      <w:tr w:rsidR="00933C15" w:rsidRPr="0059022A" w14:paraId="4B695921" w14:textId="77777777" w:rsidTr="00C13065">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61D37CDC"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14:paraId="096A0181"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14:paraId="42C875D3" w14:textId="1340094C" w:rsidR="00F02937" w:rsidRPr="0059022A" w:rsidRDefault="00F02937" w:rsidP="00F02937">
            <w:pPr>
              <w:spacing w:after="120"/>
              <w:jc w:val="both"/>
              <w:rPr>
                <w:rFonts w:cs="Times New Roman"/>
              </w:rPr>
            </w:pPr>
            <w:r w:rsidRPr="0059022A">
              <w:rPr>
                <w:rFonts w:cs="Times New Roman"/>
              </w:rPr>
              <w:t>Sabiedrība pēc normatīvā akta pieņemšanas tiks informēta ar publikāciju laikrakstā "Latvijas Vēstnesis"</w:t>
            </w:r>
            <w:r w:rsidR="00837B9F">
              <w:rPr>
                <w:rFonts w:cs="Times New Roman"/>
              </w:rPr>
              <w:t xml:space="preserve"> </w:t>
            </w:r>
            <w:r w:rsidRPr="0059022A">
              <w:rPr>
                <w:rFonts w:cs="Times New Roman"/>
              </w:rPr>
              <w:t xml:space="preserve">un bezmaksas normatīvo aktu datu bāzē </w:t>
            </w:r>
            <w:r w:rsidRPr="0059022A">
              <w:rPr>
                <w:rFonts w:eastAsia="Calibri" w:cs="Times New Roman"/>
              </w:rPr>
              <w:t>www.likumi.lv</w:t>
            </w:r>
            <w:r w:rsidRPr="0059022A">
              <w:rPr>
                <w:rFonts w:cs="Times New Roman"/>
              </w:rPr>
              <w:t>.</w:t>
            </w:r>
          </w:p>
          <w:p w14:paraId="1F5CEFD4" w14:textId="2CDD5D63" w:rsidR="00F66A4C" w:rsidRPr="0059022A" w:rsidRDefault="00245824" w:rsidP="00245824">
            <w:pPr>
              <w:spacing w:after="120"/>
              <w:jc w:val="both"/>
              <w:rPr>
                <w:rFonts w:eastAsia="Times New Roman" w:cs="Times New Roman"/>
                <w:szCs w:val="24"/>
                <w:lang w:eastAsia="lv-LV"/>
              </w:rPr>
            </w:pPr>
            <w:r w:rsidRPr="0059022A">
              <w:rPr>
                <w:rFonts w:cs="Times New Roman"/>
              </w:rPr>
              <w:t>Likums</w:t>
            </w:r>
            <w:r w:rsidR="00F02937" w:rsidRPr="0059022A">
              <w:rPr>
                <w:rFonts w:cs="Times New Roman"/>
              </w:rPr>
              <w:t xml:space="preserve"> tiks ievietots arī </w:t>
            </w:r>
            <w:r w:rsidRPr="0059022A">
              <w:rPr>
                <w:rFonts w:cs="Times New Roman"/>
              </w:rPr>
              <w:t>Latvijas Bankas</w:t>
            </w:r>
            <w:r w:rsidR="00F02937" w:rsidRPr="0059022A">
              <w:rPr>
                <w:rFonts w:cs="Times New Roman"/>
              </w:rPr>
              <w:t xml:space="preserve"> internet</w:t>
            </w:r>
            <w:r w:rsidRPr="0059022A">
              <w:rPr>
                <w:rFonts w:cs="Times New Roman"/>
              </w:rPr>
              <w:t>a vietnē</w:t>
            </w:r>
            <w:r w:rsidR="00F02937" w:rsidRPr="0059022A">
              <w:rPr>
                <w:rFonts w:cs="Times New Roman"/>
              </w:rPr>
              <w:t>.</w:t>
            </w:r>
          </w:p>
        </w:tc>
      </w:tr>
    </w:tbl>
    <w:p w14:paraId="238D1AE9" w14:textId="77777777" w:rsidR="00933C15" w:rsidRPr="0059022A" w:rsidRDefault="00933C15" w:rsidP="00933C15">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4"/>
        <w:gridCol w:w="3137"/>
        <w:gridCol w:w="4705"/>
      </w:tblGrid>
      <w:tr w:rsidR="0059022A" w:rsidRPr="0059022A" w14:paraId="0B5129F8" w14:textId="77777777" w:rsidTr="00C13065">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4E20E7" w14:textId="77777777" w:rsidR="00933C15" w:rsidRPr="0059022A" w:rsidRDefault="00933C15" w:rsidP="00C13065">
            <w:pPr>
              <w:spacing w:before="100" w:beforeAutospacing="1" w:after="100" w:afterAutospacing="1" w:line="360" w:lineRule="auto"/>
              <w:ind w:firstLine="300"/>
              <w:jc w:val="center"/>
              <w:rPr>
                <w:rFonts w:eastAsia="Times New Roman" w:cs="Times New Roman"/>
                <w:b/>
                <w:bCs/>
                <w:szCs w:val="24"/>
                <w:lang w:eastAsia="lv-LV"/>
              </w:rPr>
            </w:pPr>
            <w:r w:rsidRPr="0059022A">
              <w:rPr>
                <w:rFonts w:eastAsia="Times New Roman" w:cs="Times New Roman"/>
                <w:b/>
                <w:bCs/>
                <w:szCs w:val="24"/>
                <w:lang w:eastAsia="lv-LV"/>
              </w:rPr>
              <w:t>VII. Tiesību akta projekta izpildes nodrošināšana un tās ietekme uz institūcijām</w:t>
            </w:r>
          </w:p>
        </w:tc>
      </w:tr>
      <w:tr w:rsidR="0059022A" w:rsidRPr="0059022A" w14:paraId="589CD127" w14:textId="77777777" w:rsidTr="00C13065">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43C3BFDF"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47A4B15E"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14353772" w14:textId="77777777" w:rsidR="00933C15" w:rsidRPr="0059022A" w:rsidRDefault="00933C15" w:rsidP="00837592">
            <w:pPr>
              <w:jc w:val="both"/>
              <w:rPr>
                <w:rFonts w:eastAsia="Times New Roman" w:cs="Times New Roman"/>
                <w:szCs w:val="24"/>
                <w:lang w:eastAsia="lv-LV"/>
              </w:rPr>
            </w:pPr>
            <w:r w:rsidRPr="0059022A">
              <w:rPr>
                <w:rFonts w:cs="Times New Roman"/>
                <w:szCs w:val="24"/>
              </w:rPr>
              <w:t xml:space="preserve">Likumprojekta izpildi nodrošinās </w:t>
            </w:r>
            <w:r w:rsidR="00837592" w:rsidRPr="0059022A">
              <w:rPr>
                <w:rFonts w:cs="Times New Roman"/>
                <w:szCs w:val="24"/>
              </w:rPr>
              <w:t>Latvijas Banka.</w:t>
            </w:r>
          </w:p>
        </w:tc>
      </w:tr>
      <w:tr w:rsidR="0059022A" w:rsidRPr="0059022A" w14:paraId="1E07E179" w14:textId="77777777" w:rsidTr="00C13065">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3109C9D"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7F54E589" w14:textId="77777777" w:rsidR="00933C15" w:rsidRPr="0059022A" w:rsidRDefault="00933C15" w:rsidP="00C13065">
            <w:pPr>
              <w:jc w:val="both"/>
              <w:rPr>
                <w:rFonts w:eastAsia="Times New Roman" w:cs="Times New Roman"/>
                <w:szCs w:val="24"/>
                <w:lang w:eastAsia="lv-LV"/>
              </w:rPr>
            </w:pPr>
            <w:r w:rsidRPr="0059022A">
              <w:rPr>
                <w:rFonts w:eastAsia="Times New Roman" w:cs="Times New Roman"/>
                <w:szCs w:val="24"/>
                <w:lang w:eastAsia="lv-LV"/>
              </w:rPr>
              <w:t xml:space="preserve">Projekta izpildes ietekme uz pārvaldes funkcijām un institucionālo struktūru. </w:t>
            </w:r>
          </w:p>
          <w:p w14:paraId="76F6A2F1" w14:textId="77777777" w:rsidR="00933C15" w:rsidRPr="0059022A" w:rsidRDefault="00933C15" w:rsidP="00C13065">
            <w:pPr>
              <w:jc w:val="both"/>
              <w:rPr>
                <w:rFonts w:eastAsia="Times New Roman" w:cs="Times New Roman"/>
                <w:szCs w:val="24"/>
                <w:lang w:eastAsia="lv-LV"/>
              </w:rPr>
            </w:pPr>
            <w:r w:rsidRPr="0059022A">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6ED5E039" w14:textId="068FFB04" w:rsidR="00933C15" w:rsidRPr="0059022A" w:rsidRDefault="00837B9F" w:rsidP="004F74A9">
            <w:pPr>
              <w:rPr>
                <w:rFonts w:cs="Times New Roman"/>
                <w:szCs w:val="24"/>
              </w:rPr>
            </w:pPr>
            <w:r>
              <w:rPr>
                <w:rFonts w:eastAsia="Times New Roman" w:cs="Times New Roman"/>
                <w:szCs w:val="24"/>
                <w:lang w:eastAsia="lv-LV"/>
              </w:rPr>
              <w:t>Likuma izpildes nodrošināšana tiks veikta esošo funkciju ietvaros. Jaunas institūcijas neti</w:t>
            </w:r>
            <w:r w:rsidR="00C17EA3">
              <w:rPr>
                <w:rFonts w:eastAsia="Times New Roman" w:cs="Times New Roman"/>
                <w:szCs w:val="24"/>
                <w:lang w:eastAsia="lv-LV"/>
              </w:rPr>
              <w:t>e</w:t>
            </w:r>
            <w:r>
              <w:rPr>
                <w:rFonts w:eastAsia="Times New Roman" w:cs="Times New Roman"/>
                <w:szCs w:val="24"/>
                <w:lang w:eastAsia="lv-LV"/>
              </w:rPr>
              <w:t xml:space="preserve">k veidotas. </w:t>
            </w:r>
            <w:r w:rsidR="00C17EA3">
              <w:rPr>
                <w:rFonts w:eastAsia="Times New Roman" w:cs="Times New Roman"/>
                <w:szCs w:val="24"/>
                <w:lang w:eastAsia="lv-LV"/>
              </w:rPr>
              <w:t>N</w:t>
            </w:r>
            <w:r>
              <w:rPr>
                <w:rFonts w:eastAsia="Times New Roman" w:cs="Times New Roman"/>
                <w:szCs w:val="24"/>
                <w:lang w:eastAsia="lv-LV"/>
              </w:rPr>
              <w:t>etiek paredzēt</w:t>
            </w:r>
            <w:r w:rsidR="004F74A9">
              <w:rPr>
                <w:rFonts w:eastAsia="Times New Roman" w:cs="Times New Roman"/>
                <w:szCs w:val="24"/>
                <w:lang w:eastAsia="lv-LV"/>
              </w:rPr>
              <w:t>a</w:t>
            </w:r>
            <w:r>
              <w:rPr>
                <w:rFonts w:eastAsia="Times New Roman" w:cs="Times New Roman"/>
                <w:szCs w:val="24"/>
                <w:lang w:eastAsia="lv-LV"/>
              </w:rPr>
              <w:t xml:space="preserve"> esošo institūciju likvidācij</w:t>
            </w:r>
            <w:r w:rsidR="004F74A9">
              <w:rPr>
                <w:rFonts w:eastAsia="Times New Roman" w:cs="Times New Roman"/>
                <w:szCs w:val="24"/>
                <w:lang w:eastAsia="lv-LV"/>
              </w:rPr>
              <w:t>a</w:t>
            </w:r>
            <w:r>
              <w:rPr>
                <w:rFonts w:eastAsia="Times New Roman" w:cs="Times New Roman"/>
                <w:szCs w:val="24"/>
                <w:lang w:eastAsia="lv-LV"/>
              </w:rPr>
              <w:t xml:space="preserve"> vai reorganizācij</w:t>
            </w:r>
            <w:r w:rsidR="004F74A9">
              <w:rPr>
                <w:rFonts w:eastAsia="Times New Roman" w:cs="Times New Roman"/>
                <w:szCs w:val="24"/>
                <w:lang w:eastAsia="lv-LV"/>
              </w:rPr>
              <w:t>a</w:t>
            </w:r>
            <w:r>
              <w:rPr>
                <w:rFonts w:eastAsia="Times New Roman" w:cs="Times New Roman"/>
                <w:szCs w:val="24"/>
                <w:lang w:eastAsia="lv-LV"/>
              </w:rPr>
              <w:t>.</w:t>
            </w:r>
          </w:p>
        </w:tc>
      </w:tr>
      <w:tr w:rsidR="0059022A" w:rsidRPr="0059022A" w14:paraId="3E1125A1" w14:textId="77777777" w:rsidTr="00C13065">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2F618EB0"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4CABC476" w14:textId="77777777" w:rsidR="00933C15" w:rsidRPr="0059022A" w:rsidRDefault="00933C15" w:rsidP="00C13065">
            <w:pPr>
              <w:rPr>
                <w:rFonts w:eastAsia="Times New Roman" w:cs="Times New Roman"/>
                <w:szCs w:val="24"/>
                <w:lang w:eastAsia="lv-LV"/>
              </w:rPr>
            </w:pPr>
            <w:r w:rsidRPr="0059022A">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749CCA7D" w14:textId="77777777" w:rsidR="00933C15" w:rsidRPr="0059022A" w:rsidRDefault="00933C15" w:rsidP="00C13065">
            <w:pPr>
              <w:spacing w:before="100" w:beforeAutospacing="1" w:after="100" w:afterAutospacing="1" w:line="360" w:lineRule="auto"/>
              <w:rPr>
                <w:rFonts w:eastAsia="Times New Roman" w:cs="Times New Roman"/>
                <w:szCs w:val="24"/>
                <w:lang w:eastAsia="lv-LV"/>
              </w:rPr>
            </w:pPr>
            <w:r w:rsidRPr="0059022A">
              <w:rPr>
                <w:rFonts w:eastAsia="Times New Roman" w:cs="Times New Roman"/>
                <w:szCs w:val="24"/>
                <w:lang w:eastAsia="lv-LV"/>
              </w:rPr>
              <w:t>Nav</w:t>
            </w:r>
            <w:r w:rsidR="00837592" w:rsidRPr="0059022A">
              <w:rPr>
                <w:rFonts w:eastAsia="Times New Roman" w:cs="Times New Roman"/>
                <w:szCs w:val="24"/>
                <w:lang w:eastAsia="lv-LV"/>
              </w:rPr>
              <w:t>.</w:t>
            </w:r>
          </w:p>
        </w:tc>
      </w:tr>
    </w:tbl>
    <w:p w14:paraId="32DD7405" w14:textId="77777777" w:rsidR="006E4CE0" w:rsidRDefault="006E4CE0" w:rsidP="00141FB8">
      <w:pPr>
        <w:rPr>
          <w:rFonts w:cs="Times New Roman"/>
        </w:rPr>
      </w:pPr>
    </w:p>
    <w:p w14:paraId="74B8B82F" w14:textId="468BA884" w:rsidR="006943B3" w:rsidRPr="0065224B" w:rsidRDefault="006943B3" w:rsidP="006943B3">
      <w:pPr>
        <w:pStyle w:val="BodyText"/>
        <w:spacing w:before="240"/>
        <w:rPr>
          <w:szCs w:val="28"/>
        </w:rPr>
      </w:pPr>
      <w:r w:rsidRPr="0065224B">
        <w:rPr>
          <w:szCs w:val="28"/>
        </w:rPr>
        <w:t>Finanšu ministre</w:t>
      </w:r>
      <w:r w:rsidRPr="0065224B">
        <w:rPr>
          <w:szCs w:val="28"/>
        </w:rPr>
        <w:tab/>
      </w:r>
      <w:r w:rsidRPr="0065224B">
        <w:rPr>
          <w:szCs w:val="28"/>
        </w:rPr>
        <w:tab/>
      </w:r>
      <w:r w:rsidRPr="0065224B">
        <w:rPr>
          <w:szCs w:val="28"/>
        </w:rPr>
        <w:tab/>
      </w:r>
      <w:r w:rsidRPr="0065224B">
        <w:rPr>
          <w:szCs w:val="28"/>
        </w:rPr>
        <w:tab/>
      </w:r>
      <w:r w:rsidRPr="0065224B">
        <w:rPr>
          <w:szCs w:val="28"/>
        </w:rPr>
        <w:tab/>
      </w:r>
      <w:r w:rsidRPr="0065224B">
        <w:rPr>
          <w:szCs w:val="28"/>
        </w:rPr>
        <w:tab/>
        <w:t>D.</w:t>
      </w:r>
      <w:r w:rsidR="00D71B6D">
        <w:rPr>
          <w:szCs w:val="28"/>
        </w:rPr>
        <w:t xml:space="preserve"> </w:t>
      </w:r>
      <w:r w:rsidRPr="0065224B">
        <w:rPr>
          <w:szCs w:val="28"/>
        </w:rPr>
        <w:t>Reizniece-Ozola</w:t>
      </w:r>
    </w:p>
    <w:p w14:paraId="6D7ED124" w14:textId="77777777" w:rsidR="006943B3" w:rsidRDefault="006943B3" w:rsidP="006943B3"/>
    <w:p w14:paraId="179490AD" w14:textId="397F078D" w:rsidR="006E4E41" w:rsidRDefault="006E4E41" w:rsidP="006943B3">
      <w:pPr>
        <w:rPr>
          <w:sz w:val="20"/>
        </w:rPr>
      </w:pPr>
      <w:r>
        <w:rPr>
          <w:sz w:val="20"/>
        </w:rPr>
        <w:t>27.06.2016 17:36</w:t>
      </w:r>
    </w:p>
    <w:p w14:paraId="7CE3EA0E" w14:textId="264CB3DA" w:rsidR="00E24A71" w:rsidRDefault="00E24A71" w:rsidP="006943B3">
      <w:pPr>
        <w:rPr>
          <w:sz w:val="20"/>
        </w:rPr>
      </w:pPr>
      <w:r>
        <w:rPr>
          <w:sz w:val="20"/>
        </w:rPr>
        <w:fldChar w:fldCharType="begin"/>
      </w:r>
      <w:r>
        <w:rPr>
          <w:sz w:val="20"/>
        </w:rPr>
        <w:instrText xml:space="preserve"> NUMWORDS  \* Arabic  \* MERGEFORMAT </w:instrText>
      </w:r>
      <w:r>
        <w:rPr>
          <w:sz w:val="20"/>
        </w:rPr>
        <w:fldChar w:fldCharType="separate"/>
      </w:r>
      <w:r w:rsidR="000B56CE">
        <w:rPr>
          <w:noProof/>
          <w:sz w:val="20"/>
        </w:rPr>
        <w:t>2</w:t>
      </w:r>
      <w:r>
        <w:rPr>
          <w:sz w:val="20"/>
        </w:rPr>
        <w:fldChar w:fldCharType="end"/>
      </w:r>
      <w:r w:rsidR="006E4E41">
        <w:rPr>
          <w:sz w:val="20"/>
        </w:rPr>
        <w:t>287</w:t>
      </w:r>
    </w:p>
    <w:p w14:paraId="528C3F14" w14:textId="695CB12A" w:rsidR="00C17EA3" w:rsidRDefault="00C17EA3" w:rsidP="006943B3">
      <w:pPr>
        <w:rPr>
          <w:sz w:val="20"/>
        </w:rPr>
      </w:pPr>
      <w:r>
        <w:rPr>
          <w:sz w:val="20"/>
        </w:rPr>
        <w:t>Buse</w:t>
      </w:r>
    </w:p>
    <w:p w14:paraId="74448F75" w14:textId="1D4FA455" w:rsidR="006943B3" w:rsidRPr="0065224B" w:rsidRDefault="006943B3" w:rsidP="006943B3">
      <w:pPr>
        <w:rPr>
          <w:sz w:val="20"/>
        </w:rPr>
      </w:pPr>
      <w:r w:rsidRPr="008605BB">
        <w:rPr>
          <w:sz w:val="20"/>
        </w:rPr>
        <w:t>67095</w:t>
      </w:r>
      <w:r w:rsidR="00C17EA3">
        <w:rPr>
          <w:sz w:val="20"/>
        </w:rPr>
        <w:t>535</w:t>
      </w:r>
      <w:r w:rsidRPr="008605BB">
        <w:rPr>
          <w:sz w:val="20"/>
        </w:rPr>
        <w:t xml:space="preserve">, </w:t>
      </w:r>
      <w:r w:rsidR="00C17EA3">
        <w:rPr>
          <w:sz w:val="20"/>
        </w:rPr>
        <w:t>Dina.Buse</w:t>
      </w:r>
      <w:r w:rsidRPr="008605BB">
        <w:rPr>
          <w:sz w:val="20"/>
        </w:rPr>
        <w:t>@fm.gov.lv</w:t>
      </w:r>
    </w:p>
    <w:p w14:paraId="054069F4" w14:textId="77777777" w:rsidR="006943B3" w:rsidRPr="0059022A" w:rsidRDefault="006943B3" w:rsidP="00141FB8">
      <w:pPr>
        <w:rPr>
          <w:rFonts w:cs="Times New Roman"/>
        </w:rPr>
      </w:pPr>
    </w:p>
    <w:sectPr w:rsidR="006943B3" w:rsidRPr="0059022A" w:rsidSect="001B21F7">
      <w:headerReference w:type="even" r:id="rId8"/>
      <w:headerReference w:type="default" r:id="rId9"/>
      <w:footerReference w:type="even" r:id="rId10"/>
      <w:footerReference w:type="default" r:id="rId11"/>
      <w:headerReference w:type="first" r:id="rId12"/>
      <w:footerReference w:type="first" r:id="rId13"/>
      <w:pgSz w:w="11906" w:h="16838"/>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E4DFB" w14:textId="77777777" w:rsidR="00D47240" w:rsidRDefault="00D47240" w:rsidP="00EA55B7">
      <w:r>
        <w:separator/>
      </w:r>
    </w:p>
  </w:endnote>
  <w:endnote w:type="continuationSeparator" w:id="0">
    <w:p w14:paraId="731362AD" w14:textId="77777777" w:rsidR="00D47240" w:rsidRDefault="00D47240" w:rsidP="00EA55B7">
      <w:r>
        <w:continuationSeparator/>
      </w:r>
    </w:p>
  </w:endnote>
  <w:endnote w:type="continuationNotice" w:id="1">
    <w:p w14:paraId="052CA3E8" w14:textId="77777777" w:rsidR="00D47240" w:rsidRDefault="00D47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2E14F" w14:textId="77777777" w:rsidR="00D94E5A" w:rsidRDefault="00D94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0304" w14:textId="33788D57" w:rsidR="00354A3B" w:rsidRPr="009D2E89" w:rsidRDefault="00E24A71" w:rsidP="00354A3B">
    <w:pPr>
      <w:jc w:val="both"/>
      <w:rPr>
        <w:rFonts w:cs="Times New Roman"/>
        <w:sz w:val="20"/>
        <w:szCs w:val="20"/>
      </w:rPr>
    </w:pPr>
    <w:r>
      <w:rPr>
        <w:rFonts w:cs="Times New Roman"/>
        <w:sz w:val="20"/>
        <w:szCs w:val="20"/>
      </w:rPr>
      <w:t>FMAnot_</w:t>
    </w:r>
    <w:r w:rsidR="00C17EA3">
      <w:rPr>
        <w:rFonts w:cs="Times New Roman"/>
        <w:sz w:val="20"/>
        <w:szCs w:val="20"/>
      </w:rPr>
      <w:t>21</w:t>
    </w:r>
    <w:r>
      <w:rPr>
        <w:rFonts w:cs="Times New Roman"/>
        <w:sz w:val="20"/>
        <w:szCs w:val="20"/>
      </w:rPr>
      <w:t>06</w:t>
    </w:r>
    <w:r w:rsidR="009B726B">
      <w:rPr>
        <w:rFonts w:cs="Times New Roman"/>
        <w:sz w:val="20"/>
        <w:szCs w:val="20"/>
      </w:rPr>
      <w:t xml:space="preserve">2016_LPLB; </w:t>
    </w:r>
    <w:r w:rsidR="00E26ED2" w:rsidRPr="009D2E89">
      <w:rPr>
        <w:rFonts w:cs="Times New Roman"/>
        <w:sz w:val="20"/>
        <w:szCs w:val="20"/>
      </w:rPr>
      <w:t xml:space="preserve">Likumprojekta </w:t>
    </w:r>
    <w:r w:rsidR="00313F01">
      <w:rPr>
        <w:rFonts w:cs="Times New Roman"/>
        <w:sz w:val="20"/>
        <w:szCs w:val="20"/>
      </w:rPr>
      <w:t>"</w:t>
    </w:r>
    <w:r w:rsidR="00E26ED2" w:rsidRPr="009D2E89">
      <w:rPr>
        <w:rFonts w:cs="Times New Roman"/>
        <w:bCs/>
        <w:sz w:val="20"/>
        <w:szCs w:val="20"/>
      </w:rPr>
      <w:t>Grozījum</w:t>
    </w:r>
    <w:r>
      <w:rPr>
        <w:rFonts w:cs="Times New Roman"/>
        <w:bCs/>
        <w:sz w:val="20"/>
        <w:szCs w:val="20"/>
      </w:rPr>
      <w:t>i</w:t>
    </w:r>
    <w:r w:rsidR="00E26ED2" w:rsidRPr="009D2E89">
      <w:rPr>
        <w:rFonts w:cs="Times New Roman"/>
        <w:bCs/>
        <w:sz w:val="20"/>
        <w:szCs w:val="20"/>
      </w:rPr>
      <w:t xml:space="preserve"> </w:t>
    </w:r>
    <w:r w:rsidR="00E26ED2" w:rsidRPr="009D2E89">
      <w:rPr>
        <w:sz w:val="20"/>
        <w:szCs w:val="20"/>
      </w:rPr>
      <w:t>likumā</w:t>
    </w:r>
    <w:r w:rsidR="00313F01">
      <w:rPr>
        <w:sz w:val="20"/>
        <w:szCs w:val="20"/>
      </w:rPr>
      <w:t xml:space="preserve"> "Par Latvijas Banku"</w:t>
    </w:r>
    <w:r w:rsidR="00E26ED2" w:rsidRPr="009D2E89">
      <w:rPr>
        <w:rFonts w:cs="Times New Roman"/>
        <w:sz w:val="20"/>
        <w:szCs w:val="20"/>
      </w:rPr>
      <w:t>" sākotnējās ietekmes novērtējuma ziņojums (anotācija)</w:t>
    </w:r>
  </w:p>
  <w:p w14:paraId="06CB9DA1" w14:textId="77777777" w:rsidR="00A25B41" w:rsidRDefault="00D472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9C055" w14:textId="2136CBDA" w:rsidR="00106058" w:rsidRPr="009D2E89" w:rsidRDefault="00E24A71" w:rsidP="00106058">
    <w:pPr>
      <w:jc w:val="both"/>
      <w:rPr>
        <w:rFonts w:cs="Times New Roman"/>
        <w:sz w:val="20"/>
        <w:szCs w:val="20"/>
      </w:rPr>
    </w:pPr>
    <w:r>
      <w:rPr>
        <w:rFonts w:cs="Times New Roman"/>
        <w:sz w:val="20"/>
        <w:szCs w:val="20"/>
      </w:rPr>
      <w:t>FMAnot_</w:t>
    </w:r>
    <w:r w:rsidR="00C17EA3">
      <w:rPr>
        <w:rFonts w:cs="Times New Roman"/>
        <w:sz w:val="20"/>
        <w:szCs w:val="20"/>
      </w:rPr>
      <w:t>21</w:t>
    </w:r>
    <w:r>
      <w:rPr>
        <w:rFonts w:cs="Times New Roman"/>
        <w:sz w:val="20"/>
        <w:szCs w:val="20"/>
      </w:rPr>
      <w:t>06</w:t>
    </w:r>
    <w:r w:rsidR="006943B3">
      <w:rPr>
        <w:rFonts w:cs="Times New Roman"/>
        <w:sz w:val="20"/>
        <w:szCs w:val="20"/>
      </w:rPr>
      <w:t xml:space="preserve">2016_LPLB; </w:t>
    </w:r>
    <w:r w:rsidR="00106058" w:rsidRPr="009D2E89">
      <w:rPr>
        <w:rFonts w:cs="Times New Roman"/>
        <w:sz w:val="20"/>
        <w:szCs w:val="20"/>
      </w:rPr>
      <w:t xml:space="preserve">Likumprojekta </w:t>
    </w:r>
    <w:r w:rsidR="00106058">
      <w:rPr>
        <w:rFonts w:cs="Times New Roman"/>
        <w:sz w:val="20"/>
        <w:szCs w:val="20"/>
      </w:rPr>
      <w:t>"</w:t>
    </w:r>
    <w:r w:rsidR="00106058" w:rsidRPr="009D2E89">
      <w:rPr>
        <w:rFonts w:cs="Times New Roman"/>
        <w:bCs/>
        <w:sz w:val="20"/>
        <w:szCs w:val="20"/>
      </w:rPr>
      <w:t>Grozījum</w:t>
    </w:r>
    <w:r>
      <w:rPr>
        <w:rFonts w:cs="Times New Roman"/>
        <w:bCs/>
        <w:sz w:val="20"/>
        <w:szCs w:val="20"/>
      </w:rPr>
      <w:t>i</w:t>
    </w:r>
    <w:r w:rsidR="00106058" w:rsidRPr="009D2E89">
      <w:rPr>
        <w:rFonts w:cs="Times New Roman"/>
        <w:bCs/>
        <w:sz w:val="20"/>
        <w:szCs w:val="20"/>
      </w:rPr>
      <w:t xml:space="preserve"> </w:t>
    </w:r>
    <w:r w:rsidR="00106058" w:rsidRPr="009D2E89">
      <w:rPr>
        <w:sz w:val="20"/>
        <w:szCs w:val="20"/>
      </w:rPr>
      <w:t>likumā</w:t>
    </w:r>
    <w:r w:rsidR="00106058">
      <w:rPr>
        <w:sz w:val="20"/>
        <w:szCs w:val="20"/>
      </w:rPr>
      <w:t xml:space="preserve"> "Par Latvijas Banku"</w:t>
    </w:r>
    <w:r w:rsidR="00106058" w:rsidRPr="009D2E89">
      <w:rPr>
        <w:rFonts w:cs="Times New Roman"/>
        <w:sz w:val="20"/>
        <w:szCs w:val="20"/>
      </w:rPr>
      <w:t>" sākotnējās ietekmes novērtējuma ziņojums (anotācija)</w:t>
    </w:r>
  </w:p>
  <w:p w14:paraId="290455AC" w14:textId="77777777" w:rsidR="00A25B41" w:rsidRDefault="00D47240" w:rsidP="00A25B41">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FE2F2" w14:textId="77777777" w:rsidR="00D47240" w:rsidRDefault="00D47240" w:rsidP="00EA55B7">
      <w:r>
        <w:separator/>
      </w:r>
    </w:p>
  </w:footnote>
  <w:footnote w:type="continuationSeparator" w:id="0">
    <w:p w14:paraId="2DA896A5" w14:textId="77777777" w:rsidR="00D47240" w:rsidRDefault="00D47240" w:rsidP="00EA55B7">
      <w:r>
        <w:continuationSeparator/>
      </w:r>
    </w:p>
  </w:footnote>
  <w:footnote w:type="continuationNotice" w:id="1">
    <w:p w14:paraId="439CCFE6" w14:textId="77777777" w:rsidR="00D47240" w:rsidRDefault="00D472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469E" w14:textId="77777777" w:rsidR="00D94E5A" w:rsidRDefault="00D94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913743"/>
      <w:docPartObj>
        <w:docPartGallery w:val="Page Numbers (Top of Page)"/>
        <w:docPartUnique/>
      </w:docPartObj>
    </w:sdtPr>
    <w:sdtEndPr>
      <w:rPr>
        <w:noProof/>
      </w:rPr>
    </w:sdtEndPr>
    <w:sdtContent>
      <w:p w14:paraId="241D929D" w14:textId="2B7AEF14" w:rsidR="00A25B41" w:rsidRDefault="00E26ED2">
        <w:pPr>
          <w:pStyle w:val="Header"/>
          <w:jc w:val="center"/>
        </w:pPr>
        <w:r>
          <w:fldChar w:fldCharType="begin"/>
        </w:r>
        <w:r>
          <w:instrText xml:space="preserve"> PAGE   \* MERGEFORMAT </w:instrText>
        </w:r>
        <w:r>
          <w:fldChar w:fldCharType="separate"/>
        </w:r>
        <w:r w:rsidR="006E4E41">
          <w:rPr>
            <w:noProof/>
          </w:rPr>
          <w:t>8</w:t>
        </w:r>
        <w:r>
          <w:rPr>
            <w:noProof/>
          </w:rPr>
          <w:fldChar w:fldCharType="end"/>
        </w:r>
      </w:p>
    </w:sdtContent>
  </w:sdt>
  <w:p w14:paraId="1D8E6855" w14:textId="77777777" w:rsidR="00A25B41" w:rsidRDefault="00D47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885B8" w14:textId="77777777" w:rsidR="00D94E5A" w:rsidRPr="001B21F7" w:rsidRDefault="00D94E5A" w:rsidP="001B2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402F6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906DCE"/>
    <w:multiLevelType w:val="multilevel"/>
    <w:tmpl w:val="05B8E2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D626DA"/>
    <w:multiLevelType w:val="multilevel"/>
    <w:tmpl w:val="05B8E2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446C12"/>
    <w:multiLevelType w:val="hybridMultilevel"/>
    <w:tmpl w:val="CDF02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F07E2D"/>
    <w:multiLevelType w:val="hybridMultilevel"/>
    <w:tmpl w:val="42E84322"/>
    <w:lvl w:ilvl="0" w:tplc="2E26C6F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15"/>
    <w:rsid w:val="0001501E"/>
    <w:rsid w:val="00017D77"/>
    <w:rsid w:val="00020442"/>
    <w:rsid w:val="00024606"/>
    <w:rsid w:val="00031EF0"/>
    <w:rsid w:val="00032D0E"/>
    <w:rsid w:val="000337D0"/>
    <w:rsid w:val="00036558"/>
    <w:rsid w:val="00036E9A"/>
    <w:rsid w:val="00051788"/>
    <w:rsid w:val="0005288E"/>
    <w:rsid w:val="000538DD"/>
    <w:rsid w:val="00065707"/>
    <w:rsid w:val="00072816"/>
    <w:rsid w:val="00095A57"/>
    <w:rsid w:val="000A4026"/>
    <w:rsid w:val="000A7946"/>
    <w:rsid w:val="000B56CE"/>
    <w:rsid w:val="000C35B5"/>
    <w:rsid w:val="000C6AF2"/>
    <w:rsid w:val="000D1AED"/>
    <w:rsid w:val="000D7857"/>
    <w:rsid w:val="000E0CAA"/>
    <w:rsid w:val="000E727C"/>
    <w:rsid w:val="000F700E"/>
    <w:rsid w:val="00106058"/>
    <w:rsid w:val="00111AE5"/>
    <w:rsid w:val="00114141"/>
    <w:rsid w:val="001308BF"/>
    <w:rsid w:val="00131761"/>
    <w:rsid w:val="00132A5F"/>
    <w:rsid w:val="001346BF"/>
    <w:rsid w:val="00135DEC"/>
    <w:rsid w:val="00141FB8"/>
    <w:rsid w:val="001504D0"/>
    <w:rsid w:val="001547A8"/>
    <w:rsid w:val="001673DA"/>
    <w:rsid w:val="00167BF0"/>
    <w:rsid w:val="001709CD"/>
    <w:rsid w:val="00174922"/>
    <w:rsid w:val="00174D6A"/>
    <w:rsid w:val="00196B6E"/>
    <w:rsid w:val="001A33A7"/>
    <w:rsid w:val="001B08F4"/>
    <w:rsid w:val="001B21F7"/>
    <w:rsid w:val="001B4CDE"/>
    <w:rsid w:val="001C0A21"/>
    <w:rsid w:val="001E4985"/>
    <w:rsid w:val="001E6745"/>
    <w:rsid w:val="001F3E1C"/>
    <w:rsid w:val="001F537E"/>
    <w:rsid w:val="002055EF"/>
    <w:rsid w:val="00205CDB"/>
    <w:rsid w:val="00211AF1"/>
    <w:rsid w:val="002207C7"/>
    <w:rsid w:val="002208B0"/>
    <w:rsid w:val="002312D7"/>
    <w:rsid w:val="0023137C"/>
    <w:rsid w:val="00245824"/>
    <w:rsid w:val="002479F8"/>
    <w:rsid w:val="002571C3"/>
    <w:rsid w:val="002660EB"/>
    <w:rsid w:val="00266F81"/>
    <w:rsid w:val="00283CA4"/>
    <w:rsid w:val="00284BAB"/>
    <w:rsid w:val="00290B44"/>
    <w:rsid w:val="0029236C"/>
    <w:rsid w:val="002A13EF"/>
    <w:rsid w:val="002A557B"/>
    <w:rsid w:val="002A5DF1"/>
    <w:rsid w:val="002C795F"/>
    <w:rsid w:val="002E0DD1"/>
    <w:rsid w:val="002E3392"/>
    <w:rsid w:val="002E58C4"/>
    <w:rsid w:val="002E7E64"/>
    <w:rsid w:val="002F1441"/>
    <w:rsid w:val="003002E2"/>
    <w:rsid w:val="003023D4"/>
    <w:rsid w:val="003070FC"/>
    <w:rsid w:val="00310740"/>
    <w:rsid w:val="00312793"/>
    <w:rsid w:val="00313F01"/>
    <w:rsid w:val="00316EF2"/>
    <w:rsid w:val="003258B1"/>
    <w:rsid w:val="00326604"/>
    <w:rsid w:val="00330A74"/>
    <w:rsid w:val="00341021"/>
    <w:rsid w:val="003467AC"/>
    <w:rsid w:val="0035056E"/>
    <w:rsid w:val="00352300"/>
    <w:rsid w:val="003532BA"/>
    <w:rsid w:val="003642E7"/>
    <w:rsid w:val="00371326"/>
    <w:rsid w:val="0037682A"/>
    <w:rsid w:val="0038204C"/>
    <w:rsid w:val="0038617D"/>
    <w:rsid w:val="0039465C"/>
    <w:rsid w:val="00396911"/>
    <w:rsid w:val="003B0BB6"/>
    <w:rsid w:val="003B12FE"/>
    <w:rsid w:val="003B4AD9"/>
    <w:rsid w:val="003C232F"/>
    <w:rsid w:val="003C47D3"/>
    <w:rsid w:val="003D0C27"/>
    <w:rsid w:val="003D4CA1"/>
    <w:rsid w:val="003D7CFC"/>
    <w:rsid w:val="003F6495"/>
    <w:rsid w:val="003F7F26"/>
    <w:rsid w:val="0040581C"/>
    <w:rsid w:val="00423C5D"/>
    <w:rsid w:val="0043306A"/>
    <w:rsid w:val="004339D1"/>
    <w:rsid w:val="004609AC"/>
    <w:rsid w:val="004617A5"/>
    <w:rsid w:val="00470C0A"/>
    <w:rsid w:val="00473EDA"/>
    <w:rsid w:val="004813B0"/>
    <w:rsid w:val="00484EB0"/>
    <w:rsid w:val="004865FA"/>
    <w:rsid w:val="004A1011"/>
    <w:rsid w:val="004C1F26"/>
    <w:rsid w:val="004C379B"/>
    <w:rsid w:val="004D71FD"/>
    <w:rsid w:val="004E4113"/>
    <w:rsid w:val="004E5582"/>
    <w:rsid w:val="004F74A9"/>
    <w:rsid w:val="00502042"/>
    <w:rsid w:val="0050773E"/>
    <w:rsid w:val="0051622E"/>
    <w:rsid w:val="005220AA"/>
    <w:rsid w:val="00544FB8"/>
    <w:rsid w:val="00551EC0"/>
    <w:rsid w:val="005530A2"/>
    <w:rsid w:val="00553F2C"/>
    <w:rsid w:val="00562206"/>
    <w:rsid w:val="00570739"/>
    <w:rsid w:val="00570D0B"/>
    <w:rsid w:val="0057464C"/>
    <w:rsid w:val="0059022A"/>
    <w:rsid w:val="00591AEC"/>
    <w:rsid w:val="005B2F4F"/>
    <w:rsid w:val="005B6874"/>
    <w:rsid w:val="005C5619"/>
    <w:rsid w:val="005C792D"/>
    <w:rsid w:val="005C7DDD"/>
    <w:rsid w:val="005D0AD5"/>
    <w:rsid w:val="005D0BDA"/>
    <w:rsid w:val="005D5B1F"/>
    <w:rsid w:val="005E63C2"/>
    <w:rsid w:val="005F61EC"/>
    <w:rsid w:val="005F6BC0"/>
    <w:rsid w:val="00606AC0"/>
    <w:rsid w:val="00607233"/>
    <w:rsid w:val="00615964"/>
    <w:rsid w:val="00620EC6"/>
    <w:rsid w:val="0063048A"/>
    <w:rsid w:val="006506DC"/>
    <w:rsid w:val="006507B3"/>
    <w:rsid w:val="00651082"/>
    <w:rsid w:val="006528CB"/>
    <w:rsid w:val="00661DBD"/>
    <w:rsid w:val="006631D6"/>
    <w:rsid w:val="00664433"/>
    <w:rsid w:val="00671DF1"/>
    <w:rsid w:val="006733DB"/>
    <w:rsid w:val="006771AB"/>
    <w:rsid w:val="00684239"/>
    <w:rsid w:val="00694232"/>
    <w:rsid w:val="006943B3"/>
    <w:rsid w:val="00697D2F"/>
    <w:rsid w:val="006A0466"/>
    <w:rsid w:val="006A5CBD"/>
    <w:rsid w:val="006B7AB4"/>
    <w:rsid w:val="006C2230"/>
    <w:rsid w:val="006D08CD"/>
    <w:rsid w:val="006D68D9"/>
    <w:rsid w:val="006E359B"/>
    <w:rsid w:val="006E44BF"/>
    <w:rsid w:val="006E4CE0"/>
    <w:rsid w:val="006E4E41"/>
    <w:rsid w:val="006F5EC7"/>
    <w:rsid w:val="006F6FDA"/>
    <w:rsid w:val="00703650"/>
    <w:rsid w:val="007048BB"/>
    <w:rsid w:val="0071179B"/>
    <w:rsid w:val="0072196F"/>
    <w:rsid w:val="00723393"/>
    <w:rsid w:val="00724CA8"/>
    <w:rsid w:val="007306BD"/>
    <w:rsid w:val="007309CD"/>
    <w:rsid w:val="00730C2B"/>
    <w:rsid w:val="007408D2"/>
    <w:rsid w:val="00756B26"/>
    <w:rsid w:val="00775C2F"/>
    <w:rsid w:val="007763B9"/>
    <w:rsid w:val="0077750A"/>
    <w:rsid w:val="00781B97"/>
    <w:rsid w:val="00795BE9"/>
    <w:rsid w:val="007A4771"/>
    <w:rsid w:val="007A72F0"/>
    <w:rsid w:val="007B33A8"/>
    <w:rsid w:val="007B500F"/>
    <w:rsid w:val="007B6705"/>
    <w:rsid w:val="007C06BC"/>
    <w:rsid w:val="007D0FE8"/>
    <w:rsid w:val="007D599F"/>
    <w:rsid w:val="007E26E1"/>
    <w:rsid w:val="007E3507"/>
    <w:rsid w:val="007E3BF1"/>
    <w:rsid w:val="007E666A"/>
    <w:rsid w:val="007F2E50"/>
    <w:rsid w:val="008067BF"/>
    <w:rsid w:val="00813EEB"/>
    <w:rsid w:val="00813F28"/>
    <w:rsid w:val="00820733"/>
    <w:rsid w:val="00831E7C"/>
    <w:rsid w:val="008335D1"/>
    <w:rsid w:val="00834EB2"/>
    <w:rsid w:val="00837592"/>
    <w:rsid w:val="00837B9F"/>
    <w:rsid w:val="00843E0D"/>
    <w:rsid w:val="008441EE"/>
    <w:rsid w:val="008549A1"/>
    <w:rsid w:val="008554DF"/>
    <w:rsid w:val="0086235E"/>
    <w:rsid w:val="00864022"/>
    <w:rsid w:val="008715A2"/>
    <w:rsid w:val="00874E4D"/>
    <w:rsid w:val="00881B27"/>
    <w:rsid w:val="00882C88"/>
    <w:rsid w:val="0088321A"/>
    <w:rsid w:val="008847A8"/>
    <w:rsid w:val="008A503D"/>
    <w:rsid w:val="008A5C20"/>
    <w:rsid w:val="008B0FBF"/>
    <w:rsid w:val="008C03C7"/>
    <w:rsid w:val="008C6E9B"/>
    <w:rsid w:val="008D2E74"/>
    <w:rsid w:val="008D5AA3"/>
    <w:rsid w:val="008D6EB9"/>
    <w:rsid w:val="008D7E44"/>
    <w:rsid w:val="008E3E37"/>
    <w:rsid w:val="008E43D9"/>
    <w:rsid w:val="008E4774"/>
    <w:rsid w:val="008E6207"/>
    <w:rsid w:val="008F380A"/>
    <w:rsid w:val="00900CA5"/>
    <w:rsid w:val="00902AFA"/>
    <w:rsid w:val="0091056B"/>
    <w:rsid w:val="00926361"/>
    <w:rsid w:val="009310AE"/>
    <w:rsid w:val="00933C15"/>
    <w:rsid w:val="00946378"/>
    <w:rsid w:val="00946D34"/>
    <w:rsid w:val="00951FAB"/>
    <w:rsid w:val="009750B3"/>
    <w:rsid w:val="009757DC"/>
    <w:rsid w:val="009774A5"/>
    <w:rsid w:val="0098053C"/>
    <w:rsid w:val="00983AEE"/>
    <w:rsid w:val="00984263"/>
    <w:rsid w:val="009907FD"/>
    <w:rsid w:val="00996509"/>
    <w:rsid w:val="00997F20"/>
    <w:rsid w:val="009A04FA"/>
    <w:rsid w:val="009B097B"/>
    <w:rsid w:val="009B1F8E"/>
    <w:rsid w:val="009B726B"/>
    <w:rsid w:val="009C428E"/>
    <w:rsid w:val="009D0E3D"/>
    <w:rsid w:val="009D2490"/>
    <w:rsid w:val="009D2E89"/>
    <w:rsid w:val="009E5158"/>
    <w:rsid w:val="009F0143"/>
    <w:rsid w:val="009F3B5D"/>
    <w:rsid w:val="009F6859"/>
    <w:rsid w:val="009F77ED"/>
    <w:rsid w:val="009F7DBD"/>
    <w:rsid w:val="00A04148"/>
    <w:rsid w:val="00A133C1"/>
    <w:rsid w:val="00A22175"/>
    <w:rsid w:val="00A24823"/>
    <w:rsid w:val="00A41D5C"/>
    <w:rsid w:val="00A54BE3"/>
    <w:rsid w:val="00A55D67"/>
    <w:rsid w:val="00A61A6A"/>
    <w:rsid w:val="00A74D68"/>
    <w:rsid w:val="00A83E8E"/>
    <w:rsid w:val="00A86B79"/>
    <w:rsid w:val="00A91ABE"/>
    <w:rsid w:val="00A94C33"/>
    <w:rsid w:val="00A96955"/>
    <w:rsid w:val="00AA6D1B"/>
    <w:rsid w:val="00AC1E10"/>
    <w:rsid w:val="00AC28D3"/>
    <w:rsid w:val="00AC2D07"/>
    <w:rsid w:val="00AC6D68"/>
    <w:rsid w:val="00AD6182"/>
    <w:rsid w:val="00AD7F0D"/>
    <w:rsid w:val="00AE12F3"/>
    <w:rsid w:val="00AE70E9"/>
    <w:rsid w:val="00AF0D68"/>
    <w:rsid w:val="00AF79C5"/>
    <w:rsid w:val="00B03401"/>
    <w:rsid w:val="00B04ABD"/>
    <w:rsid w:val="00B07EB5"/>
    <w:rsid w:val="00B10FC1"/>
    <w:rsid w:val="00B13490"/>
    <w:rsid w:val="00B17C95"/>
    <w:rsid w:val="00B301CB"/>
    <w:rsid w:val="00B3675C"/>
    <w:rsid w:val="00B5479C"/>
    <w:rsid w:val="00B55645"/>
    <w:rsid w:val="00B64C04"/>
    <w:rsid w:val="00BA2A17"/>
    <w:rsid w:val="00BB4C4A"/>
    <w:rsid w:val="00BB668A"/>
    <w:rsid w:val="00BD5D95"/>
    <w:rsid w:val="00BE041C"/>
    <w:rsid w:val="00BE7108"/>
    <w:rsid w:val="00C0014A"/>
    <w:rsid w:val="00C0224B"/>
    <w:rsid w:val="00C043F2"/>
    <w:rsid w:val="00C04DB8"/>
    <w:rsid w:val="00C17EA3"/>
    <w:rsid w:val="00C32BD5"/>
    <w:rsid w:val="00C3546E"/>
    <w:rsid w:val="00C359DF"/>
    <w:rsid w:val="00C405EF"/>
    <w:rsid w:val="00C45D09"/>
    <w:rsid w:val="00C471D3"/>
    <w:rsid w:val="00C4771C"/>
    <w:rsid w:val="00C558D7"/>
    <w:rsid w:val="00C55ECA"/>
    <w:rsid w:val="00C56CC4"/>
    <w:rsid w:val="00C60C2D"/>
    <w:rsid w:val="00C65E60"/>
    <w:rsid w:val="00C666C1"/>
    <w:rsid w:val="00C70136"/>
    <w:rsid w:val="00C84C41"/>
    <w:rsid w:val="00CA04F6"/>
    <w:rsid w:val="00CA345D"/>
    <w:rsid w:val="00CA41CF"/>
    <w:rsid w:val="00CA59A6"/>
    <w:rsid w:val="00CB076F"/>
    <w:rsid w:val="00CB0F50"/>
    <w:rsid w:val="00CB0F7B"/>
    <w:rsid w:val="00CB5113"/>
    <w:rsid w:val="00CC025F"/>
    <w:rsid w:val="00CD41BB"/>
    <w:rsid w:val="00CD7254"/>
    <w:rsid w:val="00CD7AE4"/>
    <w:rsid w:val="00CE0217"/>
    <w:rsid w:val="00CE497E"/>
    <w:rsid w:val="00CF11FE"/>
    <w:rsid w:val="00CF2DF1"/>
    <w:rsid w:val="00D00DDC"/>
    <w:rsid w:val="00D04798"/>
    <w:rsid w:val="00D0553F"/>
    <w:rsid w:val="00D1144A"/>
    <w:rsid w:val="00D11985"/>
    <w:rsid w:val="00D14389"/>
    <w:rsid w:val="00D1691C"/>
    <w:rsid w:val="00D16A2C"/>
    <w:rsid w:val="00D23732"/>
    <w:rsid w:val="00D26C1D"/>
    <w:rsid w:val="00D46E41"/>
    <w:rsid w:val="00D47240"/>
    <w:rsid w:val="00D52C5D"/>
    <w:rsid w:val="00D54143"/>
    <w:rsid w:val="00D573EE"/>
    <w:rsid w:val="00D64EF6"/>
    <w:rsid w:val="00D71B6D"/>
    <w:rsid w:val="00D82FF5"/>
    <w:rsid w:val="00D86A5A"/>
    <w:rsid w:val="00D86B66"/>
    <w:rsid w:val="00D87C64"/>
    <w:rsid w:val="00D94E5A"/>
    <w:rsid w:val="00DA3503"/>
    <w:rsid w:val="00DA7EB7"/>
    <w:rsid w:val="00DB53CD"/>
    <w:rsid w:val="00DB623D"/>
    <w:rsid w:val="00DC41B2"/>
    <w:rsid w:val="00DC6E0A"/>
    <w:rsid w:val="00DD09AF"/>
    <w:rsid w:val="00DE22EC"/>
    <w:rsid w:val="00DE35F4"/>
    <w:rsid w:val="00DE5316"/>
    <w:rsid w:val="00DE5A81"/>
    <w:rsid w:val="00DF425E"/>
    <w:rsid w:val="00E0137B"/>
    <w:rsid w:val="00E24A71"/>
    <w:rsid w:val="00E26ED2"/>
    <w:rsid w:val="00E306F9"/>
    <w:rsid w:val="00E313A7"/>
    <w:rsid w:val="00E32F24"/>
    <w:rsid w:val="00E415B6"/>
    <w:rsid w:val="00E512CF"/>
    <w:rsid w:val="00E55862"/>
    <w:rsid w:val="00E6388A"/>
    <w:rsid w:val="00E77941"/>
    <w:rsid w:val="00E81136"/>
    <w:rsid w:val="00E835A3"/>
    <w:rsid w:val="00E91566"/>
    <w:rsid w:val="00E973E6"/>
    <w:rsid w:val="00EA2694"/>
    <w:rsid w:val="00EA55B7"/>
    <w:rsid w:val="00EB2E37"/>
    <w:rsid w:val="00EB74E3"/>
    <w:rsid w:val="00EC6AFF"/>
    <w:rsid w:val="00EE121B"/>
    <w:rsid w:val="00EF46AA"/>
    <w:rsid w:val="00EF4DC1"/>
    <w:rsid w:val="00EF6112"/>
    <w:rsid w:val="00F01177"/>
    <w:rsid w:val="00F02368"/>
    <w:rsid w:val="00F02937"/>
    <w:rsid w:val="00F158A4"/>
    <w:rsid w:val="00F163A8"/>
    <w:rsid w:val="00F175DD"/>
    <w:rsid w:val="00F22D64"/>
    <w:rsid w:val="00F33DF6"/>
    <w:rsid w:val="00F45557"/>
    <w:rsid w:val="00F52E7C"/>
    <w:rsid w:val="00F66A4C"/>
    <w:rsid w:val="00F67007"/>
    <w:rsid w:val="00F67074"/>
    <w:rsid w:val="00F67CAA"/>
    <w:rsid w:val="00F73BDE"/>
    <w:rsid w:val="00F846EB"/>
    <w:rsid w:val="00F87127"/>
    <w:rsid w:val="00F906F2"/>
    <w:rsid w:val="00FA2EDE"/>
    <w:rsid w:val="00FB4A00"/>
    <w:rsid w:val="00FB625B"/>
    <w:rsid w:val="00FC041C"/>
    <w:rsid w:val="00FC56AD"/>
    <w:rsid w:val="00FD4972"/>
    <w:rsid w:val="00FD6886"/>
    <w:rsid w:val="00FF0F50"/>
    <w:rsid w:val="00FF0F84"/>
    <w:rsid w:val="00FF7F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5BC0"/>
  <w15:docId w15:val="{80377002-4400-4801-91B6-2BCA61CE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33C15"/>
    <w:rPr>
      <w:color w:val="0000FF"/>
      <w:u w:val="single"/>
    </w:rPr>
  </w:style>
  <w:style w:type="paragraph" w:styleId="NormalWeb">
    <w:name w:val="Normal (Web)"/>
    <w:basedOn w:val="Normal"/>
    <w:semiHidden/>
    <w:unhideWhenUsed/>
    <w:rsid w:val="00933C15"/>
    <w:pPr>
      <w:spacing w:before="100" w:beforeAutospacing="1" w:after="100" w:afterAutospacing="1"/>
    </w:pPr>
    <w:rPr>
      <w:rFonts w:eastAsia="Times New Roman" w:cs="Times New Roman"/>
      <w:szCs w:val="24"/>
      <w:lang w:eastAsia="lv-LV"/>
    </w:rPr>
  </w:style>
  <w:style w:type="paragraph" w:styleId="Footer">
    <w:name w:val="footer"/>
    <w:basedOn w:val="Normal"/>
    <w:link w:val="FooterChar"/>
    <w:uiPriority w:val="99"/>
    <w:unhideWhenUsed/>
    <w:rsid w:val="00933C15"/>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933C15"/>
    <w:rPr>
      <w:rFonts w:eastAsia="Times New Roman" w:cs="Times New Roman"/>
      <w:szCs w:val="24"/>
      <w:lang w:eastAsia="lv-LV"/>
    </w:rPr>
  </w:style>
  <w:style w:type="paragraph" w:customStyle="1" w:styleId="naisnod">
    <w:name w:val="naisnod"/>
    <w:basedOn w:val="Normal"/>
    <w:rsid w:val="00933C15"/>
    <w:pPr>
      <w:spacing w:before="150" w:after="150"/>
      <w:jc w:val="center"/>
    </w:pPr>
    <w:rPr>
      <w:rFonts w:eastAsia="Times New Roman" w:cs="Times New Roman"/>
      <w:b/>
      <w:bCs/>
      <w:szCs w:val="24"/>
      <w:lang w:eastAsia="lv-LV"/>
    </w:rPr>
  </w:style>
  <w:style w:type="paragraph" w:customStyle="1" w:styleId="naisf">
    <w:name w:val="naisf"/>
    <w:basedOn w:val="Normal"/>
    <w:semiHidden/>
    <w:rsid w:val="00933C15"/>
    <w:pPr>
      <w:spacing w:before="75" w:after="75"/>
      <w:ind w:firstLine="375"/>
      <w:jc w:val="both"/>
    </w:pPr>
    <w:rPr>
      <w:rFonts w:eastAsia="Times New Roman" w:cs="Times New Roman"/>
      <w:szCs w:val="24"/>
      <w:lang w:eastAsia="lv-LV"/>
    </w:rPr>
  </w:style>
  <w:style w:type="paragraph" w:customStyle="1" w:styleId="naiskr">
    <w:name w:val="naiskr"/>
    <w:basedOn w:val="Normal"/>
    <w:rsid w:val="00933C15"/>
    <w:pPr>
      <w:spacing w:before="75" w:after="75"/>
    </w:pPr>
    <w:rPr>
      <w:rFonts w:eastAsia="Times New Roman" w:cs="Times New Roman"/>
      <w:szCs w:val="24"/>
      <w:lang w:eastAsia="lv-LV"/>
    </w:rPr>
  </w:style>
  <w:style w:type="paragraph" w:styleId="Header">
    <w:name w:val="header"/>
    <w:basedOn w:val="Normal"/>
    <w:link w:val="HeaderChar"/>
    <w:uiPriority w:val="99"/>
    <w:unhideWhenUsed/>
    <w:rsid w:val="00933C15"/>
    <w:pPr>
      <w:tabs>
        <w:tab w:val="center" w:pos="4153"/>
        <w:tab w:val="right" w:pos="8306"/>
      </w:tabs>
    </w:pPr>
  </w:style>
  <w:style w:type="character" w:customStyle="1" w:styleId="HeaderChar">
    <w:name w:val="Header Char"/>
    <w:basedOn w:val="DefaultParagraphFont"/>
    <w:link w:val="Header"/>
    <w:uiPriority w:val="99"/>
    <w:rsid w:val="00933C15"/>
  </w:style>
  <w:style w:type="paragraph" w:styleId="BodyTextIndent">
    <w:name w:val="Body Text Indent"/>
    <w:basedOn w:val="Normal"/>
    <w:link w:val="BodyTextIndentChar"/>
    <w:semiHidden/>
    <w:rsid w:val="00933C15"/>
    <w:pPr>
      <w:spacing w:after="120"/>
      <w:jc w:val="both"/>
    </w:pPr>
    <w:rPr>
      <w:rFonts w:eastAsia="Times New Roman" w:cs="Times New Roman"/>
      <w:b/>
      <w:bCs/>
      <w:szCs w:val="24"/>
    </w:rPr>
  </w:style>
  <w:style w:type="character" w:customStyle="1" w:styleId="BodyTextIndentChar">
    <w:name w:val="Body Text Indent Char"/>
    <w:basedOn w:val="DefaultParagraphFont"/>
    <w:link w:val="BodyTextIndent"/>
    <w:semiHidden/>
    <w:rsid w:val="00933C15"/>
    <w:rPr>
      <w:rFonts w:eastAsia="Times New Roman" w:cs="Times New Roman"/>
      <w:b/>
      <w:bCs/>
      <w:szCs w:val="24"/>
    </w:rPr>
  </w:style>
  <w:style w:type="paragraph" w:styleId="BodyText2">
    <w:name w:val="Body Text 2"/>
    <w:basedOn w:val="Normal"/>
    <w:link w:val="BodyText2Char"/>
    <w:uiPriority w:val="99"/>
    <w:semiHidden/>
    <w:unhideWhenUsed/>
    <w:rsid w:val="00A94C33"/>
    <w:pPr>
      <w:spacing w:after="120" w:line="480" w:lineRule="auto"/>
    </w:pPr>
  </w:style>
  <w:style w:type="character" w:customStyle="1" w:styleId="BodyText2Char">
    <w:name w:val="Body Text 2 Char"/>
    <w:basedOn w:val="DefaultParagraphFont"/>
    <w:link w:val="BodyText2"/>
    <w:uiPriority w:val="99"/>
    <w:semiHidden/>
    <w:rsid w:val="00A94C33"/>
  </w:style>
  <w:style w:type="paragraph" w:styleId="ListParagraph">
    <w:name w:val="List Paragraph"/>
    <w:basedOn w:val="Normal"/>
    <w:uiPriority w:val="34"/>
    <w:qFormat/>
    <w:rsid w:val="004C1F26"/>
    <w:pPr>
      <w:ind w:left="720"/>
      <w:contextualSpacing/>
    </w:pPr>
  </w:style>
  <w:style w:type="paragraph" w:styleId="NoSpacing">
    <w:name w:val="No Spacing"/>
    <w:uiPriority w:val="1"/>
    <w:qFormat/>
    <w:rsid w:val="00900CA5"/>
    <w:rPr>
      <w:rFonts w:ascii="Calibri" w:eastAsia="Calibri" w:hAnsi="Calibri" w:cs="Times New Roman"/>
      <w:sz w:val="22"/>
    </w:rPr>
  </w:style>
  <w:style w:type="paragraph" w:styleId="FootnoteText">
    <w:name w:val="footnote text"/>
    <w:basedOn w:val="Normal"/>
    <w:link w:val="FootnoteTextChar"/>
    <w:uiPriority w:val="99"/>
    <w:semiHidden/>
    <w:unhideWhenUsed/>
    <w:rsid w:val="005F61EC"/>
    <w:rPr>
      <w:sz w:val="20"/>
      <w:szCs w:val="20"/>
    </w:rPr>
  </w:style>
  <w:style w:type="character" w:customStyle="1" w:styleId="FootnoteTextChar">
    <w:name w:val="Footnote Text Char"/>
    <w:basedOn w:val="DefaultParagraphFont"/>
    <w:link w:val="FootnoteText"/>
    <w:uiPriority w:val="99"/>
    <w:semiHidden/>
    <w:rsid w:val="005F61EC"/>
    <w:rPr>
      <w:sz w:val="20"/>
      <w:szCs w:val="20"/>
    </w:rPr>
  </w:style>
  <w:style w:type="character" w:styleId="FootnoteReference">
    <w:name w:val="footnote reference"/>
    <w:basedOn w:val="DefaultParagraphFont"/>
    <w:uiPriority w:val="99"/>
    <w:semiHidden/>
    <w:unhideWhenUsed/>
    <w:rsid w:val="005F61EC"/>
    <w:rPr>
      <w:vertAlign w:val="superscript"/>
    </w:rPr>
  </w:style>
  <w:style w:type="paragraph" w:styleId="BalloonText">
    <w:name w:val="Balloon Text"/>
    <w:basedOn w:val="Normal"/>
    <w:link w:val="BalloonTextChar"/>
    <w:uiPriority w:val="99"/>
    <w:semiHidden/>
    <w:unhideWhenUsed/>
    <w:rsid w:val="006D6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8D9"/>
    <w:rPr>
      <w:rFonts w:ascii="Segoe UI" w:hAnsi="Segoe UI" w:cs="Segoe UI"/>
      <w:sz w:val="18"/>
      <w:szCs w:val="18"/>
    </w:rPr>
  </w:style>
  <w:style w:type="paragraph" w:styleId="BlockText">
    <w:name w:val="Block Text"/>
    <w:basedOn w:val="Normal"/>
    <w:uiPriority w:val="99"/>
    <w:unhideWhenUsed/>
    <w:rsid w:val="00AF0D68"/>
    <w:pPr>
      <w:spacing w:before="100" w:beforeAutospacing="1" w:after="100" w:afterAutospacing="1"/>
    </w:pPr>
    <w:rPr>
      <w:rFonts w:eastAsia="Times New Roman" w:cs="Times New Roman"/>
      <w:color w:val="000000"/>
      <w:szCs w:val="24"/>
      <w:lang w:eastAsia="lv-LV"/>
    </w:rPr>
  </w:style>
  <w:style w:type="character" w:styleId="CommentReference">
    <w:name w:val="annotation reference"/>
    <w:basedOn w:val="DefaultParagraphFont"/>
    <w:uiPriority w:val="99"/>
    <w:semiHidden/>
    <w:unhideWhenUsed/>
    <w:rsid w:val="00AF0D68"/>
    <w:rPr>
      <w:sz w:val="16"/>
      <w:szCs w:val="16"/>
    </w:rPr>
  </w:style>
  <w:style w:type="paragraph" w:styleId="CommentText">
    <w:name w:val="annotation text"/>
    <w:basedOn w:val="Normal"/>
    <w:link w:val="CommentTextChar"/>
    <w:uiPriority w:val="99"/>
    <w:semiHidden/>
    <w:unhideWhenUsed/>
    <w:rsid w:val="00AF0D68"/>
    <w:rPr>
      <w:sz w:val="20"/>
      <w:szCs w:val="20"/>
    </w:rPr>
  </w:style>
  <w:style w:type="character" w:customStyle="1" w:styleId="CommentTextChar">
    <w:name w:val="Comment Text Char"/>
    <w:basedOn w:val="DefaultParagraphFont"/>
    <w:link w:val="CommentText"/>
    <w:uiPriority w:val="99"/>
    <w:semiHidden/>
    <w:rsid w:val="00AF0D68"/>
    <w:rPr>
      <w:sz w:val="20"/>
      <w:szCs w:val="20"/>
    </w:rPr>
  </w:style>
  <w:style w:type="paragraph" w:customStyle="1" w:styleId="tv2132">
    <w:name w:val="tv2132"/>
    <w:basedOn w:val="Normal"/>
    <w:rsid w:val="00A24823"/>
    <w:pPr>
      <w:spacing w:line="360" w:lineRule="auto"/>
      <w:ind w:firstLine="300"/>
    </w:pPr>
    <w:rPr>
      <w:rFonts w:eastAsia="Times New Roman" w:cs="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106058"/>
    <w:rPr>
      <w:b/>
      <w:bCs/>
    </w:rPr>
  </w:style>
  <w:style w:type="character" w:customStyle="1" w:styleId="CommentSubjectChar">
    <w:name w:val="Comment Subject Char"/>
    <w:basedOn w:val="CommentTextChar"/>
    <w:link w:val="CommentSubject"/>
    <w:uiPriority w:val="99"/>
    <w:semiHidden/>
    <w:rsid w:val="00106058"/>
    <w:rPr>
      <w:b/>
      <w:bCs/>
      <w:sz w:val="20"/>
      <w:szCs w:val="20"/>
    </w:rPr>
  </w:style>
  <w:style w:type="paragraph" w:styleId="Revision">
    <w:name w:val="Revision"/>
    <w:hidden/>
    <w:uiPriority w:val="99"/>
    <w:semiHidden/>
    <w:rsid w:val="007B33A8"/>
  </w:style>
  <w:style w:type="paragraph" w:styleId="BodyText">
    <w:name w:val="Body Text"/>
    <w:basedOn w:val="Normal"/>
    <w:link w:val="BodyTextChar"/>
    <w:uiPriority w:val="99"/>
    <w:semiHidden/>
    <w:unhideWhenUsed/>
    <w:rsid w:val="006943B3"/>
    <w:pPr>
      <w:spacing w:after="120"/>
    </w:pPr>
  </w:style>
  <w:style w:type="character" w:customStyle="1" w:styleId="BodyTextChar">
    <w:name w:val="Body Text Char"/>
    <w:basedOn w:val="DefaultParagraphFont"/>
    <w:link w:val="BodyText"/>
    <w:uiPriority w:val="99"/>
    <w:semiHidden/>
    <w:rsid w:val="006943B3"/>
  </w:style>
  <w:style w:type="paragraph" w:styleId="ListBullet">
    <w:name w:val="List Bullet"/>
    <w:basedOn w:val="Normal"/>
    <w:uiPriority w:val="99"/>
    <w:unhideWhenUsed/>
    <w:rsid w:val="00834EB2"/>
    <w:pPr>
      <w:numPr>
        <w:numId w:val="5"/>
      </w:numPr>
      <w:contextualSpacing/>
    </w:pPr>
  </w:style>
  <w:style w:type="paragraph" w:customStyle="1" w:styleId="Kam">
    <w:name w:val="Kam"/>
    <w:basedOn w:val="Normal"/>
    <w:autoRedefine/>
    <w:rsid w:val="00864022"/>
    <w:pPr>
      <w:spacing w:before="240"/>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6246">
      <w:bodyDiv w:val="1"/>
      <w:marLeft w:val="0"/>
      <w:marRight w:val="0"/>
      <w:marTop w:val="0"/>
      <w:marBottom w:val="0"/>
      <w:divBdr>
        <w:top w:val="none" w:sz="0" w:space="0" w:color="auto"/>
        <w:left w:val="none" w:sz="0" w:space="0" w:color="auto"/>
        <w:bottom w:val="none" w:sz="0" w:space="0" w:color="auto"/>
        <w:right w:val="none" w:sz="0" w:space="0" w:color="auto"/>
      </w:divBdr>
    </w:div>
    <w:div w:id="266932493">
      <w:bodyDiv w:val="1"/>
      <w:marLeft w:val="0"/>
      <w:marRight w:val="0"/>
      <w:marTop w:val="0"/>
      <w:marBottom w:val="0"/>
      <w:divBdr>
        <w:top w:val="none" w:sz="0" w:space="0" w:color="auto"/>
        <w:left w:val="none" w:sz="0" w:space="0" w:color="auto"/>
        <w:bottom w:val="none" w:sz="0" w:space="0" w:color="auto"/>
        <w:right w:val="none" w:sz="0" w:space="0" w:color="auto"/>
      </w:divBdr>
    </w:div>
    <w:div w:id="310064886">
      <w:bodyDiv w:val="1"/>
      <w:marLeft w:val="0"/>
      <w:marRight w:val="0"/>
      <w:marTop w:val="0"/>
      <w:marBottom w:val="0"/>
      <w:divBdr>
        <w:top w:val="none" w:sz="0" w:space="0" w:color="auto"/>
        <w:left w:val="none" w:sz="0" w:space="0" w:color="auto"/>
        <w:bottom w:val="none" w:sz="0" w:space="0" w:color="auto"/>
        <w:right w:val="none" w:sz="0" w:space="0" w:color="auto"/>
      </w:divBdr>
      <w:divsChild>
        <w:div w:id="1326863139">
          <w:marLeft w:val="0"/>
          <w:marRight w:val="0"/>
          <w:marTop w:val="0"/>
          <w:marBottom w:val="0"/>
          <w:divBdr>
            <w:top w:val="none" w:sz="0" w:space="0" w:color="auto"/>
            <w:left w:val="none" w:sz="0" w:space="0" w:color="auto"/>
            <w:bottom w:val="none" w:sz="0" w:space="0" w:color="auto"/>
            <w:right w:val="none" w:sz="0" w:space="0" w:color="auto"/>
          </w:divBdr>
          <w:divsChild>
            <w:div w:id="1749770832">
              <w:marLeft w:val="0"/>
              <w:marRight w:val="0"/>
              <w:marTop w:val="0"/>
              <w:marBottom w:val="0"/>
              <w:divBdr>
                <w:top w:val="none" w:sz="0" w:space="0" w:color="auto"/>
                <w:left w:val="none" w:sz="0" w:space="0" w:color="auto"/>
                <w:bottom w:val="none" w:sz="0" w:space="0" w:color="auto"/>
                <w:right w:val="none" w:sz="0" w:space="0" w:color="auto"/>
              </w:divBdr>
              <w:divsChild>
                <w:div w:id="908156810">
                  <w:marLeft w:val="0"/>
                  <w:marRight w:val="0"/>
                  <w:marTop w:val="0"/>
                  <w:marBottom w:val="0"/>
                  <w:divBdr>
                    <w:top w:val="none" w:sz="0" w:space="0" w:color="auto"/>
                    <w:left w:val="none" w:sz="0" w:space="0" w:color="auto"/>
                    <w:bottom w:val="none" w:sz="0" w:space="0" w:color="auto"/>
                    <w:right w:val="none" w:sz="0" w:space="0" w:color="auto"/>
                  </w:divBdr>
                  <w:divsChild>
                    <w:div w:id="1100639428">
                      <w:marLeft w:val="0"/>
                      <w:marRight w:val="0"/>
                      <w:marTop w:val="0"/>
                      <w:marBottom w:val="0"/>
                      <w:divBdr>
                        <w:top w:val="none" w:sz="0" w:space="0" w:color="auto"/>
                        <w:left w:val="none" w:sz="0" w:space="0" w:color="auto"/>
                        <w:bottom w:val="none" w:sz="0" w:space="0" w:color="auto"/>
                        <w:right w:val="none" w:sz="0" w:space="0" w:color="auto"/>
                      </w:divBdr>
                      <w:divsChild>
                        <w:div w:id="1523477815">
                          <w:marLeft w:val="0"/>
                          <w:marRight w:val="0"/>
                          <w:marTop w:val="0"/>
                          <w:marBottom w:val="0"/>
                          <w:divBdr>
                            <w:top w:val="none" w:sz="0" w:space="0" w:color="auto"/>
                            <w:left w:val="none" w:sz="0" w:space="0" w:color="auto"/>
                            <w:bottom w:val="none" w:sz="0" w:space="0" w:color="auto"/>
                            <w:right w:val="none" w:sz="0" w:space="0" w:color="auto"/>
                          </w:divBdr>
                          <w:divsChild>
                            <w:div w:id="4495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781359">
      <w:bodyDiv w:val="1"/>
      <w:marLeft w:val="0"/>
      <w:marRight w:val="0"/>
      <w:marTop w:val="0"/>
      <w:marBottom w:val="0"/>
      <w:divBdr>
        <w:top w:val="none" w:sz="0" w:space="0" w:color="auto"/>
        <w:left w:val="none" w:sz="0" w:space="0" w:color="auto"/>
        <w:bottom w:val="none" w:sz="0" w:space="0" w:color="auto"/>
        <w:right w:val="none" w:sz="0" w:space="0" w:color="auto"/>
      </w:divBdr>
      <w:divsChild>
        <w:div w:id="564725399">
          <w:marLeft w:val="0"/>
          <w:marRight w:val="0"/>
          <w:marTop w:val="0"/>
          <w:marBottom w:val="0"/>
          <w:divBdr>
            <w:top w:val="none" w:sz="0" w:space="0" w:color="auto"/>
            <w:left w:val="none" w:sz="0" w:space="0" w:color="auto"/>
            <w:bottom w:val="none" w:sz="0" w:space="0" w:color="auto"/>
            <w:right w:val="none" w:sz="0" w:space="0" w:color="auto"/>
          </w:divBdr>
          <w:divsChild>
            <w:div w:id="2083479866">
              <w:marLeft w:val="0"/>
              <w:marRight w:val="0"/>
              <w:marTop w:val="0"/>
              <w:marBottom w:val="0"/>
              <w:divBdr>
                <w:top w:val="none" w:sz="0" w:space="0" w:color="auto"/>
                <w:left w:val="none" w:sz="0" w:space="0" w:color="auto"/>
                <w:bottom w:val="none" w:sz="0" w:space="0" w:color="auto"/>
                <w:right w:val="none" w:sz="0" w:space="0" w:color="auto"/>
              </w:divBdr>
              <w:divsChild>
                <w:div w:id="408383175">
                  <w:marLeft w:val="0"/>
                  <w:marRight w:val="0"/>
                  <w:marTop w:val="0"/>
                  <w:marBottom w:val="0"/>
                  <w:divBdr>
                    <w:top w:val="none" w:sz="0" w:space="0" w:color="auto"/>
                    <w:left w:val="none" w:sz="0" w:space="0" w:color="auto"/>
                    <w:bottom w:val="none" w:sz="0" w:space="0" w:color="auto"/>
                    <w:right w:val="none" w:sz="0" w:space="0" w:color="auto"/>
                  </w:divBdr>
                  <w:divsChild>
                    <w:div w:id="1872568950">
                      <w:marLeft w:val="0"/>
                      <w:marRight w:val="0"/>
                      <w:marTop w:val="0"/>
                      <w:marBottom w:val="0"/>
                      <w:divBdr>
                        <w:top w:val="none" w:sz="0" w:space="0" w:color="auto"/>
                        <w:left w:val="none" w:sz="0" w:space="0" w:color="auto"/>
                        <w:bottom w:val="none" w:sz="0" w:space="0" w:color="auto"/>
                        <w:right w:val="none" w:sz="0" w:space="0" w:color="auto"/>
                      </w:divBdr>
                      <w:divsChild>
                        <w:div w:id="198204090">
                          <w:marLeft w:val="0"/>
                          <w:marRight w:val="0"/>
                          <w:marTop w:val="0"/>
                          <w:marBottom w:val="0"/>
                          <w:divBdr>
                            <w:top w:val="none" w:sz="0" w:space="0" w:color="auto"/>
                            <w:left w:val="none" w:sz="0" w:space="0" w:color="auto"/>
                            <w:bottom w:val="none" w:sz="0" w:space="0" w:color="auto"/>
                            <w:right w:val="none" w:sz="0" w:space="0" w:color="auto"/>
                          </w:divBdr>
                          <w:divsChild>
                            <w:div w:id="20604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4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ACD62-CD26-478A-A27C-A96B33F0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12078</Words>
  <Characters>6885</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FMAnot_21062016_LPLB; Likumprojekta "Grozījumi likumā "Par Latvijas Banku"" sākotnējās ietekmes novērtējuma ziņojums (anotācija)</vt:lpstr>
      <vt:lpstr>Anotācija likumprojektam "Grozījums likumā "Par Latvijas Banku""</vt:lpstr>
    </vt:vector>
  </TitlesOfParts>
  <Company>Latvijas Banka</Company>
  <LinksUpToDate>false</LinksUpToDate>
  <CharactersWithSpaces>18926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FMAnot_21062016_LPLB; Likumprojekta "Grozījumi likumā "Par Latvijas Banku"" sākotnējās ietekmes novērtējuma ziņojums (anotācija)</dc:title>
  <dc:creator>dina.buse@fm.gov.lv</dc:creator>
  <dc:description>Dina Buse
tālr.67095535
e- pasts: Dina.Buse@fm.gov.lv</dc:description>
  <cp:lastModifiedBy>Dina Buse</cp:lastModifiedBy>
  <cp:revision>6</cp:revision>
  <cp:lastPrinted>2016-03-15T10:18:00Z</cp:lastPrinted>
  <dcterms:created xsi:type="dcterms:W3CDTF">2016-06-21T10:25:00Z</dcterms:created>
  <dcterms:modified xsi:type="dcterms:W3CDTF">2016-07-01T11:30:00Z</dcterms:modified>
</cp:coreProperties>
</file>