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79" w:rsidRPr="00373D2D" w:rsidRDefault="00676379" w:rsidP="00E86B8E">
      <w:pPr>
        <w:ind w:firstLine="720"/>
        <w:jc w:val="right"/>
        <w:rPr>
          <w:rFonts w:eastAsia="Times New Roman" w:cs="Times New Roman"/>
          <w:i/>
          <w:sz w:val="28"/>
          <w:szCs w:val="28"/>
        </w:rPr>
      </w:pPr>
      <w:bookmarkStart w:id="0" w:name="_GoBack"/>
      <w:bookmarkEnd w:id="0"/>
      <w:r w:rsidRPr="00373D2D">
        <w:rPr>
          <w:rFonts w:eastAsia="Times New Roman" w:cs="Times New Roman"/>
          <w:i/>
          <w:sz w:val="28"/>
          <w:szCs w:val="28"/>
        </w:rPr>
        <w:t>Ministru kabineta atbildes vēstules projekts</w:t>
      </w:r>
    </w:p>
    <w:p w:rsidR="00676379" w:rsidRPr="00373D2D" w:rsidRDefault="00676379" w:rsidP="00E86B8E">
      <w:pPr>
        <w:ind w:firstLine="720"/>
        <w:jc w:val="right"/>
        <w:rPr>
          <w:rFonts w:eastAsia="Times New Roman" w:cs="Times New Roman"/>
          <w:b/>
          <w:sz w:val="28"/>
          <w:szCs w:val="28"/>
        </w:rPr>
      </w:pPr>
    </w:p>
    <w:p w:rsidR="00AE6C91" w:rsidRPr="00373D2D" w:rsidRDefault="00AE6C91" w:rsidP="00AE6C91">
      <w:pPr>
        <w:jc w:val="right"/>
        <w:rPr>
          <w:b/>
          <w:bCs/>
          <w:sz w:val="28"/>
          <w:szCs w:val="28"/>
          <w:lang w:eastAsia="lv-LV"/>
        </w:rPr>
      </w:pPr>
      <w:r w:rsidRPr="00373D2D">
        <w:rPr>
          <w:b/>
          <w:bCs/>
          <w:sz w:val="28"/>
          <w:szCs w:val="28"/>
          <w:lang w:eastAsia="lv-LV"/>
        </w:rPr>
        <w:t>Latvijas Republikas Saeimas</w:t>
      </w:r>
    </w:p>
    <w:p w:rsidR="002A7C50" w:rsidRPr="00373D2D" w:rsidRDefault="00AE6C91" w:rsidP="00AE6C91">
      <w:pPr>
        <w:widowControl w:val="0"/>
        <w:tabs>
          <w:tab w:val="left" w:pos="6740"/>
        </w:tabs>
        <w:ind w:firstLine="567"/>
        <w:jc w:val="right"/>
        <w:rPr>
          <w:rFonts w:eastAsia="Times New Roman" w:cs="Times New Roman"/>
          <w:b/>
          <w:bCs/>
          <w:sz w:val="28"/>
          <w:szCs w:val="28"/>
          <w:lang w:eastAsia="lv-LV"/>
        </w:rPr>
      </w:pPr>
      <w:r w:rsidRPr="00373D2D">
        <w:rPr>
          <w:b/>
          <w:bCs/>
          <w:sz w:val="28"/>
          <w:szCs w:val="28"/>
          <w:lang w:eastAsia="lv-LV"/>
        </w:rPr>
        <w:t>Aizsardzības, iekšlietu un korupcijas novēršanas komisijas</w:t>
      </w:r>
      <w:r w:rsidR="002A7C50" w:rsidRPr="00373D2D">
        <w:rPr>
          <w:rFonts w:eastAsia="Times New Roman" w:cs="Times New Roman"/>
          <w:b/>
          <w:bCs/>
          <w:sz w:val="28"/>
          <w:szCs w:val="28"/>
          <w:lang w:eastAsia="lv-LV"/>
        </w:rPr>
        <w:t xml:space="preserve"> </w:t>
      </w:r>
    </w:p>
    <w:p w:rsidR="007635D6" w:rsidRPr="00373D2D" w:rsidRDefault="002A7C50" w:rsidP="007635D6">
      <w:pPr>
        <w:widowControl w:val="0"/>
        <w:tabs>
          <w:tab w:val="left" w:pos="6740"/>
        </w:tabs>
        <w:ind w:firstLine="567"/>
        <w:jc w:val="right"/>
        <w:rPr>
          <w:rFonts w:eastAsia="Times New Roman" w:cs="Times New Roman"/>
          <w:b/>
          <w:bCs/>
          <w:sz w:val="28"/>
          <w:szCs w:val="28"/>
          <w:lang w:eastAsia="lv-LV"/>
        </w:rPr>
      </w:pPr>
      <w:r w:rsidRPr="00373D2D">
        <w:rPr>
          <w:rFonts w:eastAsia="Times New Roman" w:cs="Times New Roman"/>
          <w:b/>
          <w:bCs/>
          <w:sz w:val="28"/>
          <w:szCs w:val="28"/>
          <w:lang w:eastAsia="lv-LV"/>
        </w:rPr>
        <w:t xml:space="preserve">priekšsēdētājam </w:t>
      </w:r>
      <w:proofErr w:type="spellStart"/>
      <w:r w:rsidR="00AE6C91" w:rsidRPr="00373D2D">
        <w:rPr>
          <w:rFonts w:eastAsia="Times New Roman" w:cs="Times New Roman"/>
          <w:b/>
          <w:bCs/>
          <w:sz w:val="28"/>
          <w:szCs w:val="28"/>
          <w:lang w:eastAsia="lv-LV"/>
        </w:rPr>
        <w:t>A.Latkovska</w:t>
      </w:r>
      <w:proofErr w:type="spellEnd"/>
      <w:r w:rsidRPr="00373D2D">
        <w:rPr>
          <w:rFonts w:eastAsia="Times New Roman" w:cs="Times New Roman"/>
          <w:b/>
          <w:bCs/>
          <w:sz w:val="28"/>
          <w:szCs w:val="28"/>
          <w:lang w:eastAsia="lv-LV"/>
        </w:rPr>
        <w:t xml:space="preserve"> kungam </w:t>
      </w:r>
    </w:p>
    <w:p w:rsidR="007635D6" w:rsidRPr="00373D2D" w:rsidRDefault="007635D6" w:rsidP="007635D6">
      <w:pPr>
        <w:jc w:val="right"/>
        <w:rPr>
          <w:rFonts w:eastAsia="Times New Roman" w:cs="Times New Roman"/>
          <w:b/>
          <w:bCs/>
          <w:sz w:val="28"/>
          <w:szCs w:val="28"/>
          <w:lang w:eastAsia="lv-LV"/>
        </w:rPr>
      </w:pPr>
    </w:p>
    <w:p w:rsidR="00E92B6B" w:rsidRPr="00373D2D" w:rsidRDefault="00E92B6B" w:rsidP="00E86B8E">
      <w:pPr>
        <w:jc w:val="both"/>
        <w:rPr>
          <w:rFonts w:eastAsia="Times New Roman" w:cs="Times New Roman"/>
          <w:i/>
          <w:sz w:val="28"/>
          <w:szCs w:val="28"/>
        </w:rPr>
      </w:pPr>
    </w:p>
    <w:p w:rsidR="00C13485" w:rsidRPr="00A31320" w:rsidRDefault="00AE6C91" w:rsidP="00C13485">
      <w:pPr>
        <w:widowControl w:val="0"/>
        <w:tabs>
          <w:tab w:val="left" w:pos="6740"/>
        </w:tabs>
        <w:rPr>
          <w:rFonts w:cs="Times New Roman"/>
          <w:i/>
          <w:sz w:val="28"/>
          <w:szCs w:val="28"/>
        </w:rPr>
      </w:pPr>
      <w:r w:rsidRPr="00A31320">
        <w:rPr>
          <w:rFonts w:cs="Times New Roman"/>
          <w:i/>
          <w:sz w:val="28"/>
          <w:szCs w:val="28"/>
        </w:rPr>
        <w:t xml:space="preserve">Par noziedzīgi iegūtu līdzekļu legalizācijas </w:t>
      </w:r>
    </w:p>
    <w:p w:rsidR="00C13485" w:rsidRPr="00A31320" w:rsidRDefault="00AE6C91" w:rsidP="007635D6">
      <w:pPr>
        <w:widowControl w:val="0"/>
        <w:tabs>
          <w:tab w:val="left" w:pos="6740"/>
        </w:tabs>
        <w:rPr>
          <w:rFonts w:cs="Times New Roman"/>
          <w:i/>
          <w:sz w:val="28"/>
          <w:szCs w:val="28"/>
        </w:rPr>
      </w:pPr>
      <w:r w:rsidRPr="00A31320">
        <w:rPr>
          <w:rFonts w:cs="Times New Roman"/>
          <w:i/>
          <w:sz w:val="28"/>
          <w:szCs w:val="28"/>
        </w:rPr>
        <w:t xml:space="preserve">novēršanas </w:t>
      </w:r>
      <w:r w:rsidR="00C13485" w:rsidRPr="00A31320">
        <w:rPr>
          <w:rFonts w:cs="Times New Roman"/>
          <w:i/>
          <w:sz w:val="28"/>
          <w:szCs w:val="28"/>
        </w:rPr>
        <w:t xml:space="preserve">dienesta  kapacitātes stiprināšanu </w:t>
      </w:r>
    </w:p>
    <w:p w:rsidR="00AE6C91" w:rsidRPr="00A31320" w:rsidRDefault="00AE6C91" w:rsidP="007635D6">
      <w:pPr>
        <w:widowControl w:val="0"/>
        <w:tabs>
          <w:tab w:val="left" w:pos="6740"/>
        </w:tabs>
        <w:rPr>
          <w:rFonts w:cs="Times New Roman"/>
          <w:i/>
          <w:sz w:val="28"/>
          <w:szCs w:val="28"/>
        </w:rPr>
      </w:pPr>
    </w:p>
    <w:p w:rsidR="00842C76" w:rsidRPr="00A31320" w:rsidRDefault="00E23997" w:rsidP="00842C76">
      <w:pPr>
        <w:widowControl w:val="0"/>
        <w:tabs>
          <w:tab w:val="left" w:pos="6740"/>
        </w:tabs>
        <w:ind w:firstLine="567"/>
        <w:jc w:val="both"/>
        <w:rPr>
          <w:rFonts w:cs="Times New Roman"/>
          <w:sz w:val="28"/>
          <w:szCs w:val="28"/>
        </w:rPr>
      </w:pPr>
      <w:r w:rsidRPr="00A31320">
        <w:rPr>
          <w:rFonts w:cs="Times New Roman"/>
          <w:sz w:val="28"/>
          <w:szCs w:val="28"/>
        </w:rPr>
        <w:t xml:space="preserve">Atbildot uz </w:t>
      </w:r>
      <w:r w:rsidR="00AE6C91" w:rsidRPr="00A31320">
        <w:rPr>
          <w:rFonts w:cs="Times New Roman"/>
          <w:sz w:val="28"/>
          <w:szCs w:val="28"/>
        </w:rPr>
        <w:t>Saeimas Aizsardzības, iekšlietu un korupcijas novēršanas komisijas (turpmāk</w:t>
      </w:r>
      <w:r w:rsidR="00433A71" w:rsidRPr="00A31320">
        <w:rPr>
          <w:rFonts w:cs="Times New Roman"/>
          <w:sz w:val="28"/>
          <w:szCs w:val="28"/>
        </w:rPr>
        <w:t xml:space="preserve"> –</w:t>
      </w:r>
      <w:r w:rsidR="00AE6C91" w:rsidRPr="00A31320">
        <w:rPr>
          <w:rFonts w:cs="Times New Roman"/>
          <w:sz w:val="28"/>
          <w:szCs w:val="28"/>
        </w:rPr>
        <w:t xml:space="preserve"> Komisija) 2016.gada </w:t>
      </w:r>
      <w:r w:rsidR="00A31320">
        <w:rPr>
          <w:rFonts w:cs="Times New Roman"/>
          <w:sz w:val="28"/>
          <w:szCs w:val="28"/>
        </w:rPr>
        <w:t>1</w:t>
      </w:r>
      <w:r w:rsidR="00AE6C91" w:rsidRPr="00A31320">
        <w:rPr>
          <w:rFonts w:cs="Times New Roman"/>
          <w:sz w:val="28"/>
          <w:szCs w:val="28"/>
        </w:rPr>
        <w:t>6.</w:t>
      </w:r>
      <w:r w:rsidR="00C13485" w:rsidRPr="00A31320">
        <w:rPr>
          <w:rFonts w:cs="Times New Roman"/>
          <w:sz w:val="28"/>
          <w:szCs w:val="28"/>
        </w:rPr>
        <w:t>jūnija</w:t>
      </w:r>
      <w:r w:rsidR="00433A71" w:rsidRPr="00A31320">
        <w:rPr>
          <w:rFonts w:cs="Times New Roman"/>
          <w:sz w:val="28"/>
          <w:szCs w:val="28"/>
        </w:rPr>
        <w:t xml:space="preserve"> vēstuli Nr.</w:t>
      </w:r>
      <w:r w:rsidR="00AE6C91" w:rsidRPr="00A31320">
        <w:rPr>
          <w:rFonts w:cs="Times New Roman"/>
          <w:sz w:val="28"/>
          <w:szCs w:val="28"/>
        </w:rPr>
        <w:t>142.9/6-</w:t>
      </w:r>
      <w:r w:rsidR="00C13485" w:rsidRPr="00A31320">
        <w:rPr>
          <w:rFonts w:cs="Times New Roman"/>
          <w:sz w:val="28"/>
          <w:szCs w:val="28"/>
        </w:rPr>
        <w:t>80</w:t>
      </w:r>
      <w:r w:rsidR="00AE6C91" w:rsidRPr="00A31320">
        <w:rPr>
          <w:rFonts w:cs="Times New Roman"/>
          <w:sz w:val="28"/>
          <w:szCs w:val="28"/>
        </w:rPr>
        <w:t xml:space="preserve">-12/16 par </w:t>
      </w:r>
      <w:r w:rsidR="0067011D" w:rsidRPr="00A31320">
        <w:rPr>
          <w:rFonts w:cs="Times New Roman"/>
          <w:sz w:val="28"/>
          <w:szCs w:val="28"/>
        </w:rPr>
        <w:t>N</w:t>
      </w:r>
      <w:r w:rsidR="00C13485" w:rsidRPr="00A31320">
        <w:rPr>
          <w:rFonts w:cs="Times New Roman"/>
          <w:sz w:val="28"/>
          <w:szCs w:val="28"/>
        </w:rPr>
        <w:t>oziedzīgi iegūtu līdzekļu legalizācijas novēršanas dienesta (turpmāk</w:t>
      </w:r>
      <w:r w:rsidR="00433A71" w:rsidRPr="00A31320">
        <w:rPr>
          <w:rFonts w:cs="Times New Roman"/>
          <w:sz w:val="28"/>
          <w:szCs w:val="28"/>
        </w:rPr>
        <w:t xml:space="preserve"> –</w:t>
      </w:r>
      <w:r w:rsidR="00C13485" w:rsidRPr="00A31320">
        <w:rPr>
          <w:rFonts w:cs="Times New Roman"/>
          <w:sz w:val="28"/>
          <w:szCs w:val="28"/>
        </w:rPr>
        <w:t xml:space="preserve"> Kontroles dienests) kapacitātes stiprināšanu</w:t>
      </w:r>
      <w:r w:rsidR="00FD514E" w:rsidRPr="00A31320">
        <w:rPr>
          <w:rFonts w:cs="Times New Roman"/>
          <w:sz w:val="28"/>
          <w:szCs w:val="28"/>
        </w:rPr>
        <w:t xml:space="preserve"> (turpmāk</w:t>
      </w:r>
      <w:r w:rsidR="00433A71" w:rsidRPr="00A31320">
        <w:rPr>
          <w:rFonts w:cs="Times New Roman"/>
          <w:sz w:val="28"/>
          <w:szCs w:val="28"/>
        </w:rPr>
        <w:t xml:space="preserve"> –</w:t>
      </w:r>
      <w:r w:rsidR="00FD514E" w:rsidRPr="00A31320">
        <w:rPr>
          <w:rFonts w:cs="Times New Roman"/>
          <w:sz w:val="28"/>
          <w:szCs w:val="28"/>
        </w:rPr>
        <w:t xml:space="preserve"> vēstule)</w:t>
      </w:r>
      <w:r w:rsidR="00AE6C91" w:rsidRPr="00A31320">
        <w:rPr>
          <w:rFonts w:cs="Times New Roman"/>
          <w:sz w:val="28"/>
          <w:szCs w:val="28"/>
        </w:rPr>
        <w:t xml:space="preserve">, kurā Komisija lūdz </w:t>
      </w:r>
      <w:r w:rsidR="00C13485" w:rsidRPr="00A31320">
        <w:rPr>
          <w:rFonts w:cs="Times New Roman"/>
          <w:sz w:val="28"/>
          <w:szCs w:val="28"/>
        </w:rPr>
        <w:t xml:space="preserve">rast iespēju piešķirt Kontroles dienestam papildu līdzekļus 12 672 </w:t>
      </w:r>
      <w:r w:rsidR="00C13485" w:rsidRPr="00A31320">
        <w:rPr>
          <w:rFonts w:cs="Times New Roman"/>
          <w:i/>
          <w:sz w:val="28"/>
          <w:szCs w:val="28"/>
        </w:rPr>
        <w:t>euro</w:t>
      </w:r>
      <w:r w:rsidR="00C13485" w:rsidRPr="00A31320">
        <w:rPr>
          <w:rFonts w:cs="Times New Roman"/>
          <w:sz w:val="28"/>
          <w:szCs w:val="28"/>
        </w:rPr>
        <w:t xml:space="preserve"> 2016.gadā, 358 022 </w:t>
      </w:r>
      <w:r w:rsidR="00C13485" w:rsidRPr="00A31320">
        <w:rPr>
          <w:rFonts w:cs="Times New Roman"/>
          <w:i/>
          <w:sz w:val="28"/>
          <w:szCs w:val="28"/>
        </w:rPr>
        <w:t>euro</w:t>
      </w:r>
      <w:r w:rsidR="00C13485" w:rsidRPr="00A31320">
        <w:rPr>
          <w:rFonts w:cs="Times New Roman"/>
          <w:sz w:val="28"/>
          <w:szCs w:val="28"/>
        </w:rPr>
        <w:t xml:space="preserve"> 2017.gadā un 226 735 </w:t>
      </w:r>
      <w:r w:rsidR="00C13485" w:rsidRPr="00A31320">
        <w:rPr>
          <w:rFonts w:cs="Times New Roman"/>
          <w:i/>
          <w:sz w:val="28"/>
          <w:szCs w:val="28"/>
        </w:rPr>
        <w:t>euro</w:t>
      </w:r>
      <w:r w:rsidR="00C13485" w:rsidRPr="00A31320">
        <w:rPr>
          <w:rFonts w:cs="Times New Roman"/>
          <w:sz w:val="28"/>
          <w:szCs w:val="28"/>
        </w:rPr>
        <w:t xml:space="preserve"> 2018.gadā un turpmāk, kā arī turpmāk ilgtermiņā plānot samērīgu resursu un nepieciešamā finansējuma palielinājumu</w:t>
      </w:r>
      <w:r w:rsidRPr="00A31320">
        <w:rPr>
          <w:rFonts w:cs="Times New Roman"/>
          <w:sz w:val="28"/>
          <w:szCs w:val="28"/>
        </w:rPr>
        <w:t>, Ministru kabinets sniedz šādu informāciju.</w:t>
      </w:r>
    </w:p>
    <w:p w:rsidR="00C77771" w:rsidRPr="00A31320" w:rsidRDefault="00842C76" w:rsidP="00633A0C">
      <w:pPr>
        <w:widowControl w:val="0"/>
        <w:tabs>
          <w:tab w:val="left" w:pos="6740"/>
        </w:tabs>
        <w:ind w:firstLine="567"/>
        <w:jc w:val="both"/>
        <w:rPr>
          <w:rFonts w:cs="Times New Roman"/>
          <w:sz w:val="28"/>
          <w:szCs w:val="28"/>
        </w:rPr>
      </w:pPr>
      <w:r w:rsidRPr="00A31320">
        <w:rPr>
          <w:rFonts w:eastAsia="Times New Roman" w:cs="Times New Roman"/>
          <w:sz w:val="28"/>
          <w:szCs w:val="28"/>
        </w:rPr>
        <w:t>Atbilstoši Ministru kabineta 2016.gada 29.februār</w:t>
      </w:r>
      <w:r w:rsidR="00710821">
        <w:rPr>
          <w:rFonts w:eastAsia="Times New Roman" w:cs="Times New Roman"/>
          <w:sz w:val="28"/>
          <w:szCs w:val="28"/>
        </w:rPr>
        <w:t>a</w:t>
      </w:r>
      <w:r w:rsidRPr="00A31320">
        <w:rPr>
          <w:rFonts w:eastAsia="Times New Roman" w:cs="Times New Roman"/>
          <w:sz w:val="28"/>
          <w:szCs w:val="28"/>
        </w:rPr>
        <w:t xml:space="preserve"> rīkojumam Nr.145 „Par likumprojekta „Par vidēja termiņa budžeta ietvaru 2017., 2018. un 2019.gadam” un likumprojekta „Par valsts budžetu 2017.gadam” sagatavošanas grafiku” </w:t>
      </w:r>
      <w:r w:rsidR="008F26AA" w:rsidRPr="00A31320">
        <w:rPr>
          <w:rFonts w:eastAsia="Times New Roman" w:cs="Times New Roman"/>
          <w:sz w:val="28"/>
          <w:szCs w:val="28"/>
        </w:rPr>
        <w:t xml:space="preserve">(turpmāk – Budžeta sagatavošanas grafiks) </w:t>
      </w:r>
      <w:r w:rsidRPr="00A31320">
        <w:rPr>
          <w:rFonts w:eastAsia="Times New Roman" w:cs="Times New Roman"/>
          <w:sz w:val="28"/>
          <w:szCs w:val="28"/>
        </w:rPr>
        <w:t>un Ministru kabineta 2012.gada 11.decembra noteikumiem Nr.867 „Kārtība, kādā nosakāms maksimāli pieļaujamais valsts budžeta izdevumu kopapjoms un maksimāli pieļaujamais valsts budžeta izdevumu kopējais apjoms katrai ministrijai un citām centrālajām valsts iestādēm vidējam termiņam”</w:t>
      </w:r>
      <w:r w:rsidR="00465402" w:rsidRPr="00A31320">
        <w:rPr>
          <w:rFonts w:eastAsia="Times New Roman" w:cs="Times New Roman"/>
          <w:sz w:val="28"/>
          <w:szCs w:val="28"/>
        </w:rPr>
        <w:t xml:space="preserve"> (turpmāk – MK noteikumi Nr.867)</w:t>
      </w:r>
      <w:r w:rsidRPr="00A31320">
        <w:rPr>
          <w:rFonts w:eastAsia="Times New Roman" w:cs="Times New Roman"/>
          <w:sz w:val="28"/>
          <w:szCs w:val="28"/>
        </w:rPr>
        <w:t xml:space="preserve">, Prokuratūra </w:t>
      </w:r>
      <w:r w:rsidR="00433892">
        <w:rPr>
          <w:rFonts w:eastAsia="Times New Roman" w:cs="Times New Roman"/>
          <w:sz w:val="28"/>
          <w:szCs w:val="28"/>
        </w:rPr>
        <w:t xml:space="preserve">2016.gada </w:t>
      </w:r>
      <w:r w:rsidR="00CA2CAC" w:rsidRPr="00A31320">
        <w:rPr>
          <w:rFonts w:eastAsia="Times New Roman" w:cs="Times New Roman"/>
          <w:sz w:val="28"/>
          <w:szCs w:val="28"/>
        </w:rPr>
        <w:t xml:space="preserve">1.jūnijā </w:t>
      </w:r>
      <w:r w:rsidRPr="00A31320">
        <w:rPr>
          <w:rFonts w:eastAsia="Times New Roman" w:cs="Times New Roman"/>
          <w:sz w:val="28"/>
          <w:szCs w:val="28"/>
        </w:rPr>
        <w:t>iesniedza Finanšu ministrij</w:t>
      </w:r>
      <w:r w:rsidR="00CA2CAC" w:rsidRPr="00A31320">
        <w:rPr>
          <w:rFonts w:eastAsia="Times New Roman" w:cs="Times New Roman"/>
          <w:sz w:val="28"/>
          <w:szCs w:val="28"/>
        </w:rPr>
        <w:t>ā</w:t>
      </w:r>
      <w:r w:rsidRPr="00A31320">
        <w:rPr>
          <w:rFonts w:eastAsia="Times New Roman" w:cs="Times New Roman"/>
          <w:sz w:val="28"/>
          <w:szCs w:val="28"/>
        </w:rPr>
        <w:t xml:space="preserve"> </w:t>
      </w:r>
      <w:r w:rsidR="00CA2CAC" w:rsidRPr="00A31320">
        <w:rPr>
          <w:rFonts w:eastAsia="Times New Roman" w:cs="Times New Roman"/>
          <w:sz w:val="28"/>
          <w:szCs w:val="28"/>
        </w:rPr>
        <w:t xml:space="preserve">jauno politikas iniciatīvu </w:t>
      </w:r>
      <w:r w:rsidR="00465402" w:rsidRPr="00A31320">
        <w:rPr>
          <w:rFonts w:eastAsia="Times New Roman" w:cs="Times New Roman"/>
          <w:sz w:val="28"/>
          <w:szCs w:val="28"/>
        </w:rPr>
        <w:t>(turpmāk – JPI)</w:t>
      </w:r>
      <w:r w:rsidR="00FD514E" w:rsidRPr="00A31320">
        <w:rPr>
          <w:rFonts w:eastAsia="Times New Roman" w:cs="Times New Roman"/>
          <w:sz w:val="28"/>
          <w:szCs w:val="28"/>
        </w:rPr>
        <w:t xml:space="preserve"> 2017.-2019.gadam</w:t>
      </w:r>
      <w:r w:rsidR="00CA2CAC" w:rsidRPr="00A31320">
        <w:rPr>
          <w:rFonts w:eastAsia="Times New Roman" w:cs="Times New Roman"/>
          <w:sz w:val="28"/>
          <w:szCs w:val="28"/>
        </w:rPr>
        <w:t xml:space="preserve"> pieprasījumu, tai skaitā vienu </w:t>
      </w:r>
      <w:r w:rsidR="00465402" w:rsidRPr="00A31320">
        <w:rPr>
          <w:rFonts w:eastAsia="Times New Roman" w:cs="Times New Roman"/>
          <w:sz w:val="28"/>
          <w:szCs w:val="28"/>
        </w:rPr>
        <w:t>JPI</w:t>
      </w:r>
      <w:r w:rsidR="00CA2CAC" w:rsidRPr="00A31320">
        <w:rPr>
          <w:rFonts w:eastAsia="Times New Roman" w:cs="Times New Roman"/>
          <w:sz w:val="28"/>
          <w:szCs w:val="28"/>
        </w:rPr>
        <w:t xml:space="preserve"> attiecībā uz Kontroles dienestam nepieciešamo papildu finansējumu</w:t>
      </w:r>
      <w:r w:rsidRPr="00A31320">
        <w:rPr>
          <w:rFonts w:eastAsia="Times New Roman" w:cs="Times New Roman"/>
          <w:sz w:val="28"/>
          <w:szCs w:val="28"/>
        </w:rPr>
        <w:t xml:space="preserve">. Pamatojoties uz sniegto informāciju, Kontroles dienestam kapacitātes stiprināšanai (5 jaunas amata vietas) papildu nepieciešams finansējums 2017.gadam 334 686 </w:t>
      </w:r>
      <w:r w:rsidRPr="00A31320">
        <w:rPr>
          <w:rFonts w:eastAsia="Times New Roman" w:cs="Times New Roman"/>
          <w:i/>
          <w:sz w:val="28"/>
          <w:szCs w:val="28"/>
        </w:rPr>
        <w:t>euro</w:t>
      </w:r>
      <w:r w:rsidRPr="00A31320">
        <w:rPr>
          <w:rFonts w:eastAsia="Times New Roman" w:cs="Times New Roman"/>
          <w:sz w:val="28"/>
          <w:szCs w:val="28"/>
        </w:rPr>
        <w:t xml:space="preserve">, 2018.gadam un turpmāk </w:t>
      </w:r>
      <w:r w:rsidR="0067011D" w:rsidRPr="00A31320">
        <w:rPr>
          <w:rFonts w:eastAsia="Times New Roman" w:cs="Times New Roman"/>
          <w:sz w:val="28"/>
          <w:szCs w:val="28"/>
        </w:rPr>
        <w:t xml:space="preserve">ik gadu </w:t>
      </w:r>
      <w:r w:rsidRPr="00A31320">
        <w:rPr>
          <w:rFonts w:eastAsia="Times New Roman" w:cs="Times New Roman"/>
          <w:sz w:val="28"/>
          <w:szCs w:val="28"/>
        </w:rPr>
        <w:t xml:space="preserve">203 399 </w:t>
      </w:r>
      <w:r w:rsidRPr="00A31320">
        <w:rPr>
          <w:rFonts w:eastAsia="Times New Roman" w:cs="Times New Roman"/>
          <w:i/>
          <w:sz w:val="28"/>
          <w:szCs w:val="28"/>
        </w:rPr>
        <w:t>euro</w:t>
      </w:r>
      <w:r w:rsidR="00A91762" w:rsidRPr="00A31320">
        <w:rPr>
          <w:rFonts w:eastAsia="Times New Roman" w:cs="Times New Roman"/>
          <w:sz w:val="28"/>
          <w:szCs w:val="28"/>
        </w:rPr>
        <w:t xml:space="preserve">. </w:t>
      </w:r>
      <w:r w:rsidR="00C77771" w:rsidRPr="00A31320" w:rsidDel="004C3E6C">
        <w:rPr>
          <w:rFonts w:eastAsia="Times New Roman" w:cs="Times New Roman"/>
          <w:sz w:val="28"/>
          <w:szCs w:val="28"/>
        </w:rPr>
        <w:t xml:space="preserve"> </w:t>
      </w:r>
      <w:r w:rsidR="00C77771" w:rsidRPr="00A31320">
        <w:rPr>
          <w:rFonts w:cs="Times New Roman"/>
          <w:sz w:val="28"/>
          <w:szCs w:val="28"/>
        </w:rPr>
        <w:t>Ņemot vērā, ka atbilstoši MK noteikumu Nr.867 30.</w:t>
      </w:r>
      <w:r w:rsidR="00C77771" w:rsidRPr="00A31320">
        <w:rPr>
          <w:rFonts w:cs="Times New Roman"/>
          <w:sz w:val="28"/>
          <w:szCs w:val="28"/>
          <w:vertAlign w:val="superscript"/>
        </w:rPr>
        <w:t>1</w:t>
      </w:r>
      <w:r w:rsidR="00C77771" w:rsidRPr="00A31320">
        <w:rPr>
          <w:rFonts w:cs="Times New Roman"/>
          <w:sz w:val="28"/>
          <w:szCs w:val="28"/>
        </w:rPr>
        <w:t xml:space="preserve"> punktam Finanšu ministrija nevērtē neatkarīgo valsts iestāžu, tai skaitā Ģenerālprokuratūras, sagatavotās JPI, tās tiks izskatītas Ministru kabinetā š</w:t>
      </w:r>
      <w:r w:rsidR="002E57BE" w:rsidRPr="00A31320">
        <w:rPr>
          <w:rFonts w:cs="Times New Roman"/>
          <w:sz w:val="28"/>
          <w:szCs w:val="28"/>
        </w:rPr>
        <w:t>ī</w:t>
      </w:r>
      <w:r w:rsidR="00C77771" w:rsidRPr="00A31320">
        <w:rPr>
          <w:rFonts w:cs="Times New Roman"/>
          <w:sz w:val="28"/>
          <w:szCs w:val="28"/>
        </w:rPr>
        <w:t xml:space="preserve"> gada augustā kopā ar visu ministriju un citu centrālo valsts iestāžu JPI pieprasījumiem</w:t>
      </w:r>
      <w:r w:rsidR="008F26AA" w:rsidRPr="00A31320">
        <w:rPr>
          <w:rFonts w:cs="Times New Roman"/>
          <w:sz w:val="28"/>
          <w:szCs w:val="28"/>
        </w:rPr>
        <w:t>.</w:t>
      </w:r>
    </w:p>
    <w:p w:rsidR="002E57BE" w:rsidRPr="00A31320" w:rsidRDefault="002E57BE" w:rsidP="00633A0C">
      <w:pPr>
        <w:widowControl w:val="0"/>
        <w:tabs>
          <w:tab w:val="left" w:pos="6740"/>
        </w:tabs>
        <w:ind w:firstLine="567"/>
        <w:jc w:val="both"/>
        <w:rPr>
          <w:rFonts w:cs="Times New Roman"/>
          <w:sz w:val="28"/>
          <w:szCs w:val="28"/>
        </w:rPr>
      </w:pPr>
    </w:p>
    <w:p w:rsidR="00A91762" w:rsidRPr="00A31320" w:rsidRDefault="00A91762" w:rsidP="00FD514E">
      <w:pPr>
        <w:widowControl w:val="0"/>
        <w:tabs>
          <w:tab w:val="left" w:pos="6740"/>
        </w:tabs>
        <w:ind w:firstLine="567"/>
        <w:jc w:val="both"/>
        <w:rPr>
          <w:sz w:val="28"/>
          <w:szCs w:val="28"/>
          <w:u w:val="single"/>
        </w:rPr>
      </w:pPr>
      <w:r w:rsidRPr="00A31320">
        <w:rPr>
          <w:rFonts w:cs="Times New Roman"/>
          <w:sz w:val="28"/>
          <w:szCs w:val="28"/>
        </w:rPr>
        <w:t>Atbildot uz pārējiem vēstulē izteiktajiem jautājumiem, sniedzam šādu informāciju:</w:t>
      </w:r>
    </w:p>
    <w:p w:rsidR="007E072E" w:rsidRPr="00A31320" w:rsidRDefault="008C3593" w:rsidP="00A91762">
      <w:pPr>
        <w:ind w:firstLine="567"/>
        <w:jc w:val="both"/>
        <w:rPr>
          <w:sz w:val="28"/>
          <w:szCs w:val="28"/>
        </w:rPr>
      </w:pPr>
      <w:r w:rsidRPr="00A31320">
        <w:rPr>
          <w:sz w:val="28"/>
          <w:szCs w:val="28"/>
        </w:rPr>
        <w:t xml:space="preserve">1. Par iespēju </w:t>
      </w:r>
      <w:r w:rsidR="00465402" w:rsidRPr="00A31320">
        <w:rPr>
          <w:sz w:val="28"/>
          <w:szCs w:val="28"/>
        </w:rPr>
        <w:t>v</w:t>
      </w:r>
      <w:r w:rsidRPr="00A31320">
        <w:rPr>
          <w:sz w:val="28"/>
          <w:szCs w:val="28"/>
        </w:rPr>
        <w:t>alsts budžetā paredzēt finansējumu Kontroles dienesta darbinieku atalgojuma palielināšanai līdz Valsts un pašvaldību institūciju amatpersonu un darbinieku atlīdzības likumā noteiktajai attiecīgajai mēnešalgu grupai pared</w:t>
      </w:r>
      <w:r w:rsidR="0048673C" w:rsidRPr="00A31320">
        <w:rPr>
          <w:sz w:val="28"/>
          <w:szCs w:val="28"/>
        </w:rPr>
        <w:t xml:space="preserve">zētajai maksimālajai mēnešalgai, </w:t>
      </w:r>
      <w:r w:rsidR="0048673C" w:rsidRPr="00A31320">
        <w:rPr>
          <w:rFonts w:cs="Times New Roman"/>
          <w:sz w:val="28"/>
          <w:szCs w:val="28"/>
        </w:rPr>
        <w:t>informējam, ka</w:t>
      </w:r>
      <w:r w:rsidR="00FD514E" w:rsidRPr="00A31320">
        <w:rPr>
          <w:rFonts w:cs="Times New Roman"/>
          <w:sz w:val="28"/>
          <w:szCs w:val="28"/>
        </w:rPr>
        <w:t xml:space="preserve"> </w:t>
      </w:r>
      <w:r w:rsidR="00FD514E" w:rsidRPr="00A31320">
        <w:rPr>
          <w:rFonts w:cs="Times New Roman"/>
          <w:sz w:val="28"/>
          <w:szCs w:val="28"/>
        </w:rPr>
        <w:lastRenderedPageBreak/>
        <w:t xml:space="preserve">Prokuratūra </w:t>
      </w:r>
      <w:r w:rsidR="008F26AA" w:rsidRPr="00A31320">
        <w:rPr>
          <w:rFonts w:cs="Times New Roman"/>
          <w:sz w:val="28"/>
          <w:szCs w:val="28"/>
        </w:rPr>
        <w:t xml:space="preserve">atbilstoši MK noteikumu Nr.867 prasībām </w:t>
      </w:r>
      <w:r w:rsidR="00FD514E" w:rsidRPr="00A31320">
        <w:rPr>
          <w:rFonts w:cs="Times New Roman"/>
          <w:sz w:val="28"/>
          <w:szCs w:val="28"/>
        </w:rPr>
        <w:t xml:space="preserve">nav iesniegusi </w:t>
      </w:r>
      <w:r w:rsidR="00465402" w:rsidRPr="00A31320">
        <w:rPr>
          <w:rFonts w:cs="Times New Roman"/>
          <w:sz w:val="28"/>
          <w:szCs w:val="28"/>
        </w:rPr>
        <w:t>JPI</w:t>
      </w:r>
      <w:r w:rsidR="00FD514E" w:rsidRPr="00A31320">
        <w:rPr>
          <w:rFonts w:cs="Times New Roman"/>
          <w:sz w:val="28"/>
          <w:szCs w:val="28"/>
        </w:rPr>
        <w:t xml:space="preserve"> vai administratīvās kapacitātes stiprināšanas pasākumu </w:t>
      </w:r>
      <w:r w:rsidR="00465402" w:rsidRPr="00A31320">
        <w:rPr>
          <w:rFonts w:cs="Times New Roman"/>
          <w:sz w:val="28"/>
          <w:szCs w:val="28"/>
        </w:rPr>
        <w:t>K</w:t>
      </w:r>
      <w:r w:rsidR="00FD514E" w:rsidRPr="00A31320">
        <w:rPr>
          <w:rFonts w:cs="Times New Roman"/>
          <w:sz w:val="28"/>
          <w:szCs w:val="28"/>
        </w:rPr>
        <w:t>ontroles dienesta darbinieku atalgojuma palielināšana</w:t>
      </w:r>
      <w:r w:rsidR="00465402" w:rsidRPr="00A31320">
        <w:rPr>
          <w:rFonts w:cs="Times New Roman"/>
          <w:sz w:val="28"/>
          <w:szCs w:val="28"/>
        </w:rPr>
        <w:t>i</w:t>
      </w:r>
      <w:r w:rsidR="00FD514E" w:rsidRPr="00A31320">
        <w:rPr>
          <w:rFonts w:cs="Times New Roman"/>
          <w:sz w:val="28"/>
          <w:szCs w:val="28"/>
        </w:rPr>
        <w:t xml:space="preserve"> līdz Valsts un pašvaldību institūciju amatpersonu un darbinieku atlīdzības likumā noteiktajai attiecīgajai mēnešalgu grupai paredzētajai maksimālajai mēnešalgai</w:t>
      </w:r>
      <w:r w:rsidR="00C77771" w:rsidRPr="00A31320">
        <w:rPr>
          <w:rFonts w:cs="Times New Roman"/>
          <w:sz w:val="28"/>
          <w:szCs w:val="28"/>
        </w:rPr>
        <w:t xml:space="preserve">. </w:t>
      </w:r>
      <w:r w:rsidR="008F26AA" w:rsidRPr="00A31320">
        <w:rPr>
          <w:rFonts w:cs="Times New Roman"/>
          <w:sz w:val="28"/>
          <w:szCs w:val="28"/>
        </w:rPr>
        <w:t>Vienlaikus a</w:t>
      </w:r>
      <w:r w:rsidR="00C77771" w:rsidRPr="00A31320">
        <w:rPr>
          <w:rFonts w:cs="Times New Roman"/>
          <w:sz w:val="28"/>
          <w:szCs w:val="28"/>
        </w:rPr>
        <w:t xml:space="preserve">tzīmējam, ka Finanšu ministrijā </w:t>
      </w:r>
      <w:r w:rsidR="008F26AA" w:rsidRPr="00A31320">
        <w:rPr>
          <w:rFonts w:cs="Times New Roman"/>
          <w:sz w:val="28"/>
          <w:szCs w:val="28"/>
        </w:rPr>
        <w:t>2016.gada 15.jūnijā tika</w:t>
      </w:r>
      <w:r w:rsidR="00C77771" w:rsidRPr="00A31320">
        <w:rPr>
          <w:rFonts w:cs="Times New Roman"/>
          <w:sz w:val="28"/>
          <w:szCs w:val="28"/>
        </w:rPr>
        <w:t xml:space="preserve"> saņemta </w:t>
      </w:r>
      <w:r w:rsidR="008F26AA" w:rsidRPr="00A31320">
        <w:rPr>
          <w:rFonts w:cs="Times New Roman"/>
          <w:sz w:val="28"/>
          <w:szCs w:val="28"/>
        </w:rPr>
        <w:t xml:space="preserve">papildu </w:t>
      </w:r>
      <w:r w:rsidR="00C77771" w:rsidRPr="00A31320">
        <w:rPr>
          <w:rFonts w:cs="Times New Roman"/>
          <w:sz w:val="28"/>
          <w:szCs w:val="28"/>
        </w:rPr>
        <w:t>vēstule</w:t>
      </w:r>
      <w:r w:rsidR="008F26AA" w:rsidRPr="00A31320">
        <w:rPr>
          <w:rFonts w:cs="Times New Roman"/>
          <w:sz w:val="28"/>
          <w:szCs w:val="28"/>
        </w:rPr>
        <w:t xml:space="preserve"> no</w:t>
      </w:r>
      <w:r w:rsidR="00C77771" w:rsidRPr="00A31320">
        <w:rPr>
          <w:rFonts w:cs="Times New Roman"/>
          <w:sz w:val="28"/>
          <w:szCs w:val="28"/>
        </w:rPr>
        <w:t xml:space="preserve"> </w:t>
      </w:r>
      <w:r w:rsidR="008F26AA" w:rsidRPr="00A31320">
        <w:rPr>
          <w:rFonts w:cs="Times New Roman"/>
          <w:sz w:val="28"/>
          <w:szCs w:val="28"/>
        </w:rPr>
        <w:t>Prokuratūras (</w:t>
      </w:r>
      <w:r w:rsidR="00C77771" w:rsidRPr="00A31320">
        <w:rPr>
          <w:rFonts w:cs="Times New Roman"/>
          <w:sz w:val="28"/>
          <w:szCs w:val="28"/>
        </w:rPr>
        <w:t>Nr.2-28/1016/2016</w:t>
      </w:r>
      <w:r w:rsidR="008F26AA" w:rsidRPr="00A31320">
        <w:rPr>
          <w:rFonts w:cs="Times New Roman"/>
          <w:sz w:val="28"/>
          <w:szCs w:val="28"/>
        </w:rPr>
        <w:t>)</w:t>
      </w:r>
      <w:r w:rsidR="00C77771" w:rsidRPr="00A31320">
        <w:rPr>
          <w:rFonts w:cs="Times New Roman"/>
          <w:sz w:val="28"/>
          <w:szCs w:val="28"/>
        </w:rPr>
        <w:t xml:space="preserve"> par Kontroles dienesta kapacitātes stiprināšanu</w:t>
      </w:r>
      <w:r w:rsidR="008F26AA" w:rsidRPr="00A31320">
        <w:rPr>
          <w:rFonts w:cs="Times New Roman"/>
          <w:sz w:val="28"/>
          <w:szCs w:val="28"/>
        </w:rPr>
        <w:t>,</w:t>
      </w:r>
      <w:r w:rsidR="00A31320">
        <w:rPr>
          <w:rFonts w:cs="Times New Roman"/>
          <w:sz w:val="28"/>
          <w:szCs w:val="28"/>
        </w:rPr>
        <w:t xml:space="preserve"> </w:t>
      </w:r>
      <w:r w:rsidR="00433892">
        <w:rPr>
          <w:rFonts w:cs="Times New Roman"/>
          <w:sz w:val="28"/>
          <w:szCs w:val="28"/>
        </w:rPr>
        <w:t>tomēr</w:t>
      </w:r>
      <w:r w:rsidR="00A31320">
        <w:rPr>
          <w:rFonts w:cs="Times New Roman"/>
          <w:sz w:val="28"/>
          <w:szCs w:val="28"/>
        </w:rPr>
        <w:t xml:space="preserve"> norādām, ka</w:t>
      </w:r>
      <w:r w:rsidR="008F26AA" w:rsidRPr="00A31320">
        <w:rPr>
          <w:rFonts w:cs="Times New Roman"/>
          <w:sz w:val="28"/>
          <w:szCs w:val="28"/>
        </w:rPr>
        <w:t xml:space="preserve"> </w:t>
      </w:r>
      <w:r w:rsidR="00A31320">
        <w:rPr>
          <w:rFonts w:cs="Times New Roman"/>
          <w:sz w:val="28"/>
          <w:szCs w:val="28"/>
        </w:rPr>
        <w:t xml:space="preserve">iesniegtā informācija </w:t>
      </w:r>
      <w:r w:rsidR="008F26AA" w:rsidRPr="00A31320">
        <w:rPr>
          <w:rFonts w:cs="Times New Roman"/>
          <w:sz w:val="28"/>
          <w:szCs w:val="28"/>
        </w:rPr>
        <w:t>neatbilst</w:t>
      </w:r>
      <w:r w:rsidR="00C77771" w:rsidRPr="00A31320">
        <w:rPr>
          <w:rFonts w:cs="Times New Roman"/>
          <w:sz w:val="28"/>
          <w:szCs w:val="28"/>
        </w:rPr>
        <w:t xml:space="preserve"> MK noteikum</w:t>
      </w:r>
      <w:r w:rsidR="008F26AA" w:rsidRPr="00A31320">
        <w:rPr>
          <w:rFonts w:cs="Times New Roman"/>
          <w:sz w:val="28"/>
          <w:szCs w:val="28"/>
        </w:rPr>
        <w:t>os</w:t>
      </w:r>
      <w:r w:rsidR="00C77771" w:rsidRPr="00A31320">
        <w:rPr>
          <w:rFonts w:cs="Times New Roman"/>
          <w:sz w:val="28"/>
          <w:szCs w:val="28"/>
        </w:rPr>
        <w:t xml:space="preserve"> Nr.867</w:t>
      </w:r>
      <w:r w:rsidR="008F26AA" w:rsidRPr="00A31320">
        <w:rPr>
          <w:rFonts w:cs="Times New Roman"/>
          <w:sz w:val="28"/>
          <w:szCs w:val="28"/>
        </w:rPr>
        <w:t xml:space="preserve"> noteiktajai JPI iesniegšanas kārtībai</w:t>
      </w:r>
      <w:r w:rsidR="00A31320">
        <w:rPr>
          <w:rFonts w:cs="Times New Roman"/>
          <w:sz w:val="28"/>
          <w:szCs w:val="28"/>
        </w:rPr>
        <w:t>,</w:t>
      </w:r>
      <w:r w:rsidR="00FD514E" w:rsidRPr="00A31320">
        <w:rPr>
          <w:rFonts w:cs="Times New Roman"/>
          <w:sz w:val="28"/>
          <w:szCs w:val="28"/>
        </w:rPr>
        <w:t xml:space="preserve"> </w:t>
      </w:r>
      <w:r w:rsidR="00A31320">
        <w:rPr>
          <w:rFonts w:cs="Times New Roman"/>
          <w:sz w:val="28"/>
          <w:szCs w:val="28"/>
        </w:rPr>
        <w:t>l</w:t>
      </w:r>
      <w:r w:rsidR="00FD514E" w:rsidRPr="00A31320">
        <w:rPr>
          <w:rFonts w:cs="Times New Roman"/>
          <w:sz w:val="28"/>
          <w:szCs w:val="28"/>
        </w:rPr>
        <w:t xml:space="preserve">īdz ar to </w:t>
      </w:r>
      <w:r w:rsidR="00A31320">
        <w:rPr>
          <w:rFonts w:cs="Times New Roman"/>
          <w:sz w:val="28"/>
          <w:szCs w:val="28"/>
        </w:rPr>
        <w:t xml:space="preserve">šajā </w:t>
      </w:r>
      <w:r w:rsidR="00F10C7D" w:rsidRPr="00A31320">
        <w:rPr>
          <w:rFonts w:cs="Times New Roman"/>
          <w:sz w:val="28"/>
          <w:szCs w:val="28"/>
        </w:rPr>
        <w:t xml:space="preserve">vēstulē </w:t>
      </w:r>
      <w:r w:rsidR="00484526" w:rsidRPr="00A31320">
        <w:rPr>
          <w:rFonts w:cs="Times New Roman"/>
          <w:sz w:val="28"/>
          <w:szCs w:val="28"/>
        </w:rPr>
        <w:t>sniegt</w:t>
      </w:r>
      <w:r w:rsidR="00A31320">
        <w:rPr>
          <w:rFonts w:cs="Times New Roman"/>
          <w:sz w:val="28"/>
          <w:szCs w:val="28"/>
        </w:rPr>
        <w:t>o</w:t>
      </w:r>
      <w:r w:rsidR="00484526" w:rsidRPr="00A31320">
        <w:rPr>
          <w:rFonts w:cs="Times New Roman"/>
          <w:sz w:val="28"/>
          <w:szCs w:val="28"/>
        </w:rPr>
        <w:t xml:space="preserve"> informācij</w:t>
      </w:r>
      <w:r w:rsidR="00A31320">
        <w:rPr>
          <w:rFonts w:cs="Times New Roman"/>
          <w:sz w:val="28"/>
          <w:szCs w:val="28"/>
        </w:rPr>
        <w:t>u</w:t>
      </w:r>
      <w:r w:rsidR="00484526" w:rsidRPr="00A31320">
        <w:rPr>
          <w:rFonts w:cs="Times New Roman"/>
          <w:sz w:val="28"/>
          <w:szCs w:val="28"/>
        </w:rPr>
        <w:t xml:space="preserve"> </w:t>
      </w:r>
      <w:r w:rsidR="00F10C7D" w:rsidRPr="00A31320">
        <w:rPr>
          <w:rFonts w:cs="Times New Roman"/>
          <w:sz w:val="28"/>
          <w:szCs w:val="28"/>
        </w:rPr>
        <w:t>zināšanai</w:t>
      </w:r>
      <w:r w:rsidR="00484526" w:rsidRPr="00A31320">
        <w:rPr>
          <w:rFonts w:cs="Times New Roman"/>
          <w:sz w:val="28"/>
          <w:szCs w:val="28"/>
        </w:rPr>
        <w:t xml:space="preserve"> </w:t>
      </w:r>
      <w:r w:rsidR="00787035">
        <w:rPr>
          <w:rFonts w:cs="Times New Roman"/>
          <w:sz w:val="28"/>
          <w:szCs w:val="28"/>
        </w:rPr>
        <w:t xml:space="preserve">plānots </w:t>
      </w:r>
      <w:r w:rsidR="00F10C7D" w:rsidRPr="00A31320">
        <w:rPr>
          <w:rFonts w:cs="Times New Roman"/>
          <w:sz w:val="28"/>
          <w:szCs w:val="28"/>
        </w:rPr>
        <w:t xml:space="preserve">iekļaut </w:t>
      </w:r>
      <w:r w:rsidR="00465402" w:rsidRPr="00A31320">
        <w:rPr>
          <w:rFonts w:cs="Times New Roman"/>
          <w:sz w:val="28"/>
          <w:szCs w:val="28"/>
        </w:rPr>
        <w:t xml:space="preserve">Finanšu ministrijas gatavotajā informatīvajā ziņojumā </w:t>
      </w:r>
      <w:r w:rsidR="00C77771" w:rsidRPr="00A31320">
        <w:rPr>
          <w:rFonts w:cs="Times New Roman"/>
          <w:sz w:val="28"/>
          <w:szCs w:val="28"/>
        </w:rPr>
        <w:t>“Informatīvais ziņojums par ministriju jaunajām politikas iniciatīvām 2017., 2018. un 2019.gadam”</w:t>
      </w:r>
      <w:r w:rsidR="00F10C7D" w:rsidRPr="00A31320">
        <w:rPr>
          <w:rFonts w:cs="Times New Roman"/>
          <w:sz w:val="28"/>
          <w:szCs w:val="28"/>
        </w:rPr>
        <w:t>,</w:t>
      </w:r>
      <w:r w:rsidR="00C77771" w:rsidRPr="00A31320">
        <w:t xml:space="preserve"> </w:t>
      </w:r>
      <w:r w:rsidR="00C77771" w:rsidRPr="00A31320">
        <w:rPr>
          <w:rFonts w:cs="Times New Roman"/>
          <w:sz w:val="28"/>
          <w:szCs w:val="28"/>
        </w:rPr>
        <w:t>kas</w:t>
      </w:r>
      <w:r w:rsidR="008F26AA" w:rsidRPr="00A31320">
        <w:rPr>
          <w:rFonts w:cs="Times New Roman"/>
          <w:sz w:val="28"/>
          <w:szCs w:val="28"/>
        </w:rPr>
        <w:t xml:space="preserve"> atbilstoši </w:t>
      </w:r>
      <w:r w:rsidR="008F26AA" w:rsidRPr="00A31320">
        <w:rPr>
          <w:rFonts w:eastAsia="Times New Roman" w:cs="Times New Roman"/>
          <w:sz w:val="28"/>
          <w:szCs w:val="28"/>
        </w:rPr>
        <w:t>Budžeta sagatavošanas grafikam</w:t>
      </w:r>
      <w:r w:rsidR="00C77771" w:rsidRPr="00A31320">
        <w:rPr>
          <w:rFonts w:cs="Times New Roman"/>
          <w:sz w:val="28"/>
          <w:szCs w:val="28"/>
        </w:rPr>
        <w:t xml:space="preserve"> tiks virzīts </w:t>
      </w:r>
      <w:r w:rsidR="00E4307E" w:rsidRPr="00A31320">
        <w:rPr>
          <w:rFonts w:cs="Times New Roman"/>
          <w:sz w:val="28"/>
          <w:szCs w:val="28"/>
        </w:rPr>
        <w:t xml:space="preserve">izskatīšanai </w:t>
      </w:r>
      <w:r w:rsidR="00FD514E" w:rsidRPr="00A31320">
        <w:rPr>
          <w:rFonts w:cs="Times New Roman"/>
          <w:sz w:val="28"/>
          <w:szCs w:val="28"/>
        </w:rPr>
        <w:t>Ministru kabinetā</w:t>
      </w:r>
      <w:r w:rsidR="008F26AA" w:rsidRPr="00A31320">
        <w:rPr>
          <w:rFonts w:cs="Times New Roman"/>
          <w:sz w:val="28"/>
          <w:szCs w:val="28"/>
        </w:rPr>
        <w:t xml:space="preserve"> </w:t>
      </w:r>
      <w:r w:rsidR="00433892">
        <w:rPr>
          <w:rFonts w:cs="Times New Roman"/>
          <w:sz w:val="28"/>
          <w:szCs w:val="28"/>
        </w:rPr>
        <w:t xml:space="preserve">2016.gada </w:t>
      </w:r>
      <w:r w:rsidR="008F26AA" w:rsidRPr="00A31320">
        <w:rPr>
          <w:rFonts w:cs="Times New Roman"/>
          <w:sz w:val="28"/>
          <w:szCs w:val="28"/>
        </w:rPr>
        <w:t>9.augusta sēdē</w:t>
      </w:r>
      <w:r w:rsidR="00E4307E" w:rsidRPr="00A31320">
        <w:rPr>
          <w:rFonts w:cs="Times New Roman"/>
          <w:sz w:val="28"/>
          <w:szCs w:val="28"/>
        </w:rPr>
        <w:t>.</w:t>
      </w:r>
    </w:p>
    <w:p w:rsidR="0080595C" w:rsidRPr="00A31320" w:rsidRDefault="004119B0" w:rsidP="00A91762">
      <w:pPr>
        <w:widowControl w:val="0"/>
        <w:tabs>
          <w:tab w:val="left" w:pos="6740"/>
        </w:tabs>
        <w:ind w:firstLine="567"/>
        <w:jc w:val="both"/>
        <w:rPr>
          <w:rFonts w:cs="Times New Roman"/>
          <w:sz w:val="28"/>
          <w:szCs w:val="28"/>
        </w:rPr>
      </w:pPr>
      <w:r w:rsidRPr="00A31320">
        <w:rPr>
          <w:sz w:val="28"/>
          <w:szCs w:val="28"/>
        </w:rPr>
        <w:t xml:space="preserve">Vienlaikus jāņem vērā, ka jautājums par atalgojuma palielināšanu līdz Valsts un pašvaldību institūciju amatpersonu un darbinieku atlīdzības likumā noteiktajai attiecīgajai mēnešalgu grupai paredzētajai maksimālajai mēnešalgai </w:t>
      </w:r>
      <w:r w:rsidR="00A91762" w:rsidRPr="00A31320">
        <w:rPr>
          <w:sz w:val="28"/>
          <w:szCs w:val="28"/>
        </w:rPr>
        <w:t>būtu</w:t>
      </w:r>
      <w:r w:rsidRPr="00A31320">
        <w:rPr>
          <w:sz w:val="28"/>
          <w:szCs w:val="28"/>
        </w:rPr>
        <w:t xml:space="preserve"> jāskata kontekstā arī ar citu iesaistīto tiesībaizsardzības iestāžu darbinieku, piemēram, Valsts ieņēmumu dienesta Finanšu policijas pārvaldes (turpmāk – VID FPP) izmeklētāju atalgojuma pali</w:t>
      </w:r>
      <w:r w:rsidR="00E4307E" w:rsidRPr="00A31320">
        <w:rPr>
          <w:sz w:val="28"/>
          <w:szCs w:val="28"/>
        </w:rPr>
        <w:t>elināšanu un sociālo garantiju</w:t>
      </w:r>
      <w:r w:rsidRPr="00A31320">
        <w:rPr>
          <w:sz w:val="28"/>
          <w:szCs w:val="28"/>
        </w:rPr>
        <w:t xml:space="preserve"> nodrošināšanu</w:t>
      </w:r>
      <w:r w:rsidR="008465CB" w:rsidRPr="00A31320">
        <w:rPr>
          <w:sz w:val="28"/>
          <w:szCs w:val="28"/>
        </w:rPr>
        <w:t>, un 2013.gada 27.decembrī atbalstītās koncepcijas par jaunu darba samaksas sistēmu Iekšlietu ministrijas sistēmas iestāžu un Ieslodzījuma vietu pārvaldes amatpersonām ar speciālajām dienesta pakāpēm pilnīgu ieviešanu</w:t>
      </w:r>
      <w:r w:rsidRPr="00A31320">
        <w:rPr>
          <w:sz w:val="28"/>
          <w:szCs w:val="28"/>
        </w:rPr>
        <w:t xml:space="preserve">. Pretējā gadījumā tiks radīta nevienlīdzīga atalgojuma </w:t>
      </w:r>
      <w:r w:rsidRPr="00A31320">
        <w:rPr>
          <w:rFonts w:cs="Times New Roman"/>
          <w:sz w:val="28"/>
          <w:szCs w:val="28"/>
        </w:rPr>
        <w:t>sistēma līdzīgu amata pienākumu veicējiem</w:t>
      </w:r>
      <w:r w:rsidR="00E4307E" w:rsidRPr="00A31320">
        <w:rPr>
          <w:rFonts w:cs="Times New Roman"/>
          <w:sz w:val="28"/>
          <w:szCs w:val="28"/>
        </w:rPr>
        <w:t xml:space="preserve">. </w:t>
      </w:r>
      <w:r w:rsidRPr="00A31320">
        <w:rPr>
          <w:rFonts w:cs="Times New Roman"/>
          <w:sz w:val="28"/>
          <w:szCs w:val="28"/>
        </w:rPr>
        <w:t>Informējam, ka Finanšu ministrija (VID) iesniedza  JPI</w:t>
      </w:r>
      <w:r w:rsidR="00722349">
        <w:rPr>
          <w:rFonts w:cs="Times New Roman"/>
          <w:sz w:val="28"/>
          <w:szCs w:val="28"/>
        </w:rPr>
        <w:t xml:space="preserve"> </w:t>
      </w:r>
      <w:r w:rsidRPr="00A31320">
        <w:rPr>
          <w:rFonts w:cs="Times New Roman"/>
          <w:sz w:val="28"/>
          <w:szCs w:val="28"/>
        </w:rPr>
        <w:t>p</w:t>
      </w:r>
      <w:r w:rsidR="00E4307E" w:rsidRPr="00A31320">
        <w:rPr>
          <w:rFonts w:cs="Times New Roman"/>
          <w:sz w:val="28"/>
          <w:szCs w:val="28"/>
        </w:rPr>
        <w:t>ieteikumu</w:t>
      </w:r>
      <w:r w:rsidR="00722349">
        <w:rPr>
          <w:rFonts w:cs="Times New Roman"/>
          <w:sz w:val="28"/>
          <w:szCs w:val="28"/>
        </w:rPr>
        <w:t xml:space="preserve"> </w:t>
      </w:r>
      <w:r w:rsidR="00E4307E" w:rsidRPr="00A31320">
        <w:rPr>
          <w:rFonts w:cs="Times New Roman"/>
          <w:sz w:val="28"/>
          <w:szCs w:val="28"/>
        </w:rPr>
        <w:t>2017.</w:t>
      </w:r>
      <w:r w:rsidR="00722349">
        <w:rPr>
          <w:rFonts w:cs="Times New Roman"/>
          <w:sz w:val="28"/>
          <w:szCs w:val="28"/>
        </w:rPr>
        <w:noBreakHyphen/>
      </w:r>
      <w:r w:rsidR="00E4307E" w:rsidRPr="00A31320">
        <w:rPr>
          <w:rFonts w:cs="Times New Roman"/>
          <w:sz w:val="28"/>
          <w:szCs w:val="28"/>
        </w:rPr>
        <w:t>2019.gadam</w:t>
      </w:r>
      <w:r w:rsidRPr="00A31320">
        <w:rPr>
          <w:rFonts w:cs="Times New Roman"/>
          <w:sz w:val="28"/>
          <w:szCs w:val="28"/>
        </w:rPr>
        <w:t xml:space="preserve"> “Valsts ieņēmumu dienesta  profesionālāko paaugstināta riska struktūrvienību ierēdņu un darbinieku motivēšanu”, lai veicinātu VID uzdevumu efektīvu izpildi un panāktu korupcijas risku iespējamības būtisku samazināšanos</w:t>
      </w:r>
      <w:r w:rsidR="00E4307E" w:rsidRPr="00A31320">
        <w:rPr>
          <w:rFonts w:cs="Times New Roman"/>
          <w:sz w:val="28"/>
          <w:szCs w:val="28"/>
        </w:rPr>
        <w:t xml:space="preserve">, ar 2017.gadu ik gadu papildu </w:t>
      </w:r>
      <w:r w:rsidRPr="00A31320">
        <w:rPr>
          <w:rFonts w:cs="Times New Roman"/>
          <w:sz w:val="28"/>
          <w:szCs w:val="28"/>
        </w:rPr>
        <w:t xml:space="preserve">nepieciešams finansējums atlīdzībai (materiālajai stimulēšanai  par ikgadējās darbības un tā rezultātu novērtējumu)  1 788 000 </w:t>
      </w:r>
      <w:r w:rsidRPr="00A31320">
        <w:rPr>
          <w:rFonts w:cs="Times New Roman"/>
          <w:i/>
          <w:iCs/>
          <w:sz w:val="28"/>
          <w:szCs w:val="28"/>
        </w:rPr>
        <w:t>euro</w:t>
      </w:r>
      <w:r w:rsidR="00E4307E" w:rsidRPr="00A31320">
        <w:rPr>
          <w:rFonts w:cs="Times New Roman"/>
          <w:sz w:val="28"/>
          <w:szCs w:val="28"/>
        </w:rPr>
        <w:t xml:space="preserve"> apmērā</w:t>
      </w:r>
      <w:r w:rsidRPr="00A31320">
        <w:rPr>
          <w:rFonts w:cs="Times New Roman"/>
          <w:sz w:val="28"/>
          <w:szCs w:val="28"/>
        </w:rPr>
        <w:t>.</w:t>
      </w:r>
      <w:r w:rsidR="008465CB" w:rsidRPr="00A31320">
        <w:rPr>
          <w:rFonts w:cs="Times New Roman"/>
          <w:sz w:val="28"/>
          <w:szCs w:val="28"/>
        </w:rPr>
        <w:t xml:space="preserve"> Savukārt Iekšlietu ministrija šim laika periodam iesniedza starpnozaru JPI pieteikumu iepriekš minētās koncepcijas ieviešanai, saskaņā ar kuru ar 2017.gadu ik gadu papildu nepieciešams finansējums 31 515 537 </w:t>
      </w:r>
      <w:r w:rsidR="008465CB" w:rsidRPr="00A31320">
        <w:rPr>
          <w:rFonts w:cs="Times New Roman"/>
          <w:i/>
          <w:sz w:val="28"/>
          <w:szCs w:val="28"/>
        </w:rPr>
        <w:t>euro</w:t>
      </w:r>
      <w:r w:rsidR="008465CB" w:rsidRPr="00A31320">
        <w:rPr>
          <w:rFonts w:cs="Times New Roman"/>
          <w:sz w:val="28"/>
          <w:szCs w:val="28"/>
        </w:rPr>
        <w:t xml:space="preserve"> apmērā.</w:t>
      </w:r>
    </w:p>
    <w:p w:rsidR="004C3E6C" w:rsidRPr="00A31320" w:rsidRDefault="00BA7527" w:rsidP="0047607A">
      <w:pPr>
        <w:widowControl w:val="0"/>
        <w:tabs>
          <w:tab w:val="left" w:pos="6740"/>
        </w:tabs>
        <w:ind w:firstLine="567"/>
        <w:jc w:val="both"/>
        <w:rPr>
          <w:rFonts w:cs="Times New Roman"/>
          <w:sz w:val="28"/>
          <w:szCs w:val="28"/>
        </w:rPr>
      </w:pPr>
      <w:r>
        <w:rPr>
          <w:rFonts w:cs="Times New Roman"/>
          <w:sz w:val="28"/>
          <w:szCs w:val="28"/>
        </w:rPr>
        <w:t>I</w:t>
      </w:r>
      <w:r w:rsidR="00722349">
        <w:rPr>
          <w:rFonts w:cs="Times New Roman"/>
          <w:sz w:val="28"/>
          <w:szCs w:val="28"/>
        </w:rPr>
        <w:t>nformējam</w:t>
      </w:r>
      <w:r w:rsidR="004C3E6C" w:rsidRPr="00A31320">
        <w:rPr>
          <w:rFonts w:cs="Times New Roman"/>
          <w:sz w:val="28"/>
          <w:szCs w:val="28"/>
        </w:rPr>
        <w:t xml:space="preserve">, ka </w:t>
      </w:r>
      <w:r w:rsidR="00C56B04" w:rsidRPr="00A31320">
        <w:rPr>
          <w:rFonts w:cs="Times New Roman"/>
          <w:sz w:val="28"/>
          <w:szCs w:val="28"/>
        </w:rPr>
        <w:t>Kontroles dienest</w:t>
      </w:r>
      <w:r w:rsidR="0047607A">
        <w:rPr>
          <w:rFonts w:cs="Times New Roman"/>
          <w:sz w:val="28"/>
          <w:szCs w:val="28"/>
        </w:rPr>
        <w:t>s</w:t>
      </w:r>
      <w:r w:rsidR="004C3E6C" w:rsidRPr="00A31320">
        <w:rPr>
          <w:rFonts w:cs="Times New Roman"/>
          <w:sz w:val="28"/>
          <w:szCs w:val="28"/>
        </w:rPr>
        <w:t xml:space="preserve"> </w:t>
      </w:r>
      <w:r w:rsidR="0047607A">
        <w:rPr>
          <w:rFonts w:cs="Times New Roman"/>
          <w:sz w:val="28"/>
          <w:szCs w:val="28"/>
        </w:rPr>
        <w:t>ar</w:t>
      </w:r>
      <w:r w:rsidR="004C3E6C" w:rsidRPr="00A31320">
        <w:rPr>
          <w:rFonts w:cs="Times New Roman"/>
          <w:sz w:val="28"/>
          <w:szCs w:val="28"/>
        </w:rPr>
        <w:t xml:space="preserve"> 2016.gada 18.jūlija vēstul</w:t>
      </w:r>
      <w:r w:rsidR="0047607A">
        <w:rPr>
          <w:rFonts w:cs="Times New Roman"/>
          <w:sz w:val="28"/>
          <w:szCs w:val="28"/>
        </w:rPr>
        <w:t>i</w:t>
      </w:r>
      <w:r w:rsidR="004C3E6C" w:rsidRPr="00A31320">
        <w:rPr>
          <w:rFonts w:cs="Times New Roman"/>
          <w:sz w:val="28"/>
          <w:szCs w:val="28"/>
        </w:rPr>
        <w:t xml:space="preserve"> Nr.1</w:t>
      </w:r>
      <w:r>
        <w:rPr>
          <w:rFonts w:cs="Times New Roman"/>
          <w:sz w:val="28"/>
          <w:szCs w:val="28"/>
        </w:rPr>
        <w:noBreakHyphen/>
      </w:r>
      <w:r w:rsidR="004C3E6C" w:rsidRPr="00A31320">
        <w:rPr>
          <w:rFonts w:cs="Times New Roman"/>
          <w:sz w:val="28"/>
          <w:szCs w:val="28"/>
        </w:rPr>
        <w:t>10/192</w:t>
      </w:r>
      <w:r w:rsidR="0047607A">
        <w:rPr>
          <w:rFonts w:cs="Times New Roman"/>
          <w:sz w:val="28"/>
          <w:szCs w:val="28"/>
        </w:rPr>
        <w:t xml:space="preserve"> ir </w:t>
      </w:r>
      <w:r w:rsidR="00C56B04" w:rsidRPr="00A31320">
        <w:rPr>
          <w:rFonts w:cs="Times New Roman"/>
          <w:sz w:val="28"/>
          <w:szCs w:val="28"/>
        </w:rPr>
        <w:t>norādī</w:t>
      </w:r>
      <w:r w:rsidR="0047607A">
        <w:rPr>
          <w:rFonts w:cs="Times New Roman"/>
          <w:sz w:val="28"/>
          <w:szCs w:val="28"/>
        </w:rPr>
        <w:t>jis</w:t>
      </w:r>
      <w:r w:rsidR="00C56B04" w:rsidRPr="00A31320">
        <w:rPr>
          <w:rFonts w:cs="Times New Roman"/>
          <w:sz w:val="28"/>
          <w:szCs w:val="28"/>
        </w:rPr>
        <w:t>, ka Kontroles dienest</w:t>
      </w:r>
      <w:r w:rsidR="0047607A">
        <w:rPr>
          <w:rFonts w:cs="Times New Roman"/>
          <w:sz w:val="28"/>
          <w:szCs w:val="28"/>
        </w:rPr>
        <w:t xml:space="preserve">s veic </w:t>
      </w:r>
      <w:r w:rsidR="00CD5C92" w:rsidRPr="00A31320">
        <w:rPr>
          <w:rFonts w:cs="Times New Roman"/>
          <w:sz w:val="28"/>
          <w:szCs w:val="28"/>
        </w:rPr>
        <w:t>specifisk</w:t>
      </w:r>
      <w:r w:rsidR="0047607A">
        <w:rPr>
          <w:rFonts w:cs="Times New Roman"/>
          <w:sz w:val="28"/>
          <w:szCs w:val="28"/>
        </w:rPr>
        <w:t>a</w:t>
      </w:r>
      <w:r w:rsidR="00ED560A" w:rsidRPr="00A31320">
        <w:rPr>
          <w:rFonts w:cs="Times New Roman"/>
          <w:sz w:val="28"/>
          <w:szCs w:val="28"/>
        </w:rPr>
        <w:t>s</w:t>
      </w:r>
      <w:r w:rsidR="00CD5C92" w:rsidRPr="00A31320">
        <w:rPr>
          <w:rFonts w:cs="Times New Roman"/>
          <w:sz w:val="28"/>
          <w:szCs w:val="28"/>
        </w:rPr>
        <w:t xml:space="preserve"> funkcij</w:t>
      </w:r>
      <w:r w:rsidR="00ED560A" w:rsidRPr="00A31320">
        <w:rPr>
          <w:rFonts w:cs="Times New Roman"/>
          <w:sz w:val="28"/>
          <w:szCs w:val="28"/>
        </w:rPr>
        <w:t>as</w:t>
      </w:r>
      <w:r w:rsidR="00CD5C92" w:rsidRPr="00A31320">
        <w:rPr>
          <w:rFonts w:cs="Times New Roman"/>
          <w:sz w:val="28"/>
          <w:szCs w:val="28"/>
        </w:rPr>
        <w:t>, kuras neveic citas tiesībaizsardzības iestādes</w:t>
      </w:r>
      <w:r w:rsidR="0047607A">
        <w:rPr>
          <w:rFonts w:cs="Times New Roman"/>
          <w:sz w:val="28"/>
          <w:szCs w:val="28"/>
        </w:rPr>
        <w:t>, turklāt</w:t>
      </w:r>
      <w:r w:rsidR="00C56B04" w:rsidRPr="00A31320">
        <w:rPr>
          <w:rFonts w:cs="Times New Roman"/>
          <w:sz w:val="28"/>
          <w:szCs w:val="28"/>
        </w:rPr>
        <w:t xml:space="preserve"> Kontroles dienesta darbinieku funkcijas ir analoģiskas likuma subjektu, it īpaši banku darbinieku – finanšu analītiķu </w:t>
      </w:r>
      <w:r w:rsidR="00E31D56" w:rsidRPr="00A31320">
        <w:rPr>
          <w:rFonts w:cs="Times New Roman"/>
          <w:sz w:val="28"/>
          <w:szCs w:val="28"/>
        </w:rPr>
        <w:t xml:space="preserve">funkcijām. </w:t>
      </w:r>
      <w:r w:rsidR="0047607A">
        <w:rPr>
          <w:rFonts w:cs="Times New Roman"/>
          <w:sz w:val="28"/>
          <w:szCs w:val="28"/>
        </w:rPr>
        <w:t xml:space="preserve">Attiecīgi saskaņā ar </w:t>
      </w:r>
      <w:r w:rsidR="00D278AD" w:rsidRPr="00A31320">
        <w:rPr>
          <w:rFonts w:cs="Times New Roman"/>
          <w:sz w:val="28"/>
          <w:szCs w:val="28"/>
        </w:rPr>
        <w:t xml:space="preserve">Kontroles dienesta </w:t>
      </w:r>
      <w:r w:rsidR="0047607A">
        <w:rPr>
          <w:rFonts w:cs="Times New Roman"/>
          <w:sz w:val="28"/>
          <w:szCs w:val="28"/>
        </w:rPr>
        <w:t xml:space="preserve">sniegto </w:t>
      </w:r>
      <w:r w:rsidR="00D278AD" w:rsidRPr="00A31320">
        <w:rPr>
          <w:rFonts w:cs="Times New Roman"/>
          <w:sz w:val="28"/>
          <w:szCs w:val="28"/>
        </w:rPr>
        <w:t>informācij</w:t>
      </w:r>
      <w:r w:rsidR="0047607A">
        <w:rPr>
          <w:rFonts w:cs="Times New Roman"/>
          <w:sz w:val="28"/>
          <w:szCs w:val="28"/>
        </w:rPr>
        <w:t>u Kontroles dienesta darbinieku</w:t>
      </w:r>
      <w:r w:rsidR="00E31D56" w:rsidRPr="00A31320">
        <w:rPr>
          <w:rFonts w:cs="Times New Roman"/>
          <w:sz w:val="28"/>
          <w:szCs w:val="28"/>
        </w:rPr>
        <w:t xml:space="preserve"> esošais a</w:t>
      </w:r>
      <w:r w:rsidR="00F10C7D" w:rsidRPr="00A31320">
        <w:rPr>
          <w:rFonts w:cs="Times New Roman"/>
          <w:sz w:val="28"/>
          <w:szCs w:val="28"/>
        </w:rPr>
        <w:t>talgojuma</w:t>
      </w:r>
      <w:r w:rsidR="00E31D56" w:rsidRPr="00A31320">
        <w:rPr>
          <w:rFonts w:cs="Times New Roman"/>
          <w:sz w:val="28"/>
          <w:szCs w:val="28"/>
        </w:rPr>
        <w:t xml:space="preserve"> līmenis nav konkurētspējīgs pašreizējos ekonomiskajos apstākļos</w:t>
      </w:r>
      <w:r w:rsidR="0047607A">
        <w:rPr>
          <w:rFonts w:cs="Times New Roman"/>
          <w:sz w:val="28"/>
          <w:szCs w:val="28"/>
        </w:rPr>
        <w:t xml:space="preserve">. Tomēr jāņem vērā, ka </w:t>
      </w:r>
      <w:r w:rsidR="00D278AD" w:rsidRPr="00A31320">
        <w:rPr>
          <w:rFonts w:cs="Times New Roman"/>
          <w:sz w:val="28"/>
          <w:szCs w:val="28"/>
        </w:rPr>
        <w:t xml:space="preserve">šī problēma ir attiecināma uz visām tiesībaizsardzības iestādēm, kā arī valsts </w:t>
      </w:r>
      <w:r w:rsidR="00D278AD" w:rsidRPr="00A31320">
        <w:rPr>
          <w:rFonts w:cs="Times New Roman"/>
          <w:sz w:val="28"/>
          <w:szCs w:val="28"/>
        </w:rPr>
        <w:lastRenderedPageBreak/>
        <w:t>pārvaldi kopumā, līdz ar to šis jautājums</w:t>
      </w:r>
      <w:r w:rsidR="0047607A">
        <w:rPr>
          <w:rFonts w:cs="Times New Roman"/>
          <w:sz w:val="28"/>
          <w:szCs w:val="28"/>
        </w:rPr>
        <w:t>, kā tika minēts iepriekš,</w:t>
      </w:r>
      <w:r w:rsidR="00E31D56" w:rsidRPr="00A31320">
        <w:rPr>
          <w:rFonts w:cs="Times New Roman"/>
          <w:sz w:val="28"/>
          <w:szCs w:val="28"/>
        </w:rPr>
        <w:t xml:space="preserve"> ir risināms</w:t>
      </w:r>
      <w:r w:rsidR="00024A48" w:rsidRPr="00A31320">
        <w:rPr>
          <w:rFonts w:cs="Times New Roman"/>
          <w:sz w:val="28"/>
          <w:szCs w:val="28"/>
        </w:rPr>
        <w:t xml:space="preserve"> kompleksi. </w:t>
      </w:r>
    </w:p>
    <w:p w:rsidR="00024A48" w:rsidRPr="00A31320" w:rsidRDefault="0047607A" w:rsidP="00024A48">
      <w:pPr>
        <w:widowControl w:val="0"/>
        <w:tabs>
          <w:tab w:val="left" w:pos="6740"/>
        </w:tabs>
        <w:ind w:firstLine="567"/>
        <w:jc w:val="both"/>
        <w:rPr>
          <w:sz w:val="28"/>
          <w:szCs w:val="28"/>
        </w:rPr>
      </w:pPr>
      <w:r>
        <w:rPr>
          <w:sz w:val="28"/>
          <w:szCs w:val="28"/>
        </w:rPr>
        <w:t>Vienlaikus v</w:t>
      </w:r>
      <w:r w:rsidR="00024A48" w:rsidRPr="00A31320">
        <w:rPr>
          <w:sz w:val="28"/>
          <w:szCs w:val="28"/>
        </w:rPr>
        <w:t>ēršam uzmanību, ka Ministru kabineta 2016.gada 1.marta sēdē tika izskatīts informatīvais ziņojums “Par vienoto atlīdzības sistēmu valsts pārvaldē”, kurā bija ietverts valsts pārvaldē esošās atlīdzības sistēmas izvērtējums, kā arī iezīmēta turpmākā rīcība atlīdzības sistēmas pilnveidei.</w:t>
      </w:r>
      <w:r w:rsidR="00E71A73">
        <w:rPr>
          <w:sz w:val="28"/>
          <w:szCs w:val="28"/>
        </w:rPr>
        <w:t xml:space="preserve"> Tajā t</w:t>
      </w:r>
      <w:r w:rsidR="00024A48" w:rsidRPr="00A31320">
        <w:rPr>
          <w:sz w:val="28"/>
          <w:szCs w:val="28"/>
        </w:rPr>
        <w:t xml:space="preserve">ika secināts, ka iepriekšējos gados pamatā ir celtas tikai zemāko mēnešalgu grupu mēnešalgas, mainoties minimālajai algai, un rezultātā ir izveidojusies situācija, ka valsts pārvaldē nodarbināto algas vairākās amatu grupās ir zaudējušas konkurētspēju. Lai turpmāk ilgtermiņā piesaistītu un noturētu valsts pārvaldē augsta līmeņa ekspertus (atslēgas cilvēkus), nepieciešams izskatīt iespēju pārskatīt normatīvo regulējumu, paredzot iespēju īpaši atalgot augsta līmeņa ekspertus. </w:t>
      </w:r>
      <w:r w:rsidR="00E71A73">
        <w:rPr>
          <w:sz w:val="28"/>
          <w:szCs w:val="28"/>
        </w:rPr>
        <w:t>Attiecīgi š</w:t>
      </w:r>
      <w:r w:rsidR="00024A48" w:rsidRPr="00A31320">
        <w:rPr>
          <w:sz w:val="28"/>
          <w:szCs w:val="28"/>
        </w:rPr>
        <w:t xml:space="preserve">obrīd tiek veikts pētījums </w:t>
      </w:r>
      <w:r w:rsidR="00E71A73">
        <w:rPr>
          <w:sz w:val="28"/>
          <w:szCs w:val="28"/>
        </w:rPr>
        <w:t>“</w:t>
      </w:r>
      <w:r w:rsidR="00024A48" w:rsidRPr="00A31320">
        <w:rPr>
          <w:sz w:val="28"/>
          <w:szCs w:val="28"/>
        </w:rPr>
        <w:t>Salīdzinošs pētījums par atalgojuma apmēru”, kurā tiek izvērtēta darba samaksa līdzvērtīgos amatos valsts tiešās pārvaldes iestādēs (atsevišķi nodalot arī ministrijas) un privātajā sektorā. Pēc pētījuma pabeigšanas Valsts kancelejā plānots iesniegt informatīvo ziņojumu ar iespējamajiem risinājumiem valsts tiešās pārvaldes iestāžu augsti kvalificētu ekspertu konkurētspējīgas atlīdzības nodrošināšanai. Vienlaikus jāatzīmē, ka</w:t>
      </w:r>
      <w:r w:rsidR="00E71A73">
        <w:rPr>
          <w:sz w:val="28"/>
          <w:szCs w:val="28"/>
        </w:rPr>
        <w:t xml:space="preserve"> saskaņā ar Ministru kabineta lēmumu (2016.gada 1.marta sēdes prot.Nr.10, 50.</w:t>
      </w:r>
      <w:r w:rsidR="00E71A73">
        <w:rPr>
          <w:rFonts w:cs="Times New Roman"/>
          <w:sz w:val="28"/>
          <w:szCs w:val="28"/>
        </w:rPr>
        <w:t>§</w:t>
      </w:r>
      <w:r w:rsidR="00E71A73">
        <w:rPr>
          <w:sz w:val="28"/>
          <w:szCs w:val="28"/>
        </w:rPr>
        <w:t xml:space="preserve">, 2.punkts), kā arī </w:t>
      </w:r>
      <w:r w:rsidR="00024A48" w:rsidRPr="00A31320">
        <w:rPr>
          <w:sz w:val="28"/>
          <w:szCs w:val="28"/>
        </w:rPr>
        <w:t>ņemot vērā valsts budžeta iespējas, iespējamajiem risinājumiem ir jābūt fiskāli neitrāliem, pasākumus plānojot un nodrošinot institūciju esošo budžetu ietvaros.</w:t>
      </w:r>
    </w:p>
    <w:p w:rsidR="00A91762" w:rsidRPr="00A31320" w:rsidRDefault="00A91762" w:rsidP="00A91762">
      <w:pPr>
        <w:widowControl w:val="0"/>
        <w:tabs>
          <w:tab w:val="left" w:pos="6740"/>
        </w:tabs>
        <w:ind w:firstLine="567"/>
        <w:jc w:val="both"/>
        <w:rPr>
          <w:sz w:val="28"/>
          <w:szCs w:val="28"/>
          <w:u w:val="single"/>
        </w:rPr>
      </w:pPr>
    </w:p>
    <w:p w:rsidR="0086207D" w:rsidRPr="00A31320" w:rsidRDefault="0048673C" w:rsidP="0080595C">
      <w:pPr>
        <w:widowControl w:val="0"/>
        <w:tabs>
          <w:tab w:val="left" w:pos="6740"/>
        </w:tabs>
        <w:ind w:firstLine="567"/>
        <w:jc w:val="both"/>
        <w:rPr>
          <w:sz w:val="28"/>
          <w:szCs w:val="28"/>
        </w:rPr>
      </w:pPr>
      <w:r w:rsidRPr="00A31320">
        <w:rPr>
          <w:sz w:val="28"/>
          <w:szCs w:val="28"/>
        </w:rPr>
        <w:t xml:space="preserve">2. </w:t>
      </w:r>
      <w:r w:rsidR="0086207D" w:rsidRPr="00A31320">
        <w:rPr>
          <w:sz w:val="28"/>
          <w:szCs w:val="28"/>
        </w:rPr>
        <w:t>Finanšu ministrija, pildot Ēnu ekonomikas apkarošanas padomes sekretariāta funkciju, ņems</w:t>
      </w:r>
      <w:r w:rsidR="00B52631" w:rsidRPr="00A31320">
        <w:rPr>
          <w:sz w:val="28"/>
          <w:szCs w:val="28"/>
        </w:rPr>
        <w:t xml:space="preserve"> vērā izteikto priekšlikumu</w:t>
      </w:r>
      <w:r w:rsidR="0086207D" w:rsidRPr="00A31320">
        <w:rPr>
          <w:sz w:val="28"/>
          <w:szCs w:val="28"/>
        </w:rPr>
        <w:t xml:space="preserve"> Ēnu ekonomikas apkarošanas padomē apspriest jautājumu par valsts informācijas sistēmas izveidi, kas automatizētu un apstrādātu dažādu informācijas sistēmu datus kontrolējošo institūciju funkciju izpildes vajadzībām</w:t>
      </w:r>
      <w:r w:rsidR="00A344C0" w:rsidRPr="00A31320">
        <w:rPr>
          <w:sz w:val="28"/>
          <w:szCs w:val="28"/>
        </w:rPr>
        <w:t>,</w:t>
      </w:r>
      <w:r w:rsidR="00B52631" w:rsidRPr="00A31320">
        <w:rPr>
          <w:sz w:val="28"/>
          <w:szCs w:val="28"/>
        </w:rPr>
        <w:t xml:space="preserve"> </w:t>
      </w:r>
      <w:r w:rsidR="0086207D" w:rsidRPr="00A31320">
        <w:rPr>
          <w:sz w:val="28"/>
          <w:szCs w:val="28"/>
        </w:rPr>
        <w:t xml:space="preserve">un iekļaus to Ēnu ekonomikas apkarošanas padomes sēdes darba kārtības projektā. </w:t>
      </w:r>
    </w:p>
    <w:p w:rsidR="0086207D" w:rsidRPr="00A31320" w:rsidRDefault="0086207D" w:rsidP="0080595C">
      <w:pPr>
        <w:widowControl w:val="0"/>
        <w:tabs>
          <w:tab w:val="left" w:pos="6740"/>
        </w:tabs>
        <w:ind w:firstLine="567"/>
        <w:jc w:val="both"/>
        <w:rPr>
          <w:sz w:val="28"/>
          <w:szCs w:val="28"/>
        </w:rPr>
      </w:pPr>
    </w:p>
    <w:p w:rsidR="00C86B5B" w:rsidRPr="00A31320" w:rsidRDefault="0048673C" w:rsidP="00C86B5B">
      <w:pPr>
        <w:ind w:firstLine="720"/>
        <w:jc w:val="both"/>
        <w:rPr>
          <w:sz w:val="28"/>
          <w:szCs w:val="28"/>
        </w:rPr>
      </w:pPr>
      <w:r w:rsidRPr="00A31320">
        <w:rPr>
          <w:rFonts w:cs="Times New Roman"/>
          <w:sz w:val="28"/>
          <w:szCs w:val="28"/>
        </w:rPr>
        <w:t xml:space="preserve">3. </w:t>
      </w:r>
      <w:r w:rsidR="00E4307E" w:rsidRPr="00A31320">
        <w:rPr>
          <w:rFonts w:cs="Times New Roman"/>
          <w:sz w:val="28"/>
          <w:szCs w:val="28"/>
        </w:rPr>
        <w:t>P</w:t>
      </w:r>
      <w:r w:rsidR="0080595C" w:rsidRPr="00A31320">
        <w:rPr>
          <w:rFonts w:cs="Times New Roman"/>
          <w:sz w:val="28"/>
          <w:szCs w:val="28"/>
        </w:rPr>
        <w:t>ar mehānisma izveidošanu konfiscēto noziedzīgi iegūto līdzekļu  uzkrāšanai un izmantošanai (Konfiskācijas fonds), no kura novirzīt finansējumu tiesību aizsardzības iestāžu materiāltehniskās bāzes palielināšanai, inform</w:t>
      </w:r>
      <w:r w:rsidR="00C86B5B" w:rsidRPr="00A31320">
        <w:rPr>
          <w:rFonts w:cs="Times New Roman"/>
          <w:sz w:val="28"/>
          <w:szCs w:val="28"/>
        </w:rPr>
        <w:t xml:space="preserve">ējam, ka </w:t>
      </w:r>
      <w:r w:rsidR="00C86B5B" w:rsidRPr="00A31320">
        <w:rPr>
          <w:sz w:val="28"/>
          <w:szCs w:val="28"/>
        </w:rPr>
        <w:t>Kontroles dienests 2013.gadā veica šādu fondu darbības izpēti un ar 2013.gada 27.septembra vēstuli Nr.1-10/105 Finanšu sektora attīstības padomes priekšsēdētāj</w:t>
      </w:r>
      <w:r w:rsidR="009F46F9" w:rsidRPr="00A31320">
        <w:rPr>
          <w:sz w:val="28"/>
          <w:szCs w:val="28"/>
        </w:rPr>
        <w:t>am</w:t>
      </w:r>
      <w:r w:rsidR="00C86B5B" w:rsidRPr="00A31320">
        <w:rPr>
          <w:sz w:val="28"/>
          <w:szCs w:val="28"/>
        </w:rPr>
        <w:t xml:space="preserve"> V. Dombrovski</w:t>
      </w:r>
      <w:r w:rsidR="009F46F9" w:rsidRPr="00A31320">
        <w:rPr>
          <w:sz w:val="28"/>
          <w:szCs w:val="28"/>
        </w:rPr>
        <w:t xml:space="preserve">m </w:t>
      </w:r>
      <w:r w:rsidR="00C86B5B" w:rsidRPr="00A31320">
        <w:rPr>
          <w:sz w:val="28"/>
          <w:szCs w:val="28"/>
        </w:rPr>
        <w:t>aicināja lemt par šāda fonda izveidošanas nepieciešamību.</w:t>
      </w:r>
      <w:r w:rsidR="00E4307E" w:rsidRPr="00A31320">
        <w:rPr>
          <w:sz w:val="28"/>
          <w:szCs w:val="28"/>
        </w:rPr>
        <w:t xml:space="preserve"> </w:t>
      </w:r>
      <w:r w:rsidR="00C86B5B" w:rsidRPr="00A31320">
        <w:rPr>
          <w:sz w:val="28"/>
          <w:szCs w:val="28"/>
        </w:rPr>
        <w:t>Finanšu sektora attīstības padome 2014.gada 20. februāra sēdē (protokola 5.punkts) nolēma Konfiskācijas fondu Latvijā neveidot.</w:t>
      </w:r>
    </w:p>
    <w:p w:rsidR="00C86B5B" w:rsidRPr="00A31320" w:rsidRDefault="00C86B5B" w:rsidP="00C86B5B">
      <w:pPr>
        <w:ind w:firstLine="720"/>
        <w:jc w:val="both"/>
        <w:rPr>
          <w:sz w:val="28"/>
          <w:szCs w:val="28"/>
        </w:rPr>
      </w:pPr>
      <w:r w:rsidRPr="00A31320">
        <w:rPr>
          <w:sz w:val="28"/>
          <w:szCs w:val="28"/>
        </w:rPr>
        <w:t xml:space="preserve">2014.gada 19.maijā stājās spēkā Eiropas Parlamenta un Padomes 2014.gada 3.aprīļa direktīva 2014/42/ES par nozieguma rīku un noziedzīgi iegūtu līdzekļu iesaldēšanu un konfiskāciju Eiropas Savienībā, kuras  </w:t>
      </w:r>
      <w:r w:rsidRPr="00A31320">
        <w:rPr>
          <w:sz w:val="28"/>
          <w:szCs w:val="28"/>
        </w:rPr>
        <w:lastRenderedPageBreak/>
        <w:t>10.panta 3.punkts nosaka, ka dalībvalstis izskata iespēju īstenot pasākumus</w:t>
      </w:r>
      <w:r w:rsidR="0018155B" w:rsidRPr="00A31320">
        <w:rPr>
          <w:sz w:val="28"/>
          <w:szCs w:val="28"/>
        </w:rPr>
        <w:t>,</w:t>
      </w:r>
      <w:r w:rsidRPr="00A31320">
        <w:rPr>
          <w:sz w:val="28"/>
          <w:szCs w:val="28"/>
        </w:rPr>
        <w:t xml:space="preserve"> kas ļautu konfiscēto īpašumu izmantot publiskām interesēm vai sociāliem mērķiem.</w:t>
      </w:r>
    </w:p>
    <w:p w:rsidR="00C86B5B" w:rsidRPr="00A31320" w:rsidRDefault="00C86B5B" w:rsidP="00C86B5B">
      <w:pPr>
        <w:ind w:firstLine="720"/>
        <w:jc w:val="both"/>
        <w:rPr>
          <w:sz w:val="28"/>
          <w:szCs w:val="28"/>
        </w:rPr>
      </w:pPr>
      <w:r w:rsidRPr="00A31320">
        <w:rPr>
          <w:sz w:val="28"/>
          <w:szCs w:val="28"/>
        </w:rPr>
        <w:t>Tieslietu ministrija ir sagatavojusi Informatīv</w:t>
      </w:r>
      <w:r w:rsidR="00E4307E" w:rsidRPr="00A31320">
        <w:rPr>
          <w:sz w:val="28"/>
          <w:szCs w:val="28"/>
        </w:rPr>
        <w:t>ā</w:t>
      </w:r>
      <w:r w:rsidRPr="00A31320">
        <w:rPr>
          <w:sz w:val="28"/>
          <w:szCs w:val="28"/>
        </w:rPr>
        <w:t xml:space="preserve"> ziņojum</w:t>
      </w:r>
      <w:r w:rsidR="00E4307E" w:rsidRPr="00A31320">
        <w:rPr>
          <w:sz w:val="28"/>
          <w:szCs w:val="28"/>
        </w:rPr>
        <w:t>a pro</w:t>
      </w:r>
      <w:r w:rsidR="00004079" w:rsidRPr="00A31320">
        <w:rPr>
          <w:sz w:val="28"/>
          <w:szCs w:val="28"/>
        </w:rPr>
        <w:t>jek</w:t>
      </w:r>
      <w:r w:rsidR="00E4307E" w:rsidRPr="00A31320">
        <w:rPr>
          <w:sz w:val="28"/>
          <w:szCs w:val="28"/>
        </w:rPr>
        <w:t>tu</w:t>
      </w:r>
      <w:r w:rsidRPr="00A31320">
        <w:rPr>
          <w:sz w:val="28"/>
          <w:szCs w:val="28"/>
        </w:rPr>
        <w:t xml:space="preserve"> par priekšlikumiem turpmākai rīcībai, lai izveidotu mehānismu konfiscēto noziedzīg</w:t>
      </w:r>
      <w:r w:rsidR="00B52631" w:rsidRPr="00A31320">
        <w:rPr>
          <w:sz w:val="28"/>
          <w:szCs w:val="28"/>
        </w:rPr>
        <w:t>i iegūto līdzekļu izmantošanai</w:t>
      </w:r>
      <w:r w:rsidR="00E4307E" w:rsidRPr="00A31320">
        <w:rPr>
          <w:sz w:val="28"/>
          <w:szCs w:val="28"/>
        </w:rPr>
        <w:t xml:space="preserve">, </w:t>
      </w:r>
      <w:r w:rsidRPr="00A31320">
        <w:rPr>
          <w:sz w:val="28"/>
          <w:szCs w:val="28"/>
        </w:rPr>
        <w:t>kā arī izveidota darba grupa, kura risina šos jautājumus.</w:t>
      </w:r>
    </w:p>
    <w:p w:rsidR="00C86B5B" w:rsidRPr="00A31320" w:rsidRDefault="00E4307E" w:rsidP="00C86B5B">
      <w:pPr>
        <w:pStyle w:val="Body"/>
        <w:ind w:firstLine="720"/>
        <w:jc w:val="both"/>
        <w:rPr>
          <w:color w:val="auto"/>
          <w:sz w:val="28"/>
          <w:szCs w:val="28"/>
          <w:lang w:val="lv-LV"/>
        </w:rPr>
      </w:pPr>
      <w:r w:rsidRPr="00A31320">
        <w:rPr>
          <w:rFonts w:cs="Times New Roman"/>
          <w:color w:val="auto"/>
          <w:sz w:val="28"/>
          <w:szCs w:val="28"/>
          <w:lang w:val="lv-LV"/>
        </w:rPr>
        <w:t>I</w:t>
      </w:r>
      <w:r w:rsidR="00C86B5B" w:rsidRPr="00A31320">
        <w:rPr>
          <w:rFonts w:cs="Times New Roman"/>
          <w:color w:val="auto"/>
          <w:sz w:val="28"/>
          <w:szCs w:val="28"/>
          <w:lang w:val="lv-LV"/>
        </w:rPr>
        <w:t xml:space="preserve">nformējam, ka </w:t>
      </w:r>
      <w:r w:rsidR="00C86B5B" w:rsidRPr="00A31320">
        <w:rPr>
          <w:color w:val="auto"/>
          <w:sz w:val="28"/>
          <w:szCs w:val="28"/>
          <w:lang w:val="lv-LV"/>
        </w:rPr>
        <w:t>konceptuāli atbalstam nepieciešamību rast risinājumu, lai konfiscētos noziedzīgi iegūtos līdzekļus varētu novirzīt tiesīb</w:t>
      </w:r>
      <w:r w:rsidR="0067011D" w:rsidRPr="00A31320">
        <w:rPr>
          <w:color w:val="auto"/>
          <w:sz w:val="28"/>
          <w:szCs w:val="28"/>
          <w:lang w:val="lv-LV"/>
        </w:rPr>
        <w:t>u</w:t>
      </w:r>
      <w:r w:rsidR="00C86B5B" w:rsidRPr="00A31320">
        <w:rPr>
          <w:color w:val="auto"/>
          <w:sz w:val="28"/>
          <w:szCs w:val="28"/>
          <w:lang w:val="lv-LV"/>
        </w:rPr>
        <w:t xml:space="preserve"> aizsardzības iestāžu kapacitātes stiprināšanai un materiāltehniskās bāzes palielināšanai, kas ļautu stiprināt noziedzīgi iegūtu līdzekļu l</w:t>
      </w:r>
      <w:r w:rsidRPr="00A31320">
        <w:rPr>
          <w:color w:val="auto"/>
          <w:sz w:val="28"/>
          <w:szCs w:val="28"/>
          <w:lang w:val="lv-LV"/>
        </w:rPr>
        <w:t>egalizācijas novēršanas sistēmu</w:t>
      </w:r>
      <w:r w:rsidR="00C86B5B" w:rsidRPr="00A31320">
        <w:rPr>
          <w:color w:val="auto"/>
          <w:sz w:val="28"/>
          <w:szCs w:val="28"/>
          <w:lang w:val="lv-LV"/>
        </w:rPr>
        <w:t xml:space="preserve">. Vienlaikus jāatzīmē, ka no </w:t>
      </w:r>
      <w:r w:rsidR="0018155B" w:rsidRPr="00A31320">
        <w:rPr>
          <w:color w:val="auto"/>
          <w:sz w:val="28"/>
          <w:szCs w:val="28"/>
          <w:lang w:val="lv-LV"/>
        </w:rPr>
        <w:t xml:space="preserve">valsts </w:t>
      </w:r>
      <w:r w:rsidR="00C86B5B" w:rsidRPr="00A31320">
        <w:rPr>
          <w:color w:val="auto"/>
          <w:sz w:val="28"/>
          <w:szCs w:val="28"/>
          <w:lang w:val="lv-LV"/>
        </w:rPr>
        <w:t>budžeta veidošanas principu viedokļa ieņēmumu iezīmēšana konkrētiem mērķiem ierobežo valdības rīcības iespēju lemt par ienākumu sadali atbilstoši valsts prioritātēm un budžeta finansiālajām iespējām. Šobrīd valsts labā konfiscētie līdzekļi tiek ieskaitīti visp</w:t>
      </w:r>
      <w:r w:rsidR="009F46F9" w:rsidRPr="00A31320">
        <w:rPr>
          <w:color w:val="auto"/>
          <w:sz w:val="28"/>
          <w:szCs w:val="28"/>
          <w:lang w:val="lv-LV"/>
        </w:rPr>
        <w:t>ārējos valsts budžeta ieņēmumos</w:t>
      </w:r>
      <w:r w:rsidR="00C86B5B" w:rsidRPr="00A31320">
        <w:rPr>
          <w:color w:val="auto"/>
          <w:sz w:val="28"/>
          <w:szCs w:val="28"/>
          <w:lang w:val="lv-LV"/>
        </w:rPr>
        <w:t xml:space="preserve">. </w:t>
      </w:r>
    </w:p>
    <w:p w:rsidR="00BA4F73" w:rsidRPr="00A31320" w:rsidRDefault="00BA4F73" w:rsidP="0048673C">
      <w:pPr>
        <w:pStyle w:val="Body"/>
        <w:ind w:firstLine="720"/>
        <w:jc w:val="both"/>
        <w:rPr>
          <w:color w:val="auto"/>
          <w:sz w:val="28"/>
          <w:szCs w:val="28"/>
          <w:lang w:val="lv-LV"/>
        </w:rPr>
      </w:pPr>
    </w:p>
    <w:p w:rsidR="0048673C" w:rsidRPr="00A31320" w:rsidRDefault="0048673C" w:rsidP="0048673C">
      <w:pPr>
        <w:pStyle w:val="Body"/>
        <w:ind w:firstLine="720"/>
        <w:jc w:val="both"/>
        <w:rPr>
          <w:color w:val="auto"/>
          <w:sz w:val="28"/>
          <w:szCs w:val="28"/>
          <w:lang w:val="lv-LV"/>
        </w:rPr>
      </w:pPr>
      <w:r w:rsidRPr="00A31320">
        <w:rPr>
          <w:color w:val="auto"/>
          <w:sz w:val="28"/>
          <w:szCs w:val="28"/>
          <w:lang w:val="lv-LV"/>
        </w:rPr>
        <w:t xml:space="preserve">4. </w:t>
      </w:r>
      <w:r w:rsidR="00004079" w:rsidRPr="00A31320">
        <w:rPr>
          <w:color w:val="auto"/>
          <w:sz w:val="28"/>
          <w:szCs w:val="28"/>
          <w:lang w:val="lv-LV"/>
        </w:rPr>
        <w:t>P</w:t>
      </w:r>
      <w:r w:rsidR="00C86B5B" w:rsidRPr="00A31320">
        <w:rPr>
          <w:color w:val="auto"/>
          <w:sz w:val="28"/>
          <w:szCs w:val="28"/>
          <w:lang w:val="lv-LV"/>
        </w:rPr>
        <w:t>ar ēnu ekonomikas apkarošanas pasākumu īstenošanā iesaistīto institūciju amatpersonu (darbinieku) motivēšanu novirzāmo finansējuma apjomu budžeta izvērtēšanas procesā atbilstoši iestādes pienesumam iestrādāt iestādes kopējā budžetā, informējam, ka Valsts un pašvaldību institūciju amatpersonu un darbinieku atlīdzības likuma Pārejas noteikumu 8.15.p</w:t>
      </w:r>
      <w:r w:rsidR="0067011D" w:rsidRPr="00A31320">
        <w:rPr>
          <w:color w:val="auto"/>
          <w:sz w:val="28"/>
          <w:szCs w:val="28"/>
          <w:lang w:val="lv-LV"/>
        </w:rPr>
        <w:t>unkts</w:t>
      </w:r>
      <w:r w:rsidR="00C86B5B" w:rsidRPr="00A31320">
        <w:rPr>
          <w:color w:val="auto"/>
          <w:sz w:val="28"/>
          <w:szCs w:val="28"/>
          <w:lang w:val="lv-LV"/>
        </w:rPr>
        <w:t xml:space="preserve"> paredz </w:t>
      </w:r>
      <w:r w:rsidR="0067011D" w:rsidRPr="00A31320">
        <w:rPr>
          <w:color w:val="auto"/>
          <w:sz w:val="28"/>
          <w:szCs w:val="28"/>
          <w:lang w:val="lv-LV"/>
        </w:rPr>
        <w:t xml:space="preserve">Valsts ieņēmumu dienesta un </w:t>
      </w:r>
      <w:r w:rsidR="00C86B5B" w:rsidRPr="00A31320">
        <w:rPr>
          <w:color w:val="auto"/>
          <w:sz w:val="28"/>
          <w:szCs w:val="28"/>
          <w:lang w:val="lv-LV"/>
        </w:rPr>
        <w:t xml:space="preserve">Kontroles dienesta </w:t>
      </w:r>
      <w:r w:rsidR="0067011D" w:rsidRPr="00A31320">
        <w:rPr>
          <w:color w:val="auto"/>
          <w:sz w:val="28"/>
          <w:szCs w:val="28"/>
          <w:lang w:val="lv-LV"/>
        </w:rPr>
        <w:t>amatpersonām (</w:t>
      </w:r>
      <w:r w:rsidR="00C86B5B" w:rsidRPr="00A31320">
        <w:rPr>
          <w:color w:val="auto"/>
          <w:sz w:val="28"/>
          <w:szCs w:val="28"/>
          <w:lang w:val="lv-LV"/>
        </w:rPr>
        <w:t>darbiniekiem</w:t>
      </w:r>
      <w:r w:rsidR="0067011D" w:rsidRPr="00A31320">
        <w:rPr>
          <w:color w:val="auto"/>
          <w:sz w:val="28"/>
          <w:szCs w:val="28"/>
          <w:lang w:val="lv-LV"/>
        </w:rPr>
        <w:t>)</w:t>
      </w:r>
      <w:r w:rsidR="00C86B5B" w:rsidRPr="00A31320">
        <w:rPr>
          <w:color w:val="auto"/>
          <w:sz w:val="28"/>
          <w:szCs w:val="28"/>
          <w:lang w:val="lv-LV"/>
        </w:rPr>
        <w:t xml:space="preserve"> prēmēšanas iespējas par atklātiem un novērstiem n</w:t>
      </w:r>
      <w:r w:rsidR="007C1F1F" w:rsidRPr="00A31320">
        <w:rPr>
          <w:color w:val="auto"/>
          <w:sz w:val="28"/>
          <w:szCs w:val="28"/>
          <w:lang w:val="lv-LV"/>
        </w:rPr>
        <w:t>ozie</w:t>
      </w:r>
      <w:r w:rsidR="0067011D" w:rsidRPr="00A31320">
        <w:rPr>
          <w:color w:val="auto"/>
          <w:sz w:val="28"/>
          <w:szCs w:val="28"/>
          <w:lang w:val="lv-LV"/>
        </w:rPr>
        <w:t>dzīgiem nodarījumiem</w:t>
      </w:r>
      <w:r w:rsidR="007C1F1F" w:rsidRPr="00A31320">
        <w:rPr>
          <w:color w:val="auto"/>
          <w:sz w:val="28"/>
          <w:szCs w:val="28"/>
          <w:lang w:val="lv-LV"/>
        </w:rPr>
        <w:t xml:space="preserve"> valsts ieņēmumu </w:t>
      </w:r>
      <w:r w:rsidR="0067011D" w:rsidRPr="00A31320">
        <w:rPr>
          <w:color w:val="auto"/>
          <w:sz w:val="28"/>
          <w:szCs w:val="28"/>
          <w:lang w:val="lv-LV"/>
        </w:rPr>
        <w:t xml:space="preserve">un nodokļu </w:t>
      </w:r>
      <w:r w:rsidR="007C1F1F" w:rsidRPr="00A31320">
        <w:rPr>
          <w:color w:val="auto"/>
          <w:sz w:val="28"/>
          <w:szCs w:val="28"/>
          <w:lang w:val="lv-LV"/>
        </w:rPr>
        <w:t xml:space="preserve">jomā. Lēmums par </w:t>
      </w:r>
      <w:r w:rsidR="0067011D" w:rsidRPr="00A31320">
        <w:rPr>
          <w:color w:val="auto"/>
          <w:sz w:val="28"/>
          <w:szCs w:val="28"/>
          <w:lang w:val="lv-LV"/>
        </w:rPr>
        <w:t xml:space="preserve">Valsts ieņēmumu dienesta un </w:t>
      </w:r>
      <w:r w:rsidR="007C1F1F" w:rsidRPr="00A31320">
        <w:rPr>
          <w:color w:val="auto"/>
          <w:sz w:val="28"/>
          <w:szCs w:val="28"/>
          <w:lang w:val="lv-LV"/>
        </w:rPr>
        <w:t>Kontroles dienesta amatpersonu (darbinieku) prēmēšanu tiek pieņemts, pamatojoties uz</w:t>
      </w:r>
      <w:r w:rsidR="0067011D" w:rsidRPr="00A31320">
        <w:rPr>
          <w:color w:val="auto"/>
          <w:sz w:val="28"/>
          <w:szCs w:val="28"/>
          <w:lang w:val="lv-LV"/>
        </w:rPr>
        <w:t xml:space="preserve"> Finanšu ministrijas un</w:t>
      </w:r>
      <w:r w:rsidR="007C1F1F" w:rsidRPr="00A31320">
        <w:rPr>
          <w:color w:val="auto"/>
          <w:sz w:val="28"/>
          <w:szCs w:val="28"/>
          <w:lang w:val="lv-LV"/>
        </w:rPr>
        <w:t xml:space="preserve"> Ģenerālprokuratūras sniegto informāciju. </w:t>
      </w:r>
    </w:p>
    <w:p w:rsidR="00373D2D" w:rsidRPr="00A31320" w:rsidRDefault="00373D2D" w:rsidP="00373D2D">
      <w:pPr>
        <w:ind w:firstLine="720"/>
        <w:jc w:val="both"/>
        <w:rPr>
          <w:rFonts w:cs="Times New Roman"/>
          <w:sz w:val="28"/>
          <w:szCs w:val="28"/>
        </w:rPr>
      </w:pPr>
    </w:p>
    <w:p w:rsidR="00373D2D" w:rsidRPr="00A31320" w:rsidRDefault="00373D2D" w:rsidP="00373D2D">
      <w:pPr>
        <w:ind w:firstLine="720"/>
        <w:jc w:val="both"/>
        <w:rPr>
          <w:rFonts w:cs="Times New Roman"/>
          <w:sz w:val="28"/>
          <w:szCs w:val="28"/>
        </w:rPr>
      </w:pPr>
      <w:r w:rsidRPr="00A31320">
        <w:rPr>
          <w:rFonts w:cs="Times New Roman"/>
          <w:sz w:val="28"/>
          <w:szCs w:val="28"/>
        </w:rPr>
        <w:t xml:space="preserve">Informējam, ka visi </w:t>
      </w:r>
      <w:r w:rsidR="00004079" w:rsidRPr="00A31320">
        <w:rPr>
          <w:rFonts w:cs="Times New Roman"/>
          <w:sz w:val="28"/>
          <w:szCs w:val="28"/>
        </w:rPr>
        <w:t xml:space="preserve">ministriju un citu centrālo valsts iestāžu </w:t>
      </w:r>
      <w:r w:rsidRPr="00A31320">
        <w:rPr>
          <w:rFonts w:cs="Times New Roman"/>
          <w:sz w:val="28"/>
          <w:szCs w:val="28"/>
        </w:rPr>
        <w:t>papildu finansējuma pieprasījumi</w:t>
      </w:r>
      <w:r w:rsidR="00E71A73">
        <w:rPr>
          <w:rFonts w:cs="Times New Roman"/>
          <w:sz w:val="28"/>
          <w:szCs w:val="28"/>
        </w:rPr>
        <w:t xml:space="preserve">, kas iesniegti </w:t>
      </w:r>
      <w:r w:rsidR="00E71A73" w:rsidRPr="00A31320">
        <w:rPr>
          <w:rFonts w:cs="Times New Roman"/>
          <w:sz w:val="28"/>
          <w:szCs w:val="28"/>
        </w:rPr>
        <w:t>saskaņā ar MK noteikumiem Nr.867</w:t>
      </w:r>
      <w:r w:rsidR="00E71A73">
        <w:rPr>
          <w:rFonts w:cs="Times New Roman"/>
          <w:sz w:val="28"/>
          <w:szCs w:val="28"/>
        </w:rPr>
        <w:t>,</w:t>
      </w:r>
      <w:r w:rsidR="00E71A73" w:rsidRPr="00A31320">
        <w:rPr>
          <w:rFonts w:cs="Times New Roman"/>
          <w:sz w:val="28"/>
          <w:szCs w:val="28"/>
        </w:rPr>
        <w:t xml:space="preserve"> </w:t>
      </w:r>
      <w:r w:rsidRPr="00A31320">
        <w:rPr>
          <w:rFonts w:cs="Times New Roman"/>
          <w:sz w:val="28"/>
          <w:szCs w:val="28"/>
        </w:rPr>
        <w:t xml:space="preserve">tiks izskatīti Ministru kabinetā kārtējā gada budžeta </w:t>
      </w:r>
      <w:r w:rsidR="009F46F9" w:rsidRPr="00A31320">
        <w:rPr>
          <w:rFonts w:cs="Times New Roman"/>
          <w:sz w:val="28"/>
          <w:szCs w:val="28"/>
        </w:rPr>
        <w:t xml:space="preserve">projekta </w:t>
      </w:r>
      <w:r w:rsidRPr="00A31320">
        <w:rPr>
          <w:rFonts w:cs="Times New Roman"/>
          <w:sz w:val="28"/>
          <w:szCs w:val="28"/>
        </w:rPr>
        <w:t xml:space="preserve">sagatavošanas </w:t>
      </w:r>
      <w:r w:rsidR="009F46F9" w:rsidRPr="00A31320">
        <w:rPr>
          <w:rFonts w:cs="Times New Roman"/>
          <w:sz w:val="28"/>
          <w:szCs w:val="28"/>
        </w:rPr>
        <w:t>procesā</w:t>
      </w:r>
      <w:r w:rsidRPr="00A31320">
        <w:rPr>
          <w:rFonts w:cs="Times New Roman"/>
          <w:sz w:val="28"/>
          <w:szCs w:val="28"/>
        </w:rPr>
        <w:t>.</w:t>
      </w:r>
    </w:p>
    <w:p w:rsidR="00373D2D" w:rsidRDefault="00373D2D" w:rsidP="00373D2D">
      <w:pPr>
        <w:spacing w:before="120" w:after="120"/>
        <w:rPr>
          <w:rFonts w:eastAsia="Times New Roman" w:cs="Times New Roman"/>
          <w:sz w:val="28"/>
          <w:szCs w:val="28"/>
        </w:rPr>
      </w:pPr>
    </w:p>
    <w:p w:rsidR="002A7C50" w:rsidRPr="00373D2D" w:rsidRDefault="002A7C50" w:rsidP="00373D2D">
      <w:pPr>
        <w:spacing w:before="120" w:after="120"/>
        <w:rPr>
          <w:rFonts w:eastAsia="Times New Roman" w:cs="Times New Roman"/>
          <w:sz w:val="28"/>
          <w:szCs w:val="28"/>
        </w:rPr>
      </w:pPr>
      <w:r w:rsidRPr="00373D2D">
        <w:rPr>
          <w:rFonts w:eastAsia="Times New Roman" w:cs="Times New Roman"/>
          <w:sz w:val="28"/>
          <w:szCs w:val="28"/>
        </w:rPr>
        <w:t>Ar cieņu</w:t>
      </w:r>
    </w:p>
    <w:p w:rsidR="002A7C50" w:rsidRPr="00373D2D" w:rsidRDefault="002A7C50" w:rsidP="002A7C50">
      <w:pPr>
        <w:spacing w:before="120" w:after="120"/>
        <w:rPr>
          <w:rFonts w:eastAsia="Times New Roman" w:cs="Times New Roman"/>
          <w:sz w:val="28"/>
          <w:szCs w:val="28"/>
        </w:rPr>
      </w:pPr>
      <w:r w:rsidRPr="00373D2D">
        <w:rPr>
          <w:rFonts w:eastAsia="Times New Roman" w:cs="Times New Roman"/>
          <w:sz w:val="28"/>
          <w:szCs w:val="28"/>
        </w:rPr>
        <w:t>Ministru prezident</w:t>
      </w:r>
      <w:r w:rsidR="008942B5" w:rsidRPr="00373D2D">
        <w:rPr>
          <w:rFonts w:eastAsia="Times New Roman" w:cs="Times New Roman"/>
          <w:sz w:val="28"/>
          <w:szCs w:val="28"/>
        </w:rPr>
        <w:t xml:space="preserve">s </w:t>
      </w:r>
      <w:r w:rsidR="008942B5" w:rsidRPr="00373D2D">
        <w:rPr>
          <w:rFonts w:eastAsia="Times New Roman" w:cs="Times New Roman"/>
          <w:sz w:val="28"/>
          <w:szCs w:val="28"/>
        </w:rPr>
        <w:tab/>
      </w:r>
      <w:r w:rsidRPr="00373D2D">
        <w:rPr>
          <w:rFonts w:eastAsia="Times New Roman" w:cs="Times New Roman"/>
          <w:sz w:val="28"/>
          <w:szCs w:val="28"/>
        </w:rPr>
        <w:tab/>
      </w:r>
      <w:r w:rsidRPr="00373D2D">
        <w:rPr>
          <w:rFonts w:eastAsia="Times New Roman" w:cs="Times New Roman"/>
          <w:sz w:val="28"/>
          <w:szCs w:val="28"/>
        </w:rPr>
        <w:tab/>
      </w:r>
      <w:r w:rsidRPr="00373D2D">
        <w:rPr>
          <w:rFonts w:eastAsia="Times New Roman" w:cs="Times New Roman"/>
          <w:sz w:val="28"/>
          <w:szCs w:val="28"/>
        </w:rPr>
        <w:tab/>
        <w:t xml:space="preserve">               </w:t>
      </w:r>
      <w:r w:rsidR="008942B5" w:rsidRPr="00373D2D">
        <w:rPr>
          <w:rFonts w:eastAsia="Times New Roman" w:cs="Times New Roman"/>
          <w:sz w:val="28"/>
          <w:szCs w:val="28"/>
        </w:rPr>
        <w:t xml:space="preserve">             </w:t>
      </w:r>
      <w:r w:rsidRPr="00373D2D">
        <w:rPr>
          <w:rFonts w:eastAsia="Times New Roman" w:cs="Times New Roman"/>
          <w:sz w:val="28"/>
          <w:szCs w:val="28"/>
        </w:rPr>
        <w:t xml:space="preserve"> </w:t>
      </w:r>
      <w:proofErr w:type="spellStart"/>
      <w:r w:rsidR="008942B5" w:rsidRPr="00373D2D">
        <w:rPr>
          <w:rFonts w:eastAsia="Times New Roman" w:cs="Times New Roman"/>
          <w:sz w:val="28"/>
          <w:szCs w:val="28"/>
        </w:rPr>
        <w:t>M.Kučinskis</w:t>
      </w:r>
      <w:proofErr w:type="spellEnd"/>
    </w:p>
    <w:p w:rsidR="001478BC" w:rsidRPr="00373D2D" w:rsidRDefault="001478BC" w:rsidP="002A7C50">
      <w:pPr>
        <w:spacing w:line="276" w:lineRule="auto"/>
        <w:rPr>
          <w:rFonts w:eastAsia="Times New Roman" w:cs="Times New Roman"/>
          <w:sz w:val="28"/>
          <w:szCs w:val="28"/>
        </w:rPr>
      </w:pPr>
    </w:p>
    <w:p w:rsidR="002A7C50" w:rsidRPr="00373D2D" w:rsidRDefault="002A7C50" w:rsidP="002A7C50">
      <w:pPr>
        <w:spacing w:line="276" w:lineRule="auto"/>
        <w:rPr>
          <w:rFonts w:eastAsia="Times New Roman" w:cs="Times New Roman"/>
          <w:sz w:val="28"/>
          <w:szCs w:val="28"/>
        </w:rPr>
      </w:pPr>
      <w:r w:rsidRPr="00373D2D">
        <w:rPr>
          <w:rFonts w:eastAsia="Times New Roman" w:cs="Times New Roman"/>
          <w:sz w:val="28"/>
          <w:szCs w:val="28"/>
        </w:rPr>
        <w:t>Iesniedzējs:</w:t>
      </w:r>
    </w:p>
    <w:p w:rsidR="00E92B6B" w:rsidRPr="00373D2D" w:rsidRDefault="002A7C50" w:rsidP="001478BC">
      <w:pPr>
        <w:spacing w:line="276" w:lineRule="auto"/>
        <w:rPr>
          <w:rFonts w:eastAsia="Times New Roman" w:cs="Times New Roman"/>
          <w:sz w:val="28"/>
          <w:szCs w:val="28"/>
        </w:rPr>
      </w:pPr>
      <w:r w:rsidRPr="00373D2D">
        <w:rPr>
          <w:rFonts w:eastAsia="Times New Roman" w:cs="Times New Roman"/>
          <w:sz w:val="28"/>
          <w:szCs w:val="28"/>
        </w:rPr>
        <w:t>Finanšu ministr</w:t>
      </w:r>
      <w:r w:rsidR="008942B5" w:rsidRPr="00373D2D">
        <w:rPr>
          <w:rFonts w:eastAsia="Times New Roman" w:cs="Times New Roman"/>
          <w:sz w:val="28"/>
          <w:szCs w:val="28"/>
        </w:rPr>
        <w:t>e</w:t>
      </w:r>
      <w:r w:rsidRPr="00373D2D">
        <w:rPr>
          <w:rFonts w:eastAsia="Times New Roman" w:cs="Times New Roman"/>
          <w:sz w:val="28"/>
          <w:szCs w:val="28"/>
        </w:rPr>
        <w:tab/>
      </w:r>
      <w:r w:rsidRPr="00373D2D">
        <w:rPr>
          <w:rFonts w:eastAsia="Times New Roman" w:cs="Times New Roman"/>
          <w:sz w:val="28"/>
          <w:szCs w:val="28"/>
        </w:rPr>
        <w:tab/>
      </w:r>
      <w:r w:rsidRPr="00373D2D">
        <w:rPr>
          <w:rFonts w:eastAsia="Times New Roman" w:cs="Times New Roman"/>
          <w:sz w:val="28"/>
          <w:szCs w:val="28"/>
        </w:rPr>
        <w:tab/>
      </w:r>
      <w:r w:rsidRPr="00373D2D">
        <w:rPr>
          <w:rFonts w:eastAsia="Times New Roman" w:cs="Times New Roman"/>
          <w:sz w:val="28"/>
          <w:szCs w:val="28"/>
        </w:rPr>
        <w:tab/>
        <w:t xml:space="preserve">             </w:t>
      </w:r>
      <w:r w:rsidRPr="00373D2D">
        <w:rPr>
          <w:rFonts w:eastAsia="Times New Roman" w:cs="Times New Roman"/>
          <w:sz w:val="28"/>
          <w:szCs w:val="28"/>
        </w:rPr>
        <w:tab/>
      </w:r>
      <w:r w:rsidR="008942B5" w:rsidRPr="00373D2D">
        <w:rPr>
          <w:rFonts w:eastAsia="Times New Roman" w:cs="Times New Roman"/>
          <w:sz w:val="28"/>
          <w:szCs w:val="28"/>
        </w:rPr>
        <w:t xml:space="preserve">      </w:t>
      </w:r>
      <w:proofErr w:type="spellStart"/>
      <w:r w:rsidR="008942B5" w:rsidRPr="00373D2D">
        <w:rPr>
          <w:rFonts w:eastAsia="Times New Roman" w:cs="Times New Roman"/>
          <w:sz w:val="28"/>
          <w:szCs w:val="28"/>
        </w:rPr>
        <w:t>D.Reizniece</w:t>
      </w:r>
      <w:proofErr w:type="spellEnd"/>
      <w:r w:rsidR="008942B5" w:rsidRPr="00373D2D">
        <w:rPr>
          <w:rFonts w:eastAsia="Times New Roman" w:cs="Times New Roman"/>
          <w:sz w:val="28"/>
          <w:szCs w:val="28"/>
        </w:rPr>
        <w:t xml:space="preserve"> – Ozola</w:t>
      </w:r>
    </w:p>
    <w:sectPr w:rsidR="00E92B6B" w:rsidRPr="00373D2D" w:rsidSect="008942B5">
      <w:headerReference w:type="default" r:id="rId8"/>
      <w:footerReference w:type="default" r:id="rId9"/>
      <w:footerReference w:type="first" r:id="rId10"/>
      <w:pgSz w:w="11906" w:h="16838"/>
      <w:pgMar w:top="851" w:right="1558" w:bottom="1440" w:left="180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48" w:rsidRDefault="006B0F48" w:rsidP="00D5622D">
      <w:r>
        <w:separator/>
      </w:r>
    </w:p>
  </w:endnote>
  <w:endnote w:type="continuationSeparator" w:id="0">
    <w:p w:rsidR="006B0F48" w:rsidRDefault="006B0F48" w:rsidP="00D5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456335782"/>
      <w:docPartObj>
        <w:docPartGallery w:val="Page Numbers (Bottom of Page)"/>
        <w:docPartUnique/>
      </w:docPartObj>
    </w:sdtPr>
    <w:sdtEndPr/>
    <w:sdtContent>
      <w:sdt>
        <w:sdtPr>
          <w:id w:val="1960374214"/>
          <w:docPartObj>
            <w:docPartGallery w:val="Page Numbers (Bottom of Page)"/>
            <w:docPartUnique/>
          </w:docPartObj>
        </w:sdtPr>
        <w:sdtEndPr>
          <w:rPr>
            <w:noProof/>
          </w:rPr>
        </w:sdtEndPr>
        <w:sdtContent>
          <w:p w:rsidR="003C577C" w:rsidRDefault="003C577C" w:rsidP="003C577C">
            <w:pPr>
              <w:pStyle w:val="Header"/>
            </w:pPr>
          </w:p>
          <w:p w:rsidR="003C577C" w:rsidRDefault="003C577C" w:rsidP="003C577C"/>
          <w:sdt>
            <w:sdtPr>
              <w:rPr>
                <w:i/>
              </w:rPr>
              <w:id w:val="1857145886"/>
              <w:docPartObj>
                <w:docPartGallery w:val="Page Numbers (Bottom of Page)"/>
                <w:docPartUnique/>
              </w:docPartObj>
            </w:sdtPr>
            <w:sdtEndPr>
              <w:rPr>
                <w:noProof/>
              </w:rPr>
            </w:sdtEndPr>
            <w:sdtContent>
              <w:sdt>
                <w:sdtPr>
                  <w:rPr>
                    <w:i/>
                    <w:sz w:val="18"/>
                    <w:szCs w:val="18"/>
                  </w:rPr>
                  <w:id w:val="169069341"/>
                  <w:docPartObj>
                    <w:docPartGallery w:val="Page Numbers (Bottom of Page)"/>
                    <w:docPartUnique/>
                  </w:docPartObj>
                </w:sdtPr>
                <w:sdtEndPr/>
                <w:sdtContent>
                  <w:p w:rsidR="00D5622D" w:rsidRPr="003C577C" w:rsidRDefault="003C577C" w:rsidP="003C577C">
                    <w:pPr>
                      <w:spacing w:line="276" w:lineRule="auto"/>
                      <w:rPr>
                        <w:i/>
                        <w:sz w:val="18"/>
                        <w:szCs w:val="18"/>
                      </w:rPr>
                    </w:pPr>
                    <w:r>
                      <w:rPr>
                        <w:i/>
                        <w:sz w:val="18"/>
                        <w:szCs w:val="18"/>
                      </w:rPr>
                      <w:t>FMPav_</w:t>
                    </w:r>
                    <w:r w:rsidR="00345643">
                      <w:rPr>
                        <w:i/>
                        <w:sz w:val="18"/>
                        <w:szCs w:val="18"/>
                      </w:rPr>
                      <w:t>25</w:t>
                    </w:r>
                    <w:r w:rsidR="0048673C">
                      <w:rPr>
                        <w:i/>
                        <w:sz w:val="18"/>
                        <w:szCs w:val="18"/>
                      </w:rPr>
                      <w:t>072</w:t>
                    </w:r>
                    <w:r w:rsidRPr="00127191">
                      <w:rPr>
                        <w:i/>
                        <w:sz w:val="18"/>
                        <w:szCs w:val="18"/>
                      </w:rPr>
                      <w:t xml:space="preserve">016; Atbildes vēstules projekts Latvijas Republika Saeimas </w:t>
                    </w:r>
                    <w:r>
                      <w:rPr>
                        <w:i/>
                        <w:sz w:val="18"/>
                        <w:szCs w:val="18"/>
                      </w:rPr>
                      <w:t xml:space="preserve">Aizsardzības, iekšlietu un korupcijas novēršanas </w:t>
                    </w:r>
                    <w:r w:rsidRPr="00127191">
                      <w:rPr>
                        <w:i/>
                        <w:sz w:val="18"/>
                        <w:szCs w:val="18"/>
                      </w:rPr>
                      <w:t>komisijai</w:t>
                    </w:r>
                  </w:p>
                </w:sdtContent>
              </w:sdt>
            </w:sdtContent>
          </w:sdt>
        </w:sdtContent>
      </w:sdt>
    </w:sdtContent>
  </w:sdt>
  <w:p w:rsidR="00D5622D" w:rsidRDefault="00D56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112588529"/>
      <w:docPartObj>
        <w:docPartGallery w:val="Page Numbers (Bottom of Page)"/>
        <w:docPartUnique/>
      </w:docPartObj>
    </w:sdtPr>
    <w:sdtEndPr>
      <w:rPr>
        <w:noProof/>
      </w:rPr>
    </w:sdtEndPr>
    <w:sdtContent>
      <w:sdt>
        <w:sdtPr>
          <w:rPr>
            <w:i/>
            <w:sz w:val="18"/>
            <w:szCs w:val="18"/>
          </w:rPr>
          <w:id w:val="1894077460"/>
          <w:docPartObj>
            <w:docPartGallery w:val="Page Numbers (Bottom of Page)"/>
            <w:docPartUnique/>
          </w:docPartObj>
        </w:sdtPr>
        <w:sdtEndPr/>
        <w:sdtContent>
          <w:p w:rsidR="00127191" w:rsidRPr="00127191" w:rsidRDefault="003C577C" w:rsidP="00127191">
            <w:pPr>
              <w:spacing w:line="276" w:lineRule="auto"/>
              <w:rPr>
                <w:i/>
                <w:sz w:val="18"/>
                <w:szCs w:val="18"/>
              </w:rPr>
            </w:pPr>
            <w:r>
              <w:rPr>
                <w:i/>
                <w:sz w:val="18"/>
                <w:szCs w:val="18"/>
              </w:rPr>
              <w:t>FMPav_</w:t>
            </w:r>
            <w:r w:rsidR="00484526">
              <w:rPr>
                <w:i/>
                <w:sz w:val="18"/>
                <w:szCs w:val="18"/>
              </w:rPr>
              <w:t>2</w:t>
            </w:r>
            <w:r w:rsidR="00345643">
              <w:rPr>
                <w:i/>
                <w:sz w:val="18"/>
                <w:szCs w:val="18"/>
              </w:rPr>
              <w:t>507</w:t>
            </w:r>
            <w:r w:rsidR="00127191" w:rsidRPr="00127191">
              <w:rPr>
                <w:i/>
                <w:sz w:val="18"/>
                <w:szCs w:val="18"/>
              </w:rPr>
              <w:t xml:space="preserve">2016; Atbildes vēstules projekts Latvijas Republika Saeimas </w:t>
            </w:r>
            <w:r>
              <w:rPr>
                <w:i/>
                <w:sz w:val="18"/>
                <w:szCs w:val="18"/>
              </w:rPr>
              <w:t xml:space="preserve">Aizsardzības, iekšlietu un korupcijas novēršanas </w:t>
            </w:r>
            <w:r w:rsidR="00127191" w:rsidRPr="00127191">
              <w:rPr>
                <w:i/>
                <w:sz w:val="18"/>
                <w:szCs w:val="18"/>
              </w:rPr>
              <w:t>komisijai</w:t>
            </w:r>
          </w:p>
        </w:sdtContent>
      </w:sdt>
      <w:p w:rsidR="00127191" w:rsidRPr="00127191" w:rsidRDefault="006A40E2" w:rsidP="00127191">
        <w:pPr>
          <w:spacing w:line="276" w:lineRule="auto"/>
          <w:rPr>
            <w:i/>
            <w:noProof/>
          </w:rPr>
        </w:pPr>
      </w:p>
    </w:sdtContent>
  </w:sdt>
  <w:p w:rsidR="00635CC2" w:rsidRPr="008942B5" w:rsidRDefault="00635CC2">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48" w:rsidRDefault="006B0F48" w:rsidP="00D5622D">
      <w:r>
        <w:separator/>
      </w:r>
    </w:p>
  </w:footnote>
  <w:footnote w:type="continuationSeparator" w:id="0">
    <w:p w:rsidR="006B0F48" w:rsidRDefault="006B0F48" w:rsidP="00D56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451496"/>
      <w:docPartObj>
        <w:docPartGallery w:val="Page Numbers (Top of Page)"/>
        <w:docPartUnique/>
      </w:docPartObj>
    </w:sdtPr>
    <w:sdtEndPr>
      <w:rPr>
        <w:noProof/>
      </w:rPr>
    </w:sdtEndPr>
    <w:sdtContent>
      <w:p w:rsidR="00635CC2" w:rsidRDefault="00A5440A">
        <w:pPr>
          <w:pStyle w:val="Header"/>
          <w:jc w:val="center"/>
        </w:pPr>
        <w:r>
          <w:fldChar w:fldCharType="begin"/>
        </w:r>
        <w:r w:rsidR="00635CC2">
          <w:instrText xml:space="preserve"> PAGE   \* MERGEFORMAT </w:instrText>
        </w:r>
        <w:r>
          <w:fldChar w:fldCharType="separate"/>
        </w:r>
        <w:r w:rsidR="006A40E2">
          <w:rPr>
            <w:noProof/>
          </w:rPr>
          <w:t>4</w:t>
        </w:r>
        <w:r>
          <w:rPr>
            <w:noProof/>
          </w:rPr>
          <w:fldChar w:fldCharType="end"/>
        </w:r>
      </w:p>
    </w:sdtContent>
  </w:sdt>
  <w:p w:rsidR="00635CC2" w:rsidRDefault="00635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90587"/>
    <w:multiLevelType w:val="hybridMultilevel"/>
    <w:tmpl w:val="4132A2AC"/>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13E0378D"/>
    <w:multiLevelType w:val="hybridMultilevel"/>
    <w:tmpl w:val="1756910C"/>
    <w:lvl w:ilvl="0" w:tplc="6394AC00">
      <w:start w:val="1"/>
      <w:numFmt w:val="lowerLetter"/>
      <w:lvlText w:val="%1)"/>
      <w:lvlJc w:val="left"/>
      <w:pPr>
        <w:tabs>
          <w:tab w:val="num" w:pos="1920"/>
        </w:tabs>
        <w:ind w:left="1920" w:hanging="360"/>
      </w:pPr>
      <w:rPr>
        <w:rFonts w:hint="default"/>
      </w:rPr>
    </w:lvl>
    <w:lvl w:ilvl="1" w:tplc="04260019" w:tentative="1">
      <w:start w:val="1"/>
      <w:numFmt w:val="lowerLetter"/>
      <w:lvlText w:val="%2."/>
      <w:lvlJc w:val="left"/>
      <w:pPr>
        <w:tabs>
          <w:tab w:val="num" w:pos="2640"/>
        </w:tabs>
        <w:ind w:left="2640" w:hanging="360"/>
      </w:pPr>
    </w:lvl>
    <w:lvl w:ilvl="2" w:tplc="0426001B" w:tentative="1">
      <w:start w:val="1"/>
      <w:numFmt w:val="lowerRoman"/>
      <w:lvlText w:val="%3."/>
      <w:lvlJc w:val="right"/>
      <w:pPr>
        <w:tabs>
          <w:tab w:val="num" w:pos="3360"/>
        </w:tabs>
        <w:ind w:left="3360" w:hanging="180"/>
      </w:pPr>
    </w:lvl>
    <w:lvl w:ilvl="3" w:tplc="0426000F" w:tentative="1">
      <w:start w:val="1"/>
      <w:numFmt w:val="decimal"/>
      <w:lvlText w:val="%4."/>
      <w:lvlJc w:val="left"/>
      <w:pPr>
        <w:tabs>
          <w:tab w:val="num" w:pos="4080"/>
        </w:tabs>
        <w:ind w:left="4080" w:hanging="360"/>
      </w:pPr>
    </w:lvl>
    <w:lvl w:ilvl="4" w:tplc="04260019" w:tentative="1">
      <w:start w:val="1"/>
      <w:numFmt w:val="lowerLetter"/>
      <w:lvlText w:val="%5."/>
      <w:lvlJc w:val="left"/>
      <w:pPr>
        <w:tabs>
          <w:tab w:val="num" w:pos="4800"/>
        </w:tabs>
        <w:ind w:left="4800" w:hanging="360"/>
      </w:pPr>
    </w:lvl>
    <w:lvl w:ilvl="5" w:tplc="0426001B" w:tentative="1">
      <w:start w:val="1"/>
      <w:numFmt w:val="lowerRoman"/>
      <w:lvlText w:val="%6."/>
      <w:lvlJc w:val="right"/>
      <w:pPr>
        <w:tabs>
          <w:tab w:val="num" w:pos="5520"/>
        </w:tabs>
        <w:ind w:left="5520" w:hanging="180"/>
      </w:pPr>
    </w:lvl>
    <w:lvl w:ilvl="6" w:tplc="0426000F" w:tentative="1">
      <w:start w:val="1"/>
      <w:numFmt w:val="decimal"/>
      <w:lvlText w:val="%7."/>
      <w:lvlJc w:val="left"/>
      <w:pPr>
        <w:tabs>
          <w:tab w:val="num" w:pos="6240"/>
        </w:tabs>
        <w:ind w:left="6240" w:hanging="360"/>
      </w:pPr>
    </w:lvl>
    <w:lvl w:ilvl="7" w:tplc="04260019" w:tentative="1">
      <w:start w:val="1"/>
      <w:numFmt w:val="lowerLetter"/>
      <w:lvlText w:val="%8."/>
      <w:lvlJc w:val="left"/>
      <w:pPr>
        <w:tabs>
          <w:tab w:val="num" w:pos="6960"/>
        </w:tabs>
        <w:ind w:left="6960" w:hanging="360"/>
      </w:pPr>
    </w:lvl>
    <w:lvl w:ilvl="8" w:tplc="0426001B" w:tentative="1">
      <w:start w:val="1"/>
      <w:numFmt w:val="lowerRoman"/>
      <w:lvlText w:val="%9."/>
      <w:lvlJc w:val="right"/>
      <w:pPr>
        <w:tabs>
          <w:tab w:val="num" w:pos="7680"/>
        </w:tabs>
        <w:ind w:left="7680" w:hanging="180"/>
      </w:pPr>
    </w:lvl>
  </w:abstractNum>
  <w:abstractNum w:abstractNumId="2">
    <w:nsid w:val="2B4C4E3B"/>
    <w:multiLevelType w:val="hybridMultilevel"/>
    <w:tmpl w:val="D930B1F8"/>
    <w:lvl w:ilvl="0" w:tplc="53CAC3D2">
      <w:start w:val="3"/>
      <w:numFmt w:val="bullet"/>
      <w:lvlText w:val="-"/>
      <w:lvlJc w:val="left"/>
      <w:pPr>
        <w:tabs>
          <w:tab w:val="num" w:pos="720"/>
        </w:tabs>
        <w:ind w:left="720" w:hanging="360"/>
      </w:pPr>
      <w:rPr>
        <w:rFonts w:ascii="Times New Roman" w:eastAsia="SimSu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423D5DA3"/>
    <w:multiLevelType w:val="hybridMultilevel"/>
    <w:tmpl w:val="4FF49C56"/>
    <w:lvl w:ilvl="0" w:tplc="F8A8DCC6">
      <w:start w:val="2"/>
      <w:numFmt w:val="bullet"/>
      <w:lvlText w:val="-"/>
      <w:lvlJc w:val="left"/>
      <w:pPr>
        <w:tabs>
          <w:tab w:val="num" w:pos="1380"/>
        </w:tabs>
        <w:ind w:left="1380" w:hanging="360"/>
      </w:pPr>
      <w:rPr>
        <w:rFonts w:ascii="Times New Roman" w:eastAsia="SimSun" w:hAnsi="Times New Roman" w:cs="Times New Roman" w:hint="default"/>
      </w:rPr>
    </w:lvl>
    <w:lvl w:ilvl="1" w:tplc="04260003" w:tentative="1">
      <w:start w:val="1"/>
      <w:numFmt w:val="bullet"/>
      <w:lvlText w:val="o"/>
      <w:lvlJc w:val="left"/>
      <w:pPr>
        <w:tabs>
          <w:tab w:val="num" w:pos="2100"/>
        </w:tabs>
        <w:ind w:left="2100" w:hanging="360"/>
      </w:pPr>
      <w:rPr>
        <w:rFonts w:ascii="Courier New" w:hAnsi="Courier New" w:cs="Courier New" w:hint="default"/>
      </w:rPr>
    </w:lvl>
    <w:lvl w:ilvl="2" w:tplc="04260005" w:tentative="1">
      <w:start w:val="1"/>
      <w:numFmt w:val="bullet"/>
      <w:lvlText w:val=""/>
      <w:lvlJc w:val="left"/>
      <w:pPr>
        <w:tabs>
          <w:tab w:val="num" w:pos="2820"/>
        </w:tabs>
        <w:ind w:left="2820" w:hanging="360"/>
      </w:pPr>
      <w:rPr>
        <w:rFonts w:ascii="Wingdings" w:hAnsi="Wingdings" w:hint="default"/>
      </w:rPr>
    </w:lvl>
    <w:lvl w:ilvl="3" w:tplc="04260001" w:tentative="1">
      <w:start w:val="1"/>
      <w:numFmt w:val="bullet"/>
      <w:lvlText w:val=""/>
      <w:lvlJc w:val="left"/>
      <w:pPr>
        <w:tabs>
          <w:tab w:val="num" w:pos="3540"/>
        </w:tabs>
        <w:ind w:left="3540" w:hanging="360"/>
      </w:pPr>
      <w:rPr>
        <w:rFonts w:ascii="Symbol" w:hAnsi="Symbol" w:hint="default"/>
      </w:rPr>
    </w:lvl>
    <w:lvl w:ilvl="4" w:tplc="04260003" w:tentative="1">
      <w:start w:val="1"/>
      <w:numFmt w:val="bullet"/>
      <w:lvlText w:val="o"/>
      <w:lvlJc w:val="left"/>
      <w:pPr>
        <w:tabs>
          <w:tab w:val="num" w:pos="4260"/>
        </w:tabs>
        <w:ind w:left="4260" w:hanging="360"/>
      </w:pPr>
      <w:rPr>
        <w:rFonts w:ascii="Courier New" w:hAnsi="Courier New" w:cs="Courier New" w:hint="default"/>
      </w:rPr>
    </w:lvl>
    <w:lvl w:ilvl="5" w:tplc="04260005" w:tentative="1">
      <w:start w:val="1"/>
      <w:numFmt w:val="bullet"/>
      <w:lvlText w:val=""/>
      <w:lvlJc w:val="left"/>
      <w:pPr>
        <w:tabs>
          <w:tab w:val="num" w:pos="4980"/>
        </w:tabs>
        <w:ind w:left="4980" w:hanging="360"/>
      </w:pPr>
      <w:rPr>
        <w:rFonts w:ascii="Wingdings" w:hAnsi="Wingdings" w:hint="default"/>
      </w:rPr>
    </w:lvl>
    <w:lvl w:ilvl="6" w:tplc="04260001" w:tentative="1">
      <w:start w:val="1"/>
      <w:numFmt w:val="bullet"/>
      <w:lvlText w:val=""/>
      <w:lvlJc w:val="left"/>
      <w:pPr>
        <w:tabs>
          <w:tab w:val="num" w:pos="5700"/>
        </w:tabs>
        <w:ind w:left="5700" w:hanging="360"/>
      </w:pPr>
      <w:rPr>
        <w:rFonts w:ascii="Symbol" w:hAnsi="Symbol" w:hint="default"/>
      </w:rPr>
    </w:lvl>
    <w:lvl w:ilvl="7" w:tplc="04260003" w:tentative="1">
      <w:start w:val="1"/>
      <w:numFmt w:val="bullet"/>
      <w:lvlText w:val="o"/>
      <w:lvlJc w:val="left"/>
      <w:pPr>
        <w:tabs>
          <w:tab w:val="num" w:pos="6420"/>
        </w:tabs>
        <w:ind w:left="6420" w:hanging="360"/>
      </w:pPr>
      <w:rPr>
        <w:rFonts w:ascii="Courier New" w:hAnsi="Courier New" w:cs="Courier New" w:hint="default"/>
      </w:rPr>
    </w:lvl>
    <w:lvl w:ilvl="8" w:tplc="04260005" w:tentative="1">
      <w:start w:val="1"/>
      <w:numFmt w:val="bullet"/>
      <w:lvlText w:val=""/>
      <w:lvlJc w:val="left"/>
      <w:pPr>
        <w:tabs>
          <w:tab w:val="num" w:pos="7140"/>
        </w:tabs>
        <w:ind w:left="7140" w:hanging="360"/>
      </w:pPr>
      <w:rPr>
        <w:rFonts w:ascii="Wingdings" w:hAnsi="Wingdings" w:hint="default"/>
      </w:rPr>
    </w:lvl>
  </w:abstractNum>
  <w:abstractNum w:abstractNumId="4">
    <w:nsid w:val="57577D87"/>
    <w:multiLevelType w:val="hybridMultilevel"/>
    <w:tmpl w:val="2A1A7FCE"/>
    <w:lvl w:ilvl="0" w:tplc="E864D8C2">
      <w:start w:val="1"/>
      <w:numFmt w:val="decimal"/>
      <w:lvlText w:val="%1)"/>
      <w:lvlJc w:val="left"/>
      <w:pPr>
        <w:ind w:left="1740" w:hanging="360"/>
      </w:pPr>
      <w:rPr>
        <w:rFonts w:hint="default"/>
      </w:rPr>
    </w:lvl>
    <w:lvl w:ilvl="1" w:tplc="04260019" w:tentative="1">
      <w:start w:val="1"/>
      <w:numFmt w:val="lowerLetter"/>
      <w:lvlText w:val="%2."/>
      <w:lvlJc w:val="left"/>
      <w:pPr>
        <w:ind w:left="2460" w:hanging="360"/>
      </w:pPr>
    </w:lvl>
    <w:lvl w:ilvl="2" w:tplc="0426001B" w:tentative="1">
      <w:start w:val="1"/>
      <w:numFmt w:val="lowerRoman"/>
      <w:lvlText w:val="%3."/>
      <w:lvlJc w:val="right"/>
      <w:pPr>
        <w:ind w:left="3180" w:hanging="180"/>
      </w:pPr>
    </w:lvl>
    <w:lvl w:ilvl="3" w:tplc="0426000F" w:tentative="1">
      <w:start w:val="1"/>
      <w:numFmt w:val="decimal"/>
      <w:lvlText w:val="%4."/>
      <w:lvlJc w:val="left"/>
      <w:pPr>
        <w:ind w:left="3900" w:hanging="360"/>
      </w:pPr>
    </w:lvl>
    <w:lvl w:ilvl="4" w:tplc="04260019" w:tentative="1">
      <w:start w:val="1"/>
      <w:numFmt w:val="lowerLetter"/>
      <w:lvlText w:val="%5."/>
      <w:lvlJc w:val="left"/>
      <w:pPr>
        <w:ind w:left="4620" w:hanging="360"/>
      </w:pPr>
    </w:lvl>
    <w:lvl w:ilvl="5" w:tplc="0426001B" w:tentative="1">
      <w:start w:val="1"/>
      <w:numFmt w:val="lowerRoman"/>
      <w:lvlText w:val="%6."/>
      <w:lvlJc w:val="right"/>
      <w:pPr>
        <w:ind w:left="5340" w:hanging="180"/>
      </w:pPr>
    </w:lvl>
    <w:lvl w:ilvl="6" w:tplc="0426000F" w:tentative="1">
      <w:start w:val="1"/>
      <w:numFmt w:val="decimal"/>
      <w:lvlText w:val="%7."/>
      <w:lvlJc w:val="left"/>
      <w:pPr>
        <w:ind w:left="6060" w:hanging="360"/>
      </w:pPr>
    </w:lvl>
    <w:lvl w:ilvl="7" w:tplc="04260019" w:tentative="1">
      <w:start w:val="1"/>
      <w:numFmt w:val="lowerLetter"/>
      <w:lvlText w:val="%8."/>
      <w:lvlJc w:val="left"/>
      <w:pPr>
        <w:ind w:left="6780" w:hanging="360"/>
      </w:pPr>
    </w:lvl>
    <w:lvl w:ilvl="8" w:tplc="0426001B" w:tentative="1">
      <w:start w:val="1"/>
      <w:numFmt w:val="lowerRoman"/>
      <w:lvlText w:val="%9."/>
      <w:lvlJc w:val="right"/>
      <w:pPr>
        <w:ind w:left="75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24"/>
    <w:rsid w:val="000022BB"/>
    <w:rsid w:val="00004079"/>
    <w:rsid w:val="00004241"/>
    <w:rsid w:val="000043C0"/>
    <w:rsid w:val="000152C3"/>
    <w:rsid w:val="00016229"/>
    <w:rsid w:val="00024A48"/>
    <w:rsid w:val="0004259F"/>
    <w:rsid w:val="000459B7"/>
    <w:rsid w:val="000470C5"/>
    <w:rsid w:val="000540C3"/>
    <w:rsid w:val="000731C8"/>
    <w:rsid w:val="00076850"/>
    <w:rsid w:val="000821DA"/>
    <w:rsid w:val="00091B9A"/>
    <w:rsid w:val="000B7FE4"/>
    <w:rsid w:val="000C4FA4"/>
    <w:rsid w:val="000C6232"/>
    <w:rsid w:val="000E2C4D"/>
    <w:rsid w:val="000E7B04"/>
    <w:rsid w:val="000F2526"/>
    <w:rsid w:val="000F4E02"/>
    <w:rsid w:val="001065A3"/>
    <w:rsid w:val="001100CD"/>
    <w:rsid w:val="00110E05"/>
    <w:rsid w:val="001208EB"/>
    <w:rsid w:val="0012689E"/>
    <w:rsid w:val="00127191"/>
    <w:rsid w:val="00131DE1"/>
    <w:rsid w:val="00142F0D"/>
    <w:rsid w:val="001478BC"/>
    <w:rsid w:val="00154494"/>
    <w:rsid w:val="00161AC5"/>
    <w:rsid w:val="0016244E"/>
    <w:rsid w:val="00172AA8"/>
    <w:rsid w:val="00176344"/>
    <w:rsid w:val="00177028"/>
    <w:rsid w:val="0018155B"/>
    <w:rsid w:val="0019381C"/>
    <w:rsid w:val="00194F28"/>
    <w:rsid w:val="00195AF3"/>
    <w:rsid w:val="001A2FDA"/>
    <w:rsid w:val="001A747E"/>
    <w:rsid w:val="001B0B5C"/>
    <w:rsid w:val="001B78BF"/>
    <w:rsid w:val="001C2904"/>
    <w:rsid w:val="001D4F77"/>
    <w:rsid w:val="001D7CF9"/>
    <w:rsid w:val="001F1527"/>
    <w:rsid w:val="001F7BAD"/>
    <w:rsid w:val="00203ACE"/>
    <w:rsid w:val="00204F5E"/>
    <w:rsid w:val="00220521"/>
    <w:rsid w:val="00226994"/>
    <w:rsid w:val="00236F50"/>
    <w:rsid w:val="00240D41"/>
    <w:rsid w:val="002460F8"/>
    <w:rsid w:val="00250D76"/>
    <w:rsid w:val="00251F5B"/>
    <w:rsid w:val="00260FFF"/>
    <w:rsid w:val="00283B1A"/>
    <w:rsid w:val="00296242"/>
    <w:rsid w:val="002A62D2"/>
    <w:rsid w:val="002A7C50"/>
    <w:rsid w:val="002B3AB1"/>
    <w:rsid w:val="002B7CFC"/>
    <w:rsid w:val="002C408C"/>
    <w:rsid w:val="002E57BE"/>
    <w:rsid w:val="002E5EE3"/>
    <w:rsid w:val="002F4B6E"/>
    <w:rsid w:val="002F5CCF"/>
    <w:rsid w:val="003220A6"/>
    <w:rsid w:val="0032782F"/>
    <w:rsid w:val="00334DAA"/>
    <w:rsid w:val="00341B81"/>
    <w:rsid w:val="00345643"/>
    <w:rsid w:val="00347274"/>
    <w:rsid w:val="0037183E"/>
    <w:rsid w:val="00373604"/>
    <w:rsid w:val="00373D2D"/>
    <w:rsid w:val="003809E9"/>
    <w:rsid w:val="003B29E6"/>
    <w:rsid w:val="003B423F"/>
    <w:rsid w:val="003C577C"/>
    <w:rsid w:val="003C7849"/>
    <w:rsid w:val="003D31F5"/>
    <w:rsid w:val="003E2462"/>
    <w:rsid w:val="003F1F40"/>
    <w:rsid w:val="003F69D6"/>
    <w:rsid w:val="00402AAB"/>
    <w:rsid w:val="00410A6B"/>
    <w:rsid w:val="004119B0"/>
    <w:rsid w:val="00414616"/>
    <w:rsid w:val="00432DF2"/>
    <w:rsid w:val="00433892"/>
    <w:rsid w:val="00433A71"/>
    <w:rsid w:val="00441745"/>
    <w:rsid w:val="00450757"/>
    <w:rsid w:val="0045644B"/>
    <w:rsid w:val="004579A2"/>
    <w:rsid w:val="00460870"/>
    <w:rsid w:val="0046328E"/>
    <w:rsid w:val="00465402"/>
    <w:rsid w:val="00465921"/>
    <w:rsid w:val="004670CA"/>
    <w:rsid w:val="004705FD"/>
    <w:rsid w:val="00470648"/>
    <w:rsid w:val="0047607A"/>
    <w:rsid w:val="00484526"/>
    <w:rsid w:val="0048673C"/>
    <w:rsid w:val="0048709F"/>
    <w:rsid w:val="00487E54"/>
    <w:rsid w:val="00492690"/>
    <w:rsid w:val="004B455E"/>
    <w:rsid w:val="004B6779"/>
    <w:rsid w:val="004B7409"/>
    <w:rsid w:val="004C3E6C"/>
    <w:rsid w:val="004E398A"/>
    <w:rsid w:val="004E676C"/>
    <w:rsid w:val="004E700E"/>
    <w:rsid w:val="004F76A4"/>
    <w:rsid w:val="00500DE9"/>
    <w:rsid w:val="0050193A"/>
    <w:rsid w:val="00512AAD"/>
    <w:rsid w:val="00530909"/>
    <w:rsid w:val="00534129"/>
    <w:rsid w:val="00544A25"/>
    <w:rsid w:val="0055440C"/>
    <w:rsid w:val="00576AD1"/>
    <w:rsid w:val="00583DB4"/>
    <w:rsid w:val="00594091"/>
    <w:rsid w:val="005A111A"/>
    <w:rsid w:val="005A327E"/>
    <w:rsid w:val="005B4025"/>
    <w:rsid w:val="005C1D7C"/>
    <w:rsid w:val="005E4DA5"/>
    <w:rsid w:val="005E606E"/>
    <w:rsid w:val="005E7B97"/>
    <w:rsid w:val="005F784A"/>
    <w:rsid w:val="0060046B"/>
    <w:rsid w:val="00610B53"/>
    <w:rsid w:val="00616939"/>
    <w:rsid w:val="00624FDA"/>
    <w:rsid w:val="00633A0C"/>
    <w:rsid w:val="00635CC2"/>
    <w:rsid w:val="00636B27"/>
    <w:rsid w:val="0064029F"/>
    <w:rsid w:val="0064077E"/>
    <w:rsid w:val="0064511F"/>
    <w:rsid w:val="006451D8"/>
    <w:rsid w:val="0064534A"/>
    <w:rsid w:val="0065633D"/>
    <w:rsid w:val="0067011D"/>
    <w:rsid w:val="006754E8"/>
    <w:rsid w:val="00675ED4"/>
    <w:rsid w:val="00676379"/>
    <w:rsid w:val="00683A69"/>
    <w:rsid w:val="00685605"/>
    <w:rsid w:val="00694BF4"/>
    <w:rsid w:val="00694F47"/>
    <w:rsid w:val="006A2392"/>
    <w:rsid w:val="006A40E2"/>
    <w:rsid w:val="006A5D1D"/>
    <w:rsid w:val="006B0F48"/>
    <w:rsid w:val="006D0898"/>
    <w:rsid w:val="006E1625"/>
    <w:rsid w:val="006E314F"/>
    <w:rsid w:val="006E5902"/>
    <w:rsid w:val="006F1857"/>
    <w:rsid w:val="006F697D"/>
    <w:rsid w:val="00702397"/>
    <w:rsid w:val="007030E1"/>
    <w:rsid w:val="00704139"/>
    <w:rsid w:val="00710821"/>
    <w:rsid w:val="00722349"/>
    <w:rsid w:val="0072569A"/>
    <w:rsid w:val="0073164F"/>
    <w:rsid w:val="00731A15"/>
    <w:rsid w:val="00734675"/>
    <w:rsid w:val="007459CF"/>
    <w:rsid w:val="00761AAD"/>
    <w:rsid w:val="00761F2C"/>
    <w:rsid w:val="007635D6"/>
    <w:rsid w:val="007839AB"/>
    <w:rsid w:val="00785CE1"/>
    <w:rsid w:val="00787035"/>
    <w:rsid w:val="007B0A9F"/>
    <w:rsid w:val="007B244C"/>
    <w:rsid w:val="007C1F1F"/>
    <w:rsid w:val="007C73F2"/>
    <w:rsid w:val="007D45CC"/>
    <w:rsid w:val="007E072E"/>
    <w:rsid w:val="007E4EDF"/>
    <w:rsid w:val="007F0A92"/>
    <w:rsid w:val="00800A06"/>
    <w:rsid w:val="0080595C"/>
    <w:rsid w:val="0081032B"/>
    <w:rsid w:val="0081764E"/>
    <w:rsid w:val="00821438"/>
    <w:rsid w:val="008219FA"/>
    <w:rsid w:val="00830920"/>
    <w:rsid w:val="00831745"/>
    <w:rsid w:val="008345ED"/>
    <w:rsid w:val="00834917"/>
    <w:rsid w:val="0083677A"/>
    <w:rsid w:val="00841D76"/>
    <w:rsid w:val="00842C76"/>
    <w:rsid w:val="00845068"/>
    <w:rsid w:val="008465CB"/>
    <w:rsid w:val="0086207D"/>
    <w:rsid w:val="00870BBF"/>
    <w:rsid w:val="00881679"/>
    <w:rsid w:val="0088174A"/>
    <w:rsid w:val="00883828"/>
    <w:rsid w:val="00885DBD"/>
    <w:rsid w:val="008863A9"/>
    <w:rsid w:val="0089130D"/>
    <w:rsid w:val="008942B5"/>
    <w:rsid w:val="0089760B"/>
    <w:rsid w:val="008B52A8"/>
    <w:rsid w:val="008C15DE"/>
    <w:rsid w:val="008C3593"/>
    <w:rsid w:val="008D0E36"/>
    <w:rsid w:val="008D2043"/>
    <w:rsid w:val="008D6BCD"/>
    <w:rsid w:val="008F26AA"/>
    <w:rsid w:val="008F4D35"/>
    <w:rsid w:val="008F4D7A"/>
    <w:rsid w:val="009051DA"/>
    <w:rsid w:val="0092642C"/>
    <w:rsid w:val="00932430"/>
    <w:rsid w:val="00952DA3"/>
    <w:rsid w:val="0097614F"/>
    <w:rsid w:val="0097667E"/>
    <w:rsid w:val="009828FC"/>
    <w:rsid w:val="009B2A04"/>
    <w:rsid w:val="009C303E"/>
    <w:rsid w:val="009E13B5"/>
    <w:rsid w:val="009E27A8"/>
    <w:rsid w:val="009F46F9"/>
    <w:rsid w:val="00A005EE"/>
    <w:rsid w:val="00A00E8D"/>
    <w:rsid w:val="00A02FB0"/>
    <w:rsid w:val="00A115F6"/>
    <w:rsid w:val="00A20048"/>
    <w:rsid w:val="00A22C39"/>
    <w:rsid w:val="00A23751"/>
    <w:rsid w:val="00A246F7"/>
    <w:rsid w:val="00A31320"/>
    <w:rsid w:val="00A344C0"/>
    <w:rsid w:val="00A4326F"/>
    <w:rsid w:val="00A5440A"/>
    <w:rsid w:val="00A623AA"/>
    <w:rsid w:val="00A745EA"/>
    <w:rsid w:val="00A91762"/>
    <w:rsid w:val="00A9262D"/>
    <w:rsid w:val="00A96A7A"/>
    <w:rsid w:val="00AA0141"/>
    <w:rsid w:val="00AB68FD"/>
    <w:rsid w:val="00AC6509"/>
    <w:rsid w:val="00AD29C5"/>
    <w:rsid w:val="00AE6C91"/>
    <w:rsid w:val="00AF2449"/>
    <w:rsid w:val="00AF422F"/>
    <w:rsid w:val="00AF4D96"/>
    <w:rsid w:val="00B1151C"/>
    <w:rsid w:val="00B16018"/>
    <w:rsid w:val="00B17D94"/>
    <w:rsid w:val="00B37215"/>
    <w:rsid w:val="00B44AF5"/>
    <w:rsid w:val="00B46508"/>
    <w:rsid w:val="00B51901"/>
    <w:rsid w:val="00B52631"/>
    <w:rsid w:val="00B574B8"/>
    <w:rsid w:val="00B62652"/>
    <w:rsid w:val="00B654FF"/>
    <w:rsid w:val="00B805E3"/>
    <w:rsid w:val="00B86F9F"/>
    <w:rsid w:val="00B92A8C"/>
    <w:rsid w:val="00B95BD5"/>
    <w:rsid w:val="00B960CC"/>
    <w:rsid w:val="00BA0837"/>
    <w:rsid w:val="00BA323E"/>
    <w:rsid w:val="00BA4F44"/>
    <w:rsid w:val="00BA4F73"/>
    <w:rsid w:val="00BA7527"/>
    <w:rsid w:val="00BB3A43"/>
    <w:rsid w:val="00BB739A"/>
    <w:rsid w:val="00BC08EC"/>
    <w:rsid w:val="00BC0DF9"/>
    <w:rsid w:val="00BC2282"/>
    <w:rsid w:val="00BC4E6D"/>
    <w:rsid w:val="00BE20BC"/>
    <w:rsid w:val="00C039B6"/>
    <w:rsid w:val="00C0548E"/>
    <w:rsid w:val="00C07D9D"/>
    <w:rsid w:val="00C13485"/>
    <w:rsid w:val="00C164B4"/>
    <w:rsid w:val="00C16A47"/>
    <w:rsid w:val="00C17504"/>
    <w:rsid w:val="00C20E0A"/>
    <w:rsid w:val="00C2403A"/>
    <w:rsid w:val="00C27CD2"/>
    <w:rsid w:val="00C400F7"/>
    <w:rsid w:val="00C56B04"/>
    <w:rsid w:val="00C60AC7"/>
    <w:rsid w:val="00C6209F"/>
    <w:rsid w:val="00C656D9"/>
    <w:rsid w:val="00C773A1"/>
    <w:rsid w:val="00C77771"/>
    <w:rsid w:val="00C8372E"/>
    <w:rsid w:val="00C86B5B"/>
    <w:rsid w:val="00C90F8A"/>
    <w:rsid w:val="00C933D1"/>
    <w:rsid w:val="00C939FC"/>
    <w:rsid w:val="00C94AB5"/>
    <w:rsid w:val="00CA2CAC"/>
    <w:rsid w:val="00CA4BC0"/>
    <w:rsid w:val="00CA66A7"/>
    <w:rsid w:val="00CB18DF"/>
    <w:rsid w:val="00CC36BE"/>
    <w:rsid w:val="00CC37EF"/>
    <w:rsid w:val="00CC55FE"/>
    <w:rsid w:val="00CC6F17"/>
    <w:rsid w:val="00CD2961"/>
    <w:rsid w:val="00CD5AEF"/>
    <w:rsid w:val="00CD5C92"/>
    <w:rsid w:val="00CE3992"/>
    <w:rsid w:val="00CE5134"/>
    <w:rsid w:val="00CF6CAC"/>
    <w:rsid w:val="00D12424"/>
    <w:rsid w:val="00D14006"/>
    <w:rsid w:val="00D214D8"/>
    <w:rsid w:val="00D21BDF"/>
    <w:rsid w:val="00D278AD"/>
    <w:rsid w:val="00D33457"/>
    <w:rsid w:val="00D34406"/>
    <w:rsid w:val="00D37055"/>
    <w:rsid w:val="00D41977"/>
    <w:rsid w:val="00D42716"/>
    <w:rsid w:val="00D465AC"/>
    <w:rsid w:val="00D550DA"/>
    <w:rsid w:val="00D5622D"/>
    <w:rsid w:val="00D637C0"/>
    <w:rsid w:val="00D71AC4"/>
    <w:rsid w:val="00D778A5"/>
    <w:rsid w:val="00D90003"/>
    <w:rsid w:val="00D920CE"/>
    <w:rsid w:val="00DA0539"/>
    <w:rsid w:val="00DA18FB"/>
    <w:rsid w:val="00DB6B2D"/>
    <w:rsid w:val="00DC6A82"/>
    <w:rsid w:val="00DE183F"/>
    <w:rsid w:val="00DE3BD1"/>
    <w:rsid w:val="00E00A6D"/>
    <w:rsid w:val="00E03BB8"/>
    <w:rsid w:val="00E13FB6"/>
    <w:rsid w:val="00E14B43"/>
    <w:rsid w:val="00E167FB"/>
    <w:rsid w:val="00E23997"/>
    <w:rsid w:val="00E25B14"/>
    <w:rsid w:val="00E2756B"/>
    <w:rsid w:val="00E30F30"/>
    <w:rsid w:val="00E31D56"/>
    <w:rsid w:val="00E324AF"/>
    <w:rsid w:val="00E330F4"/>
    <w:rsid w:val="00E4307E"/>
    <w:rsid w:val="00E45F7B"/>
    <w:rsid w:val="00E65DD7"/>
    <w:rsid w:val="00E66952"/>
    <w:rsid w:val="00E71A73"/>
    <w:rsid w:val="00E86B8E"/>
    <w:rsid w:val="00E92B6B"/>
    <w:rsid w:val="00E97EC7"/>
    <w:rsid w:val="00EB5310"/>
    <w:rsid w:val="00EB675D"/>
    <w:rsid w:val="00EC0080"/>
    <w:rsid w:val="00EC5033"/>
    <w:rsid w:val="00ED560A"/>
    <w:rsid w:val="00ED751F"/>
    <w:rsid w:val="00EE29FA"/>
    <w:rsid w:val="00EE6599"/>
    <w:rsid w:val="00EF6A8E"/>
    <w:rsid w:val="00EF7BDE"/>
    <w:rsid w:val="00EF7FED"/>
    <w:rsid w:val="00F068C3"/>
    <w:rsid w:val="00F10C7D"/>
    <w:rsid w:val="00F1743B"/>
    <w:rsid w:val="00F2576C"/>
    <w:rsid w:val="00F26BE9"/>
    <w:rsid w:val="00F368F6"/>
    <w:rsid w:val="00F413E0"/>
    <w:rsid w:val="00F41EA5"/>
    <w:rsid w:val="00F44650"/>
    <w:rsid w:val="00F51C05"/>
    <w:rsid w:val="00F56111"/>
    <w:rsid w:val="00F6437D"/>
    <w:rsid w:val="00F71BCB"/>
    <w:rsid w:val="00F953FB"/>
    <w:rsid w:val="00F95C72"/>
    <w:rsid w:val="00FA651B"/>
    <w:rsid w:val="00FC186A"/>
    <w:rsid w:val="00FD33B6"/>
    <w:rsid w:val="00FD4907"/>
    <w:rsid w:val="00FD514E"/>
    <w:rsid w:val="00FD554F"/>
    <w:rsid w:val="00FF1DBA"/>
    <w:rsid w:val="00FF6A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2D6290-AC15-4DE7-A5C9-7F43616C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22D"/>
    <w:pPr>
      <w:tabs>
        <w:tab w:val="center" w:pos="4153"/>
        <w:tab w:val="right" w:pos="8306"/>
      </w:tabs>
    </w:pPr>
  </w:style>
  <w:style w:type="character" w:customStyle="1" w:styleId="HeaderChar">
    <w:name w:val="Header Char"/>
    <w:basedOn w:val="DefaultParagraphFont"/>
    <w:link w:val="Header"/>
    <w:uiPriority w:val="99"/>
    <w:rsid w:val="00D5622D"/>
  </w:style>
  <w:style w:type="paragraph" w:styleId="Footer">
    <w:name w:val="footer"/>
    <w:basedOn w:val="Normal"/>
    <w:link w:val="FooterChar"/>
    <w:uiPriority w:val="99"/>
    <w:unhideWhenUsed/>
    <w:rsid w:val="00D5622D"/>
    <w:pPr>
      <w:tabs>
        <w:tab w:val="center" w:pos="4153"/>
        <w:tab w:val="right" w:pos="8306"/>
      </w:tabs>
    </w:pPr>
  </w:style>
  <w:style w:type="character" w:customStyle="1" w:styleId="FooterChar">
    <w:name w:val="Footer Char"/>
    <w:basedOn w:val="DefaultParagraphFont"/>
    <w:link w:val="Footer"/>
    <w:uiPriority w:val="99"/>
    <w:rsid w:val="00D5622D"/>
  </w:style>
  <w:style w:type="paragraph" w:styleId="BalloonText">
    <w:name w:val="Balloon Text"/>
    <w:basedOn w:val="Normal"/>
    <w:link w:val="BalloonTextChar"/>
    <w:uiPriority w:val="99"/>
    <w:semiHidden/>
    <w:unhideWhenUsed/>
    <w:rsid w:val="001A2FDA"/>
    <w:rPr>
      <w:rFonts w:ascii="Tahoma" w:hAnsi="Tahoma" w:cs="Tahoma"/>
      <w:sz w:val="16"/>
      <w:szCs w:val="16"/>
    </w:rPr>
  </w:style>
  <w:style w:type="character" w:customStyle="1" w:styleId="BalloonTextChar">
    <w:name w:val="Balloon Text Char"/>
    <w:basedOn w:val="DefaultParagraphFont"/>
    <w:link w:val="BalloonText"/>
    <w:uiPriority w:val="99"/>
    <w:semiHidden/>
    <w:rsid w:val="001A2FDA"/>
    <w:rPr>
      <w:rFonts w:ascii="Tahoma" w:hAnsi="Tahoma" w:cs="Tahoma"/>
      <w:sz w:val="16"/>
      <w:szCs w:val="16"/>
    </w:rPr>
  </w:style>
  <w:style w:type="character" w:styleId="CommentReference">
    <w:name w:val="annotation reference"/>
    <w:basedOn w:val="DefaultParagraphFont"/>
    <w:uiPriority w:val="99"/>
    <w:semiHidden/>
    <w:unhideWhenUsed/>
    <w:rsid w:val="00683A69"/>
    <w:rPr>
      <w:sz w:val="16"/>
      <w:szCs w:val="16"/>
    </w:rPr>
  </w:style>
  <w:style w:type="paragraph" w:styleId="CommentText">
    <w:name w:val="annotation text"/>
    <w:basedOn w:val="Normal"/>
    <w:link w:val="CommentTextChar"/>
    <w:uiPriority w:val="99"/>
    <w:semiHidden/>
    <w:unhideWhenUsed/>
    <w:rsid w:val="00683A69"/>
    <w:rPr>
      <w:sz w:val="20"/>
      <w:szCs w:val="20"/>
    </w:rPr>
  </w:style>
  <w:style w:type="character" w:customStyle="1" w:styleId="CommentTextChar">
    <w:name w:val="Comment Text Char"/>
    <w:basedOn w:val="DefaultParagraphFont"/>
    <w:link w:val="CommentText"/>
    <w:uiPriority w:val="99"/>
    <w:semiHidden/>
    <w:rsid w:val="00683A69"/>
    <w:rPr>
      <w:sz w:val="20"/>
      <w:szCs w:val="20"/>
    </w:rPr>
  </w:style>
  <w:style w:type="paragraph" w:styleId="CommentSubject">
    <w:name w:val="annotation subject"/>
    <w:basedOn w:val="CommentText"/>
    <w:next w:val="CommentText"/>
    <w:link w:val="CommentSubjectChar"/>
    <w:uiPriority w:val="99"/>
    <w:semiHidden/>
    <w:unhideWhenUsed/>
    <w:rsid w:val="00683A69"/>
    <w:rPr>
      <w:b/>
      <w:bCs/>
    </w:rPr>
  </w:style>
  <w:style w:type="character" w:customStyle="1" w:styleId="CommentSubjectChar">
    <w:name w:val="Comment Subject Char"/>
    <w:basedOn w:val="CommentTextChar"/>
    <w:link w:val="CommentSubject"/>
    <w:uiPriority w:val="99"/>
    <w:semiHidden/>
    <w:rsid w:val="00683A69"/>
    <w:rPr>
      <w:b/>
      <w:bCs/>
      <w:sz w:val="20"/>
      <w:szCs w:val="20"/>
    </w:rPr>
  </w:style>
  <w:style w:type="paragraph" w:customStyle="1" w:styleId="Char">
    <w:name w:val="Char"/>
    <w:basedOn w:val="Normal"/>
    <w:rsid w:val="00AA0141"/>
    <w:pPr>
      <w:spacing w:before="40"/>
    </w:pPr>
    <w:rPr>
      <w:rFonts w:eastAsia="Times New Roman" w:cs="Times New Roman"/>
      <w:szCs w:val="24"/>
      <w:lang w:val="pl-PL" w:eastAsia="pl-PL"/>
    </w:rPr>
  </w:style>
  <w:style w:type="paragraph" w:styleId="ListParagraph">
    <w:name w:val="List Paragraph"/>
    <w:basedOn w:val="Normal"/>
    <w:uiPriority w:val="34"/>
    <w:qFormat/>
    <w:rsid w:val="007635D6"/>
    <w:pPr>
      <w:widowControl w:val="0"/>
      <w:spacing w:after="200" w:line="276" w:lineRule="auto"/>
      <w:ind w:left="720"/>
      <w:contextualSpacing/>
    </w:pPr>
    <w:rPr>
      <w:rFonts w:ascii="Calibri" w:eastAsia="Calibri" w:hAnsi="Calibri" w:cs="Times New Roman"/>
      <w:sz w:val="22"/>
    </w:rPr>
  </w:style>
  <w:style w:type="paragraph" w:customStyle="1" w:styleId="Body">
    <w:name w:val="Body"/>
    <w:rsid w:val="0073164F"/>
    <w:pPr>
      <w:pBdr>
        <w:top w:val="nil"/>
        <w:left w:val="nil"/>
        <w:bottom w:val="nil"/>
        <w:right w:val="nil"/>
        <w:between w:val="nil"/>
        <w:bar w:val="nil"/>
      </w:pBdr>
    </w:pPr>
    <w:rPr>
      <w:rFonts w:eastAsia="Arial Unicode MS" w:cs="Arial Unicode MS"/>
      <w:color w:val="000000"/>
      <w:szCs w:val="24"/>
      <w:u w:color="000000"/>
      <w:bdr w:val="nil"/>
      <w:lang w:val="de-DE" w:eastAsia="lv-LV"/>
    </w:rPr>
  </w:style>
  <w:style w:type="paragraph" w:customStyle="1" w:styleId="Default">
    <w:name w:val="Default"/>
    <w:rsid w:val="004119B0"/>
    <w:pPr>
      <w:autoSpaceDE w:val="0"/>
      <w:autoSpaceDN w:val="0"/>
      <w:adjustRightInd w:val="0"/>
    </w:pPr>
    <w:rPr>
      <w:rFonts w:cs="Times New Roman"/>
      <w:color w:val="000000"/>
      <w:szCs w:val="24"/>
    </w:rPr>
  </w:style>
  <w:style w:type="character" w:styleId="Hyperlink">
    <w:name w:val="Hyperlink"/>
    <w:basedOn w:val="DefaultParagraphFont"/>
    <w:uiPriority w:val="99"/>
    <w:semiHidden/>
    <w:unhideWhenUsed/>
    <w:rsid w:val="00465402"/>
    <w:rPr>
      <w:color w:val="82140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62539">
      <w:bodyDiv w:val="1"/>
      <w:marLeft w:val="0"/>
      <w:marRight w:val="0"/>
      <w:marTop w:val="0"/>
      <w:marBottom w:val="0"/>
      <w:divBdr>
        <w:top w:val="none" w:sz="0" w:space="0" w:color="auto"/>
        <w:left w:val="none" w:sz="0" w:space="0" w:color="auto"/>
        <w:bottom w:val="none" w:sz="0" w:space="0" w:color="auto"/>
        <w:right w:val="none" w:sz="0" w:space="0" w:color="auto"/>
      </w:divBdr>
    </w:div>
    <w:div w:id="1618835716">
      <w:bodyDiv w:val="1"/>
      <w:marLeft w:val="0"/>
      <w:marRight w:val="0"/>
      <w:marTop w:val="0"/>
      <w:marBottom w:val="0"/>
      <w:divBdr>
        <w:top w:val="none" w:sz="0" w:space="0" w:color="auto"/>
        <w:left w:val="none" w:sz="0" w:space="0" w:color="auto"/>
        <w:bottom w:val="none" w:sz="0" w:space="0" w:color="auto"/>
        <w:right w:val="none" w:sz="0" w:space="0" w:color="auto"/>
      </w:divBdr>
    </w:div>
    <w:div w:id="1774394139">
      <w:bodyDiv w:val="1"/>
      <w:marLeft w:val="0"/>
      <w:marRight w:val="0"/>
      <w:marTop w:val="0"/>
      <w:marBottom w:val="0"/>
      <w:divBdr>
        <w:top w:val="none" w:sz="0" w:space="0" w:color="auto"/>
        <w:left w:val="none" w:sz="0" w:space="0" w:color="auto"/>
        <w:bottom w:val="none" w:sz="0" w:space="0" w:color="auto"/>
        <w:right w:val="none" w:sz="0" w:space="0" w:color="auto"/>
      </w:divBdr>
    </w:div>
    <w:div w:id="2016612310">
      <w:bodyDiv w:val="1"/>
      <w:marLeft w:val="0"/>
      <w:marRight w:val="0"/>
      <w:marTop w:val="0"/>
      <w:marBottom w:val="0"/>
      <w:divBdr>
        <w:top w:val="none" w:sz="0" w:space="0" w:color="auto"/>
        <w:left w:val="none" w:sz="0" w:space="0" w:color="auto"/>
        <w:bottom w:val="none" w:sz="0" w:space="0" w:color="auto"/>
        <w:right w:val="none" w:sz="0" w:space="0" w:color="auto"/>
      </w:divBdr>
    </w:div>
    <w:div w:id="2031295941">
      <w:bodyDiv w:val="1"/>
      <w:marLeft w:val="0"/>
      <w:marRight w:val="0"/>
      <w:marTop w:val="0"/>
      <w:marBottom w:val="0"/>
      <w:divBdr>
        <w:top w:val="none" w:sz="0" w:space="0" w:color="auto"/>
        <w:left w:val="none" w:sz="0" w:space="0" w:color="auto"/>
        <w:bottom w:val="none" w:sz="0" w:space="0" w:color="auto"/>
        <w:right w:val="none" w:sz="0" w:space="0" w:color="auto"/>
      </w:divBdr>
    </w:div>
    <w:div w:id="211747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04AD2-B94E-496D-9477-BAC5E216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6715</Words>
  <Characters>3828</Characters>
  <Application>Microsoft Office Word</Application>
  <DocSecurity>0</DocSecurity>
  <Lines>31</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atbildes projketu Saeimas Aizsardzības, iekšlietu un korupcijas novēršanas komisijai</vt:lpstr>
      <vt:lpstr/>
    </vt:vector>
  </TitlesOfParts>
  <Company>Finanšu ministrija</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atbildes projektu Saeimas Aizsardzības, iekšlietu un korupcijas novēršanas komisijai</dc:title>
  <dc:subject>vēstules projekts</dc:subject>
  <dc:creator>ilona.rautmane@fm.gov.lv</dc:creator>
  <cp:keywords/>
  <dc:description>Vita.Gara@fm.gov.lv 67095436</dc:description>
  <cp:lastModifiedBy>Vita Garā</cp:lastModifiedBy>
  <cp:revision>5</cp:revision>
  <cp:lastPrinted>2016-07-20T12:41:00Z</cp:lastPrinted>
  <dcterms:created xsi:type="dcterms:W3CDTF">2016-07-22T08:16:00Z</dcterms:created>
  <dcterms:modified xsi:type="dcterms:W3CDTF">2016-07-26T10:41:00Z</dcterms:modified>
</cp:coreProperties>
</file>