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86" w:rsidRPr="00022472" w:rsidRDefault="008E5886" w:rsidP="00DB5495">
      <w:pPr>
        <w:tabs>
          <w:tab w:val="left" w:pos="6663"/>
        </w:tabs>
        <w:rPr>
          <w:sz w:val="28"/>
          <w:szCs w:val="28"/>
        </w:rPr>
      </w:pPr>
    </w:p>
    <w:p w:rsidR="00D31395" w:rsidRPr="00022472" w:rsidRDefault="00D31395" w:rsidP="00DB5495">
      <w:pPr>
        <w:tabs>
          <w:tab w:val="left" w:pos="6663"/>
        </w:tabs>
        <w:rPr>
          <w:sz w:val="28"/>
          <w:szCs w:val="28"/>
        </w:rPr>
      </w:pPr>
    </w:p>
    <w:p w:rsidR="008E5886" w:rsidRPr="00022472" w:rsidRDefault="00470C84" w:rsidP="00DB5495">
      <w:pPr>
        <w:tabs>
          <w:tab w:val="left" w:pos="6663"/>
        </w:tabs>
        <w:rPr>
          <w:sz w:val="28"/>
          <w:szCs w:val="28"/>
        </w:rPr>
      </w:pPr>
      <w:r w:rsidRPr="00022472">
        <w:rPr>
          <w:sz w:val="28"/>
          <w:szCs w:val="28"/>
        </w:rPr>
        <w:t>2016</w:t>
      </w:r>
      <w:r w:rsidR="007B6F70" w:rsidRPr="00022472">
        <w:rPr>
          <w:sz w:val="28"/>
          <w:szCs w:val="28"/>
        </w:rPr>
        <w:t>. gad</w:t>
      </w:r>
      <w:r w:rsidR="008E5886" w:rsidRPr="00022472">
        <w:rPr>
          <w:sz w:val="28"/>
          <w:szCs w:val="28"/>
        </w:rPr>
        <w:t>a</w:t>
      </w:r>
      <w:r w:rsidR="00CD2BF3" w:rsidRPr="00022472">
        <w:rPr>
          <w:sz w:val="28"/>
          <w:szCs w:val="28"/>
        </w:rPr>
        <w:t>      </w:t>
      </w:r>
      <w:r w:rsidR="008E5886" w:rsidRPr="00022472">
        <w:rPr>
          <w:sz w:val="28"/>
          <w:szCs w:val="28"/>
        </w:rPr>
        <w:tab/>
        <w:t>Rīkojums Nr.</w:t>
      </w:r>
    </w:p>
    <w:p w:rsidR="008E5886" w:rsidRPr="00022472" w:rsidRDefault="008E5886" w:rsidP="00DB5495">
      <w:pPr>
        <w:tabs>
          <w:tab w:val="left" w:pos="6663"/>
        </w:tabs>
        <w:rPr>
          <w:sz w:val="28"/>
          <w:szCs w:val="28"/>
        </w:rPr>
      </w:pPr>
      <w:r w:rsidRPr="00022472">
        <w:rPr>
          <w:sz w:val="28"/>
          <w:szCs w:val="28"/>
        </w:rPr>
        <w:t>Rīgā</w:t>
      </w:r>
      <w:r w:rsidRPr="00022472">
        <w:rPr>
          <w:sz w:val="28"/>
          <w:szCs w:val="28"/>
        </w:rPr>
        <w:tab/>
        <w:t xml:space="preserve">(prot. </w:t>
      </w:r>
      <w:r w:rsidR="00C14095" w:rsidRPr="00022472">
        <w:rPr>
          <w:sz w:val="28"/>
          <w:szCs w:val="28"/>
        </w:rPr>
        <w:t>Nr. </w:t>
      </w:r>
      <w:r w:rsidR="00CD2BF3" w:rsidRPr="00022472">
        <w:rPr>
          <w:sz w:val="28"/>
          <w:szCs w:val="28"/>
        </w:rPr>
        <w:t>            </w:t>
      </w:r>
      <w:r w:rsidRPr="00022472">
        <w:rPr>
          <w:sz w:val="28"/>
          <w:szCs w:val="28"/>
        </w:rPr>
        <w:t>. §)</w:t>
      </w:r>
    </w:p>
    <w:p w:rsidR="001C3ED9" w:rsidRPr="00022472" w:rsidRDefault="001C3ED9" w:rsidP="001C3ED9">
      <w:pPr>
        <w:ind w:firstLine="709"/>
        <w:jc w:val="both"/>
        <w:rPr>
          <w:sz w:val="24"/>
          <w:szCs w:val="24"/>
        </w:rPr>
      </w:pPr>
    </w:p>
    <w:p w:rsidR="006014A8" w:rsidRDefault="006014A8" w:rsidP="00703761">
      <w:pPr>
        <w:ind w:firstLine="709"/>
        <w:jc w:val="center"/>
        <w:rPr>
          <w:b/>
          <w:sz w:val="28"/>
          <w:szCs w:val="28"/>
        </w:rPr>
      </w:pPr>
    </w:p>
    <w:p w:rsidR="00703761" w:rsidRPr="00703761" w:rsidRDefault="00703761" w:rsidP="00703761">
      <w:pPr>
        <w:ind w:firstLine="709"/>
        <w:jc w:val="center"/>
        <w:rPr>
          <w:b/>
          <w:sz w:val="28"/>
          <w:szCs w:val="28"/>
        </w:rPr>
      </w:pPr>
      <w:r w:rsidRPr="00703761">
        <w:rPr>
          <w:b/>
          <w:sz w:val="28"/>
          <w:szCs w:val="28"/>
        </w:rPr>
        <w:t>Grozījumi Eiropas Savienības struktūrfondu un Kohēzijas fonda</w:t>
      </w:r>
    </w:p>
    <w:p w:rsidR="00703761" w:rsidRPr="00703761" w:rsidRDefault="00703761" w:rsidP="00703761">
      <w:pPr>
        <w:ind w:firstLine="709"/>
        <w:jc w:val="center"/>
        <w:rPr>
          <w:b/>
          <w:sz w:val="28"/>
          <w:szCs w:val="28"/>
        </w:rPr>
      </w:pPr>
      <w:r w:rsidRPr="00703761">
        <w:rPr>
          <w:b/>
          <w:sz w:val="28"/>
          <w:szCs w:val="28"/>
        </w:rPr>
        <w:t>2014.–2020.gada plānošanas perioda darbības programmā</w:t>
      </w:r>
    </w:p>
    <w:p w:rsidR="00CE6775" w:rsidRDefault="00703761" w:rsidP="00703761">
      <w:pPr>
        <w:ind w:firstLine="709"/>
        <w:jc w:val="center"/>
        <w:rPr>
          <w:sz w:val="24"/>
          <w:szCs w:val="24"/>
        </w:rPr>
      </w:pPr>
      <w:r w:rsidRPr="00703761">
        <w:rPr>
          <w:b/>
          <w:sz w:val="28"/>
          <w:szCs w:val="28"/>
        </w:rPr>
        <w:t>“Izaugsme un nodarbinātība”</w:t>
      </w:r>
    </w:p>
    <w:p w:rsidR="00703761" w:rsidRDefault="00703761" w:rsidP="00703761">
      <w:pPr>
        <w:jc w:val="both"/>
        <w:rPr>
          <w:sz w:val="24"/>
          <w:szCs w:val="24"/>
        </w:rPr>
      </w:pPr>
    </w:p>
    <w:p w:rsidR="00703761" w:rsidRDefault="00703761" w:rsidP="00703761">
      <w:pPr>
        <w:jc w:val="both"/>
        <w:rPr>
          <w:sz w:val="28"/>
          <w:szCs w:val="28"/>
          <w:lang w:eastAsia="en-US"/>
        </w:rPr>
      </w:pPr>
    </w:p>
    <w:p w:rsidR="00703761" w:rsidRPr="00E77867" w:rsidRDefault="00703761" w:rsidP="00E77867">
      <w:pPr>
        <w:pStyle w:val="ListParagraph"/>
        <w:numPr>
          <w:ilvl w:val="0"/>
          <w:numId w:val="11"/>
        </w:numPr>
        <w:jc w:val="both"/>
        <w:rPr>
          <w:sz w:val="28"/>
          <w:szCs w:val="28"/>
          <w:lang w:eastAsia="en-US"/>
        </w:rPr>
      </w:pPr>
      <w:r w:rsidRPr="0020447C">
        <w:rPr>
          <w:sz w:val="28"/>
          <w:szCs w:val="28"/>
          <w:lang w:eastAsia="en-US"/>
        </w:rPr>
        <w:t>Izdarīt Eiropas Savienības struktūrfondu un Kohēzijas fonda 2014.–  2020.gada plānošanas perioda darbības programmā “Izaugsme un nodarbinātība”</w:t>
      </w:r>
      <w:r w:rsidR="00913A57" w:rsidRPr="0020447C">
        <w:rPr>
          <w:sz w:val="28"/>
          <w:szCs w:val="28"/>
          <w:lang w:eastAsia="en-US"/>
        </w:rPr>
        <w:t xml:space="preserve"> </w:t>
      </w:r>
      <w:r w:rsidRPr="0020447C">
        <w:rPr>
          <w:sz w:val="28"/>
          <w:szCs w:val="28"/>
          <w:lang w:eastAsia="en-US"/>
        </w:rPr>
        <w:t xml:space="preserve">(apstiprināta ar Ministru kabineta 2015.gada 4.februāra rīkojumu Nr.62 “Par Eiropas Savienības struktūrfondu un Kohēzijas fonda 2014.–2020.gada plānošanas </w:t>
      </w:r>
      <w:r w:rsidRPr="00E77867">
        <w:rPr>
          <w:sz w:val="28"/>
          <w:szCs w:val="28"/>
          <w:lang w:eastAsia="en-US"/>
        </w:rPr>
        <w:t>perioda darbības programmu “Izaugsme un nodarbinātība””) šādus grozījumus:</w:t>
      </w:r>
    </w:p>
    <w:p w:rsidR="009C37AA" w:rsidRPr="00703761" w:rsidRDefault="009C37AA" w:rsidP="00703761">
      <w:pPr>
        <w:pStyle w:val="ListParagraph"/>
        <w:ind w:left="0"/>
        <w:jc w:val="both"/>
        <w:rPr>
          <w:sz w:val="28"/>
          <w:szCs w:val="28"/>
          <w:lang w:eastAsia="en-US"/>
        </w:rPr>
      </w:pPr>
    </w:p>
    <w:p w:rsidR="00913A57" w:rsidRDefault="00913A57" w:rsidP="00E77867">
      <w:pPr>
        <w:pStyle w:val="ListParagraph"/>
        <w:numPr>
          <w:ilvl w:val="3"/>
          <w:numId w:val="11"/>
        </w:numPr>
        <w:jc w:val="both"/>
        <w:rPr>
          <w:spacing w:val="-2"/>
          <w:sz w:val="28"/>
          <w:szCs w:val="28"/>
          <w:lang w:eastAsia="en-US"/>
        </w:rPr>
      </w:pPr>
      <w:r>
        <w:rPr>
          <w:spacing w:val="-2"/>
          <w:sz w:val="28"/>
          <w:szCs w:val="28"/>
          <w:lang w:eastAsia="en-US"/>
        </w:rPr>
        <w:t>izteikt</w:t>
      </w:r>
      <w:r w:rsidR="00D72995" w:rsidRPr="000368A4">
        <w:rPr>
          <w:spacing w:val="-2"/>
          <w:sz w:val="28"/>
          <w:szCs w:val="28"/>
          <w:lang w:eastAsia="en-US"/>
        </w:rPr>
        <w:t xml:space="preserve"> </w:t>
      </w:r>
      <w:r w:rsidR="000368A4" w:rsidRPr="000368A4">
        <w:rPr>
          <w:spacing w:val="-2"/>
          <w:sz w:val="28"/>
          <w:szCs w:val="28"/>
          <w:lang w:eastAsia="en-US"/>
        </w:rPr>
        <w:t>513.punktu</w:t>
      </w:r>
      <w:r>
        <w:rPr>
          <w:spacing w:val="-2"/>
          <w:sz w:val="28"/>
          <w:szCs w:val="28"/>
          <w:lang w:eastAsia="en-US"/>
        </w:rPr>
        <w:t xml:space="preserve"> šādā redakcijā:</w:t>
      </w:r>
    </w:p>
    <w:p w:rsidR="000368A4" w:rsidRPr="006449F2" w:rsidRDefault="006449F2" w:rsidP="006449F2">
      <w:pPr>
        <w:jc w:val="both"/>
        <w:rPr>
          <w:spacing w:val="-2"/>
          <w:sz w:val="28"/>
          <w:szCs w:val="28"/>
          <w:lang w:eastAsia="en-US"/>
        </w:rPr>
      </w:pPr>
      <w:r>
        <w:rPr>
          <w:spacing w:val="-2"/>
          <w:sz w:val="28"/>
          <w:szCs w:val="28"/>
          <w:lang w:eastAsia="en-US"/>
        </w:rPr>
        <w:t>“(513)</w:t>
      </w:r>
      <w:r w:rsidRPr="006449F2">
        <w:rPr>
          <w:spacing w:val="-2"/>
          <w:sz w:val="28"/>
          <w:szCs w:val="28"/>
          <w:lang w:eastAsia="en-US"/>
        </w:rPr>
        <w:tab/>
        <w:t>Rekonstruētās hidrotehniskās būves uzlabos kuģošanas drošību un ostas funkcionalitāti, atļaujot kuģu kustību nelabvēlīgos laika apstākļos, kādos kuģu kustība pašlaik tiek apturēta. Tas ļaus palielināt kuģošanas drošību, kā arī samazināt kuģu dīkstāves, atrodoties reidā, tādējādi mazinot kuģu dzinēju darbības rezultātā radītās emisijas. Ostu koplietošanas infrastruktūras sakārtošana radīs priekšnosacījumus vidēji ar vienas ostā pārkrautās tonnas pārvadāšanu saistītās negatīvās ietekmes uz vidi samazināšanai.</w:t>
      </w:r>
      <w:r>
        <w:rPr>
          <w:spacing w:val="-2"/>
          <w:sz w:val="28"/>
          <w:szCs w:val="28"/>
          <w:lang w:eastAsia="en-US"/>
        </w:rPr>
        <w:t>”</w:t>
      </w:r>
      <w:r w:rsidR="00D463E4" w:rsidRPr="006449F2">
        <w:rPr>
          <w:spacing w:val="-2"/>
          <w:sz w:val="28"/>
          <w:szCs w:val="28"/>
          <w:lang w:eastAsia="en-US"/>
        </w:rPr>
        <w:t>;</w:t>
      </w:r>
    </w:p>
    <w:p w:rsidR="006014A8" w:rsidRDefault="006014A8" w:rsidP="006014A8">
      <w:pPr>
        <w:pStyle w:val="ListParagraph"/>
        <w:ind w:left="792"/>
        <w:jc w:val="both"/>
        <w:rPr>
          <w:spacing w:val="-2"/>
          <w:sz w:val="28"/>
          <w:szCs w:val="28"/>
          <w:lang w:eastAsia="en-US"/>
        </w:rPr>
      </w:pPr>
    </w:p>
    <w:p w:rsidR="000368A4" w:rsidRDefault="000368A4" w:rsidP="00E77867">
      <w:pPr>
        <w:pStyle w:val="ListParagraph"/>
        <w:numPr>
          <w:ilvl w:val="2"/>
          <w:numId w:val="11"/>
        </w:numPr>
        <w:jc w:val="both"/>
        <w:rPr>
          <w:spacing w:val="-2"/>
          <w:sz w:val="28"/>
          <w:szCs w:val="28"/>
          <w:lang w:eastAsia="en-US"/>
        </w:rPr>
      </w:pPr>
      <w:r>
        <w:rPr>
          <w:spacing w:val="-2"/>
          <w:sz w:val="28"/>
          <w:szCs w:val="28"/>
          <w:lang w:eastAsia="en-US"/>
        </w:rPr>
        <w:t>izteikt 752.punktu šādā redakcijā:</w:t>
      </w:r>
    </w:p>
    <w:p w:rsidR="006014A8" w:rsidRDefault="000368A4" w:rsidP="000368A4">
      <w:pPr>
        <w:jc w:val="both"/>
        <w:rPr>
          <w:spacing w:val="-2"/>
          <w:sz w:val="28"/>
          <w:szCs w:val="28"/>
          <w:lang w:eastAsia="en-US"/>
        </w:rPr>
      </w:pPr>
      <w:r>
        <w:rPr>
          <w:spacing w:val="-2"/>
          <w:sz w:val="28"/>
          <w:szCs w:val="28"/>
          <w:lang w:eastAsia="en-US"/>
        </w:rPr>
        <w:t xml:space="preserve">“(752) </w:t>
      </w:r>
      <w:r w:rsidRPr="00701D92">
        <w:rPr>
          <w:rFonts w:eastAsia="PMingLiU"/>
          <w:sz w:val="28"/>
          <w:szCs w:val="28"/>
          <w:lang w:eastAsia="en-US"/>
        </w:rPr>
        <w:t xml:space="preserve">2012. gadā laukos no 18–24 gadus veciem jauniešiem </w:t>
      </w:r>
      <w:r>
        <w:rPr>
          <w:rFonts w:eastAsia="PMingLiU"/>
          <w:sz w:val="28"/>
          <w:szCs w:val="28"/>
          <w:lang w:eastAsia="en-US"/>
        </w:rPr>
        <w:t>mācības</w:t>
      </w:r>
      <w:r w:rsidRPr="00701D92">
        <w:rPr>
          <w:rFonts w:eastAsia="PMingLiU"/>
          <w:sz w:val="28"/>
          <w:szCs w:val="28"/>
          <w:lang w:eastAsia="en-US"/>
        </w:rPr>
        <w:t xml:space="preserve"> priekšlaicīgi pameta 13,8 %, pilsētās 8,8 %. No kopējā priekšlaicīgi skolu pametušo skaita 6,2 % bija sievietes, 14,5 % vīrieši</w:t>
      </w:r>
      <w:r w:rsidRPr="00701D92">
        <w:rPr>
          <w:rFonts w:eastAsia="PMingLiU"/>
          <w:sz w:val="28"/>
          <w:szCs w:val="28"/>
          <w:vertAlign w:val="superscript"/>
          <w:lang w:eastAsia="en-US"/>
        </w:rPr>
        <w:footnoteReference w:id="1"/>
      </w:r>
      <w:r w:rsidRPr="00701D92">
        <w:rPr>
          <w:rFonts w:eastAsia="PMingLiU"/>
          <w:sz w:val="28"/>
          <w:szCs w:val="28"/>
          <w:lang w:eastAsia="en-US"/>
        </w:rPr>
        <w:t>.</w:t>
      </w:r>
      <w:r>
        <w:rPr>
          <w:spacing w:val="-2"/>
          <w:sz w:val="28"/>
          <w:szCs w:val="28"/>
          <w:lang w:eastAsia="en-US"/>
        </w:rPr>
        <w:t>”</w:t>
      </w:r>
      <w:r w:rsidR="00D463E4">
        <w:rPr>
          <w:spacing w:val="-2"/>
          <w:sz w:val="28"/>
          <w:szCs w:val="28"/>
          <w:lang w:eastAsia="en-US"/>
        </w:rPr>
        <w:t>;</w:t>
      </w:r>
    </w:p>
    <w:p w:rsidR="006014A8" w:rsidRDefault="006014A8" w:rsidP="000368A4">
      <w:pPr>
        <w:jc w:val="both"/>
        <w:rPr>
          <w:spacing w:val="-2"/>
          <w:sz w:val="28"/>
          <w:szCs w:val="28"/>
          <w:lang w:eastAsia="en-US"/>
        </w:rPr>
      </w:pPr>
    </w:p>
    <w:p w:rsidR="000368A4" w:rsidRDefault="00306162" w:rsidP="00E77867">
      <w:pPr>
        <w:pStyle w:val="ListParagraph"/>
        <w:numPr>
          <w:ilvl w:val="2"/>
          <w:numId w:val="11"/>
        </w:numPr>
        <w:jc w:val="both"/>
        <w:rPr>
          <w:spacing w:val="-2"/>
          <w:sz w:val="28"/>
          <w:szCs w:val="28"/>
          <w:lang w:eastAsia="en-US"/>
        </w:rPr>
      </w:pPr>
      <w:r>
        <w:rPr>
          <w:spacing w:val="-2"/>
          <w:sz w:val="28"/>
          <w:szCs w:val="28"/>
          <w:lang w:eastAsia="en-US"/>
        </w:rPr>
        <w:t>i</w:t>
      </w:r>
      <w:r w:rsidR="000368A4">
        <w:rPr>
          <w:spacing w:val="-2"/>
          <w:sz w:val="28"/>
          <w:szCs w:val="28"/>
          <w:lang w:eastAsia="en-US"/>
        </w:rPr>
        <w:t>zteikt 755.punktu šādā redakcijā:</w:t>
      </w:r>
    </w:p>
    <w:p w:rsidR="000368A4" w:rsidRDefault="000368A4" w:rsidP="000368A4">
      <w:pPr>
        <w:jc w:val="both"/>
        <w:rPr>
          <w:spacing w:val="-2"/>
          <w:sz w:val="28"/>
          <w:szCs w:val="28"/>
          <w:lang w:eastAsia="en-US"/>
        </w:rPr>
      </w:pPr>
      <w:r>
        <w:rPr>
          <w:spacing w:val="-2"/>
          <w:sz w:val="28"/>
          <w:szCs w:val="28"/>
          <w:lang w:eastAsia="en-US"/>
        </w:rPr>
        <w:t>“(</w:t>
      </w:r>
      <w:r w:rsidR="00D463E4">
        <w:rPr>
          <w:spacing w:val="-2"/>
          <w:sz w:val="28"/>
          <w:szCs w:val="28"/>
          <w:lang w:eastAsia="en-US"/>
        </w:rPr>
        <w:t>755</w:t>
      </w:r>
      <w:r>
        <w:rPr>
          <w:spacing w:val="-2"/>
          <w:sz w:val="28"/>
          <w:szCs w:val="28"/>
          <w:lang w:eastAsia="en-US"/>
        </w:rPr>
        <w:t>)</w:t>
      </w:r>
      <w:r w:rsidR="00D463E4" w:rsidRPr="00D463E4">
        <w:rPr>
          <w:spacing w:val="-2"/>
          <w:sz w:val="28"/>
          <w:szCs w:val="28"/>
          <w:lang w:eastAsia="en-US"/>
        </w:rPr>
        <w:t xml:space="preserve"> </w:t>
      </w:r>
      <w:r w:rsidR="00D463E4" w:rsidRPr="00D94466">
        <w:rPr>
          <w:spacing w:val="-2"/>
          <w:sz w:val="28"/>
          <w:szCs w:val="28"/>
          <w:lang w:eastAsia="en-US"/>
        </w:rPr>
        <w:t>Plānots izstrādāt preventīvo un intervences pasākumu plānu PMP risku grupu izglītojamiem, tai  skaitā izvērtējot ikdienējo un neformālo mācīšanos kā nozīmīgu instrumentu pašapziņas un mācību motivācijas veidošanai</w:t>
      </w:r>
      <w:r w:rsidR="00D463E4">
        <w:rPr>
          <w:spacing w:val="-2"/>
          <w:sz w:val="28"/>
          <w:szCs w:val="28"/>
          <w:lang w:eastAsia="en-US"/>
        </w:rPr>
        <w:t>. Esošā PMP monitoringa sistēma</w:t>
      </w:r>
      <w:r w:rsidR="00D463E4" w:rsidRPr="00D94466">
        <w:rPr>
          <w:spacing w:val="-2"/>
          <w:sz w:val="28"/>
          <w:szCs w:val="28"/>
          <w:lang w:eastAsia="en-US"/>
        </w:rPr>
        <w:t xml:space="preserve"> un analīze par PMP iemesliem nav pilnīga. Paredzēts atbalsts izglītības iestādēs nereģistrēto obligātā izglītības vecumā esošo bērnu uzskaites sistēmas pilnveidei, tai skaitā sasaistei ar augstāko, pieaugušo un interešu izglītību. Ir veikti uzlabojumi Valsts izglītības informācijas sistēmā attiecībā uz PMP datu uzkrāšanu un tiek pilnveidots</w:t>
      </w:r>
      <w:r w:rsidR="00506460">
        <w:rPr>
          <w:spacing w:val="-2"/>
          <w:sz w:val="28"/>
          <w:szCs w:val="28"/>
          <w:lang w:eastAsia="en-US"/>
        </w:rPr>
        <w:t xml:space="preserve"> attiecīgais</w:t>
      </w:r>
      <w:r w:rsidR="00D463E4" w:rsidRPr="00D94466">
        <w:rPr>
          <w:spacing w:val="-2"/>
          <w:sz w:val="28"/>
          <w:szCs w:val="28"/>
          <w:lang w:eastAsia="en-US"/>
        </w:rPr>
        <w:t xml:space="preserve"> normatīvais regulējums, nosakot atbildību attiecībā uz datu uzkrāšanu un mācību kavējumu novēršanu skolas, pašvaldības un valsts līmenī.</w:t>
      </w:r>
      <w:r>
        <w:rPr>
          <w:spacing w:val="-2"/>
          <w:sz w:val="28"/>
          <w:szCs w:val="28"/>
          <w:lang w:eastAsia="en-US"/>
        </w:rPr>
        <w:t>”</w:t>
      </w:r>
      <w:r w:rsidR="00D463E4">
        <w:rPr>
          <w:spacing w:val="-2"/>
          <w:sz w:val="28"/>
          <w:szCs w:val="28"/>
          <w:lang w:eastAsia="en-US"/>
        </w:rPr>
        <w:t>;</w:t>
      </w:r>
    </w:p>
    <w:p w:rsidR="006014A8" w:rsidRPr="000368A4" w:rsidRDefault="006014A8" w:rsidP="000368A4">
      <w:pPr>
        <w:jc w:val="both"/>
        <w:rPr>
          <w:spacing w:val="-2"/>
          <w:sz w:val="28"/>
          <w:szCs w:val="28"/>
          <w:lang w:eastAsia="en-US"/>
        </w:rPr>
      </w:pPr>
    </w:p>
    <w:p w:rsidR="00306162" w:rsidRDefault="00306162" w:rsidP="0020447C">
      <w:pPr>
        <w:pStyle w:val="ListParagraph"/>
        <w:numPr>
          <w:ilvl w:val="2"/>
          <w:numId w:val="11"/>
        </w:numPr>
        <w:jc w:val="both"/>
        <w:rPr>
          <w:spacing w:val="-2"/>
          <w:sz w:val="28"/>
          <w:szCs w:val="28"/>
          <w:lang w:eastAsia="en-US"/>
        </w:rPr>
      </w:pPr>
      <w:r>
        <w:rPr>
          <w:spacing w:val="-2"/>
          <w:sz w:val="28"/>
          <w:szCs w:val="28"/>
          <w:lang w:eastAsia="en-US"/>
        </w:rPr>
        <w:t>izteikt 94</w:t>
      </w:r>
      <w:r w:rsidR="00625550">
        <w:rPr>
          <w:spacing w:val="-2"/>
          <w:sz w:val="28"/>
          <w:szCs w:val="28"/>
          <w:lang w:eastAsia="en-US"/>
        </w:rPr>
        <w:t>1</w:t>
      </w:r>
      <w:r>
        <w:rPr>
          <w:spacing w:val="-2"/>
          <w:sz w:val="28"/>
          <w:szCs w:val="28"/>
          <w:lang w:eastAsia="en-US"/>
        </w:rPr>
        <w:t>.punktu šādā redakcijā:</w:t>
      </w:r>
    </w:p>
    <w:p w:rsidR="00A254E0" w:rsidRDefault="00306162" w:rsidP="00A254E0">
      <w:pPr>
        <w:jc w:val="both"/>
        <w:rPr>
          <w:spacing w:val="-2"/>
          <w:sz w:val="28"/>
          <w:szCs w:val="28"/>
          <w:lang w:eastAsia="en-US"/>
        </w:rPr>
      </w:pPr>
      <w:r>
        <w:rPr>
          <w:spacing w:val="-2"/>
          <w:sz w:val="28"/>
          <w:szCs w:val="28"/>
          <w:lang w:eastAsia="en-US"/>
        </w:rPr>
        <w:t>“(94</w:t>
      </w:r>
      <w:r w:rsidR="00625550">
        <w:rPr>
          <w:spacing w:val="-2"/>
          <w:sz w:val="28"/>
          <w:szCs w:val="28"/>
          <w:lang w:eastAsia="en-US"/>
        </w:rPr>
        <w:t>1</w:t>
      </w:r>
      <w:r>
        <w:rPr>
          <w:spacing w:val="-2"/>
          <w:sz w:val="28"/>
          <w:szCs w:val="28"/>
          <w:lang w:eastAsia="en-US"/>
        </w:rPr>
        <w:t xml:space="preserve">) </w:t>
      </w:r>
      <w:r w:rsidRPr="00022472">
        <w:rPr>
          <w:rFonts w:eastAsia="PMingLiU"/>
          <w:bCs/>
          <w:spacing w:val="-2"/>
          <w:sz w:val="28"/>
          <w:szCs w:val="28"/>
          <w:lang w:eastAsia="en-US"/>
        </w:rPr>
        <w:t>SAM ietvaros tiks uzlabota sadarbība starp medicīnas un sociālo pakalpojumu sniedzējiem (sociālā darba speciālistu sadarbība ar ģimenes ārstiem, speciālistiem u</w:t>
      </w:r>
      <w:r>
        <w:rPr>
          <w:rFonts w:eastAsia="PMingLiU"/>
          <w:bCs/>
          <w:spacing w:val="-2"/>
          <w:sz w:val="28"/>
          <w:szCs w:val="28"/>
          <w:lang w:eastAsia="en-US"/>
        </w:rPr>
        <w:t>.</w:t>
      </w:r>
      <w:r w:rsidRPr="00022472">
        <w:rPr>
          <w:rFonts w:eastAsia="PMingLiU"/>
          <w:bCs/>
          <w:spacing w:val="-2"/>
          <w:sz w:val="28"/>
          <w:szCs w:val="28"/>
          <w:lang w:eastAsia="en-US"/>
        </w:rPr>
        <w:t xml:space="preserve">tml.), </w:t>
      </w:r>
      <w:r w:rsidRPr="00022472">
        <w:rPr>
          <w:spacing w:val="-2"/>
          <w:sz w:val="28"/>
          <w:szCs w:val="28"/>
          <w:lang w:eastAsia="en-US"/>
        </w:rPr>
        <w:t xml:space="preserve">tai skaitā </w:t>
      </w:r>
      <w:r w:rsidRPr="00022472">
        <w:rPr>
          <w:rFonts w:eastAsia="PMingLiU"/>
          <w:bCs/>
          <w:spacing w:val="-2"/>
          <w:sz w:val="28"/>
          <w:szCs w:val="28"/>
          <w:lang w:eastAsia="en-US"/>
        </w:rPr>
        <w:t>nodrošinot sociālā darba speciālistu apmācību.</w:t>
      </w:r>
      <w:r>
        <w:rPr>
          <w:rFonts w:eastAsia="PMingLiU"/>
          <w:bCs/>
          <w:spacing w:val="-2"/>
          <w:sz w:val="28"/>
          <w:szCs w:val="28"/>
          <w:lang w:eastAsia="en-US"/>
        </w:rPr>
        <w:t xml:space="preserve"> </w:t>
      </w:r>
      <w:r w:rsidRPr="00C3110D">
        <w:rPr>
          <w:spacing w:val="-2"/>
          <w:sz w:val="28"/>
          <w:szCs w:val="28"/>
          <w:lang w:eastAsia="en-US"/>
        </w:rPr>
        <w:t>Pasākumi ir ciešā sasaistē ar deinstucionalizācijas mērķiem (t.sk. garīgās veselības ietvaros), un to īstenošanā tiks nodrošināta koordinēta pakalpojumu attīstības plānošana.</w:t>
      </w:r>
      <w:r w:rsidRPr="00022472">
        <w:rPr>
          <w:rFonts w:eastAsia="PMingLiU"/>
          <w:bCs/>
          <w:spacing w:val="-2"/>
          <w:sz w:val="28"/>
          <w:szCs w:val="28"/>
          <w:lang w:eastAsia="en-US"/>
        </w:rPr>
        <w:t xml:space="preserve"> SAM ietvaros tiks atbalstītas </w:t>
      </w:r>
      <w:r w:rsidRPr="00022472">
        <w:rPr>
          <w:rFonts w:eastAsia="PMingLiU"/>
          <w:spacing w:val="-2"/>
          <w:sz w:val="28"/>
          <w:szCs w:val="28"/>
          <w:lang w:eastAsia="en-US"/>
        </w:rPr>
        <w:t xml:space="preserve">cilvēkresursu apmācības un profesionālā izaugsme ārstniecības un ārstniecības atbalsta personām, kā arī farmaceitiskās aprūpes pakalpojumu sniedzējiem, nodrošinot personu kvalifikācijas un iemaņu atbilstību prioritāro (sirds un asinsvadu, onkoloģijas, </w:t>
      </w:r>
      <w:r w:rsidRPr="00022472">
        <w:rPr>
          <w:rFonts w:eastAsia="PMingLiU"/>
          <w:bCs/>
          <w:spacing w:val="-2"/>
          <w:sz w:val="28"/>
          <w:szCs w:val="28"/>
          <w:lang w:eastAsia="en-US"/>
        </w:rPr>
        <w:t xml:space="preserve">bērnu (sākot no </w:t>
      </w:r>
      <w:r w:rsidRPr="00022472">
        <w:rPr>
          <w:rFonts w:eastAsia="PMingLiU"/>
          <w:spacing w:val="-2"/>
          <w:sz w:val="28"/>
          <w:szCs w:val="28"/>
          <w:lang w:eastAsia="en-US"/>
        </w:rPr>
        <w:t xml:space="preserve">perinatālā un neonatālā perioda) </w:t>
      </w:r>
      <w:r>
        <w:rPr>
          <w:sz w:val="28"/>
          <w:szCs w:val="28"/>
        </w:rPr>
        <w:t xml:space="preserve">aprūpes </w:t>
      </w:r>
      <w:r w:rsidRPr="00022472">
        <w:rPr>
          <w:rFonts w:eastAsia="PMingLiU"/>
          <w:spacing w:val="-2"/>
          <w:sz w:val="28"/>
          <w:szCs w:val="28"/>
          <w:lang w:eastAsia="en-US"/>
        </w:rPr>
        <w:t>un garīgās veselības) veselības jomu veselības tīklu attīstības vadlīnijās noteiktajām prasībām, kā arī veselības nozares plānošanas dokumentos identificētajām cilvēkresursu attīstības vajadzībām. SAM ietvaros tiks nodrošināta ārstniecības un ārstniecības atbalsta personu kvalifikācijas uzlabošana atbilstoši 9.2.3. SAM ietvaros izstrādātajām veselības tīklu attīstības vadlīnijām, nodrošinot personāla prasmju un kvalifikācijas atbilstību noteiktajām prasībām, savukārt turpmākā vispārējā kvalifikācijas uzturēšana tiks īstenota atbilstoši līdz šim valstī noteiktajai kārtībai, kas paredz, ka ārstniecības persona reizi piecos gados veic resertifikāciju par saviem vai darba devēja līdzekļiem</w:t>
      </w:r>
      <w:r>
        <w:rPr>
          <w:rFonts w:eastAsia="PMingLiU"/>
          <w:spacing w:val="-2"/>
          <w:sz w:val="28"/>
          <w:szCs w:val="28"/>
          <w:lang w:eastAsia="en-US"/>
        </w:rPr>
        <w:t>.</w:t>
      </w:r>
      <w:r>
        <w:rPr>
          <w:spacing w:val="-2"/>
          <w:sz w:val="28"/>
          <w:szCs w:val="28"/>
          <w:lang w:eastAsia="en-US"/>
        </w:rPr>
        <w:t xml:space="preserve">”; </w:t>
      </w:r>
    </w:p>
    <w:p w:rsidR="006014A8" w:rsidRDefault="006014A8" w:rsidP="00A254E0">
      <w:pPr>
        <w:jc w:val="both"/>
        <w:rPr>
          <w:spacing w:val="-2"/>
          <w:sz w:val="28"/>
          <w:szCs w:val="28"/>
          <w:lang w:eastAsia="en-US"/>
        </w:rPr>
      </w:pPr>
    </w:p>
    <w:p w:rsidR="00D2516E" w:rsidRDefault="00A61003" w:rsidP="0020447C">
      <w:pPr>
        <w:pStyle w:val="ListParagraph"/>
        <w:numPr>
          <w:ilvl w:val="2"/>
          <w:numId w:val="11"/>
        </w:numPr>
        <w:ind w:left="1276"/>
        <w:jc w:val="both"/>
        <w:rPr>
          <w:spacing w:val="-2"/>
          <w:sz w:val="28"/>
          <w:szCs w:val="28"/>
          <w:lang w:eastAsia="en-US"/>
        </w:rPr>
      </w:pPr>
      <w:r w:rsidRPr="0020447C">
        <w:rPr>
          <w:spacing w:val="-2"/>
          <w:sz w:val="28"/>
          <w:szCs w:val="28"/>
          <w:lang w:eastAsia="en-US"/>
        </w:rPr>
        <w:t xml:space="preserve">aizstāt </w:t>
      </w:r>
      <w:r w:rsidR="00A254E0" w:rsidRPr="0020447C">
        <w:rPr>
          <w:sz w:val="28"/>
          <w:szCs w:val="28"/>
        </w:rPr>
        <w:t>tabul</w:t>
      </w:r>
      <w:r w:rsidRPr="0020447C">
        <w:rPr>
          <w:sz w:val="28"/>
          <w:szCs w:val="28"/>
        </w:rPr>
        <w:t>ā</w:t>
      </w:r>
      <w:r w:rsidR="006449F2" w:rsidRPr="0020447C">
        <w:rPr>
          <w:sz w:val="28"/>
          <w:szCs w:val="28"/>
        </w:rPr>
        <w:t xml:space="preserve"> Nr.</w:t>
      </w:r>
      <w:r w:rsidR="00A254E0" w:rsidRPr="0020447C">
        <w:rPr>
          <w:sz w:val="28"/>
          <w:szCs w:val="28"/>
        </w:rPr>
        <w:t>3.2. (18A)</w:t>
      </w:r>
      <w:r w:rsidR="0020447C" w:rsidRPr="0020447C">
        <w:rPr>
          <w:sz w:val="28"/>
          <w:szCs w:val="28"/>
        </w:rPr>
        <w:t xml:space="preserve"> </w:t>
      </w:r>
      <w:r w:rsidR="003D0CC8" w:rsidRPr="0020447C">
        <w:rPr>
          <w:spacing w:val="-2"/>
          <w:sz w:val="28"/>
          <w:szCs w:val="28"/>
          <w:lang w:eastAsia="en-US"/>
        </w:rPr>
        <w:t>kolonn</w:t>
      </w:r>
      <w:r w:rsidR="00A254E0" w:rsidRPr="0020447C">
        <w:rPr>
          <w:spacing w:val="-2"/>
          <w:sz w:val="28"/>
          <w:szCs w:val="28"/>
          <w:lang w:eastAsia="en-US"/>
        </w:rPr>
        <w:t>as</w:t>
      </w:r>
      <w:r w:rsidR="00A4410E" w:rsidRPr="0020447C">
        <w:rPr>
          <w:spacing w:val="-2"/>
          <w:sz w:val="28"/>
          <w:szCs w:val="28"/>
          <w:lang w:eastAsia="en-US"/>
        </w:rPr>
        <w:t xml:space="preserve"> “Pamatpiešķīrums bez rezerves, EUR” </w:t>
      </w:r>
      <w:r w:rsidR="00A254E0" w:rsidRPr="0020447C">
        <w:rPr>
          <w:spacing w:val="-2"/>
          <w:sz w:val="28"/>
          <w:szCs w:val="28"/>
          <w:lang w:eastAsia="en-US"/>
        </w:rPr>
        <w:t xml:space="preserve">11.rindā </w:t>
      </w:r>
      <w:r w:rsidR="003D0CC8" w:rsidRPr="0020447C">
        <w:rPr>
          <w:spacing w:val="-2"/>
          <w:sz w:val="28"/>
          <w:szCs w:val="28"/>
          <w:lang w:eastAsia="en-US"/>
        </w:rPr>
        <w:t>norādīto</w:t>
      </w:r>
      <w:r w:rsidR="00A4410E" w:rsidRPr="0020447C">
        <w:rPr>
          <w:spacing w:val="-2"/>
          <w:sz w:val="28"/>
          <w:szCs w:val="28"/>
          <w:lang w:eastAsia="en-US"/>
        </w:rPr>
        <w:t xml:space="preserve"> skaitli “104 665 744” ar skaitli “105 174 366”;</w:t>
      </w:r>
    </w:p>
    <w:p w:rsidR="00A254E0" w:rsidRPr="0020447C" w:rsidRDefault="00A61003" w:rsidP="0020447C">
      <w:pPr>
        <w:pStyle w:val="ListParagraph"/>
        <w:numPr>
          <w:ilvl w:val="2"/>
          <w:numId w:val="11"/>
        </w:numPr>
        <w:ind w:left="1276"/>
        <w:jc w:val="both"/>
        <w:rPr>
          <w:spacing w:val="-2"/>
          <w:sz w:val="28"/>
          <w:szCs w:val="28"/>
          <w:lang w:eastAsia="en-US"/>
        </w:rPr>
      </w:pPr>
      <w:r w:rsidRPr="0020447C">
        <w:rPr>
          <w:spacing w:val="-2"/>
          <w:sz w:val="28"/>
          <w:szCs w:val="28"/>
          <w:lang w:eastAsia="en-US"/>
        </w:rPr>
        <w:t xml:space="preserve">aizstāt tabulā Nr.3.2. (18A) </w:t>
      </w:r>
      <w:r w:rsidR="003D0CC8" w:rsidRPr="0020447C">
        <w:rPr>
          <w:spacing w:val="-2"/>
          <w:sz w:val="28"/>
          <w:szCs w:val="28"/>
          <w:lang w:eastAsia="en-US"/>
        </w:rPr>
        <w:t>kolonn</w:t>
      </w:r>
      <w:r w:rsidR="00A254E0" w:rsidRPr="0020447C">
        <w:rPr>
          <w:spacing w:val="-2"/>
          <w:sz w:val="28"/>
          <w:szCs w:val="28"/>
          <w:lang w:eastAsia="en-US"/>
        </w:rPr>
        <w:t>as</w:t>
      </w:r>
      <w:r w:rsidR="00A4410E" w:rsidRPr="0020447C">
        <w:rPr>
          <w:spacing w:val="-2"/>
          <w:sz w:val="28"/>
          <w:szCs w:val="28"/>
          <w:lang w:eastAsia="en-US"/>
        </w:rPr>
        <w:t xml:space="preserve"> “Rezerves, EUR” </w:t>
      </w:r>
      <w:r w:rsidR="00A254E0" w:rsidRPr="0020447C">
        <w:rPr>
          <w:spacing w:val="-2"/>
          <w:sz w:val="28"/>
          <w:szCs w:val="28"/>
          <w:lang w:eastAsia="en-US"/>
        </w:rPr>
        <w:t xml:space="preserve">11.rindā </w:t>
      </w:r>
      <w:r w:rsidR="003D0CC8" w:rsidRPr="0020447C">
        <w:rPr>
          <w:spacing w:val="-2"/>
          <w:sz w:val="28"/>
          <w:szCs w:val="28"/>
          <w:lang w:eastAsia="en-US"/>
        </w:rPr>
        <w:t>norādīto</w:t>
      </w:r>
      <w:r w:rsidR="00A4410E" w:rsidRPr="0020447C">
        <w:rPr>
          <w:spacing w:val="-2"/>
          <w:sz w:val="28"/>
          <w:szCs w:val="28"/>
          <w:lang w:eastAsia="en-US"/>
        </w:rPr>
        <w:t xml:space="preserve"> skaitli </w:t>
      </w:r>
      <w:r w:rsidR="003D0CC8" w:rsidRPr="0020447C">
        <w:rPr>
          <w:spacing w:val="-2"/>
          <w:sz w:val="28"/>
          <w:szCs w:val="28"/>
          <w:lang w:eastAsia="en-US"/>
        </w:rPr>
        <w:br/>
      </w:r>
      <w:r w:rsidR="00A4410E" w:rsidRPr="0020447C">
        <w:rPr>
          <w:spacing w:val="-2"/>
          <w:sz w:val="28"/>
          <w:szCs w:val="28"/>
          <w:lang w:eastAsia="en-US"/>
        </w:rPr>
        <w:t>“7 482 596” ar skaitli “6 973 974”;</w:t>
      </w:r>
    </w:p>
    <w:p w:rsidR="006014A8" w:rsidRDefault="00A61003" w:rsidP="0020447C">
      <w:pPr>
        <w:pStyle w:val="ListParagraph"/>
        <w:numPr>
          <w:ilvl w:val="2"/>
          <w:numId w:val="11"/>
        </w:numPr>
        <w:ind w:left="1276"/>
        <w:jc w:val="both"/>
        <w:rPr>
          <w:spacing w:val="-2"/>
          <w:sz w:val="28"/>
          <w:szCs w:val="28"/>
          <w:lang w:eastAsia="en-US"/>
        </w:rPr>
      </w:pPr>
      <w:r>
        <w:rPr>
          <w:spacing w:val="-2"/>
          <w:sz w:val="28"/>
          <w:szCs w:val="28"/>
          <w:lang w:eastAsia="en-US"/>
        </w:rPr>
        <w:t>aizstāt tabulā Nr.3.2. (18A)</w:t>
      </w:r>
      <w:r w:rsidR="003D0CC8" w:rsidRPr="00A254E0">
        <w:rPr>
          <w:spacing w:val="-2"/>
          <w:sz w:val="28"/>
          <w:szCs w:val="28"/>
          <w:lang w:eastAsia="en-US"/>
        </w:rPr>
        <w:t xml:space="preserve"> kolonn</w:t>
      </w:r>
      <w:r w:rsidR="00A254E0">
        <w:rPr>
          <w:spacing w:val="-2"/>
          <w:sz w:val="28"/>
          <w:szCs w:val="28"/>
          <w:lang w:eastAsia="en-US"/>
        </w:rPr>
        <w:t>as</w:t>
      </w:r>
      <w:r w:rsidR="00DB445C" w:rsidRPr="00A254E0">
        <w:rPr>
          <w:spacing w:val="-2"/>
          <w:sz w:val="28"/>
          <w:szCs w:val="28"/>
          <w:lang w:eastAsia="en-US"/>
        </w:rPr>
        <w:t xml:space="preserve"> “Pamatpiešķīrums bez rezerves, EUR” </w:t>
      </w:r>
      <w:r w:rsidR="00A254E0" w:rsidRPr="00A254E0">
        <w:rPr>
          <w:spacing w:val="-2"/>
          <w:sz w:val="28"/>
          <w:szCs w:val="28"/>
          <w:lang w:eastAsia="en-US"/>
        </w:rPr>
        <w:t xml:space="preserve">14.rindā </w:t>
      </w:r>
      <w:r w:rsidR="003D0CC8" w:rsidRPr="00A254E0">
        <w:rPr>
          <w:spacing w:val="-2"/>
          <w:sz w:val="28"/>
          <w:szCs w:val="28"/>
          <w:lang w:eastAsia="en-US"/>
        </w:rPr>
        <w:t>norādīto</w:t>
      </w:r>
      <w:r w:rsidR="00DB445C" w:rsidRPr="00A254E0">
        <w:rPr>
          <w:spacing w:val="-2"/>
          <w:sz w:val="28"/>
          <w:szCs w:val="28"/>
          <w:lang w:eastAsia="en-US"/>
        </w:rPr>
        <w:t xml:space="preserve"> skaitli</w:t>
      </w:r>
      <w:r w:rsidR="001A0D57" w:rsidRPr="00A254E0">
        <w:rPr>
          <w:spacing w:val="-2"/>
          <w:sz w:val="28"/>
          <w:szCs w:val="28"/>
          <w:lang w:eastAsia="en-US"/>
        </w:rPr>
        <w:t xml:space="preserve"> “218 787 163” ar skaitli “218 278 541”;</w:t>
      </w:r>
    </w:p>
    <w:p w:rsidR="00D2516E" w:rsidRDefault="00A61003" w:rsidP="00D2516E">
      <w:pPr>
        <w:pStyle w:val="ListParagraph"/>
        <w:numPr>
          <w:ilvl w:val="2"/>
          <w:numId w:val="11"/>
        </w:numPr>
        <w:ind w:left="1276"/>
        <w:jc w:val="both"/>
        <w:rPr>
          <w:spacing w:val="-2"/>
          <w:sz w:val="28"/>
          <w:szCs w:val="28"/>
          <w:lang w:eastAsia="en-US"/>
        </w:rPr>
      </w:pPr>
      <w:r>
        <w:rPr>
          <w:spacing w:val="-2"/>
          <w:sz w:val="28"/>
          <w:szCs w:val="28"/>
          <w:lang w:eastAsia="en-US"/>
        </w:rPr>
        <w:t>aizstāt tabulā Nr.3.2. (18A)</w:t>
      </w:r>
      <w:r w:rsidR="006014A8">
        <w:rPr>
          <w:spacing w:val="-2"/>
          <w:sz w:val="28"/>
          <w:szCs w:val="28"/>
          <w:lang w:eastAsia="en-US"/>
        </w:rPr>
        <w:t xml:space="preserve"> </w:t>
      </w:r>
      <w:r w:rsidR="003D0CC8" w:rsidRPr="006014A8">
        <w:rPr>
          <w:spacing w:val="-2"/>
          <w:sz w:val="28"/>
          <w:szCs w:val="28"/>
          <w:lang w:eastAsia="en-US"/>
        </w:rPr>
        <w:t>kolonn</w:t>
      </w:r>
      <w:r w:rsidR="006014A8">
        <w:rPr>
          <w:spacing w:val="-2"/>
          <w:sz w:val="28"/>
          <w:szCs w:val="28"/>
          <w:lang w:eastAsia="en-US"/>
        </w:rPr>
        <w:t>as</w:t>
      </w:r>
      <w:r w:rsidR="001A0D57" w:rsidRPr="006014A8">
        <w:rPr>
          <w:spacing w:val="-2"/>
          <w:sz w:val="28"/>
          <w:szCs w:val="28"/>
          <w:lang w:eastAsia="en-US"/>
        </w:rPr>
        <w:t xml:space="preserve"> “Rezerves, EUR</w:t>
      </w:r>
      <w:r w:rsidR="003D0CC8" w:rsidRPr="006014A8">
        <w:rPr>
          <w:spacing w:val="-2"/>
          <w:sz w:val="28"/>
          <w:szCs w:val="28"/>
          <w:lang w:eastAsia="en-US"/>
        </w:rPr>
        <w:t xml:space="preserve">” </w:t>
      </w:r>
      <w:r w:rsidR="006014A8" w:rsidRPr="006014A8">
        <w:rPr>
          <w:spacing w:val="-2"/>
          <w:sz w:val="28"/>
          <w:szCs w:val="28"/>
          <w:lang w:eastAsia="en-US"/>
        </w:rPr>
        <w:t xml:space="preserve">14.rindā </w:t>
      </w:r>
      <w:r w:rsidR="003D0CC8" w:rsidRPr="006014A8">
        <w:rPr>
          <w:spacing w:val="-2"/>
          <w:sz w:val="28"/>
          <w:szCs w:val="28"/>
          <w:lang w:eastAsia="en-US"/>
        </w:rPr>
        <w:t>norādīto</w:t>
      </w:r>
      <w:r w:rsidR="001A0D57" w:rsidRPr="006014A8">
        <w:rPr>
          <w:spacing w:val="-2"/>
          <w:sz w:val="28"/>
          <w:szCs w:val="28"/>
          <w:lang w:eastAsia="en-US"/>
        </w:rPr>
        <w:t xml:space="preserve"> skaitli </w:t>
      </w:r>
      <w:r w:rsidR="003D0CC8" w:rsidRPr="006014A8">
        <w:rPr>
          <w:spacing w:val="-2"/>
          <w:sz w:val="28"/>
          <w:szCs w:val="28"/>
          <w:lang w:eastAsia="en-US"/>
        </w:rPr>
        <w:br/>
      </w:r>
      <w:r w:rsidR="001A0D57" w:rsidRPr="006014A8">
        <w:rPr>
          <w:spacing w:val="-2"/>
          <w:sz w:val="28"/>
          <w:szCs w:val="28"/>
          <w:lang w:eastAsia="en-US"/>
        </w:rPr>
        <w:t>“13 965 139” ar skaitli “14 473 761”;</w:t>
      </w:r>
    </w:p>
    <w:p w:rsidR="00D2516E" w:rsidRDefault="00D2516E" w:rsidP="00D2516E">
      <w:pPr>
        <w:pStyle w:val="ListParagraph"/>
        <w:ind w:left="1276"/>
        <w:jc w:val="both"/>
        <w:rPr>
          <w:spacing w:val="-2"/>
          <w:sz w:val="28"/>
          <w:szCs w:val="28"/>
          <w:lang w:eastAsia="en-US"/>
        </w:rPr>
      </w:pPr>
    </w:p>
    <w:p w:rsidR="00941771" w:rsidRPr="00D2516E" w:rsidRDefault="006014A8" w:rsidP="00D2516E">
      <w:pPr>
        <w:pStyle w:val="ListParagraph"/>
        <w:numPr>
          <w:ilvl w:val="2"/>
          <w:numId w:val="11"/>
        </w:numPr>
        <w:ind w:left="1276"/>
        <w:jc w:val="both"/>
        <w:rPr>
          <w:spacing w:val="-2"/>
          <w:sz w:val="28"/>
          <w:szCs w:val="28"/>
          <w:lang w:eastAsia="en-US"/>
        </w:rPr>
      </w:pPr>
      <w:r w:rsidRPr="00D2516E">
        <w:rPr>
          <w:spacing w:val="-2"/>
          <w:sz w:val="28"/>
          <w:szCs w:val="28"/>
          <w:lang w:eastAsia="en-US"/>
        </w:rPr>
        <w:t xml:space="preserve">izteikt </w:t>
      </w:r>
      <w:r w:rsidR="00941771" w:rsidRPr="00D2516E">
        <w:rPr>
          <w:spacing w:val="-2"/>
          <w:sz w:val="28"/>
          <w:szCs w:val="28"/>
          <w:lang w:eastAsia="en-US"/>
        </w:rPr>
        <w:t>tabulu Nr.2.6.8. (5) šādā redakcijā:</w:t>
      </w:r>
    </w:p>
    <w:p w:rsidR="003635A3" w:rsidRDefault="003635A3" w:rsidP="00941771">
      <w:pPr>
        <w:pStyle w:val="Caption"/>
        <w:spacing w:after="0"/>
        <w:ind w:left="567" w:hanging="567"/>
        <w:rPr>
          <w:rFonts w:ascii="Times New Roman" w:hAnsi="Times New Roman" w:cs="Times New Roman"/>
          <w:color w:val="auto"/>
          <w:sz w:val="20"/>
          <w:szCs w:val="20"/>
          <w:lang w:val="lv-LV"/>
        </w:rPr>
      </w:pPr>
    </w:p>
    <w:p w:rsidR="00941771" w:rsidRPr="007246C6" w:rsidRDefault="00A61003" w:rsidP="00941771">
      <w:pPr>
        <w:pStyle w:val="Caption"/>
        <w:spacing w:after="0"/>
        <w:ind w:left="567" w:hanging="567"/>
        <w:rPr>
          <w:rFonts w:ascii="Times New Roman" w:hAnsi="Times New Roman" w:cs="Times New Roman"/>
          <w:b/>
          <w:color w:val="auto"/>
          <w:lang w:val="lv-LV"/>
        </w:rPr>
      </w:pPr>
      <w:r>
        <w:rPr>
          <w:rFonts w:ascii="Times New Roman" w:hAnsi="Times New Roman" w:cs="Times New Roman"/>
          <w:color w:val="auto"/>
          <w:sz w:val="20"/>
          <w:szCs w:val="20"/>
          <w:lang w:val="lv-LV"/>
        </w:rPr>
        <w:t>“</w:t>
      </w:r>
      <w:r w:rsidR="00941771" w:rsidRPr="007246C6">
        <w:rPr>
          <w:rFonts w:ascii="Times New Roman" w:hAnsi="Times New Roman" w:cs="Times New Roman"/>
          <w:color w:val="auto"/>
          <w:sz w:val="20"/>
          <w:szCs w:val="20"/>
          <w:lang w:val="lv-LV"/>
        </w:rPr>
        <w:t>Tabula Nr. 2.6.8. (5)</w:t>
      </w:r>
    </w:p>
    <w:p w:rsidR="00941771" w:rsidRPr="007246C6" w:rsidRDefault="00941771" w:rsidP="00941771">
      <w:pPr>
        <w:ind w:left="567" w:hanging="567"/>
        <w:rPr>
          <w:vanish/>
        </w:rPr>
      </w:pPr>
    </w:p>
    <w:p w:rsidR="00941771" w:rsidRPr="007246C6" w:rsidRDefault="00941771" w:rsidP="00941771">
      <w:pPr>
        <w:tabs>
          <w:tab w:val="left" w:pos="8580"/>
        </w:tabs>
        <w:ind w:left="567" w:hanging="567"/>
        <w:jc w:val="center"/>
        <w:rPr>
          <w:b/>
        </w:rPr>
      </w:pPr>
      <w:r w:rsidRPr="007246C6">
        <w:rPr>
          <w:b/>
        </w:rPr>
        <w:t>KF kopējie un specifiskie iznākuma rādītāji</w:t>
      </w:r>
    </w:p>
    <w:p w:rsidR="00941771" w:rsidRPr="007246C6" w:rsidRDefault="00941771" w:rsidP="00941771">
      <w:pPr>
        <w:ind w:left="567" w:hanging="567"/>
        <w:jc w:val="center"/>
        <w:rPr>
          <w:b/>
        </w:rPr>
      </w:pPr>
    </w:p>
    <w:tbl>
      <w:tblPr>
        <w:tblW w:w="465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445"/>
        <w:gridCol w:w="1138"/>
        <w:gridCol w:w="1273"/>
        <w:gridCol w:w="1300"/>
        <w:gridCol w:w="1292"/>
        <w:gridCol w:w="1237"/>
      </w:tblGrid>
      <w:tr w:rsidR="006014A8" w:rsidRPr="007246C6" w:rsidTr="009C37AA">
        <w:trPr>
          <w:tblHeader/>
        </w:trPr>
        <w:tc>
          <w:tcPr>
            <w:tcW w:w="556" w:type="pct"/>
            <w:shd w:val="clear" w:color="auto" w:fill="F2F2F2"/>
          </w:tcPr>
          <w:p w:rsidR="00941771" w:rsidRPr="007246C6" w:rsidRDefault="00941771" w:rsidP="006014A8">
            <w:pPr>
              <w:ind w:left="567" w:hanging="567"/>
            </w:pPr>
            <w:r w:rsidRPr="007246C6">
              <w:t>ID</w:t>
            </w:r>
          </w:p>
        </w:tc>
        <w:tc>
          <w:tcPr>
            <w:tcW w:w="836" w:type="pct"/>
            <w:shd w:val="clear" w:color="auto" w:fill="F2F2F2"/>
          </w:tcPr>
          <w:p w:rsidR="00941771" w:rsidRPr="007246C6" w:rsidRDefault="00941771" w:rsidP="006014A8">
            <w:pPr>
              <w:ind w:left="567" w:hanging="567"/>
            </w:pPr>
            <w:r w:rsidRPr="007246C6">
              <w:t>Rādītājs</w:t>
            </w:r>
          </w:p>
        </w:tc>
        <w:tc>
          <w:tcPr>
            <w:tcW w:w="658" w:type="pct"/>
            <w:shd w:val="clear" w:color="auto" w:fill="F2F2F2"/>
          </w:tcPr>
          <w:p w:rsidR="00941771" w:rsidRPr="007246C6" w:rsidRDefault="00941771" w:rsidP="006014A8">
            <w:pPr>
              <w:ind w:left="567" w:hanging="567"/>
            </w:pPr>
            <w:r w:rsidRPr="007246C6">
              <w:t>Mērvienība</w:t>
            </w:r>
          </w:p>
        </w:tc>
        <w:tc>
          <w:tcPr>
            <w:tcW w:w="736" w:type="pct"/>
            <w:shd w:val="clear" w:color="auto" w:fill="F2F2F2"/>
          </w:tcPr>
          <w:p w:rsidR="00941771" w:rsidRPr="007246C6" w:rsidRDefault="00941771" w:rsidP="006014A8">
            <w:r w:rsidRPr="007246C6">
              <w:t>Finansējums avots</w:t>
            </w:r>
          </w:p>
        </w:tc>
        <w:tc>
          <w:tcPr>
            <w:tcW w:w="752" w:type="pct"/>
            <w:shd w:val="clear" w:color="auto" w:fill="F2F2F2"/>
          </w:tcPr>
          <w:p w:rsidR="00941771" w:rsidRPr="007246C6" w:rsidRDefault="00941771" w:rsidP="006014A8">
            <w:pPr>
              <w:ind w:left="73"/>
            </w:pPr>
            <w:r w:rsidRPr="007246C6">
              <w:t>Plānotā vērtība (2023. gadā)</w:t>
            </w:r>
          </w:p>
        </w:tc>
        <w:tc>
          <w:tcPr>
            <w:tcW w:w="747" w:type="pct"/>
            <w:shd w:val="clear" w:color="auto" w:fill="F2F2F2"/>
          </w:tcPr>
          <w:p w:rsidR="00941771" w:rsidRPr="007246C6" w:rsidRDefault="00941771" w:rsidP="006014A8">
            <w:r w:rsidRPr="007246C6">
              <w:t>Datu avots</w:t>
            </w:r>
          </w:p>
        </w:tc>
        <w:tc>
          <w:tcPr>
            <w:tcW w:w="715" w:type="pct"/>
            <w:shd w:val="clear" w:color="auto" w:fill="F2F2F2"/>
          </w:tcPr>
          <w:p w:rsidR="00941771" w:rsidRPr="007246C6" w:rsidRDefault="00941771" w:rsidP="006014A8">
            <w:pPr>
              <w:ind w:left="110"/>
            </w:pPr>
            <w:r w:rsidRPr="007246C6">
              <w:t>Ziņošanas regularitāte</w:t>
            </w:r>
          </w:p>
        </w:tc>
      </w:tr>
      <w:tr w:rsidR="006014A8" w:rsidRPr="007246C6" w:rsidTr="009C37AA">
        <w:tc>
          <w:tcPr>
            <w:tcW w:w="556" w:type="pct"/>
            <w:shd w:val="clear" w:color="auto" w:fill="auto"/>
          </w:tcPr>
          <w:p w:rsidR="00941771" w:rsidRPr="007246C6" w:rsidRDefault="00941771" w:rsidP="006014A8">
            <w:pPr>
              <w:ind w:left="567" w:hanging="567"/>
            </w:pPr>
            <w:r w:rsidRPr="007246C6">
              <w:t>i.6.2.1.ak</w:t>
            </w:r>
          </w:p>
          <w:p w:rsidR="00941771" w:rsidRPr="007246C6" w:rsidRDefault="00941771" w:rsidP="006014A8">
            <w:pPr>
              <w:ind w:left="567" w:hanging="567"/>
            </w:pPr>
            <w:r w:rsidRPr="007246C6">
              <w:t>(CO12a)</w:t>
            </w:r>
          </w:p>
        </w:tc>
        <w:tc>
          <w:tcPr>
            <w:tcW w:w="836" w:type="pct"/>
            <w:shd w:val="clear" w:color="auto" w:fill="auto"/>
          </w:tcPr>
          <w:p w:rsidR="00941771" w:rsidRPr="007246C6" w:rsidRDefault="00941771" w:rsidP="006014A8">
            <w:pPr>
              <w:ind w:left="45"/>
            </w:pPr>
            <w:r w:rsidRPr="007246C6">
              <w:t xml:space="preserve">Rekonstruēto vai modernizēto </w:t>
            </w:r>
            <w:r w:rsidRPr="007246C6">
              <w:lastRenderedPageBreak/>
              <w:t xml:space="preserve">dzelzceļa līniju kopējais garums </w:t>
            </w:r>
          </w:p>
        </w:tc>
        <w:tc>
          <w:tcPr>
            <w:tcW w:w="658" w:type="pct"/>
            <w:shd w:val="clear" w:color="auto" w:fill="auto"/>
          </w:tcPr>
          <w:p w:rsidR="00941771" w:rsidRPr="007246C6" w:rsidRDefault="00941771" w:rsidP="006014A8">
            <w:pPr>
              <w:ind w:left="567" w:hanging="567"/>
            </w:pPr>
            <w:r w:rsidRPr="007246C6">
              <w:lastRenderedPageBreak/>
              <w:t>km</w:t>
            </w:r>
          </w:p>
        </w:tc>
        <w:tc>
          <w:tcPr>
            <w:tcW w:w="736" w:type="pct"/>
            <w:shd w:val="clear" w:color="auto" w:fill="auto"/>
          </w:tcPr>
          <w:p w:rsidR="00941771" w:rsidRPr="007246C6" w:rsidRDefault="00941771" w:rsidP="006014A8">
            <w:pPr>
              <w:ind w:left="567" w:hanging="567"/>
            </w:pPr>
            <w:r w:rsidRPr="007246C6">
              <w:t>KF</w:t>
            </w:r>
          </w:p>
        </w:tc>
        <w:tc>
          <w:tcPr>
            <w:tcW w:w="752" w:type="pct"/>
            <w:shd w:val="clear" w:color="auto" w:fill="auto"/>
          </w:tcPr>
          <w:p w:rsidR="00941771" w:rsidRPr="007246C6" w:rsidRDefault="00941771" w:rsidP="006014A8">
            <w:pPr>
              <w:ind w:left="73"/>
            </w:pPr>
            <w:r>
              <w:t>400</w:t>
            </w:r>
          </w:p>
        </w:tc>
        <w:tc>
          <w:tcPr>
            <w:tcW w:w="747" w:type="pct"/>
            <w:shd w:val="clear" w:color="auto" w:fill="auto"/>
          </w:tcPr>
          <w:p w:rsidR="00941771" w:rsidRPr="007246C6" w:rsidRDefault="00941771" w:rsidP="006014A8">
            <w:r w:rsidRPr="007246C6">
              <w:t>Projekta dati</w:t>
            </w:r>
          </w:p>
        </w:tc>
        <w:tc>
          <w:tcPr>
            <w:tcW w:w="715" w:type="pct"/>
          </w:tcPr>
          <w:p w:rsidR="00941771" w:rsidRPr="007246C6" w:rsidRDefault="00941771" w:rsidP="006014A8">
            <w:pPr>
              <w:ind w:left="31" w:hanging="31"/>
            </w:pPr>
            <w:r w:rsidRPr="007246C6">
              <w:t>Reizi gadā</w:t>
            </w:r>
          </w:p>
        </w:tc>
      </w:tr>
      <w:tr w:rsidR="006014A8" w:rsidRPr="007246C6" w:rsidTr="009C37AA">
        <w:tc>
          <w:tcPr>
            <w:tcW w:w="556" w:type="pct"/>
            <w:tcBorders>
              <w:top w:val="single" w:sz="4" w:space="0" w:color="auto"/>
              <w:left w:val="single" w:sz="4" w:space="0" w:color="auto"/>
              <w:bottom w:val="single" w:sz="4" w:space="0" w:color="auto"/>
              <w:right w:val="single" w:sz="4" w:space="0" w:color="auto"/>
            </w:tcBorders>
            <w:shd w:val="clear" w:color="auto" w:fill="auto"/>
          </w:tcPr>
          <w:p w:rsidR="00941771" w:rsidRPr="007246C6" w:rsidRDefault="00941771" w:rsidP="006014A8">
            <w:pPr>
              <w:ind w:left="567" w:hanging="567"/>
            </w:pPr>
            <w:r w:rsidRPr="007246C6">
              <w:lastRenderedPageBreak/>
              <w:t>i.6.2.1.b</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941771" w:rsidRPr="007246C6" w:rsidRDefault="00941771" w:rsidP="006014A8">
            <w:pPr>
              <w:ind w:left="45"/>
            </w:pPr>
            <w:r w:rsidRPr="007246C6">
              <w:t>Staciju skaits kurās uzbūvēti paaugstinātie peroni</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941771" w:rsidRPr="007246C6" w:rsidRDefault="00941771" w:rsidP="006014A8">
            <w:pPr>
              <w:ind w:left="567" w:hanging="567"/>
            </w:pPr>
            <w:r w:rsidRPr="007246C6">
              <w:t>Stacijas</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941771" w:rsidRPr="007246C6" w:rsidRDefault="00941771" w:rsidP="006014A8">
            <w:pPr>
              <w:ind w:left="567" w:hanging="567"/>
            </w:pPr>
            <w:r w:rsidRPr="007246C6">
              <w:t>KF</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941771" w:rsidRPr="007246C6" w:rsidRDefault="00941771" w:rsidP="006014A8">
            <w:pPr>
              <w:ind w:left="73"/>
            </w:pPr>
            <w:r w:rsidRPr="007246C6">
              <w:t>21</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941771" w:rsidRPr="007246C6" w:rsidRDefault="00941771" w:rsidP="006014A8">
            <w:r w:rsidRPr="007246C6">
              <w:t>Projekta dati</w:t>
            </w:r>
          </w:p>
        </w:tc>
        <w:tc>
          <w:tcPr>
            <w:tcW w:w="715" w:type="pct"/>
            <w:tcBorders>
              <w:top w:val="single" w:sz="4" w:space="0" w:color="auto"/>
              <w:left w:val="single" w:sz="4" w:space="0" w:color="auto"/>
              <w:bottom w:val="single" w:sz="4" w:space="0" w:color="auto"/>
              <w:right w:val="single" w:sz="4" w:space="0" w:color="auto"/>
            </w:tcBorders>
          </w:tcPr>
          <w:p w:rsidR="00941771" w:rsidRDefault="00941771" w:rsidP="006014A8">
            <w:pPr>
              <w:ind w:left="31" w:hanging="31"/>
            </w:pPr>
            <w:r w:rsidRPr="007246C6">
              <w:t>Reizi gadā</w:t>
            </w:r>
            <w:r w:rsidR="00A61003">
              <w:t>”</w:t>
            </w:r>
          </w:p>
          <w:p w:rsidR="00A61003" w:rsidRDefault="00A61003" w:rsidP="006014A8">
            <w:pPr>
              <w:ind w:left="31" w:hanging="31"/>
            </w:pPr>
          </w:p>
          <w:p w:rsidR="00A61003" w:rsidRDefault="00A61003" w:rsidP="006014A8">
            <w:pPr>
              <w:ind w:left="31" w:hanging="31"/>
            </w:pPr>
          </w:p>
          <w:p w:rsidR="00A61003" w:rsidRPr="007246C6" w:rsidRDefault="00A61003" w:rsidP="00A61003">
            <w:pPr>
              <w:ind w:left="31" w:hanging="31"/>
              <w:jc w:val="right"/>
            </w:pPr>
          </w:p>
        </w:tc>
      </w:tr>
    </w:tbl>
    <w:p w:rsidR="00AB2D4D" w:rsidRDefault="00AB2D4D" w:rsidP="00AB2D4D">
      <w:pPr>
        <w:jc w:val="both"/>
        <w:rPr>
          <w:sz w:val="28"/>
          <w:szCs w:val="24"/>
        </w:rPr>
      </w:pPr>
    </w:p>
    <w:p w:rsidR="006108FE" w:rsidRPr="00AB2D4D" w:rsidRDefault="00A61003" w:rsidP="0020447C">
      <w:pPr>
        <w:pStyle w:val="ListParagraph"/>
        <w:ind w:left="426"/>
        <w:jc w:val="both"/>
        <w:rPr>
          <w:sz w:val="28"/>
          <w:szCs w:val="28"/>
        </w:rPr>
      </w:pPr>
      <w:r>
        <w:rPr>
          <w:sz w:val="28"/>
          <w:szCs w:val="28"/>
        </w:rPr>
        <w:t xml:space="preserve">2. </w:t>
      </w:r>
      <w:r w:rsidR="009317E2" w:rsidRPr="00AB2D4D">
        <w:rPr>
          <w:sz w:val="28"/>
          <w:szCs w:val="28"/>
        </w:rPr>
        <w:t>Finanšu ministrijai nedēļas laikā iesniegt Valsts kancelejā precizēto Eiropas Savienības struktūrfondu un Kohēzijas fonda 2014.</w:t>
      </w:r>
      <w:r w:rsidR="00997237" w:rsidRPr="00AB2D4D">
        <w:rPr>
          <w:sz w:val="28"/>
          <w:szCs w:val="28"/>
        </w:rPr>
        <w:t>–</w:t>
      </w:r>
      <w:r w:rsidR="009317E2" w:rsidRPr="00AB2D4D">
        <w:rPr>
          <w:sz w:val="28"/>
          <w:szCs w:val="28"/>
        </w:rPr>
        <w:t>2020</w:t>
      </w:r>
      <w:r w:rsidR="006449F2">
        <w:rPr>
          <w:sz w:val="28"/>
          <w:szCs w:val="28"/>
        </w:rPr>
        <w:t>.</w:t>
      </w:r>
      <w:r w:rsidR="007B6F70" w:rsidRPr="00AB2D4D">
        <w:rPr>
          <w:sz w:val="28"/>
          <w:szCs w:val="28"/>
        </w:rPr>
        <w:t>gad</w:t>
      </w:r>
      <w:r w:rsidR="009317E2" w:rsidRPr="00AB2D4D">
        <w:rPr>
          <w:sz w:val="28"/>
          <w:szCs w:val="28"/>
        </w:rPr>
        <w:t xml:space="preserve">a plānošanas perioda darbības programmu </w:t>
      </w:r>
      <w:r w:rsidR="003635A3" w:rsidRPr="00AB2D4D">
        <w:rPr>
          <w:sz w:val="28"/>
          <w:szCs w:val="28"/>
        </w:rPr>
        <w:t>“</w:t>
      </w:r>
      <w:r w:rsidR="009317E2" w:rsidRPr="00AB2D4D">
        <w:rPr>
          <w:sz w:val="28"/>
          <w:szCs w:val="28"/>
        </w:rPr>
        <w:t>Izaugsme un nodarbinātība</w:t>
      </w:r>
      <w:r w:rsidR="003635A3" w:rsidRPr="00AB2D4D">
        <w:rPr>
          <w:sz w:val="28"/>
          <w:szCs w:val="28"/>
        </w:rPr>
        <w:t>”</w:t>
      </w:r>
      <w:r w:rsidR="009317E2" w:rsidRPr="00AB2D4D">
        <w:rPr>
          <w:sz w:val="28"/>
          <w:szCs w:val="28"/>
        </w:rPr>
        <w:t>.</w:t>
      </w:r>
    </w:p>
    <w:p w:rsidR="009A1666" w:rsidRPr="00022472" w:rsidRDefault="009A1666" w:rsidP="00DA2A19">
      <w:pPr>
        <w:ind w:firstLine="720"/>
        <w:jc w:val="both"/>
        <w:rPr>
          <w:sz w:val="28"/>
          <w:szCs w:val="28"/>
        </w:rPr>
      </w:pPr>
    </w:p>
    <w:p w:rsidR="00D70476" w:rsidRPr="00022472" w:rsidRDefault="00D70476" w:rsidP="00DA2A19">
      <w:pPr>
        <w:ind w:firstLine="720"/>
        <w:jc w:val="both"/>
        <w:rPr>
          <w:sz w:val="28"/>
          <w:szCs w:val="28"/>
        </w:rPr>
      </w:pPr>
    </w:p>
    <w:p w:rsidR="008E5886" w:rsidRPr="00022472" w:rsidRDefault="00470C84" w:rsidP="00DA2A19">
      <w:pPr>
        <w:tabs>
          <w:tab w:val="left" w:pos="6804"/>
        </w:tabs>
        <w:ind w:firstLine="720"/>
        <w:jc w:val="both"/>
        <w:rPr>
          <w:sz w:val="28"/>
          <w:szCs w:val="28"/>
        </w:rPr>
      </w:pPr>
      <w:r w:rsidRPr="00022472">
        <w:rPr>
          <w:sz w:val="28"/>
          <w:szCs w:val="28"/>
        </w:rPr>
        <w:t>Ministru prezidents</w:t>
      </w:r>
      <w:r w:rsidR="008E5886" w:rsidRPr="00022472">
        <w:rPr>
          <w:sz w:val="28"/>
          <w:szCs w:val="28"/>
        </w:rPr>
        <w:tab/>
      </w:r>
      <w:r w:rsidRPr="00022472">
        <w:rPr>
          <w:sz w:val="28"/>
          <w:szCs w:val="28"/>
        </w:rPr>
        <w:t>Māris Kučinskis</w:t>
      </w:r>
    </w:p>
    <w:p w:rsidR="008E5886" w:rsidRPr="00022472" w:rsidRDefault="008E5886" w:rsidP="00DA2A19">
      <w:pPr>
        <w:ind w:firstLine="720"/>
        <w:jc w:val="both"/>
        <w:rPr>
          <w:sz w:val="28"/>
          <w:szCs w:val="28"/>
        </w:rPr>
      </w:pPr>
    </w:p>
    <w:p w:rsidR="005460A2" w:rsidRDefault="005460A2" w:rsidP="005460A2">
      <w:pPr>
        <w:ind w:firstLine="720"/>
        <w:jc w:val="both"/>
        <w:rPr>
          <w:sz w:val="24"/>
          <w:szCs w:val="28"/>
        </w:rPr>
      </w:pPr>
      <w:r w:rsidRPr="005460A2">
        <w:rPr>
          <w:sz w:val="28"/>
          <w:szCs w:val="28"/>
        </w:rPr>
        <w:t>Finanšu ministre</w:t>
      </w:r>
      <w:r w:rsidRPr="005460A2">
        <w:rPr>
          <w:sz w:val="28"/>
          <w:szCs w:val="28"/>
        </w:rPr>
        <w:tab/>
      </w:r>
      <w:r w:rsidR="003635A3">
        <w:rPr>
          <w:sz w:val="28"/>
          <w:szCs w:val="28"/>
        </w:rPr>
        <w:tab/>
      </w:r>
      <w:r w:rsidR="003635A3">
        <w:rPr>
          <w:sz w:val="28"/>
          <w:szCs w:val="28"/>
        </w:rPr>
        <w:tab/>
      </w:r>
      <w:r w:rsidR="003635A3">
        <w:rPr>
          <w:sz w:val="28"/>
          <w:szCs w:val="28"/>
        </w:rPr>
        <w:tab/>
      </w:r>
      <w:r w:rsidR="003635A3">
        <w:rPr>
          <w:sz w:val="28"/>
          <w:szCs w:val="28"/>
        </w:rPr>
        <w:tab/>
      </w:r>
      <w:r w:rsidR="003635A3">
        <w:rPr>
          <w:sz w:val="28"/>
          <w:szCs w:val="28"/>
        </w:rPr>
        <w:tab/>
      </w:r>
      <w:r w:rsidRPr="005460A2">
        <w:rPr>
          <w:sz w:val="28"/>
          <w:szCs w:val="28"/>
        </w:rPr>
        <w:t>Dana Reizniece-Ozola</w:t>
      </w:r>
    </w:p>
    <w:p w:rsidR="005460A2" w:rsidRDefault="005460A2" w:rsidP="005460A2">
      <w:pPr>
        <w:tabs>
          <w:tab w:val="left" w:pos="6521"/>
        </w:tabs>
        <w:ind w:firstLine="709"/>
        <w:jc w:val="both"/>
        <w:rPr>
          <w:sz w:val="24"/>
          <w:szCs w:val="28"/>
        </w:rPr>
      </w:pPr>
    </w:p>
    <w:p w:rsidR="005460A2" w:rsidRDefault="005460A2" w:rsidP="005460A2">
      <w:pPr>
        <w:tabs>
          <w:tab w:val="left" w:pos="6521"/>
        </w:tabs>
        <w:ind w:firstLine="709"/>
        <w:jc w:val="both"/>
        <w:rPr>
          <w:sz w:val="24"/>
          <w:szCs w:val="28"/>
        </w:rPr>
      </w:pPr>
    </w:p>
    <w:p w:rsidR="005460A2" w:rsidRPr="00203335" w:rsidRDefault="00983782" w:rsidP="005460A2">
      <w:pPr>
        <w:tabs>
          <w:tab w:val="left" w:pos="3390"/>
        </w:tabs>
        <w:ind w:right="26"/>
        <w:jc w:val="both"/>
      </w:pPr>
      <w:r>
        <w:t>16.08.2016 13:38</w:t>
      </w:r>
      <w:bookmarkStart w:id="0" w:name="_GoBack"/>
      <w:bookmarkEnd w:id="0"/>
    </w:p>
    <w:p w:rsidR="005460A2" w:rsidRPr="003A0763" w:rsidRDefault="00DB7930" w:rsidP="005460A2">
      <w:pPr>
        <w:tabs>
          <w:tab w:val="left" w:pos="3390"/>
        </w:tabs>
        <w:ind w:right="26"/>
        <w:jc w:val="both"/>
      </w:pPr>
      <w:r w:rsidRPr="003A0763">
        <w:t>64</w:t>
      </w:r>
      <w:r w:rsidR="00440A00">
        <w:t>8</w:t>
      </w:r>
    </w:p>
    <w:p w:rsidR="00237ACF" w:rsidRPr="00861BA2" w:rsidRDefault="00237ACF" w:rsidP="00237ACF">
      <w:pPr>
        <w:rPr>
          <w:rFonts w:eastAsiaTheme="minorHAnsi" w:cstheme="minorBidi"/>
        </w:rPr>
      </w:pPr>
      <w:r w:rsidRPr="00861BA2">
        <w:rPr>
          <w:rFonts w:eastAsiaTheme="minorHAnsi" w:cstheme="minorBidi"/>
        </w:rPr>
        <w:t xml:space="preserve">Finanšu ministrijas </w:t>
      </w:r>
    </w:p>
    <w:p w:rsidR="00237ACF" w:rsidRPr="00861BA2" w:rsidRDefault="00237ACF" w:rsidP="00237ACF">
      <w:pPr>
        <w:rPr>
          <w:rFonts w:eastAsiaTheme="minorHAnsi" w:cstheme="minorBidi"/>
        </w:rPr>
      </w:pPr>
      <w:r w:rsidRPr="00861BA2">
        <w:rPr>
          <w:rFonts w:eastAsiaTheme="minorHAnsi" w:cstheme="minorBidi"/>
        </w:rPr>
        <w:t>Eiropas Savienības fondu stratēģijas departamenta</w:t>
      </w:r>
    </w:p>
    <w:p w:rsidR="00237ACF" w:rsidRPr="00861BA2" w:rsidRDefault="00237ACF" w:rsidP="00237ACF">
      <w:pPr>
        <w:rPr>
          <w:rFonts w:eastAsiaTheme="minorHAnsi" w:cstheme="minorBidi"/>
        </w:rPr>
      </w:pPr>
      <w:r w:rsidRPr="00861BA2">
        <w:rPr>
          <w:rFonts w:eastAsiaTheme="minorHAnsi" w:cstheme="minorBidi"/>
        </w:rPr>
        <w:t xml:space="preserve">Cilvēkresursu un publisko investīciju </w:t>
      </w:r>
    </w:p>
    <w:p w:rsidR="00237ACF" w:rsidRPr="00861BA2" w:rsidRDefault="00237ACF" w:rsidP="00237ACF">
      <w:pPr>
        <w:rPr>
          <w:rFonts w:eastAsiaTheme="minorHAnsi" w:cstheme="minorBidi"/>
        </w:rPr>
      </w:pPr>
      <w:r w:rsidRPr="00861BA2">
        <w:rPr>
          <w:rFonts w:eastAsiaTheme="minorHAnsi" w:cstheme="minorBidi"/>
        </w:rPr>
        <w:t>plānošanas nodaļas</w:t>
      </w:r>
    </w:p>
    <w:p w:rsidR="00237ACF" w:rsidRPr="00861BA2" w:rsidRDefault="00237ACF" w:rsidP="00237ACF">
      <w:pPr>
        <w:rPr>
          <w:rFonts w:eastAsiaTheme="minorHAnsi" w:cstheme="minorBidi"/>
        </w:rPr>
      </w:pPr>
      <w:r w:rsidRPr="00861BA2">
        <w:rPr>
          <w:rFonts w:eastAsiaTheme="minorHAnsi" w:cstheme="minorBidi"/>
        </w:rPr>
        <w:t>vecākā eksperte</w:t>
      </w:r>
    </w:p>
    <w:p w:rsidR="000748FE" w:rsidRPr="001E6010" w:rsidRDefault="000748FE" w:rsidP="000748FE">
      <w:pPr>
        <w:tabs>
          <w:tab w:val="left" w:pos="6740"/>
        </w:tabs>
        <w:jc w:val="both"/>
      </w:pPr>
      <w:r>
        <w:t>Evita Bāliņa, 67083839</w:t>
      </w:r>
    </w:p>
    <w:p w:rsidR="008E5886" w:rsidRPr="00237ACF" w:rsidRDefault="00813B77" w:rsidP="000748FE">
      <w:pPr>
        <w:tabs>
          <w:tab w:val="left" w:pos="6740"/>
        </w:tabs>
        <w:jc w:val="both"/>
        <w:rPr>
          <w:color w:val="0563C1" w:themeColor="hyperlink"/>
          <w:u w:val="single"/>
        </w:rPr>
      </w:pPr>
      <w:hyperlink r:id="rId8" w:history="1">
        <w:r w:rsidR="000748FE" w:rsidRPr="008C18C7">
          <w:rPr>
            <w:rStyle w:val="Hyperlink"/>
          </w:rPr>
          <w:t>Evita.Balina@fm.gov.lv</w:t>
        </w:r>
      </w:hyperlink>
    </w:p>
    <w:sectPr w:rsidR="008E5886" w:rsidRPr="00237ACF" w:rsidSect="00A02BDB">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77" w:rsidRDefault="00813B77" w:rsidP="008C5391">
      <w:r>
        <w:separator/>
      </w:r>
    </w:p>
  </w:endnote>
  <w:endnote w:type="continuationSeparator" w:id="0">
    <w:p w:rsidR="00813B77" w:rsidRDefault="00813B77"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F6" w:rsidRPr="00237ACF" w:rsidRDefault="0034413F" w:rsidP="00237ACF">
    <w:pPr>
      <w:pStyle w:val="Footer"/>
    </w:pPr>
    <w:fldSimple w:instr=" FILENAME   \* MERGEFORMAT ">
      <w:r>
        <w:rPr>
          <w:noProof/>
        </w:rPr>
        <w:t>FMRik_16082016_DP.docx</w:t>
      </w:r>
    </w:fldSimple>
    <w:r w:rsidR="00237ACF" w:rsidRPr="00181E20">
      <w:t>; Ministru kabineta rīkojuma projekt</w:t>
    </w:r>
    <w:r w:rsidR="00237ACF">
      <w:t>s “Grozījumi Ministru kabineta 2016.gada 3.maijarīkojumā Nr.274</w:t>
    </w:r>
    <w:r w:rsidR="00237ACF" w:rsidRPr="00181E20">
      <w:t xml:space="preserve"> </w:t>
    </w:r>
    <w:r w:rsidR="00237ACF">
      <w:t xml:space="preserve">“Grozījumi </w:t>
    </w:r>
    <w:r w:rsidR="00237ACF" w:rsidRPr="00181E20">
      <w:t>Eiropas Savienības struktūrfondu un Kohēzijas fonda 2014.-2020.gada plāno</w:t>
    </w:r>
    <w:r w:rsidR="00237ACF">
      <w:t>šanas perioda darbības programmā</w:t>
    </w:r>
    <w:r w:rsidR="00237ACF" w:rsidRPr="00181E20">
      <w:t xml:space="preserve"> “Izaugsme un nodarbinātība””</w:t>
    </w:r>
    <w:r w:rsidR="00237AC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F6" w:rsidRPr="00237ACF" w:rsidRDefault="00813B77" w:rsidP="006014A8">
    <w:pPr>
      <w:pStyle w:val="Footer"/>
      <w:jc w:val="both"/>
      <w:rPr>
        <w:noProof/>
      </w:rPr>
    </w:pPr>
    <w:r>
      <w:fldChar w:fldCharType="begin"/>
    </w:r>
    <w:r>
      <w:instrText xml:space="preserve"> FILENAME   \* MERGEFORMAT </w:instrText>
    </w:r>
    <w:r>
      <w:fldChar w:fldCharType="separate"/>
    </w:r>
    <w:r w:rsidR="0034413F">
      <w:rPr>
        <w:noProof/>
      </w:rPr>
      <w:t>FMRik_16082016_DP.docx</w:t>
    </w:r>
    <w:r>
      <w:rPr>
        <w:noProof/>
      </w:rPr>
      <w:fldChar w:fldCharType="end"/>
    </w:r>
    <w:r w:rsidR="00237ACF" w:rsidRPr="00181E20">
      <w:t>; Ministru kabineta rīkojuma projekt</w:t>
    </w:r>
    <w:r w:rsidR="00237ACF">
      <w:t xml:space="preserve">s </w:t>
    </w:r>
    <w:r w:rsidR="006014A8">
      <w:t>“Grozījumi Eiropas Savienības struktūrfondu un Kohēzijas fonda 2014.–2020.gada plānošanas perioda darbības programmā “Izaugsme un nodarbinātība”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77" w:rsidRDefault="00813B77" w:rsidP="008C5391">
      <w:r>
        <w:separator/>
      </w:r>
    </w:p>
  </w:footnote>
  <w:footnote w:type="continuationSeparator" w:id="0">
    <w:p w:rsidR="00813B77" w:rsidRDefault="00813B77" w:rsidP="008C5391">
      <w:r>
        <w:continuationSeparator/>
      </w:r>
    </w:p>
  </w:footnote>
  <w:footnote w:id="1">
    <w:p w:rsidR="000368A4" w:rsidRPr="001E57FE" w:rsidRDefault="000368A4" w:rsidP="000368A4">
      <w:pPr>
        <w:pStyle w:val="FootnoteText"/>
      </w:pPr>
      <w:r w:rsidRPr="001E57FE">
        <w:rPr>
          <w:rStyle w:val="FootnoteReference"/>
        </w:rPr>
        <w:footnoteRef/>
      </w:r>
      <w:r w:rsidRPr="001E57FE">
        <w:t xml:space="preserve"> CSP dati – </w:t>
      </w:r>
      <w:r w:rsidRPr="001E57FE">
        <w:rPr>
          <w:shd w:val="clear" w:color="auto" w:fill="FFFFFF"/>
        </w:rPr>
        <w:t>mācības pārtraukušie jaunieši 18–24 gadu vecumā pilsētās un laukos pēc dzimuma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81953"/>
      <w:docPartObj>
        <w:docPartGallery w:val="Page Numbers (Top of Page)"/>
        <w:docPartUnique/>
      </w:docPartObj>
    </w:sdtPr>
    <w:sdtEndPr>
      <w:rPr>
        <w:noProof/>
        <w:sz w:val="24"/>
        <w:szCs w:val="24"/>
      </w:rPr>
    </w:sdtEndPr>
    <w:sdtContent>
      <w:p w:rsidR="003A22F6" w:rsidRPr="008E5886" w:rsidRDefault="003A22F6">
        <w:pPr>
          <w:pStyle w:val="Header"/>
          <w:jc w:val="center"/>
          <w:rPr>
            <w:sz w:val="24"/>
            <w:szCs w:val="24"/>
          </w:rPr>
        </w:pPr>
        <w:r w:rsidRPr="008E5886">
          <w:rPr>
            <w:sz w:val="24"/>
            <w:szCs w:val="24"/>
          </w:rPr>
          <w:fldChar w:fldCharType="begin"/>
        </w:r>
        <w:r w:rsidRPr="008E5886">
          <w:rPr>
            <w:sz w:val="24"/>
            <w:szCs w:val="24"/>
          </w:rPr>
          <w:instrText xml:space="preserve"> PAGE   \* MERGEFORMAT </w:instrText>
        </w:r>
        <w:r w:rsidRPr="008E5886">
          <w:rPr>
            <w:sz w:val="24"/>
            <w:szCs w:val="24"/>
          </w:rPr>
          <w:fldChar w:fldCharType="separate"/>
        </w:r>
        <w:r w:rsidR="00983782">
          <w:rPr>
            <w:noProof/>
            <w:sz w:val="24"/>
            <w:szCs w:val="24"/>
          </w:rPr>
          <w:t>3</w:t>
        </w:r>
        <w:r w:rsidRPr="008E5886">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F6" w:rsidRPr="00D31395" w:rsidRDefault="003A22F6">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5A5866"/>
    <w:multiLevelType w:val="multilevel"/>
    <w:tmpl w:val="FF448A76"/>
    <w:lvl w:ilvl="0">
      <w:start w:val="1"/>
      <w:numFmt w:val="decimal"/>
      <w:lvlText w:val="%1."/>
      <w:lvlJc w:val="left"/>
      <w:pPr>
        <w:ind w:left="480" w:hanging="480"/>
      </w:pPr>
      <w:rPr>
        <w:rFonts w:hint="default"/>
      </w:rPr>
    </w:lvl>
    <w:lvl w:ilvl="1">
      <w:start w:val="7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low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4370968"/>
    <w:multiLevelType w:val="multilevel"/>
    <w:tmpl w:val="90D816C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2.%3."/>
      <w:lvlJc w:val="left"/>
      <w:pPr>
        <w:ind w:left="1224" w:hanging="504"/>
      </w:pPr>
      <w:rPr>
        <w:rFonts w:hint="default"/>
      </w:rPr>
    </w:lvl>
    <w:lvl w:ilvl="3">
      <w:start w:val="1"/>
      <w:numFmt w:val="none"/>
      <w:lvlText w:val="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CD67CD"/>
    <w:multiLevelType w:val="multilevel"/>
    <w:tmpl w:val="C7E67212"/>
    <w:lvl w:ilvl="0">
      <w:start w:val="1"/>
      <w:numFmt w:val="decimal"/>
      <w:lvlText w:val="%1."/>
      <w:lvlJc w:val="left"/>
      <w:pPr>
        <w:ind w:left="480" w:hanging="480"/>
      </w:pPr>
      <w:rPr>
        <w:rFonts w:hint="default"/>
      </w:rPr>
    </w:lvl>
    <w:lvl w:ilvl="1">
      <w:start w:val="7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low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45E3424"/>
    <w:multiLevelType w:val="multilevel"/>
    <w:tmpl w:val="1B4EEFCA"/>
    <w:lvl w:ilvl="0">
      <w:start w:val="5"/>
      <w:numFmt w:val="decimal"/>
      <w:lvlText w:val="%1."/>
      <w:lvlJc w:val="left"/>
      <w:pPr>
        <w:ind w:left="1172" w:hanging="432"/>
      </w:pPr>
      <w:rPr>
        <w:rFonts w:hint="default"/>
      </w:rPr>
    </w:lvl>
    <w:lvl w:ilvl="1">
      <w:start w:val="1"/>
      <w:numFmt w:val="decimal"/>
      <w:lvlText w:val="%1.%2."/>
      <w:lvlJc w:val="left"/>
      <w:pPr>
        <w:ind w:left="2252" w:hanging="720"/>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196" w:hanging="1080"/>
      </w:pPr>
      <w:rPr>
        <w:rFonts w:hint="default"/>
      </w:rPr>
    </w:lvl>
    <w:lvl w:ilvl="4">
      <w:start w:val="1"/>
      <w:numFmt w:val="decimal"/>
      <w:lvlText w:val="%1.%2.%3.%4.%5."/>
      <w:lvlJc w:val="left"/>
      <w:pPr>
        <w:ind w:left="4988" w:hanging="1080"/>
      </w:pPr>
      <w:rPr>
        <w:rFonts w:hint="default"/>
      </w:rPr>
    </w:lvl>
    <w:lvl w:ilvl="5">
      <w:start w:val="1"/>
      <w:numFmt w:val="decimal"/>
      <w:lvlText w:val="%1.%2.%3.%4.%5.%6."/>
      <w:lvlJc w:val="left"/>
      <w:pPr>
        <w:ind w:left="6140" w:hanging="1440"/>
      </w:pPr>
      <w:rPr>
        <w:rFonts w:hint="default"/>
      </w:rPr>
    </w:lvl>
    <w:lvl w:ilvl="6">
      <w:start w:val="1"/>
      <w:numFmt w:val="decimal"/>
      <w:lvlText w:val="%1.%2.%3.%4.%5.%6.%7."/>
      <w:lvlJc w:val="left"/>
      <w:pPr>
        <w:ind w:left="7292" w:hanging="1800"/>
      </w:pPr>
      <w:rPr>
        <w:rFonts w:hint="default"/>
      </w:rPr>
    </w:lvl>
    <w:lvl w:ilvl="7">
      <w:start w:val="1"/>
      <w:numFmt w:val="decimal"/>
      <w:lvlText w:val="%1.%2.%3.%4.%5.%6.%7.%8."/>
      <w:lvlJc w:val="left"/>
      <w:pPr>
        <w:ind w:left="8084" w:hanging="1800"/>
      </w:pPr>
      <w:rPr>
        <w:rFonts w:hint="default"/>
      </w:rPr>
    </w:lvl>
    <w:lvl w:ilvl="8">
      <w:start w:val="1"/>
      <w:numFmt w:val="decimal"/>
      <w:lvlText w:val="%1.%2.%3.%4.%5.%6.%7.%8.%9."/>
      <w:lvlJc w:val="left"/>
      <w:pPr>
        <w:ind w:left="9236" w:hanging="2160"/>
      </w:pPr>
      <w:rPr>
        <w:rFonts w:hint="default"/>
      </w:rPr>
    </w:lvl>
  </w:abstractNum>
  <w:abstractNum w:abstractNumId="5">
    <w:nsid w:val="530F350E"/>
    <w:multiLevelType w:val="hybridMultilevel"/>
    <w:tmpl w:val="37AE9F3E"/>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897DDC"/>
    <w:multiLevelType w:val="multilevel"/>
    <w:tmpl w:val="59B04770"/>
    <w:lvl w:ilvl="0">
      <w:start w:val="1"/>
      <w:numFmt w:val="decimal"/>
      <w:lvlText w:val="%1."/>
      <w:lvlJc w:val="left"/>
      <w:pPr>
        <w:ind w:left="600" w:hanging="600"/>
      </w:pPr>
      <w:rPr>
        <w:rFonts w:hint="default"/>
        <w:sz w:val="28"/>
      </w:rPr>
    </w:lvl>
    <w:lvl w:ilvl="1">
      <w:start w:val="19"/>
      <w:numFmt w:val="decimal"/>
      <w:lvlText w:val="%1.%2."/>
      <w:lvlJc w:val="left"/>
      <w:pPr>
        <w:ind w:left="1593" w:hanging="600"/>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7">
    <w:nsid w:val="674E75AE"/>
    <w:multiLevelType w:val="hybridMultilevel"/>
    <w:tmpl w:val="CE821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9">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48E4800"/>
    <w:multiLevelType w:val="multilevel"/>
    <w:tmpl w:val="A34C40C6"/>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4B62A1B"/>
    <w:multiLevelType w:val="multilevel"/>
    <w:tmpl w:val="03567BEC"/>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BD90A4A"/>
    <w:multiLevelType w:val="hybridMultilevel"/>
    <w:tmpl w:val="CF0E0244"/>
    <w:lvl w:ilvl="0" w:tplc="04260011">
      <w:start w:val="1"/>
      <w:numFmt w:val="decimal"/>
      <w:lvlText w:val="%1)"/>
      <w:lvlJc w:val="left"/>
      <w:pPr>
        <w:ind w:left="720" w:hanging="360"/>
      </w:pPr>
      <w:rPr>
        <w:rFonts w:hint="default"/>
        <w:b w:val="0"/>
        <w:i w:val="0"/>
        <w:strike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0"/>
  </w:num>
  <w:num w:numId="5">
    <w:abstractNumId w:val="7"/>
  </w:num>
  <w:num w:numId="6">
    <w:abstractNumId w:val="9"/>
  </w:num>
  <w:num w:numId="7">
    <w:abstractNumId w:val="6"/>
  </w:num>
  <w:num w:numId="8">
    <w:abstractNumId w:val="3"/>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3A"/>
    <w:rsid w:val="000112C6"/>
    <w:rsid w:val="0001328F"/>
    <w:rsid w:val="0001453A"/>
    <w:rsid w:val="000149CE"/>
    <w:rsid w:val="00017C29"/>
    <w:rsid w:val="000206E1"/>
    <w:rsid w:val="00022472"/>
    <w:rsid w:val="00025BD8"/>
    <w:rsid w:val="00035CC8"/>
    <w:rsid w:val="000368A4"/>
    <w:rsid w:val="00037207"/>
    <w:rsid w:val="00044A24"/>
    <w:rsid w:val="000450FB"/>
    <w:rsid w:val="00051654"/>
    <w:rsid w:val="00051E7D"/>
    <w:rsid w:val="000539E1"/>
    <w:rsid w:val="00057A23"/>
    <w:rsid w:val="000715F5"/>
    <w:rsid w:val="00071C85"/>
    <w:rsid w:val="000726DD"/>
    <w:rsid w:val="000748FE"/>
    <w:rsid w:val="0008154F"/>
    <w:rsid w:val="000823A2"/>
    <w:rsid w:val="000862FB"/>
    <w:rsid w:val="00090ADF"/>
    <w:rsid w:val="000919BB"/>
    <w:rsid w:val="000A09A3"/>
    <w:rsid w:val="000B2495"/>
    <w:rsid w:val="000B26E7"/>
    <w:rsid w:val="000B295F"/>
    <w:rsid w:val="000B4D9F"/>
    <w:rsid w:val="000B5028"/>
    <w:rsid w:val="000C209B"/>
    <w:rsid w:val="000D019B"/>
    <w:rsid w:val="000D04EB"/>
    <w:rsid w:val="000D1C6F"/>
    <w:rsid w:val="000D216E"/>
    <w:rsid w:val="000D5149"/>
    <w:rsid w:val="000E4FF6"/>
    <w:rsid w:val="000F223D"/>
    <w:rsid w:val="000F2241"/>
    <w:rsid w:val="000F3D9E"/>
    <w:rsid w:val="00100B05"/>
    <w:rsid w:val="00101E8E"/>
    <w:rsid w:val="00113603"/>
    <w:rsid w:val="001139AC"/>
    <w:rsid w:val="00114CE4"/>
    <w:rsid w:val="001204A3"/>
    <w:rsid w:val="00120D73"/>
    <w:rsid w:val="0012414B"/>
    <w:rsid w:val="00133762"/>
    <w:rsid w:val="00141168"/>
    <w:rsid w:val="00144ADA"/>
    <w:rsid w:val="00151270"/>
    <w:rsid w:val="00152AD7"/>
    <w:rsid w:val="00155754"/>
    <w:rsid w:val="00155C0A"/>
    <w:rsid w:val="0015771B"/>
    <w:rsid w:val="00161051"/>
    <w:rsid w:val="0016218A"/>
    <w:rsid w:val="00164D6C"/>
    <w:rsid w:val="00175191"/>
    <w:rsid w:val="00175BCA"/>
    <w:rsid w:val="00175D09"/>
    <w:rsid w:val="00177EAA"/>
    <w:rsid w:val="00181C40"/>
    <w:rsid w:val="00183214"/>
    <w:rsid w:val="00184540"/>
    <w:rsid w:val="001873BD"/>
    <w:rsid w:val="00196020"/>
    <w:rsid w:val="00196E5F"/>
    <w:rsid w:val="001974CB"/>
    <w:rsid w:val="001A0289"/>
    <w:rsid w:val="001A0D57"/>
    <w:rsid w:val="001A3760"/>
    <w:rsid w:val="001B0C9A"/>
    <w:rsid w:val="001B5328"/>
    <w:rsid w:val="001C12A4"/>
    <w:rsid w:val="001C3ED9"/>
    <w:rsid w:val="001D547C"/>
    <w:rsid w:val="001D57EC"/>
    <w:rsid w:val="001D5F8D"/>
    <w:rsid w:val="001D6EFC"/>
    <w:rsid w:val="001E061F"/>
    <w:rsid w:val="001E31C9"/>
    <w:rsid w:val="001E3DFB"/>
    <w:rsid w:val="001E47A7"/>
    <w:rsid w:val="001E518B"/>
    <w:rsid w:val="001E57FE"/>
    <w:rsid w:val="001E7DB0"/>
    <w:rsid w:val="001F69B6"/>
    <w:rsid w:val="0020447C"/>
    <w:rsid w:val="00205752"/>
    <w:rsid w:val="00211FD0"/>
    <w:rsid w:val="00214382"/>
    <w:rsid w:val="002143B1"/>
    <w:rsid w:val="00214621"/>
    <w:rsid w:val="00216BFF"/>
    <w:rsid w:val="00216CA9"/>
    <w:rsid w:val="0022104D"/>
    <w:rsid w:val="00225280"/>
    <w:rsid w:val="00227156"/>
    <w:rsid w:val="0023209C"/>
    <w:rsid w:val="00237ACF"/>
    <w:rsid w:val="002417E5"/>
    <w:rsid w:val="00242C40"/>
    <w:rsid w:val="002442B8"/>
    <w:rsid w:val="00246BA1"/>
    <w:rsid w:val="00247646"/>
    <w:rsid w:val="00250E84"/>
    <w:rsid w:val="0026558A"/>
    <w:rsid w:val="002663E6"/>
    <w:rsid w:val="00272DFF"/>
    <w:rsid w:val="00280633"/>
    <w:rsid w:val="00281C3D"/>
    <w:rsid w:val="00295BD9"/>
    <w:rsid w:val="00295F43"/>
    <w:rsid w:val="002A07BE"/>
    <w:rsid w:val="002B40F3"/>
    <w:rsid w:val="002C0092"/>
    <w:rsid w:val="002C524D"/>
    <w:rsid w:val="002D13D2"/>
    <w:rsid w:val="002D2ED6"/>
    <w:rsid w:val="002D5EC2"/>
    <w:rsid w:val="002F101D"/>
    <w:rsid w:val="002F2E5E"/>
    <w:rsid w:val="002F77D8"/>
    <w:rsid w:val="002F7A82"/>
    <w:rsid w:val="002F7CDC"/>
    <w:rsid w:val="00300618"/>
    <w:rsid w:val="003016EE"/>
    <w:rsid w:val="0030279C"/>
    <w:rsid w:val="00303E87"/>
    <w:rsid w:val="00305840"/>
    <w:rsid w:val="00306162"/>
    <w:rsid w:val="003108F1"/>
    <w:rsid w:val="00312DC6"/>
    <w:rsid w:val="00315A73"/>
    <w:rsid w:val="003261B5"/>
    <w:rsid w:val="003331F3"/>
    <w:rsid w:val="00333424"/>
    <w:rsid w:val="00334971"/>
    <w:rsid w:val="00334CB5"/>
    <w:rsid w:val="00335D8D"/>
    <w:rsid w:val="00336B0D"/>
    <w:rsid w:val="003418F4"/>
    <w:rsid w:val="0034413F"/>
    <w:rsid w:val="00347514"/>
    <w:rsid w:val="00351C77"/>
    <w:rsid w:val="00351FFE"/>
    <w:rsid w:val="00352910"/>
    <w:rsid w:val="003532FB"/>
    <w:rsid w:val="00355872"/>
    <w:rsid w:val="00360FAA"/>
    <w:rsid w:val="00362C06"/>
    <w:rsid w:val="003635A3"/>
    <w:rsid w:val="003647B8"/>
    <w:rsid w:val="00365EDA"/>
    <w:rsid w:val="0036735C"/>
    <w:rsid w:val="00373F10"/>
    <w:rsid w:val="003768EF"/>
    <w:rsid w:val="003768FC"/>
    <w:rsid w:val="00377E71"/>
    <w:rsid w:val="00381FB1"/>
    <w:rsid w:val="00382457"/>
    <w:rsid w:val="003838B5"/>
    <w:rsid w:val="00387A48"/>
    <w:rsid w:val="00392C7D"/>
    <w:rsid w:val="003960DE"/>
    <w:rsid w:val="003A0763"/>
    <w:rsid w:val="003A1717"/>
    <w:rsid w:val="003A190C"/>
    <w:rsid w:val="003A1BCA"/>
    <w:rsid w:val="003A22BC"/>
    <w:rsid w:val="003A22F6"/>
    <w:rsid w:val="003A6990"/>
    <w:rsid w:val="003B14C5"/>
    <w:rsid w:val="003B14D6"/>
    <w:rsid w:val="003B4A78"/>
    <w:rsid w:val="003C493B"/>
    <w:rsid w:val="003C530F"/>
    <w:rsid w:val="003C5386"/>
    <w:rsid w:val="003D0CC8"/>
    <w:rsid w:val="003D1346"/>
    <w:rsid w:val="003D46E5"/>
    <w:rsid w:val="003D6DD1"/>
    <w:rsid w:val="003E1FDA"/>
    <w:rsid w:val="003E29B8"/>
    <w:rsid w:val="003E5313"/>
    <w:rsid w:val="003F52B6"/>
    <w:rsid w:val="003F611E"/>
    <w:rsid w:val="003F747F"/>
    <w:rsid w:val="003F76C8"/>
    <w:rsid w:val="00404233"/>
    <w:rsid w:val="00404E5D"/>
    <w:rsid w:val="00410326"/>
    <w:rsid w:val="00414882"/>
    <w:rsid w:val="00414FC8"/>
    <w:rsid w:val="00416BAD"/>
    <w:rsid w:val="00424A7D"/>
    <w:rsid w:val="00425C2E"/>
    <w:rsid w:val="0043188B"/>
    <w:rsid w:val="00434FD8"/>
    <w:rsid w:val="004375ED"/>
    <w:rsid w:val="00440A00"/>
    <w:rsid w:val="00441E12"/>
    <w:rsid w:val="00444E23"/>
    <w:rsid w:val="00445E6F"/>
    <w:rsid w:val="004509E1"/>
    <w:rsid w:val="00450A5E"/>
    <w:rsid w:val="00450EDF"/>
    <w:rsid w:val="00451ABF"/>
    <w:rsid w:val="004554F0"/>
    <w:rsid w:val="00460378"/>
    <w:rsid w:val="004632B1"/>
    <w:rsid w:val="004645C0"/>
    <w:rsid w:val="00464F87"/>
    <w:rsid w:val="0047012B"/>
    <w:rsid w:val="00470A81"/>
    <w:rsid w:val="00470C84"/>
    <w:rsid w:val="0047553C"/>
    <w:rsid w:val="00477C60"/>
    <w:rsid w:val="00483BD7"/>
    <w:rsid w:val="00484067"/>
    <w:rsid w:val="004861A7"/>
    <w:rsid w:val="00486B19"/>
    <w:rsid w:val="00492DBD"/>
    <w:rsid w:val="00494D5C"/>
    <w:rsid w:val="004A211C"/>
    <w:rsid w:val="004A2801"/>
    <w:rsid w:val="004A372B"/>
    <w:rsid w:val="004A75A6"/>
    <w:rsid w:val="004C1007"/>
    <w:rsid w:val="004C1064"/>
    <w:rsid w:val="004C2CFA"/>
    <w:rsid w:val="004C3D2E"/>
    <w:rsid w:val="004C61FE"/>
    <w:rsid w:val="004D0FD2"/>
    <w:rsid w:val="004D2184"/>
    <w:rsid w:val="004D2BA6"/>
    <w:rsid w:val="004D35F1"/>
    <w:rsid w:val="004D3C09"/>
    <w:rsid w:val="004E4FC4"/>
    <w:rsid w:val="004E6AA1"/>
    <w:rsid w:val="004F1717"/>
    <w:rsid w:val="0050133B"/>
    <w:rsid w:val="00504FB0"/>
    <w:rsid w:val="0050514D"/>
    <w:rsid w:val="00506460"/>
    <w:rsid w:val="00506F5D"/>
    <w:rsid w:val="00507139"/>
    <w:rsid w:val="00512AA0"/>
    <w:rsid w:val="00521A8B"/>
    <w:rsid w:val="0052395E"/>
    <w:rsid w:val="005413EE"/>
    <w:rsid w:val="0054259F"/>
    <w:rsid w:val="005436D3"/>
    <w:rsid w:val="00544441"/>
    <w:rsid w:val="005460A2"/>
    <w:rsid w:val="00550F5F"/>
    <w:rsid w:val="00555D32"/>
    <w:rsid w:val="0056046C"/>
    <w:rsid w:val="0056174F"/>
    <w:rsid w:val="0056612A"/>
    <w:rsid w:val="00566EFE"/>
    <w:rsid w:val="0056719D"/>
    <w:rsid w:val="005845E5"/>
    <w:rsid w:val="00585678"/>
    <w:rsid w:val="00585B42"/>
    <w:rsid w:val="00586821"/>
    <w:rsid w:val="00586BA5"/>
    <w:rsid w:val="005918D3"/>
    <w:rsid w:val="005957DE"/>
    <w:rsid w:val="005A320C"/>
    <w:rsid w:val="005A6CF5"/>
    <w:rsid w:val="005B1F0E"/>
    <w:rsid w:val="005B6187"/>
    <w:rsid w:val="005B7EE4"/>
    <w:rsid w:val="005C232A"/>
    <w:rsid w:val="005C402F"/>
    <w:rsid w:val="005C7250"/>
    <w:rsid w:val="005D0AEC"/>
    <w:rsid w:val="005D18B9"/>
    <w:rsid w:val="005D1D10"/>
    <w:rsid w:val="005D2BD1"/>
    <w:rsid w:val="005E67BE"/>
    <w:rsid w:val="005F29DB"/>
    <w:rsid w:val="005F31C1"/>
    <w:rsid w:val="005F3816"/>
    <w:rsid w:val="006014A8"/>
    <w:rsid w:val="00605C12"/>
    <w:rsid w:val="00607AA9"/>
    <w:rsid w:val="006108FE"/>
    <w:rsid w:val="00613340"/>
    <w:rsid w:val="006142B5"/>
    <w:rsid w:val="00617DE5"/>
    <w:rsid w:val="00621E76"/>
    <w:rsid w:val="00625550"/>
    <w:rsid w:val="00625A5B"/>
    <w:rsid w:val="006308E3"/>
    <w:rsid w:val="006349BF"/>
    <w:rsid w:val="00636485"/>
    <w:rsid w:val="006429C4"/>
    <w:rsid w:val="00643156"/>
    <w:rsid w:val="006449F2"/>
    <w:rsid w:val="00644A98"/>
    <w:rsid w:val="0065369F"/>
    <w:rsid w:val="006558FE"/>
    <w:rsid w:val="00655FDC"/>
    <w:rsid w:val="00667533"/>
    <w:rsid w:val="006738FA"/>
    <w:rsid w:val="00674DD6"/>
    <w:rsid w:val="006758B9"/>
    <w:rsid w:val="0068400A"/>
    <w:rsid w:val="006847FA"/>
    <w:rsid w:val="00687106"/>
    <w:rsid w:val="0068711B"/>
    <w:rsid w:val="00687BF8"/>
    <w:rsid w:val="006913B4"/>
    <w:rsid w:val="006A1411"/>
    <w:rsid w:val="006A3146"/>
    <w:rsid w:val="006A5C7B"/>
    <w:rsid w:val="006A7450"/>
    <w:rsid w:val="006A7672"/>
    <w:rsid w:val="006B1337"/>
    <w:rsid w:val="006B5021"/>
    <w:rsid w:val="006B5F08"/>
    <w:rsid w:val="006B68D1"/>
    <w:rsid w:val="006B7160"/>
    <w:rsid w:val="006B776B"/>
    <w:rsid w:val="006C13BC"/>
    <w:rsid w:val="006C3EFA"/>
    <w:rsid w:val="006D008F"/>
    <w:rsid w:val="006D335B"/>
    <w:rsid w:val="006D6713"/>
    <w:rsid w:val="006D6BB4"/>
    <w:rsid w:val="006E1BD3"/>
    <w:rsid w:val="006F0E82"/>
    <w:rsid w:val="006F1D4F"/>
    <w:rsid w:val="006F4E29"/>
    <w:rsid w:val="006F5C5E"/>
    <w:rsid w:val="00701B1F"/>
    <w:rsid w:val="00701D92"/>
    <w:rsid w:val="00703761"/>
    <w:rsid w:val="00710859"/>
    <w:rsid w:val="00710A18"/>
    <w:rsid w:val="007114CE"/>
    <w:rsid w:val="00712627"/>
    <w:rsid w:val="00712D67"/>
    <w:rsid w:val="00712FA8"/>
    <w:rsid w:val="0071342C"/>
    <w:rsid w:val="00717A58"/>
    <w:rsid w:val="00720AF1"/>
    <w:rsid w:val="00721CAC"/>
    <w:rsid w:val="00721DC1"/>
    <w:rsid w:val="007223CA"/>
    <w:rsid w:val="00723A83"/>
    <w:rsid w:val="00726C21"/>
    <w:rsid w:val="00732EA9"/>
    <w:rsid w:val="00733DC2"/>
    <w:rsid w:val="00735BC4"/>
    <w:rsid w:val="00741253"/>
    <w:rsid w:val="00741DDC"/>
    <w:rsid w:val="007432D9"/>
    <w:rsid w:val="00747FCC"/>
    <w:rsid w:val="007510A0"/>
    <w:rsid w:val="007543D6"/>
    <w:rsid w:val="00756234"/>
    <w:rsid w:val="007607AD"/>
    <w:rsid w:val="00765A38"/>
    <w:rsid w:val="00766A38"/>
    <w:rsid w:val="00776C08"/>
    <w:rsid w:val="007771F8"/>
    <w:rsid w:val="00777416"/>
    <w:rsid w:val="0078003A"/>
    <w:rsid w:val="0078085A"/>
    <w:rsid w:val="007816AE"/>
    <w:rsid w:val="00781C03"/>
    <w:rsid w:val="007849B8"/>
    <w:rsid w:val="00792F48"/>
    <w:rsid w:val="00795C01"/>
    <w:rsid w:val="007A27AC"/>
    <w:rsid w:val="007A4327"/>
    <w:rsid w:val="007A5584"/>
    <w:rsid w:val="007B0099"/>
    <w:rsid w:val="007B0742"/>
    <w:rsid w:val="007B34E6"/>
    <w:rsid w:val="007B3E5D"/>
    <w:rsid w:val="007B5854"/>
    <w:rsid w:val="007B6F70"/>
    <w:rsid w:val="007C0CDB"/>
    <w:rsid w:val="007C2BDF"/>
    <w:rsid w:val="007C395E"/>
    <w:rsid w:val="007C4B01"/>
    <w:rsid w:val="007C6092"/>
    <w:rsid w:val="007C7444"/>
    <w:rsid w:val="007D2C2D"/>
    <w:rsid w:val="007D39E3"/>
    <w:rsid w:val="007D51C4"/>
    <w:rsid w:val="007D62B8"/>
    <w:rsid w:val="007D741B"/>
    <w:rsid w:val="007F0E5F"/>
    <w:rsid w:val="007F19E5"/>
    <w:rsid w:val="007F51AD"/>
    <w:rsid w:val="007F5939"/>
    <w:rsid w:val="007F59F0"/>
    <w:rsid w:val="007F5D31"/>
    <w:rsid w:val="00805013"/>
    <w:rsid w:val="00805019"/>
    <w:rsid w:val="0080503A"/>
    <w:rsid w:val="00812547"/>
    <w:rsid w:val="00813B77"/>
    <w:rsid w:val="008143DD"/>
    <w:rsid w:val="00814718"/>
    <w:rsid w:val="008203A3"/>
    <w:rsid w:val="00821205"/>
    <w:rsid w:val="00821FA2"/>
    <w:rsid w:val="008229C7"/>
    <w:rsid w:val="008262E0"/>
    <w:rsid w:val="008319F9"/>
    <w:rsid w:val="008343FD"/>
    <w:rsid w:val="008445D5"/>
    <w:rsid w:val="0084471C"/>
    <w:rsid w:val="00847613"/>
    <w:rsid w:val="008509C1"/>
    <w:rsid w:val="00850E36"/>
    <w:rsid w:val="00851CA2"/>
    <w:rsid w:val="00853FE2"/>
    <w:rsid w:val="00860A3E"/>
    <w:rsid w:val="00870F02"/>
    <w:rsid w:val="00871081"/>
    <w:rsid w:val="00871A81"/>
    <w:rsid w:val="0087348D"/>
    <w:rsid w:val="00874499"/>
    <w:rsid w:val="0087456F"/>
    <w:rsid w:val="00875F4E"/>
    <w:rsid w:val="008851EE"/>
    <w:rsid w:val="00885E5B"/>
    <w:rsid w:val="008919BC"/>
    <w:rsid w:val="00893330"/>
    <w:rsid w:val="008954E2"/>
    <w:rsid w:val="008A1927"/>
    <w:rsid w:val="008A2E48"/>
    <w:rsid w:val="008A3D47"/>
    <w:rsid w:val="008B014F"/>
    <w:rsid w:val="008B4D15"/>
    <w:rsid w:val="008B5017"/>
    <w:rsid w:val="008B5CEF"/>
    <w:rsid w:val="008B6190"/>
    <w:rsid w:val="008C2925"/>
    <w:rsid w:val="008C3C91"/>
    <w:rsid w:val="008C5391"/>
    <w:rsid w:val="008C6252"/>
    <w:rsid w:val="008D09B1"/>
    <w:rsid w:val="008D157E"/>
    <w:rsid w:val="008D5448"/>
    <w:rsid w:val="008E1750"/>
    <w:rsid w:val="008E2982"/>
    <w:rsid w:val="008E2CE8"/>
    <w:rsid w:val="008E4F31"/>
    <w:rsid w:val="008E4F98"/>
    <w:rsid w:val="008E5886"/>
    <w:rsid w:val="008F19AE"/>
    <w:rsid w:val="00904C36"/>
    <w:rsid w:val="009070CB"/>
    <w:rsid w:val="009100D6"/>
    <w:rsid w:val="00911AFC"/>
    <w:rsid w:val="00913A57"/>
    <w:rsid w:val="0091444D"/>
    <w:rsid w:val="009227E8"/>
    <w:rsid w:val="00923624"/>
    <w:rsid w:val="00925148"/>
    <w:rsid w:val="009317E2"/>
    <w:rsid w:val="00932948"/>
    <w:rsid w:val="009345BE"/>
    <w:rsid w:val="00940750"/>
    <w:rsid w:val="00941771"/>
    <w:rsid w:val="00953CD4"/>
    <w:rsid w:val="00957986"/>
    <w:rsid w:val="009606F1"/>
    <w:rsid w:val="009618F7"/>
    <w:rsid w:val="00961D8F"/>
    <w:rsid w:val="00965B1F"/>
    <w:rsid w:val="009660E8"/>
    <w:rsid w:val="00967656"/>
    <w:rsid w:val="00972BBE"/>
    <w:rsid w:val="00972D99"/>
    <w:rsid w:val="009741D8"/>
    <w:rsid w:val="00975E00"/>
    <w:rsid w:val="009772E2"/>
    <w:rsid w:val="00983782"/>
    <w:rsid w:val="00985FBA"/>
    <w:rsid w:val="00992C16"/>
    <w:rsid w:val="00992CEF"/>
    <w:rsid w:val="00994897"/>
    <w:rsid w:val="00997237"/>
    <w:rsid w:val="009A1666"/>
    <w:rsid w:val="009A1B7A"/>
    <w:rsid w:val="009B02C0"/>
    <w:rsid w:val="009B038D"/>
    <w:rsid w:val="009B0B6A"/>
    <w:rsid w:val="009B21D0"/>
    <w:rsid w:val="009B2588"/>
    <w:rsid w:val="009B5308"/>
    <w:rsid w:val="009B6458"/>
    <w:rsid w:val="009B7D1B"/>
    <w:rsid w:val="009C15CD"/>
    <w:rsid w:val="009C37AA"/>
    <w:rsid w:val="009D4E06"/>
    <w:rsid w:val="009D504C"/>
    <w:rsid w:val="009D7449"/>
    <w:rsid w:val="009E0E83"/>
    <w:rsid w:val="009E613F"/>
    <w:rsid w:val="009F53CD"/>
    <w:rsid w:val="00A02BDB"/>
    <w:rsid w:val="00A06E41"/>
    <w:rsid w:val="00A13EF9"/>
    <w:rsid w:val="00A168B2"/>
    <w:rsid w:val="00A170DF"/>
    <w:rsid w:val="00A226D4"/>
    <w:rsid w:val="00A254E0"/>
    <w:rsid w:val="00A417B1"/>
    <w:rsid w:val="00A4410E"/>
    <w:rsid w:val="00A556B7"/>
    <w:rsid w:val="00A57564"/>
    <w:rsid w:val="00A61003"/>
    <w:rsid w:val="00A62B16"/>
    <w:rsid w:val="00A6498C"/>
    <w:rsid w:val="00A67295"/>
    <w:rsid w:val="00A672F2"/>
    <w:rsid w:val="00A73C47"/>
    <w:rsid w:val="00A74866"/>
    <w:rsid w:val="00A8193D"/>
    <w:rsid w:val="00A83294"/>
    <w:rsid w:val="00A833D7"/>
    <w:rsid w:val="00A847DA"/>
    <w:rsid w:val="00A86FDB"/>
    <w:rsid w:val="00A90877"/>
    <w:rsid w:val="00A90A30"/>
    <w:rsid w:val="00A93358"/>
    <w:rsid w:val="00A94C54"/>
    <w:rsid w:val="00A95087"/>
    <w:rsid w:val="00AA36A0"/>
    <w:rsid w:val="00AA49E1"/>
    <w:rsid w:val="00AB2D4D"/>
    <w:rsid w:val="00AB5FC0"/>
    <w:rsid w:val="00AC1360"/>
    <w:rsid w:val="00AC1F5D"/>
    <w:rsid w:val="00AC40D5"/>
    <w:rsid w:val="00AC4611"/>
    <w:rsid w:val="00AC6B08"/>
    <w:rsid w:val="00AD33CF"/>
    <w:rsid w:val="00AD3B39"/>
    <w:rsid w:val="00AD3DAD"/>
    <w:rsid w:val="00AD7B83"/>
    <w:rsid w:val="00AE14B4"/>
    <w:rsid w:val="00AE5380"/>
    <w:rsid w:val="00AE7E4C"/>
    <w:rsid w:val="00AF2CED"/>
    <w:rsid w:val="00AF4362"/>
    <w:rsid w:val="00AF4BE8"/>
    <w:rsid w:val="00B07051"/>
    <w:rsid w:val="00B1317F"/>
    <w:rsid w:val="00B13B8A"/>
    <w:rsid w:val="00B15481"/>
    <w:rsid w:val="00B15E44"/>
    <w:rsid w:val="00B1721F"/>
    <w:rsid w:val="00B2273F"/>
    <w:rsid w:val="00B24D7E"/>
    <w:rsid w:val="00B262DD"/>
    <w:rsid w:val="00B32AA5"/>
    <w:rsid w:val="00B37419"/>
    <w:rsid w:val="00B37CE3"/>
    <w:rsid w:val="00B40ED2"/>
    <w:rsid w:val="00B41B90"/>
    <w:rsid w:val="00B4497D"/>
    <w:rsid w:val="00B45FAF"/>
    <w:rsid w:val="00B4638C"/>
    <w:rsid w:val="00B51360"/>
    <w:rsid w:val="00B54A66"/>
    <w:rsid w:val="00B55D58"/>
    <w:rsid w:val="00B6062A"/>
    <w:rsid w:val="00B64833"/>
    <w:rsid w:val="00B65495"/>
    <w:rsid w:val="00B66563"/>
    <w:rsid w:val="00B668DC"/>
    <w:rsid w:val="00B72829"/>
    <w:rsid w:val="00B778EC"/>
    <w:rsid w:val="00B80397"/>
    <w:rsid w:val="00B81952"/>
    <w:rsid w:val="00B86062"/>
    <w:rsid w:val="00B87BCD"/>
    <w:rsid w:val="00B87D9A"/>
    <w:rsid w:val="00B91B98"/>
    <w:rsid w:val="00BA0191"/>
    <w:rsid w:val="00BA6674"/>
    <w:rsid w:val="00BA7E3F"/>
    <w:rsid w:val="00BB1E91"/>
    <w:rsid w:val="00BB322D"/>
    <w:rsid w:val="00BC1998"/>
    <w:rsid w:val="00BC1BB3"/>
    <w:rsid w:val="00BC25B3"/>
    <w:rsid w:val="00BC437F"/>
    <w:rsid w:val="00BC5C6F"/>
    <w:rsid w:val="00BC5E5E"/>
    <w:rsid w:val="00BD1D8C"/>
    <w:rsid w:val="00BD66FC"/>
    <w:rsid w:val="00BD6EB2"/>
    <w:rsid w:val="00BE09D4"/>
    <w:rsid w:val="00BE714E"/>
    <w:rsid w:val="00C01526"/>
    <w:rsid w:val="00C12596"/>
    <w:rsid w:val="00C12E91"/>
    <w:rsid w:val="00C14095"/>
    <w:rsid w:val="00C174CE"/>
    <w:rsid w:val="00C221F1"/>
    <w:rsid w:val="00C229FC"/>
    <w:rsid w:val="00C233D0"/>
    <w:rsid w:val="00C3110D"/>
    <w:rsid w:val="00C33F61"/>
    <w:rsid w:val="00C35649"/>
    <w:rsid w:val="00C400BB"/>
    <w:rsid w:val="00C42ED5"/>
    <w:rsid w:val="00C44C33"/>
    <w:rsid w:val="00C455DF"/>
    <w:rsid w:val="00C509BB"/>
    <w:rsid w:val="00C51C4D"/>
    <w:rsid w:val="00C607EB"/>
    <w:rsid w:val="00C63FCE"/>
    <w:rsid w:val="00C72452"/>
    <w:rsid w:val="00C753E2"/>
    <w:rsid w:val="00C75615"/>
    <w:rsid w:val="00C84601"/>
    <w:rsid w:val="00C84E98"/>
    <w:rsid w:val="00C84EBA"/>
    <w:rsid w:val="00C86D9D"/>
    <w:rsid w:val="00C87374"/>
    <w:rsid w:val="00C95C69"/>
    <w:rsid w:val="00CA35F0"/>
    <w:rsid w:val="00CA4142"/>
    <w:rsid w:val="00CA4585"/>
    <w:rsid w:val="00CA7AA2"/>
    <w:rsid w:val="00CA7B52"/>
    <w:rsid w:val="00CC0852"/>
    <w:rsid w:val="00CC1A65"/>
    <w:rsid w:val="00CC6D8D"/>
    <w:rsid w:val="00CD02EF"/>
    <w:rsid w:val="00CD2BF3"/>
    <w:rsid w:val="00CD4784"/>
    <w:rsid w:val="00CD5ED9"/>
    <w:rsid w:val="00CD7B00"/>
    <w:rsid w:val="00CE2BB0"/>
    <w:rsid w:val="00CE3C60"/>
    <w:rsid w:val="00CE424A"/>
    <w:rsid w:val="00CE60C1"/>
    <w:rsid w:val="00CE6775"/>
    <w:rsid w:val="00CF1D5B"/>
    <w:rsid w:val="00CF38D7"/>
    <w:rsid w:val="00CF3E96"/>
    <w:rsid w:val="00CF5F23"/>
    <w:rsid w:val="00D06135"/>
    <w:rsid w:val="00D06256"/>
    <w:rsid w:val="00D103A0"/>
    <w:rsid w:val="00D11397"/>
    <w:rsid w:val="00D12749"/>
    <w:rsid w:val="00D145C7"/>
    <w:rsid w:val="00D16E34"/>
    <w:rsid w:val="00D20957"/>
    <w:rsid w:val="00D213C0"/>
    <w:rsid w:val="00D22025"/>
    <w:rsid w:val="00D2306F"/>
    <w:rsid w:val="00D23F23"/>
    <w:rsid w:val="00D2516E"/>
    <w:rsid w:val="00D27A42"/>
    <w:rsid w:val="00D303A8"/>
    <w:rsid w:val="00D31395"/>
    <w:rsid w:val="00D36927"/>
    <w:rsid w:val="00D40EB3"/>
    <w:rsid w:val="00D41878"/>
    <w:rsid w:val="00D41A9E"/>
    <w:rsid w:val="00D4398E"/>
    <w:rsid w:val="00D463E4"/>
    <w:rsid w:val="00D508D2"/>
    <w:rsid w:val="00D64601"/>
    <w:rsid w:val="00D6486F"/>
    <w:rsid w:val="00D66E53"/>
    <w:rsid w:val="00D67F45"/>
    <w:rsid w:val="00D70264"/>
    <w:rsid w:val="00D70476"/>
    <w:rsid w:val="00D72995"/>
    <w:rsid w:val="00D752E8"/>
    <w:rsid w:val="00D80F7A"/>
    <w:rsid w:val="00D825E6"/>
    <w:rsid w:val="00D83096"/>
    <w:rsid w:val="00D833E4"/>
    <w:rsid w:val="00D835A7"/>
    <w:rsid w:val="00D87982"/>
    <w:rsid w:val="00D920D0"/>
    <w:rsid w:val="00D94466"/>
    <w:rsid w:val="00DA25AA"/>
    <w:rsid w:val="00DA2A19"/>
    <w:rsid w:val="00DB445C"/>
    <w:rsid w:val="00DB5495"/>
    <w:rsid w:val="00DB7930"/>
    <w:rsid w:val="00DC338E"/>
    <w:rsid w:val="00DC6092"/>
    <w:rsid w:val="00DC7137"/>
    <w:rsid w:val="00DC7C6A"/>
    <w:rsid w:val="00DC7C8B"/>
    <w:rsid w:val="00DD05B1"/>
    <w:rsid w:val="00DE3CDD"/>
    <w:rsid w:val="00DE5390"/>
    <w:rsid w:val="00DF017F"/>
    <w:rsid w:val="00DF0684"/>
    <w:rsid w:val="00DF3DCB"/>
    <w:rsid w:val="00DF61F4"/>
    <w:rsid w:val="00E0149C"/>
    <w:rsid w:val="00E021F9"/>
    <w:rsid w:val="00E04781"/>
    <w:rsid w:val="00E144B6"/>
    <w:rsid w:val="00E21129"/>
    <w:rsid w:val="00E2339E"/>
    <w:rsid w:val="00E23429"/>
    <w:rsid w:val="00E24190"/>
    <w:rsid w:val="00E25E6B"/>
    <w:rsid w:val="00E33552"/>
    <w:rsid w:val="00E4186E"/>
    <w:rsid w:val="00E432FE"/>
    <w:rsid w:val="00E551EF"/>
    <w:rsid w:val="00E636FB"/>
    <w:rsid w:val="00E6452D"/>
    <w:rsid w:val="00E64B22"/>
    <w:rsid w:val="00E64C78"/>
    <w:rsid w:val="00E659B2"/>
    <w:rsid w:val="00E7262F"/>
    <w:rsid w:val="00E75D03"/>
    <w:rsid w:val="00E77867"/>
    <w:rsid w:val="00E807F5"/>
    <w:rsid w:val="00E811A5"/>
    <w:rsid w:val="00E851A4"/>
    <w:rsid w:val="00E91646"/>
    <w:rsid w:val="00E9482F"/>
    <w:rsid w:val="00E955F4"/>
    <w:rsid w:val="00EA19D4"/>
    <w:rsid w:val="00EA2647"/>
    <w:rsid w:val="00EA3DFF"/>
    <w:rsid w:val="00EB120C"/>
    <w:rsid w:val="00EB12DF"/>
    <w:rsid w:val="00EB4E92"/>
    <w:rsid w:val="00EC0A28"/>
    <w:rsid w:val="00EC5CB9"/>
    <w:rsid w:val="00EC7F75"/>
    <w:rsid w:val="00ED0417"/>
    <w:rsid w:val="00ED112E"/>
    <w:rsid w:val="00ED1CE0"/>
    <w:rsid w:val="00ED4ABF"/>
    <w:rsid w:val="00ED6EAC"/>
    <w:rsid w:val="00ED723B"/>
    <w:rsid w:val="00EE678E"/>
    <w:rsid w:val="00EF03F1"/>
    <w:rsid w:val="00F01A4D"/>
    <w:rsid w:val="00F06F29"/>
    <w:rsid w:val="00F10535"/>
    <w:rsid w:val="00F1634F"/>
    <w:rsid w:val="00F212C4"/>
    <w:rsid w:val="00F22821"/>
    <w:rsid w:val="00F22A88"/>
    <w:rsid w:val="00F23278"/>
    <w:rsid w:val="00F30D80"/>
    <w:rsid w:val="00F33410"/>
    <w:rsid w:val="00F33DA6"/>
    <w:rsid w:val="00F42DB8"/>
    <w:rsid w:val="00F51F6D"/>
    <w:rsid w:val="00F54816"/>
    <w:rsid w:val="00F554BA"/>
    <w:rsid w:val="00F613D1"/>
    <w:rsid w:val="00F63BB9"/>
    <w:rsid w:val="00F65C11"/>
    <w:rsid w:val="00F704FA"/>
    <w:rsid w:val="00F70D76"/>
    <w:rsid w:val="00F7470B"/>
    <w:rsid w:val="00F83AD1"/>
    <w:rsid w:val="00F84B4F"/>
    <w:rsid w:val="00F872C5"/>
    <w:rsid w:val="00F902FE"/>
    <w:rsid w:val="00F9226B"/>
    <w:rsid w:val="00F92AF6"/>
    <w:rsid w:val="00F93F6F"/>
    <w:rsid w:val="00F94C6C"/>
    <w:rsid w:val="00F96D85"/>
    <w:rsid w:val="00FA716E"/>
    <w:rsid w:val="00FB0BC6"/>
    <w:rsid w:val="00FB2A76"/>
    <w:rsid w:val="00FB3394"/>
    <w:rsid w:val="00FB3733"/>
    <w:rsid w:val="00FB6430"/>
    <w:rsid w:val="00FC12A8"/>
    <w:rsid w:val="00FD3541"/>
    <w:rsid w:val="00FD5D6B"/>
    <w:rsid w:val="00FE0BAC"/>
    <w:rsid w:val="00FE2160"/>
    <w:rsid w:val="00FE4025"/>
    <w:rsid w:val="00FE40E8"/>
    <w:rsid w:val="00FF0277"/>
    <w:rsid w:val="00FF51FA"/>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D0B06-2F93-4AEE-81A3-2F91CA0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qFormat/>
    <w:rsid w:val="00720AF1"/>
    <w:pPr>
      <w:jc w:val="center"/>
    </w:pPr>
    <w:rPr>
      <w:b/>
      <w:sz w:val="24"/>
      <w:lang w:eastAsia="en-US"/>
    </w:rPr>
  </w:style>
  <w:style w:type="character" w:customStyle="1" w:styleId="TitleChar">
    <w:name w:val="Title Char"/>
    <w:basedOn w:val="DefaultParagraphFont"/>
    <w:link w:val="Title"/>
    <w:rsid w:val="00720AF1"/>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Balin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91D5-7716-4C69-9D9E-A43CE019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3</Pages>
  <Words>3284</Words>
  <Characters>1872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 2014.–2020.gada plānošanas perioda darbības programmā “Izaugsme un nodarbinātība”</vt:lpstr>
    </vt:vector>
  </TitlesOfParts>
  <Company>Finanšu ministrija</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 2014.–2020.gada plānošanas perioda darbības programmā “Izaugsme un nodarbinātība”</dc:title>
  <dc:subject>rīkojuma projekts</dc:subject>
  <dc:creator>evita.balina@fm.gov.lv</dc:creator>
  <dc:description>E.Bāliņa, 67083839, evita.balina@fm.gov.lv</dc:description>
  <cp:lastModifiedBy>Zane Zute</cp:lastModifiedBy>
  <cp:revision>382</cp:revision>
  <cp:lastPrinted>2016-08-04T13:32:00Z</cp:lastPrinted>
  <dcterms:created xsi:type="dcterms:W3CDTF">2016-04-11T11:05:00Z</dcterms:created>
  <dcterms:modified xsi:type="dcterms:W3CDTF">2016-08-17T10:39:00Z</dcterms:modified>
</cp:coreProperties>
</file>