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2D" w:rsidRDefault="0010292D" w:rsidP="0010292D">
      <w:pPr>
        <w:jc w:val="center"/>
      </w:pPr>
    </w:p>
    <w:p w:rsidR="00E856FB" w:rsidRDefault="00E856FB" w:rsidP="0010292D">
      <w:pPr>
        <w:jc w:val="center"/>
      </w:pPr>
    </w:p>
    <w:p w:rsidR="0010292D" w:rsidRDefault="0010292D" w:rsidP="0010292D">
      <w:pPr>
        <w:jc w:val="center"/>
      </w:pPr>
    </w:p>
    <w:p w:rsidR="0010292D" w:rsidRDefault="0010292D" w:rsidP="0010292D">
      <w:pPr>
        <w:jc w:val="center"/>
      </w:pPr>
    </w:p>
    <w:p w:rsidR="0010292D" w:rsidRDefault="0010292D" w:rsidP="0010292D">
      <w:pPr>
        <w:jc w:val="center"/>
      </w:pPr>
    </w:p>
    <w:p w:rsidR="0010292D" w:rsidRDefault="0010292D" w:rsidP="0010292D">
      <w:pPr>
        <w:jc w:val="center"/>
      </w:pPr>
    </w:p>
    <w:p w:rsidR="0031762C" w:rsidRDefault="0031762C" w:rsidP="0010292D">
      <w:pPr>
        <w:jc w:val="center"/>
      </w:pPr>
    </w:p>
    <w:p w:rsidR="0031762C" w:rsidRDefault="0031762C" w:rsidP="0010292D">
      <w:pPr>
        <w:jc w:val="center"/>
      </w:pPr>
    </w:p>
    <w:p w:rsidR="0031762C" w:rsidRDefault="0031762C" w:rsidP="0010292D">
      <w:pPr>
        <w:jc w:val="center"/>
      </w:pPr>
    </w:p>
    <w:p w:rsidR="0031762C" w:rsidRDefault="0031762C" w:rsidP="0010292D">
      <w:pPr>
        <w:jc w:val="center"/>
      </w:pPr>
    </w:p>
    <w:p w:rsidR="0010292D" w:rsidRDefault="0010292D" w:rsidP="0010292D">
      <w:pPr>
        <w:jc w:val="center"/>
      </w:pPr>
    </w:p>
    <w:p w:rsidR="0010292D" w:rsidRDefault="0010292D" w:rsidP="0010292D">
      <w:pPr>
        <w:jc w:val="center"/>
      </w:pPr>
    </w:p>
    <w:p w:rsidR="0010292D" w:rsidRDefault="0010292D" w:rsidP="0010292D">
      <w:pPr>
        <w:rPr>
          <w:sz w:val="26"/>
          <w:szCs w:val="26"/>
        </w:rPr>
      </w:pPr>
    </w:p>
    <w:p w:rsidR="0010292D" w:rsidRPr="0031762C" w:rsidRDefault="0010292D" w:rsidP="0010292D">
      <w:pPr>
        <w:jc w:val="center"/>
        <w:rPr>
          <w:b/>
          <w:sz w:val="36"/>
          <w:szCs w:val="36"/>
        </w:rPr>
      </w:pPr>
    </w:p>
    <w:p w:rsidR="0031762C" w:rsidRPr="0031762C" w:rsidRDefault="00377792" w:rsidP="0031762C">
      <w:pPr>
        <w:spacing w:line="360" w:lineRule="auto"/>
        <w:jc w:val="center"/>
        <w:rPr>
          <w:b/>
          <w:sz w:val="36"/>
          <w:szCs w:val="36"/>
        </w:rPr>
      </w:pPr>
      <w:r w:rsidRPr="0031762C">
        <w:rPr>
          <w:b/>
          <w:sz w:val="36"/>
          <w:szCs w:val="36"/>
        </w:rPr>
        <w:t>Inform</w:t>
      </w:r>
      <w:r w:rsidR="0031762C" w:rsidRPr="0031762C">
        <w:rPr>
          <w:b/>
          <w:sz w:val="36"/>
          <w:szCs w:val="36"/>
        </w:rPr>
        <w:t xml:space="preserve">atīvais ziņojums </w:t>
      </w:r>
    </w:p>
    <w:p w:rsidR="0031762C" w:rsidRPr="0031762C" w:rsidRDefault="00377792" w:rsidP="0031762C">
      <w:pPr>
        <w:spacing w:line="360" w:lineRule="auto"/>
        <w:jc w:val="center"/>
        <w:rPr>
          <w:b/>
          <w:sz w:val="36"/>
          <w:szCs w:val="36"/>
        </w:rPr>
      </w:pPr>
      <w:r w:rsidRPr="0031762C">
        <w:rPr>
          <w:b/>
          <w:sz w:val="36"/>
          <w:szCs w:val="36"/>
        </w:rPr>
        <w:t xml:space="preserve">par </w:t>
      </w:r>
      <w:r w:rsidR="0010292D" w:rsidRPr="0031762C">
        <w:rPr>
          <w:b/>
          <w:sz w:val="36"/>
          <w:szCs w:val="36"/>
        </w:rPr>
        <w:t>Latvijas Nacionālās bibliotēkas projekta īstenošan</w:t>
      </w:r>
      <w:r w:rsidRPr="0031762C">
        <w:rPr>
          <w:b/>
          <w:sz w:val="36"/>
          <w:szCs w:val="36"/>
        </w:rPr>
        <w:t>u</w:t>
      </w:r>
      <w:r w:rsidR="0010292D" w:rsidRPr="0031762C">
        <w:rPr>
          <w:b/>
          <w:sz w:val="36"/>
          <w:szCs w:val="36"/>
        </w:rPr>
        <w:t xml:space="preserve"> </w:t>
      </w:r>
    </w:p>
    <w:p w:rsidR="0010292D" w:rsidRPr="0031762C" w:rsidRDefault="0010292D" w:rsidP="0031762C">
      <w:pPr>
        <w:spacing w:line="360" w:lineRule="auto"/>
        <w:jc w:val="center"/>
        <w:rPr>
          <w:b/>
          <w:sz w:val="36"/>
          <w:szCs w:val="36"/>
        </w:rPr>
      </w:pPr>
      <w:r w:rsidRPr="0031762C">
        <w:rPr>
          <w:b/>
          <w:sz w:val="36"/>
          <w:szCs w:val="36"/>
        </w:rPr>
        <w:t>201</w:t>
      </w:r>
      <w:r w:rsidR="00377792" w:rsidRPr="0031762C">
        <w:rPr>
          <w:b/>
          <w:sz w:val="36"/>
          <w:szCs w:val="36"/>
        </w:rPr>
        <w:t>5</w:t>
      </w:r>
      <w:r w:rsidRPr="0031762C">
        <w:rPr>
          <w:b/>
          <w:sz w:val="36"/>
          <w:szCs w:val="36"/>
        </w:rPr>
        <w:t>.gadā</w:t>
      </w:r>
    </w:p>
    <w:p w:rsidR="0010292D" w:rsidRDefault="0010292D">
      <w:pPr>
        <w:spacing w:after="240"/>
        <w:ind w:left="1571" w:right="635" w:hanging="720"/>
        <w:rPr>
          <w:b/>
          <w:sz w:val="28"/>
          <w:szCs w:val="28"/>
        </w:rPr>
      </w:pPr>
    </w:p>
    <w:p w:rsidR="0010292D" w:rsidRDefault="0010292D">
      <w:pPr>
        <w:spacing w:after="240"/>
        <w:ind w:left="1571" w:right="635" w:hanging="720"/>
        <w:rPr>
          <w:b/>
          <w:sz w:val="28"/>
          <w:szCs w:val="28"/>
        </w:rPr>
      </w:pPr>
    </w:p>
    <w:p w:rsidR="0010292D" w:rsidRDefault="0010292D">
      <w:pPr>
        <w:spacing w:after="240"/>
        <w:ind w:left="1571" w:right="635" w:hanging="720"/>
        <w:rPr>
          <w:b/>
          <w:sz w:val="28"/>
          <w:szCs w:val="28"/>
        </w:rPr>
      </w:pPr>
    </w:p>
    <w:p w:rsidR="0010292D" w:rsidRDefault="0010292D">
      <w:pPr>
        <w:spacing w:after="240"/>
        <w:ind w:left="1571" w:right="635" w:hanging="720"/>
        <w:rPr>
          <w:b/>
          <w:sz w:val="28"/>
          <w:szCs w:val="28"/>
        </w:rPr>
      </w:pPr>
    </w:p>
    <w:p w:rsidR="0010292D" w:rsidRDefault="0010292D">
      <w:pPr>
        <w:spacing w:after="240"/>
        <w:ind w:left="1571" w:right="635" w:hanging="720"/>
        <w:rPr>
          <w:b/>
          <w:sz w:val="28"/>
          <w:szCs w:val="28"/>
        </w:rPr>
      </w:pPr>
    </w:p>
    <w:p w:rsidR="0010292D" w:rsidRDefault="0010292D">
      <w:pPr>
        <w:spacing w:after="240"/>
        <w:ind w:left="1571" w:right="635" w:hanging="720"/>
        <w:rPr>
          <w:b/>
          <w:sz w:val="28"/>
          <w:szCs w:val="28"/>
        </w:rPr>
      </w:pPr>
      <w:r>
        <w:rPr>
          <w:b/>
          <w:sz w:val="28"/>
          <w:szCs w:val="28"/>
        </w:rPr>
        <w:br w:type="page"/>
      </w:r>
    </w:p>
    <w:p w:rsidR="00A602CD" w:rsidRDefault="00A602CD" w:rsidP="00A602CD">
      <w:pPr>
        <w:tabs>
          <w:tab w:val="left" w:pos="720"/>
        </w:tabs>
        <w:rPr>
          <w:b/>
        </w:rPr>
      </w:pPr>
    </w:p>
    <w:p w:rsidR="00A602CD" w:rsidRPr="00A602CD" w:rsidRDefault="00A602CD" w:rsidP="00A602CD">
      <w:pPr>
        <w:tabs>
          <w:tab w:val="left" w:pos="720"/>
        </w:tabs>
        <w:rPr>
          <w:b/>
        </w:rPr>
      </w:pPr>
    </w:p>
    <w:p w:rsidR="00CF426E" w:rsidRPr="0031762C" w:rsidRDefault="0031762C" w:rsidP="00910C63">
      <w:pPr>
        <w:pStyle w:val="ListParagraph"/>
        <w:numPr>
          <w:ilvl w:val="0"/>
          <w:numId w:val="4"/>
        </w:numPr>
        <w:tabs>
          <w:tab w:val="left" w:pos="720"/>
        </w:tabs>
        <w:rPr>
          <w:b/>
        </w:rPr>
      </w:pPr>
      <w:r w:rsidRPr="0031762C">
        <w:rPr>
          <w:b/>
          <w:lang w:val="lv-LV"/>
        </w:rPr>
        <w:t>I</w:t>
      </w:r>
      <w:r>
        <w:rPr>
          <w:b/>
          <w:lang w:val="lv-LV"/>
        </w:rPr>
        <w:t>e</w:t>
      </w:r>
      <w:r w:rsidRPr="0031762C">
        <w:rPr>
          <w:b/>
          <w:lang w:val="lv-LV"/>
        </w:rPr>
        <w:t xml:space="preserve">vads </w:t>
      </w:r>
    </w:p>
    <w:p w:rsidR="00BD03A6" w:rsidRDefault="00BD03A6" w:rsidP="00CF426E">
      <w:pPr>
        <w:tabs>
          <w:tab w:val="left" w:pos="720"/>
        </w:tabs>
        <w:jc w:val="left"/>
        <w:rPr>
          <w:b/>
          <w:szCs w:val="24"/>
          <w:u w:val="single"/>
        </w:rPr>
      </w:pPr>
    </w:p>
    <w:p w:rsidR="00A12D09" w:rsidRPr="00A12D09" w:rsidRDefault="00BD03A6" w:rsidP="00A12D09">
      <w:pPr>
        <w:pStyle w:val="BodyText2"/>
        <w:spacing w:after="120"/>
        <w:rPr>
          <w:sz w:val="24"/>
        </w:rPr>
      </w:pPr>
      <w:r w:rsidRPr="00A12D09">
        <w:rPr>
          <w:sz w:val="24"/>
        </w:rPr>
        <w:t>Informatīvais ziņojums par Latvijas Nacionālās bibliotēkas projekta īstenošanu 2015. gadā sagatavots, pamatojoties uz Latvijas Nacionālās bibliotēkas projekta īstenošanas likuma</w:t>
      </w:r>
      <w:r w:rsidRPr="00A12D09">
        <w:rPr>
          <w:bCs/>
          <w:sz w:val="24"/>
        </w:rPr>
        <w:t xml:space="preserve"> 8.pantu, kurā noteikts, ka</w:t>
      </w:r>
      <w:r w:rsidRPr="00A12D09">
        <w:rPr>
          <w:sz w:val="24"/>
        </w:rPr>
        <w:t> Latvijas Nacionālās bibliotēkas uzraudzības padome reizi gadā iesniedz Ministru kabinetam ziņojumu par Latvijas Nacionālās bibliotēkas</w:t>
      </w:r>
      <w:r w:rsidR="00A12D09" w:rsidRPr="00A12D09">
        <w:rPr>
          <w:sz w:val="24"/>
        </w:rPr>
        <w:t xml:space="preserve"> (turpmāk – LNB)</w:t>
      </w:r>
      <w:r w:rsidRPr="00A12D09">
        <w:rPr>
          <w:sz w:val="24"/>
        </w:rPr>
        <w:t xml:space="preserve"> projekta īstenošanu.</w:t>
      </w:r>
      <w:r w:rsidR="00A12D09" w:rsidRPr="00A12D09">
        <w:rPr>
          <w:sz w:val="24"/>
        </w:rPr>
        <w:t xml:space="preserve"> Projekta īstenotājs ir Kultūras ministrija, bet projekta īstenošanu uzrauga LNB projekta īstenošanas uzraudzības padome (turpmāk – Uzraudzības padome), kuras darbību nosaka Ministru kabineta 08.07.2003. noteikumi Nr.379 „</w:t>
      </w:r>
      <w:r w:rsidR="00A12D09" w:rsidRPr="00A12D09">
        <w:rPr>
          <w:bCs/>
          <w:sz w:val="24"/>
        </w:rPr>
        <w:t>Latvijas Nacionālās bibliotēkas projekta īstenošanas uzraudzības padomes nolikums</w:t>
      </w:r>
      <w:r w:rsidR="00A12D09" w:rsidRPr="00A12D09">
        <w:rPr>
          <w:sz w:val="24"/>
        </w:rPr>
        <w:t xml:space="preserve">”. 2015.gadā </w:t>
      </w:r>
      <w:r w:rsidR="00A12D09">
        <w:rPr>
          <w:sz w:val="24"/>
        </w:rPr>
        <w:t>ir notikušas četras</w:t>
      </w:r>
      <w:r w:rsidR="00A12D09" w:rsidRPr="00A12D09">
        <w:rPr>
          <w:sz w:val="24"/>
        </w:rPr>
        <w:t xml:space="preserve"> Uzraudzības padomes sēdes.</w:t>
      </w:r>
    </w:p>
    <w:p w:rsidR="00B8222B" w:rsidRDefault="00EC7F3A" w:rsidP="006617EE">
      <w:pPr>
        <w:tabs>
          <w:tab w:val="left" w:pos="720"/>
        </w:tabs>
        <w:spacing w:after="120"/>
      </w:pPr>
      <w:r w:rsidRPr="00B8222B">
        <w:rPr>
          <w:szCs w:val="24"/>
        </w:rPr>
        <w:t xml:space="preserve">Lai gan galvenie ar LNB projekta īstenošanu saistītie pasākumi tika pabeigti 2014.gadā, kad </w:t>
      </w:r>
      <w:r>
        <w:rPr>
          <w:szCs w:val="24"/>
        </w:rPr>
        <w:t xml:space="preserve">pēc </w:t>
      </w:r>
      <w:r w:rsidR="0060706A" w:rsidRPr="00B8222B">
        <w:t>LNB ēka</w:t>
      </w:r>
      <w:r w:rsidR="0060706A">
        <w:t xml:space="preserve">s </w:t>
      </w:r>
      <w:r w:rsidR="0060706A" w:rsidRPr="00B8222B">
        <w:t>pieņem</w:t>
      </w:r>
      <w:r w:rsidR="0060706A">
        <w:t>šan</w:t>
      </w:r>
      <w:r w:rsidR="007F1C8D">
        <w:t>as</w:t>
      </w:r>
      <w:r w:rsidR="0060706A">
        <w:t xml:space="preserve"> </w:t>
      </w:r>
      <w:r w:rsidR="0060706A" w:rsidRPr="00B8222B">
        <w:t>ekspluatācijā</w:t>
      </w:r>
      <w:r>
        <w:t xml:space="preserve"> un </w:t>
      </w:r>
      <w:r w:rsidRPr="00B8222B">
        <w:t>bibliotēka</w:t>
      </w:r>
      <w:r>
        <w:t>s</w:t>
      </w:r>
      <w:r w:rsidRPr="00B8222B">
        <w:t xml:space="preserve"> pārcelšan</w:t>
      </w:r>
      <w:r w:rsidR="00D71FC2">
        <w:t>ā</w:t>
      </w:r>
      <w:r w:rsidRPr="00B8222B">
        <w:t xml:space="preserve">s </w:t>
      </w:r>
      <w:r w:rsidR="0060706A">
        <w:t xml:space="preserve">tika sasniegts </w:t>
      </w:r>
      <w:r w:rsidR="007F1C8D">
        <w:t xml:space="preserve">galvenais </w:t>
      </w:r>
      <w:r w:rsidR="0060706A">
        <w:t xml:space="preserve">mērķis </w:t>
      </w:r>
      <w:r w:rsidR="00D71FC2">
        <w:t xml:space="preserve">– bibliotēkas darbības uzsākšana jaunajā ēkā, 2015.gadā ar LNB projekta īstenošanu saistītās aktivitātes </w:t>
      </w:r>
      <w:r w:rsidR="00B8222B">
        <w:t>turpinājās</w:t>
      </w:r>
      <w:r w:rsidR="00D71FC2">
        <w:t xml:space="preserve">. Veicamo uzdevumu apjomu </w:t>
      </w:r>
      <w:r w:rsidR="005F0A1C">
        <w:t xml:space="preserve">2015.gadā </w:t>
      </w:r>
      <w:r w:rsidR="00880607">
        <w:t>noteica</w:t>
      </w:r>
      <w:r w:rsidR="00D71FC2">
        <w:t xml:space="preserve"> </w:t>
      </w:r>
      <w:r w:rsidR="00D71FC2" w:rsidRPr="002840E7">
        <w:t xml:space="preserve">Latvijas prezidentūras Eiropas Savienības Padomē </w:t>
      </w:r>
      <w:r w:rsidR="00D71FC2">
        <w:t xml:space="preserve">pasākumu norise LNB ēkā, </w:t>
      </w:r>
      <w:r w:rsidR="005F0A1C">
        <w:t xml:space="preserve">nepabeigto darbu un būvdarbu defektu novēršana, </w:t>
      </w:r>
      <w:r w:rsidR="006617EE">
        <w:t xml:space="preserve">LNB uzlabojumu </w:t>
      </w:r>
      <w:r w:rsidR="00ED0D72">
        <w:t>darbi</w:t>
      </w:r>
      <w:r w:rsidR="006617EE">
        <w:t xml:space="preserve">, </w:t>
      </w:r>
      <w:r w:rsidR="00ED0D72">
        <w:t>kas nebija būvdarbu līguma</w:t>
      </w:r>
      <w:r w:rsidR="006617EE">
        <w:t xml:space="preserve"> sastāvā, bet </w:t>
      </w:r>
      <w:r w:rsidR="007630A4">
        <w:t xml:space="preserve">kas </w:t>
      </w:r>
      <w:r w:rsidR="006617EE">
        <w:t xml:space="preserve">nepieciešami labākai ēkas funkcionēšanai, </w:t>
      </w:r>
      <w:r w:rsidR="00ED0D72">
        <w:t>kā arī domstarpību risinājums ar galveno būvuzņēmēju Pilnsabiedrību „</w:t>
      </w:r>
      <w:r w:rsidR="00880607">
        <w:t>N</w:t>
      </w:r>
      <w:r w:rsidR="00ED0D72">
        <w:t xml:space="preserve">acionālā </w:t>
      </w:r>
      <w:proofErr w:type="spellStart"/>
      <w:r w:rsidR="00ED0D72">
        <w:t>būvkompāniju</w:t>
      </w:r>
      <w:proofErr w:type="spellEnd"/>
      <w:r w:rsidR="00ED0D72">
        <w:t xml:space="preserve"> apvienība” </w:t>
      </w:r>
      <w:r w:rsidR="00FA62F6">
        <w:t xml:space="preserve">(turpmāk – NBA) </w:t>
      </w:r>
      <w:r w:rsidR="00ED0D72">
        <w:t>par b</w:t>
      </w:r>
      <w:r w:rsidR="00511110">
        <w:t>ūvniecības izmaksu indeksāciju.</w:t>
      </w:r>
      <w:r w:rsidR="00B8222B">
        <w:t xml:space="preserve"> </w:t>
      </w:r>
    </w:p>
    <w:p w:rsidR="006617EE" w:rsidRPr="00B8222B" w:rsidRDefault="006617EE" w:rsidP="00B8222B">
      <w:pPr>
        <w:tabs>
          <w:tab w:val="left" w:pos="720"/>
        </w:tabs>
        <w:rPr>
          <w:szCs w:val="24"/>
        </w:rPr>
      </w:pPr>
    </w:p>
    <w:p w:rsidR="004159AA" w:rsidRPr="00B8222B" w:rsidRDefault="004159AA" w:rsidP="00B8222B">
      <w:pPr>
        <w:tabs>
          <w:tab w:val="left" w:pos="720"/>
        </w:tabs>
        <w:rPr>
          <w:szCs w:val="24"/>
        </w:rPr>
      </w:pPr>
    </w:p>
    <w:p w:rsidR="00960439" w:rsidRPr="004F4414" w:rsidRDefault="00960439" w:rsidP="00910C63">
      <w:pPr>
        <w:pStyle w:val="ListParagraph"/>
        <w:numPr>
          <w:ilvl w:val="0"/>
          <w:numId w:val="2"/>
        </w:numPr>
        <w:spacing w:after="120"/>
        <w:rPr>
          <w:b/>
          <w:lang w:val="lv-LV"/>
        </w:rPr>
      </w:pPr>
      <w:r w:rsidRPr="004F4414">
        <w:rPr>
          <w:b/>
          <w:lang w:val="lv-LV"/>
        </w:rPr>
        <w:t>LNB ēdināšanas zonas un tehniskās ēkas būvdarbu pieņemšana ekspluatācijā.</w:t>
      </w:r>
    </w:p>
    <w:p w:rsidR="00960439" w:rsidRPr="008803C5" w:rsidRDefault="00960439" w:rsidP="00960439">
      <w:pPr>
        <w:spacing w:after="120"/>
      </w:pPr>
      <w:r w:rsidRPr="008803C5">
        <w:rPr>
          <w:bCs/>
        </w:rPr>
        <w:t xml:space="preserve">LNB </w:t>
      </w:r>
      <w:r>
        <w:rPr>
          <w:bCs/>
        </w:rPr>
        <w:t>ē</w:t>
      </w:r>
      <w:r w:rsidRPr="008803C5">
        <w:rPr>
          <w:bCs/>
        </w:rPr>
        <w:t xml:space="preserve">dināšanas zonas </w:t>
      </w:r>
      <w:r>
        <w:rPr>
          <w:bCs/>
        </w:rPr>
        <w:t xml:space="preserve">būvdarbi </w:t>
      </w:r>
      <w:r w:rsidR="00FA62F6">
        <w:rPr>
          <w:bCs/>
        </w:rPr>
        <w:t xml:space="preserve">(LNB </w:t>
      </w:r>
      <w:r w:rsidR="00FA62F6" w:rsidRPr="00976B73">
        <w:rPr>
          <w:noProof/>
        </w:rPr>
        <w:t>būvniecības 3.kārta</w:t>
      </w:r>
      <w:r w:rsidR="00FA62F6">
        <w:rPr>
          <w:noProof/>
        </w:rPr>
        <w:t>)</w:t>
      </w:r>
      <w:r w:rsidR="00FA62F6">
        <w:rPr>
          <w:bCs/>
        </w:rPr>
        <w:t xml:space="preserve"> </w:t>
      </w:r>
      <w:r>
        <w:rPr>
          <w:bCs/>
        </w:rPr>
        <w:t xml:space="preserve">tika pabeigti </w:t>
      </w:r>
      <w:r w:rsidR="006617EE">
        <w:rPr>
          <w:bCs/>
        </w:rPr>
        <w:t xml:space="preserve">2014.gada </w:t>
      </w:r>
      <w:r w:rsidR="00FA62F6">
        <w:rPr>
          <w:bCs/>
        </w:rPr>
        <w:t xml:space="preserve">30.septembrī. NBA </w:t>
      </w:r>
      <w:r w:rsidR="00390713">
        <w:rPr>
          <w:bCs/>
        </w:rPr>
        <w:t>kavējumu dēļ a</w:t>
      </w:r>
      <w:r>
        <w:t>pliecinājum</w:t>
      </w:r>
      <w:r w:rsidR="00E73597">
        <w:t>u</w:t>
      </w:r>
      <w:r>
        <w:t xml:space="preserve"> par </w:t>
      </w:r>
      <w:r w:rsidR="00E73597">
        <w:t xml:space="preserve">ēdināšanas zonas </w:t>
      </w:r>
      <w:r>
        <w:t xml:space="preserve">gatavību ekspluatācijai </w:t>
      </w:r>
      <w:r w:rsidR="00E73597">
        <w:t>bija iespējams iesniegt Rīgas pilsētas būvvaldē tikai 1</w:t>
      </w:r>
      <w:r>
        <w:t>8.decembrī</w:t>
      </w:r>
      <w:r w:rsidR="00E73597">
        <w:t>, un r</w:t>
      </w:r>
      <w:r>
        <w:t xml:space="preserve">ezultātā </w:t>
      </w:r>
      <w:r w:rsidRPr="00317A7B">
        <w:rPr>
          <w:u w:val="single"/>
        </w:rPr>
        <w:t>ēdināšanas zona tika pieņemta ekspluatācijā 2015. gada 5.janvārī.</w:t>
      </w:r>
    </w:p>
    <w:p w:rsidR="00960439" w:rsidRDefault="00FA62F6" w:rsidP="00960439">
      <w:pPr>
        <w:spacing w:after="120"/>
        <w:rPr>
          <w:bCs/>
          <w:szCs w:val="24"/>
        </w:rPr>
      </w:pPr>
      <w:r>
        <w:rPr>
          <w:bCs/>
          <w:szCs w:val="24"/>
        </w:rPr>
        <w:t>LNB infrastruktūras t</w:t>
      </w:r>
      <w:r w:rsidR="00960439" w:rsidRPr="00167A1D">
        <w:rPr>
          <w:bCs/>
          <w:szCs w:val="24"/>
        </w:rPr>
        <w:t xml:space="preserve">ehniskās ēkas </w:t>
      </w:r>
      <w:r w:rsidR="00960439">
        <w:rPr>
          <w:bCs/>
          <w:szCs w:val="24"/>
        </w:rPr>
        <w:t>būvdarbi</w:t>
      </w:r>
      <w:r w:rsidR="00317A7B">
        <w:rPr>
          <w:bCs/>
          <w:szCs w:val="24"/>
        </w:rPr>
        <w:t xml:space="preserve"> </w:t>
      </w:r>
      <w:r w:rsidR="00317890">
        <w:rPr>
          <w:bCs/>
          <w:szCs w:val="24"/>
        </w:rPr>
        <w:t xml:space="preserve">un bibliotēkas </w:t>
      </w:r>
      <w:proofErr w:type="spellStart"/>
      <w:r w:rsidR="00317890">
        <w:rPr>
          <w:bCs/>
          <w:szCs w:val="24"/>
        </w:rPr>
        <w:t>priekšlaukuma</w:t>
      </w:r>
      <w:proofErr w:type="spellEnd"/>
      <w:r w:rsidR="00317890">
        <w:rPr>
          <w:bCs/>
          <w:szCs w:val="24"/>
        </w:rPr>
        <w:t xml:space="preserve"> labiekārtojuma darbi </w:t>
      </w:r>
      <w:r w:rsidR="00317A7B" w:rsidRPr="00167A1D">
        <w:rPr>
          <w:bCs/>
          <w:szCs w:val="24"/>
        </w:rPr>
        <w:t>(Infrastruktūras objektu 1B kārta)</w:t>
      </w:r>
      <w:r w:rsidR="00960439">
        <w:rPr>
          <w:bCs/>
          <w:szCs w:val="24"/>
        </w:rPr>
        <w:t xml:space="preserve"> </w:t>
      </w:r>
      <w:r w:rsidR="00960439" w:rsidRPr="00167A1D">
        <w:rPr>
          <w:bCs/>
          <w:szCs w:val="24"/>
        </w:rPr>
        <w:t>tika pabeigt</w:t>
      </w:r>
      <w:r w:rsidR="00960439">
        <w:rPr>
          <w:bCs/>
          <w:szCs w:val="24"/>
        </w:rPr>
        <w:t>i</w:t>
      </w:r>
      <w:r w:rsidR="00960439" w:rsidRPr="00167A1D">
        <w:rPr>
          <w:bCs/>
          <w:szCs w:val="24"/>
        </w:rPr>
        <w:t xml:space="preserve"> </w:t>
      </w:r>
      <w:r w:rsidR="00317890">
        <w:rPr>
          <w:bCs/>
          <w:szCs w:val="24"/>
        </w:rPr>
        <w:t xml:space="preserve">2014.gada 30.jūnijā, tomēr atsevišķu neizpildītu darbu dēļ atzinumus par gatavību ekspluatācijai no SIA „Rīgas satiksme” un AS „Sadales tīkls” bija iespējams saņemt tikai </w:t>
      </w:r>
      <w:r w:rsidR="00317A7B" w:rsidRPr="00317890">
        <w:rPr>
          <w:bCs/>
          <w:szCs w:val="24"/>
        </w:rPr>
        <w:t xml:space="preserve">2014.gada </w:t>
      </w:r>
      <w:r w:rsidR="00960439" w:rsidRPr="00317890">
        <w:rPr>
          <w:bCs/>
          <w:szCs w:val="24"/>
        </w:rPr>
        <w:t xml:space="preserve">novembra </w:t>
      </w:r>
      <w:r w:rsidR="005C5C71">
        <w:rPr>
          <w:bCs/>
          <w:szCs w:val="24"/>
        </w:rPr>
        <w:t>vidū.</w:t>
      </w:r>
      <w:r w:rsidR="00317A7B">
        <w:rPr>
          <w:bCs/>
          <w:szCs w:val="24"/>
        </w:rPr>
        <w:t xml:space="preserve"> </w:t>
      </w:r>
      <w:r w:rsidR="005C5C71">
        <w:rPr>
          <w:bCs/>
          <w:szCs w:val="24"/>
        </w:rPr>
        <w:t>A</w:t>
      </w:r>
      <w:r w:rsidR="00960439">
        <w:t>pliecinājum</w:t>
      </w:r>
      <w:r w:rsidR="00317A7B">
        <w:t>u</w:t>
      </w:r>
      <w:r w:rsidR="00960439">
        <w:t xml:space="preserve"> par gatavību ekspluatācijai </w:t>
      </w:r>
      <w:r w:rsidR="005C5C71">
        <w:rPr>
          <w:bCs/>
          <w:szCs w:val="24"/>
        </w:rPr>
        <w:t xml:space="preserve">Kultūras ministrija iesniedza </w:t>
      </w:r>
      <w:r w:rsidR="00317A7B">
        <w:t xml:space="preserve">parakstīšanai NBA 2014.gada 4.decembrī, </w:t>
      </w:r>
      <w:r w:rsidR="00960439">
        <w:t xml:space="preserve">NBA to parakstīja tikai 23.decembrī. </w:t>
      </w:r>
      <w:r w:rsidR="00511110">
        <w:t xml:space="preserve">NBA nav sniegusi informāciju par iemesliem, kādēļ tika kavēta apliecinājumu par minēto būvobjektu gatavību ekspluatācijai, parakstīšana. </w:t>
      </w:r>
      <w:r w:rsidR="00883A14">
        <w:rPr>
          <w:bCs/>
          <w:szCs w:val="24"/>
        </w:rPr>
        <w:t xml:space="preserve">Rīgas pilsētas </w:t>
      </w:r>
      <w:r w:rsidR="00511110">
        <w:rPr>
          <w:bCs/>
          <w:szCs w:val="24"/>
        </w:rPr>
        <w:t>b</w:t>
      </w:r>
      <w:r w:rsidR="00883A14">
        <w:rPr>
          <w:bCs/>
          <w:szCs w:val="24"/>
        </w:rPr>
        <w:t xml:space="preserve">ūvvalde </w:t>
      </w:r>
      <w:r w:rsidR="00511110">
        <w:rPr>
          <w:bCs/>
          <w:szCs w:val="24"/>
        </w:rPr>
        <w:t xml:space="preserve">sakarā ar lielo izskatāmo dokumentu apjomu </w:t>
      </w:r>
      <w:r w:rsidR="00883A14">
        <w:rPr>
          <w:bCs/>
          <w:szCs w:val="24"/>
        </w:rPr>
        <w:t>pagarināj</w:t>
      </w:r>
      <w:r w:rsidR="00511110">
        <w:rPr>
          <w:bCs/>
          <w:szCs w:val="24"/>
        </w:rPr>
        <w:t xml:space="preserve">a </w:t>
      </w:r>
      <w:r w:rsidR="00883A14">
        <w:rPr>
          <w:bCs/>
          <w:szCs w:val="24"/>
        </w:rPr>
        <w:t>ekspluatācijā nodošanas</w:t>
      </w:r>
      <w:r w:rsidR="00EA6593">
        <w:rPr>
          <w:bCs/>
          <w:szCs w:val="24"/>
        </w:rPr>
        <w:t xml:space="preserve"> termiņu, tādēļ </w:t>
      </w:r>
      <w:r w:rsidR="00EA6593" w:rsidRPr="00EA6593">
        <w:rPr>
          <w:bCs/>
          <w:szCs w:val="24"/>
          <w:u w:val="single"/>
        </w:rPr>
        <w:t>LNB t</w:t>
      </w:r>
      <w:r w:rsidR="00960439" w:rsidRPr="00EA6593">
        <w:rPr>
          <w:bCs/>
          <w:szCs w:val="24"/>
          <w:u w:val="single"/>
        </w:rPr>
        <w:t>ehniskā ēka</w:t>
      </w:r>
      <w:r w:rsidR="00EA6593" w:rsidRPr="00EA6593">
        <w:rPr>
          <w:bCs/>
          <w:szCs w:val="24"/>
          <w:u w:val="single"/>
        </w:rPr>
        <w:t>, ieskaitot teritorijas labiekārtojumu</w:t>
      </w:r>
      <w:r w:rsidR="00EA6593">
        <w:rPr>
          <w:bCs/>
          <w:szCs w:val="24"/>
        </w:rPr>
        <w:t xml:space="preserve"> </w:t>
      </w:r>
      <w:r w:rsidR="00883A14" w:rsidRPr="00883A14">
        <w:rPr>
          <w:bCs/>
          <w:szCs w:val="24"/>
          <w:u w:val="single"/>
        </w:rPr>
        <w:t xml:space="preserve">tika </w:t>
      </w:r>
      <w:r w:rsidR="00960439" w:rsidRPr="00883A14">
        <w:rPr>
          <w:bCs/>
          <w:szCs w:val="24"/>
          <w:u w:val="single"/>
        </w:rPr>
        <w:t>pieņemta ekspluatācijā</w:t>
      </w:r>
      <w:r w:rsidR="00883A14" w:rsidRPr="00883A14">
        <w:rPr>
          <w:bCs/>
          <w:szCs w:val="24"/>
          <w:u w:val="single"/>
        </w:rPr>
        <w:t xml:space="preserve"> 2015.gada 20.februārī</w:t>
      </w:r>
      <w:r w:rsidR="00883A14">
        <w:rPr>
          <w:bCs/>
          <w:szCs w:val="24"/>
        </w:rPr>
        <w:t xml:space="preserve">. </w:t>
      </w:r>
      <w:r w:rsidR="00960439">
        <w:rPr>
          <w:bCs/>
          <w:szCs w:val="24"/>
        </w:rPr>
        <w:t xml:space="preserve"> </w:t>
      </w:r>
    </w:p>
    <w:p w:rsidR="00FA62F6" w:rsidRDefault="00E73597" w:rsidP="00960439">
      <w:pPr>
        <w:spacing w:after="120"/>
      </w:pPr>
      <w:r>
        <w:t>Līdz ar to visas LNB būvniecības kārtas ir pieņemtas ekspluatācijā.</w:t>
      </w:r>
    </w:p>
    <w:p w:rsidR="00F40A66" w:rsidRDefault="00F40A66" w:rsidP="00960439">
      <w:pPr>
        <w:spacing w:after="120"/>
      </w:pPr>
    </w:p>
    <w:p w:rsidR="00883A14" w:rsidRPr="00883A14" w:rsidRDefault="00883A14" w:rsidP="00910C63">
      <w:pPr>
        <w:pStyle w:val="ListParagraph"/>
        <w:numPr>
          <w:ilvl w:val="0"/>
          <w:numId w:val="2"/>
        </w:numPr>
        <w:spacing w:after="120"/>
        <w:ind w:left="714" w:hanging="357"/>
        <w:rPr>
          <w:b/>
          <w:lang w:val="lv-LV"/>
        </w:rPr>
      </w:pPr>
      <w:r w:rsidRPr="00883A14">
        <w:rPr>
          <w:b/>
          <w:lang w:val="lv-LV"/>
        </w:rPr>
        <w:t>Pasākumi saistībā ar LNB ēkas izmantošanu Latvijas prezidentūras ES Padomē vajadzībām</w:t>
      </w:r>
    </w:p>
    <w:p w:rsidR="00883A14" w:rsidRPr="00E80E2E" w:rsidRDefault="00883A14" w:rsidP="00883A14">
      <w:pPr>
        <w:pStyle w:val="listparagraph0"/>
        <w:spacing w:before="0" w:beforeAutospacing="0" w:after="120" w:afterAutospacing="0"/>
        <w:jc w:val="both"/>
        <w:rPr>
          <w:u w:val="single"/>
        </w:rPr>
      </w:pPr>
      <w:r w:rsidRPr="00E80E2E">
        <w:rPr>
          <w:u w:val="single"/>
        </w:rPr>
        <w:t>Kultūras ministrijas veiktie pasākumi</w:t>
      </w:r>
    </w:p>
    <w:p w:rsidR="00491A94" w:rsidRDefault="00883A14" w:rsidP="00883A14">
      <w:pPr>
        <w:pStyle w:val="listparagraph0"/>
        <w:spacing w:before="0" w:beforeAutospacing="0" w:after="120" w:afterAutospacing="0"/>
        <w:jc w:val="both"/>
      </w:pPr>
      <w:r>
        <w:t>Lai nodrošinātu</w:t>
      </w:r>
      <w:r w:rsidRPr="002840E7">
        <w:t xml:space="preserve"> Latvijas prezidentūras Eiropas Savienības Padomē </w:t>
      </w:r>
      <w:r>
        <w:t>pasākumu drošu norisi</w:t>
      </w:r>
      <w:r w:rsidR="006B1CA6">
        <w:t xml:space="preserve">, </w:t>
      </w:r>
      <w:r w:rsidR="00491A94">
        <w:t xml:space="preserve">2015.gada sākumā </w:t>
      </w:r>
      <w:r w:rsidR="006B1CA6">
        <w:t>tika veikta</w:t>
      </w:r>
      <w:r w:rsidR="00C24959">
        <w:t xml:space="preserve"> </w:t>
      </w:r>
      <w:r w:rsidR="00491A94">
        <w:t xml:space="preserve">LNB ēkas </w:t>
      </w:r>
      <w:r w:rsidR="00C24959">
        <w:t xml:space="preserve">iekšējo elektrotīklu pielāgošana prezidentūras vajadzībām. </w:t>
      </w:r>
      <w:r w:rsidR="00491A94">
        <w:t xml:space="preserve">Pēc Latvijas prezidentūras ES Padomē sekretariāta pasūtījuma tika izstrādāts projekts elektrisko jaudu palielināšanai un nepārtrauktai elektroapgādei ārēja atslēguma </w:t>
      </w:r>
      <w:r w:rsidR="00491A94">
        <w:lastRenderedPageBreak/>
        <w:t xml:space="preserve">gadījumā. </w:t>
      </w:r>
      <w:r w:rsidR="007D6C9D">
        <w:t>Saskaņā ar Kultūras ministrijas noslēgtajiem līgumiem d</w:t>
      </w:r>
      <w:r w:rsidR="00491A94">
        <w:t xml:space="preserve">arbu izpildi veica pilnsabiedrība „Nacionālā </w:t>
      </w:r>
      <w:proofErr w:type="spellStart"/>
      <w:r w:rsidR="00491A94">
        <w:t>būvkompāniju</w:t>
      </w:r>
      <w:proofErr w:type="spellEnd"/>
      <w:r w:rsidR="00491A94">
        <w:t xml:space="preserve"> apv</w:t>
      </w:r>
      <w:r w:rsidR="007D6C9D">
        <w:t>i</w:t>
      </w:r>
      <w:r w:rsidR="00491A94">
        <w:t>enība” un darbu tehnisko uzraudzību</w:t>
      </w:r>
      <w:r w:rsidR="007D6C9D">
        <w:t xml:space="preserve"> – </w:t>
      </w:r>
      <w:r w:rsidR="00491A94">
        <w:t xml:space="preserve">SIA „Hill </w:t>
      </w:r>
      <w:proofErr w:type="spellStart"/>
      <w:r w:rsidR="00491A94">
        <w:t>Int</w:t>
      </w:r>
      <w:r w:rsidR="007D6C9D">
        <w:t>e</w:t>
      </w:r>
      <w:r w:rsidR="00491A94">
        <w:t>rnational</w:t>
      </w:r>
      <w:proofErr w:type="spellEnd"/>
      <w:r w:rsidR="00491A94">
        <w:t xml:space="preserve"> </w:t>
      </w:r>
      <w:proofErr w:type="spellStart"/>
      <w:r w:rsidR="00491A94">
        <w:t>Baltic</w:t>
      </w:r>
      <w:proofErr w:type="spellEnd"/>
      <w:r w:rsidR="00491A94">
        <w:t xml:space="preserve">”. </w:t>
      </w:r>
      <w:r w:rsidR="007D6C9D">
        <w:t>Kultūr</w:t>
      </w:r>
      <w:r w:rsidR="00866D17">
        <w:t>a</w:t>
      </w:r>
      <w:r w:rsidR="007D6C9D">
        <w:t>s ministrijas realizēto pasākumu kopējās izmaksas – 424 48</w:t>
      </w:r>
      <w:r w:rsidR="005A6BC7">
        <w:t>5</w:t>
      </w:r>
      <w:r w:rsidR="007D6C9D">
        <w:t xml:space="preserve"> </w:t>
      </w:r>
      <w:proofErr w:type="spellStart"/>
      <w:r w:rsidR="007D6C9D" w:rsidRPr="007D6C9D">
        <w:rPr>
          <w:i/>
        </w:rPr>
        <w:t>euro</w:t>
      </w:r>
      <w:proofErr w:type="spellEnd"/>
      <w:r w:rsidR="007D6C9D">
        <w:t xml:space="preserve">. </w:t>
      </w:r>
      <w:r w:rsidR="00491A94">
        <w:t xml:space="preserve"> </w:t>
      </w:r>
      <w:r w:rsidR="00C24959">
        <w:t xml:space="preserve"> </w:t>
      </w:r>
    </w:p>
    <w:p w:rsidR="00883A14" w:rsidRDefault="00883A14" w:rsidP="00883A14">
      <w:pPr>
        <w:tabs>
          <w:tab w:val="left" w:pos="720"/>
        </w:tabs>
        <w:spacing w:after="120"/>
        <w:ind w:left="-3"/>
        <w:rPr>
          <w:b/>
        </w:rPr>
      </w:pPr>
      <w:r w:rsidRPr="00B11B00">
        <w:rPr>
          <w:u w:val="single"/>
        </w:rPr>
        <w:t>LNB veiktie pasākumi</w:t>
      </w:r>
    </w:p>
    <w:p w:rsidR="00317A7B" w:rsidRPr="00A4727C" w:rsidRDefault="00883A14" w:rsidP="008C0BED">
      <w:pPr>
        <w:tabs>
          <w:tab w:val="left" w:pos="720"/>
        </w:tabs>
        <w:spacing w:after="120"/>
        <w:ind w:left="-3"/>
      </w:pPr>
      <w:r>
        <w:t>Sakarā ar LNB ēkas izmantošanu Latvijas prezidentūras</w:t>
      </w:r>
      <w:r w:rsidRPr="00E80E2E">
        <w:t xml:space="preserve"> </w:t>
      </w:r>
      <w:r>
        <w:t xml:space="preserve">ES Padomē norisei 2015.gada pirmajā pusē, </w:t>
      </w:r>
      <w:r w:rsidR="007D6C9D">
        <w:t>prezidentūras vajadzībām bija nepieciešams atbrīvot</w:t>
      </w:r>
      <w:r>
        <w:t xml:space="preserve"> darbinieku telpas</w:t>
      </w:r>
      <w:r w:rsidR="007D6C9D">
        <w:t xml:space="preserve"> LNB ēka</w:t>
      </w:r>
      <w:r w:rsidR="00866D17">
        <w:t>s</w:t>
      </w:r>
      <w:r w:rsidR="007D6C9D">
        <w:t xml:space="preserve"> </w:t>
      </w:r>
      <w:r w:rsidR="00BB517B">
        <w:t>pirmajā un ot</w:t>
      </w:r>
      <w:r w:rsidR="008C0BED">
        <w:t>r</w:t>
      </w:r>
      <w:r w:rsidR="00BB517B">
        <w:t>ajā stāvā</w:t>
      </w:r>
      <w:r>
        <w:t>, kā arī pielāgot telpas pirmajā</w:t>
      </w:r>
      <w:r w:rsidR="008C0BED">
        <w:t xml:space="preserve">, otrajā un mezonīna stāvā </w:t>
      </w:r>
      <w:r>
        <w:t xml:space="preserve">un pagrabstāvā. </w:t>
      </w:r>
      <w:r w:rsidR="008C0BED">
        <w:t>N</w:t>
      </w:r>
      <w:r w:rsidR="007D6C9D">
        <w:t xml:space="preserve">o </w:t>
      </w:r>
      <w:r w:rsidR="008C0BED">
        <w:t xml:space="preserve">attiecīgajām </w:t>
      </w:r>
      <w:r w:rsidR="007D6C9D">
        <w:t xml:space="preserve">telpām tika pārvietoti brīvpieejas </w:t>
      </w:r>
      <w:r w:rsidR="008C0BED">
        <w:t xml:space="preserve">grāmatu </w:t>
      </w:r>
      <w:r w:rsidR="007D6C9D">
        <w:t>krājumi</w:t>
      </w:r>
      <w:r w:rsidR="008C0BED">
        <w:t xml:space="preserve">, kā arī </w:t>
      </w:r>
      <w:r w:rsidR="007D6C9D">
        <w:t>demontētas mēbeles</w:t>
      </w:r>
      <w:r w:rsidR="008C0BED">
        <w:t xml:space="preserve"> un grāmatu plaukti. P</w:t>
      </w:r>
      <w:r>
        <w:t xml:space="preserve">ēc </w:t>
      </w:r>
      <w:r w:rsidR="008C0BED">
        <w:t xml:space="preserve">prezidentūras noslēguma </w:t>
      </w:r>
      <w:r>
        <w:t xml:space="preserve">2015.gada jūlijā un augustā </w:t>
      </w:r>
      <w:r w:rsidR="00F64F1B">
        <w:t>LNB organizēja</w:t>
      </w:r>
      <w:r>
        <w:t xml:space="preserve"> demontēto mēbeļu uzstādīšanu </w:t>
      </w:r>
      <w:r w:rsidR="00F64F1B">
        <w:t xml:space="preserve">un bibliotēkas </w:t>
      </w:r>
      <w:r>
        <w:t>iekārtošanu</w:t>
      </w:r>
      <w:r w:rsidR="00F64F1B">
        <w:t>, lai 1.septembrī</w:t>
      </w:r>
      <w:r>
        <w:t xml:space="preserve"> atsāk</w:t>
      </w:r>
      <w:r w:rsidR="00F64F1B">
        <w:t>tu</w:t>
      </w:r>
      <w:r>
        <w:t xml:space="preserve"> darbību normālā režīmā</w:t>
      </w:r>
      <w:r w:rsidR="00F64F1B">
        <w:t xml:space="preserve">. </w:t>
      </w:r>
    </w:p>
    <w:p w:rsidR="006E04B3" w:rsidRDefault="006E04B3" w:rsidP="00727A36">
      <w:pPr>
        <w:rPr>
          <w:szCs w:val="24"/>
        </w:rPr>
      </w:pPr>
    </w:p>
    <w:p w:rsidR="00A602CD" w:rsidRDefault="00A602CD" w:rsidP="00727A36">
      <w:pPr>
        <w:rPr>
          <w:szCs w:val="24"/>
        </w:rPr>
      </w:pPr>
    </w:p>
    <w:p w:rsidR="00727A36" w:rsidRPr="00F64F1B" w:rsidRDefault="006264AF" w:rsidP="00910C63">
      <w:pPr>
        <w:pStyle w:val="ListParagraph"/>
        <w:numPr>
          <w:ilvl w:val="0"/>
          <w:numId w:val="2"/>
        </w:numPr>
        <w:spacing w:after="120"/>
        <w:rPr>
          <w:b/>
          <w:lang w:val="lv-LV"/>
        </w:rPr>
      </w:pPr>
      <w:r w:rsidRPr="00F64F1B">
        <w:rPr>
          <w:b/>
          <w:lang w:val="lv-LV"/>
        </w:rPr>
        <w:t xml:space="preserve">LNB aprīkošana ar </w:t>
      </w:r>
      <w:r w:rsidR="00317A7B" w:rsidRPr="00F64F1B">
        <w:rPr>
          <w:b/>
          <w:lang w:val="lv-LV"/>
        </w:rPr>
        <w:t xml:space="preserve">biroju tehniku un </w:t>
      </w:r>
      <w:r w:rsidRPr="00F64F1B">
        <w:rPr>
          <w:b/>
          <w:lang w:val="lv-LV"/>
        </w:rPr>
        <w:t>iekārtām</w:t>
      </w:r>
      <w:r w:rsidR="00317A7B" w:rsidRPr="00F64F1B">
        <w:rPr>
          <w:b/>
          <w:lang w:val="lv-LV"/>
        </w:rPr>
        <w:t>.</w:t>
      </w:r>
    </w:p>
    <w:p w:rsidR="00C812B5" w:rsidRPr="00DF0F83" w:rsidRDefault="00DF0F83" w:rsidP="00ED0637">
      <w:r>
        <w:t xml:space="preserve">LNB projekta pasākuma „IT, biroju tehnika un programmatūra” ietvaros </w:t>
      </w:r>
      <w:r w:rsidR="00C812B5">
        <w:t xml:space="preserve">2015.gada </w:t>
      </w:r>
      <w:r w:rsidR="007B7B04">
        <w:t>8.j</w:t>
      </w:r>
      <w:r>
        <w:t>ū</w:t>
      </w:r>
      <w:r w:rsidR="007B7B04">
        <w:t>l</w:t>
      </w:r>
      <w:r>
        <w:t>ijā tika izsludināts</w:t>
      </w:r>
      <w:r w:rsidR="00C812B5">
        <w:t xml:space="preserve"> slēgt</w:t>
      </w:r>
      <w:r w:rsidR="00B316CE">
        <w:t>a</w:t>
      </w:r>
      <w:r w:rsidR="00C812B5">
        <w:t xml:space="preserve"> konkurs</w:t>
      </w:r>
      <w:r w:rsidR="00B316CE">
        <w:t>a</w:t>
      </w:r>
      <w:r w:rsidR="00C812B5">
        <w:t xml:space="preserve"> </w:t>
      </w:r>
      <w:bookmarkStart w:id="0" w:name="_Toc164652598"/>
      <w:bookmarkStart w:id="1" w:name="_Toc164656097"/>
      <w:bookmarkStart w:id="2" w:name="_Toc164656237"/>
      <w:bookmarkStart w:id="3" w:name="_Toc210190883"/>
      <w:r w:rsidR="00C812B5" w:rsidRPr="007E466E">
        <w:rPr>
          <w:caps/>
          <w:szCs w:val="24"/>
        </w:rPr>
        <w:t>„</w:t>
      </w:r>
      <w:bookmarkEnd w:id="0"/>
      <w:bookmarkEnd w:id="1"/>
      <w:bookmarkEnd w:id="2"/>
      <w:bookmarkEnd w:id="3"/>
      <w:r w:rsidR="00C812B5" w:rsidRPr="007E466E">
        <w:rPr>
          <w:caps/>
          <w:szCs w:val="24"/>
        </w:rPr>
        <w:t>LNB</w:t>
      </w:r>
      <w:r w:rsidR="00C812B5" w:rsidRPr="007E466E">
        <w:rPr>
          <w:szCs w:val="24"/>
        </w:rPr>
        <w:t xml:space="preserve"> </w:t>
      </w:r>
      <w:r w:rsidR="00C812B5">
        <w:rPr>
          <w:szCs w:val="24"/>
        </w:rPr>
        <w:t xml:space="preserve">datu </w:t>
      </w:r>
      <w:r w:rsidR="00C812B5" w:rsidRPr="007E466E">
        <w:rPr>
          <w:szCs w:val="24"/>
        </w:rPr>
        <w:t>centra infrastruktūras modernizācija, datu un infrastruktūras pārnese un uzturēšana</w:t>
      </w:r>
      <w:r w:rsidR="00C812B5" w:rsidRPr="00B316CE">
        <w:rPr>
          <w:szCs w:val="24"/>
        </w:rPr>
        <w:t>”</w:t>
      </w:r>
      <w:r w:rsidR="00B316CE">
        <w:rPr>
          <w:szCs w:val="24"/>
        </w:rPr>
        <w:t xml:space="preserve"> (iepirkuma </w:t>
      </w:r>
      <w:proofErr w:type="spellStart"/>
      <w:r w:rsidR="00B316CE">
        <w:rPr>
          <w:szCs w:val="24"/>
        </w:rPr>
        <w:t>id</w:t>
      </w:r>
      <w:proofErr w:type="spellEnd"/>
      <w:r w:rsidR="00B316CE">
        <w:rPr>
          <w:szCs w:val="24"/>
        </w:rPr>
        <w:t xml:space="preserve">. </w:t>
      </w:r>
      <w:proofErr w:type="spellStart"/>
      <w:r w:rsidR="00B316CE">
        <w:rPr>
          <w:szCs w:val="24"/>
        </w:rPr>
        <w:t>Nr.LNB</w:t>
      </w:r>
      <w:proofErr w:type="spellEnd"/>
      <w:r w:rsidR="00B316CE">
        <w:rPr>
          <w:szCs w:val="24"/>
        </w:rPr>
        <w:t xml:space="preserve">/2015/28) </w:t>
      </w:r>
      <w:r w:rsidR="00B316CE" w:rsidRPr="00B316CE">
        <w:rPr>
          <w:szCs w:val="24"/>
        </w:rPr>
        <w:t xml:space="preserve">kandidātu atlases </w:t>
      </w:r>
      <w:r w:rsidR="00B316CE">
        <w:rPr>
          <w:szCs w:val="24"/>
        </w:rPr>
        <w:t>kārta</w:t>
      </w:r>
      <w:r w:rsidR="00ED0637" w:rsidRPr="00B316CE">
        <w:rPr>
          <w:szCs w:val="24"/>
        </w:rPr>
        <w:t>.</w:t>
      </w:r>
      <w:r w:rsidR="00ED0637">
        <w:rPr>
          <w:caps/>
          <w:szCs w:val="24"/>
        </w:rPr>
        <w:t xml:space="preserve"> </w:t>
      </w:r>
      <w:r w:rsidRPr="00DF0F83">
        <w:rPr>
          <w:szCs w:val="24"/>
        </w:rPr>
        <w:t>Iepirku</w:t>
      </w:r>
      <w:r>
        <w:rPr>
          <w:szCs w:val="24"/>
        </w:rPr>
        <w:t xml:space="preserve">ma rezultātā paredzēts izveidot jaunu datu centru LNB tehniskajā ēkā Mūkusalas ielā 5, </w:t>
      </w:r>
      <w:r w:rsidR="00CA17B4">
        <w:rPr>
          <w:szCs w:val="24"/>
        </w:rPr>
        <w:t xml:space="preserve">aprīkojot to ar nepieciešamajām iekārtām, modernizēt esošo infrastruktūras vidi un izveidot </w:t>
      </w:r>
      <w:r w:rsidR="00643641">
        <w:rPr>
          <w:szCs w:val="24"/>
        </w:rPr>
        <w:t xml:space="preserve">LNB </w:t>
      </w:r>
      <w:r w:rsidR="00CA17B4">
        <w:rPr>
          <w:szCs w:val="24"/>
        </w:rPr>
        <w:t xml:space="preserve">vienotu integrētu </w:t>
      </w:r>
      <w:r w:rsidR="00643641">
        <w:rPr>
          <w:szCs w:val="24"/>
        </w:rPr>
        <w:t xml:space="preserve">datu </w:t>
      </w:r>
      <w:r w:rsidR="00CA17B4">
        <w:rPr>
          <w:szCs w:val="24"/>
        </w:rPr>
        <w:t>virtualizācijas risinājumu.</w:t>
      </w:r>
      <w:r w:rsidR="00324E71">
        <w:rPr>
          <w:szCs w:val="24"/>
        </w:rPr>
        <w:t xml:space="preserve"> Saskaņā ar sākotnējo novērtējumu paredzamā līgumcena ir 2 000 000 </w:t>
      </w:r>
      <w:proofErr w:type="spellStart"/>
      <w:r w:rsidR="00324E71" w:rsidRPr="00324E71">
        <w:rPr>
          <w:i/>
          <w:szCs w:val="24"/>
        </w:rPr>
        <w:t>euro</w:t>
      </w:r>
      <w:proofErr w:type="spellEnd"/>
      <w:r w:rsidR="00324E71">
        <w:rPr>
          <w:szCs w:val="24"/>
        </w:rPr>
        <w:t xml:space="preserve">. </w:t>
      </w:r>
      <w:r w:rsidR="00B316CE">
        <w:rPr>
          <w:szCs w:val="24"/>
        </w:rPr>
        <w:t xml:space="preserve">Pieteikumus </w:t>
      </w:r>
      <w:r w:rsidR="00643641">
        <w:rPr>
          <w:szCs w:val="24"/>
        </w:rPr>
        <w:t>dalībai konkurs</w:t>
      </w:r>
      <w:r w:rsidR="004F450B">
        <w:rPr>
          <w:szCs w:val="24"/>
        </w:rPr>
        <w:t>ā</w:t>
      </w:r>
      <w:r w:rsidR="00643641">
        <w:rPr>
          <w:szCs w:val="24"/>
        </w:rPr>
        <w:t xml:space="preserve"> </w:t>
      </w:r>
      <w:r w:rsidR="00B316CE">
        <w:rPr>
          <w:szCs w:val="24"/>
        </w:rPr>
        <w:t>iesniedza divi kandidāti – SIA „</w:t>
      </w:r>
      <w:proofErr w:type="spellStart"/>
      <w:r w:rsidR="00B316CE">
        <w:rPr>
          <w:szCs w:val="24"/>
        </w:rPr>
        <w:t>Datakom</w:t>
      </w:r>
      <w:proofErr w:type="spellEnd"/>
      <w:r w:rsidR="00B316CE">
        <w:rPr>
          <w:szCs w:val="24"/>
        </w:rPr>
        <w:t>” un SIA „DPA”</w:t>
      </w:r>
      <w:r w:rsidR="00643641">
        <w:rPr>
          <w:szCs w:val="24"/>
        </w:rPr>
        <w:t xml:space="preserve">. Abiem kandidātiem 2015.gada </w:t>
      </w:r>
      <w:r w:rsidR="004F450B">
        <w:rPr>
          <w:szCs w:val="24"/>
        </w:rPr>
        <w:t>28.</w:t>
      </w:r>
      <w:r w:rsidR="00643641">
        <w:rPr>
          <w:szCs w:val="24"/>
        </w:rPr>
        <w:t xml:space="preserve"> decembrī tika nosūtīts uzaicinājums iesniegt piedāvājumus.</w:t>
      </w:r>
      <w:r w:rsidR="00324E71">
        <w:rPr>
          <w:szCs w:val="24"/>
        </w:rPr>
        <w:t xml:space="preserve"> </w:t>
      </w:r>
      <w:r>
        <w:rPr>
          <w:szCs w:val="24"/>
        </w:rPr>
        <w:t xml:space="preserve">  </w:t>
      </w:r>
    </w:p>
    <w:p w:rsidR="00C812B5" w:rsidRDefault="00C812B5" w:rsidP="00F64F1B"/>
    <w:p w:rsidR="00A602CD" w:rsidRPr="00DF0F83" w:rsidRDefault="00A602CD" w:rsidP="00F64F1B"/>
    <w:p w:rsidR="007F1C8D" w:rsidRPr="00A20BEC" w:rsidRDefault="00132850" w:rsidP="00910C63">
      <w:pPr>
        <w:pStyle w:val="ListParagraph"/>
        <w:numPr>
          <w:ilvl w:val="0"/>
          <w:numId w:val="2"/>
        </w:numPr>
        <w:spacing w:after="120"/>
        <w:ind w:left="714" w:hanging="357"/>
        <w:rPr>
          <w:b/>
        </w:rPr>
      </w:pPr>
      <w:r w:rsidRPr="00A20BEC">
        <w:rPr>
          <w:b/>
          <w:lang w:val="lv-LV"/>
        </w:rPr>
        <w:t>Tehnoloģiskais aprīkojums un iekārtas</w:t>
      </w:r>
    </w:p>
    <w:p w:rsidR="00A602CD" w:rsidRDefault="00A602CD" w:rsidP="008D3522">
      <w:pPr>
        <w:pStyle w:val="ListParagraph"/>
        <w:spacing w:after="120"/>
        <w:ind w:left="0"/>
        <w:jc w:val="both"/>
        <w:rPr>
          <w:lang w:val="lv-LV"/>
        </w:rPr>
      </w:pPr>
      <w:r>
        <w:rPr>
          <w:lang w:val="lv-LV"/>
        </w:rPr>
        <w:t>2015.gadā tika turpināta LNB aprīkošana ar</w:t>
      </w:r>
      <w:r w:rsidR="00E045CD">
        <w:rPr>
          <w:lang w:val="lv-LV"/>
        </w:rPr>
        <w:t xml:space="preserve"> tās</w:t>
      </w:r>
      <w:r>
        <w:rPr>
          <w:lang w:val="lv-LV"/>
        </w:rPr>
        <w:t xml:space="preserve"> </w:t>
      </w:r>
      <w:r w:rsidR="00E045CD">
        <w:rPr>
          <w:lang w:val="lv-LV"/>
        </w:rPr>
        <w:t xml:space="preserve">darbībai nepieciešamo </w:t>
      </w:r>
      <w:r>
        <w:rPr>
          <w:lang w:val="lv-LV"/>
        </w:rPr>
        <w:t xml:space="preserve">inventāru un </w:t>
      </w:r>
      <w:r w:rsidR="00E045CD">
        <w:rPr>
          <w:lang w:val="lv-LV"/>
        </w:rPr>
        <w:t>iekārtām</w:t>
      </w:r>
      <w:r w:rsidR="00787522">
        <w:rPr>
          <w:lang w:val="lv-LV"/>
        </w:rPr>
        <w:t>, un aktivitātes ietvaros tika noslēgti šādi nozīmīgākie iepirkuma līgumi:</w:t>
      </w:r>
    </w:p>
    <w:p w:rsidR="00787522" w:rsidRDefault="00E045CD" w:rsidP="00910C63">
      <w:pPr>
        <w:pStyle w:val="ListParagraph"/>
        <w:numPr>
          <w:ilvl w:val="0"/>
          <w:numId w:val="6"/>
        </w:numPr>
        <w:spacing w:after="120"/>
        <w:jc w:val="both"/>
        <w:rPr>
          <w:lang w:val="lv-LV"/>
        </w:rPr>
      </w:pPr>
      <w:r>
        <w:rPr>
          <w:lang w:val="lv-LV"/>
        </w:rPr>
        <w:t>līgums ar SIA</w:t>
      </w:r>
      <w:r w:rsidR="00787522">
        <w:rPr>
          <w:lang w:val="lv-LV"/>
        </w:rPr>
        <w:t xml:space="preserve"> „</w:t>
      </w:r>
      <w:proofErr w:type="spellStart"/>
      <w:r w:rsidR="00787522">
        <w:rPr>
          <w:lang w:val="lv-LV"/>
        </w:rPr>
        <w:t>Entrons</w:t>
      </w:r>
      <w:proofErr w:type="spellEnd"/>
      <w:r w:rsidR="00787522">
        <w:rPr>
          <w:lang w:val="lv-LV"/>
        </w:rPr>
        <w:t>” par grāmatu r</w:t>
      </w:r>
      <w:r w:rsidRPr="00AD242E">
        <w:rPr>
          <w:lang w:val="lv-LV"/>
        </w:rPr>
        <w:t>esta</w:t>
      </w:r>
      <w:r w:rsidR="00787522">
        <w:rPr>
          <w:lang w:val="lv-LV"/>
        </w:rPr>
        <w:t xml:space="preserve">urācijas iekārtas un aprīkojuma iegādi. Līguma </w:t>
      </w:r>
      <w:r w:rsidRPr="00AD242E">
        <w:rPr>
          <w:lang w:val="lv-LV"/>
        </w:rPr>
        <w:t>ietvaros ir iegādātas restaurācijas procesam nepieciešamās poligrāfijas, papīra un ādas apstrādes iekārt</w:t>
      </w:r>
      <w:r w:rsidR="00787522">
        <w:rPr>
          <w:lang w:val="lv-LV"/>
        </w:rPr>
        <w:t xml:space="preserve">as, </w:t>
      </w:r>
      <w:r w:rsidR="00A20BEC">
        <w:rPr>
          <w:lang w:val="lv-LV"/>
        </w:rPr>
        <w:t xml:space="preserve">velkmes skapji, </w:t>
      </w:r>
      <w:r w:rsidR="008D3522">
        <w:rPr>
          <w:lang w:val="lv-LV"/>
        </w:rPr>
        <w:t>preses,</w:t>
      </w:r>
      <w:r w:rsidR="00A20BEC">
        <w:rPr>
          <w:lang w:val="lv-LV"/>
        </w:rPr>
        <w:t xml:space="preserve"> gropējamā mašīna, </w:t>
      </w:r>
      <w:r w:rsidR="00787522">
        <w:rPr>
          <w:lang w:val="lv-LV"/>
        </w:rPr>
        <w:t xml:space="preserve">palīgierīces un instrumenti, </w:t>
      </w:r>
    </w:p>
    <w:p w:rsidR="008D3522" w:rsidRDefault="00A20BEC" w:rsidP="00910C63">
      <w:pPr>
        <w:pStyle w:val="ListParagraph"/>
        <w:numPr>
          <w:ilvl w:val="0"/>
          <w:numId w:val="6"/>
        </w:numPr>
        <w:spacing w:after="120"/>
        <w:jc w:val="both"/>
        <w:rPr>
          <w:lang w:val="lv-LV"/>
        </w:rPr>
      </w:pPr>
      <w:r>
        <w:rPr>
          <w:lang w:val="lv-LV"/>
        </w:rPr>
        <w:t xml:space="preserve">līgums ar </w:t>
      </w:r>
      <w:r w:rsidR="008D3522">
        <w:rPr>
          <w:lang w:val="lv-LV"/>
        </w:rPr>
        <w:t>„</w:t>
      </w:r>
      <w:proofErr w:type="spellStart"/>
      <w:r w:rsidR="008D3522">
        <w:rPr>
          <w:lang w:val="lv-LV"/>
        </w:rPr>
        <w:t>Inbio</w:t>
      </w:r>
      <w:proofErr w:type="spellEnd"/>
      <w:r w:rsidR="008D3522">
        <w:rPr>
          <w:lang w:val="lv-LV"/>
        </w:rPr>
        <w:t xml:space="preserve"> OY” par speciālā restaurācijas aprīkojuma iegādi – gaismas galdi</w:t>
      </w:r>
      <w:r>
        <w:rPr>
          <w:lang w:val="lv-LV"/>
        </w:rPr>
        <w:t xml:space="preserve">, </w:t>
      </w:r>
      <w:r w:rsidR="008D3522">
        <w:rPr>
          <w:lang w:val="lv-LV"/>
        </w:rPr>
        <w:t>lampas</w:t>
      </w:r>
      <w:r>
        <w:rPr>
          <w:lang w:val="lv-LV"/>
        </w:rPr>
        <w:t xml:space="preserve">, mērierīces, mitrinātāji,  </w:t>
      </w:r>
    </w:p>
    <w:p w:rsidR="008D3522" w:rsidRPr="00A20BEC" w:rsidRDefault="00787522" w:rsidP="00910C63">
      <w:pPr>
        <w:pStyle w:val="ListParagraph"/>
        <w:numPr>
          <w:ilvl w:val="0"/>
          <w:numId w:val="6"/>
        </w:numPr>
        <w:spacing w:after="120"/>
        <w:jc w:val="both"/>
        <w:rPr>
          <w:lang w:val="lv-LV"/>
        </w:rPr>
      </w:pPr>
      <w:r>
        <w:rPr>
          <w:lang w:val="lv-LV"/>
        </w:rPr>
        <w:t xml:space="preserve">līgums ar </w:t>
      </w:r>
      <w:r w:rsidR="008D3522">
        <w:rPr>
          <w:lang w:val="lv-LV"/>
        </w:rPr>
        <w:t xml:space="preserve">AS „AJ Produkti” </w:t>
      </w:r>
      <w:r>
        <w:rPr>
          <w:lang w:val="lv-LV"/>
        </w:rPr>
        <w:t>par s</w:t>
      </w:r>
      <w:r w:rsidR="00AD242E" w:rsidRPr="00787522">
        <w:rPr>
          <w:lang w:val="lv-LV"/>
        </w:rPr>
        <w:t>aimniecības preč</w:t>
      </w:r>
      <w:r>
        <w:rPr>
          <w:lang w:val="lv-LV"/>
        </w:rPr>
        <w:t xml:space="preserve">u, tehnikas un aprīkojuma iegādi. saskaņā ar līgumu </w:t>
      </w:r>
      <w:r w:rsidR="00AD242E" w:rsidRPr="00787522">
        <w:rPr>
          <w:lang w:val="lv-LV"/>
        </w:rPr>
        <w:t xml:space="preserve">tika iegādāta nepieciešamā sadzīves tehnika, ratiņi grāmatu pārvietošanai, </w:t>
      </w:r>
      <w:r w:rsidRPr="00787522">
        <w:rPr>
          <w:lang w:val="lv-LV"/>
        </w:rPr>
        <w:t xml:space="preserve">speciālie ratiņi </w:t>
      </w:r>
      <w:r w:rsidR="00AD242E" w:rsidRPr="00787522">
        <w:rPr>
          <w:lang w:val="lv-LV"/>
        </w:rPr>
        <w:t>preču piegādes</w:t>
      </w:r>
      <w:r>
        <w:rPr>
          <w:lang w:val="lv-LV"/>
        </w:rPr>
        <w:t xml:space="preserve"> – </w:t>
      </w:r>
      <w:r w:rsidR="00AD242E" w:rsidRPr="00787522">
        <w:rPr>
          <w:lang w:val="lv-LV"/>
        </w:rPr>
        <w:t>saņemšana</w:t>
      </w:r>
      <w:r>
        <w:rPr>
          <w:lang w:val="lv-LV"/>
        </w:rPr>
        <w:t>s</w:t>
      </w:r>
      <w:r w:rsidR="00AD242E" w:rsidRPr="00787522">
        <w:rPr>
          <w:lang w:val="lv-LV"/>
        </w:rPr>
        <w:t xml:space="preserve"> un pārvietošanas procesa nodrošināšan</w:t>
      </w:r>
      <w:r>
        <w:rPr>
          <w:lang w:val="lv-LV"/>
        </w:rPr>
        <w:t>a</w:t>
      </w:r>
      <w:r w:rsidR="00AD242E" w:rsidRPr="00787522">
        <w:rPr>
          <w:lang w:val="lv-LV"/>
        </w:rPr>
        <w:t>i</w:t>
      </w:r>
      <w:r>
        <w:rPr>
          <w:lang w:val="lv-LV"/>
        </w:rPr>
        <w:t xml:space="preserve">, </w:t>
      </w:r>
      <w:r w:rsidR="00AD242E" w:rsidRPr="00787522">
        <w:rPr>
          <w:lang w:val="lv-LV"/>
        </w:rPr>
        <w:t xml:space="preserve">platformas, </w:t>
      </w:r>
      <w:r w:rsidR="00E045CD" w:rsidRPr="00787522">
        <w:rPr>
          <w:lang w:val="lv-LV"/>
        </w:rPr>
        <w:t xml:space="preserve">alumīnija </w:t>
      </w:r>
      <w:proofErr w:type="spellStart"/>
      <w:r w:rsidR="00AD242E" w:rsidRPr="00787522">
        <w:rPr>
          <w:lang w:val="lv-LV"/>
        </w:rPr>
        <w:t>daudzpakāpienu</w:t>
      </w:r>
      <w:proofErr w:type="spellEnd"/>
      <w:r w:rsidR="00AD242E" w:rsidRPr="00787522">
        <w:rPr>
          <w:lang w:val="lv-LV"/>
        </w:rPr>
        <w:t xml:space="preserve"> trepes grāmatu krātuvju fondu apkalpošanai un ēkas </w:t>
      </w:r>
      <w:proofErr w:type="spellStart"/>
      <w:r w:rsidR="00AD242E" w:rsidRPr="00787522">
        <w:rPr>
          <w:lang w:val="lv-LV"/>
        </w:rPr>
        <w:t>inženiersistēmu</w:t>
      </w:r>
      <w:proofErr w:type="spellEnd"/>
      <w:r w:rsidR="00AD242E" w:rsidRPr="00787522">
        <w:rPr>
          <w:lang w:val="lv-LV"/>
        </w:rPr>
        <w:t xml:space="preserve"> apkalpošanai nepieciešamie mehāniskie un elektriskie rokas instrumenti</w:t>
      </w:r>
      <w:r>
        <w:rPr>
          <w:lang w:val="lv-LV"/>
        </w:rPr>
        <w:t>,</w:t>
      </w:r>
    </w:p>
    <w:p w:rsidR="00AD242E" w:rsidRPr="00AD242E" w:rsidRDefault="00787522" w:rsidP="00910C63">
      <w:pPr>
        <w:pStyle w:val="ListParagraph"/>
        <w:numPr>
          <w:ilvl w:val="0"/>
          <w:numId w:val="5"/>
        </w:numPr>
        <w:spacing w:after="120"/>
        <w:jc w:val="both"/>
        <w:rPr>
          <w:lang w:val="lv-LV"/>
        </w:rPr>
      </w:pPr>
      <w:r>
        <w:rPr>
          <w:lang w:val="lv-LV"/>
        </w:rPr>
        <w:t>līgum</w:t>
      </w:r>
      <w:r w:rsidR="00A20BEC">
        <w:rPr>
          <w:lang w:val="lv-LV"/>
        </w:rPr>
        <w:t>s</w:t>
      </w:r>
      <w:r>
        <w:rPr>
          <w:lang w:val="lv-LV"/>
        </w:rPr>
        <w:t xml:space="preserve"> </w:t>
      </w:r>
      <w:r w:rsidR="00A20BEC">
        <w:rPr>
          <w:lang w:val="lv-LV"/>
        </w:rPr>
        <w:t>par ž</w:t>
      </w:r>
      <w:r w:rsidR="00AD242E" w:rsidRPr="00AD242E">
        <w:rPr>
          <w:lang w:val="lv-LV"/>
        </w:rPr>
        <w:t>alūziju izgatavošan</w:t>
      </w:r>
      <w:r w:rsidR="00A20BEC">
        <w:rPr>
          <w:lang w:val="lv-LV"/>
        </w:rPr>
        <w:t xml:space="preserve">u un uzstādīšanu </w:t>
      </w:r>
      <w:r w:rsidR="00AD242E" w:rsidRPr="00AD242E">
        <w:rPr>
          <w:lang w:val="lv-LV"/>
        </w:rPr>
        <w:t>abu ēku administratīvo telpu logiem.</w:t>
      </w:r>
    </w:p>
    <w:p w:rsidR="008801A3" w:rsidRPr="00132850" w:rsidRDefault="00A20BEC" w:rsidP="008D3522">
      <w:pPr>
        <w:pStyle w:val="ListParagraph"/>
        <w:spacing w:after="120"/>
        <w:ind w:left="0"/>
        <w:jc w:val="both"/>
        <w:rPr>
          <w:lang w:val="lv-LV"/>
        </w:rPr>
      </w:pPr>
      <w:r>
        <w:rPr>
          <w:lang w:val="lv-LV"/>
        </w:rPr>
        <w:t xml:space="preserve">Kopumā </w:t>
      </w:r>
      <w:r w:rsidR="008D3522">
        <w:rPr>
          <w:lang w:val="lv-LV"/>
        </w:rPr>
        <w:t>2015.gadā veikta tehnoloģiskā aprīkojuma un inventāra iegāde</w:t>
      </w:r>
      <w:r w:rsidR="0007333A">
        <w:rPr>
          <w:lang w:val="lv-LV"/>
        </w:rPr>
        <w:t xml:space="preserve"> 218 996 </w:t>
      </w:r>
      <w:proofErr w:type="spellStart"/>
      <w:r w:rsidR="0007333A" w:rsidRPr="0007333A">
        <w:rPr>
          <w:i/>
          <w:lang w:val="lv-LV"/>
        </w:rPr>
        <w:t>euro</w:t>
      </w:r>
      <w:proofErr w:type="spellEnd"/>
      <w:r w:rsidR="008D3522">
        <w:rPr>
          <w:lang w:val="lv-LV"/>
        </w:rPr>
        <w:t xml:space="preserve"> apmērā.</w:t>
      </w:r>
      <w:r w:rsidR="0007333A">
        <w:rPr>
          <w:lang w:val="lv-LV"/>
        </w:rPr>
        <w:t xml:space="preserve"> </w:t>
      </w:r>
    </w:p>
    <w:p w:rsidR="00132850" w:rsidRDefault="00132850" w:rsidP="00132850">
      <w:pPr>
        <w:pStyle w:val="ListParagraph"/>
        <w:rPr>
          <w:lang w:val="lv-LV"/>
        </w:rPr>
      </w:pPr>
    </w:p>
    <w:p w:rsidR="00A602CD" w:rsidRPr="00A602CD" w:rsidRDefault="00A602CD" w:rsidP="00132850">
      <w:pPr>
        <w:pStyle w:val="ListParagraph"/>
        <w:rPr>
          <w:lang w:val="lv-LV"/>
        </w:rPr>
      </w:pPr>
    </w:p>
    <w:p w:rsidR="00132850" w:rsidRPr="00772259" w:rsidRDefault="00132850" w:rsidP="00910C63">
      <w:pPr>
        <w:pStyle w:val="ListParagraph"/>
        <w:numPr>
          <w:ilvl w:val="0"/>
          <w:numId w:val="2"/>
        </w:numPr>
        <w:spacing w:after="120"/>
        <w:ind w:left="714" w:hanging="357"/>
        <w:rPr>
          <w:b/>
        </w:rPr>
      </w:pPr>
      <w:r w:rsidRPr="00772259">
        <w:rPr>
          <w:b/>
          <w:lang w:val="lv-LV"/>
        </w:rPr>
        <w:t>Telp</w:t>
      </w:r>
      <w:r w:rsidR="00656DF4" w:rsidRPr="00772259">
        <w:rPr>
          <w:b/>
          <w:lang w:val="lv-LV"/>
        </w:rPr>
        <w:t>u apzaļumošana</w:t>
      </w:r>
    </w:p>
    <w:p w:rsidR="00132850" w:rsidRDefault="00656DF4" w:rsidP="00656DF4">
      <w:pPr>
        <w:spacing w:after="120"/>
      </w:pPr>
      <w:r>
        <w:t>Pēc Latvijas prezidentūras</w:t>
      </w:r>
      <w:r w:rsidRPr="00E80E2E">
        <w:t xml:space="preserve"> </w:t>
      </w:r>
      <w:r>
        <w:t>ES Padomē nobeiguma 2015.gada otrajā pusē tika veikta LNB ēkas iekštelpu apzaļumošana</w:t>
      </w:r>
      <w:r w:rsidR="008801A3">
        <w:t>. T</w:t>
      </w:r>
      <w:r w:rsidR="00760209">
        <w:t xml:space="preserve">elpaugi tika izvietoti galvenokārt ēkas </w:t>
      </w:r>
      <w:r>
        <w:t>publisk</w:t>
      </w:r>
      <w:r w:rsidR="00760209">
        <w:t>ajā</w:t>
      </w:r>
      <w:r>
        <w:t xml:space="preserve"> </w:t>
      </w:r>
      <w:r w:rsidR="00772259">
        <w:t xml:space="preserve">un </w:t>
      </w:r>
      <w:r w:rsidR="00760209">
        <w:lastRenderedPageBreak/>
        <w:t>re</w:t>
      </w:r>
      <w:r w:rsidR="00772259">
        <w:t>kreācijas zonā</w:t>
      </w:r>
      <w:r w:rsidR="008801A3" w:rsidRPr="008801A3">
        <w:t xml:space="preserve"> </w:t>
      </w:r>
      <w:r w:rsidR="008801A3">
        <w:t>atbilstoši labiekārtojuma projektam</w:t>
      </w:r>
      <w:r w:rsidR="00760209">
        <w:t>.</w:t>
      </w:r>
      <w:r w:rsidR="008801A3">
        <w:t xml:space="preserve"> </w:t>
      </w:r>
      <w:r w:rsidR="00760209">
        <w:t>Ēkas 1.stāva, mezonīna</w:t>
      </w:r>
      <w:r w:rsidR="00772259">
        <w:t>,</w:t>
      </w:r>
      <w:r w:rsidR="00760209">
        <w:t xml:space="preserve"> 2.</w:t>
      </w:r>
      <w:r w:rsidR="00772259">
        <w:t xml:space="preserve"> un 3.</w:t>
      </w:r>
      <w:r w:rsidR="00760209">
        <w:t xml:space="preserve">stāva </w:t>
      </w:r>
      <w:proofErr w:type="spellStart"/>
      <w:r w:rsidR="00760209">
        <w:t>ātrija</w:t>
      </w:r>
      <w:proofErr w:type="spellEnd"/>
      <w:r w:rsidR="00760209">
        <w:t xml:space="preserve"> zonā</w:t>
      </w:r>
      <w:r w:rsidR="00557FC4">
        <w:t xml:space="preserve">, kā arī augšējo stāvu </w:t>
      </w:r>
      <w:r w:rsidR="00772259">
        <w:t xml:space="preserve">publiskajās </w:t>
      </w:r>
      <w:r w:rsidR="00557FC4">
        <w:t>telpās</w:t>
      </w:r>
      <w:r w:rsidR="00760209">
        <w:t xml:space="preserve"> </w:t>
      </w:r>
      <w:r w:rsidR="00557FC4">
        <w:t xml:space="preserve">izveidotas </w:t>
      </w:r>
      <w:r w:rsidR="008801A3">
        <w:t xml:space="preserve">telpaugu kompozīcijas </w:t>
      </w:r>
      <w:r w:rsidR="00557FC4">
        <w:t xml:space="preserve">– </w:t>
      </w:r>
      <w:r w:rsidR="00760209">
        <w:t xml:space="preserve">„zaļās salas”. </w:t>
      </w:r>
      <w:r w:rsidR="00772259">
        <w:t xml:space="preserve">Apzaļumotas arī </w:t>
      </w:r>
      <w:proofErr w:type="spellStart"/>
      <w:r w:rsidR="00772259">
        <w:t>ātrijam</w:t>
      </w:r>
      <w:proofErr w:type="spellEnd"/>
      <w:r w:rsidR="00772259">
        <w:t xml:space="preserve"> piegulošās galerijas no 6. līdz 8.stāvam. </w:t>
      </w:r>
      <w:r w:rsidR="008801A3">
        <w:t>Kopumā apzaļumošanai</w:t>
      </w:r>
      <w:r w:rsidR="0007333A">
        <w:t>, t.sk.</w:t>
      </w:r>
      <w:r w:rsidR="00557FC4">
        <w:t xml:space="preserve"> telpaugu </w:t>
      </w:r>
      <w:r w:rsidR="0007333A">
        <w:t xml:space="preserve">un puķu kastu </w:t>
      </w:r>
      <w:r w:rsidR="00557FC4">
        <w:t>iegāde</w:t>
      </w:r>
      <w:r w:rsidR="0007333A">
        <w:t xml:space="preserve">i, </w:t>
      </w:r>
      <w:r w:rsidR="008801A3">
        <w:t xml:space="preserve">izlietoti </w:t>
      </w:r>
      <w:r w:rsidR="0007333A">
        <w:t xml:space="preserve">līdzekļi </w:t>
      </w:r>
      <w:r w:rsidR="008801A3">
        <w:t xml:space="preserve">73 711 </w:t>
      </w:r>
      <w:proofErr w:type="spellStart"/>
      <w:r w:rsidR="008801A3" w:rsidRPr="008801A3">
        <w:rPr>
          <w:i/>
        </w:rPr>
        <w:t>euro</w:t>
      </w:r>
      <w:proofErr w:type="spellEnd"/>
      <w:r w:rsidR="008801A3">
        <w:t xml:space="preserve"> apmērā</w:t>
      </w:r>
      <w:r w:rsidR="0007333A">
        <w:t>.</w:t>
      </w:r>
      <w:r w:rsidR="008801A3">
        <w:t xml:space="preserve"> </w:t>
      </w:r>
    </w:p>
    <w:p w:rsidR="00132850" w:rsidRDefault="00132850" w:rsidP="00132850"/>
    <w:p w:rsidR="00910C63" w:rsidRPr="00132850" w:rsidRDefault="00910C63" w:rsidP="00132850"/>
    <w:p w:rsidR="00132850" w:rsidRPr="00082603" w:rsidRDefault="00132850" w:rsidP="00910C63">
      <w:pPr>
        <w:pStyle w:val="ListParagraph"/>
        <w:numPr>
          <w:ilvl w:val="0"/>
          <w:numId w:val="2"/>
        </w:numPr>
        <w:spacing w:after="120"/>
        <w:ind w:left="714" w:hanging="357"/>
        <w:rPr>
          <w:b/>
        </w:rPr>
      </w:pPr>
      <w:r w:rsidRPr="00082603">
        <w:rPr>
          <w:b/>
          <w:lang w:val="lv-LV"/>
        </w:rPr>
        <w:t xml:space="preserve">Grāmatniecības muzejs </w:t>
      </w:r>
    </w:p>
    <w:p w:rsidR="00557FC4" w:rsidRDefault="00082603" w:rsidP="00C67D21">
      <w:pPr>
        <w:pStyle w:val="ListParagraph"/>
        <w:ind w:left="0"/>
        <w:jc w:val="both"/>
        <w:rPr>
          <w:lang w:val="lv-LV"/>
        </w:rPr>
      </w:pPr>
      <w:r>
        <w:rPr>
          <w:lang w:val="lv-LV"/>
        </w:rPr>
        <w:t>2015.gad</w:t>
      </w:r>
      <w:r w:rsidR="00C67D21">
        <w:rPr>
          <w:lang w:val="lv-LV"/>
        </w:rPr>
        <w:t>ā</w:t>
      </w:r>
      <w:r>
        <w:rPr>
          <w:lang w:val="lv-LV"/>
        </w:rPr>
        <w:t xml:space="preserve"> </w:t>
      </w:r>
      <w:r w:rsidR="00C67D21">
        <w:rPr>
          <w:lang w:val="lv-LV"/>
        </w:rPr>
        <w:t xml:space="preserve">LNB </w:t>
      </w:r>
      <w:r>
        <w:rPr>
          <w:lang w:val="lv-LV"/>
        </w:rPr>
        <w:t>tika izveidot</w:t>
      </w:r>
      <w:r w:rsidR="00C67D21">
        <w:rPr>
          <w:lang w:val="lv-LV"/>
        </w:rPr>
        <w:t xml:space="preserve">a jauna </w:t>
      </w:r>
      <w:r>
        <w:rPr>
          <w:lang w:val="lv-LV"/>
        </w:rPr>
        <w:t>struktūrvienība</w:t>
      </w:r>
      <w:r w:rsidR="00B11B00">
        <w:rPr>
          <w:lang w:val="lv-LV"/>
        </w:rPr>
        <w:t xml:space="preserve"> Grāmatniecības muzeja nodaļa</w:t>
      </w:r>
      <w:r w:rsidR="00C67D21">
        <w:rPr>
          <w:lang w:val="lv-LV"/>
        </w:rPr>
        <w:t xml:space="preserve">, kuras uzdevums ir </w:t>
      </w:r>
      <w:r w:rsidR="00B11B00">
        <w:rPr>
          <w:lang w:val="lv-LV"/>
        </w:rPr>
        <w:t>izveidot</w:t>
      </w:r>
      <w:r w:rsidR="00C67D21">
        <w:rPr>
          <w:lang w:val="lv-LV"/>
        </w:rPr>
        <w:t xml:space="preserve"> Grāmatniecības muzeja pastāvīgo ekspozīciju, </w:t>
      </w:r>
      <w:r w:rsidR="00C20939">
        <w:rPr>
          <w:lang w:val="lv-LV"/>
        </w:rPr>
        <w:t xml:space="preserve">tās </w:t>
      </w:r>
      <w:r w:rsidR="00C67D21">
        <w:rPr>
          <w:lang w:val="lv-LV"/>
        </w:rPr>
        <w:t>saturu un māksliniecisko koncepciju</w:t>
      </w:r>
      <w:r w:rsidR="00C20939">
        <w:rPr>
          <w:lang w:val="lv-LV"/>
        </w:rPr>
        <w:t>, kā arī veikt muzeja izveidei</w:t>
      </w:r>
      <w:r w:rsidR="00C20939" w:rsidRPr="00C20939">
        <w:rPr>
          <w:lang w:val="lv-LV"/>
        </w:rPr>
        <w:t xml:space="preserve"> </w:t>
      </w:r>
      <w:r w:rsidR="00C20939">
        <w:rPr>
          <w:lang w:val="lv-LV"/>
        </w:rPr>
        <w:t xml:space="preserve">nepieciešamos iepirkumus. </w:t>
      </w:r>
      <w:r w:rsidR="00C20939" w:rsidRPr="00C20939">
        <w:rPr>
          <w:lang w:val="lv-LV"/>
        </w:rPr>
        <w:t xml:space="preserve">2015. gada </w:t>
      </w:r>
      <w:r w:rsidR="00B11B00">
        <w:rPr>
          <w:lang w:val="lv-LV"/>
        </w:rPr>
        <w:t>2.septembrī</w:t>
      </w:r>
      <w:r w:rsidR="00721116">
        <w:rPr>
          <w:lang w:val="lv-LV"/>
        </w:rPr>
        <w:t xml:space="preserve"> </w:t>
      </w:r>
      <w:r w:rsidR="005605B0">
        <w:rPr>
          <w:lang w:val="lv-LV"/>
        </w:rPr>
        <w:t>t</w:t>
      </w:r>
      <w:r w:rsidR="00C20939" w:rsidRPr="00C20939">
        <w:rPr>
          <w:lang w:val="lv-LV"/>
        </w:rPr>
        <w:t xml:space="preserve">ika </w:t>
      </w:r>
      <w:r w:rsidR="00721116">
        <w:rPr>
          <w:lang w:val="lv-LV"/>
        </w:rPr>
        <w:t>noslēgts</w:t>
      </w:r>
      <w:r w:rsidR="00C20939" w:rsidRPr="00C20939">
        <w:rPr>
          <w:lang w:val="lv-LV"/>
        </w:rPr>
        <w:t xml:space="preserve"> iepirkum</w:t>
      </w:r>
      <w:r w:rsidR="00721116">
        <w:rPr>
          <w:lang w:val="lv-LV"/>
        </w:rPr>
        <w:t>a līgums</w:t>
      </w:r>
      <w:r w:rsidR="005605B0">
        <w:rPr>
          <w:lang w:val="lv-LV"/>
        </w:rPr>
        <w:t xml:space="preserve"> ar </w:t>
      </w:r>
      <w:r w:rsidR="00B11B00">
        <w:rPr>
          <w:lang w:val="lv-LV"/>
        </w:rPr>
        <w:t xml:space="preserve">pilnsabiedrību „GAISS </w:t>
      </w:r>
      <w:r w:rsidR="005C5C71">
        <w:rPr>
          <w:lang w:val="lv-LV"/>
        </w:rPr>
        <w:t>ET</w:t>
      </w:r>
      <w:r w:rsidR="00B11B00">
        <w:rPr>
          <w:lang w:val="lv-LV"/>
        </w:rPr>
        <w:t xml:space="preserve"> SONS”</w:t>
      </w:r>
      <w:r w:rsidR="005605B0">
        <w:rPr>
          <w:lang w:val="lv-LV"/>
        </w:rPr>
        <w:t xml:space="preserve"> </w:t>
      </w:r>
      <w:r w:rsidR="00721116">
        <w:rPr>
          <w:lang w:val="lv-LV"/>
        </w:rPr>
        <w:t xml:space="preserve"> par </w:t>
      </w:r>
      <w:r w:rsidR="00C20939" w:rsidRPr="00C20939">
        <w:rPr>
          <w:lang w:val="lv-LV"/>
        </w:rPr>
        <w:t>Latvijas Nacionālās bibliotēkas Grāmatniecības muzeja pastāvīgās ekspozīcijas mākslinieciskā koncepcija un tās realizācij</w:t>
      </w:r>
      <w:r w:rsidR="00721116">
        <w:rPr>
          <w:lang w:val="lv-LV"/>
        </w:rPr>
        <w:t>u</w:t>
      </w:r>
      <w:r w:rsidR="005605B0">
        <w:rPr>
          <w:lang w:val="lv-LV"/>
        </w:rPr>
        <w:t xml:space="preserve">, </w:t>
      </w:r>
      <w:r w:rsidR="00721116">
        <w:rPr>
          <w:lang w:val="lv-LV"/>
        </w:rPr>
        <w:t xml:space="preserve">līguma </w:t>
      </w:r>
      <w:r w:rsidR="00B11B00">
        <w:rPr>
          <w:lang w:val="lv-LV"/>
        </w:rPr>
        <w:t xml:space="preserve">kopējā </w:t>
      </w:r>
      <w:r w:rsidR="00721116">
        <w:rPr>
          <w:lang w:val="lv-LV"/>
        </w:rPr>
        <w:t>summ</w:t>
      </w:r>
      <w:r w:rsidR="005605B0">
        <w:rPr>
          <w:lang w:val="lv-LV"/>
        </w:rPr>
        <w:t>a</w:t>
      </w:r>
      <w:r w:rsidR="00721116">
        <w:rPr>
          <w:lang w:val="lv-LV"/>
        </w:rPr>
        <w:t xml:space="preserve"> </w:t>
      </w:r>
      <w:r w:rsidR="00B11B00">
        <w:rPr>
          <w:lang w:val="lv-LV"/>
        </w:rPr>
        <w:t xml:space="preserve">ir 139 150 </w:t>
      </w:r>
      <w:proofErr w:type="spellStart"/>
      <w:r w:rsidR="00721116" w:rsidRPr="00721116">
        <w:rPr>
          <w:i/>
          <w:lang w:val="lv-LV"/>
        </w:rPr>
        <w:t>euro</w:t>
      </w:r>
      <w:proofErr w:type="spellEnd"/>
      <w:r w:rsidR="00721116">
        <w:rPr>
          <w:lang w:val="lv-LV"/>
        </w:rPr>
        <w:t xml:space="preserve">. Līdz 2015.gada beigām tika izstrādāta ekspozīcijas koncepcija un tehniskais projekts, savukārt izbūvi un realizāciju paredzēts pabeigt līdz 2016.gada </w:t>
      </w:r>
      <w:r w:rsidR="00B11B00">
        <w:rPr>
          <w:lang w:val="lv-LV"/>
        </w:rPr>
        <w:t>augusta beigām</w:t>
      </w:r>
      <w:r w:rsidR="00721116">
        <w:rPr>
          <w:lang w:val="lv-LV"/>
        </w:rPr>
        <w:t>. Muzeja</w:t>
      </w:r>
      <w:r w:rsidR="00B11B00">
        <w:rPr>
          <w:lang w:val="lv-LV"/>
        </w:rPr>
        <w:t xml:space="preserve"> izveidei tika algoti </w:t>
      </w:r>
      <w:r w:rsidR="005605B0">
        <w:rPr>
          <w:lang w:val="lv-LV"/>
        </w:rPr>
        <w:t>ārštata eksperti</w:t>
      </w:r>
      <w:r w:rsidR="00B11B00">
        <w:rPr>
          <w:lang w:val="lv-LV"/>
        </w:rPr>
        <w:t xml:space="preserve">, kas sagatavojuši ekspozīcijas saturam nepieciešamos pētījumus un tekstus. Iegādātas Latvijas un ārvalstu arhīvos glabātu grāmatu digitālās kopijas ekspozīcijas multimediālajam saturam. </w:t>
      </w:r>
      <w:r w:rsidR="00C20939">
        <w:rPr>
          <w:lang w:val="lv-LV"/>
        </w:rPr>
        <w:t xml:space="preserve">Grāmatniecības muzeja veidošanai </w:t>
      </w:r>
      <w:r w:rsidR="00B9663C">
        <w:rPr>
          <w:lang w:val="lv-LV"/>
        </w:rPr>
        <w:t xml:space="preserve">2015.gadā </w:t>
      </w:r>
      <w:r w:rsidR="00C20939">
        <w:rPr>
          <w:lang w:val="lv-LV"/>
        </w:rPr>
        <w:t xml:space="preserve">tika </w:t>
      </w:r>
      <w:r w:rsidR="00B9663C">
        <w:rPr>
          <w:lang w:val="lv-LV"/>
        </w:rPr>
        <w:t xml:space="preserve">izlietoti </w:t>
      </w:r>
      <w:r w:rsidR="00C20939">
        <w:rPr>
          <w:lang w:val="lv-LV"/>
        </w:rPr>
        <w:t xml:space="preserve">līdzekļi </w:t>
      </w:r>
      <w:r w:rsidR="00B9663C">
        <w:rPr>
          <w:lang w:val="lv-LV"/>
        </w:rPr>
        <w:t xml:space="preserve">74 363 </w:t>
      </w:r>
      <w:proofErr w:type="spellStart"/>
      <w:r w:rsidR="00B9663C" w:rsidRPr="00B9663C">
        <w:rPr>
          <w:i/>
          <w:lang w:val="lv-LV"/>
        </w:rPr>
        <w:t>euro</w:t>
      </w:r>
      <w:proofErr w:type="spellEnd"/>
      <w:r w:rsidR="00C20939">
        <w:rPr>
          <w:lang w:val="lv-LV"/>
        </w:rPr>
        <w:t xml:space="preserve"> apmērā. </w:t>
      </w:r>
    </w:p>
    <w:p w:rsidR="00082603" w:rsidRPr="00636344" w:rsidRDefault="00082603" w:rsidP="00C67D21">
      <w:pPr>
        <w:pStyle w:val="ListParagraph"/>
        <w:ind w:left="0"/>
        <w:jc w:val="both"/>
        <w:rPr>
          <w:lang w:val="lv-LV"/>
        </w:rPr>
      </w:pPr>
    </w:p>
    <w:p w:rsidR="00132850" w:rsidRPr="00DF0F83" w:rsidRDefault="00132850" w:rsidP="00132850">
      <w:pPr>
        <w:pStyle w:val="ListParagraph"/>
      </w:pPr>
    </w:p>
    <w:p w:rsidR="007F1C8D" w:rsidRPr="00910C63" w:rsidRDefault="003D7B0C" w:rsidP="00910C63">
      <w:pPr>
        <w:pStyle w:val="ListParagraph"/>
        <w:numPr>
          <w:ilvl w:val="0"/>
          <w:numId w:val="2"/>
        </w:numPr>
        <w:spacing w:after="120"/>
        <w:rPr>
          <w:bCs/>
          <w:lang w:val="lv-LV"/>
        </w:rPr>
      </w:pPr>
      <w:r w:rsidRPr="00910C63">
        <w:rPr>
          <w:b/>
          <w:bCs/>
          <w:lang w:val="lv-LV"/>
        </w:rPr>
        <w:t>G</w:t>
      </w:r>
      <w:r w:rsidR="007F1C8D" w:rsidRPr="00910C63">
        <w:rPr>
          <w:b/>
          <w:bCs/>
          <w:lang w:val="lv-LV"/>
        </w:rPr>
        <w:t xml:space="preserve">rāmatu krājuma pārvietošana un </w:t>
      </w:r>
      <w:r w:rsidRPr="00910C63">
        <w:rPr>
          <w:b/>
          <w:bCs/>
          <w:lang w:val="lv-LV"/>
        </w:rPr>
        <w:t>pārcelšanās</w:t>
      </w:r>
    </w:p>
    <w:p w:rsidR="00910C63" w:rsidRPr="003D7B0C" w:rsidRDefault="00910C63" w:rsidP="00910C63">
      <w:pPr>
        <w:tabs>
          <w:tab w:val="left" w:pos="720"/>
        </w:tabs>
        <w:spacing w:after="120"/>
      </w:pPr>
      <w:r>
        <w:t xml:space="preserve">LNB pārcelšanās un krājuma pārvietošana uz jaunajām telpām tika pabeigta 2014. gada </w:t>
      </w:r>
      <w:r w:rsidRPr="00117084">
        <w:t>novembrī</w:t>
      </w:r>
      <w:r>
        <w:t xml:space="preserve">. 2015.gadā tika noslēgts krājuma vienību atputekļošanas un dezinfekcijas process, apstrādājot reti pieprasīto krājuma daļu, kas atrodas LNB repozitorija telpās </w:t>
      </w:r>
      <w:proofErr w:type="spellStart"/>
      <w:r>
        <w:t>Silakrogā</w:t>
      </w:r>
      <w:proofErr w:type="spellEnd"/>
      <w:r>
        <w:t>. Šo krājuma daļu bija nepieciešams dezinficēt, lai, pieprasījuma gadījumā pārvietojot šīs krājuma vienības uz LNB centrālo ēku, tās nelabvēlīgi neietekmētu pārējo LNB krājumu. Dezinfekcijas rezultātā krājuma vienības tika atbrīvotas no pelējuma sēnīšu un mikroorganismu iedarbības, kas nelabvēlīgi ietekmē iespieddarbu ilgmūžību. Dezinfekcijas darbus saskaņā ar noslēgto līgumu veica SIA „</w:t>
      </w:r>
      <w:proofErr w:type="spellStart"/>
      <w:r>
        <w:t>Osmunds</w:t>
      </w:r>
      <w:proofErr w:type="spellEnd"/>
      <w:r>
        <w:t xml:space="preserve">”; daļa līdzekļu izmaksāta atlīdzībā LNB darbiniekiem, kas palīdzēja sagatavot krājuma vienības pirms dezinfekcijas procesa. Grāmatu krājuma pārvešanai un apstrādei 2015.gadā tika izlietoti līdzekļi 134 347 </w:t>
      </w:r>
      <w:proofErr w:type="spellStart"/>
      <w:r w:rsidRPr="00910C63">
        <w:rPr>
          <w:i/>
        </w:rPr>
        <w:t>euro</w:t>
      </w:r>
      <w:proofErr w:type="spellEnd"/>
      <w:r>
        <w:t xml:space="preserve"> apmērā.</w:t>
      </w:r>
    </w:p>
    <w:p w:rsidR="00F40A66" w:rsidRPr="003D7B0C" w:rsidRDefault="00F40A66" w:rsidP="007F1C8D">
      <w:pPr>
        <w:tabs>
          <w:tab w:val="left" w:pos="720"/>
        </w:tabs>
        <w:spacing w:after="120"/>
        <w:ind w:left="354"/>
      </w:pPr>
    </w:p>
    <w:p w:rsidR="007F1C8D" w:rsidRPr="00D80608" w:rsidRDefault="004254EB" w:rsidP="00910C63">
      <w:pPr>
        <w:pStyle w:val="ListParagraph"/>
        <w:numPr>
          <w:ilvl w:val="0"/>
          <w:numId w:val="2"/>
        </w:numPr>
        <w:tabs>
          <w:tab w:val="left" w:pos="720"/>
        </w:tabs>
        <w:spacing w:after="120"/>
        <w:rPr>
          <w:b/>
          <w:lang w:val="lv-LV"/>
        </w:rPr>
      </w:pPr>
      <w:r>
        <w:rPr>
          <w:b/>
          <w:lang w:val="lv-LV"/>
        </w:rPr>
        <w:t xml:space="preserve">LNB </w:t>
      </w:r>
      <w:r w:rsidR="008B7D5A">
        <w:rPr>
          <w:b/>
          <w:lang w:val="lv-LV"/>
        </w:rPr>
        <w:t xml:space="preserve">uzlabojumu darbi </w:t>
      </w:r>
      <w:r w:rsidR="00A175CB">
        <w:rPr>
          <w:b/>
          <w:lang w:val="lv-LV"/>
        </w:rPr>
        <w:t xml:space="preserve"> </w:t>
      </w:r>
    </w:p>
    <w:p w:rsidR="008B7D5A" w:rsidRDefault="00B51FE4" w:rsidP="007F1C8D">
      <w:pPr>
        <w:tabs>
          <w:tab w:val="left" w:pos="720"/>
        </w:tabs>
        <w:spacing w:after="120"/>
        <w:ind w:left="-3"/>
        <w:rPr>
          <w:szCs w:val="24"/>
        </w:rPr>
      </w:pPr>
      <w:r w:rsidRPr="001A131A">
        <w:rPr>
          <w:rFonts w:cs="Times New Roman"/>
          <w:szCs w:val="24"/>
        </w:rPr>
        <w:t xml:space="preserve">LNB jaunās ēkas ekspluatācijas gaitā </w:t>
      </w:r>
      <w:r w:rsidR="00086589" w:rsidRPr="001A131A">
        <w:rPr>
          <w:rFonts w:cs="Times New Roman"/>
          <w:szCs w:val="24"/>
        </w:rPr>
        <w:t xml:space="preserve">tika konstatētas atsevišķas nepilnības, kuru novēršanai ir nepieciešams veikt uzlabojumu darbus. </w:t>
      </w:r>
      <w:r w:rsidRPr="001A131A">
        <w:rPr>
          <w:rFonts w:cs="Times New Roman"/>
          <w:szCs w:val="24"/>
        </w:rPr>
        <w:t xml:space="preserve">Šādas nepilnības būvprojektā nebija iespējams paredzēt, savukārt līdz ar būvdarbu pabeigšanu nepieciešamo uzlabojumu darbus </w:t>
      </w:r>
      <w:r w:rsidR="00086589" w:rsidRPr="001A131A">
        <w:rPr>
          <w:rFonts w:cs="Times New Roman"/>
          <w:szCs w:val="24"/>
        </w:rPr>
        <w:t xml:space="preserve">nebija iespējams </w:t>
      </w:r>
      <w:r w:rsidRPr="001A131A">
        <w:rPr>
          <w:rFonts w:cs="Times New Roman"/>
          <w:szCs w:val="24"/>
        </w:rPr>
        <w:t>pievienot esošajiem līgumiem</w:t>
      </w:r>
      <w:r w:rsidRPr="00292058">
        <w:rPr>
          <w:rFonts w:cs="Times New Roman"/>
          <w:szCs w:val="24"/>
        </w:rPr>
        <w:t xml:space="preserve"> kā papilddarbus.</w:t>
      </w:r>
      <w:r w:rsidR="00281E33">
        <w:rPr>
          <w:rFonts w:cs="Times New Roman"/>
          <w:szCs w:val="24"/>
        </w:rPr>
        <w:t xml:space="preserve"> </w:t>
      </w:r>
      <w:r w:rsidR="001A131A">
        <w:rPr>
          <w:rFonts w:cs="Times New Roman"/>
          <w:szCs w:val="24"/>
        </w:rPr>
        <w:t xml:space="preserve">Nepieciešamie darbi tika apkopoti </w:t>
      </w:r>
      <w:r w:rsidR="001A131A" w:rsidRPr="008B7D5A">
        <w:rPr>
          <w:rFonts w:cs="Times New Roman"/>
          <w:szCs w:val="24"/>
        </w:rPr>
        <w:t xml:space="preserve">tabulā </w:t>
      </w:r>
      <w:r w:rsidR="00FC265F" w:rsidRPr="008B7D5A">
        <w:rPr>
          <w:rFonts w:cs="Times New Roman"/>
          <w:szCs w:val="24"/>
        </w:rPr>
        <w:t>„</w:t>
      </w:r>
      <w:r w:rsidR="00FC265F" w:rsidRPr="008B7D5A">
        <w:rPr>
          <w:szCs w:val="24"/>
        </w:rPr>
        <w:t xml:space="preserve">LNB projekta ietvaros risināmie jautājumi, kas ir ārpus esošajiem līgumiem” </w:t>
      </w:r>
      <w:r w:rsidR="00143BBF" w:rsidRPr="008B7D5A">
        <w:rPr>
          <w:szCs w:val="24"/>
        </w:rPr>
        <w:t xml:space="preserve">un iekļauti LNB darbu un finansējuma plānā 2015.gadam. </w:t>
      </w:r>
    </w:p>
    <w:p w:rsidR="004254EB" w:rsidRDefault="008B7D5A" w:rsidP="007F1C8D">
      <w:pPr>
        <w:tabs>
          <w:tab w:val="left" w:pos="720"/>
        </w:tabs>
        <w:spacing w:after="120"/>
        <w:ind w:left="-3"/>
        <w:rPr>
          <w:rFonts w:cs="Times New Roman"/>
          <w:szCs w:val="24"/>
        </w:rPr>
      </w:pPr>
      <w:r>
        <w:rPr>
          <w:rFonts w:cs="Times New Roman"/>
          <w:szCs w:val="24"/>
        </w:rPr>
        <w:t xml:space="preserve">Par darbiem iepirkumus veica Kultūras ministrija un LNB, un </w:t>
      </w:r>
      <w:r w:rsidR="00143BBF">
        <w:rPr>
          <w:rFonts w:cs="Times New Roman"/>
          <w:szCs w:val="24"/>
        </w:rPr>
        <w:t>2015.gadā no šī saraksta tika realizēti darbi Ziedoņa zāles grīdas aizsardzībai un skatuves papildu izgaism</w:t>
      </w:r>
      <w:r w:rsidR="004254EB">
        <w:rPr>
          <w:rFonts w:cs="Times New Roman"/>
          <w:szCs w:val="24"/>
        </w:rPr>
        <w:t xml:space="preserve">ošanai, elektriskie pievadi </w:t>
      </w:r>
      <w:r w:rsidR="00143BBF">
        <w:rPr>
          <w:rFonts w:cs="Times New Roman"/>
          <w:szCs w:val="24"/>
        </w:rPr>
        <w:t xml:space="preserve">grāmatu plauktu un gleznu </w:t>
      </w:r>
      <w:r w:rsidR="004254EB">
        <w:rPr>
          <w:rFonts w:cs="Times New Roman"/>
          <w:szCs w:val="24"/>
        </w:rPr>
        <w:t xml:space="preserve">apgaismojumam, </w:t>
      </w:r>
      <w:r w:rsidR="004254EB" w:rsidRPr="001A131A">
        <w:rPr>
          <w:szCs w:val="24"/>
        </w:rPr>
        <w:t>apsardzes telpas dzesēšana un ventilācija</w:t>
      </w:r>
      <w:r w:rsidR="004254EB">
        <w:rPr>
          <w:szCs w:val="24"/>
        </w:rPr>
        <w:t xml:space="preserve">s uzlabošana, </w:t>
      </w:r>
      <w:r w:rsidR="00143BBF">
        <w:rPr>
          <w:rFonts w:cs="Times New Roman"/>
          <w:szCs w:val="24"/>
        </w:rPr>
        <w:t xml:space="preserve">sniega barjeras uzstādīšana pie LNB galvenās ieejas, </w:t>
      </w:r>
      <w:r w:rsidR="004254EB">
        <w:rPr>
          <w:rFonts w:cs="Times New Roman"/>
          <w:szCs w:val="24"/>
        </w:rPr>
        <w:t>izstāžu zāles pielāgošana ekspozīcijas maiņai, ugunsgrēka gāzes dzēšanas sistēmas pabeigšana serveru telpā, pacēlāja uzstādīšana tehniskajā ēkā, LNB un tehniskās ēkas apsardzes un piekļuves sistēmu apvienošana vienā sistēmā, u.c. darbi</w:t>
      </w:r>
      <w:r>
        <w:rPr>
          <w:rFonts w:cs="Times New Roman"/>
          <w:szCs w:val="24"/>
        </w:rPr>
        <w:t xml:space="preserve"> par kopējo summu </w:t>
      </w:r>
      <w:r w:rsidR="00981191">
        <w:rPr>
          <w:rFonts w:cs="Times New Roman"/>
          <w:szCs w:val="24"/>
        </w:rPr>
        <w:t xml:space="preserve">145 028 </w:t>
      </w:r>
      <w:proofErr w:type="spellStart"/>
      <w:r w:rsidR="00981191" w:rsidRPr="00981191">
        <w:rPr>
          <w:rFonts w:cs="Times New Roman"/>
          <w:i/>
          <w:szCs w:val="24"/>
        </w:rPr>
        <w:t>euro</w:t>
      </w:r>
      <w:proofErr w:type="spellEnd"/>
      <w:r w:rsidR="004254EB">
        <w:rPr>
          <w:rFonts w:cs="Times New Roman"/>
          <w:szCs w:val="24"/>
        </w:rPr>
        <w:t xml:space="preserve">.  </w:t>
      </w:r>
    </w:p>
    <w:p w:rsidR="00FC265F" w:rsidRPr="00143BBF" w:rsidRDefault="00143BBF" w:rsidP="007F1C8D">
      <w:pPr>
        <w:tabs>
          <w:tab w:val="left" w:pos="720"/>
        </w:tabs>
        <w:spacing w:after="120"/>
        <w:ind w:left="-3"/>
        <w:rPr>
          <w:rFonts w:cs="Times New Roman"/>
          <w:szCs w:val="24"/>
        </w:rPr>
      </w:pPr>
      <w:r w:rsidRPr="00143BBF">
        <w:rPr>
          <w:szCs w:val="24"/>
        </w:rPr>
        <w:lastRenderedPageBreak/>
        <w:t xml:space="preserve">Atsevišķu problēmu novēršanai </w:t>
      </w:r>
      <w:r>
        <w:rPr>
          <w:szCs w:val="24"/>
        </w:rPr>
        <w:t xml:space="preserve">tika </w:t>
      </w:r>
      <w:r w:rsidRPr="00143BBF">
        <w:rPr>
          <w:szCs w:val="24"/>
        </w:rPr>
        <w:t>veikt</w:t>
      </w:r>
      <w:r>
        <w:rPr>
          <w:szCs w:val="24"/>
        </w:rPr>
        <w:t>a</w:t>
      </w:r>
      <w:r w:rsidRPr="00143BBF">
        <w:rPr>
          <w:szCs w:val="24"/>
        </w:rPr>
        <w:t xml:space="preserve"> </w:t>
      </w:r>
      <w:r>
        <w:rPr>
          <w:szCs w:val="24"/>
        </w:rPr>
        <w:t>tehniskā risinājuma izstrāde</w:t>
      </w:r>
      <w:r w:rsidRPr="00143BBF">
        <w:rPr>
          <w:szCs w:val="24"/>
        </w:rPr>
        <w:t xml:space="preserve"> un projekta dokumentācijas sagatavošan</w:t>
      </w:r>
      <w:r>
        <w:rPr>
          <w:szCs w:val="24"/>
        </w:rPr>
        <w:t xml:space="preserve">a, </w:t>
      </w:r>
      <w:r>
        <w:rPr>
          <w:rFonts w:eastAsia="Calibri"/>
          <w:bCs/>
          <w:szCs w:val="24"/>
        </w:rPr>
        <w:t xml:space="preserve">ko </w:t>
      </w:r>
      <w:proofErr w:type="spellStart"/>
      <w:r>
        <w:rPr>
          <w:rFonts w:eastAsia="Calibri"/>
          <w:bCs/>
          <w:szCs w:val="24"/>
        </w:rPr>
        <w:t>inženierkonsultāciju</w:t>
      </w:r>
      <w:proofErr w:type="spellEnd"/>
      <w:r>
        <w:rPr>
          <w:rFonts w:eastAsia="Calibri"/>
          <w:bCs/>
          <w:szCs w:val="24"/>
        </w:rPr>
        <w:t xml:space="preserve"> līguma ietvaros veica būvuzraudzības grupa </w:t>
      </w:r>
      <w:r w:rsidRPr="00143BBF">
        <w:rPr>
          <w:rFonts w:eastAsia="Calibri"/>
          <w:bCs/>
          <w:i/>
          <w:szCs w:val="24"/>
        </w:rPr>
        <w:t xml:space="preserve">Hill </w:t>
      </w:r>
      <w:proofErr w:type="spellStart"/>
      <w:r w:rsidRPr="00143BBF">
        <w:rPr>
          <w:rFonts w:eastAsia="Calibri"/>
          <w:bCs/>
          <w:i/>
          <w:szCs w:val="24"/>
        </w:rPr>
        <w:t>International</w:t>
      </w:r>
      <w:proofErr w:type="spellEnd"/>
      <w:r>
        <w:rPr>
          <w:rFonts w:eastAsia="Calibri"/>
          <w:bCs/>
          <w:szCs w:val="24"/>
        </w:rPr>
        <w:t xml:space="preserve">. </w:t>
      </w:r>
      <w:r w:rsidR="00A175CB" w:rsidRPr="00143BBF">
        <w:rPr>
          <w:bCs/>
          <w:szCs w:val="24"/>
        </w:rPr>
        <w:t xml:space="preserve">    </w:t>
      </w:r>
    </w:p>
    <w:p w:rsidR="00907B38" w:rsidRDefault="00907B38" w:rsidP="00395267"/>
    <w:p w:rsidR="00F64F1B" w:rsidRPr="00D80608" w:rsidRDefault="00F64F1B" w:rsidP="00395267"/>
    <w:p w:rsidR="00395267" w:rsidRPr="00D80608" w:rsidRDefault="00395267" w:rsidP="00910C63">
      <w:pPr>
        <w:pStyle w:val="ListParagraph"/>
        <w:numPr>
          <w:ilvl w:val="0"/>
          <w:numId w:val="2"/>
        </w:numPr>
        <w:tabs>
          <w:tab w:val="left" w:pos="720"/>
        </w:tabs>
        <w:spacing w:after="120"/>
        <w:rPr>
          <w:b/>
          <w:lang w:val="lv-LV"/>
        </w:rPr>
      </w:pPr>
      <w:r w:rsidRPr="00D80608">
        <w:rPr>
          <w:b/>
          <w:lang w:val="lv-LV"/>
        </w:rPr>
        <w:t>Būvdarbu līguma pabeigšana un defektu novēršana</w:t>
      </w:r>
    </w:p>
    <w:p w:rsidR="00543B34" w:rsidRPr="00D80608" w:rsidRDefault="00395267" w:rsidP="00543B34">
      <w:pPr>
        <w:pStyle w:val="ListParagraph"/>
        <w:ind w:left="0"/>
        <w:jc w:val="both"/>
        <w:rPr>
          <w:lang w:val="lv-LV"/>
        </w:rPr>
      </w:pPr>
      <w:r w:rsidRPr="00D80608">
        <w:rPr>
          <w:lang w:val="lv-LV"/>
        </w:rPr>
        <w:t xml:space="preserve">Visas būvniecības kārtas ir pieņemtas ekspluatācijā, taču Būvdarbu līguma ietvaros jāpabeidz atliktie un nepabeigtie darbi, jāveic defektu labošana, jāpieņem gala dokumentācija un jāveic gala norēķini. </w:t>
      </w:r>
      <w:r w:rsidR="00543B34" w:rsidRPr="00D80608">
        <w:rPr>
          <w:lang w:val="lv-LV"/>
        </w:rPr>
        <w:t xml:space="preserve">Būvdarbu līgumā noteiktais būvdarbu garantijas termiņš (defektu paziņošanas periods) ir 24 mēneši no būvdarbu pieņemšanas – nodošanas apstiprinājuma datuma. Ievērojot to, ka saskaņā ar 2014.gada 10.janvāra Vienošanos Nr.10 par grozījumiem Būvdarbu līgumā darbu pieņemšanas – nodošanas apstiprinājums ir jāizdod arī attiecībā par Neizpildīto darbu pieņemšanu, atbilstoši NBA paziņojumiem par Neizpildīto darbu pabeigšanu saskaņā ar 10.1. apakšpunktu, LNB būvdarbiem ir šādi </w:t>
      </w:r>
      <w:r w:rsidR="002074AD">
        <w:rPr>
          <w:lang w:val="lv-LV"/>
        </w:rPr>
        <w:t xml:space="preserve">būvdarbu garantijas </w:t>
      </w:r>
      <w:r w:rsidR="00543B34" w:rsidRPr="00D80608">
        <w:rPr>
          <w:lang w:val="lv-LV"/>
        </w:rPr>
        <w:t xml:space="preserve">termiņi: </w:t>
      </w:r>
    </w:p>
    <w:p w:rsidR="00543B34" w:rsidRPr="00D80608" w:rsidRDefault="002074AD" w:rsidP="00910C63">
      <w:pPr>
        <w:pStyle w:val="Header"/>
        <w:numPr>
          <w:ilvl w:val="0"/>
          <w:numId w:val="3"/>
        </w:numPr>
        <w:tabs>
          <w:tab w:val="clear" w:pos="4153"/>
          <w:tab w:val="clear" w:pos="8306"/>
        </w:tabs>
        <w:jc w:val="both"/>
      </w:pPr>
      <w:r w:rsidRPr="00D80608">
        <w:t>2015.gada</w:t>
      </w:r>
      <w:r>
        <w:rPr>
          <w:b/>
        </w:rPr>
        <w:t> </w:t>
      </w:r>
      <w:r w:rsidRPr="00D80608">
        <w:t xml:space="preserve">20.decembris </w:t>
      </w:r>
      <w:r>
        <w:t xml:space="preserve">– </w:t>
      </w:r>
      <w:r w:rsidR="00543B34" w:rsidRPr="00D80608">
        <w:t>LNB ēka (izņemot ēdināšanas zonu), inženierkomunikācijas, ceļi, ietves un 1A. kārtas labiekārtojums</w:t>
      </w:r>
      <w:r w:rsidR="001410A4">
        <w:t>,</w:t>
      </w:r>
    </w:p>
    <w:p w:rsidR="00543B34" w:rsidRPr="00D80608" w:rsidRDefault="002074AD" w:rsidP="00910C63">
      <w:pPr>
        <w:pStyle w:val="Header"/>
        <w:numPr>
          <w:ilvl w:val="0"/>
          <w:numId w:val="3"/>
        </w:numPr>
        <w:tabs>
          <w:tab w:val="clear" w:pos="4153"/>
          <w:tab w:val="clear" w:pos="8306"/>
        </w:tabs>
        <w:jc w:val="both"/>
      </w:pPr>
      <w:r w:rsidRPr="00D80608">
        <w:t xml:space="preserve">2016.gada 30.aprīlis </w:t>
      </w:r>
      <w:r>
        <w:t xml:space="preserve">– </w:t>
      </w:r>
      <w:r w:rsidR="00543B34" w:rsidRPr="00D80608">
        <w:t xml:space="preserve">LNB </w:t>
      </w:r>
      <w:r>
        <w:t>i</w:t>
      </w:r>
      <w:r w:rsidR="00543B34" w:rsidRPr="00D80608">
        <w:t>nfrastruktūr</w:t>
      </w:r>
      <w:r w:rsidR="001410A4">
        <w:t>as tehniskās ēka, autostāvvieta,</w:t>
      </w:r>
    </w:p>
    <w:p w:rsidR="00543B34" w:rsidRPr="00D80608" w:rsidRDefault="002074AD" w:rsidP="00910C63">
      <w:pPr>
        <w:pStyle w:val="Header"/>
        <w:numPr>
          <w:ilvl w:val="0"/>
          <w:numId w:val="3"/>
        </w:numPr>
        <w:tabs>
          <w:tab w:val="clear" w:pos="4153"/>
          <w:tab w:val="clear" w:pos="8306"/>
        </w:tabs>
        <w:jc w:val="both"/>
      </w:pPr>
      <w:r w:rsidRPr="00D80608">
        <w:t xml:space="preserve">2016.gada 30.jūnijs </w:t>
      </w:r>
      <w:r>
        <w:t xml:space="preserve">– </w:t>
      </w:r>
      <w:r w:rsidR="00543B34" w:rsidRPr="00D80608">
        <w:t xml:space="preserve">LNB </w:t>
      </w:r>
      <w:r>
        <w:t>i</w:t>
      </w:r>
      <w:r w:rsidR="00543B34" w:rsidRPr="00D80608">
        <w:t>nfrastruktūras tehniskās ēkas ārējie darbi,</w:t>
      </w:r>
      <w:r w:rsidR="001410A4">
        <w:t xml:space="preserve"> 1B.kārtas labiekārtojuma darbi,</w:t>
      </w:r>
    </w:p>
    <w:p w:rsidR="00543B34" w:rsidRPr="00D80608" w:rsidRDefault="002074AD" w:rsidP="00910C63">
      <w:pPr>
        <w:pStyle w:val="Header"/>
        <w:numPr>
          <w:ilvl w:val="0"/>
          <w:numId w:val="3"/>
        </w:numPr>
        <w:tabs>
          <w:tab w:val="clear" w:pos="4153"/>
          <w:tab w:val="clear" w:pos="8306"/>
        </w:tabs>
        <w:jc w:val="both"/>
      </w:pPr>
      <w:r w:rsidRPr="00D80608">
        <w:t xml:space="preserve">2016.gada 30.septembris </w:t>
      </w:r>
      <w:r>
        <w:t xml:space="preserve">– </w:t>
      </w:r>
      <w:r w:rsidR="00543B34" w:rsidRPr="00D80608">
        <w:t>LNB ēdināšanas zonas (restorāna) izbūve</w:t>
      </w:r>
      <w:r>
        <w:t xml:space="preserve">. </w:t>
      </w:r>
    </w:p>
    <w:p w:rsidR="00C91F8A" w:rsidRPr="000A2174" w:rsidRDefault="001410A4" w:rsidP="00C91F8A">
      <w:pPr>
        <w:pStyle w:val="ListParagraph"/>
        <w:spacing w:before="120"/>
        <w:ind w:left="0"/>
        <w:jc w:val="both"/>
        <w:rPr>
          <w:lang w:val="lv-LV"/>
        </w:rPr>
      </w:pPr>
      <w:r w:rsidRPr="001410A4">
        <w:rPr>
          <w:lang w:val="lv-LV"/>
        </w:rPr>
        <w:t xml:space="preserve">Defektu novēršanai 2015.gadā tika rīkotas regulāras plānošanas sanāksmes, kurās piedalījās NBA, Inženiera </w:t>
      </w:r>
      <w:r w:rsidRPr="001410A4">
        <w:rPr>
          <w:i/>
          <w:lang w:val="lv-LV"/>
        </w:rPr>
        <w:t xml:space="preserve">Hill </w:t>
      </w:r>
      <w:proofErr w:type="spellStart"/>
      <w:r w:rsidRPr="001410A4">
        <w:rPr>
          <w:i/>
          <w:lang w:val="lv-LV"/>
        </w:rPr>
        <w:t>International</w:t>
      </w:r>
      <w:proofErr w:type="spellEnd"/>
      <w:r w:rsidRPr="001410A4">
        <w:rPr>
          <w:lang w:val="lv-LV"/>
        </w:rPr>
        <w:t>, Kultūras ministrijas un LNB pārstāvji. Uz 2015.gada beigām</w:t>
      </w:r>
      <w:r>
        <w:rPr>
          <w:lang w:val="lv-LV"/>
        </w:rPr>
        <w:t xml:space="preserve"> </w:t>
      </w:r>
      <w:r w:rsidRPr="001410A4">
        <w:rPr>
          <w:lang w:val="lv-LV"/>
        </w:rPr>
        <w:t>defekt</w:t>
      </w:r>
      <w:r w:rsidR="004028A7">
        <w:rPr>
          <w:lang w:val="lv-LV"/>
        </w:rPr>
        <w:t xml:space="preserve">u sarakstā </w:t>
      </w:r>
      <w:r w:rsidRPr="001410A4">
        <w:rPr>
          <w:lang w:val="lv-LV"/>
        </w:rPr>
        <w:t>i</w:t>
      </w:r>
      <w:r w:rsidR="004028A7">
        <w:rPr>
          <w:lang w:val="lv-LV"/>
        </w:rPr>
        <w:t xml:space="preserve">r fiksēti 76 defekti, no kuriem īpaša uzmanība tika vērsta uz </w:t>
      </w:r>
      <w:r w:rsidR="002074AD" w:rsidRPr="001410A4">
        <w:rPr>
          <w:lang w:val="lv-LV"/>
        </w:rPr>
        <w:t xml:space="preserve">trīs </w:t>
      </w:r>
      <w:r w:rsidRPr="001410A4">
        <w:rPr>
          <w:lang w:val="lv-LV"/>
        </w:rPr>
        <w:t>d</w:t>
      </w:r>
      <w:r w:rsidR="004028A7">
        <w:rPr>
          <w:lang w:val="lv-LV"/>
        </w:rPr>
        <w:t>efektu grupām: LNB ēkas jumta tecēšana,</w:t>
      </w:r>
      <w:r w:rsidRPr="001410A4">
        <w:rPr>
          <w:lang w:val="lv-LV"/>
        </w:rPr>
        <w:t xml:space="preserve"> mikroklimata iekārtu nepietiekama darbība</w:t>
      </w:r>
      <w:r w:rsidR="004028A7">
        <w:rPr>
          <w:lang w:val="lv-LV"/>
        </w:rPr>
        <w:t xml:space="preserve"> un </w:t>
      </w:r>
      <w:r w:rsidRPr="001410A4">
        <w:rPr>
          <w:lang w:val="lv-LV"/>
        </w:rPr>
        <w:t>ārējā granīta apšuvuma defekti</w:t>
      </w:r>
      <w:r w:rsidR="004028A7">
        <w:rPr>
          <w:lang w:val="lv-LV"/>
        </w:rPr>
        <w:t xml:space="preserve">. Šo defektu </w:t>
      </w:r>
      <w:r w:rsidR="004028A7" w:rsidRPr="001410A4">
        <w:rPr>
          <w:lang w:val="lv-LV"/>
        </w:rPr>
        <w:t>novēršanai ir nepieciešams veikt padziļinātu izpēti un</w:t>
      </w:r>
      <w:r w:rsidR="004028A7" w:rsidRPr="002074AD">
        <w:rPr>
          <w:lang w:val="lv-LV"/>
        </w:rPr>
        <w:t xml:space="preserve"> </w:t>
      </w:r>
      <w:r w:rsidR="004028A7">
        <w:rPr>
          <w:lang w:val="lv-LV"/>
        </w:rPr>
        <w:t xml:space="preserve">atrast defektu cēloni. </w:t>
      </w:r>
      <w:r w:rsidR="004028A7" w:rsidRPr="001410A4">
        <w:rPr>
          <w:lang w:val="lv-LV"/>
        </w:rPr>
        <w:t xml:space="preserve">Kultūras ministrija </w:t>
      </w:r>
      <w:r w:rsidR="004028A7">
        <w:rPr>
          <w:lang w:val="lv-LV"/>
        </w:rPr>
        <w:t>ir norādījusi NBA uz nepietiekamu d</w:t>
      </w:r>
      <w:r w:rsidR="004028A7" w:rsidRPr="001410A4">
        <w:rPr>
          <w:lang w:val="lv-LV"/>
        </w:rPr>
        <w:t xml:space="preserve">efektu </w:t>
      </w:r>
      <w:r w:rsidR="004028A7" w:rsidRPr="00761318">
        <w:rPr>
          <w:lang w:val="lv-LV"/>
        </w:rPr>
        <w:t xml:space="preserve">novēršanas tempu </w:t>
      </w:r>
      <w:r w:rsidR="00761318" w:rsidRPr="00761318">
        <w:rPr>
          <w:lang w:val="lv-LV"/>
        </w:rPr>
        <w:t xml:space="preserve">un </w:t>
      </w:r>
      <w:r w:rsidR="004028A7" w:rsidRPr="00761318">
        <w:rPr>
          <w:lang w:val="lv-LV"/>
        </w:rPr>
        <w:t>iz</w:t>
      </w:r>
      <w:r w:rsidR="00761318" w:rsidRPr="00761318">
        <w:rPr>
          <w:lang w:val="lv-LV"/>
        </w:rPr>
        <w:t>teikusi</w:t>
      </w:r>
      <w:r w:rsidR="004028A7" w:rsidRPr="00761318">
        <w:rPr>
          <w:lang w:val="lv-LV"/>
        </w:rPr>
        <w:t xml:space="preserve"> bažas par defektu novēršanu pieņemamā laika periodā. </w:t>
      </w:r>
      <w:r w:rsidR="00761318" w:rsidRPr="00761318">
        <w:rPr>
          <w:lang w:val="lv-LV"/>
        </w:rPr>
        <w:t xml:space="preserve">Jāpiezīmē, ka </w:t>
      </w:r>
      <w:r w:rsidR="00761318">
        <w:rPr>
          <w:lang w:val="lv-LV"/>
        </w:rPr>
        <w:t>defektu novēršana 2015.gada pirmajā pusē bija apgrūtināta</w:t>
      </w:r>
      <w:r w:rsidR="00761318" w:rsidRPr="00761318">
        <w:rPr>
          <w:lang w:val="lv-LV"/>
        </w:rPr>
        <w:t xml:space="preserve"> sakarā ar Latvijas prezidentūras Eiropas Savienības Padomē pasākumu norisi</w:t>
      </w:r>
      <w:r w:rsidR="00761318">
        <w:rPr>
          <w:lang w:val="lv-LV"/>
        </w:rPr>
        <w:t xml:space="preserve"> LNB ēkā. </w:t>
      </w:r>
      <w:r w:rsidR="000A2174">
        <w:rPr>
          <w:lang w:val="lv-LV"/>
        </w:rPr>
        <w:t>D</w:t>
      </w:r>
      <w:r w:rsidR="000A2174" w:rsidRPr="000A2174">
        <w:rPr>
          <w:lang w:val="lv-LV"/>
        </w:rPr>
        <w:t xml:space="preserve">efektu esamība </w:t>
      </w:r>
      <w:r w:rsidR="000A2174">
        <w:rPr>
          <w:lang w:val="lv-LV"/>
        </w:rPr>
        <w:t xml:space="preserve">nav </w:t>
      </w:r>
      <w:r w:rsidR="000A2174" w:rsidRPr="000A2174">
        <w:rPr>
          <w:lang w:val="lv-LV"/>
        </w:rPr>
        <w:t>ierobežo</w:t>
      </w:r>
      <w:r w:rsidR="000A2174">
        <w:rPr>
          <w:lang w:val="lv-LV"/>
        </w:rPr>
        <w:t>jusi</w:t>
      </w:r>
      <w:r w:rsidR="000A2174" w:rsidRPr="000A2174">
        <w:rPr>
          <w:lang w:val="lv-LV"/>
        </w:rPr>
        <w:t xml:space="preserve"> LNB ēkas izmantošanu paredzētajam mērķim</w:t>
      </w:r>
      <w:r w:rsidR="000A2174">
        <w:rPr>
          <w:lang w:val="lv-LV"/>
        </w:rPr>
        <w:t>.</w:t>
      </w:r>
    </w:p>
    <w:p w:rsidR="00C91F8A" w:rsidRPr="00BA3CE9" w:rsidRDefault="00C91F8A" w:rsidP="00C91F8A">
      <w:pPr>
        <w:pStyle w:val="ListParagraph"/>
        <w:spacing w:before="120"/>
        <w:ind w:left="0"/>
        <w:jc w:val="both"/>
        <w:rPr>
          <w:lang w:val="lv-LV"/>
        </w:rPr>
      </w:pPr>
      <w:r w:rsidRPr="00BA3CE9">
        <w:rPr>
          <w:lang w:val="lv-LV"/>
        </w:rPr>
        <w:t xml:space="preserve">Defektu novēršanas darbu inženiertehnisko uzraudzību, novērtēšanu, apstiprināšanu un citus Inženiera pienākumus atbilstoši FIDIC </w:t>
      </w:r>
      <w:r w:rsidR="00BA3CE9" w:rsidRPr="00BA3CE9">
        <w:rPr>
          <w:lang w:val="lv-LV"/>
        </w:rPr>
        <w:t>b</w:t>
      </w:r>
      <w:r w:rsidRPr="00BA3CE9">
        <w:rPr>
          <w:lang w:val="lv-LV"/>
        </w:rPr>
        <w:t>ūvniecības darbu līguma noteikumiem veica būvuzraudzības grup</w:t>
      </w:r>
      <w:r w:rsidR="00A86879">
        <w:rPr>
          <w:lang w:val="lv-LV"/>
        </w:rPr>
        <w:t>a</w:t>
      </w:r>
      <w:r w:rsidRPr="00BA3CE9">
        <w:rPr>
          <w:lang w:val="lv-LV"/>
        </w:rPr>
        <w:t xml:space="preserve"> </w:t>
      </w:r>
      <w:r w:rsidRPr="00BA3CE9">
        <w:rPr>
          <w:i/>
          <w:lang w:val="lv-LV"/>
        </w:rPr>
        <w:t xml:space="preserve">Hill </w:t>
      </w:r>
      <w:proofErr w:type="spellStart"/>
      <w:r w:rsidRPr="00BA3CE9">
        <w:rPr>
          <w:i/>
          <w:lang w:val="lv-LV"/>
        </w:rPr>
        <w:t>International</w:t>
      </w:r>
      <w:proofErr w:type="spellEnd"/>
      <w:r w:rsidR="00BA3CE9">
        <w:rPr>
          <w:i/>
          <w:lang w:val="lv-LV"/>
        </w:rPr>
        <w:t>.</w:t>
      </w:r>
    </w:p>
    <w:p w:rsidR="00761318" w:rsidRDefault="00761318" w:rsidP="00543B34">
      <w:pPr>
        <w:pStyle w:val="ListParagraph"/>
        <w:ind w:left="0"/>
        <w:jc w:val="both"/>
        <w:rPr>
          <w:lang w:val="lv-LV"/>
        </w:rPr>
      </w:pPr>
    </w:p>
    <w:p w:rsidR="0007333A" w:rsidRPr="00C91F8A" w:rsidRDefault="0007333A" w:rsidP="00543B34">
      <w:pPr>
        <w:pStyle w:val="ListParagraph"/>
        <w:ind w:left="0"/>
        <w:jc w:val="both"/>
        <w:rPr>
          <w:lang w:val="lv-LV"/>
        </w:rPr>
      </w:pPr>
    </w:p>
    <w:p w:rsidR="004028A7" w:rsidRDefault="004028A7" w:rsidP="00395267"/>
    <w:p w:rsidR="00727A36" w:rsidRPr="00D80608" w:rsidRDefault="00727A36" w:rsidP="00910C63">
      <w:pPr>
        <w:pStyle w:val="ListParagraph"/>
        <w:numPr>
          <w:ilvl w:val="0"/>
          <w:numId w:val="2"/>
        </w:numPr>
        <w:tabs>
          <w:tab w:val="left" w:pos="720"/>
        </w:tabs>
        <w:spacing w:after="120"/>
        <w:rPr>
          <w:b/>
          <w:lang w:val="lv-LV"/>
        </w:rPr>
      </w:pPr>
      <w:r w:rsidRPr="00D80608">
        <w:rPr>
          <w:b/>
          <w:lang w:val="lv-LV"/>
        </w:rPr>
        <w:t xml:space="preserve">Līdzekļu izlietojums LNB būvniecības projekta īstenošanai </w:t>
      </w:r>
    </w:p>
    <w:p w:rsidR="0031762C" w:rsidRDefault="008A216E" w:rsidP="008A216E">
      <w:pPr>
        <w:tabs>
          <w:tab w:val="left" w:pos="720"/>
        </w:tabs>
      </w:pPr>
      <w:r w:rsidRPr="00D80608">
        <w:t>LNB projekta</w:t>
      </w:r>
      <w:r w:rsidR="008F2409" w:rsidRPr="00D80608">
        <w:t xml:space="preserve"> </w:t>
      </w:r>
      <w:r w:rsidRPr="00D80608">
        <w:t xml:space="preserve"> īstenošanai </w:t>
      </w:r>
      <w:r w:rsidR="008F2409" w:rsidRPr="00D80608">
        <w:t>2015.gadā tika izlietots</w:t>
      </w:r>
      <w:r w:rsidRPr="00D80608">
        <w:t xml:space="preserve"> </w:t>
      </w:r>
      <w:r w:rsidR="00304139" w:rsidRPr="00D80608">
        <w:t xml:space="preserve">finansējums </w:t>
      </w:r>
      <w:r w:rsidR="008F2409" w:rsidRPr="00D80608">
        <w:rPr>
          <w:b/>
        </w:rPr>
        <w:t>3 203 15</w:t>
      </w:r>
      <w:r w:rsidR="005A6BC7">
        <w:rPr>
          <w:b/>
        </w:rPr>
        <w:t>9</w:t>
      </w:r>
      <w:r w:rsidRPr="00D80608">
        <w:rPr>
          <w:b/>
        </w:rPr>
        <w:t xml:space="preserve"> </w:t>
      </w:r>
      <w:proofErr w:type="spellStart"/>
      <w:r w:rsidRPr="00D80608">
        <w:rPr>
          <w:b/>
          <w:i/>
        </w:rPr>
        <w:t>euro</w:t>
      </w:r>
      <w:proofErr w:type="spellEnd"/>
      <w:r w:rsidRPr="00D80608">
        <w:rPr>
          <w:b/>
          <w:i/>
        </w:rPr>
        <w:t xml:space="preserve"> </w:t>
      </w:r>
      <w:r w:rsidRPr="00D80608">
        <w:t>apmērā, tai</w:t>
      </w:r>
      <w:r>
        <w:t xml:space="preserve"> skaitā </w:t>
      </w:r>
      <w:r w:rsidR="008F2409">
        <w:rPr>
          <w:b/>
        </w:rPr>
        <w:t>2 778 674</w:t>
      </w:r>
      <w:r w:rsidRPr="008A216E">
        <w:rPr>
          <w:b/>
        </w:rPr>
        <w:t xml:space="preserve"> </w:t>
      </w:r>
      <w:proofErr w:type="spellStart"/>
      <w:r w:rsidRPr="008A216E">
        <w:rPr>
          <w:b/>
          <w:i/>
        </w:rPr>
        <w:t>euro</w:t>
      </w:r>
      <w:proofErr w:type="spellEnd"/>
      <w:r>
        <w:t xml:space="preserve"> no LNB projektam paredzētajiem līdzekļiem Valsts kases uzkrājuma kontā un </w:t>
      </w:r>
      <w:r w:rsidR="008F2409">
        <w:rPr>
          <w:b/>
        </w:rPr>
        <w:t>424 48</w:t>
      </w:r>
      <w:r w:rsidR="005A6BC7">
        <w:rPr>
          <w:b/>
        </w:rPr>
        <w:t>5</w:t>
      </w:r>
      <w:r w:rsidRPr="008A216E">
        <w:rPr>
          <w:b/>
        </w:rPr>
        <w:t xml:space="preserve"> </w:t>
      </w:r>
      <w:proofErr w:type="spellStart"/>
      <w:r w:rsidRPr="008A216E">
        <w:rPr>
          <w:b/>
          <w:i/>
        </w:rPr>
        <w:t>euro</w:t>
      </w:r>
      <w:proofErr w:type="spellEnd"/>
      <w:r>
        <w:t xml:space="preserve"> no </w:t>
      </w:r>
      <w:r w:rsidRPr="008A216E">
        <w:t>apakšprogrammas "Latvijas prezidentūras ES Padomē nodrošināšana"</w:t>
      </w:r>
      <w:r>
        <w:t xml:space="preserve">. </w:t>
      </w:r>
      <w:r w:rsidR="00304139">
        <w:t xml:space="preserve"> </w:t>
      </w:r>
    </w:p>
    <w:p w:rsidR="00534A1E" w:rsidRDefault="00534A1E" w:rsidP="00A12D09">
      <w:pPr>
        <w:tabs>
          <w:tab w:val="left" w:pos="720"/>
        </w:tabs>
        <w:spacing w:after="120"/>
        <w:jc w:val="right"/>
      </w:pPr>
    </w:p>
    <w:p w:rsidR="00534A1E" w:rsidRDefault="00534A1E">
      <w:pPr>
        <w:spacing w:after="240"/>
        <w:ind w:left="1571" w:right="635" w:hanging="720"/>
      </w:pPr>
      <w:r>
        <w:br w:type="page"/>
      </w:r>
    </w:p>
    <w:p w:rsidR="00A12D09" w:rsidRDefault="00A12D09" w:rsidP="00A12D09">
      <w:pPr>
        <w:tabs>
          <w:tab w:val="left" w:pos="720"/>
        </w:tabs>
        <w:spacing w:after="120"/>
        <w:jc w:val="right"/>
      </w:pPr>
      <w:r>
        <w:lastRenderedPageBreak/>
        <w:t>1.tabula</w:t>
      </w:r>
    </w:p>
    <w:p w:rsidR="008A216E" w:rsidRPr="00A12D09" w:rsidRDefault="0031762C" w:rsidP="00A12D09">
      <w:pPr>
        <w:tabs>
          <w:tab w:val="left" w:pos="720"/>
        </w:tabs>
        <w:spacing w:after="120"/>
        <w:rPr>
          <w:u w:val="single"/>
        </w:rPr>
      </w:pPr>
      <w:r w:rsidRPr="00A12D09">
        <w:rPr>
          <w:u w:val="single"/>
        </w:rPr>
        <w:t xml:space="preserve">Finansējuma plāns un izlietojums </w:t>
      </w:r>
      <w:r w:rsidR="008A216E" w:rsidRPr="00A12D09">
        <w:rPr>
          <w:u w:val="single"/>
        </w:rPr>
        <w:t>LNB būvniecības projektam 201</w:t>
      </w:r>
      <w:r w:rsidR="002D0B4B" w:rsidRPr="00A12D09">
        <w:rPr>
          <w:u w:val="single"/>
        </w:rPr>
        <w:t>5</w:t>
      </w:r>
      <w:r w:rsidR="008A216E" w:rsidRPr="00A12D09">
        <w:rPr>
          <w:u w:val="single"/>
        </w:rPr>
        <w:t xml:space="preserve">.gadā </w:t>
      </w:r>
    </w:p>
    <w:p w:rsidR="0031762C" w:rsidRDefault="0031762C" w:rsidP="008A216E">
      <w:pPr>
        <w:tabs>
          <w:tab w:val="left" w:pos="720"/>
        </w:tabs>
      </w:pPr>
      <w:r w:rsidRPr="0031762C">
        <w:rPr>
          <w:noProof/>
          <w:lang w:eastAsia="lv-LV"/>
        </w:rPr>
        <w:drawing>
          <wp:inline distT="0" distB="0" distL="0" distR="0">
            <wp:extent cx="5760085" cy="5067123"/>
            <wp:effectExtent l="1905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5067123"/>
                    </a:xfrm>
                    <a:prstGeom prst="rect">
                      <a:avLst/>
                    </a:prstGeom>
                    <a:noFill/>
                    <a:ln w="9525">
                      <a:noFill/>
                      <a:miter lim="800000"/>
                      <a:headEnd/>
                      <a:tailEnd/>
                    </a:ln>
                  </pic:spPr>
                </pic:pic>
              </a:graphicData>
            </a:graphic>
          </wp:inline>
        </w:drawing>
      </w:r>
    </w:p>
    <w:p w:rsidR="00142332" w:rsidRDefault="00142332" w:rsidP="008A216E">
      <w:pPr>
        <w:tabs>
          <w:tab w:val="left" w:pos="720"/>
        </w:tabs>
      </w:pPr>
    </w:p>
    <w:p w:rsidR="00142332" w:rsidRDefault="00105B7E" w:rsidP="00F40A66">
      <w:pPr>
        <w:tabs>
          <w:tab w:val="left" w:pos="720"/>
        </w:tabs>
        <w:spacing w:after="120"/>
      </w:pPr>
      <w:r>
        <w:t xml:space="preserve">Skaidrojumi </w:t>
      </w:r>
      <w:r w:rsidR="00534A1E">
        <w:t xml:space="preserve">būtiskām novirzēm faktiskajā </w:t>
      </w:r>
      <w:r>
        <w:t>līdzekļu</w:t>
      </w:r>
      <w:r w:rsidR="00534A1E">
        <w:t xml:space="preserve"> izlietojumā</w:t>
      </w:r>
      <w:r>
        <w:t xml:space="preserve"> </w:t>
      </w:r>
      <w:r w:rsidR="00534A1E">
        <w:t>pret</w:t>
      </w:r>
      <w:r w:rsidR="00A12D09">
        <w:t xml:space="preserve"> plānot</w:t>
      </w:r>
      <w:r w:rsidR="00534A1E">
        <w:t>o</w:t>
      </w:r>
      <w:r w:rsidR="00A12D09">
        <w:t xml:space="preserve">: </w:t>
      </w:r>
    </w:p>
    <w:p w:rsidR="00F40A66" w:rsidRPr="00A77FA5" w:rsidRDefault="00E27300" w:rsidP="00910C63">
      <w:pPr>
        <w:pStyle w:val="NormalWeb"/>
        <w:numPr>
          <w:ilvl w:val="0"/>
          <w:numId w:val="1"/>
        </w:numPr>
        <w:tabs>
          <w:tab w:val="left" w:pos="720"/>
        </w:tabs>
        <w:spacing w:before="0" w:beforeAutospacing="0" w:after="120" w:afterAutospacing="0"/>
        <w:jc w:val="both"/>
      </w:pPr>
      <w:r>
        <w:t xml:space="preserve">no </w:t>
      </w:r>
      <w:r w:rsidR="00F40A66" w:rsidRPr="00A77FA5">
        <w:t xml:space="preserve">LNB būvdarbiem </w:t>
      </w:r>
      <w:r w:rsidR="00221066">
        <w:t xml:space="preserve">2015 – 2016. gadam </w:t>
      </w:r>
      <w:r>
        <w:t xml:space="preserve">paredzētā finansējuma 7 186 710 </w:t>
      </w:r>
      <w:proofErr w:type="spellStart"/>
      <w:r w:rsidRPr="00E27300">
        <w:rPr>
          <w:i/>
        </w:rPr>
        <w:t>euro</w:t>
      </w:r>
      <w:proofErr w:type="spellEnd"/>
      <w:r>
        <w:t xml:space="preserve"> 2015.gadā tika izlietoti 1 253 438 </w:t>
      </w:r>
      <w:proofErr w:type="spellStart"/>
      <w:r w:rsidRPr="00E27300">
        <w:rPr>
          <w:i/>
        </w:rPr>
        <w:t>euro</w:t>
      </w:r>
      <w:proofErr w:type="spellEnd"/>
      <w:r>
        <w:t xml:space="preserve"> </w:t>
      </w:r>
      <w:r w:rsidR="00C71695">
        <w:t xml:space="preserve">tikai </w:t>
      </w:r>
      <w:r>
        <w:t xml:space="preserve">izpildīto </w:t>
      </w:r>
      <w:r w:rsidR="00B31841">
        <w:t>būv</w:t>
      </w:r>
      <w:r>
        <w:t xml:space="preserve">darbu apmaksai par periodu </w:t>
      </w:r>
      <w:r w:rsidR="00674926">
        <w:t xml:space="preserve">no 2014.gada oktobra līdz 2015.gada septembrim. Sakarā ar domstarpībām </w:t>
      </w:r>
      <w:r w:rsidR="00B31841">
        <w:t>par Līguma cen</w:t>
      </w:r>
      <w:r w:rsidR="00C71695">
        <w:t xml:space="preserve">as apmēru </w:t>
      </w:r>
      <w:r w:rsidR="00B31841">
        <w:t xml:space="preserve">un apmaksas kārtību NBA </w:t>
      </w:r>
      <w:r w:rsidR="00C71695">
        <w:t xml:space="preserve">2015.gadā </w:t>
      </w:r>
      <w:r w:rsidR="00B31841">
        <w:t>nei</w:t>
      </w:r>
      <w:r w:rsidR="00C71695">
        <w:t xml:space="preserve">esniedza pieteikumu </w:t>
      </w:r>
      <w:r w:rsidR="00674926" w:rsidRPr="00E51E23">
        <w:t>ieturējuma naudas un indeksācijas parāda savstarpēj</w:t>
      </w:r>
      <w:r w:rsidR="00C71695">
        <w:t>ās</w:t>
      </w:r>
      <w:r w:rsidR="00674926" w:rsidRPr="00E51E23">
        <w:t xml:space="preserve"> bilanc</w:t>
      </w:r>
      <w:r w:rsidR="00C71695">
        <w:t>es</w:t>
      </w:r>
      <w:r w:rsidR="00674926">
        <w:t xml:space="preserve"> </w:t>
      </w:r>
      <w:r w:rsidR="00C71695">
        <w:t xml:space="preserve">samaksai </w:t>
      </w:r>
      <w:r w:rsidR="00674926" w:rsidRPr="00A50A14">
        <w:rPr>
          <w:sz w:val="26"/>
          <w:szCs w:val="26"/>
        </w:rPr>
        <w:t>4</w:t>
      </w:r>
      <w:r w:rsidR="00674926">
        <w:rPr>
          <w:sz w:val="26"/>
          <w:szCs w:val="26"/>
        </w:rPr>
        <w:t> </w:t>
      </w:r>
      <w:r w:rsidR="00674926" w:rsidRPr="00A50A14">
        <w:rPr>
          <w:sz w:val="26"/>
          <w:szCs w:val="26"/>
        </w:rPr>
        <w:t>289</w:t>
      </w:r>
      <w:r w:rsidR="00674926">
        <w:rPr>
          <w:sz w:val="26"/>
          <w:szCs w:val="26"/>
        </w:rPr>
        <w:t> </w:t>
      </w:r>
      <w:r w:rsidR="00674926" w:rsidRPr="00A50A14">
        <w:rPr>
          <w:sz w:val="26"/>
          <w:szCs w:val="26"/>
        </w:rPr>
        <w:t xml:space="preserve">394 </w:t>
      </w:r>
      <w:proofErr w:type="spellStart"/>
      <w:r w:rsidR="00674926" w:rsidRPr="00A50A14">
        <w:rPr>
          <w:i/>
          <w:sz w:val="26"/>
          <w:szCs w:val="26"/>
        </w:rPr>
        <w:t>euro</w:t>
      </w:r>
      <w:proofErr w:type="spellEnd"/>
      <w:r w:rsidR="00674926">
        <w:rPr>
          <w:i/>
          <w:sz w:val="26"/>
          <w:szCs w:val="26"/>
        </w:rPr>
        <w:t xml:space="preserve"> </w:t>
      </w:r>
      <w:r w:rsidR="00674926" w:rsidRPr="007D3E8D">
        <w:rPr>
          <w:sz w:val="26"/>
          <w:szCs w:val="26"/>
        </w:rPr>
        <w:t>apmērā</w:t>
      </w:r>
      <w:r w:rsidR="00C71695">
        <w:rPr>
          <w:sz w:val="26"/>
          <w:szCs w:val="26"/>
        </w:rPr>
        <w:t xml:space="preserve">. </w:t>
      </w:r>
      <w:r w:rsidR="000A2174">
        <w:t>Neizlietoto fin</w:t>
      </w:r>
      <w:r w:rsidR="00F40A66" w:rsidRPr="00A77FA5">
        <w:t>ansējum</w:t>
      </w:r>
      <w:r w:rsidR="000A2174">
        <w:t>u</w:t>
      </w:r>
      <w:r w:rsidR="00F40A66" w:rsidRPr="00A77FA5">
        <w:t xml:space="preserve"> </w:t>
      </w:r>
      <w:r w:rsidR="000A2174">
        <w:t xml:space="preserve">nepieciešams </w:t>
      </w:r>
      <w:r w:rsidR="00F40A66" w:rsidRPr="00A77FA5">
        <w:t>pārnest uz 201</w:t>
      </w:r>
      <w:r w:rsidR="000A2174">
        <w:t>6</w:t>
      </w:r>
      <w:r w:rsidR="00F40A66" w:rsidRPr="00A77FA5">
        <w:t xml:space="preserve">.gadu, kad tiks </w:t>
      </w:r>
      <w:r w:rsidR="00C71695">
        <w:t xml:space="preserve">apstiprināti gala norēķini. </w:t>
      </w:r>
      <w:r w:rsidR="00F40A66" w:rsidRPr="00A77FA5">
        <w:t xml:space="preserve"> </w:t>
      </w:r>
    </w:p>
    <w:p w:rsidR="00A22528" w:rsidRDefault="00F40A66" w:rsidP="00910C63">
      <w:pPr>
        <w:pStyle w:val="NormalWeb"/>
        <w:numPr>
          <w:ilvl w:val="0"/>
          <w:numId w:val="1"/>
        </w:numPr>
        <w:tabs>
          <w:tab w:val="left" w:pos="720"/>
        </w:tabs>
        <w:spacing w:before="0" w:beforeAutospacing="0" w:after="120" w:afterAutospacing="0"/>
        <w:jc w:val="both"/>
      </w:pPr>
      <w:r w:rsidRPr="00A22528">
        <w:t>IT, biroju tehnikas un programmatūras iegādēm 201</w:t>
      </w:r>
      <w:r w:rsidR="00A22528" w:rsidRPr="00A22528">
        <w:t>5</w:t>
      </w:r>
      <w:r w:rsidRPr="00A22528">
        <w:t xml:space="preserve">.gadā bija plānoti </w:t>
      </w:r>
      <w:r w:rsidR="00A22528">
        <w:t xml:space="preserve">2 887 886 </w:t>
      </w:r>
      <w:proofErr w:type="spellStart"/>
      <w:r w:rsidRPr="00A22528">
        <w:rPr>
          <w:i/>
        </w:rPr>
        <w:t>euro</w:t>
      </w:r>
      <w:proofErr w:type="spellEnd"/>
      <w:r w:rsidRPr="00A22528">
        <w:t xml:space="preserve">, izlietoti </w:t>
      </w:r>
      <w:r w:rsidR="00A22528">
        <w:t>384 746</w:t>
      </w:r>
      <w:r w:rsidRPr="00A22528">
        <w:t xml:space="preserve"> </w:t>
      </w:r>
      <w:proofErr w:type="spellStart"/>
      <w:r w:rsidRPr="00A22528">
        <w:rPr>
          <w:i/>
        </w:rPr>
        <w:t>euro</w:t>
      </w:r>
      <w:proofErr w:type="spellEnd"/>
      <w:r w:rsidR="00A77FA5">
        <w:t>.</w:t>
      </w:r>
      <w:r w:rsidRPr="00A22528">
        <w:t xml:space="preserve"> </w:t>
      </w:r>
      <w:r w:rsidR="00A77FA5">
        <w:t>L</w:t>
      </w:r>
      <w:r w:rsidR="005F26C4">
        <w:t xml:space="preserve">īdzekļu apguve kavējās </w:t>
      </w:r>
      <w:r w:rsidRPr="00A22528">
        <w:t xml:space="preserve">sakarā </w:t>
      </w:r>
      <w:r w:rsidR="005F26C4">
        <w:t xml:space="preserve">nepieciešamību veikt precizējumus </w:t>
      </w:r>
      <w:r w:rsidR="00987E7B">
        <w:t>iepirkuma</w:t>
      </w:r>
      <w:r w:rsidR="00A22528">
        <w:t xml:space="preserve"> </w:t>
      </w:r>
      <w:r w:rsidR="00A22528" w:rsidRPr="007E466E">
        <w:rPr>
          <w:caps/>
        </w:rPr>
        <w:t>„LNB</w:t>
      </w:r>
      <w:r w:rsidR="00A22528" w:rsidRPr="007E466E">
        <w:t xml:space="preserve"> </w:t>
      </w:r>
      <w:r w:rsidR="00A22528">
        <w:t xml:space="preserve">datu </w:t>
      </w:r>
      <w:r w:rsidR="00A22528" w:rsidRPr="007E466E">
        <w:t>centra infrastruktūras modernizācija, datu un infrastruktūras pārnese un uzturēšana</w:t>
      </w:r>
      <w:r w:rsidR="00A22528" w:rsidRPr="00B316CE">
        <w:t>”</w:t>
      </w:r>
      <w:r w:rsidR="00A22528">
        <w:t xml:space="preserve"> </w:t>
      </w:r>
      <w:r w:rsidR="005F26C4">
        <w:t>tehniskajā specifikācijā</w:t>
      </w:r>
      <w:r w:rsidR="00A77FA5">
        <w:t>. Uzaicinājumus iesniegt piedāvājumus bija iespējams nosūtīt tikai gada beigās</w:t>
      </w:r>
      <w:r w:rsidR="000A2174">
        <w:t>,</w:t>
      </w:r>
      <w:r w:rsidR="00A77FA5">
        <w:t xml:space="preserve"> un tādēļ līgums 2015.gadā netika noslēgts. Neizlietoto līdzekļu atlikumu nepieciešams pārcelt uz 2016.gadu. </w:t>
      </w:r>
    </w:p>
    <w:p w:rsidR="008F2409" w:rsidRDefault="008F2409" w:rsidP="008A216E">
      <w:pPr>
        <w:tabs>
          <w:tab w:val="left" w:pos="720"/>
        </w:tabs>
      </w:pPr>
    </w:p>
    <w:p w:rsidR="00534A1E" w:rsidRDefault="00534A1E" w:rsidP="008A216E">
      <w:pPr>
        <w:tabs>
          <w:tab w:val="left" w:pos="720"/>
        </w:tabs>
      </w:pPr>
    </w:p>
    <w:p w:rsidR="00F40A66" w:rsidRDefault="00F40A66" w:rsidP="008A216E">
      <w:pPr>
        <w:tabs>
          <w:tab w:val="left" w:pos="720"/>
        </w:tabs>
        <w:rPr>
          <w:u w:val="single"/>
        </w:rPr>
      </w:pPr>
    </w:p>
    <w:p w:rsidR="00F40A66" w:rsidRDefault="00F40A66" w:rsidP="00F40A66">
      <w:pPr>
        <w:tabs>
          <w:tab w:val="left" w:pos="720"/>
        </w:tabs>
        <w:jc w:val="right"/>
        <w:rPr>
          <w:u w:val="single"/>
        </w:rPr>
      </w:pPr>
      <w:r>
        <w:rPr>
          <w:u w:val="single"/>
        </w:rPr>
        <w:lastRenderedPageBreak/>
        <w:t>2.tabula</w:t>
      </w:r>
    </w:p>
    <w:p w:rsidR="008F2409" w:rsidRPr="001916B7" w:rsidRDefault="008F2409" w:rsidP="00F40A66">
      <w:pPr>
        <w:tabs>
          <w:tab w:val="left" w:pos="720"/>
        </w:tabs>
        <w:spacing w:after="120"/>
        <w:rPr>
          <w:u w:val="single"/>
        </w:rPr>
      </w:pPr>
      <w:r w:rsidRPr="001916B7">
        <w:rPr>
          <w:u w:val="single"/>
        </w:rPr>
        <w:t>Līdzekļu izlietojums LNB būvniecības projekta īstenošanai no projekta sākuma.</w:t>
      </w:r>
    </w:p>
    <w:p w:rsidR="008F2409" w:rsidRDefault="001916B7" w:rsidP="00F40A66">
      <w:pPr>
        <w:tabs>
          <w:tab w:val="left" w:pos="720"/>
        </w:tabs>
        <w:ind w:left="-227"/>
      </w:pPr>
      <w:r w:rsidRPr="001916B7">
        <w:rPr>
          <w:noProof/>
          <w:lang w:eastAsia="lv-LV"/>
        </w:rPr>
        <w:drawing>
          <wp:inline distT="0" distB="0" distL="0" distR="0">
            <wp:extent cx="6191969" cy="3295422"/>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8424" cy="3298857"/>
                    </a:xfrm>
                    <a:prstGeom prst="rect">
                      <a:avLst/>
                    </a:prstGeom>
                    <a:noFill/>
                    <a:ln w="9525">
                      <a:noFill/>
                      <a:miter lim="800000"/>
                      <a:headEnd/>
                      <a:tailEnd/>
                    </a:ln>
                  </pic:spPr>
                </pic:pic>
              </a:graphicData>
            </a:graphic>
          </wp:inline>
        </w:drawing>
      </w:r>
    </w:p>
    <w:p w:rsidR="008F2409" w:rsidRDefault="008F2409" w:rsidP="008A216E">
      <w:pPr>
        <w:tabs>
          <w:tab w:val="left" w:pos="720"/>
        </w:tabs>
      </w:pPr>
    </w:p>
    <w:p w:rsidR="00F40A66" w:rsidRDefault="00F40A66" w:rsidP="008A216E">
      <w:pPr>
        <w:tabs>
          <w:tab w:val="left" w:pos="720"/>
        </w:tabs>
      </w:pPr>
    </w:p>
    <w:p w:rsidR="001916B7" w:rsidRDefault="001916B7" w:rsidP="008A216E">
      <w:pPr>
        <w:tabs>
          <w:tab w:val="left" w:pos="720"/>
        </w:tabs>
      </w:pPr>
    </w:p>
    <w:p w:rsidR="00932334" w:rsidRPr="00D80608" w:rsidRDefault="00911E46" w:rsidP="00910C63">
      <w:pPr>
        <w:pStyle w:val="ListParagraph"/>
        <w:numPr>
          <w:ilvl w:val="0"/>
          <w:numId w:val="2"/>
        </w:numPr>
        <w:tabs>
          <w:tab w:val="left" w:pos="720"/>
        </w:tabs>
        <w:spacing w:after="120"/>
        <w:rPr>
          <w:b/>
          <w:lang w:val="lv-LV"/>
        </w:rPr>
      </w:pPr>
      <w:r>
        <w:rPr>
          <w:b/>
          <w:lang w:val="lv-LV"/>
        </w:rPr>
        <w:t>Pārskats par d</w:t>
      </w:r>
      <w:r w:rsidR="00715ABB">
        <w:rPr>
          <w:b/>
          <w:lang w:val="lv-LV"/>
        </w:rPr>
        <w:t>omstarpību risinājum</w:t>
      </w:r>
      <w:r>
        <w:rPr>
          <w:b/>
          <w:lang w:val="lv-LV"/>
        </w:rPr>
        <w:t>u</w:t>
      </w:r>
      <w:r w:rsidR="00BF2D59">
        <w:rPr>
          <w:b/>
          <w:lang w:val="lv-LV"/>
        </w:rPr>
        <w:t xml:space="preserve"> </w:t>
      </w:r>
      <w:r w:rsidR="00715ABB">
        <w:rPr>
          <w:b/>
          <w:lang w:val="lv-LV"/>
        </w:rPr>
        <w:t>b</w:t>
      </w:r>
      <w:r w:rsidR="00543B34" w:rsidRPr="00D80608">
        <w:rPr>
          <w:b/>
          <w:lang w:val="lv-LV"/>
        </w:rPr>
        <w:t>ūv</w:t>
      </w:r>
      <w:r w:rsidR="00715ABB">
        <w:rPr>
          <w:b/>
          <w:lang w:val="lv-LV"/>
        </w:rPr>
        <w:t>niecības izmaksu indeksācij</w:t>
      </w:r>
      <w:r>
        <w:rPr>
          <w:b/>
          <w:lang w:val="lv-LV"/>
        </w:rPr>
        <w:t>as</w:t>
      </w:r>
      <w:r w:rsidR="00715ABB">
        <w:rPr>
          <w:b/>
          <w:lang w:val="lv-LV"/>
        </w:rPr>
        <w:t xml:space="preserve"> </w:t>
      </w:r>
      <w:r w:rsidR="001F57BF">
        <w:rPr>
          <w:b/>
          <w:lang w:val="lv-LV"/>
        </w:rPr>
        <w:t xml:space="preserve">un savstarpējo norēķinu </w:t>
      </w:r>
      <w:r>
        <w:rPr>
          <w:b/>
          <w:lang w:val="lv-LV"/>
        </w:rPr>
        <w:t>jautājumā</w:t>
      </w:r>
    </w:p>
    <w:p w:rsidR="006D3EE1" w:rsidRDefault="00543B34" w:rsidP="00174AFE">
      <w:pPr>
        <w:spacing w:after="120"/>
      </w:pPr>
      <w:r>
        <w:t xml:space="preserve">Domstarpību </w:t>
      </w:r>
      <w:r w:rsidR="001F3DE0">
        <w:t>pamatā ir līgumslēdzēju pušu – Kultūras ministrijas un NBA atšķirīgā pozīcija par to, vai Būvdarbu līguma</w:t>
      </w:r>
      <w:r w:rsidR="002732CD">
        <w:t xml:space="preserve"> (turpmāk – Līgums)</w:t>
      </w:r>
      <w:r w:rsidR="001F3DE0">
        <w:t xml:space="preserve"> cenas korekcijai piemērojamie indeksi</w:t>
      </w:r>
      <w:r w:rsidR="00B64C23">
        <w:t xml:space="preserve"> </w:t>
      </w:r>
      <w:r w:rsidR="002732CD">
        <w:t>L</w:t>
      </w:r>
      <w:r w:rsidR="00B64C23">
        <w:t>īgumā</w:t>
      </w:r>
      <w:r w:rsidR="001F3DE0">
        <w:t xml:space="preserve"> ir definēti viennozīmīgi. </w:t>
      </w:r>
      <w:r>
        <w:t xml:space="preserve">NBA </w:t>
      </w:r>
      <w:r w:rsidR="00174AFE">
        <w:t>kopš 2011.gada beigām ir paudusi viedokli, ka</w:t>
      </w:r>
      <w:r>
        <w:t xml:space="preserve"> Līgumam piemērojamos indeksus var not</w:t>
      </w:r>
      <w:r w:rsidR="00174AFE">
        <w:t xml:space="preserve">eikt tikai interpretācijas ceļā, savukārt Kultūras ministrijas pozīcija visā </w:t>
      </w:r>
      <w:r w:rsidR="00A6175F">
        <w:t>L</w:t>
      </w:r>
      <w:r w:rsidR="00174AFE">
        <w:t xml:space="preserve">īguma darbības laikā ir bijusi nemainīga – </w:t>
      </w:r>
      <w:r w:rsidR="00FA5740">
        <w:t>p</w:t>
      </w:r>
      <w:r>
        <w:t>iemērojamie indeksi Līgumā ir definēti viennozīmīgi un nepārprotami skaidri.</w:t>
      </w:r>
      <w:r w:rsidR="006F2559">
        <w:t xml:space="preserve"> </w:t>
      </w:r>
    </w:p>
    <w:p w:rsidR="00543B34" w:rsidRPr="002A6009" w:rsidRDefault="00B72170" w:rsidP="00F302A3">
      <w:pPr>
        <w:tabs>
          <w:tab w:val="left" w:pos="720"/>
        </w:tabs>
        <w:spacing w:after="120"/>
        <w:rPr>
          <w:u w:val="single"/>
        </w:rPr>
      </w:pPr>
      <w:r>
        <w:rPr>
          <w:u w:val="single"/>
        </w:rPr>
        <w:t>Būvdarbu l</w:t>
      </w:r>
      <w:r w:rsidR="00543B34" w:rsidRPr="002A6009">
        <w:rPr>
          <w:u w:val="single"/>
        </w:rPr>
        <w:t>īguma juridiskā ekspertīze</w:t>
      </w:r>
    </w:p>
    <w:p w:rsidR="00273D26" w:rsidRDefault="00273D26" w:rsidP="001D7D5F">
      <w:pPr>
        <w:tabs>
          <w:tab w:val="left" w:pos="720"/>
        </w:tabs>
        <w:spacing w:after="120"/>
      </w:pPr>
      <w:r>
        <w:t>Lai U</w:t>
      </w:r>
      <w:r w:rsidR="006F2559">
        <w:t xml:space="preserve">zraudzības padomes </w:t>
      </w:r>
      <w:r>
        <w:t xml:space="preserve">kompetences ietvaros risinātu </w:t>
      </w:r>
      <w:r w:rsidR="00901660">
        <w:t>strīdu par izmaksu indeksāciju, U</w:t>
      </w:r>
      <w:r w:rsidR="00256C30">
        <w:t>zraudzības padome</w:t>
      </w:r>
      <w:r w:rsidR="00901660">
        <w:t xml:space="preserve"> 2015.gada 25.</w:t>
      </w:r>
      <w:r w:rsidR="0075128A">
        <w:t>februāra</w:t>
      </w:r>
      <w:r w:rsidR="00901660">
        <w:t xml:space="preserve"> sēdē apstipri</w:t>
      </w:r>
      <w:r w:rsidR="0075128A">
        <w:t>n</w:t>
      </w:r>
      <w:r w:rsidR="00901660">
        <w:t>ā</w:t>
      </w:r>
      <w:r w:rsidR="0075128A">
        <w:t>ja</w:t>
      </w:r>
      <w:r w:rsidR="00901660">
        <w:t xml:space="preserve"> darba uzdevumu </w:t>
      </w:r>
      <w:r w:rsidR="0075128A">
        <w:t xml:space="preserve">izvēlētajam </w:t>
      </w:r>
      <w:r w:rsidR="00901660">
        <w:t>ekspertam</w:t>
      </w:r>
      <w:r w:rsidR="0075128A">
        <w:t xml:space="preserve"> – advokātu birojam „Kronbergs &amp; </w:t>
      </w:r>
      <w:proofErr w:type="spellStart"/>
      <w:r w:rsidR="0075128A">
        <w:t>Čukste</w:t>
      </w:r>
      <w:proofErr w:type="spellEnd"/>
      <w:r w:rsidR="0075128A">
        <w:t>”</w:t>
      </w:r>
      <w:r w:rsidR="00901660">
        <w:t xml:space="preserve">. </w:t>
      </w:r>
      <w:r w:rsidR="000E26E1">
        <w:t xml:space="preserve">Eksperta pakalpojuma apmaksu veica NBA. </w:t>
      </w:r>
      <w:r w:rsidR="0075128A">
        <w:t>Ekspert</w:t>
      </w:r>
      <w:r w:rsidR="000E26E1">
        <w:t>īzes</w:t>
      </w:r>
      <w:r w:rsidR="0075128A">
        <w:t xml:space="preserve"> uzdevums bija sniegt atzinumu par to, vai Līgums nosaka, ka indeksācijai izmantojami publicētie CSP būvniecības izmaksu indeksi RC081 un RC082</w:t>
      </w:r>
      <w:r w:rsidR="001D7D5F">
        <w:t xml:space="preserve">, un, ja atbilde uz to ir negatīva, kuri no publicētajiem CSP indeksiem ir visatbilstošākie indeksācijai.  </w:t>
      </w:r>
      <w:r w:rsidR="0075128A">
        <w:t xml:space="preserve">  </w:t>
      </w:r>
      <w:r>
        <w:t xml:space="preserve"> </w:t>
      </w:r>
    </w:p>
    <w:p w:rsidR="00E06728" w:rsidRDefault="00E06728" w:rsidP="001D7D5F">
      <w:pPr>
        <w:tabs>
          <w:tab w:val="left" w:pos="720"/>
        </w:tabs>
        <w:spacing w:after="120"/>
      </w:pPr>
      <w:r>
        <w:t xml:space="preserve">Ekspertīzes </w:t>
      </w:r>
      <w:r w:rsidR="00DF5B67">
        <w:t xml:space="preserve">veicējs </w:t>
      </w:r>
      <w:r>
        <w:t>2015.gada 22.aprī</w:t>
      </w:r>
      <w:r w:rsidR="00DF5B67">
        <w:t xml:space="preserve">lī iesniedza ekspertīzes atzinumu (turpmāk – Atzinums), kura kopsavilkuma secinājumos ir pausts viedoklis, </w:t>
      </w:r>
      <w:r>
        <w:t>ka indeksācijai (Līguma cenas korekcij</w:t>
      </w:r>
      <w:r w:rsidR="00DF5B67">
        <w:t xml:space="preserve">ai) ir jāpiemēro CSP publicētie </w:t>
      </w:r>
      <w:r w:rsidR="00EB711A">
        <w:t xml:space="preserve">indeksi: materiāliem un mehānismiem – būvniecības izmaksu indekss </w:t>
      </w:r>
      <w:r w:rsidR="00384F86">
        <w:t xml:space="preserve">(BII) </w:t>
      </w:r>
      <w:r w:rsidR="00EB711A">
        <w:t>birojiem, bet darbaspēkam – darbaspēka izmaksu indekss</w:t>
      </w:r>
      <w:r w:rsidR="00384F86">
        <w:t xml:space="preserve"> (DII)</w:t>
      </w:r>
      <w:r w:rsidR="00EB711A">
        <w:t xml:space="preserve"> būvniecības nozarei. </w:t>
      </w:r>
    </w:p>
    <w:p w:rsidR="00A53975" w:rsidRDefault="00AC5102" w:rsidP="001D7D5F">
      <w:pPr>
        <w:tabs>
          <w:tab w:val="left" w:pos="720"/>
        </w:tabs>
        <w:spacing w:after="120"/>
      </w:pPr>
      <w:r>
        <w:t>A</w:t>
      </w:r>
      <w:r w:rsidR="001D7D5F">
        <w:t xml:space="preserve">tzinuma </w:t>
      </w:r>
      <w:r w:rsidR="00A23C0A">
        <w:t xml:space="preserve">izvērtēšanu Kultūras ministrijas uzdevumā </w:t>
      </w:r>
      <w:r w:rsidR="001D7D5F">
        <w:t>ir veicis zvērinātu advokātu birojs „Advokātu birojs Rozenfelds un partneri”</w:t>
      </w:r>
      <w:r>
        <w:t xml:space="preserve"> </w:t>
      </w:r>
      <w:r w:rsidR="00105246">
        <w:t>un</w:t>
      </w:r>
      <w:r w:rsidR="00A23C0A">
        <w:t xml:space="preserve"> norādījis uz būtiskiem trūkumiem </w:t>
      </w:r>
      <w:r w:rsidR="00A53975">
        <w:t>A</w:t>
      </w:r>
      <w:r w:rsidR="00A23C0A">
        <w:t xml:space="preserve">tzinumā, kuru dēļ </w:t>
      </w:r>
      <w:r w:rsidR="00A53975">
        <w:t>A</w:t>
      </w:r>
      <w:r w:rsidR="00A23C0A">
        <w:t xml:space="preserve">tzinumā izdarītos secinājumus nevar uzskatīt par pamatotiem. </w:t>
      </w:r>
      <w:r w:rsidR="00911E46">
        <w:t xml:space="preserve">Kultūras ministrija 2015.gada </w:t>
      </w:r>
      <w:r w:rsidR="00A6175F">
        <w:t>14.</w:t>
      </w:r>
      <w:r w:rsidR="00911E46">
        <w:t xml:space="preserve">maijā </w:t>
      </w:r>
      <w:r w:rsidR="00A6175F">
        <w:t xml:space="preserve">komentārus par Atzinumu </w:t>
      </w:r>
      <w:r w:rsidR="00911E46">
        <w:t>iesnie</w:t>
      </w:r>
      <w:r w:rsidR="00A6175F">
        <w:t>dza</w:t>
      </w:r>
      <w:r w:rsidR="00911E46">
        <w:t xml:space="preserve"> i</w:t>
      </w:r>
      <w:r w:rsidR="00256C30">
        <w:t>zskatīšanai Uzraudzības padomē</w:t>
      </w:r>
      <w:r w:rsidR="00A769A6">
        <w:t xml:space="preserve">, norādot, ka Atzinums nav pamatots.  </w:t>
      </w:r>
      <w:r w:rsidR="00256C30">
        <w:t xml:space="preserve"> </w:t>
      </w:r>
      <w:r w:rsidR="00911E46">
        <w:t xml:space="preserve"> </w:t>
      </w:r>
    </w:p>
    <w:p w:rsidR="00105246" w:rsidRDefault="00B64C23" w:rsidP="001D7D5F">
      <w:pPr>
        <w:tabs>
          <w:tab w:val="left" w:pos="720"/>
        </w:tabs>
        <w:spacing w:after="120"/>
      </w:pPr>
      <w:r>
        <w:lastRenderedPageBreak/>
        <w:t>Atzinums</w:t>
      </w:r>
      <w:r w:rsidR="00F503D7">
        <w:t xml:space="preserve"> </w:t>
      </w:r>
      <w:r w:rsidR="006F2559">
        <w:t xml:space="preserve">tika skatīts </w:t>
      </w:r>
      <w:r w:rsidR="00A53975">
        <w:t>Uzraudzības padome</w:t>
      </w:r>
      <w:r>
        <w:t xml:space="preserve">s </w:t>
      </w:r>
      <w:r w:rsidR="006F2559">
        <w:t>2015.gada 9.jūlija sēdē</w:t>
      </w:r>
      <w:r w:rsidR="00F503D7">
        <w:t xml:space="preserve">, kurā tika uzklausīti advokātu biroja „Kronbergs &amp; </w:t>
      </w:r>
      <w:proofErr w:type="spellStart"/>
      <w:r w:rsidR="00F503D7">
        <w:t>Čukste</w:t>
      </w:r>
      <w:proofErr w:type="spellEnd"/>
      <w:r w:rsidR="00F503D7">
        <w:t>”, advokātu biroja „</w:t>
      </w:r>
      <w:proofErr w:type="spellStart"/>
      <w:r w:rsidR="00F503D7">
        <w:t>Rozenfelds</w:t>
      </w:r>
      <w:proofErr w:type="spellEnd"/>
      <w:r w:rsidR="00F503D7">
        <w:t xml:space="preserve"> un partneri”, Kultūras ministrijas un NBA  pārstāvju komentāri un viedokļi par Atzinumu. Uzraudzības padome Atzinumu un sniegto informāciju pieņēma </w:t>
      </w:r>
      <w:r w:rsidR="006F2559">
        <w:t>zināšanai</w:t>
      </w:r>
      <w:r w:rsidR="00F503D7">
        <w:t xml:space="preserve">. </w:t>
      </w:r>
      <w:r w:rsidR="00562D4D">
        <w:t>Uzraudzības padome 2016.gada 16.septembra sēdē pieņēma zināšanai, ka jautājums par līguma cenas indeksācijas piemērošanu risināms tiesā saskaņā ar Latvijas Republikā spēkā esošajiem normatīvajiem tiesību aktiem.</w:t>
      </w:r>
      <w:r w:rsidR="006F2559">
        <w:t xml:space="preserve"> </w:t>
      </w:r>
      <w:r w:rsidR="00A53975">
        <w:t xml:space="preserve">  </w:t>
      </w:r>
    </w:p>
    <w:p w:rsidR="005968D8" w:rsidRDefault="001C4BF6" w:rsidP="0056472E">
      <w:pPr>
        <w:tabs>
          <w:tab w:val="left" w:pos="720"/>
        </w:tabs>
        <w:spacing w:after="120"/>
        <w:rPr>
          <w:szCs w:val="24"/>
        </w:rPr>
      </w:pPr>
      <w:r w:rsidRPr="001C4BF6">
        <w:rPr>
          <w:szCs w:val="24"/>
        </w:rPr>
        <w:t>Jāatzīmē, ka advokātu biroja „Kronbergs</w:t>
      </w:r>
      <w:r w:rsidR="005968D8">
        <w:t> </w:t>
      </w:r>
      <w:r w:rsidRPr="001C4BF6">
        <w:rPr>
          <w:szCs w:val="24"/>
        </w:rPr>
        <w:t>&amp;</w:t>
      </w:r>
      <w:r w:rsidR="005968D8">
        <w:t> </w:t>
      </w:r>
      <w:proofErr w:type="spellStart"/>
      <w:r w:rsidRPr="001C4BF6">
        <w:rPr>
          <w:szCs w:val="24"/>
        </w:rPr>
        <w:t>Čukste</w:t>
      </w:r>
      <w:proofErr w:type="spellEnd"/>
      <w:r w:rsidRPr="001C4BF6">
        <w:rPr>
          <w:szCs w:val="24"/>
        </w:rPr>
        <w:t>” pārstāvis Uzraudzības padomes 2015.gada 9. jūlija sēdē nespēja sniegt atbildes uz Kultūras ministrijas pārstāvju jautājumiem pēc būtības</w:t>
      </w:r>
      <w:r w:rsidR="00F503D7">
        <w:rPr>
          <w:szCs w:val="24"/>
        </w:rPr>
        <w:t xml:space="preserve">. </w:t>
      </w:r>
      <w:r w:rsidR="005968D8">
        <w:rPr>
          <w:szCs w:val="24"/>
        </w:rPr>
        <w:t xml:space="preserve">Uz </w:t>
      </w:r>
      <w:r w:rsidR="00E94C4E">
        <w:rPr>
          <w:szCs w:val="24"/>
        </w:rPr>
        <w:t>Kultūras ministrijas 2015.gada 16.oktobr</w:t>
      </w:r>
      <w:r w:rsidR="005968D8">
        <w:rPr>
          <w:szCs w:val="24"/>
        </w:rPr>
        <w:t xml:space="preserve">a vēstuli, kurā tika lūgts sniegt </w:t>
      </w:r>
      <w:r w:rsidR="005968D8" w:rsidRPr="001C4BF6">
        <w:rPr>
          <w:szCs w:val="24"/>
        </w:rPr>
        <w:t>Eksperta</w:t>
      </w:r>
      <w:r w:rsidR="005968D8">
        <w:rPr>
          <w:szCs w:val="24"/>
        </w:rPr>
        <w:t xml:space="preserve"> atbildes un </w:t>
      </w:r>
      <w:r w:rsidR="005968D8" w:rsidRPr="001C4BF6">
        <w:rPr>
          <w:szCs w:val="24"/>
        </w:rPr>
        <w:t>paskaidrojumus</w:t>
      </w:r>
      <w:r w:rsidR="005968D8">
        <w:rPr>
          <w:szCs w:val="24"/>
        </w:rPr>
        <w:t xml:space="preserve"> par Atzinumu, atbilde netika sniegta vispār. </w:t>
      </w:r>
    </w:p>
    <w:p w:rsidR="001C231B" w:rsidRDefault="001C231B" w:rsidP="001C231B">
      <w:pPr>
        <w:tabs>
          <w:tab w:val="left" w:pos="720"/>
        </w:tabs>
        <w:spacing w:after="120"/>
      </w:pPr>
      <w:r>
        <w:t xml:space="preserve">Kultūras ministrija </w:t>
      </w:r>
      <w:r w:rsidR="00975964">
        <w:t>sar</w:t>
      </w:r>
      <w:r w:rsidR="00142332">
        <w:t>akstē NBA un Uzraudzības padomi</w:t>
      </w:r>
      <w:r w:rsidR="00975964">
        <w:t xml:space="preserve"> (Finanšu ministrij</w:t>
      </w:r>
      <w:r w:rsidR="00142332">
        <w:t>u</w:t>
      </w:r>
      <w:r w:rsidR="00975964">
        <w:t>) i</w:t>
      </w:r>
      <w:r>
        <w:t xml:space="preserve">r </w:t>
      </w:r>
      <w:r w:rsidR="00142332">
        <w:t>sniegusi informāciju</w:t>
      </w:r>
      <w:r>
        <w:t xml:space="preserve">, ka nav pamata risināt domstarpības par Līgumā paredzēto maksājumu apjomu, pamatojoties uz Atzinumā izdarītajiem secinājumiem. Nepastāv no Līguma vai cita dokumenta izrietoša pušu apņemšanās, ka savstarpējo saistību apmēra noteikšanā izšķiroša nozīme ir Atzinumā sniegtajai Līguma interpretācijai.  </w:t>
      </w:r>
    </w:p>
    <w:p w:rsidR="00A769A6" w:rsidRDefault="001C231B" w:rsidP="001C231B">
      <w:pPr>
        <w:tabs>
          <w:tab w:val="left" w:pos="720"/>
        </w:tabs>
      </w:pPr>
      <w:r w:rsidRPr="007325FE">
        <w:rPr>
          <w:color w:val="000000"/>
          <w:szCs w:val="24"/>
        </w:rPr>
        <w:t xml:space="preserve">Kultūras ministrijai nav tiesību nepildīt vai interpretēt </w:t>
      </w:r>
      <w:r>
        <w:rPr>
          <w:color w:val="000000"/>
          <w:szCs w:val="24"/>
        </w:rPr>
        <w:t>L</w:t>
      </w:r>
      <w:r w:rsidRPr="007325FE">
        <w:rPr>
          <w:color w:val="000000"/>
          <w:szCs w:val="24"/>
        </w:rPr>
        <w:t xml:space="preserve">īguma nosacījumus, tai skaitā pārskatīt </w:t>
      </w:r>
      <w:r>
        <w:rPr>
          <w:color w:val="000000"/>
          <w:szCs w:val="24"/>
        </w:rPr>
        <w:t>L</w:t>
      </w:r>
      <w:r w:rsidRPr="007325FE">
        <w:rPr>
          <w:color w:val="000000"/>
          <w:szCs w:val="24"/>
        </w:rPr>
        <w:t>īguma nosacījumus ar atpakaļejošu spēku.</w:t>
      </w:r>
      <w:r w:rsidRPr="00CC5C79">
        <w:rPr>
          <w:szCs w:val="24"/>
        </w:rPr>
        <w:t xml:space="preserve"> </w:t>
      </w:r>
      <w:r w:rsidRPr="000B1990">
        <w:rPr>
          <w:szCs w:val="24"/>
        </w:rPr>
        <w:t>Puses jau ilgstoši ir paudušas argumentus par piemērojamiem indeksiem</w:t>
      </w:r>
      <w:r>
        <w:rPr>
          <w:szCs w:val="24"/>
        </w:rPr>
        <w:t>,</w:t>
      </w:r>
      <w:r w:rsidRPr="000B1990">
        <w:rPr>
          <w:szCs w:val="24"/>
        </w:rPr>
        <w:t xml:space="preserve"> un ir secināms, ka kompromiss šajā jautājumā nav iespējams</w:t>
      </w:r>
      <w:r w:rsidRPr="00FE1319">
        <w:rPr>
          <w:szCs w:val="24"/>
        </w:rPr>
        <w:t xml:space="preserve">. Kultūras ministrija ir paudusi skaidru nostāju par </w:t>
      </w:r>
      <w:r>
        <w:rPr>
          <w:szCs w:val="24"/>
        </w:rPr>
        <w:t>L</w:t>
      </w:r>
      <w:r w:rsidRPr="00FE1319">
        <w:rPr>
          <w:szCs w:val="24"/>
        </w:rPr>
        <w:t xml:space="preserve">īgumā </w:t>
      </w:r>
      <w:r>
        <w:rPr>
          <w:szCs w:val="24"/>
        </w:rPr>
        <w:t xml:space="preserve">noteikto </w:t>
      </w:r>
      <w:r w:rsidRPr="00FE1319">
        <w:rPr>
          <w:szCs w:val="24"/>
        </w:rPr>
        <w:t xml:space="preserve">piemērojamo indeksu nepārprotamo un viennozīmīgo saturu. Ja NBA nepiekrīt CSP izziņās doto indeksu vērtībām vai uzskata, ka Būvdarbu līgumam piemērojami citi indeksi, nekā tie, kas noteikti </w:t>
      </w:r>
      <w:r>
        <w:rPr>
          <w:szCs w:val="24"/>
        </w:rPr>
        <w:t>L</w:t>
      </w:r>
      <w:r w:rsidRPr="00FE1319">
        <w:rPr>
          <w:szCs w:val="24"/>
        </w:rPr>
        <w:t>īgumā, NBA šis jautājums ir jārisina tiesvedības kārtībā.</w:t>
      </w:r>
    </w:p>
    <w:p w:rsidR="001C231B" w:rsidRDefault="001C231B" w:rsidP="00543B34">
      <w:pPr>
        <w:tabs>
          <w:tab w:val="left" w:pos="720"/>
        </w:tabs>
      </w:pPr>
    </w:p>
    <w:p w:rsidR="001C231B" w:rsidRDefault="001C231B" w:rsidP="00543B34">
      <w:pPr>
        <w:tabs>
          <w:tab w:val="left" w:pos="720"/>
        </w:tabs>
      </w:pPr>
    </w:p>
    <w:p w:rsidR="009B72B6" w:rsidRDefault="007E1122" w:rsidP="009B72B6">
      <w:pPr>
        <w:spacing w:after="120" w:line="276" w:lineRule="auto"/>
        <w:rPr>
          <w:u w:val="single"/>
        </w:rPr>
      </w:pPr>
      <w:r>
        <w:rPr>
          <w:u w:val="single"/>
        </w:rPr>
        <w:t xml:space="preserve">Līguma cenas </w:t>
      </w:r>
      <w:r w:rsidR="00231956">
        <w:rPr>
          <w:u w:val="single"/>
        </w:rPr>
        <w:t>samaksas</w:t>
      </w:r>
      <w:r>
        <w:rPr>
          <w:u w:val="single"/>
        </w:rPr>
        <w:t xml:space="preserve"> </w:t>
      </w:r>
      <w:r w:rsidR="00667B5A">
        <w:rPr>
          <w:u w:val="single"/>
        </w:rPr>
        <w:t>risinājums</w:t>
      </w:r>
      <w:r w:rsidR="009B72B6">
        <w:rPr>
          <w:u w:val="single"/>
        </w:rPr>
        <w:t xml:space="preserve"> </w:t>
      </w:r>
    </w:p>
    <w:p w:rsidR="00975964" w:rsidRDefault="00231956" w:rsidP="00B06E79">
      <w:pPr>
        <w:spacing w:after="120"/>
        <w:rPr>
          <w:szCs w:val="24"/>
        </w:rPr>
      </w:pPr>
      <w:r>
        <w:t xml:space="preserve">Saskaņā ar Līgumu Galvenajam būvuzņēmējam (NBA) par veiktajiem būvdarbiem tiek maksāta Līguma cena, ko veido būvniecības izmaksu aprēķini, un saskaņā ar Līgumu veiktās korekcijas, tai skaitā indeksācija. </w:t>
      </w:r>
      <w:r w:rsidR="001C231B">
        <w:rPr>
          <w:szCs w:val="24"/>
        </w:rPr>
        <w:t xml:space="preserve">Savukārt </w:t>
      </w:r>
      <w:r w:rsidR="00975964">
        <w:rPr>
          <w:szCs w:val="24"/>
        </w:rPr>
        <w:t xml:space="preserve">Līguma punktos par </w:t>
      </w:r>
      <w:r w:rsidR="00B06E79">
        <w:rPr>
          <w:szCs w:val="24"/>
        </w:rPr>
        <w:t>Līguma cenas apmaksas kārtību</w:t>
      </w:r>
      <w:r w:rsidR="00B06E79" w:rsidRPr="00B06E79">
        <w:rPr>
          <w:szCs w:val="24"/>
        </w:rPr>
        <w:t xml:space="preserve"> ir noteikts, ka Galvenajam būvuzņēmējam</w:t>
      </w:r>
      <w:r w:rsidR="00975964">
        <w:rPr>
          <w:szCs w:val="24"/>
        </w:rPr>
        <w:t xml:space="preserve"> (NBA)</w:t>
      </w:r>
      <w:r w:rsidR="00B06E79" w:rsidRPr="00B06E79">
        <w:rPr>
          <w:szCs w:val="24"/>
        </w:rPr>
        <w:t xml:space="preserve"> ir jāiesniedz Inženierim</w:t>
      </w:r>
      <w:r w:rsidR="00975964">
        <w:rPr>
          <w:szCs w:val="24"/>
        </w:rPr>
        <w:t xml:space="preserve"> (</w:t>
      </w:r>
      <w:r w:rsidR="00975964" w:rsidRPr="00975964">
        <w:rPr>
          <w:i/>
          <w:szCs w:val="24"/>
        </w:rPr>
        <w:t xml:space="preserve">Hill </w:t>
      </w:r>
      <w:proofErr w:type="spellStart"/>
      <w:r w:rsidR="00975964" w:rsidRPr="00975964">
        <w:rPr>
          <w:i/>
          <w:szCs w:val="24"/>
        </w:rPr>
        <w:t>International</w:t>
      </w:r>
      <w:proofErr w:type="spellEnd"/>
      <w:r w:rsidR="00975964">
        <w:rPr>
          <w:szCs w:val="24"/>
        </w:rPr>
        <w:t>)</w:t>
      </w:r>
      <w:r w:rsidR="00B06E79" w:rsidRPr="00B06E79">
        <w:rPr>
          <w:szCs w:val="24"/>
        </w:rPr>
        <w:t xml:space="preserve"> </w:t>
      </w:r>
      <w:r w:rsidR="009C0BD7" w:rsidRPr="009C0BD7">
        <w:rPr>
          <w:szCs w:val="24"/>
        </w:rPr>
        <w:t>pieteikums starpmaksājuma apstiprinājumu izdošanai</w:t>
      </w:r>
      <w:r w:rsidR="00B06E79" w:rsidRPr="009C0BD7">
        <w:rPr>
          <w:szCs w:val="24"/>
        </w:rPr>
        <w:t>, kurā norādītas summas, kas pēc Galvenā būvuzņēmēja domām viņam pienākas</w:t>
      </w:r>
      <w:r w:rsidR="00975964" w:rsidRPr="009C0BD7">
        <w:rPr>
          <w:szCs w:val="24"/>
        </w:rPr>
        <w:t xml:space="preserve">. </w:t>
      </w:r>
    </w:p>
    <w:p w:rsidR="007E09DC" w:rsidRDefault="009E5A90" w:rsidP="00FF7BC6">
      <w:pPr>
        <w:spacing w:after="120"/>
        <w:rPr>
          <w:rFonts w:cs="Times New Roman"/>
          <w:szCs w:val="24"/>
        </w:rPr>
      </w:pPr>
      <w:r>
        <w:t>Sakarā ar LNB būvdarbu pabeigšanu un nepieciešamību veikt gala norēķinus</w:t>
      </w:r>
      <w:r w:rsidR="00E10885">
        <w:t xml:space="preserve">, 2015.gada sākumā tika aktualizēts jautājums par </w:t>
      </w:r>
      <w:r w:rsidR="00E10885" w:rsidRPr="009A6C04">
        <w:rPr>
          <w:rFonts w:cs="Times New Roman"/>
          <w:szCs w:val="24"/>
        </w:rPr>
        <w:t xml:space="preserve">Kultūras ministrijas rīcībā </w:t>
      </w:r>
      <w:r w:rsidR="00E10885">
        <w:rPr>
          <w:rFonts w:cs="Times New Roman"/>
          <w:szCs w:val="24"/>
        </w:rPr>
        <w:t xml:space="preserve">esošās ieturējuma naudas pirmās puses </w:t>
      </w:r>
      <w:r w:rsidR="00E10885" w:rsidRPr="009A6C04">
        <w:rPr>
          <w:rFonts w:cs="Times New Roman"/>
          <w:szCs w:val="24"/>
        </w:rPr>
        <w:t xml:space="preserve">4 812 951 </w:t>
      </w:r>
      <w:proofErr w:type="spellStart"/>
      <w:r w:rsidR="00E10885" w:rsidRPr="009A6C04">
        <w:rPr>
          <w:rFonts w:cs="Times New Roman"/>
          <w:i/>
          <w:szCs w:val="24"/>
        </w:rPr>
        <w:t>euro</w:t>
      </w:r>
      <w:proofErr w:type="spellEnd"/>
      <w:r w:rsidR="00E10885">
        <w:rPr>
          <w:rFonts w:cs="Times New Roman"/>
          <w:i/>
          <w:szCs w:val="24"/>
        </w:rPr>
        <w:t xml:space="preserve"> </w:t>
      </w:r>
      <w:r w:rsidR="00E10885" w:rsidRPr="0012612A">
        <w:rPr>
          <w:rFonts w:cs="Times New Roman"/>
          <w:szCs w:val="24"/>
        </w:rPr>
        <w:t>apmērā</w:t>
      </w:r>
      <w:r w:rsidR="00E10885" w:rsidRPr="009A6C04">
        <w:rPr>
          <w:rFonts w:cs="Times New Roman"/>
          <w:szCs w:val="24"/>
        </w:rPr>
        <w:t xml:space="preserve"> </w:t>
      </w:r>
      <w:r w:rsidR="00E10885">
        <w:rPr>
          <w:rFonts w:cs="Times New Roman"/>
          <w:szCs w:val="24"/>
        </w:rPr>
        <w:t>atmaksu NBA</w:t>
      </w:r>
      <w:r w:rsidR="0033531D">
        <w:rPr>
          <w:rFonts w:cs="Times New Roman"/>
          <w:szCs w:val="24"/>
        </w:rPr>
        <w:t>,</w:t>
      </w:r>
      <w:r w:rsidR="00E10885" w:rsidRPr="009A6C04">
        <w:rPr>
          <w:rFonts w:cs="Times New Roman"/>
          <w:szCs w:val="24"/>
        </w:rPr>
        <w:t xml:space="preserve"> </w:t>
      </w:r>
      <w:r w:rsidR="00E10885">
        <w:rPr>
          <w:rFonts w:cs="Times New Roman"/>
          <w:szCs w:val="24"/>
        </w:rPr>
        <w:t xml:space="preserve">un </w:t>
      </w:r>
      <w:r w:rsidR="00E10885" w:rsidRPr="00434891">
        <w:rPr>
          <w:rFonts w:cs="Times New Roman"/>
          <w:szCs w:val="24"/>
        </w:rPr>
        <w:t>NBA indeksācijas parād</w:t>
      </w:r>
      <w:r w:rsidR="0033531D">
        <w:rPr>
          <w:rFonts w:cs="Times New Roman"/>
          <w:szCs w:val="24"/>
        </w:rPr>
        <w:t>a</w:t>
      </w:r>
      <w:r w:rsidR="00E10885" w:rsidRPr="00434891">
        <w:rPr>
          <w:rFonts w:cs="Times New Roman"/>
          <w:szCs w:val="24"/>
        </w:rPr>
        <w:t xml:space="preserve"> pret Kultūras ministriju</w:t>
      </w:r>
      <w:r w:rsidR="00E10885">
        <w:rPr>
          <w:rFonts w:cs="Times New Roman"/>
          <w:szCs w:val="24"/>
        </w:rPr>
        <w:t xml:space="preserve"> </w:t>
      </w:r>
      <w:r w:rsidR="0033531D">
        <w:rPr>
          <w:rFonts w:cs="Times New Roman"/>
          <w:szCs w:val="24"/>
        </w:rPr>
        <w:t xml:space="preserve">5 336 508 </w:t>
      </w:r>
      <w:proofErr w:type="spellStart"/>
      <w:r w:rsidR="0033531D" w:rsidRPr="00A400D9">
        <w:rPr>
          <w:rFonts w:cs="Times New Roman"/>
          <w:i/>
          <w:szCs w:val="24"/>
        </w:rPr>
        <w:t>euro</w:t>
      </w:r>
      <w:proofErr w:type="spellEnd"/>
      <w:r w:rsidR="0033531D">
        <w:rPr>
          <w:rFonts w:cs="Times New Roman"/>
          <w:szCs w:val="24"/>
        </w:rPr>
        <w:t xml:space="preserve"> (ar PVN) apmērā atmaksāšanu Kultūras ministrijai. </w:t>
      </w:r>
      <w:r w:rsidR="0096322F">
        <w:rPr>
          <w:rFonts w:cs="Times New Roman"/>
          <w:szCs w:val="24"/>
        </w:rPr>
        <w:t xml:space="preserve">Šo maksājumu savstarpējā saistība, pamatojoties uz NBA ierosinājumu, tika noteikta ar Inženiera lēmumu. </w:t>
      </w:r>
      <w:r w:rsidR="00EC1AE0">
        <w:rPr>
          <w:rFonts w:cs="Times New Roman"/>
          <w:szCs w:val="24"/>
        </w:rPr>
        <w:t>2014.gada sākumā, kad bija iestājušies nosacījumi šo maksājumu veikšanai, NBA vair</w:t>
      </w:r>
      <w:r w:rsidR="007E09DC">
        <w:rPr>
          <w:rFonts w:cs="Times New Roman"/>
          <w:szCs w:val="24"/>
        </w:rPr>
        <w:t>ā</w:t>
      </w:r>
      <w:r w:rsidR="00EC1AE0">
        <w:rPr>
          <w:rFonts w:cs="Times New Roman"/>
          <w:szCs w:val="24"/>
        </w:rPr>
        <w:t>kkārt lūdza atlikt ieturējuma izmaksu</w:t>
      </w:r>
      <w:r w:rsidR="007E09DC">
        <w:rPr>
          <w:rFonts w:cs="Times New Roman"/>
          <w:szCs w:val="24"/>
        </w:rPr>
        <w:t xml:space="preserve">, kā arī atlikušas indeksācijas ieturēšanu. Attiecīgi </w:t>
      </w:r>
      <w:r w:rsidR="007E09DC" w:rsidRPr="009C0BD7">
        <w:rPr>
          <w:szCs w:val="24"/>
        </w:rPr>
        <w:t xml:space="preserve">2014.gadā </w:t>
      </w:r>
      <w:r w:rsidR="007E09DC">
        <w:rPr>
          <w:szCs w:val="24"/>
        </w:rPr>
        <w:t xml:space="preserve">nevienā no </w:t>
      </w:r>
      <w:r w:rsidR="007E09DC" w:rsidRPr="009C0BD7">
        <w:rPr>
          <w:szCs w:val="24"/>
        </w:rPr>
        <w:t>Inženierim un Kultūras ministrija</w:t>
      </w:r>
      <w:r w:rsidR="007E09DC">
        <w:rPr>
          <w:szCs w:val="24"/>
        </w:rPr>
        <w:t>i</w:t>
      </w:r>
      <w:r w:rsidR="007E09DC" w:rsidRPr="009C0BD7">
        <w:rPr>
          <w:szCs w:val="24"/>
        </w:rPr>
        <w:t xml:space="preserve"> </w:t>
      </w:r>
      <w:r w:rsidR="007E09DC">
        <w:rPr>
          <w:szCs w:val="24"/>
        </w:rPr>
        <w:t xml:space="preserve">iesniegtajiem </w:t>
      </w:r>
      <w:r w:rsidR="007E09DC" w:rsidRPr="009C0BD7">
        <w:rPr>
          <w:szCs w:val="24"/>
        </w:rPr>
        <w:t>pieteikum</w:t>
      </w:r>
      <w:r w:rsidR="007E09DC">
        <w:rPr>
          <w:szCs w:val="24"/>
        </w:rPr>
        <w:t xml:space="preserve">iem </w:t>
      </w:r>
      <w:r w:rsidR="007E09DC" w:rsidRPr="009C0BD7">
        <w:rPr>
          <w:szCs w:val="24"/>
        </w:rPr>
        <w:t>starpmaksājuma apstiprinājum</w:t>
      </w:r>
      <w:r w:rsidR="007E09DC">
        <w:rPr>
          <w:szCs w:val="24"/>
        </w:rPr>
        <w:t>a saņemšanai NBA</w:t>
      </w:r>
      <w:r w:rsidR="007E09DC" w:rsidRPr="009C0BD7">
        <w:rPr>
          <w:szCs w:val="24"/>
        </w:rPr>
        <w:t xml:space="preserve"> </w:t>
      </w:r>
      <w:r w:rsidR="007E09DC" w:rsidRPr="007E09DC">
        <w:rPr>
          <w:szCs w:val="24"/>
        </w:rPr>
        <w:t>nebija ietvērusi</w:t>
      </w:r>
      <w:r w:rsidR="007E09DC">
        <w:rPr>
          <w:szCs w:val="24"/>
        </w:rPr>
        <w:t xml:space="preserve"> ne</w:t>
      </w:r>
      <w:r w:rsidR="007E09DC" w:rsidRPr="009C0BD7">
        <w:rPr>
          <w:szCs w:val="24"/>
        </w:rPr>
        <w:t xml:space="preserve"> ieturējuma naudas pirmās puses izmaksu</w:t>
      </w:r>
      <w:r w:rsidR="007E09DC">
        <w:rPr>
          <w:szCs w:val="24"/>
        </w:rPr>
        <w:t xml:space="preserve">, ne indeksācijas parāda atmaksu. </w:t>
      </w:r>
    </w:p>
    <w:p w:rsidR="009C0BD7" w:rsidRDefault="008B2A29" w:rsidP="00B06E79">
      <w:pPr>
        <w:tabs>
          <w:tab w:val="left" w:pos="720"/>
        </w:tabs>
        <w:spacing w:after="120"/>
        <w:rPr>
          <w:szCs w:val="24"/>
        </w:rPr>
      </w:pPr>
      <w:r>
        <w:rPr>
          <w:szCs w:val="24"/>
        </w:rPr>
        <w:t>K</w:t>
      </w:r>
      <w:r w:rsidR="001C231B" w:rsidRPr="001C231B">
        <w:rPr>
          <w:szCs w:val="24"/>
        </w:rPr>
        <w:t xml:space="preserve">ad </w:t>
      </w:r>
      <w:r>
        <w:rPr>
          <w:szCs w:val="24"/>
        </w:rPr>
        <w:t>NBA</w:t>
      </w:r>
      <w:r w:rsidR="001C231B" w:rsidRPr="001C231B">
        <w:rPr>
          <w:szCs w:val="24"/>
        </w:rPr>
        <w:t xml:space="preserve"> 2014.gada decembrī mainīja pozīciju, izsakot priekšlikums veikt nekavējošu ieturējuma naudas pirmās puses izmaksu, bet nesaistot to ar </w:t>
      </w:r>
      <w:r>
        <w:rPr>
          <w:szCs w:val="24"/>
        </w:rPr>
        <w:t>NBA</w:t>
      </w:r>
      <w:r w:rsidR="001C231B" w:rsidRPr="001C231B">
        <w:rPr>
          <w:szCs w:val="24"/>
        </w:rPr>
        <w:t xml:space="preserve"> pienākumu veikt indeksācijas parāda atmaksu, Kultūras ministrija atbilstoši Inženiera lēmumiem deva norādījumu nākamajā starpmaksājumā vienlaikus ar samaksu par padarītiem darbiem iekļaut ieturējuma pirmās puses </w:t>
      </w:r>
      <w:r w:rsidR="00455E75">
        <w:rPr>
          <w:szCs w:val="24"/>
        </w:rPr>
        <w:t>samaksu</w:t>
      </w:r>
      <w:r w:rsidR="001C231B" w:rsidRPr="001C231B">
        <w:rPr>
          <w:szCs w:val="24"/>
        </w:rPr>
        <w:t xml:space="preserve"> 4 812 951 </w:t>
      </w:r>
      <w:proofErr w:type="spellStart"/>
      <w:r w:rsidR="001C231B" w:rsidRPr="001C231B">
        <w:rPr>
          <w:i/>
          <w:szCs w:val="24"/>
        </w:rPr>
        <w:t>euro</w:t>
      </w:r>
      <w:proofErr w:type="spellEnd"/>
      <w:r w:rsidR="001C231B" w:rsidRPr="001C231B">
        <w:rPr>
          <w:szCs w:val="24"/>
        </w:rPr>
        <w:t xml:space="preserve"> apmērā un visa atlikušā indeksācijas parāda atmaksu 5 336 508 </w:t>
      </w:r>
      <w:proofErr w:type="spellStart"/>
      <w:r w:rsidR="001C231B" w:rsidRPr="001C231B">
        <w:rPr>
          <w:i/>
          <w:szCs w:val="24"/>
        </w:rPr>
        <w:t>euro</w:t>
      </w:r>
      <w:proofErr w:type="spellEnd"/>
      <w:r w:rsidR="001C231B" w:rsidRPr="001C231B">
        <w:rPr>
          <w:szCs w:val="24"/>
        </w:rPr>
        <w:t xml:space="preserve"> (ar PVN) apmērā. Starpmaksājum</w:t>
      </w:r>
      <w:r w:rsidR="00672D66">
        <w:rPr>
          <w:szCs w:val="24"/>
        </w:rPr>
        <w:t>a</w:t>
      </w:r>
      <w:r>
        <w:rPr>
          <w:szCs w:val="24"/>
        </w:rPr>
        <w:t xml:space="preserve"> </w:t>
      </w:r>
      <w:r w:rsidR="001C231B" w:rsidRPr="001C231B">
        <w:rPr>
          <w:szCs w:val="24"/>
        </w:rPr>
        <w:t xml:space="preserve">apstiprinājums </w:t>
      </w:r>
      <w:r w:rsidR="00D14EF6">
        <w:rPr>
          <w:szCs w:val="24"/>
        </w:rPr>
        <w:t xml:space="preserve">ar iekļautu </w:t>
      </w:r>
      <w:r w:rsidR="00455E75" w:rsidRPr="001C231B">
        <w:rPr>
          <w:szCs w:val="24"/>
        </w:rPr>
        <w:t>ieturējuma pirmās puses</w:t>
      </w:r>
      <w:r w:rsidR="00455E75">
        <w:rPr>
          <w:szCs w:val="24"/>
        </w:rPr>
        <w:t xml:space="preserve"> samaksu </w:t>
      </w:r>
      <w:r w:rsidR="00D14EF6">
        <w:rPr>
          <w:szCs w:val="24"/>
        </w:rPr>
        <w:t xml:space="preserve">un </w:t>
      </w:r>
      <w:r w:rsidR="00455E75">
        <w:rPr>
          <w:szCs w:val="24"/>
        </w:rPr>
        <w:t xml:space="preserve">atlikušā indeksācijas parāda atmaksu </w:t>
      </w:r>
      <w:r w:rsidR="001C231B" w:rsidRPr="001C231B">
        <w:rPr>
          <w:szCs w:val="24"/>
        </w:rPr>
        <w:t xml:space="preserve">tika iesniegts </w:t>
      </w:r>
      <w:r w:rsidR="00455E75">
        <w:rPr>
          <w:szCs w:val="24"/>
        </w:rPr>
        <w:t>NBA</w:t>
      </w:r>
      <w:r w:rsidR="00455E75" w:rsidRPr="001C231B">
        <w:rPr>
          <w:szCs w:val="24"/>
        </w:rPr>
        <w:t xml:space="preserve"> </w:t>
      </w:r>
      <w:r w:rsidR="001C231B" w:rsidRPr="001C231B">
        <w:rPr>
          <w:szCs w:val="24"/>
        </w:rPr>
        <w:lastRenderedPageBreak/>
        <w:t>vairākas reizes</w:t>
      </w:r>
      <w:r w:rsidR="00F11E66">
        <w:rPr>
          <w:szCs w:val="24"/>
        </w:rPr>
        <w:t>: 2015.gada</w:t>
      </w:r>
      <w:r w:rsidR="00D14EF6">
        <w:rPr>
          <w:szCs w:val="24"/>
        </w:rPr>
        <w:t xml:space="preserve"> 28.janvā</w:t>
      </w:r>
      <w:r w:rsidR="00F11E66">
        <w:rPr>
          <w:szCs w:val="24"/>
        </w:rPr>
        <w:t>rī, 18.</w:t>
      </w:r>
      <w:r w:rsidR="00D14EF6">
        <w:rPr>
          <w:szCs w:val="24"/>
        </w:rPr>
        <w:t>feb</w:t>
      </w:r>
      <w:r w:rsidR="00F11E66">
        <w:rPr>
          <w:szCs w:val="24"/>
        </w:rPr>
        <w:t>ruārī</w:t>
      </w:r>
      <w:r w:rsidR="00D14EF6">
        <w:rPr>
          <w:szCs w:val="24"/>
        </w:rPr>
        <w:t xml:space="preserve"> un 7.aprīlī.</w:t>
      </w:r>
      <w:r w:rsidR="001C231B" w:rsidRPr="001C231B">
        <w:rPr>
          <w:szCs w:val="24"/>
        </w:rPr>
        <w:t xml:space="preserve"> </w:t>
      </w:r>
      <w:r w:rsidR="00563FC9">
        <w:rPr>
          <w:szCs w:val="24"/>
        </w:rPr>
        <w:t xml:space="preserve">Starpmaksājuma apstiprinājums no NBA puses netika </w:t>
      </w:r>
      <w:r w:rsidR="00562D4D">
        <w:rPr>
          <w:szCs w:val="24"/>
        </w:rPr>
        <w:t xml:space="preserve">parakstīts un atbilstošs rēķins netika iesniegts. </w:t>
      </w:r>
      <w:r w:rsidR="00563FC9">
        <w:rPr>
          <w:szCs w:val="24"/>
        </w:rPr>
        <w:t xml:space="preserve"> </w:t>
      </w:r>
    </w:p>
    <w:p w:rsidR="00BD03A6" w:rsidRDefault="007E09DC" w:rsidP="007E09DC">
      <w:pPr>
        <w:spacing w:after="120"/>
        <w:rPr>
          <w:szCs w:val="24"/>
        </w:rPr>
      </w:pPr>
      <w:r>
        <w:t>Sākot ar 2015.gada aprīli</w:t>
      </w:r>
      <w:r w:rsidR="00D5188C">
        <w:t>,</w:t>
      </w:r>
      <w:r w:rsidR="00BF5CCC">
        <w:t xml:space="preserve"> </w:t>
      </w:r>
      <w:r w:rsidR="00D5188C">
        <w:t xml:space="preserve">līdztekus prasībai izmaksāt tikai ieturējuma pirmo pusi, </w:t>
      </w:r>
      <w:r w:rsidR="00BF5CCC">
        <w:t>NBA izvirzīja</w:t>
      </w:r>
      <w:r>
        <w:t xml:space="preserve"> pretenziju par</w:t>
      </w:r>
      <w:r w:rsidR="00D5188C">
        <w:t xml:space="preserve"> nokavējuma</w:t>
      </w:r>
      <w:r>
        <w:t xml:space="preserve"> līgumsodu</w:t>
      </w:r>
      <w:r w:rsidR="00D5188C">
        <w:t>. P</w:t>
      </w:r>
      <w:r w:rsidR="00F11E66" w:rsidRPr="00F11E66">
        <w:rPr>
          <w:szCs w:val="24"/>
        </w:rPr>
        <w:t>retenzij</w:t>
      </w:r>
      <w:r w:rsidR="00BF5CCC">
        <w:rPr>
          <w:szCs w:val="24"/>
        </w:rPr>
        <w:t>u</w:t>
      </w:r>
      <w:r w:rsidR="00F11E66" w:rsidRPr="00F11E66">
        <w:rPr>
          <w:szCs w:val="24"/>
        </w:rPr>
        <w:t xml:space="preserve"> pamatošanai </w:t>
      </w:r>
      <w:r w:rsidR="00D5188C">
        <w:rPr>
          <w:szCs w:val="24"/>
        </w:rPr>
        <w:t xml:space="preserve">NBA </w:t>
      </w:r>
      <w:r w:rsidR="00F11E66" w:rsidRPr="00F11E66">
        <w:rPr>
          <w:szCs w:val="24"/>
        </w:rPr>
        <w:t xml:space="preserve">ir minējusi to, ka Inženieris starpmaksājuma apstiprinājumā nav iekļāvis ieturējuma naudas pirmās puses samaksu. </w:t>
      </w:r>
    </w:p>
    <w:p w:rsidR="000F6406" w:rsidRPr="00AB16F4" w:rsidRDefault="000F6406" w:rsidP="000F6406">
      <w:pPr>
        <w:tabs>
          <w:tab w:val="left" w:pos="720"/>
        </w:tabs>
        <w:spacing w:after="120"/>
        <w:rPr>
          <w:szCs w:val="24"/>
        </w:rPr>
      </w:pPr>
      <w:r>
        <w:rPr>
          <w:szCs w:val="24"/>
        </w:rPr>
        <w:t xml:space="preserve">Kultūras ministrija ir noraidījusi šo pretenziju kā nepamatotu. Saskaņā ar Līgumā noteikto samaksas </w:t>
      </w:r>
      <w:r w:rsidRPr="00AB16F4">
        <w:rPr>
          <w:szCs w:val="24"/>
        </w:rPr>
        <w:t>kārtību NBA pa</w:t>
      </w:r>
      <w:r>
        <w:rPr>
          <w:szCs w:val="24"/>
        </w:rPr>
        <w:t>šai jā</w:t>
      </w:r>
      <w:r w:rsidRPr="00AB16F4">
        <w:rPr>
          <w:szCs w:val="24"/>
        </w:rPr>
        <w:t>iekļauj attiecīgos izmaksu posteņus starpmaksājuma pieteikumā</w:t>
      </w:r>
      <w:r>
        <w:rPr>
          <w:szCs w:val="24"/>
        </w:rPr>
        <w:t xml:space="preserve">, kas netika izdarīts, pie tam vienlaicīgi NBA lūdza atlikt </w:t>
      </w:r>
      <w:r>
        <w:rPr>
          <w:rFonts w:cs="Times New Roman"/>
          <w:szCs w:val="24"/>
        </w:rPr>
        <w:t xml:space="preserve">ieturējuma naudas un atlikušā indeksācijas parāda iekļaušanu starpmaksājumā. 2015.gada 31.marta vēstulē NBA ir </w:t>
      </w:r>
      <w:r w:rsidRPr="001C231B">
        <w:rPr>
          <w:szCs w:val="24"/>
        </w:rPr>
        <w:t>apliecinājusi</w:t>
      </w:r>
      <w:r>
        <w:rPr>
          <w:szCs w:val="24"/>
        </w:rPr>
        <w:t>, ka</w:t>
      </w:r>
      <w:r w:rsidRPr="001C231B">
        <w:rPr>
          <w:szCs w:val="24"/>
        </w:rPr>
        <w:t xml:space="preserve"> ieturējuma </w:t>
      </w:r>
      <w:r>
        <w:rPr>
          <w:szCs w:val="24"/>
        </w:rPr>
        <w:t xml:space="preserve">naudas </w:t>
      </w:r>
      <w:r w:rsidRPr="001C231B">
        <w:rPr>
          <w:szCs w:val="24"/>
        </w:rPr>
        <w:t xml:space="preserve">pirmās puse </w:t>
      </w:r>
      <w:r>
        <w:rPr>
          <w:szCs w:val="24"/>
        </w:rPr>
        <w:t>ir</w:t>
      </w:r>
      <w:r w:rsidRPr="001C231B">
        <w:rPr>
          <w:szCs w:val="24"/>
        </w:rPr>
        <w:t xml:space="preserve"> iekļau</w:t>
      </w:r>
      <w:r>
        <w:rPr>
          <w:szCs w:val="24"/>
        </w:rPr>
        <w:t xml:space="preserve">ta </w:t>
      </w:r>
      <w:r w:rsidRPr="001C231B">
        <w:rPr>
          <w:szCs w:val="24"/>
        </w:rPr>
        <w:t>starpmaksājumā</w:t>
      </w:r>
      <w:r>
        <w:rPr>
          <w:szCs w:val="24"/>
        </w:rPr>
        <w:t xml:space="preserve">. Ievērojot iepriekšminēto, </w:t>
      </w:r>
      <w:r w:rsidRPr="00AB16F4">
        <w:rPr>
          <w:szCs w:val="24"/>
        </w:rPr>
        <w:t>kavējumi, uz kuriem</w:t>
      </w:r>
      <w:r>
        <w:rPr>
          <w:szCs w:val="24"/>
        </w:rPr>
        <w:t xml:space="preserve"> pretenzijā ir </w:t>
      </w:r>
      <w:r w:rsidRPr="00AB16F4">
        <w:rPr>
          <w:szCs w:val="24"/>
        </w:rPr>
        <w:t>norādī</w:t>
      </w:r>
      <w:r>
        <w:rPr>
          <w:szCs w:val="24"/>
        </w:rPr>
        <w:t xml:space="preserve">jusi NBA, </w:t>
      </w:r>
      <w:r w:rsidRPr="00AB16F4">
        <w:rPr>
          <w:szCs w:val="24"/>
        </w:rPr>
        <w:t xml:space="preserve">ir tikai un vienīgi NBA rīcības vai bezdarbības rezultāts. </w:t>
      </w:r>
    </w:p>
    <w:p w:rsidR="00A747B4" w:rsidRPr="000D478A" w:rsidRDefault="00A747B4" w:rsidP="00A747B4">
      <w:pPr>
        <w:tabs>
          <w:tab w:val="left" w:pos="720"/>
        </w:tabs>
        <w:spacing w:after="120"/>
        <w:rPr>
          <w:szCs w:val="24"/>
        </w:rPr>
      </w:pPr>
      <w:r>
        <w:rPr>
          <w:szCs w:val="24"/>
        </w:rPr>
        <w:t>J</w:t>
      </w:r>
      <w:r w:rsidRPr="00562D4D">
        <w:rPr>
          <w:szCs w:val="24"/>
        </w:rPr>
        <w:t xml:space="preserve">autājums par ieturējuma naudas pirmās puses izmaksu </w:t>
      </w:r>
      <w:r>
        <w:rPr>
          <w:szCs w:val="24"/>
        </w:rPr>
        <w:t xml:space="preserve">tika skatīts Uzraudzības padomes 2015.gada </w:t>
      </w:r>
      <w:r w:rsidRPr="00562D4D">
        <w:rPr>
          <w:szCs w:val="24"/>
        </w:rPr>
        <w:t>23.septembra sēdē</w:t>
      </w:r>
      <w:r>
        <w:rPr>
          <w:szCs w:val="24"/>
        </w:rPr>
        <w:t xml:space="preserve">. Uzraudzības padome secināja, ka esošajā situācijā indeksācijas aprēķinu strīds un ieturējuma naudas izmaksa ir jārisina atsevišķi, un </w:t>
      </w:r>
      <w:r w:rsidRPr="000D478A">
        <w:rPr>
          <w:szCs w:val="24"/>
        </w:rPr>
        <w:t>aicināj</w:t>
      </w:r>
      <w:r>
        <w:rPr>
          <w:szCs w:val="24"/>
        </w:rPr>
        <w:t xml:space="preserve">a </w:t>
      </w:r>
      <w:r w:rsidRPr="000D478A">
        <w:rPr>
          <w:szCs w:val="24"/>
        </w:rPr>
        <w:t>Kultūras ministriju savlaicīgi risināt jautājumu par ieturējuma naudas otrās daļas izmaksu un tiesvedības kārtībā risināt indeksācijas aprēķina strīdu</w:t>
      </w:r>
      <w:r>
        <w:rPr>
          <w:szCs w:val="24"/>
        </w:rPr>
        <w:t>.</w:t>
      </w:r>
    </w:p>
    <w:p w:rsidR="00D069A3" w:rsidRPr="003B2B52" w:rsidRDefault="000F6406" w:rsidP="00D069A3">
      <w:pPr>
        <w:spacing w:after="120"/>
        <w:rPr>
          <w:szCs w:val="24"/>
        </w:rPr>
      </w:pPr>
      <w:r>
        <w:rPr>
          <w:szCs w:val="24"/>
        </w:rPr>
        <w:t xml:space="preserve">Turpmākajā norēķinu strīda jautājumā </w:t>
      </w:r>
      <w:r w:rsidR="00C56B15">
        <w:rPr>
          <w:szCs w:val="24"/>
        </w:rPr>
        <w:t xml:space="preserve">Kultūras ministrija ir norādījusi, ka </w:t>
      </w:r>
      <w:r w:rsidRPr="005C37FD">
        <w:rPr>
          <w:szCs w:val="24"/>
        </w:rPr>
        <w:t xml:space="preserve">Uzraudzības padomes aicinājumu par ieturējumu un indeksācijas norēķiniem nav iespējams realizēt tādā veidā, kā to pasniedz </w:t>
      </w:r>
      <w:r>
        <w:rPr>
          <w:szCs w:val="24"/>
        </w:rPr>
        <w:t>NBA</w:t>
      </w:r>
      <w:r w:rsidRPr="005C37FD">
        <w:rPr>
          <w:szCs w:val="24"/>
        </w:rPr>
        <w:t>, t.i., vispirms veikt visu ieturējumu izmaksu, bet pēc tam tiesvedības kārtībā atprasīt indeksācijas parādu. Šie jautājumi nav risināmi atsevišķi, jo veido kopējo Līguma cenu.</w:t>
      </w:r>
      <w:r w:rsidR="00C56B15">
        <w:rPr>
          <w:szCs w:val="24"/>
        </w:rPr>
        <w:t xml:space="preserve"> </w:t>
      </w:r>
      <w:r w:rsidR="00D069A3" w:rsidRPr="005C37FD">
        <w:rPr>
          <w:szCs w:val="24"/>
        </w:rPr>
        <w:t xml:space="preserve">Uzraudzības padomes lēmums </w:t>
      </w:r>
      <w:r w:rsidR="009A604A">
        <w:rPr>
          <w:szCs w:val="24"/>
        </w:rPr>
        <w:t>var tikt</w:t>
      </w:r>
      <w:r w:rsidR="00D069A3" w:rsidRPr="005C37FD">
        <w:rPr>
          <w:szCs w:val="24"/>
        </w:rPr>
        <w:t xml:space="preserve"> pildīts, stingri ievērojot Līguma un Inženiera lēmumu nosacījumus.</w:t>
      </w:r>
      <w:r w:rsidR="00D069A3">
        <w:rPr>
          <w:szCs w:val="24"/>
        </w:rPr>
        <w:t xml:space="preserve"> </w:t>
      </w:r>
      <w:r w:rsidR="009A604A">
        <w:rPr>
          <w:szCs w:val="24"/>
        </w:rPr>
        <w:t>A</w:t>
      </w:r>
      <w:r w:rsidR="00D069A3" w:rsidRPr="005C37FD">
        <w:rPr>
          <w:szCs w:val="24"/>
        </w:rPr>
        <w:t>ttiecībā uz būvdarbu Līguma izpildi Uzraudzības padomes lēmum</w:t>
      </w:r>
      <w:r w:rsidR="00D069A3">
        <w:rPr>
          <w:szCs w:val="24"/>
        </w:rPr>
        <w:t xml:space="preserve">am ir rekomendējošs </w:t>
      </w:r>
      <w:r w:rsidR="00D069A3" w:rsidRPr="005C37FD">
        <w:rPr>
          <w:szCs w:val="24"/>
        </w:rPr>
        <w:t>s</w:t>
      </w:r>
      <w:r w:rsidR="00D069A3">
        <w:rPr>
          <w:szCs w:val="24"/>
        </w:rPr>
        <w:t xml:space="preserve">pēks. </w:t>
      </w:r>
      <w:r w:rsidR="00D069A3" w:rsidRPr="005C37FD">
        <w:rPr>
          <w:szCs w:val="24"/>
        </w:rPr>
        <w:t xml:space="preserve">Kultūras ministrija šos lēmumus var respektēt tiktāl, ciktāl tas nav pretrunā ar Līgumu. Uzraudzības padomes lēmumi nekādā </w:t>
      </w:r>
      <w:r w:rsidR="00D069A3" w:rsidRPr="003B2B52">
        <w:rPr>
          <w:szCs w:val="24"/>
        </w:rPr>
        <w:t xml:space="preserve">gadījumā nevar atcelt Līgumu un Inženiera lēmumus. </w:t>
      </w:r>
    </w:p>
    <w:p w:rsidR="005C37FD" w:rsidRPr="003B2B52" w:rsidRDefault="00E51E23" w:rsidP="005C37FD">
      <w:pPr>
        <w:spacing w:after="120"/>
        <w:rPr>
          <w:szCs w:val="24"/>
        </w:rPr>
      </w:pPr>
      <w:r w:rsidRPr="003B2B52">
        <w:rPr>
          <w:szCs w:val="24"/>
        </w:rPr>
        <w:t xml:space="preserve">Respektējot Uzraudzības padomes 2015.gada 23.septembra sēdes protokolu, Kultūras ministrija 2015.gada beigās izteica priekšlikumu </w:t>
      </w:r>
      <w:r w:rsidR="00910202" w:rsidRPr="003B2B52">
        <w:rPr>
          <w:szCs w:val="24"/>
        </w:rPr>
        <w:t xml:space="preserve">NBA </w:t>
      </w:r>
      <w:r w:rsidRPr="003B2B52">
        <w:rPr>
          <w:szCs w:val="24"/>
        </w:rPr>
        <w:t>izmaksāt atlikušo ieturējuma naudu ātrāk, negaidot pēdējā defektu paziņošanas termiņa beigas.</w:t>
      </w:r>
      <w:r w:rsidR="007D3E8D" w:rsidRPr="003B2B52">
        <w:rPr>
          <w:szCs w:val="24"/>
        </w:rPr>
        <w:t xml:space="preserve"> Lai gan Līguma noteikumi paredz, ka ieturējuma naudas otrās puses ir  jāapstiprina izmaksai pēc pēdējā defektu paziņošanas (būvdarbu garantijas) perioda beigu datuma (</w:t>
      </w:r>
      <w:r w:rsidR="00910202" w:rsidRPr="003B2B52">
        <w:rPr>
          <w:szCs w:val="24"/>
        </w:rPr>
        <w:t xml:space="preserve">t.i., </w:t>
      </w:r>
      <w:r w:rsidR="007D3E8D" w:rsidRPr="003B2B52">
        <w:rPr>
          <w:szCs w:val="24"/>
        </w:rPr>
        <w:t>2016.gada 30.septembra), tik</w:t>
      </w:r>
      <w:r w:rsidR="00910202" w:rsidRPr="003B2B52">
        <w:rPr>
          <w:szCs w:val="24"/>
        </w:rPr>
        <w:t>a</w:t>
      </w:r>
      <w:r w:rsidR="007D3E8D" w:rsidRPr="003B2B52">
        <w:rPr>
          <w:szCs w:val="24"/>
        </w:rPr>
        <w:t xml:space="preserve"> piedāvāts nekavējoties izmaksāt ieturējuma naudas un indeksācijas parāda savstarpējo bilanci 4 289 394 </w:t>
      </w:r>
      <w:proofErr w:type="spellStart"/>
      <w:r w:rsidR="007D3E8D" w:rsidRPr="003B2B52">
        <w:rPr>
          <w:i/>
          <w:szCs w:val="24"/>
        </w:rPr>
        <w:t>euro</w:t>
      </w:r>
      <w:proofErr w:type="spellEnd"/>
      <w:r w:rsidR="007D3E8D" w:rsidRPr="003B2B52">
        <w:rPr>
          <w:i/>
          <w:szCs w:val="24"/>
        </w:rPr>
        <w:t xml:space="preserve"> </w:t>
      </w:r>
      <w:r w:rsidR="007D3E8D" w:rsidRPr="003B2B52">
        <w:rPr>
          <w:szCs w:val="24"/>
        </w:rPr>
        <w:t xml:space="preserve">apmērā, kas ir visas ieturējumu naudas 9 625 902 </w:t>
      </w:r>
      <w:proofErr w:type="spellStart"/>
      <w:r w:rsidR="007D3E8D" w:rsidRPr="003B2B52">
        <w:rPr>
          <w:i/>
          <w:szCs w:val="24"/>
        </w:rPr>
        <w:t>euro</w:t>
      </w:r>
      <w:proofErr w:type="spellEnd"/>
      <w:r w:rsidR="007D3E8D" w:rsidRPr="003B2B52">
        <w:rPr>
          <w:i/>
          <w:szCs w:val="24"/>
        </w:rPr>
        <w:t xml:space="preserve"> </w:t>
      </w:r>
      <w:r w:rsidR="007D3E8D" w:rsidRPr="003B2B52">
        <w:rPr>
          <w:szCs w:val="24"/>
        </w:rPr>
        <w:t xml:space="preserve">un indeksācijas parāda 5 336 508 </w:t>
      </w:r>
      <w:proofErr w:type="spellStart"/>
      <w:r w:rsidR="007D3E8D" w:rsidRPr="003B2B52">
        <w:rPr>
          <w:i/>
          <w:szCs w:val="24"/>
        </w:rPr>
        <w:t>euro</w:t>
      </w:r>
      <w:proofErr w:type="spellEnd"/>
      <w:r w:rsidR="007D3E8D" w:rsidRPr="003B2B52">
        <w:rPr>
          <w:szCs w:val="24"/>
        </w:rPr>
        <w:t xml:space="preserve"> (ar PVN) </w:t>
      </w:r>
      <w:r w:rsidR="00910202" w:rsidRPr="003B2B52">
        <w:rPr>
          <w:szCs w:val="24"/>
        </w:rPr>
        <w:t>starpība.</w:t>
      </w:r>
      <w:r w:rsidR="007D3E8D" w:rsidRPr="003B2B52">
        <w:rPr>
          <w:szCs w:val="24"/>
        </w:rPr>
        <w:t xml:space="preserve">  </w:t>
      </w:r>
    </w:p>
    <w:p w:rsidR="00D5188C" w:rsidRPr="003B2B52" w:rsidRDefault="00F90DB8" w:rsidP="005C37FD">
      <w:pPr>
        <w:spacing w:after="120" w:line="276" w:lineRule="auto"/>
        <w:rPr>
          <w:szCs w:val="24"/>
        </w:rPr>
      </w:pPr>
      <w:r w:rsidRPr="003B2B52">
        <w:rPr>
          <w:szCs w:val="24"/>
        </w:rPr>
        <w:t>Uz šo piedāvājumu l</w:t>
      </w:r>
      <w:r w:rsidR="00455E75" w:rsidRPr="003B2B52">
        <w:rPr>
          <w:szCs w:val="24"/>
        </w:rPr>
        <w:t xml:space="preserve">īdz 2015.gada beigām NBA </w:t>
      </w:r>
      <w:r w:rsidRPr="003B2B52">
        <w:rPr>
          <w:szCs w:val="24"/>
        </w:rPr>
        <w:t xml:space="preserve">maksājuma </w:t>
      </w:r>
      <w:r w:rsidR="00910202" w:rsidRPr="003B2B52">
        <w:rPr>
          <w:szCs w:val="24"/>
        </w:rPr>
        <w:t xml:space="preserve">pieteikumu </w:t>
      </w:r>
      <w:r w:rsidRPr="003B2B52">
        <w:rPr>
          <w:szCs w:val="24"/>
        </w:rPr>
        <w:t>nei</w:t>
      </w:r>
      <w:r w:rsidR="00D64D98" w:rsidRPr="003B2B52">
        <w:rPr>
          <w:szCs w:val="24"/>
        </w:rPr>
        <w:t>esniedza</w:t>
      </w:r>
      <w:r w:rsidRPr="003B2B52">
        <w:rPr>
          <w:szCs w:val="24"/>
        </w:rPr>
        <w:t>.</w:t>
      </w:r>
    </w:p>
    <w:p w:rsidR="008A216E" w:rsidRDefault="008A216E" w:rsidP="00727A36">
      <w:pPr>
        <w:rPr>
          <w:u w:val="single"/>
        </w:rPr>
      </w:pPr>
    </w:p>
    <w:p w:rsidR="003B2B52" w:rsidRDefault="003B2B52" w:rsidP="003B2B52">
      <w:pPr>
        <w:ind w:firstLine="720"/>
        <w:rPr>
          <w:szCs w:val="24"/>
        </w:rPr>
      </w:pPr>
      <w:r w:rsidRPr="003B2B52">
        <w:rPr>
          <w:szCs w:val="24"/>
        </w:rPr>
        <w:t>Iesniedzējs:</w:t>
      </w:r>
    </w:p>
    <w:p w:rsidR="00580FAF" w:rsidRDefault="00580FAF" w:rsidP="003B2B52">
      <w:pPr>
        <w:ind w:firstLine="720"/>
        <w:rPr>
          <w:szCs w:val="24"/>
        </w:rPr>
      </w:pPr>
    </w:p>
    <w:p w:rsidR="00580FAF" w:rsidRPr="003B2B52" w:rsidRDefault="00580FAF" w:rsidP="00580FAF">
      <w:pPr>
        <w:rPr>
          <w:szCs w:val="24"/>
        </w:rPr>
      </w:pPr>
      <w:r w:rsidRPr="00580FAF">
        <w:t>Finanšu ministre</w:t>
      </w:r>
      <w:r>
        <w:tab/>
      </w:r>
      <w:r>
        <w:tab/>
      </w:r>
      <w:r>
        <w:tab/>
        <w:t xml:space="preserve"> </w:t>
      </w:r>
      <w:r>
        <w:tab/>
      </w:r>
      <w:r>
        <w:tab/>
      </w:r>
      <w:r>
        <w:tab/>
      </w:r>
      <w:r>
        <w:tab/>
      </w:r>
      <w:r w:rsidR="00421990">
        <w:t xml:space="preserve">         </w:t>
      </w:r>
      <w:proofErr w:type="spellStart"/>
      <w:r w:rsidRPr="00580FAF">
        <w:t>D.Reizniece</w:t>
      </w:r>
      <w:proofErr w:type="spellEnd"/>
      <w:r w:rsidRPr="00580FAF">
        <w:t xml:space="preserve"> - Ozola</w:t>
      </w:r>
    </w:p>
    <w:p w:rsidR="003B2B52" w:rsidRDefault="003B2B52" w:rsidP="003B2B52">
      <w:pPr>
        <w:ind w:firstLine="720"/>
        <w:rPr>
          <w:szCs w:val="24"/>
        </w:rPr>
      </w:pPr>
    </w:p>
    <w:p w:rsidR="00580FAF" w:rsidRDefault="00580FAF" w:rsidP="003B2B52">
      <w:pPr>
        <w:ind w:firstLine="720"/>
        <w:rPr>
          <w:szCs w:val="24"/>
        </w:rPr>
      </w:pPr>
    </w:p>
    <w:p w:rsidR="00580FAF" w:rsidRPr="003B2B52" w:rsidRDefault="00580FAF" w:rsidP="003B2B52">
      <w:pPr>
        <w:ind w:firstLine="720"/>
        <w:rPr>
          <w:szCs w:val="24"/>
        </w:rPr>
      </w:pPr>
    </w:p>
    <w:p w:rsidR="00557B8B" w:rsidRPr="009A6D1E" w:rsidRDefault="007D6CA3" w:rsidP="00557B8B">
      <w:pPr>
        <w:contextualSpacing/>
        <w:jc w:val="left"/>
        <w:rPr>
          <w:rFonts w:eastAsia="Calibri"/>
          <w:sz w:val="20"/>
        </w:rPr>
      </w:pPr>
      <w:r>
        <w:rPr>
          <w:rFonts w:eastAsia="Calibri"/>
          <w:sz w:val="20"/>
        </w:rPr>
        <w:t>1307.2016 13:23</w:t>
      </w:r>
      <w:bookmarkStart w:id="4" w:name="_GoBack"/>
      <w:bookmarkEnd w:id="4"/>
    </w:p>
    <w:p w:rsidR="00557B8B" w:rsidRPr="009A6D1E" w:rsidRDefault="00557B8B" w:rsidP="00557B8B">
      <w:pPr>
        <w:contextualSpacing/>
        <w:jc w:val="left"/>
        <w:rPr>
          <w:rFonts w:eastAsia="Calibri"/>
          <w:sz w:val="20"/>
        </w:rPr>
      </w:pPr>
      <w:r w:rsidRPr="009A6D1E">
        <w:rPr>
          <w:rFonts w:eastAsia="Calibri"/>
          <w:sz w:val="20"/>
        </w:rPr>
        <w:fldChar w:fldCharType="begin"/>
      </w:r>
      <w:r w:rsidRPr="009A6D1E">
        <w:rPr>
          <w:rFonts w:eastAsia="Calibri"/>
          <w:sz w:val="20"/>
        </w:rPr>
        <w:instrText xml:space="preserve"> NUMWORDS  \# "0"  \* MERGEFORMAT </w:instrText>
      </w:r>
      <w:r w:rsidRPr="009A6D1E">
        <w:rPr>
          <w:rFonts w:eastAsia="Calibri"/>
          <w:sz w:val="20"/>
        </w:rPr>
        <w:fldChar w:fldCharType="separate"/>
      </w:r>
      <w:r w:rsidR="005B7041">
        <w:rPr>
          <w:rFonts w:eastAsia="Calibri"/>
          <w:noProof/>
          <w:sz w:val="20"/>
        </w:rPr>
        <w:t>2793</w:t>
      </w:r>
      <w:r w:rsidRPr="009A6D1E">
        <w:rPr>
          <w:rFonts w:eastAsia="Calibri"/>
          <w:sz w:val="20"/>
        </w:rPr>
        <w:fldChar w:fldCharType="end"/>
      </w:r>
    </w:p>
    <w:p w:rsidR="00557B8B" w:rsidRPr="00CC57C6" w:rsidRDefault="00557B8B" w:rsidP="00557B8B">
      <w:pPr>
        <w:rPr>
          <w:sz w:val="20"/>
        </w:rPr>
      </w:pPr>
      <w:proofErr w:type="spellStart"/>
      <w:r>
        <w:rPr>
          <w:sz w:val="20"/>
        </w:rPr>
        <w:t>L.Kiseļova</w:t>
      </w:r>
      <w:proofErr w:type="spellEnd"/>
    </w:p>
    <w:p w:rsidR="00557B8B" w:rsidRPr="00CC57C6" w:rsidRDefault="00557B8B" w:rsidP="00557B8B">
      <w:pPr>
        <w:rPr>
          <w:sz w:val="20"/>
        </w:rPr>
      </w:pPr>
      <w:r>
        <w:rPr>
          <w:sz w:val="20"/>
        </w:rPr>
        <w:t>Budžeta departamenta</w:t>
      </w:r>
    </w:p>
    <w:p w:rsidR="00557B8B" w:rsidRPr="00CC57C6" w:rsidRDefault="00557B8B" w:rsidP="00557B8B">
      <w:pPr>
        <w:rPr>
          <w:sz w:val="20"/>
        </w:rPr>
      </w:pPr>
      <w:r w:rsidRPr="00CC57C6">
        <w:rPr>
          <w:sz w:val="20"/>
        </w:rPr>
        <w:t>Izglītības, zinātnes, kultūras un sporta finansēšanas nodaļa</w:t>
      </w:r>
      <w:r>
        <w:rPr>
          <w:sz w:val="20"/>
        </w:rPr>
        <w:t>s</w:t>
      </w:r>
    </w:p>
    <w:p w:rsidR="00557B8B" w:rsidRPr="00CC57C6" w:rsidRDefault="00557B8B" w:rsidP="00557B8B">
      <w:pPr>
        <w:rPr>
          <w:sz w:val="20"/>
        </w:rPr>
      </w:pPr>
      <w:r>
        <w:rPr>
          <w:sz w:val="20"/>
        </w:rPr>
        <w:t>v</w:t>
      </w:r>
      <w:r w:rsidRPr="00CC57C6">
        <w:rPr>
          <w:sz w:val="20"/>
        </w:rPr>
        <w:t>ecākā referente</w:t>
      </w:r>
    </w:p>
    <w:p w:rsidR="00D27CF3" w:rsidRPr="00CC7829" w:rsidRDefault="00557B8B" w:rsidP="00CC7829">
      <w:pPr>
        <w:rPr>
          <w:sz w:val="20"/>
        </w:rPr>
      </w:pPr>
      <w:r>
        <w:rPr>
          <w:sz w:val="20"/>
        </w:rPr>
        <w:t>67095448, Laura.Kiselova</w:t>
      </w:r>
      <w:r w:rsidRPr="00CC57C6">
        <w:rPr>
          <w:sz w:val="20"/>
        </w:rPr>
        <w:t>@fm.gov.lv</w:t>
      </w:r>
    </w:p>
    <w:sectPr w:rsidR="00D27CF3" w:rsidRPr="00CC7829" w:rsidSect="00E3798F">
      <w:headerReference w:type="default" r:id="rId10"/>
      <w:footerReference w:type="even" r:id="rId11"/>
      <w:footerReference w:type="default" r:id="rId12"/>
      <w:pgSz w:w="11906" w:h="16838"/>
      <w:pgMar w:top="1304" w:right="1134" w:bottom="1077"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88" w:rsidRDefault="00160788" w:rsidP="005A1690">
      <w:r>
        <w:separator/>
      </w:r>
    </w:p>
  </w:endnote>
  <w:endnote w:type="continuationSeparator" w:id="0">
    <w:p w:rsidR="00160788" w:rsidRDefault="00160788" w:rsidP="005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C" w:rsidRDefault="00980C5B" w:rsidP="005A1690">
    <w:pPr>
      <w:pStyle w:val="Footer"/>
      <w:framePr w:wrap="around" w:vAnchor="text" w:hAnchor="margin" w:xAlign="center" w:y="1"/>
      <w:rPr>
        <w:rStyle w:val="PageNumber"/>
      </w:rPr>
    </w:pPr>
    <w:r>
      <w:rPr>
        <w:rStyle w:val="PageNumber"/>
      </w:rPr>
      <w:fldChar w:fldCharType="begin"/>
    </w:r>
    <w:r w:rsidR="00A20BEC">
      <w:rPr>
        <w:rStyle w:val="PageNumber"/>
      </w:rPr>
      <w:instrText xml:space="preserve">PAGE  </w:instrText>
    </w:r>
    <w:r>
      <w:rPr>
        <w:rStyle w:val="PageNumber"/>
      </w:rPr>
      <w:fldChar w:fldCharType="end"/>
    </w:r>
  </w:p>
  <w:p w:rsidR="00A20BEC" w:rsidRDefault="00A20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C" w:rsidRPr="009E5249" w:rsidRDefault="00A20BEC" w:rsidP="005A1690">
    <w:pPr>
      <w:pStyle w:val="Footer"/>
      <w:framePr w:wrap="around" w:vAnchor="text" w:hAnchor="margin" w:xAlign="center" w:y="1"/>
      <w:rPr>
        <w:rStyle w:val="PageNumber"/>
      </w:rPr>
    </w:pPr>
  </w:p>
  <w:p w:rsidR="00A20BEC" w:rsidRPr="00141045" w:rsidRDefault="00A20BEC" w:rsidP="0084186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88" w:rsidRDefault="00160788" w:rsidP="005A1690">
      <w:r>
        <w:separator/>
      </w:r>
    </w:p>
  </w:footnote>
  <w:footnote w:type="continuationSeparator" w:id="0">
    <w:p w:rsidR="00160788" w:rsidRDefault="00160788" w:rsidP="005A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C" w:rsidRDefault="00A20BEC">
    <w:pPr>
      <w:pStyle w:val="Header"/>
      <w:jc w:val="center"/>
    </w:pPr>
  </w:p>
  <w:p w:rsidR="00A20BEC" w:rsidRDefault="00A20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808"/>
    <w:multiLevelType w:val="hybridMultilevel"/>
    <w:tmpl w:val="89C4B364"/>
    <w:lvl w:ilvl="0" w:tplc="5D062E2E">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BC92E46"/>
    <w:multiLevelType w:val="hybridMultilevel"/>
    <w:tmpl w:val="9378DB1A"/>
    <w:lvl w:ilvl="0" w:tplc="B308D6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6F0CB2"/>
    <w:multiLevelType w:val="hybridMultilevel"/>
    <w:tmpl w:val="7D7EC272"/>
    <w:lvl w:ilvl="0" w:tplc="5D062E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EA16E0"/>
    <w:multiLevelType w:val="hybridMultilevel"/>
    <w:tmpl w:val="5E72C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466374"/>
    <w:multiLevelType w:val="hybridMultilevel"/>
    <w:tmpl w:val="58286688"/>
    <w:lvl w:ilvl="0" w:tplc="5D062E2E">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6ED410BB"/>
    <w:multiLevelType w:val="hybridMultilevel"/>
    <w:tmpl w:val="0720A22C"/>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A36"/>
    <w:rsid w:val="000003B5"/>
    <w:rsid w:val="000004C1"/>
    <w:rsid w:val="000022DF"/>
    <w:rsid w:val="00011170"/>
    <w:rsid w:val="000123DB"/>
    <w:rsid w:val="00013FD2"/>
    <w:rsid w:val="00044D30"/>
    <w:rsid w:val="00046269"/>
    <w:rsid w:val="00050EB8"/>
    <w:rsid w:val="0005302B"/>
    <w:rsid w:val="00057ECD"/>
    <w:rsid w:val="00063B2C"/>
    <w:rsid w:val="0006488E"/>
    <w:rsid w:val="00065BEA"/>
    <w:rsid w:val="0007333A"/>
    <w:rsid w:val="000765CA"/>
    <w:rsid w:val="00082603"/>
    <w:rsid w:val="00082A29"/>
    <w:rsid w:val="00083FD3"/>
    <w:rsid w:val="00086589"/>
    <w:rsid w:val="00091842"/>
    <w:rsid w:val="00096AE6"/>
    <w:rsid w:val="000A2174"/>
    <w:rsid w:val="000A7934"/>
    <w:rsid w:val="000B1AAA"/>
    <w:rsid w:val="000B70C1"/>
    <w:rsid w:val="000D0B5F"/>
    <w:rsid w:val="000D3868"/>
    <w:rsid w:val="000D478A"/>
    <w:rsid w:val="000E26E1"/>
    <w:rsid w:val="000E55B4"/>
    <w:rsid w:val="000F53E5"/>
    <w:rsid w:val="000F5615"/>
    <w:rsid w:val="000F6406"/>
    <w:rsid w:val="0010292D"/>
    <w:rsid w:val="00105246"/>
    <w:rsid w:val="00105B7E"/>
    <w:rsid w:val="001101F0"/>
    <w:rsid w:val="00111596"/>
    <w:rsid w:val="001170CB"/>
    <w:rsid w:val="00117FB4"/>
    <w:rsid w:val="001200AA"/>
    <w:rsid w:val="0012634E"/>
    <w:rsid w:val="00132850"/>
    <w:rsid w:val="001410A4"/>
    <w:rsid w:val="00142332"/>
    <w:rsid w:val="00143A99"/>
    <w:rsid w:val="00143BBF"/>
    <w:rsid w:val="00147739"/>
    <w:rsid w:val="00153672"/>
    <w:rsid w:val="00160788"/>
    <w:rsid w:val="00163688"/>
    <w:rsid w:val="00165BDA"/>
    <w:rsid w:val="00167A1D"/>
    <w:rsid w:val="00167D87"/>
    <w:rsid w:val="00174AFE"/>
    <w:rsid w:val="00174DD5"/>
    <w:rsid w:val="001759AE"/>
    <w:rsid w:val="00180A75"/>
    <w:rsid w:val="00183EBF"/>
    <w:rsid w:val="00191520"/>
    <w:rsid w:val="001916B7"/>
    <w:rsid w:val="00191AE4"/>
    <w:rsid w:val="0019260C"/>
    <w:rsid w:val="00193251"/>
    <w:rsid w:val="001A02B0"/>
    <w:rsid w:val="001A131A"/>
    <w:rsid w:val="001A19C1"/>
    <w:rsid w:val="001A5773"/>
    <w:rsid w:val="001C231B"/>
    <w:rsid w:val="001C4BF6"/>
    <w:rsid w:val="001C5800"/>
    <w:rsid w:val="001D7D5F"/>
    <w:rsid w:val="001F3DE0"/>
    <w:rsid w:val="001F57BF"/>
    <w:rsid w:val="00200F35"/>
    <w:rsid w:val="00201959"/>
    <w:rsid w:val="002044BC"/>
    <w:rsid w:val="002074AD"/>
    <w:rsid w:val="002126C0"/>
    <w:rsid w:val="00217A09"/>
    <w:rsid w:val="00221066"/>
    <w:rsid w:val="0022301A"/>
    <w:rsid w:val="00231956"/>
    <w:rsid w:val="0023492C"/>
    <w:rsid w:val="00237D37"/>
    <w:rsid w:val="00254B38"/>
    <w:rsid w:val="00256C30"/>
    <w:rsid w:val="00266F98"/>
    <w:rsid w:val="0027200C"/>
    <w:rsid w:val="002732CD"/>
    <w:rsid w:val="00273D26"/>
    <w:rsid w:val="00281E33"/>
    <w:rsid w:val="002A0094"/>
    <w:rsid w:val="002A2E04"/>
    <w:rsid w:val="002A519F"/>
    <w:rsid w:val="002A6009"/>
    <w:rsid w:val="002B3D32"/>
    <w:rsid w:val="002B4A5D"/>
    <w:rsid w:val="002D0B4B"/>
    <w:rsid w:val="002D7AC2"/>
    <w:rsid w:val="002E0E84"/>
    <w:rsid w:val="002E1A27"/>
    <w:rsid w:val="002E1F21"/>
    <w:rsid w:val="002E3962"/>
    <w:rsid w:val="00304139"/>
    <w:rsid w:val="00312E12"/>
    <w:rsid w:val="00314EDE"/>
    <w:rsid w:val="0031762C"/>
    <w:rsid w:val="00317890"/>
    <w:rsid w:val="00317A7B"/>
    <w:rsid w:val="003218AA"/>
    <w:rsid w:val="00321DD6"/>
    <w:rsid w:val="00324E1B"/>
    <w:rsid w:val="00324E71"/>
    <w:rsid w:val="0033531D"/>
    <w:rsid w:val="003445E0"/>
    <w:rsid w:val="003463F6"/>
    <w:rsid w:val="00374B4C"/>
    <w:rsid w:val="0037690D"/>
    <w:rsid w:val="00377792"/>
    <w:rsid w:val="00384F86"/>
    <w:rsid w:val="00390713"/>
    <w:rsid w:val="00391C66"/>
    <w:rsid w:val="00395267"/>
    <w:rsid w:val="003A1D40"/>
    <w:rsid w:val="003A3785"/>
    <w:rsid w:val="003B1352"/>
    <w:rsid w:val="003B2B52"/>
    <w:rsid w:val="003B5232"/>
    <w:rsid w:val="003C0A2B"/>
    <w:rsid w:val="003C26BF"/>
    <w:rsid w:val="003D6B07"/>
    <w:rsid w:val="003D7B0C"/>
    <w:rsid w:val="003E36CF"/>
    <w:rsid w:val="0040008E"/>
    <w:rsid w:val="0040262D"/>
    <w:rsid w:val="004028A7"/>
    <w:rsid w:val="004159AA"/>
    <w:rsid w:val="0041693B"/>
    <w:rsid w:val="00421990"/>
    <w:rsid w:val="004254EB"/>
    <w:rsid w:val="00437727"/>
    <w:rsid w:val="004413D6"/>
    <w:rsid w:val="004478C5"/>
    <w:rsid w:val="00455E75"/>
    <w:rsid w:val="00463537"/>
    <w:rsid w:val="004805F1"/>
    <w:rsid w:val="00482701"/>
    <w:rsid w:val="00491A94"/>
    <w:rsid w:val="0049327A"/>
    <w:rsid w:val="004A3396"/>
    <w:rsid w:val="004B30AD"/>
    <w:rsid w:val="004E0803"/>
    <w:rsid w:val="004E3D39"/>
    <w:rsid w:val="004F4414"/>
    <w:rsid w:val="004F450B"/>
    <w:rsid w:val="00511110"/>
    <w:rsid w:val="00515954"/>
    <w:rsid w:val="005229CE"/>
    <w:rsid w:val="00522FDE"/>
    <w:rsid w:val="00534A1E"/>
    <w:rsid w:val="0053568F"/>
    <w:rsid w:val="005412F7"/>
    <w:rsid w:val="00543B34"/>
    <w:rsid w:val="00557B8B"/>
    <w:rsid w:val="00557FC4"/>
    <w:rsid w:val="005605B0"/>
    <w:rsid w:val="00562D4D"/>
    <w:rsid w:val="00563FC9"/>
    <w:rsid w:val="0056472E"/>
    <w:rsid w:val="00576A19"/>
    <w:rsid w:val="00580FAF"/>
    <w:rsid w:val="005968D8"/>
    <w:rsid w:val="00597D15"/>
    <w:rsid w:val="00597E84"/>
    <w:rsid w:val="005A1690"/>
    <w:rsid w:val="005A317B"/>
    <w:rsid w:val="005A341E"/>
    <w:rsid w:val="005A6BC7"/>
    <w:rsid w:val="005B03B4"/>
    <w:rsid w:val="005B5880"/>
    <w:rsid w:val="005B7041"/>
    <w:rsid w:val="005C253E"/>
    <w:rsid w:val="005C37FD"/>
    <w:rsid w:val="005C5C71"/>
    <w:rsid w:val="005D3F20"/>
    <w:rsid w:val="005D64AA"/>
    <w:rsid w:val="005E772F"/>
    <w:rsid w:val="005F0A1C"/>
    <w:rsid w:val="005F26C4"/>
    <w:rsid w:val="005F484A"/>
    <w:rsid w:val="005F486C"/>
    <w:rsid w:val="00601152"/>
    <w:rsid w:val="0060706A"/>
    <w:rsid w:val="00610F5A"/>
    <w:rsid w:val="00613F3C"/>
    <w:rsid w:val="0061777B"/>
    <w:rsid w:val="006178F1"/>
    <w:rsid w:val="006264AF"/>
    <w:rsid w:val="00630805"/>
    <w:rsid w:val="00636344"/>
    <w:rsid w:val="00643641"/>
    <w:rsid w:val="00656DF4"/>
    <w:rsid w:val="006617EE"/>
    <w:rsid w:val="00667B5A"/>
    <w:rsid w:val="006704A5"/>
    <w:rsid w:val="00672D66"/>
    <w:rsid w:val="00674926"/>
    <w:rsid w:val="00683835"/>
    <w:rsid w:val="00686344"/>
    <w:rsid w:val="006A10E9"/>
    <w:rsid w:val="006A72E6"/>
    <w:rsid w:val="006B1CA6"/>
    <w:rsid w:val="006B2CB2"/>
    <w:rsid w:val="006D3EE1"/>
    <w:rsid w:val="006D66AC"/>
    <w:rsid w:val="006D7C67"/>
    <w:rsid w:val="006E04B3"/>
    <w:rsid w:val="006F2559"/>
    <w:rsid w:val="006F5F59"/>
    <w:rsid w:val="00700681"/>
    <w:rsid w:val="0070221C"/>
    <w:rsid w:val="00702C6F"/>
    <w:rsid w:val="0071042D"/>
    <w:rsid w:val="00715ABB"/>
    <w:rsid w:val="00717303"/>
    <w:rsid w:val="00721116"/>
    <w:rsid w:val="00727A36"/>
    <w:rsid w:val="007405A6"/>
    <w:rsid w:val="00742E1C"/>
    <w:rsid w:val="0074339B"/>
    <w:rsid w:val="0075128A"/>
    <w:rsid w:val="00755CE5"/>
    <w:rsid w:val="0075721F"/>
    <w:rsid w:val="00760209"/>
    <w:rsid w:val="00761318"/>
    <w:rsid w:val="00763017"/>
    <w:rsid w:val="007630A4"/>
    <w:rsid w:val="00772259"/>
    <w:rsid w:val="007736CA"/>
    <w:rsid w:val="007741A1"/>
    <w:rsid w:val="0077490E"/>
    <w:rsid w:val="00777C09"/>
    <w:rsid w:val="00787522"/>
    <w:rsid w:val="00794DF4"/>
    <w:rsid w:val="00796D0A"/>
    <w:rsid w:val="007A2DB1"/>
    <w:rsid w:val="007A5E05"/>
    <w:rsid w:val="007B1954"/>
    <w:rsid w:val="007B19FA"/>
    <w:rsid w:val="007B23ED"/>
    <w:rsid w:val="007B7B04"/>
    <w:rsid w:val="007C197B"/>
    <w:rsid w:val="007D3E8D"/>
    <w:rsid w:val="007D6C9D"/>
    <w:rsid w:val="007D6CA3"/>
    <w:rsid w:val="007D7088"/>
    <w:rsid w:val="007E09DC"/>
    <w:rsid w:val="007E1122"/>
    <w:rsid w:val="007E569F"/>
    <w:rsid w:val="007F00C4"/>
    <w:rsid w:val="007F1C8D"/>
    <w:rsid w:val="008218B0"/>
    <w:rsid w:val="00821FCB"/>
    <w:rsid w:val="00824BF2"/>
    <w:rsid w:val="00841861"/>
    <w:rsid w:val="008530F7"/>
    <w:rsid w:val="00862141"/>
    <w:rsid w:val="00863018"/>
    <w:rsid w:val="00866D17"/>
    <w:rsid w:val="008801A3"/>
    <w:rsid w:val="008803C5"/>
    <w:rsid w:val="00880607"/>
    <w:rsid w:val="008825A4"/>
    <w:rsid w:val="008830F0"/>
    <w:rsid w:val="00883A14"/>
    <w:rsid w:val="00894563"/>
    <w:rsid w:val="008A216E"/>
    <w:rsid w:val="008A4014"/>
    <w:rsid w:val="008B2A29"/>
    <w:rsid w:val="008B3441"/>
    <w:rsid w:val="008B540D"/>
    <w:rsid w:val="008B7D5A"/>
    <w:rsid w:val="008C0BED"/>
    <w:rsid w:val="008C17D9"/>
    <w:rsid w:val="008C78AB"/>
    <w:rsid w:val="008D3522"/>
    <w:rsid w:val="008D6168"/>
    <w:rsid w:val="008D66ED"/>
    <w:rsid w:val="008E2080"/>
    <w:rsid w:val="008F2409"/>
    <w:rsid w:val="00901660"/>
    <w:rsid w:val="00907B38"/>
    <w:rsid w:val="00910202"/>
    <w:rsid w:val="00910C63"/>
    <w:rsid w:val="00911E46"/>
    <w:rsid w:val="009134FD"/>
    <w:rsid w:val="009320E4"/>
    <w:rsid w:val="00932334"/>
    <w:rsid w:val="00932D0D"/>
    <w:rsid w:val="00947060"/>
    <w:rsid w:val="0095305F"/>
    <w:rsid w:val="00954EF3"/>
    <w:rsid w:val="00960439"/>
    <w:rsid w:val="0096322F"/>
    <w:rsid w:val="00965127"/>
    <w:rsid w:val="00966BDD"/>
    <w:rsid w:val="00972062"/>
    <w:rsid w:val="00975964"/>
    <w:rsid w:val="00976B73"/>
    <w:rsid w:val="00980C5B"/>
    <w:rsid w:val="00981191"/>
    <w:rsid w:val="00985E6B"/>
    <w:rsid w:val="00987E7B"/>
    <w:rsid w:val="009950AB"/>
    <w:rsid w:val="009A588C"/>
    <w:rsid w:val="009A604A"/>
    <w:rsid w:val="009B0475"/>
    <w:rsid w:val="009B06A3"/>
    <w:rsid w:val="009B72B6"/>
    <w:rsid w:val="009C0BD7"/>
    <w:rsid w:val="009E5A90"/>
    <w:rsid w:val="009F1B1B"/>
    <w:rsid w:val="009F6800"/>
    <w:rsid w:val="00A05F4A"/>
    <w:rsid w:val="00A079C9"/>
    <w:rsid w:val="00A12D09"/>
    <w:rsid w:val="00A175CB"/>
    <w:rsid w:val="00A20BEC"/>
    <w:rsid w:val="00A22528"/>
    <w:rsid w:val="00A23C0A"/>
    <w:rsid w:val="00A3703D"/>
    <w:rsid w:val="00A4727C"/>
    <w:rsid w:val="00A53975"/>
    <w:rsid w:val="00A602CD"/>
    <w:rsid w:val="00A6175F"/>
    <w:rsid w:val="00A62C67"/>
    <w:rsid w:val="00A747B4"/>
    <w:rsid w:val="00A75546"/>
    <w:rsid w:val="00A769A6"/>
    <w:rsid w:val="00A77FA5"/>
    <w:rsid w:val="00A86879"/>
    <w:rsid w:val="00A9403D"/>
    <w:rsid w:val="00A947C1"/>
    <w:rsid w:val="00A95516"/>
    <w:rsid w:val="00AB16F4"/>
    <w:rsid w:val="00AC296D"/>
    <w:rsid w:val="00AC5102"/>
    <w:rsid w:val="00AC6CDB"/>
    <w:rsid w:val="00AD1F1D"/>
    <w:rsid w:val="00AD242E"/>
    <w:rsid w:val="00AE5F1B"/>
    <w:rsid w:val="00AF12B7"/>
    <w:rsid w:val="00B06E79"/>
    <w:rsid w:val="00B11B00"/>
    <w:rsid w:val="00B1483F"/>
    <w:rsid w:val="00B316CE"/>
    <w:rsid w:val="00B31841"/>
    <w:rsid w:val="00B36E70"/>
    <w:rsid w:val="00B44FD6"/>
    <w:rsid w:val="00B472C3"/>
    <w:rsid w:val="00B51FE4"/>
    <w:rsid w:val="00B602C6"/>
    <w:rsid w:val="00B64C23"/>
    <w:rsid w:val="00B65D4E"/>
    <w:rsid w:val="00B664ED"/>
    <w:rsid w:val="00B72170"/>
    <w:rsid w:val="00B740EB"/>
    <w:rsid w:val="00B81FE7"/>
    <w:rsid w:val="00B8222B"/>
    <w:rsid w:val="00B8301C"/>
    <w:rsid w:val="00B9663C"/>
    <w:rsid w:val="00BA3CE9"/>
    <w:rsid w:val="00BB517B"/>
    <w:rsid w:val="00BB6654"/>
    <w:rsid w:val="00BB7119"/>
    <w:rsid w:val="00BD03A6"/>
    <w:rsid w:val="00BD35D1"/>
    <w:rsid w:val="00BE5537"/>
    <w:rsid w:val="00BF18D6"/>
    <w:rsid w:val="00BF19AD"/>
    <w:rsid w:val="00BF2D59"/>
    <w:rsid w:val="00BF5CCC"/>
    <w:rsid w:val="00C002CC"/>
    <w:rsid w:val="00C00420"/>
    <w:rsid w:val="00C12E4D"/>
    <w:rsid w:val="00C177CB"/>
    <w:rsid w:val="00C20939"/>
    <w:rsid w:val="00C2207B"/>
    <w:rsid w:val="00C24959"/>
    <w:rsid w:val="00C334D2"/>
    <w:rsid w:val="00C35D66"/>
    <w:rsid w:val="00C43A9E"/>
    <w:rsid w:val="00C56B15"/>
    <w:rsid w:val="00C62438"/>
    <w:rsid w:val="00C67D21"/>
    <w:rsid w:val="00C71695"/>
    <w:rsid w:val="00C72B2F"/>
    <w:rsid w:val="00C812B5"/>
    <w:rsid w:val="00C82C39"/>
    <w:rsid w:val="00C909BE"/>
    <w:rsid w:val="00C91F8A"/>
    <w:rsid w:val="00C92D77"/>
    <w:rsid w:val="00C970E4"/>
    <w:rsid w:val="00CA17B4"/>
    <w:rsid w:val="00CA3536"/>
    <w:rsid w:val="00CC7829"/>
    <w:rsid w:val="00CF323B"/>
    <w:rsid w:val="00CF426E"/>
    <w:rsid w:val="00CF567E"/>
    <w:rsid w:val="00CF5ACB"/>
    <w:rsid w:val="00CF613F"/>
    <w:rsid w:val="00D02B14"/>
    <w:rsid w:val="00D069A3"/>
    <w:rsid w:val="00D14EF6"/>
    <w:rsid w:val="00D2438B"/>
    <w:rsid w:val="00D27CF3"/>
    <w:rsid w:val="00D30655"/>
    <w:rsid w:val="00D34522"/>
    <w:rsid w:val="00D413B2"/>
    <w:rsid w:val="00D42F00"/>
    <w:rsid w:val="00D4573A"/>
    <w:rsid w:val="00D5188C"/>
    <w:rsid w:val="00D64D98"/>
    <w:rsid w:val="00D71FC2"/>
    <w:rsid w:val="00D728DD"/>
    <w:rsid w:val="00D80608"/>
    <w:rsid w:val="00D84C3D"/>
    <w:rsid w:val="00D93782"/>
    <w:rsid w:val="00DA4615"/>
    <w:rsid w:val="00DA79C5"/>
    <w:rsid w:val="00DB0950"/>
    <w:rsid w:val="00DB0B92"/>
    <w:rsid w:val="00DB6633"/>
    <w:rsid w:val="00DE42DD"/>
    <w:rsid w:val="00DF0F83"/>
    <w:rsid w:val="00DF4141"/>
    <w:rsid w:val="00DF5B67"/>
    <w:rsid w:val="00E00D3F"/>
    <w:rsid w:val="00E01D36"/>
    <w:rsid w:val="00E045CD"/>
    <w:rsid w:val="00E06728"/>
    <w:rsid w:val="00E10885"/>
    <w:rsid w:val="00E21738"/>
    <w:rsid w:val="00E27300"/>
    <w:rsid w:val="00E3798F"/>
    <w:rsid w:val="00E4606E"/>
    <w:rsid w:val="00E51E23"/>
    <w:rsid w:val="00E64DD9"/>
    <w:rsid w:val="00E71D25"/>
    <w:rsid w:val="00E73597"/>
    <w:rsid w:val="00E80E2E"/>
    <w:rsid w:val="00E82544"/>
    <w:rsid w:val="00E856FB"/>
    <w:rsid w:val="00E94C4E"/>
    <w:rsid w:val="00EA6593"/>
    <w:rsid w:val="00EB6108"/>
    <w:rsid w:val="00EB711A"/>
    <w:rsid w:val="00EC1AE0"/>
    <w:rsid w:val="00EC2DE6"/>
    <w:rsid w:val="00EC504C"/>
    <w:rsid w:val="00EC7C34"/>
    <w:rsid w:val="00EC7F3A"/>
    <w:rsid w:val="00ED0637"/>
    <w:rsid w:val="00ED0D72"/>
    <w:rsid w:val="00EE1121"/>
    <w:rsid w:val="00EF4053"/>
    <w:rsid w:val="00F0328E"/>
    <w:rsid w:val="00F05EC7"/>
    <w:rsid w:val="00F10A89"/>
    <w:rsid w:val="00F11E66"/>
    <w:rsid w:val="00F13853"/>
    <w:rsid w:val="00F1560D"/>
    <w:rsid w:val="00F15CC2"/>
    <w:rsid w:val="00F1642C"/>
    <w:rsid w:val="00F26303"/>
    <w:rsid w:val="00F26B9E"/>
    <w:rsid w:val="00F302A3"/>
    <w:rsid w:val="00F40A66"/>
    <w:rsid w:val="00F50029"/>
    <w:rsid w:val="00F503D7"/>
    <w:rsid w:val="00F5188A"/>
    <w:rsid w:val="00F56425"/>
    <w:rsid w:val="00F57A2C"/>
    <w:rsid w:val="00F64F1B"/>
    <w:rsid w:val="00F70085"/>
    <w:rsid w:val="00F76AAC"/>
    <w:rsid w:val="00F805C2"/>
    <w:rsid w:val="00F90DB8"/>
    <w:rsid w:val="00F93179"/>
    <w:rsid w:val="00FA5740"/>
    <w:rsid w:val="00FA62F6"/>
    <w:rsid w:val="00FB4F6B"/>
    <w:rsid w:val="00FC12D7"/>
    <w:rsid w:val="00FC1C3D"/>
    <w:rsid w:val="00FC265F"/>
    <w:rsid w:val="00FD58B8"/>
    <w:rsid w:val="00FF7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620A-AECC-4115-8FE6-376EB1F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lv-LV" w:eastAsia="en-US" w:bidi="ar-SA"/>
      </w:rPr>
    </w:rPrDefault>
    <w:pPrDefault>
      <w:pPr>
        <w:spacing w:after="240"/>
        <w:ind w:left="1571" w:right="635"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36"/>
    <w:pPr>
      <w:spacing w:after="0"/>
      <w:ind w:left="0" w:right="0" w:firstLine="0"/>
    </w:pPr>
    <w:rPr>
      <w:rFonts w:ascii="Times New Roman" w:hAnsi="Times New Roman"/>
      <w:sz w:val="24"/>
    </w:rPr>
  </w:style>
  <w:style w:type="paragraph" w:styleId="Heading1">
    <w:name w:val="heading 1"/>
    <w:basedOn w:val="Normal"/>
    <w:next w:val="Normal"/>
    <w:link w:val="Heading1Char"/>
    <w:qFormat/>
    <w:rsid w:val="00727A36"/>
    <w:pPr>
      <w:keepNext/>
      <w:ind w:firstLine="720"/>
      <w:outlineLvl w:val="0"/>
    </w:pPr>
    <w:rPr>
      <w:rFonts w:eastAsia="Times New Roman" w:cs="Times New Roman"/>
      <w:sz w:val="28"/>
      <w:szCs w:val="28"/>
      <w:lang w:eastAsia="lv-LV"/>
    </w:rPr>
  </w:style>
  <w:style w:type="paragraph" w:styleId="Heading4">
    <w:name w:val="heading 4"/>
    <w:basedOn w:val="Normal"/>
    <w:next w:val="Normal"/>
    <w:link w:val="Heading4Char"/>
    <w:unhideWhenUsed/>
    <w:qFormat/>
    <w:rsid w:val="00727A36"/>
    <w:pPr>
      <w:keepNext/>
      <w:spacing w:before="240" w:after="60"/>
      <w:jc w:val="left"/>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A36"/>
    <w:rPr>
      <w:rFonts w:ascii="Times New Roman" w:eastAsia="Times New Roman" w:hAnsi="Times New Roman" w:cs="Times New Roman"/>
      <w:sz w:val="28"/>
      <w:szCs w:val="28"/>
      <w:lang w:eastAsia="lv-LV"/>
    </w:rPr>
  </w:style>
  <w:style w:type="character" w:customStyle="1" w:styleId="Heading4Char">
    <w:name w:val="Heading 4 Char"/>
    <w:basedOn w:val="DefaultParagraphFont"/>
    <w:link w:val="Heading4"/>
    <w:rsid w:val="00727A36"/>
    <w:rPr>
      <w:rFonts w:ascii="Calibri" w:eastAsia="Times New Roman" w:hAnsi="Calibri" w:cs="Times New Roman"/>
      <w:b/>
      <w:bCs/>
      <w:sz w:val="28"/>
      <w:szCs w:val="28"/>
      <w:lang w:eastAsia="lv-LV"/>
    </w:rPr>
  </w:style>
  <w:style w:type="character" w:styleId="Strong">
    <w:name w:val="Strong"/>
    <w:qFormat/>
    <w:rsid w:val="00727A36"/>
    <w:rPr>
      <w:b/>
      <w:bCs/>
    </w:rPr>
  </w:style>
  <w:style w:type="paragraph" w:styleId="Footer">
    <w:name w:val="footer"/>
    <w:basedOn w:val="Normal"/>
    <w:link w:val="FooterChar"/>
    <w:rsid w:val="00727A36"/>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rsid w:val="00727A36"/>
    <w:rPr>
      <w:rFonts w:ascii="Times New Roman" w:eastAsia="Times New Roman" w:hAnsi="Times New Roman" w:cs="Times New Roman"/>
      <w:sz w:val="24"/>
      <w:szCs w:val="24"/>
      <w:lang w:eastAsia="lv-LV"/>
    </w:rPr>
  </w:style>
  <w:style w:type="character" w:styleId="PageNumber">
    <w:name w:val="page number"/>
    <w:basedOn w:val="DefaultParagraphFont"/>
    <w:rsid w:val="00727A36"/>
  </w:style>
  <w:style w:type="paragraph" w:styleId="Header">
    <w:name w:val="header"/>
    <w:basedOn w:val="Normal"/>
    <w:link w:val="HeaderChar"/>
    <w:uiPriority w:val="99"/>
    <w:rsid w:val="00727A36"/>
    <w:pPr>
      <w:tabs>
        <w:tab w:val="center" w:pos="4153"/>
        <w:tab w:val="right" w:pos="8306"/>
      </w:tabs>
      <w:jc w:val="left"/>
    </w:pPr>
    <w:rPr>
      <w:rFonts w:eastAsia="Times New Roman" w:cs="Times New Roman"/>
      <w:szCs w:val="24"/>
      <w:lang w:eastAsia="lv-LV"/>
    </w:rPr>
  </w:style>
  <w:style w:type="character" w:customStyle="1" w:styleId="HeaderChar">
    <w:name w:val="Header Char"/>
    <w:basedOn w:val="DefaultParagraphFont"/>
    <w:link w:val="Header"/>
    <w:uiPriority w:val="99"/>
    <w:rsid w:val="00727A36"/>
    <w:rPr>
      <w:rFonts w:ascii="Times New Roman" w:eastAsia="Times New Roman" w:hAnsi="Times New Roman" w:cs="Times New Roman"/>
      <w:sz w:val="24"/>
      <w:szCs w:val="24"/>
      <w:lang w:eastAsia="lv-LV"/>
    </w:rPr>
  </w:style>
  <w:style w:type="paragraph" w:styleId="BodyText2">
    <w:name w:val="Body Text 2"/>
    <w:basedOn w:val="Normal"/>
    <w:link w:val="BodyText2Char"/>
    <w:rsid w:val="00727A36"/>
    <w:rPr>
      <w:rFonts w:eastAsia="Times New Roman" w:cs="Times New Roman"/>
      <w:sz w:val="28"/>
      <w:szCs w:val="24"/>
      <w:lang w:eastAsia="lv-LV"/>
    </w:rPr>
  </w:style>
  <w:style w:type="character" w:customStyle="1" w:styleId="BodyText2Char">
    <w:name w:val="Body Text 2 Char"/>
    <w:basedOn w:val="DefaultParagraphFont"/>
    <w:link w:val="BodyText2"/>
    <w:rsid w:val="00727A36"/>
    <w:rPr>
      <w:rFonts w:ascii="Times New Roman" w:eastAsia="Times New Roman" w:hAnsi="Times New Roman" w:cs="Times New Roman"/>
      <w:sz w:val="28"/>
      <w:szCs w:val="24"/>
      <w:lang w:eastAsia="lv-LV"/>
    </w:rPr>
  </w:style>
  <w:style w:type="paragraph" w:styleId="BodyText">
    <w:name w:val="Body Text"/>
    <w:basedOn w:val="Normal"/>
    <w:link w:val="BodyTextChar"/>
    <w:rsid w:val="00727A36"/>
    <w:pPr>
      <w:spacing w:after="120"/>
      <w:jc w:val="left"/>
    </w:pPr>
    <w:rPr>
      <w:rFonts w:eastAsia="Times New Roman" w:cs="Times New Roman"/>
      <w:szCs w:val="24"/>
      <w:lang w:eastAsia="lv-LV"/>
    </w:rPr>
  </w:style>
  <w:style w:type="character" w:customStyle="1" w:styleId="BodyTextChar">
    <w:name w:val="Body Text Char"/>
    <w:basedOn w:val="DefaultParagraphFont"/>
    <w:link w:val="BodyText"/>
    <w:rsid w:val="00727A36"/>
    <w:rPr>
      <w:rFonts w:ascii="Times New Roman" w:eastAsia="Times New Roman" w:hAnsi="Times New Roman" w:cs="Times New Roman"/>
      <w:sz w:val="24"/>
      <w:szCs w:val="24"/>
      <w:lang w:eastAsia="lv-LV"/>
    </w:rPr>
  </w:style>
  <w:style w:type="paragraph" w:styleId="TOC1">
    <w:name w:val="toc 1"/>
    <w:basedOn w:val="Normal"/>
    <w:next w:val="Normal"/>
    <w:autoRedefine/>
    <w:rsid w:val="00727A36"/>
    <w:pPr>
      <w:tabs>
        <w:tab w:val="right" w:leader="dot" w:pos="8640"/>
      </w:tabs>
      <w:spacing w:line="360" w:lineRule="auto"/>
      <w:jc w:val="left"/>
    </w:pPr>
    <w:rPr>
      <w:rFonts w:eastAsia="Times New Roman" w:cs="Times New Roman"/>
      <w:b/>
      <w:bCs/>
      <w:szCs w:val="24"/>
      <w:lang w:eastAsia="lv-LV"/>
    </w:rPr>
  </w:style>
  <w:style w:type="paragraph" w:styleId="ListParagraph">
    <w:name w:val="List Paragraph"/>
    <w:basedOn w:val="Normal"/>
    <w:uiPriority w:val="34"/>
    <w:qFormat/>
    <w:rsid w:val="00727A36"/>
    <w:pPr>
      <w:ind w:left="720"/>
      <w:jc w:val="left"/>
    </w:pPr>
    <w:rPr>
      <w:rFonts w:eastAsia="Times New Roman" w:cs="Times New Roman"/>
      <w:szCs w:val="24"/>
      <w:lang w:val="ru-RU" w:eastAsia="lv-LV"/>
    </w:rPr>
  </w:style>
  <w:style w:type="character" w:customStyle="1" w:styleId="Barcode">
    <w:name w:val="Barcode_"/>
    <w:link w:val="Barcode0"/>
    <w:uiPriority w:val="99"/>
    <w:rsid w:val="00727A36"/>
    <w:rPr>
      <w:shd w:val="clear" w:color="auto" w:fill="FFFFFF"/>
    </w:rPr>
  </w:style>
  <w:style w:type="paragraph" w:customStyle="1" w:styleId="Barcode0">
    <w:name w:val="Barcode"/>
    <w:basedOn w:val="Normal"/>
    <w:link w:val="Barcode"/>
    <w:uiPriority w:val="99"/>
    <w:rsid w:val="00727A36"/>
    <w:pPr>
      <w:widowControl w:val="0"/>
      <w:shd w:val="clear" w:color="auto" w:fill="FFFFFF"/>
      <w:jc w:val="left"/>
    </w:pPr>
    <w:rPr>
      <w:rFonts w:ascii="Arial" w:hAnsi="Arial"/>
      <w:sz w:val="22"/>
    </w:rPr>
  </w:style>
  <w:style w:type="paragraph" w:styleId="BalloonText">
    <w:name w:val="Balloon Text"/>
    <w:basedOn w:val="Normal"/>
    <w:link w:val="BalloonTextChar"/>
    <w:uiPriority w:val="99"/>
    <w:semiHidden/>
    <w:unhideWhenUsed/>
    <w:rsid w:val="00727A36"/>
    <w:pPr>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727A36"/>
    <w:rPr>
      <w:rFonts w:ascii="Tahoma" w:eastAsia="Times New Roman" w:hAnsi="Tahoma" w:cs="Tahoma"/>
      <w:sz w:val="16"/>
      <w:szCs w:val="16"/>
      <w:lang w:eastAsia="lv-LV"/>
    </w:rPr>
  </w:style>
  <w:style w:type="paragraph" w:styleId="NormalWeb">
    <w:name w:val="Normal (Web)"/>
    <w:basedOn w:val="Normal"/>
    <w:unhideWhenUsed/>
    <w:rsid w:val="00727A36"/>
    <w:pPr>
      <w:spacing w:before="100" w:beforeAutospacing="1" w:after="100" w:afterAutospacing="1"/>
      <w:jc w:val="left"/>
    </w:pPr>
    <w:rPr>
      <w:rFonts w:cs="Times New Roman"/>
      <w:szCs w:val="24"/>
      <w:lang w:eastAsia="lv-LV"/>
    </w:rPr>
  </w:style>
  <w:style w:type="paragraph" w:customStyle="1" w:styleId="naiskr">
    <w:name w:val="naiskr"/>
    <w:basedOn w:val="Normal"/>
    <w:rsid w:val="00727A36"/>
    <w:pPr>
      <w:spacing w:before="75" w:after="75"/>
      <w:jc w:val="left"/>
    </w:pPr>
    <w:rPr>
      <w:rFonts w:eastAsia="Times New Roman" w:cs="Times New Roman"/>
      <w:szCs w:val="24"/>
      <w:lang w:eastAsia="lv-LV"/>
    </w:rPr>
  </w:style>
  <w:style w:type="paragraph" w:styleId="PlainText">
    <w:name w:val="Plain Text"/>
    <w:basedOn w:val="Normal"/>
    <w:link w:val="PlainTextChar"/>
    <w:uiPriority w:val="99"/>
    <w:unhideWhenUsed/>
    <w:rsid w:val="00727A36"/>
    <w:pPr>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27A36"/>
    <w:rPr>
      <w:rFonts w:ascii="Consolas" w:eastAsia="Calibri" w:hAnsi="Consolas" w:cs="Times New Roman"/>
      <w:sz w:val="21"/>
      <w:szCs w:val="21"/>
    </w:rPr>
  </w:style>
  <w:style w:type="paragraph" w:customStyle="1" w:styleId="listparagraph0">
    <w:name w:val="listparagraph"/>
    <w:basedOn w:val="Normal"/>
    <w:rsid w:val="00727A36"/>
    <w:pPr>
      <w:spacing w:before="100" w:beforeAutospacing="1" w:after="100" w:afterAutospacing="1"/>
      <w:jc w:val="left"/>
    </w:pPr>
    <w:rPr>
      <w:rFonts w:eastAsia="Times New Roman" w:cs="Times New Roman"/>
      <w:szCs w:val="24"/>
      <w:lang w:eastAsia="lv-LV"/>
    </w:rPr>
  </w:style>
  <w:style w:type="paragraph" w:customStyle="1" w:styleId="Default">
    <w:name w:val="Default"/>
    <w:rsid w:val="00727A36"/>
    <w:pPr>
      <w:autoSpaceDE w:val="0"/>
      <w:autoSpaceDN w:val="0"/>
      <w:adjustRightInd w:val="0"/>
      <w:spacing w:after="0"/>
      <w:ind w:left="0" w:right="0" w:firstLine="0"/>
      <w:jc w:val="left"/>
    </w:pPr>
    <w:rPr>
      <w:rFonts w:ascii="Times New Roman" w:hAnsi="Times New Roman" w:cs="Times New Roman"/>
      <w:color w:val="000000"/>
      <w:sz w:val="24"/>
      <w:szCs w:val="24"/>
    </w:rPr>
  </w:style>
  <w:style w:type="table" w:styleId="TableGrid">
    <w:name w:val="Table Grid"/>
    <w:basedOn w:val="TableNormal"/>
    <w:uiPriority w:val="59"/>
    <w:rsid w:val="00727A36"/>
    <w:pPr>
      <w:spacing w:after="0"/>
      <w:ind w:left="0" w:right="0" w:firstLine="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A36"/>
    <w:rPr>
      <w:color w:val="0000FF" w:themeColor="hyperlink"/>
      <w:u w:val="single"/>
    </w:rPr>
  </w:style>
  <w:style w:type="character" w:styleId="CommentReference">
    <w:name w:val="annotation reference"/>
    <w:basedOn w:val="DefaultParagraphFont"/>
    <w:semiHidden/>
    <w:rsid w:val="000004C1"/>
    <w:rPr>
      <w:sz w:val="16"/>
      <w:szCs w:val="16"/>
    </w:rPr>
  </w:style>
  <w:style w:type="paragraph" w:customStyle="1" w:styleId="tv2131">
    <w:name w:val="tv2131"/>
    <w:basedOn w:val="Normal"/>
    <w:rsid w:val="00824BF2"/>
    <w:pPr>
      <w:spacing w:line="360" w:lineRule="auto"/>
      <w:ind w:firstLine="250"/>
      <w:jc w:val="left"/>
    </w:pPr>
    <w:rPr>
      <w:rFonts w:eastAsia="Times New Roman" w:cs="Times New Roman"/>
      <w:color w:val="414142"/>
      <w:sz w:val="16"/>
      <w:szCs w:val="16"/>
      <w:lang w:eastAsia="lv-LV"/>
    </w:rPr>
  </w:style>
  <w:style w:type="character" w:customStyle="1" w:styleId="Bodytext0">
    <w:name w:val="Body text_"/>
    <w:basedOn w:val="DefaultParagraphFont"/>
    <w:link w:val="BodyText1"/>
    <w:rsid w:val="007F1C8D"/>
    <w:rPr>
      <w:rFonts w:eastAsia="Arial"/>
      <w:sz w:val="21"/>
      <w:szCs w:val="21"/>
      <w:shd w:val="clear" w:color="auto" w:fill="FFFFFF"/>
    </w:rPr>
  </w:style>
  <w:style w:type="paragraph" w:customStyle="1" w:styleId="BodyText1">
    <w:name w:val="Body Text1"/>
    <w:basedOn w:val="Normal"/>
    <w:link w:val="Bodytext0"/>
    <w:rsid w:val="007F1C8D"/>
    <w:pPr>
      <w:shd w:val="clear" w:color="auto" w:fill="FFFFFF"/>
      <w:spacing w:after="240" w:line="293" w:lineRule="exact"/>
    </w:pPr>
    <w:rPr>
      <w:rFonts w:ascii="Arial" w:eastAsia="Arial" w:hAnsi="Arial"/>
      <w:sz w:val="21"/>
      <w:szCs w:val="21"/>
    </w:rPr>
  </w:style>
  <w:style w:type="paragraph" w:styleId="FootnoteText">
    <w:name w:val="footnote text"/>
    <w:basedOn w:val="Normal"/>
    <w:link w:val="FootnoteTextChar"/>
    <w:uiPriority w:val="99"/>
    <w:semiHidden/>
    <w:unhideWhenUsed/>
    <w:rsid w:val="001C4BF6"/>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C4BF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C4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25317">
      <w:bodyDiv w:val="1"/>
      <w:marLeft w:val="0"/>
      <w:marRight w:val="0"/>
      <w:marTop w:val="0"/>
      <w:marBottom w:val="0"/>
      <w:divBdr>
        <w:top w:val="none" w:sz="0" w:space="0" w:color="auto"/>
        <w:left w:val="none" w:sz="0" w:space="0" w:color="auto"/>
        <w:bottom w:val="none" w:sz="0" w:space="0" w:color="auto"/>
        <w:right w:val="none" w:sz="0" w:space="0" w:color="auto"/>
      </w:divBdr>
    </w:div>
    <w:div w:id="904266263">
      <w:bodyDiv w:val="1"/>
      <w:marLeft w:val="0"/>
      <w:marRight w:val="0"/>
      <w:marTop w:val="0"/>
      <w:marBottom w:val="0"/>
      <w:divBdr>
        <w:top w:val="none" w:sz="0" w:space="0" w:color="auto"/>
        <w:left w:val="none" w:sz="0" w:space="0" w:color="auto"/>
        <w:bottom w:val="none" w:sz="0" w:space="0" w:color="auto"/>
        <w:right w:val="none" w:sz="0" w:space="0" w:color="auto"/>
      </w:divBdr>
      <w:divsChild>
        <w:div w:id="1708022021">
          <w:marLeft w:val="0"/>
          <w:marRight w:val="0"/>
          <w:marTop w:val="0"/>
          <w:marBottom w:val="0"/>
          <w:divBdr>
            <w:top w:val="none" w:sz="0" w:space="0" w:color="auto"/>
            <w:left w:val="none" w:sz="0" w:space="0" w:color="auto"/>
            <w:bottom w:val="none" w:sz="0" w:space="0" w:color="auto"/>
            <w:right w:val="none" w:sz="0" w:space="0" w:color="auto"/>
          </w:divBdr>
          <w:divsChild>
            <w:div w:id="1988242167">
              <w:marLeft w:val="0"/>
              <w:marRight w:val="0"/>
              <w:marTop w:val="0"/>
              <w:marBottom w:val="0"/>
              <w:divBdr>
                <w:top w:val="none" w:sz="0" w:space="0" w:color="auto"/>
                <w:left w:val="none" w:sz="0" w:space="0" w:color="auto"/>
                <w:bottom w:val="none" w:sz="0" w:space="0" w:color="auto"/>
                <w:right w:val="none" w:sz="0" w:space="0" w:color="auto"/>
              </w:divBdr>
              <w:divsChild>
                <w:div w:id="967468336">
                  <w:marLeft w:val="0"/>
                  <w:marRight w:val="0"/>
                  <w:marTop w:val="0"/>
                  <w:marBottom w:val="0"/>
                  <w:divBdr>
                    <w:top w:val="none" w:sz="0" w:space="0" w:color="auto"/>
                    <w:left w:val="none" w:sz="0" w:space="0" w:color="auto"/>
                    <w:bottom w:val="none" w:sz="0" w:space="0" w:color="auto"/>
                    <w:right w:val="none" w:sz="0" w:space="0" w:color="auto"/>
                  </w:divBdr>
                  <w:divsChild>
                    <w:div w:id="162862433">
                      <w:marLeft w:val="0"/>
                      <w:marRight w:val="0"/>
                      <w:marTop w:val="0"/>
                      <w:marBottom w:val="0"/>
                      <w:divBdr>
                        <w:top w:val="none" w:sz="0" w:space="0" w:color="auto"/>
                        <w:left w:val="none" w:sz="0" w:space="0" w:color="auto"/>
                        <w:bottom w:val="none" w:sz="0" w:space="0" w:color="auto"/>
                        <w:right w:val="none" w:sz="0" w:space="0" w:color="auto"/>
                      </w:divBdr>
                      <w:divsChild>
                        <w:div w:id="494616527">
                          <w:marLeft w:val="0"/>
                          <w:marRight w:val="0"/>
                          <w:marTop w:val="0"/>
                          <w:marBottom w:val="0"/>
                          <w:divBdr>
                            <w:top w:val="none" w:sz="0" w:space="0" w:color="auto"/>
                            <w:left w:val="none" w:sz="0" w:space="0" w:color="auto"/>
                            <w:bottom w:val="none" w:sz="0" w:space="0" w:color="auto"/>
                            <w:right w:val="none" w:sz="0" w:space="0" w:color="auto"/>
                          </w:divBdr>
                          <w:divsChild>
                            <w:div w:id="1331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5190">
      <w:bodyDiv w:val="1"/>
      <w:marLeft w:val="0"/>
      <w:marRight w:val="0"/>
      <w:marTop w:val="0"/>
      <w:marBottom w:val="0"/>
      <w:divBdr>
        <w:top w:val="none" w:sz="0" w:space="0" w:color="auto"/>
        <w:left w:val="none" w:sz="0" w:space="0" w:color="auto"/>
        <w:bottom w:val="none" w:sz="0" w:space="0" w:color="auto"/>
        <w:right w:val="none" w:sz="0" w:space="0" w:color="auto"/>
      </w:divBdr>
    </w:div>
    <w:div w:id="1259873489">
      <w:bodyDiv w:val="1"/>
      <w:marLeft w:val="0"/>
      <w:marRight w:val="0"/>
      <w:marTop w:val="0"/>
      <w:marBottom w:val="0"/>
      <w:divBdr>
        <w:top w:val="none" w:sz="0" w:space="0" w:color="auto"/>
        <w:left w:val="none" w:sz="0" w:space="0" w:color="auto"/>
        <w:bottom w:val="none" w:sz="0" w:space="0" w:color="auto"/>
        <w:right w:val="none" w:sz="0" w:space="0" w:color="auto"/>
      </w:divBdr>
      <w:divsChild>
        <w:div w:id="1851868756">
          <w:marLeft w:val="0"/>
          <w:marRight w:val="0"/>
          <w:marTop w:val="120"/>
          <w:marBottom w:val="0"/>
          <w:divBdr>
            <w:top w:val="none" w:sz="0" w:space="0" w:color="auto"/>
            <w:left w:val="none" w:sz="0" w:space="0" w:color="auto"/>
            <w:bottom w:val="none" w:sz="0" w:space="0" w:color="auto"/>
            <w:right w:val="none" w:sz="0" w:space="0" w:color="auto"/>
          </w:divBdr>
        </w:div>
        <w:div w:id="470706860">
          <w:marLeft w:val="720"/>
          <w:marRight w:val="0"/>
          <w:marTop w:val="120"/>
          <w:marBottom w:val="0"/>
          <w:divBdr>
            <w:top w:val="none" w:sz="0" w:space="0" w:color="auto"/>
            <w:left w:val="none" w:sz="0" w:space="0" w:color="auto"/>
            <w:bottom w:val="none" w:sz="0" w:space="0" w:color="auto"/>
            <w:right w:val="none" w:sz="0" w:space="0" w:color="auto"/>
          </w:divBdr>
        </w:div>
        <w:div w:id="1868519536">
          <w:marLeft w:val="720"/>
          <w:marRight w:val="0"/>
          <w:marTop w:val="120"/>
          <w:marBottom w:val="0"/>
          <w:divBdr>
            <w:top w:val="none" w:sz="0" w:space="0" w:color="auto"/>
            <w:left w:val="none" w:sz="0" w:space="0" w:color="auto"/>
            <w:bottom w:val="none" w:sz="0" w:space="0" w:color="auto"/>
            <w:right w:val="none" w:sz="0" w:space="0" w:color="auto"/>
          </w:divBdr>
        </w:div>
        <w:div w:id="1560362467">
          <w:marLeft w:val="0"/>
          <w:marRight w:val="0"/>
          <w:marTop w:val="240"/>
          <w:marBottom w:val="0"/>
          <w:divBdr>
            <w:top w:val="none" w:sz="0" w:space="0" w:color="auto"/>
            <w:left w:val="none" w:sz="0" w:space="0" w:color="auto"/>
            <w:bottom w:val="none" w:sz="0" w:space="0" w:color="auto"/>
            <w:right w:val="none" w:sz="0" w:space="0" w:color="auto"/>
          </w:divBdr>
        </w:div>
        <w:div w:id="12646048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6F92B-D9F0-4768-B311-DA107FE5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6253</TotalTime>
  <Pages>9</Pages>
  <Words>14499</Words>
  <Characters>8265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Latvijas Nacionālās bibliotēkas projekta īstenošanu 2015.gadā</dc:subject>
  <dc:creator>Kiseļova L.</dc:creator>
  <dc:description>Tel.nr. 67095448; Laura.Kiselova@fm.gov.lv</dc:description>
  <cp:lastModifiedBy>Gunta Puidīte</cp:lastModifiedBy>
  <cp:revision>104</cp:revision>
  <cp:lastPrinted>2016-07-12T13:16:00Z</cp:lastPrinted>
  <dcterms:created xsi:type="dcterms:W3CDTF">2014-02-26T15:49:00Z</dcterms:created>
  <dcterms:modified xsi:type="dcterms:W3CDTF">2016-07-14T11:44:00Z</dcterms:modified>
</cp:coreProperties>
</file>