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E6" w:rsidRDefault="000D3CE6" w:rsidP="000D3CE6">
      <w:pPr>
        <w:pStyle w:val="naislab"/>
        <w:spacing w:before="0" w:after="0"/>
        <w:jc w:val="center"/>
        <w:outlineLvl w:val="0"/>
        <w:rPr>
          <w:b/>
          <w:bCs/>
        </w:rPr>
      </w:pPr>
      <w:r w:rsidRPr="00495AE6">
        <w:rPr>
          <w:b/>
          <w:bCs/>
        </w:rPr>
        <w:t xml:space="preserve">Ministru kabineta rīkojuma </w:t>
      </w:r>
      <w:r w:rsidR="007B5640">
        <w:rPr>
          <w:b/>
          <w:bCs/>
        </w:rPr>
        <w:t>projekta “</w:t>
      </w:r>
      <w:r w:rsidR="00497DB2" w:rsidRPr="00497DB2">
        <w:rPr>
          <w:b/>
        </w:rPr>
        <w:t>Par</w:t>
      </w:r>
      <w:r w:rsidR="00BF263F">
        <w:rPr>
          <w:b/>
        </w:rPr>
        <w:t xml:space="preserve"> akciju sabiedrības “Latvijas Gāze”</w:t>
      </w:r>
      <w:r w:rsidR="00497DB2" w:rsidRPr="00497DB2">
        <w:rPr>
          <w:b/>
        </w:rPr>
        <w:t xml:space="preserve"> atbrīvo</w:t>
      </w:r>
      <w:r w:rsidR="00BF263F">
        <w:rPr>
          <w:b/>
        </w:rPr>
        <w:t>šanu</w:t>
      </w:r>
      <w:r w:rsidR="00497DB2" w:rsidRPr="00497DB2">
        <w:rPr>
          <w:b/>
        </w:rPr>
        <w:t xml:space="preserve"> no valsts nodevas maksāšanas par ziņu </w:t>
      </w:r>
      <w:r w:rsidR="00BF263F">
        <w:rPr>
          <w:b/>
        </w:rPr>
        <w:t>saņemšanu</w:t>
      </w:r>
      <w:r w:rsidR="00497DB2" w:rsidRPr="00497DB2">
        <w:rPr>
          <w:b/>
        </w:rPr>
        <w:t xml:space="preserve"> no Iedzīvotāju reģistra</w:t>
      </w:r>
      <w:r w:rsidRPr="00497DB2">
        <w:rPr>
          <w:b/>
          <w:bCs/>
        </w:rPr>
        <w:t>” sākotnējās</w:t>
      </w:r>
      <w:r w:rsidRPr="00697322">
        <w:rPr>
          <w:b/>
          <w:bCs/>
        </w:rPr>
        <w:t xml:space="preserve"> ietekmes novērtējuma </w:t>
      </w:r>
      <w:smartTag w:uri="schemas-tilde-lv/tildestengine" w:element="veidnes">
        <w:smartTagPr>
          <w:attr w:name="text" w:val="ziņojums"/>
          <w:attr w:name="baseform" w:val="ziņojums"/>
          <w:attr w:name="id" w:val="-1"/>
        </w:smartTagPr>
        <w:r w:rsidRPr="00697322">
          <w:rPr>
            <w:b/>
            <w:bCs/>
          </w:rPr>
          <w:t>ziņojums</w:t>
        </w:r>
      </w:smartTag>
      <w:r w:rsidRPr="00697322">
        <w:rPr>
          <w:b/>
          <w:bCs/>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49"/>
        <w:gridCol w:w="5871"/>
      </w:tblGrid>
      <w:tr w:rsidR="000D3CE6" w:rsidRPr="00495AE6" w:rsidTr="00770B2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3CE6" w:rsidRPr="00495AE6" w:rsidRDefault="000D3CE6" w:rsidP="00770B2B">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0D3CE6" w:rsidRPr="00495AE6" w:rsidTr="00770B2B">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0D3CE6" w:rsidRPr="00697322" w:rsidRDefault="004D72F2" w:rsidP="00770B2B">
            <w:pPr>
              <w:pStyle w:val="Heading3"/>
              <w:spacing w:after="0"/>
              <w:jc w:val="both"/>
              <w:rPr>
                <w:b w:val="0"/>
                <w:sz w:val="24"/>
                <w:szCs w:val="24"/>
                <w:lang w:eastAsia="en-US"/>
              </w:rPr>
            </w:pPr>
            <w:r>
              <w:rPr>
                <w:b w:val="0"/>
                <w:bCs w:val="0"/>
                <w:sz w:val="24"/>
                <w:szCs w:val="24"/>
              </w:rPr>
              <w:t>Iekšlietu ministrijas iniciatīva.</w:t>
            </w:r>
          </w:p>
        </w:tc>
      </w:tr>
      <w:tr w:rsidR="000D3CE6" w:rsidRPr="00495AE6" w:rsidTr="00770B2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410EB7" w:rsidRDefault="004D72F2" w:rsidP="00551313">
            <w:pPr>
              <w:jc w:val="both"/>
              <w:rPr>
                <w:rFonts w:ascii="Times New Roman" w:hAnsi="Times New Roman"/>
                <w:sz w:val="25"/>
                <w:szCs w:val="25"/>
              </w:rPr>
            </w:pPr>
            <w:r>
              <w:rPr>
                <w:rFonts w:ascii="Times New Roman" w:hAnsi="Times New Roman"/>
                <w:sz w:val="25"/>
                <w:szCs w:val="25"/>
              </w:rPr>
              <w:t>Akciju sabiedrība „Latvijas Gāze” 2016.gada 26.jūlijā nosūtīja Iekšlietu ministrijai un Ekonomikas ministrijai vēstuli Nr.01-7/2115 „Par akciju sabiedrības „Latvijas Gāze” akcionāru informēšanu”, kurā norādīja, ka šī gada 11.februārī, pieņemot grozījumus Enerģētikas likumā (stājās spēkā 2016.gada 8.martā), likumdevējs uzl</w:t>
            </w:r>
            <w:r w:rsidR="004B6626">
              <w:rPr>
                <w:rFonts w:ascii="Times New Roman" w:hAnsi="Times New Roman"/>
                <w:sz w:val="25"/>
                <w:szCs w:val="25"/>
              </w:rPr>
              <w:t>icis par pienākumu reorganizēt a</w:t>
            </w:r>
            <w:r>
              <w:rPr>
                <w:rFonts w:ascii="Times New Roman" w:hAnsi="Times New Roman"/>
                <w:sz w:val="25"/>
                <w:szCs w:val="25"/>
              </w:rPr>
              <w:t xml:space="preserve">kciju sabiedrību „Latvijas Gāze”, sadalot to divos patstāvīgos komersantos. Tādēļ, lai nodrošinātu juridiski korektu </w:t>
            </w:r>
            <w:r w:rsidR="00410EB7">
              <w:rPr>
                <w:rFonts w:ascii="Times New Roman" w:hAnsi="Times New Roman"/>
                <w:sz w:val="25"/>
                <w:szCs w:val="25"/>
              </w:rPr>
              <w:t>a</w:t>
            </w:r>
            <w:r>
              <w:rPr>
                <w:rFonts w:ascii="Times New Roman" w:hAnsi="Times New Roman"/>
                <w:sz w:val="25"/>
                <w:szCs w:val="25"/>
              </w:rPr>
              <w:t>kciju sabiedrības „Latvijas Gāze” reorganizāciju, nepieciešams informēt katru akcionāru par iespēju pieteikties uz jaunizveidojamās sabiedrības akcijām. Akciju sabiedrība „Latvijas Gāze” norāda, ka vēlas informēt 6554 akcionārus – Latvijas iedzīvotājus,</w:t>
            </w:r>
            <w:r w:rsidR="001E1E0B">
              <w:rPr>
                <w:rFonts w:ascii="Times New Roman" w:hAnsi="Times New Roman"/>
                <w:sz w:val="25"/>
                <w:szCs w:val="25"/>
              </w:rPr>
              <w:t xml:space="preserve"> nodokļu maksātājus</w:t>
            </w:r>
            <w:r w:rsidR="00D93193">
              <w:rPr>
                <w:rFonts w:ascii="Times New Roman" w:hAnsi="Times New Roman"/>
                <w:sz w:val="25"/>
                <w:szCs w:val="25"/>
              </w:rPr>
              <w:t>.</w:t>
            </w:r>
            <w:r w:rsidR="001E1E0B">
              <w:rPr>
                <w:rFonts w:ascii="Times New Roman" w:hAnsi="Times New Roman"/>
                <w:sz w:val="25"/>
                <w:szCs w:val="25"/>
              </w:rPr>
              <w:t xml:space="preserve"> </w:t>
            </w:r>
            <w:r>
              <w:rPr>
                <w:rFonts w:ascii="Times New Roman" w:hAnsi="Times New Roman"/>
                <w:sz w:val="25"/>
                <w:szCs w:val="25"/>
              </w:rPr>
              <w:t xml:space="preserve">Neskatoties uz </w:t>
            </w:r>
            <w:r w:rsidR="00410EB7">
              <w:rPr>
                <w:rFonts w:ascii="Times New Roman" w:hAnsi="Times New Roman"/>
                <w:sz w:val="25"/>
                <w:szCs w:val="25"/>
              </w:rPr>
              <w:t>a</w:t>
            </w:r>
            <w:r>
              <w:rPr>
                <w:rFonts w:ascii="Times New Roman" w:hAnsi="Times New Roman"/>
                <w:sz w:val="25"/>
                <w:szCs w:val="25"/>
              </w:rPr>
              <w:t>kciju sabiedrības „Latvijas Gāze” īstenoto informatīvo kampaņu masu medijos laika posmā no šī gada 11.jūlija un</w:t>
            </w:r>
            <w:r w:rsidR="001E1E0B">
              <w:rPr>
                <w:rFonts w:ascii="Times New Roman" w:hAnsi="Times New Roman"/>
                <w:sz w:val="25"/>
                <w:szCs w:val="25"/>
              </w:rPr>
              <w:t xml:space="preserve"> oficiālo publikāciju izdevumā „</w:t>
            </w:r>
            <w:r>
              <w:rPr>
                <w:rFonts w:ascii="Times New Roman" w:hAnsi="Times New Roman"/>
                <w:sz w:val="25"/>
                <w:szCs w:val="25"/>
              </w:rPr>
              <w:t xml:space="preserve">Latvijas Vēstnesis”, divu nedēļu laikā ir pieteikušies tikai 100 </w:t>
            </w:r>
            <w:r w:rsidR="001E1E0B">
              <w:rPr>
                <w:rFonts w:ascii="Times New Roman" w:hAnsi="Times New Roman"/>
                <w:sz w:val="25"/>
                <w:szCs w:val="25"/>
              </w:rPr>
              <w:t xml:space="preserve">akciju sabiedrības „Latvijas Gāze” </w:t>
            </w:r>
            <w:r>
              <w:rPr>
                <w:rFonts w:ascii="Times New Roman" w:hAnsi="Times New Roman"/>
                <w:sz w:val="25"/>
                <w:szCs w:val="25"/>
              </w:rPr>
              <w:t xml:space="preserve"> akcionāru. Līdz ar to jāīsteno papildu pasākumi </w:t>
            </w:r>
            <w:r w:rsidR="0002484B">
              <w:rPr>
                <w:rFonts w:ascii="Times New Roman" w:hAnsi="Times New Roman"/>
                <w:sz w:val="25"/>
                <w:szCs w:val="25"/>
              </w:rPr>
              <w:t>akcionāru</w:t>
            </w:r>
            <w:r>
              <w:rPr>
                <w:rFonts w:ascii="Times New Roman" w:hAnsi="Times New Roman"/>
                <w:sz w:val="25"/>
                <w:szCs w:val="25"/>
              </w:rPr>
              <w:t xml:space="preserve"> informēšanā</w:t>
            </w:r>
            <w:r w:rsidR="00410EB7">
              <w:rPr>
                <w:rFonts w:ascii="Times New Roman" w:hAnsi="Times New Roman"/>
                <w:sz w:val="25"/>
                <w:szCs w:val="25"/>
              </w:rPr>
              <w:t>.</w:t>
            </w:r>
            <w:r>
              <w:rPr>
                <w:rFonts w:ascii="Times New Roman" w:hAnsi="Times New Roman"/>
                <w:sz w:val="25"/>
                <w:szCs w:val="25"/>
              </w:rPr>
              <w:t xml:space="preserve"> </w:t>
            </w:r>
          </w:p>
          <w:p w:rsidR="00410EB7" w:rsidRDefault="00410EB7" w:rsidP="00551313">
            <w:pPr>
              <w:jc w:val="both"/>
              <w:rPr>
                <w:rFonts w:ascii="Times New Roman" w:hAnsi="Times New Roman"/>
                <w:sz w:val="25"/>
                <w:szCs w:val="25"/>
              </w:rPr>
            </w:pPr>
            <w:r>
              <w:rPr>
                <w:rFonts w:ascii="Times New Roman" w:hAnsi="Times New Roman"/>
                <w:sz w:val="25"/>
                <w:szCs w:val="25"/>
              </w:rPr>
              <w:t xml:space="preserve">Tāpat akciju sabiedrības „Latvijas Gāze” vēstulē norādīts, ka tā kā akciju sabiedrības „Latvijas Gāze” reorganizācijas nepieciešamība izriet no likuma līmenī dotā uzdevuma un akciju sabiedrības „Latvijas Gāze” korekta un savlaicīga reorganizācija ir tieši saistīta ar Latvijas iedzīvotāju vitālām interesēm, tā lūdz </w:t>
            </w:r>
            <w:r w:rsidR="002A1325">
              <w:rPr>
                <w:rFonts w:ascii="Times New Roman" w:hAnsi="Times New Roman"/>
                <w:sz w:val="25"/>
                <w:szCs w:val="25"/>
              </w:rPr>
              <w:t xml:space="preserve">rast iespēju īstenot pasākumus, lai atbrīvotu akciju sabiedrību „Latvijas Gāze” no maksas par </w:t>
            </w:r>
            <w:r w:rsidR="001E5A92">
              <w:rPr>
                <w:rFonts w:ascii="Times New Roman" w:hAnsi="Times New Roman"/>
                <w:sz w:val="25"/>
                <w:szCs w:val="25"/>
              </w:rPr>
              <w:t>P</w:t>
            </w:r>
            <w:r w:rsidR="002A1325">
              <w:rPr>
                <w:rFonts w:ascii="Times New Roman" w:hAnsi="Times New Roman"/>
                <w:sz w:val="25"/>
                <w:szCs w:val="25"/>
              </w:rPr>
              <w:t>ārvaldes sniegto pakalpojumu akciju sabiedrības „Latvijas Gāze” akcionāru informēšanā. Minētais novērstu neparedzētu sadārdzinājumu akciju sabiedrības „Latvijas Gāze” sniegtajiem pakalpojumiem, par kuru būtu spiests maksāt patērētājs.</w:t>
            </w:r>
          </w:p>
          <w:p w:rsidR="00E91909" w:rsidRPr="00E91909" w:rsidRDefault="00E91909" w:rsidP="00E91909">
            <w:pPr>
              <w:spacing w:after="0"/>
              <w:jc w:val="both"/>
              <w:rPr>
                <w:rFonts w:ascii="Times New Roman" w:hAnsi="Times New Roman" w:cs="Times New Roman"/>
                <w:sz w:val="24"/>
                <w:szCs w:val="24"/>
              </w:rPr>
            </w:pPr>
            <w:r>
              <w:rPr>
                <w:rFonts w:ascii="Times New Roman" w:hAnsi="Times New Roman" w:cs="Times New Roman"/>
                <w:sz w:val="24"/>
                <w:szCs w:val="24"/>
              </w:rPr>
              <w:t>S</w:t>
            </w:r>
            <w:r w:rsidRPr="00551313">
              <w:rPr>
                <w:rFonts w:ascii="Times New Roman" w:hAnsi="Times New Roman" w:cs="Times New Roman"/>
                <w:sz w:val="24"/>
                <w:szCs w:val="24"/>
              </w:rPr>
              <w:t xml:space="preserve">askaņā ar Iedzīvotāju reģistra likuma </w:t>
            </w:r>
            <w:r w:rsidRPr="00551313">
              <w:rPr>
                <w:rFonts w:ascii="Times New Roman" w:hAnsi="Times New Roman" w:cs="Times New Roman"/>
                <w:bCs/>
                <w:sz w:val="24"/>
                <w:szCs w:val="24"/>
              </w:rPr>
              <w:t>17.</w:t>
            </w:r>
            <w:r w:rsidRPr="00551313">
              <w:rPr>
                <w:rFonts w:ascii="Times New Roman" w:hAnsi="Times New Roman" w:cs="Times New Roman"/>
                <w:bCs/>
                <w:sz w:val="24"/>
                <w:szCs w:val="24"/>
                <w:vertAlign w:val="superscript"/>
              </w:rPr>
              <w:t>1</w:t>
            </w:r>
            <w:r w:rsidRPr="00551313">
              <w:rPr>
                <w:rFonts w:ascii="Times New Roman" w:hAnsi="Times New Roman" w:cs="Times New Roman"/>
                <w:bCs/>
                <w:sz w:val="24"/>
                <w:szCs w:val="24"/>
              </w:rPr>
              <w:t xml:space="preserve"> pantu</w:t>
            </w:r>
            <w:r w:rsidRPr="00551313">
              <w:rPr>
                <w:rFonts w:ascii="Times New Roman" w:hAnsi="Times New Roman" w:cs="Times New Roman"/>
                <w:sz w:val="24"/>
                <w:szCs w:val="24"/>
              </w:rPr>
              <w:t xml:space="preserve"> par informācijas saņemšanu no </w:t>
            </w:r>
            <w:r>
              <w:rPr>
                <w:rFonts w:ascii="Times New Roman" w:hAnsi="Times New Roman" w:cs="Times New Roman"/>
                <w:sz w:val="24"/>
                <w:szCs w:val="24"/>
              </w:rPr>
              <w:t>Iedzīvotāju r</w:t>
            </w:r>
            <w:r w:rsidRPr="00551313">
              <w:rPr>
                <w:rFonts w:ascii="Times New Roman" w:hAnsi="Times New Roman" w:cs="Times New Roman"/>
                <w:sz w:val="24"/>
                <w:szCs w:val="24"/>
              </w:rPr>
              <w:t>eģistra maksājama valsts nodeva. Ministru kabinets nosaka valsts nodevas apmēru, samaksas kārtību, kā arī atvieglojumus valsts nodevas maksāšanā un atbrīvojumus no valsts nodevas maksāšanas.</w:t>
            </w:r>
            <w:r>
              <w:rPr>
                <w:rFonts w:ascii="Times New Roman" w:hAnsi="Times New Roman" w:cs="Times New Roman"/>
                <w:sz w:val="24"/>
                <w:szCs w:val="24"/>
              </w:rPr>
              <w:t xml:space="preserve"> Ministru kabineta 2015.gada 14.jūlija noteikumu Nr.391 „Noteikumi par valsts nodevu par </w:t>
            </w:r>
            <w:r>
              <w:rPr>
                <w:rFonts w:ascii="Times New Roman" w:hAnsi="Times New Roman" w:cs="Times New Roman"/>
                <w:sz w:val="24"/>
                <w:szCs w:val="24"/>
              </w:rPr>
              <w:lastRenderedPageBreak/>
              <w:t xml:space="preserve">informācijas saņemšanu no Iedzīvotāju reģistra” 4.punktā noteikts, ka no valsts nodevas samaksas atbrīvotas –  </w:t>
            </w:r>
            <w:r w:rsidRPr="00E91909">
              <w:rPr>
                <w:rFonts w:ascii="Times New Roman" w:hAnsi="Times New Roman" w:cs="Times New Roman"/>
                <w:sz w:val="24"/>
                <w:szCs w:val="24"/>
              </w:rPr>
              <w:t>persona</w:t>
            </w:r>
            <w:r>
              <w:rPr>
                <w:rFonts w:ascii="Times New Roman" w:hAnsi="Times New Roman" w:cs="Times New Roman"/>
                <w:sz w:val="24"/>
                <w:szCs w:val="24"/>
              </w:rPr>
              <w:t>s</w:t>
            </w:r>
            <w:r w:rsidRPr="00E91909">
              <w:rPr>
                <w:rFonts w:ascii="Times New Roman" w:hAnsi="Times New Roman" w:cs="Times New Roman"/>
                <w:sz w:val="24"/>
                <w:szCs w:val="24"/>
              </w:rPr>
              <w:t xml:space="preserve"> ar invaliditāti, Černobiļas atomelektrostacijas avārijas seku likvidēšanas dalībniek</w:t>
            </w:r>
            <w:r>
              <w:rPr>
                <w:rFonts w:ascii="Times New Roman" w:hAnsi="Times New Roman" w:cs="Times New Roman"/>
                <w:sz w:val="24"/>
                <w:szCs w:val="24"/>
              </w:rPr>
              <w:t>i</w:t>
            </w:r>
            <w:r w:rsidRPr="00E91909">
              <w:rPr>
                <w:rFonts w:ascii="Times New Roman" w:hAnsi="Times New Roman" w:cs="Times New Roman"/>
                <w:sz w:val="24"/>
                <w:szCs w:val="24"/>
              </w:rPr>
              <w:t>, persona</w:t>
            </w:r>
            <w:r>
              <w:rPr>
                <w:rFonts w:ascii="Times New Roman" w:hAnsi="Times New Roman" w:cs="Times New Roman"/>
                <w:sz w:val="24"/>
                <w:szCs w:val="24"/>
              </w:rPr>
              <w:t>s</w:t>
            </w:r>
            <w:r w:rsidRPr="00E91909">
              <w:rPr>
                <w:rFonts w:ascii="Times New Roman" w:hAnsi="Times New Roman" w:cs="Times New Roman"/>
                <w:sz w:val="24"/>
                <w:szCs w:val="24"/>
              </w:rPr>
              <w:t>, kura</w:t>
            </w:r>
            <w:r>
              <w:rPr>
                <w:rFonts w:ascii="Times New Roman" w:hAnsi="Times New Roman" w:cs="Times New Roman"/>
                <w:sz w:val="24"/>
                <w:szCs w:val="24"/>
              </w:rPr>
              <w:t>s sasniegušas</w:t>
            </w:r>
            <w:r w:rsidRPr="00E91909">
              <w:rPr>
                <w:rFonts w:ascii="Times New Roman" w:hAnsi="Times New Roman" w:cs="Times New Roman"/>
                <w:sz w:val="24"/>
                <w:szCs w:val="24"/>
              </w:rPr>
              <w:t xml:space="preserve"> Latvijas Republikā vecuma pensijas piešķiršanai noteikto vecumu, persona</w:t>
            </w:r>
            <w:r>
              <w:rPr>
                <w:rFonts w:ascii="Times New Roman" w:hAnsi="Times New Roman" w:cs="Times New Roman"/>
                <w:sz w:val="24"/>
                <w:szCs w:val="24"/>
              </w:rPr>
              <w:t>s, kurām</w:t>
            </w:r>
            <w:r w:rsidRPr="00E91909">
              <w:rPr>
                <w:rFonts w:ascii="Times New Roman" w:hAnsi="Times New Roman" w:cs="Times New Roman"/>
                <w:sz w:val="24"/>
                <w:szCs w:val="24"/>
              </w:rPr>
              <w:t xml:space="preserve"> Latvijas Republikā piešķirta vecuma pensija, trūcīgas ģimenes loceklis vai atsevišķi dzīvojoša trūcīga persona.</w:t>
            </w:r>
          </w:p>
          <w:p w:rsidR="00E91909" w:rsidRDefault="00E91909" w:rsidP="00E91909">
            <w:pPr>
              <w:jc w:val="both"/>
              <w:rPr>
                <w:rFonts w:ascii="Times New Roman" w:hAnsi="Times New Roman"/>
                <w:sz w:val="25"/>
                <w:szCs w:val="25"/>
              </w:rPr>
            </w:pPr>
            <w:r>
              <w:rPr>
                <w:rFonts w:ascii="Times New Roman" w:hAnsi="Times New Roman"/>
                <w:sz w:val="25"/>
                <w:szCs w:val="25"/>
              </w:rPr>
              <w:t>S</w:t>
            </w:r>
            <w:r w:rsidRPr="007910DC">
              <w:rPr>
                <w:rFonts w:ascii="Times New Roman" w:hAnsi="Times New Roman"/>
                <w:sz w:val="25"/>
                <w:szCs w:val="25"/>
              </w:rPr>
              <w:t xml:space="preserve">askaņā ar Valsts pārvaldes iekārtas likuma 54.panta trešo daļu iestāžu sadarbība notiek bez maksas, ja ārējā normatīvajā aktā nav noteikts citādi. </w:t>
            </w:r>
            <w:r>
              <w:rPr>
                <w:rFonts w:ascii="Times New Roman" w:hAnsi="Times New Roman"/>
                <w:sz w:val="25"/>
                <w:szCs w:val="25"/>
              </w:rPr>
              <w:t>Šā likuma 1.panta 3.punktā ir noteikts termina “iestāde” definējums. P</w:t>
            </w:r>
            <w:r w:rsidRPr="007910DC">
              <w:rPr>
                <w:rFonts w:ascii="Times New Roman" w:hAnsi="Times New Roman"/>
                <w:sz w:val="25"/>
                <w:szCs w:val="25"/>
              </w:rPr>
              <w:t xml:space="preserve">amatojoties uz Komerclikuma 134.panta </w:t>
            </w:r>
            <w:r>
              <w:rPr>
                <w:rFonts w:ascii="Times New Roman" w:hAnsi="Times New Roman"/>
                <w:sz w:val="25"/>
                <w:szCs w:val="25"/>
              </w:rPr>
              <w:t>pirmo un ceturto</w:t>
            </w:r>
            <w:r w:rsidRPr="007910DC">
              <w:rPr>
                <w:rFonts w:ascii="Times New Roman" w:hAnsi="Times New Roman"/>
                <w:sz w:val="25"/>
                <w:szCs w:val="25"/>
              </w:rPr>
              <w:t xml:space="preserve"> daļu</w:t>
            </w:r>
            <w:r w:rsidR="004B6626">
              <w:rPr>
                <w:rFonts w:ascii="Times New Roman" w:hAnsi="Times New Roman"/>
                <w:sz w:val="25"/>
                <w:szCs w:val="25"/>
              </w:rPr>
              <w:t>, 135.panta pirmo daļu</w:t>
            </w:r>
            <w:r>
              <w:rPr>
                <w:rFonts w:ascii="Times New Roman" w:hAnsi="Times New Roman"/>
                <w:sz w:val="25"/>
                <w:szCs w:val="25"/>
              </w:rPr>
              <w:t xml:space="preserve"> un ziņām, kas par </w:t>
            </w:r>
            <w:r>
              <w:rPr>
                <w:rFonts w:ascii="Times New Roman" w:hAnsi="Times New Roman" w:cs="Times New Roman"/>
                <w:sz w:val="24"/>
                <w:szCs w:val="24"/>
              </w:rPr>
              <w:t>akciju sabiedrību „Latvijas Gāze”</w:t>
            </w:r>
            <w:r>
              <w:rPr>
                <w:rFonts w:ascii="Times New Roman" w:hAnsi="Times New Roman"/>
                <w:sz w:val="25"/>
                <w:szCs w:val="25"/>
              </w:rPr>
              <w:t xml:space="preserve"> iekļautas Latvijas Republikas Uzņēmumu reģistrā</w:t>
            </w:r>
            <w:r w:rsidRPr="007910DC">
              <w:rPr>
                <w:rFonts w:ascii="Times New Roman" w:hAnsi="Times New Roman"/>
                <w:sz w:val="25"/>
                <w:szCs w:val="25"/>
              </w:rPr>
              <w:t xml:space="preserve">, </w:t>
            </w:r>
            <w:r>
              <w:rPr>
                <w:rFonts w:ascii="Times New Roman" w:hAnsi="Times New Roman" w:cs="Times New Roman"/>
                <w:sz w:val="24"/>
                <w:szCs w:val="24"/>
              </w:rPr>
              <w:t>akciju sabiedrība „Latvijas Gāze”</w:t>
            </w:r>
            <w:r>
              <w:rPr>
                <w:rFonts w:ascii="Times New Roman" w:hAnsi="Times New Roman"/>
                <w:sz w:val="25"/>
                <w:szCs w:val="25"/>
              </w:rPr>
              <w:t xml:space="preserve"> </w:t>
            </w:r>
            <w:r w:rsidRPr="007910DC">
              <w:rPr>
                <w:rFonts w:ascii="Times New Roman" w:eastAsia="Times New Roman" w:hAnsi="Times New Roman"/>
                <w:sz w:val="25"/>
                <w:szCs w:val="25"/>
                <w:lang w:eastAsia="lv-LV"/>
              </w:rPr>
              <w:t xml:space="preserve">pēc sava tiesiskā statusa neatbilst </w:t>
            </w:r>
            <w:r w:rsidRPr="007910DC">
              <w:rPr>
                <w:rFonts w:ascii="Times New Roman" w:hAnsi="Times New Roman"/>
                <w:sz w:val="25"/>
                <w:szCs w:val="25"/>
              </w:rPr>
              <w:t xml:space="preserve">Valsts pārvaldes iekārtas likuma 1.panta 3.punktā minētajam “iestādes” statusam, tādēļ uz </w:t>
            </w:r>
            <w:r>
              <w:rPr>
                <w:rFonts w:ascii="Times New Roman" w:hAnsi="Times New Roman" w:cs="Times New Roman"/>
                <w:sz w:val="24"/>
                <w:szCs w:val="24"/>
              </w:rPr>
              <w:t>akciju sabiedrību „Latvijas Gāze”</w:t>
            </w:r>
            <w:r w:rsidRPr="007910DC">
              <w:rPr>
                <w:rFonts w:ascii="Times New Roman" w:hAnsi="Times New Roman"/>
                <w:sz w:val="25"/>
                <w:szCs w:val="25"/>
              </w:rPr>
              <w:t xml:space="preserve"> nav attiecinām</w:t>
            </w:r>
            <w:r>
              <w:rPr>
                <w:rFonts w:ascii="Times New Roman" w:hAnsi="Times New Roman"/>
                <w:sz w:val="25"/>
                <w:szCs w:val="25"/>
              </w:rPr>
              <w:t>a</w:t>
            </w:r>
            <w:r w:rsidRPr="007910DC">
              <w:rPr>
                <w:rFonts w:ascii="Times New Roman" w:hAnsi="Times New Roman"/>
                <w:sz w:val="25"/>
                <w:szCs w:val="25"/>
              </w:rPr>
              <w:t xml:space="preserve"> </w:t>
            </w:r>
            <w:r>
              <w:rPr>
                <w:rFonts w:ascii="Times New Roman" w:hAnsi="Times New Roman"/>
                <w:sz w:val="25"/>
                <w:szCs w:val="25"/>
              </w:rPr>
              <w:t>šā likuma</w:t>
            </w:r>
            <w:r w:rsidRPr="007910DC">
              <w:rPr>
                <w:rFonts w:ascii="Times New Roman" w:hAnsi="Times New Roman"/>
                <w:sz w:val="25"/>
                <w:szCs w:val="25"/>
              </w:rPr>
              <w:t xml:space="preserve"> 54.panta trešā daļ</w:t>
            </w:r>
            <w:r>
              <w:rPr>
                <w:rFonts w:ascii="Times New Roman" w:hAnsi="Times New Roman"/>
                <w:sz w:val="25"/>
                <w:szCs w:val="25"/>
              </w:rPr>
              <w:t>a</w:t>
            </w:r>
            <w:r w:rsidRPr="007910DC">
              <w:rPr>
                <w:rFonts w:ascii="Times New Roman" w:hAnsi="Times New Roman"/>
                <w:sz w:val="25"/>
                <w:szCs w:val="25"/>
              </w:rPr>
              <w:t>.</w:t>
            </w:r>
            <w:r w:rsidRPr="009A0E7B">
              <w:rPr>
                <w:rFonts w:ascii="Times New Roman" w:hAnsi="Times New Roman"/>
                <w:sz w:val="25"/>
                <w:szCs w:val="25"/>
              </w:rPr>
              <w:t xml:space="preserve"> </w:t>
            </w:r>
            <w:r w:rsidRPr="007910DC">
              <w:rPr>
                <w:rFonts w:ascii="Times New Roman" w:hAnsi="Times New Roman"/>
                <w:sz w:val="25"/>
                <w:szCs w:val="25"/>
              </w:rPr>
              <w:t xml:space="preserve">Ievērojot minēto, </w:t>
            </w:r>
            <w:r>
              <w:rPr>
                <w:rFonts w:ascii="Times New Roman" w:hAnsi="Times New Roman"/>
                <w:sz w:val="25"/>
                <w:szCs w:val="25"/>
              </w:rPr>
              <w:t>Pārvaldei nav</w:t>
            </w:r>
            <w:r w:rsidRPr="007910DC">
              <w:rPr>
                <w:rFonts w:ascii="Times New Roman" w:hAnsi="Times New Roman"/>
                <w:sz w:val="25"/>
                <w:szCs w:val="25"/>
              </w:rPr>
              <w:t xml:space="preserve"> tiesīb</w:t>
            </w:r>
            <w:r>
              <w:rPr>
                <w:rFonts w:ascii="Times New Roman" w:hAnsi="Times New Roman"/>
                <w:sz w:val="25"/>
                <w:szCs w:val="25"/>
              </w:rPr>
              <w:t>u</w:t>
            </w:r>
            <w:r w:rsidRPr="007910DC">
              <w:rPr>
                <w:rFonts w:ascii="Times New Roman" w:hAnsi="Times New Roman"/>
                <w:sz w:val="25"/>
                <w:szCs w:val="25"/>
              </w:rPr>
              <w:t xml:space="preserve"> </w:t>
            </w:r>
            <w:r>
              <w:rPr>
                <w:rFonts w:ascii="Times New Roman" w:hAnsi="Times New Roman"/>
                <w:sz w:val="25"/>
                <w:szCs w:val="25"/>
              </w:rPr>
              <w:t xml:space="preserve">sniegt </w:t>
            </w:r>
            <w:r>
              <w:rPr>
                <w:rFonts w:ascii="Times New Roman" w:hAnsi="Times New Roman" w:cs="Times New Roman"/>
                <w:sz w:val="24"/>
                <w:szCs w:val="24"/>
              </w:rPr>
              <w:t>akciju sabiedrībai „Latvijas Gāze”</w:t>
            </w:r>
            <w:r w:rsidRPr="007910DC">
              <w:rPr>
                <w:rFonts w:ascii="Times New Roman" w:hAnsi="Times New Roman"/>
                <w:sz w:val="25"/>
                <w:szCs w:val="25"/>
              </w:rPr>
              <w:t xml:space="preserve"> </w:t>
            </w:r>
            <w:r w:rsidR="0002484B">
              <w:rPr>
                <w:rFonts w:ascii="Times New Roman" w:hAnsi="Times New Roman"/>
                <w:sz w:val="25"/>
                <w:szCs w:val="25"/>
              </w:rPr>
              <w:t>ziņas no Iedzīvotāju reģistra</w:t>
            </w:r>
            <w:r>
              <w:rPr>
                <w:rFonts w:ascii="Times New Roman" w:hAnsi="Times New Roman"/>
                <w:sz w:val="25"/>
                <w:szCs w:val="25"/>
              </w:rPr>
              <w:t xml:space="preserve"> </w:t>
            </w:r>
            <w:r w:rsidRPr="007910DC">
              <w:rPr>
                <w:rFonts w:ascii="Times New Roman" w:hAnsi="Times New Roman"/>
                <w:sz w:val="25"/>
                <w:szCs w:val="25"/>
              </w:rPr>
              <w:t>bez maksas.</w:t>
            </w:r>
          </w:p>
          <w:p w:rsidR="001E5A92" w:rsidRPr="00CD5BD2" w:rsidRDefault="001E5A92" w:rsidP="001E5A92">
            <w:pPr>
              <w:autoSpaceDE w:val="0"/>
              <w:autoSpaceDN w:val="0"/>
              <w:adjustRightInd w:val="0"/>
              <w:spacing w:after="0"/>
              <w:jc w:val="both"/>
              <w:rPr>
                <w:rFonts w:ascii="Times New Roman" w:hAnsi="Times New Roman"/>
                <w:sz w:val="25"/>
                <w:szCs w:val="25"/>
              </w:rPr>
            </w:pPr>
            <w:r w:rsidRPr="00CD5BD2">
              <w:rPr>
                <w:rFonts w:ascii="Times New Roman" w:hAnsi="Times New Roman"/>
                <w:sz w:val="25"/>
                <w:szCs w:val="25"/>
              </w:rPr>
              <w:t xml:space="preserve">Iedzīvotāju reģistra likuma </w:t>
            </w:r>
            <w:r>
              <w:rPr>
                <w:rFonts w:ascii="Times New Roman" w:hAnsi="Times New Roman"/>
                <w:sz w:val="25"/>
                <w:szCs w:val="25"/>
              </w:rPr>
              <w:t xml:space="preserve">10.panta pirmās daļas 10.punktā un </w:t>
            </w:r>
            <w:r w:rsidRPr="00CD5BD2">
              <w:rPr>
                <w:rFonts w:ascii="Times New Roman" w:hAnsi="Times New Roman"/>
                <w:sz w:val="25"/>
                <w:szCs w:val="25"/>
              </w:rPr>
              <w:t>17.pantā noteikt</w:t>
            </w:r>
            <w:r>
              <w:rPr>
                <w:rFonts w:ascii="Times New Roman" w:hAnsi="Times New Roman"/>
                <w:sz w:val="25"/>
                <w:szCs w:val="25"/>
              </w:rPr>
              <w:t>s</w:t>
            </w:r>
            <w:r w:rsidRPr="00CD5BD2">
              <w:rPr>
                <w:rFonts w:ascii="Times New Roman" w:hAnsi="Times New Roman"/>
                <w:sz w:val="25"/>
                <w:szCs w:val="25"/>
              </w:rPr>
              <w:t xml:space="preserve">, </w:t>
            </w:r>
            <w:r>
              <w:rPr>
                <w:rFonts w:ascii="Times New Roman" w:hAnsi="Times New Roman"/>
                <w:sz w:val="25"/>
                <w:szCs w:val="25"/>
              </w:rPr>
              <w:t xml:space="preserve">ka Iedzīvotāju reģistrā par personu iekļauj ziņas par deklarētās, reģistrētās vai personas norādītās dzīvesvietas adresi. </w:t>
            </w:r>
            <w:r w:rsidRPr="00CD5BD2">
              <w:rPr>
                <w:rFonts w:ascii="Times New Roman" w:hAnsi="Times New Roman"/>
                <w:sz w:val="25"/>
                <w:szCs w:val="25"/>
              </w:rPr>
              <w:t>Ministru kabinets nosaka kārtību, kādā Pārvalde, attiecīgās pašvaldības un Latvijas diplomātiskās un konsulārās pārstāvniecības ārvalstīs savas kompetences ietvaros izsniedz Iedzīvotāju reģistrā iekļautās ziņas. Ministru kabineta 2011.gada 15.februāra noteikumu Nr.130 „Iedzīvotāju reģistrā iekļauto ziņu izsniegšanas kārtība” 8.4.apakšpunktā noteikts, ka, pieprasot ziņas par citu personu, pieprasījumā norāda:</w:t>
            </w:r>
          </w:p>
          <w:p w:rsidR="001E5A92" w:rsidRPr="00CD5BD2" w:rsidRDefault="001E5A92" w:rsidP="001E5A92">
            <w:pPr>
              <w:spacing w:after="0"/>
              <w:ind w:firstLine="720"/>
              <w:jc w:val="both"/>
              <w:rPr>
                <w:rFonts w:ascii="Times New Roman" w:hAnsi="Times New Roman"/>
                <w:sz w:val="25"/>
                <w:szCs w:val="25"/>
              </w:rPr>
            </w:pPr>
            <w:r w:rsidRPr="00CD5BD2">
              <w:rPr>
                <w:rFonts w:ascii="Times New Roman" w:hAnsi="Times New Roman"/>
                <w:sz w:val="25"/>
                <w:szCs w:val="25"/>
              </w:rPr>
              <w:t>8.4.1. pamatojumu ziņu saņemšanas nepieciešamībai un</w:t>
            </w:r>
            <w:r>
              <w:rPr>
                <w:rFonts w:ascii="Times New Roman" w:hAnsi="Times New Roman"/>
                <w:sz w:val="25"/>
                <w:szCs w:val="25"/>
              </w:rPr>
              <w:t xml:space="preserve"> pievieno</w:t>
            </w:r>
            <w:r w:rsidRPr="00CD5BD2">
              <w:rPr>
                <w:rFonts w:ascii="Times New Roman" w:hAnsi="Times New Roman"/>
                <w:sz w:val="25"/>
                <w:szCs w:val="25"/>
              </w:rPr>
              <w:t xml:space="preserve"> to apliecinošu dokumentu</w:t>
            </w:r>
            <w:r>
              <w:rPr>
                <w:rFonts w:ascii="Times New Roman" w:hAnsi="Times New Roman"/>
                <w:sz w:val="25"/>
                <w:szCs w:val="25"/>
              </w:rPr>
              <w:t xml:space="preserve"> vai tā kopiju</w:t>
            </w:r>
            <w:r w:rsidRPr="00CD5BD2">
              <w:rPr>
                <w:rFonts w:ascii="Times New Roman" w:hAnsi="Times New Roman"/>
                <w:sz w:val="25"/>
                <w:szCs w:val="25"/>
              </w:rPr>
              <w:t xml:space="preserve">; </w:t>
            </w:r>
          </w:p>
          <w:p w:rsidR="001E5A92" w:rsidRPr="00CD5BD2" w:rsidRDefault="001E5A92" w:rsidP="001E5A92">
            <w:pPr>
              <w:spacing w:after="0"/>
              <w:ind w:firstLine="720"/>
              <w:jc w:val="both"/>
              <w:rPr>
                <w:rFonts w:ascii="Times New Roman" w:hAnsi="Times New Roman"/>
                <w:sz w:val="25"/>
                <w:szCs w:val="25"/>
              </w:rPr>
            </w:pPr>
            <w:r w:rsidRPr="00CD5BD2">
              <w:rPr>
                <w:rFonts w:ascii="Times New Roman" w:hAnsi="Times New Roman"/>
                <w:sz w:val="25"/>
                <w:szCs w:val="25"/>
              </w:rPr>
              <w:t xml:space="preserve">8.4.2. ziņu izmantošanas mērķi, ja likumā nav noteikta cita kārtība; </w:t>
            </w:r>
          </w:p>
          <w:p w:rsidR="001E5A92" w:rsidRDefault="001E5A92" w:rsidP="00E91909">
            <w:pPr>
              <w:spacing w:after="0"/>
              <w:jc w:val="both"/>
              <w:rPr>
                <w:rFonts w:ascii="Times New Roman" w:hAnsi="Times New Roman"/>
                <w:sz w:val="25"/>
                <w:szCs w:val="25"/>
              </w:rPr>
            </w:pPr>
            <w:r>
              <w:rPr>
                <w:rFonts w:ascii="Times New Roman" w:hAnsi="Times New Roman"/>
                <w:sz w:val="25"/>
                <w:szCs w:val="25"/>
              </w:rPr>
              <w:t xml:space="preserve">           </w:t>
            </w:r>
            <w:r w:rsidRPr="00CD5BD2">
              <w:rPr>
                <w:rFonts w:ascii="Times New Roman" w:hAnsi="Times New Roman"/>
                <w:sz w:val="25"/>
                <w:szCs w:val="25"/>
              </w:rPr>
              <w:t>8.4.3. datus, pēc kuriem var identificēt personu.</w:t>
            </w:r>
          </w:p>
          <w:p w:rsidR="00E91909" w:rsidRDefault="00E91909" w:rsidP="00E91909">
            <w:pPr>
              <w:jc w:val="both"/>
              <w:rPr>
                <w:rFonts w:ascii="Times New Roman" w:hAnsi="Times New Roman" w:cs="Times New Roman"/>
                <w:sz w:val="24"/>
                <w:szCs w:val="24"/>
              </w:rPr>
            </w:pPr>
            <w:r w:rsidRPr="00E91909">
              <w:rPr>
                <w:rFonts w:ascii="Times New Roman" w:hAnsi="Times New Roman" w:cs="Times New Roman"/>
                <w:sz w:val="24"/>
                <w:szCs w:val="24"/>
              </w:rPr>
              <w:t>Ievērojot minēto, lai</w:t>
            </w:r>
            <w:r>
              <w:rPr>
                <w:rFonts w:ascii="Times New Roman" w:hAnsi="Times New Roman" w:cs="Times New Roman"/>
                <w:sz w:val="24"/>
                <w:szCs w:val="24"/>
              </w:rPr>
              <w:t xml:space="preserve"> Pārvaldei būtu tiesisks pamats izsniegt ziņas no Iedzīvotāju reģistra par akciju sabiedrības „Latvijas Gāze” akcionāru dzīvesvietas adresēm, ir nepieciešams tiesisks pamatojums ziņu saņemšanai.</w:t>
            </w:r>
          </w:p>
          <w:p w:rsidR="00786B8C" w:rsidRPr="00786B8C" w:rsidRDefault="00786B8C" w:rsidP="00DA3168">
            <w:pPr>
              <w:pStyle w:val="tv213"/>
              <w:spacing w:before="0" w:beforeAutospacing="0" w:after="0" w:afterAutospacing="0" w:line="293" w:lineRule="atLeast"/>
              <w:jc w:val="both"/>
            </w:pPr>
            <w:r w:rsidRPr="00786B8C">
              <w:t xml:space="preserve">Komerclikuma </w:t>
            </w:r>
            <w:r>
              <w:rPr>
                <w:bCs/>
              </w:rPr>
              <w:t>273.panta pirmaj</w:t>
            </w:r>
            <w:r w:rsidR="00AA315C">
              <w:rPr>
                <w:bCs/>
              </w:rPr>
              <w:t>ā</w:t>
            </w:r>
            <w:r>
              <w:rPr>
                <w:bCs/>
              </w:rPr>
              <w:t xml:space="preserve"> un otraj</w:t>
            </w:r>
            <w:r w:rsidR="00AA315C">
              <w:rPr>
                <w:bCs/>
              </w:rPr>
              <w:t>ā</w:t>
            </w:r>
            <w:r>
              <w:rPr>
                <w:bCs/>
              </w:rPr>
              <w:t xml:space="preserve"> daļ</w:t>
            </w:r>
            <w:r w:rsidR="00AA315C">
              <w:rPr>
                <w:bCs/>
              </w:rPr>
              <w:t>ā noteikts, ka</w:t>
            </w:r>
            <w:r w:rsidRPr="00786B8C">
              <w:rPr>
                <w:bCs/>
              </w:rPr>
              <w:t xml:space="preserve"> </w:t>
            </w:r>
            <w:r>
              <w:rPr>
                <w:bCs/>
              </w:rPr>
              <w:t>p</w:t>
            </w:r>
            <w:r w:rsidRPr="00786B8C">
              <w:t xml:space="preserve">aziņojums par akcionāru sapulces sasaukšanu izsludināms ne vēlāk kā 30 dienas pirms paredzētās </w:t>
            </w:r>
            <w:r w:rsidRPr="00786B8C">
              <w:lastRenderedPageBreak/>
              <w:t>akcionāru sapulces.</w:t>
            </w:r>
            <w:r>
              <w:t xml:space="preserve"> </w:t>
            </w:r>
            <w:r w:rsidRPr="00786B8C">
              <w:t>Paziņojums par akcionāru sapulces sasaukšanu izsludināms:</w:t>
            </w:r>
          </w:p>
          <w:p w:rsidR="00786B8C" w:rsidRPr="00786B8C" w:rsidRDefault="00786B8C" w:rsidP="00786B8C">
            <w:pPr>
              <w:pStyle w:val="tv213"/>
              <w:spacing w:before="0" w:beforeAutospacing="0" w:after="0" w:afterAutospacing="0" w:line="293" w:lineRule="atLeast"/>
              <w:jc w:val="both"/>
            </w:pPr>
            <w:r w:rsidRPr="00786B8C">
              <w:t xml:space="preserve">1) ja sabiedrībai ir uzrādītāja akcijas, — publicējot </w:t>
            </w:r>
            <w:r>
              <w:t>paziņojumu oficiālajā izdevumā „Latvijas Vēstnesis”</w:t>
            </w:r>
            <w:r w:rsidRPr="00786B8C">
              <w:t xml:space="preserve"> un vēl vismaz vienā laikrakstā;</w:t>
            </w:r>
          </w:p>
          <w:p w:rsidR="00DC462F" w:rsidRDefault="00786B8C" w:rsidP="00786B8C">
            <w:pPr>
              <w:spacing w:after="0"/>
              <w:jc w:val="both"/>
              <w:rPr>
                <w:rFonts w:ascii="Times New Roman" w:hAnsi="Times New Roman" w:cs="Times New Roman"/>
                <w:sz w:val="24"/>
                <w:szCs w:val="24"/>
              </w:rPr>
            </w:pPr>
            <w:r w:rsidRPr="00786B8C">
              <w:rPr>
                <w:rFonts w:ascii="Times New Roman" w:hAnsi="Times New Roman" w:cs="Times New Roman"/>
                <w:sz w:val="24"/>
                <w:szCs w:val="24"/>
              </w:rPr>
              <w:t>2) ja sabiedrībai ir arī vārda akcijas vai tikai vārda akcijas, — nosūtot akcionāru reģistrā ierakstītajiem akcionāriem rakstveida paziņojumus.</w:t>
            </w:r>
          </w:p>
          <w:p w:rsidR="00786B8C" w:rsidRDefault="00786B8C" w:rsidP="00AF3A6C">
            <w:pPr>
              <w:spacing w:after="0"/>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786B8C">
              <w:rPr>
                <w:rFonts w:ascii="Times New Roman" w:hAnsi="Times New Roman" w:cs="Times New Roman"/>
                <w:sz w:val="24"/>
                <w:szCs w:val="24"/>
              </w:rPr>
              <w:t>minētajam 2016.gada 1.augusta oficiālajā izdevumā „Latvijas Vēstnesis”</w:t>
            </w:r>
            <w:r>
              <w:rPr>
                <w:rFonts w:ascii="Times New Roman" w:hAnsi="Times New Roman" w:cs="Times New Roman"/>
                <w:sz w:val="24"/>
                <w:szCs w:val="24"/>
              </w:rPr>
              <w:t xml:space="preserve"> tika publicēts paziņojums ārkārtas sēdes sasaukšanai 2016.gada 2.septembrī, lai izskatītu jautājumu par akciju sabiedrības „Latvijas Gāze” reorganizāciju.</w:t>
            </w:r>
          </w:p>
          <w:p w:rsidR="00AF3A6C" w:rsidRDefault="00AF3A6C" w:rsidP="00AF3A6C">
            <w:pPr>
              <w:spacing w:after="0"/>
              <w:jc w:val="both"/>
              <w:rPr>
                <w:rFonts w:ascii="Times New Roman" w:hAnsi="Times New Roman"/>
                <w:sz w:val="25"/>
                <w:szCs w:val="25"/>
              </w:rPr>
            </w:pPr>
            <w:r>
              <w:rPr>
                <w:rFonts w:ascii="Times New Roman" w:hAnsi="Times New Roman" w:cs="Times New Roman"/>
                <w:sz w:val="24"/>
                <w:szCs w:val="24"/>
              </w:rPr>
              <w:t xml:space="preserve">Saskaņā ar </w:t>
            </w:r>
            <w:r w:rsidRPr="007910DC">
              <w:rPr>
                <w:rFonts w:ascii="Times New Roman" w:hAnsi="Times New Roman"/>
                <w:sz w:val="25"/>
                <w:szCs w:val="25"/>
              </w:rPr>
              <w:t xml:space="preserve">Komerclikuma 235.panta </w:t>
            </w:r>
            <w:r>
              <w:rPr>
                <w:rFonts w:ascii="Times New Roman" w:hAnsi="Times New Roman"/>
                <w:sz w:val="25"/>
                <w:szCs w:val="25"/>
              </w:rPr>
              <w:t xml:space="preserve">pirmās daļas 1.punkta “a” apakšpunktu akcionāru reģistrā ieraksta ziņas par akcionāriem: </w:t>
            </w:r>
            <w:r w:rsidRPr="004F5F3C">
              <w:rPr>
                <w:rFonts w:ascii="Times New Roman" w:hAnsi="Times New Roman"/>
                <w:sz w:val="25"/>
                <w:szCs w:val="25"/>
              </w:rPr>
              <w:t xml:space="preserve">fiziskajai personai — vārdu, uzvārdu, personas kodu (ja personai nav personas koda, — dzimšanas datumu, personu apliecinoša dokumenta numuru un izdošanas datumu, valsti un institūciju, kas dokumentu izdevusi) un </w:t>
            </w:r>
            <w:r w:rsidRPr="00AF3A6C">
              <w:rPr>
                <w:rFonts w:ascii="Times New Roman" w:hAnsi="Times New Roman"/>
                <w:sz w:val="25"/>
                <w:szCs w:val="25"/>
              </w:rPr>
              <w:t>dzīvesvietu</w:t>
            </w:r>
            <w:r>
              <w:rPr>
                <w:rFonts w:ascii="Times New Roman" w:hAnsi="Times New Roman"/>
                <w:sz w:val="25"/>
                <w:szCs w:val="25"/>
              </w:rPr>
              <w:t>.</w:t>
            </w:r>
          </w:p>
          <w:p w:rsidR="001920FA" w:rsidRDefault="001920FA" w:rsidP="00AF3A6C">
            <w:pPr>
              <w:spacing w:after="0"/>
              <w:jc w:val="both"/>
              <w:rPr>
                <w:rFonts w:ascii="Times New Roman" w:hAnsi="Times New Roman"/>
                <w:sz w:val="25"/>
                <w:szCs w:val="25"/>
              </w:rPr>
            </w:pPr>
            <w:r>
              <w:rPr>
                <w:rFonts w:ascii="Times New Roman" w:hAnsi="Times New Roman"/>
                <w:sz w:val="25"/>
                <w:szCs w:val="25"/>
              </w:rPr>
              <w:t>Komerclikums neparedz pienākumu akcionāriem informēt akciju sabiedrību par savas dzīvesvietas maiņu.</w:t>
            </w:r>
          </w:p>
          <w:p w:rsidR="00AF3A6C" w:rsidRDefault="00AF3A6C" w:rsidP="00085374">
            <w:pPr>
              <w:spacing w:after="0"/>
              <w:jc w:val="both"/>
              <w:rPr>
                <w:rFonts w:ascii="Times New Roman" w:hAnsi="Times New Roman" w:cs="Times New Roman"/>
                <w:sz w:val="24"/>
                <w:szCs w:val="24"/>
              </w:rPr>
            </w:pPr>
            <w:r>
              <w:rPr>
                <w:rFonts w:ascii="Times New Roman" w:hAnsi="Times New Roman" w:cs="Times New Roman"/>
                <w:sz w:val="24"/>
                <w:szCs w:val="24"/>
              </w:rPr>
              <w:t>Ievērojot minēto</w:t>
            </w:r>
            <w:r w:rsidR="00770B2B">
              <w:rPr>
                <w:rFonts w:ascii="Times New Roman" w:hAnsi="Times New Roman" w:cs="Times New Roman"/>
                <w:sz w:val="24"/>
                <w:szCs w:val="24"/>
              </w:rPr>
              <w:t>,</w:t>
            </w:r>
            <w:r w:rsidR="001920FA">
              <w:rPr>
                <w:rFonts w:ascii="Times New Roman" w:hAnsi="Times New Roman" w:cs="Times New Roman"/>
                <w:sz w:val="24"/>
                <w:szCs w:val="24"/>
              </w:rPr>
              <w:t xml:space="preserve"> akcionāru dzīvesvietas adreses akcionāru reģistrā var nebūt aktuālas, kā rezultātā izsūtītie rakstveida paziņojumi var nesasniegt adresātu.</w:t>
            </w:r>
          </w:p>
          <w:p w:rsidR="005C5ADA" w:rsidRDefault="005C5ADA" w:rsidP="00786B8C">
            <w:pPr>
              <w:jc w:val="both"/>
              <w:rPr>
                <w:rFonts w:ascii="Times New Roman" w:hAnsi="Times New Roman" w:cs="Times New Roman"/>
                <w:sz w:val="24"/>
                <w:szCs w:val="24"/>
              </w:rPr>
            </w:pPr>
            <w:r>
              <w:rPr>
                <w:rFonts w:ascii="Times New Roman" w:hAnsi="Times New Roman" w:cs="Times New Roman"/>
                <w:sz w:val="24"/>
                <w:szCs w:val="24"/>
              </w:rPr>
              <w:t>Ievērojot minēto</w:t>
            </w:r>
            <w:r w:rsidR="00085374">
              <w:rPr>
                <w:rFonts w:ascii="Times New Roman" w:hAnsi="Times New Roman" w:cs="Times New Roman"/>
                <w:sz w:val="24"/>
                <w:szCs w:val="24"/>
              </w:rPr>
              <w:t xml:space="preserve">, nezinot akcionāru aktuālo dzīvesvietas adresi var netikt sasniegts mērķis – visu akcionāru informēšana par ārkārtas sapulci, kurā lems par akciju sabiedrības „Latvijas Gāze” reorganizāciju, kas nepieciešama izpildot </w:t>
            </w:r>
            <w:r w:rsidR="00085374" w:rsidRPr="00085374">
              <w:rPr>
                <w:rFonts w:ascii="Times New Roman" w:hAnsi="Times New Roman" w:cs="Times New Roman"/>
                <w:sz w:val="24"/>
                <w:szCs w:val="24"/>
              </w:rPr>
              <w:t>likumdevēja gribu (pieņemot grozījumus Enerģētikas likumā), kā arī Eiropas Savienības direktīvu 2009/73/EK</w:t>
            </w:r>
            <w:r w:rsidR="00085374">
              <w:rPr>
                <w:rFonts w:ascii="Times New Roman" w:hAnsi="Times New Roman" w:cs="Times New Roman"/>
                <w:sz w:val="24"/>
                <w:szCs w:val="24"/>
              </w:rPr>
              <w:t xml:space="preserve">. Norādāms, ka, ja netiktu pieņemti grozījumi Enerģētikas likumā un tā rezultātā netiktu pārņemtas </w:t>
            </w:r>
            <w:r w:rsidR="00085374" w:rsidRPr="00085374">
              <w:rPr>
                <w:rFonts w:ascii="Times New Roman" w:hAnsi="Times New Roman" w:cs="Times New Roman"/>
                <w:sz w:val="24"/>
                <w:szCs w:val="24"/>
              </w:rPr>
              <w:t>direktīv</w:t>
            </w:r>
            <w:r w:rsidR="00085374">
              <w:rPr>
                <w:rFonts w:ascii="Times New Roman" w:hAnsi="Times New Roman" w:cs="Times New Roman"/>
                <w:sz w:val="24"/>
                <w:szCs w:val="24"/>
              </w:rPr>
              <w:t>as</w:t>
            </w:r>
            <w:r w:rsidR="00085374" w:rsidRPr="00085374">
              <w:rPr>
                <w:rFonts w:ascii="Times New Roman" w:hAnsi="Times New Roman" w:cs="Times New Roman"/>
                <w:sz w:val="24"/>
                <w:szCs w:val="24"/>
              </w:rPr>
              <w:t xml:space="preserve"> 2009/73/EK prasības</w:t>
            </w:r>
            <w:r w:rsidR="00085374">
              <w:rPr>
                <w:rFonts w:ascii="Times New Roman" w:hAnsi="Times New Roman" w:cs="Times New Roman"/>
                <w:sz w:val="24"/>
                <w:szCs w:val="24"/>
              </w:rPr>
              <w:t>, Latvijai nāktos</w:t>
            </w:r>
            <w:r w:rsidR="00085374" w:rsidRPr="00085374">
              <w:rPr>
                <w:rFonts w:ascii="Times New Roman" w:hAnsi="Times New Roman" w:cs="Times New Roman"/>
                <w:sz w:val="24"/>
                <w:szCs w:val="24"/>
              </w:rPr>
              <w:t xml:space="preserve"> saskarties ar pārkāpuma procedūru un potenciāli ar soda sankcijām. </w:t>
            </w:r>
            <w:r w:rsidR="00085374">
              <w:rPr>
                <w:rFonts w:ascii="Times New Roman" w:hAnsi="Times New Roman" w:cs="Times New Roman"/>
                <w:sz w:val="24"/>
                <w:szCs w:val="24"/>
              </w:rPr>
              <w:t xml:space="preserve">Tāpat ievērojot to, ka </w:t>
            </w:r>
            <w:r w:rsidR="00085374" w:rsidRPr="00085374">
              <w:rPr>
                <w:rFonts w:ascii="Times New Roman" w:hAnsi="Times New Roman" w:cs="Times New Roman"/>
                <w:sz w:val="24"/>
                <w:szCs w:val="24"/>
              </w:rPr>
              <w:t>Latvijas vēlme joprojām</w:t>
            </w:r>
            <w:r w:rsidR="00085374">
              <w:rPr>
                <w:rFonts w:ascii="Times New Roman" w:hAnsi="Times New Roman" w:cs="Times New Roman"/>
                <w:sz w:val="24"/>
                <w:szCs w:val="24"/>
              </w:rPr>
              <w:t xml:space="preserve"> ir</w:t>
            </w:r>
            <w:r w:rsidR="00085374" w:rsidRPr="00085374">
              <w:rPr>
                <w:rFonts w:ascii="Times New Roman" w:hAnsi="Times New Roman" w:cs="Times New Roman"/>
                <w:sz w:val="24"/>
                <w:szCs w:val="24"/>
              </w:rPr>
              <w:t xml:space="preserve"> īstenot Kopīgas intereses projektus dabasgāzes nozarē, piesaistot E</w:t>
            </w:r>
            <w:r w:rsidR="00085374">
              <w:rPr>
                <w:rFonts w:ascii="Times New Roman" w:hAnsi="Times New Roman" w:cs="Times New Roman"/>
                <w:sz w:val="24"/>
                <w:szCs w:val="24"/>
              </w:rPr>
              <w:t xml:space="preserve">iropas </w:t>
            </w:r>
            <w:r w:rsidR="00085374" w:rsidRPr="00085374">
              <w:rPr>
                <w:rFonts w:ascii="Times New Roman" w:hAnsi="Times New Roman" w:cs="Times New Roman"/>
                <w:sz w:val="24"/>
                <w:szCs w:val="24"/>
              </w:rPr>
              <w:t>S</w:t>
            </w:r>
            <w:r w:rsidR="00085374">
              <w:rPr>
                <w:rFonts w:ascii="Times New Roman" w:hAnsi="Times New Roman" w:cs="Times New Roman"/>
                <w:sz w:val="24"/>
                <w:szCs w:val="24"/>
              </w:rPr>
              <w:t>avienības</w:t>
            </w:r>
            <w:r w:rsidR="00085374" w:rsidRPr="00085374">
              <w:rPr>
                <w:rFonts w:ascii="Times New Roman" w:hAnsi="Times New Roman" w:cs="Times New Roman"/>
                <w:sz w:val="24"/>
                <w:szCs w:val="24"/>
              </w:rPr>
              <w:t xml:space="preserve"> finansējumu (</w:t>
            </w:r>
            <w:r w:rsidR="00085374" w:rsidRPr="00085374">
              <w:rPr>
                <w:rFonts w:ascii="Times New Roman" w:hAnsi="Times New Roman" w:cs="Times New Roman"/>
                <w:i/>
                <w:sz w:val="24"/>
                <w:szCs w:val="24"/>
              </w:rPr>
              <w:t>Connecting Europe Facility</w:t>
            </w:r>
            <w:r w:rsidR="00085374" w:rsidRPr="00085374">
              <w:rPr>
                <w:rFonts w:ascii="Times New Roman" w:hAnsi="Times New Roman" w:cs="Times New Roman"/>
                <w:sz w:val="24"/>
                <w:szCs w:val="24"/>
              </w:rPr>
              <w:t xml:space="preserve">), </w:t>
            </w:r>
            <w:r w:rsidR="00085374">
              <w:rPr>
                <w:rFonts w:ascii="Times New Roman" w:hAnsi="Times New Roman" w:cs="Times New Roman"/>
                <w:sz w:val="24"/>
                <w:szCs w:val="24"/>
              </w:rPr>
              <w:t>tad</w:t>
            </w:r>
            <w:r w:rsidR="00085374" w:rsidRPr="00085374">
              <w:rPr>
                <w:rFonts w:ascii="Times New Roman" w:hAnsi="Times New Roman" w:cs="Times New Roman"/>
                <w:sz w:val="24"/>
                <w:szCs w:val="24"/>
              </w:rPr>
              <w:t xml:space="preserve"> direktīvas prasību neieviešanas gadījumā</w:t>
            </w:r>
            <w:r w:rsidR="00085374">
              <w:rPr>
                <w:rFonts w:ascii="Times New Roman" w:hAnsi="Times New Roman" w:cs="Times New Roman"/>
                <w:sz w:val="24"/>
                <w:szCs w:val="24"/>
              </w:rPr>
              <w:t xml:space="preserve"> tas</w:t>
            </w:r>
            <w:r w:rsidR="00085374" w:rsidRPr="00085374">
              <w:rPr>
                <w:rFonts w:ascii="Times New Roman" w:hAnsi="Times New Roman" w:cs="Times New Roman"/>
                <w:sz w:val="24"/>
                <w:szCs w:val="24"/>
              </w:rPr>
              <w:t xml:space="preserve"> nebū</w:t>
            </w:r>
            <w:r w:rsidR="00085374">
              <w:rPr>
                <w:rFonts w:ascii="Times New Roman" w:hAnsi="Times New Roman" w:cs="Times New Roman"/>
                <w:sz w:val="24"/>
                <w:szCs w:val="24"/>
              </w:rPr>
              <w:t>tu</w:t>
            </w:r>
            <w:r w:rsidR="00085374" w:rsidRPr="00085374">
              <w:rPr>
                <w:rFonts w:ascii="Times New Roman" w:hAnsi="Times New Roman" w:cs="Times New Roman"/>
                <w:sz w:val="24"/>
                <w:szCs w:val="24"/>
              </w:rPr>
              <w:t xml:space="preserve"> iespējams. </w:t>
            </w:r>
          </w:p>
          <w:p w:rsidR="00894D6C" w:rsidRDefault="00497DB2" w:rsidP="00497DB2">
            <w:pPr>
              <w:spacing w:after="0"/>
              <w:jc w:val="both"/>
              <w:rPr>
                <w:rFonts w:ascii="Times New Roman" w:hAnsi="Times New Roman" w:cs="Times New Roman"/>
                <w:sz w:val="24"/>
                <w:szCs w:val="24"/>
              </w:rPr>
            </w:pPr>
            <w:r>
              <w:rPr>
                <w:rFonts w:ascii="Times New Roman" w:hAnsi="Times New Roman" w:cs="Times New Roman"/>
                <w:sz w:val="24"/>
                <w:szCs w:val="24"/>
              </w:rPr>
              <w:t>Ievērojot visu minēto un ņemot vērā visus tiesiskos un faktiskos apstākļus, tai skaitā, ka akciju sabiedrības reorganizācija tiek veikta likumdevēja gribas dēļ,</w:t>
            </w:r>
            <w:r w:rsidR="00701E3E">
              <w:rPr>
                <w:rFonts w:ascii="Times New Roman" w:hAnsi="Times New Roman" w:cs="Times New Roman"/>
                <w:sz w:val="24"/>
                <w:szCs w:val="24"/>
              </w:rPr>
              <w:t xml:space="preserve"> konstatējams, ka</w:t>
            </w:r>
            <w:r>
              <w:rPr>
                <w:rFonts w:ascii="Times New Roman" w:hAnsi="Times New Roman" w:cs="Times New Roman"/>
                <w:sz w:val="24"/>
                <w:szCs w:val="24"/>
              </w:rPr>
              <w:t xml:space="preserve"> varētu tikt </w:t>
            </w:r>
            <w:r w:rsidR="00894D6C">
              <w:rPr>
                <w:rFonts w:ascii="Times New Roman" w:hAnsi="Times New Roman" w:cs="Times New Roman"/>
                <w:sz w:val="24"/>
                <w:szCs w:val="24"/>
              </w:rPr>
              <w:t>izsnie</w:t>
            </w:r>
            <w:r>
              <w:rPr>
                <w:rFonts w:ascii="Times New Roman" w:hAnsi="Times New Roman" w:cs="Times New Roman"/>
                <w:sz w:val="24"/>
                <w:szCs w:val="24"/>
              </w:rPr>
              <w:t>gtas</w:t>
            </w:r>
            <w:r w:rsidR="00894D6C">
              <w:rPr>
                <w:rFonts w:ascii="Times New Roman" w:hAnsi="Times New Roman" w:cs="Times New Roman"/>
                <w:sz w:val="24"/>
                <w:szCs w:val="24"/>
              </w:rPr>
              <w:t xml:space="preserve"> ziņas par akcionāru dzīvesvietas </w:t>
            </w:r>
            <w:r>
              <w:rPr>
                <w:rFonts w:ascii="Times New Roman" w:hAnsi="Times New Roman" w:cs="Times New Roman"/>
                <w:sz w:val="24"/>
                <w:szCs w:val="24"/>
              </w:rPr>
              <w:t>adresēm no Iedzīvotāju reģistra.</w:t>
            </w:r>
            <w:r w:rsidR="00894D6C">
              <w:rPr>
                <w:rFonts w:ascii="Times New Roman" w:hAnsi="Times New Roman" w:cs="Times New Roman"/>
                <w:sz w:val="24"/>
                <w:szCs w:val="24"/>
              </w:rPr>
              <w:t xml:space="preserve"> </w:t>
            </w:r>
          </w:p>
          <w:p w:rsidR="00497DB2" w:rsidRPr="00EE30AB" w:rsidRDefault="00497DB2" w:rsidP="00786B8C">
            <w:pPr>
              <w:jc w:val="both"/>
              <w:rPr>
                <w:rFonts w:ascii="Times New Roman" w:hAnsi="Times New Roman" w:cs="Times New Roman"/>
                <w:i/>
                <w:sz w:val="24"/>
                <w:szCs w:val="24"/>
              </w:rPr>
            </w:pPr>
            <w:r>
              <w:rPr>
                <w:rFonts w:ascii="Times New Roman" w:hAnsi="Times New Roman" w:cs="Times New Roman"/>
                <w:sz w:val="24"/>
                <w:szCs w:val="24"/>
              </w:rPr>
              <w:t>Ievērojot to</w:t>
            </w:r>
            <w:r w:rsidRPr="006232EB">
              <w:rPr>
                <w:rFonts w:ascii="Times New Roman" w:hAnsi="Times New Roman" w:cs="Times New Roman"/>
                <w:sz w:val="24"/>
                <w:szCs w:val="24"/>
              </w:rPr>
              <w:t xml:space="preserve">, ka akciju sabiedrība „Latvijas Gāze” vēlas saņemt ziņas par vairāk kā 6000 akcionāru dzīvesvietas adresēm, tad šajā gadījumā lietderības apsvērumu dēļ ziņas būtu izsniedzamas </w:t>
            </w:r>
            <w:r w:rsidR="00292388">
              <w:rPr>
                <w:rFonts w:ascii="Times New Roman" w:hAnsi="Times New Roman" w:cs="Times New Roman"/>
                <w:sz w:val="24"/>
                <w:szCs w:val="24"/>
              </w:rPr>
              <w:t>elektroniski</w:t>
            </w:r>
            <w:r w:rsidR="006232EB" w:rsidRPr="006232EB">
              <w:rPr>
                <w:rFonts w:ascii="Times New Roman" w:hAnsi="Times New Roman" w:cs="Times New Roman"/>
                <w:sz w:val="24"/>
                <w:szCs w:val="24"/>
              </w:rPr>
              <w:t>. S</w:t>
            </w:r>
            <w:r w:rsidRPr="006232EB">
              <w:rPr>
                <w:rFonts w:ascii="Times New Roman" w:hAnsi="Times New Roman" w:cs="Times New Roman"/>
                <w:sz w:val="24"/>
                <w:szCs w:val="24"/>
              </w:rPr>
              <w:t xml:space="preserve">askaņā ar Ministru </w:t>
            </w:r>
            <w:r w:rsidRPr="006232EB">
              <w:rPr>
                <w:rFonts w:ascii="Times New Roman" w:hAnsi="Times New Roman" w:cs="Times New Roman"/>
                <w:sz w:val="24"/>
                <w:szCs w:val="24"/>
              </w:rPr>
              <w:lastRenderedPageBreak/>
              <w:t>kabineta 2015.gada 14.jūlija noteikumu Nr.391 „</w:t>
            </w:r>
            <w:r w:rsidRPr="006232EB">
              <w:rPr>
                <w:rFonts w:ascii="Times New Roman" w:hAnsi="Times New Roman" w:cs="Times New Roman"/>
                <w:bCs/>
                <w:sz w:val="24"/>
                <w:szCs w:val="24"/>
              </w:rPr>
              <w:t xml:space="preserve">Noteikumi par valsts nodevu par </w:t>
            </w:r>
            <w:r w:rsidRPr="00EE30AB">
              <w:rPr>
                <w:rFonts w:ascii="Times New Roman" w:hAnsi="Times New Roman" w:cs="Times New Roman"/>
                <w:bCs/>
                <w:sz w:val="24"/>
                <w:szCs w:val="24"/>
              </w:rPr>
              <w:t xml:space="preserve">informācijas saņemšanu no Iedzīvotāju reģistra” </w:t>
            </w:r>
            <w:r w:rsidR="006232EB" w:rsidRPr="00EE30AB">
              <w:rPr>
                <w:rFonts w:ascii="Times New Roman" w:hAnsi="Times New Roman" w:cs="Times New Roman"/>
                <w:bCs/>
                <w:sz w:val="24"/>
                <w:szCs w:val="24"/>
              </w:rPr>
              <w:t>2.</w:t>
            </w:r>
            <w:r w:rsidR="00EE30AB" w:rsidRPr="00EE30AB">
              <w:rPr>
                <w:rFonts w:ascii="Times New Roman" w:hAnsi="Times New Roman" w:cs="Times New Roman"/>
                <w:bCs/>
                <w:sz w:val="24"/>
                <w:szCs w:val="24"/>
              </w:rPr>
              <w:t>5</w:t>
            </w:r>
            <w:r w:rsidR="006232EB" w:rsidRPr="00EE30AB">
              <w:rPr>
                <w:rFonts w:ascii="Times New Roman" w:hAnsi="Times New Roman" w:cs="Times New Roman"/>
                <w:bCs/>
                <w:sz w:val="24"/>
                <w:szCs w:val="24"/>
              </w:rPr>
              <w:t xml:space="preserve">.apakšpunktu </w:t>
            </w:r>
            <w:r w:rsidR="00EE30AB" w:rsidRPr="00EE30AB">
              <w:rPr>
                <w:rFonts w:ascii="Times New Roman" w:hAnsi="Times New Roman" w:cs="Times New Roman"/>
                <w:sz w:val="24"/>
                <w:szCs w:val="24"/>
              </w:rPr>
              <w:t xml:space="preserve">informācijas saņemšana triju darbdienu laikā par vienu personu, ja tā sagatavota pēc informācijas pieprasītāja norādītajiem kritērijiem un parakstīta ar drošu elektronisko parakstu, – 2,13 </w:t>
            </w:r>
            <w:r w:rsidR="00EE30AB" w:rsidRPr="00EE30AB">
              <w:rPr>
                <w:rFonts w:ascii="Times New Roman" w:hAnsi="Times New Roman" w:cs="Times New Roman"/>
                <w:i/>
                <w:iCs/>
                <w:sz w:val="24"/>
                <w:szCs w:val="24"/>
              </w:rPr>
              <w:t>euro</w:t>
            </w:r>
            <w:r w:rsidR="006232EB" w:rsidRPr="00EE30AB">
              <w:rPr>
                <w:rFonts w:ascii="Times New Roman" w:hAnsi="Times New Roman" w:cs="Times New Roman"/>
                <w:i/>
                <w:sz w:val="24"/>
                <w:szCs w:val="24"/>
              </w:rPr>
              <w:t>.</w:t>
            </w:r>
          </w:p>
          <w:p w:rsidR="00574DA2" w:rsidRPr="00574DA2" w:rsidRDefault="00574DA2" w:rsidP="00574DA2">
            <w:pPr>
              <w:spacing w:after="0"/>
              <w:ind w:right="26"/>
              <w:jc w:val="both"/>
              <w:rPr>
                <w:rFonts w:ascii="Times New Roman" w:hAnsi="Times New Roman" w:cs="Times New Roman"/>
                <w:sz w:val="24"/>
                <w:szCs w:val="24"/>
              </w:rPr>
            </w:pPr>
            <w:r>
              <w:rPr>
                <w:rFonts w:ascii="Times New Roman" w:hAnsi="Times New Roman" w:cs="Times New Roman"/>
                <w:sz w:val="24"/>
                <w:szCs w:val="24"/>
              </w:rPr>
              <w:t>S</w:t>
            </w:r>
            <w:r w:rsidRPr="00574DA2">
              <w:rPr>
                <w:rFonts w:ascii="Times New Roman" w:hAnsi="Times New Roman" w:cs="Times New Roman"/>
                <w:sz w:val="24"/>
                <w:szCs w:val="24"/>
              </w:rPr>
              <w:t>askaņā ar Iedzīvotāju reģistra likumu par informācijas saņemšanu no Iedzīvotāju reģistra maksājama valsts nodeva. Minētā likuma 17.</w:t>
            </w:r>
            <w:r w:rsidRPr="00574DA2">
              <w:rPr>
                <w:rFonts w:ascii="Times New Roman" w:hAnsi="Times New Roman" w:cs="Times New Roman"/>
                <w:sz w:val="24"/>
                <w:szCs w:val="24"/>
                <w:vertAlign w:val="superscript"/>
              </w:rPr>
              <w:t>1</w:t>
            </w:r>
            <w:r w:rsidRPr="00574DA2">
              <w:rPr>
                <w:rFonts w:ascii="Times New Roman" w:hAnsi="Times New Roman" w:cs="Times New Roman"/>
                <w:sz w:val="24"/>
                <w:szCs w:val="24"/>
              </w:rPr>
              <w:t xml:space="preserve">pantā noteikts, ka Ministru kabinets nosaka valsts nodevas apmēru, samaksas kārtību, kā arī atvieglojumus valsts nodevas maksāšanā un atbrīvojumus no valsts nodevas maksāšanas. Tādējādi likumdevējs ir noteicis, ka vienīgi Ministru kabinetam ir tiesības lemt par atbrīvojumu paredzēšanu no valsts nodevu samaksas par ziņu saņemšanu no Iedzīvotāju reģistra. </w:t>
            </w:r>
          </w:p>
          <w:p w:rsidR="00574DA2" w:rsidRDefault="00574DA2" w:rsidP="00574DA2">
            <w:pPr>
              <w:spacing w:after="0"/>
              <w:ind w:right="26" w:firstLine="395"/>
              <w:jc w:val="both"/>
              <w:rPr>
                <w:rFonts w:ascii="Times New Roman" w:hAnsi="Times New Roman" w:cs="Times New Roman"/>
                <w:bCs/>
                <w:sz w:val="24"/>
                <w:szCs w:val="24"/>
              </w:rPr>
            </w:pPr>
            <w:r w:rsidRPr="00574DA2">
              <w:rPr>
                <w:rFonts w:ascii="Times New Roman" w:hAnsi="Times New Roman" w:cs="Times New Roman"/>
                <w:sz w:val="24"/>
                <w:szCs w:val="24"/>
              </w:rPr>
              <w:t>Atbrīvojumus no valsts nodevas samaksas nosaka Ministru kabineta 2015.gada 14.jūlija noteikumi Nr.391 “</w:t>
            </w:r>
            <w:r w:rsidRPr="00574DA2">
              <w:rPr>
                <w:rFonts w:ascii="Times New Roman" w:hAnsi="Times New Roman" w:cs="Times New Roman"/>
                <w:bCs/>
                <w:sz w:val="24"/>
                <w:szCs w:val="24"/>
              </w:rPr>
              <w:t xml:space="preserve">Noteikumi par valsts nodevu par informācijas saņemšanu no Iedzīvotāju reģistra” (turpmāk – Noteikumi Nr.391), konkrēti, noteikumu 4.punkts. Minētajā normā ir uzskaitīti konkrēti subjekti, kuri ir atbrīvoti no </w:t>
            </w:r>
            <w:r w:rsidRPr="00574DA2">
              <w:rPr>
                <w:rFonts w:ascii="Times New Roman" w:hAnsi="Times New Roman" w:cs="Times New Roman"/>
                <w:sz w:val="24"/>
                <w:szCs w:val="24"/>
              </w:rPr>
              <w:t xml:space="preserve">valsts nodevas par ziņu saņemšanu no Iedzīvotāju reģistra samaksas. Ievērojot apstākli, ka noteikumu Nr.391 uzskaitītajiem izņēmumiem no valsts nodevas samaksas pienākuma ir pastāvīga regulējuma raksturs, savukārt, ņemot vērā iepriekš aprakstītos īpašos apstākļus, attiecībā uz akciju sabiedrību “Latvijas Gāze” būtu paredzams tikai vienreizējs nodevas atbrīvojums par akcionāru dzīvesvietas adrešu saņemšanu no Iedzīvotāju reģistra, lai nodrošinātu akcionāru informēšanu par </w:t>
            </w:r>
            <w:r w:rsidRPr="00574DA2">
              <w:rPr>
                <w:rFonts w:ascii="Times New Roman" w:hAnsi="Times New Roman" w:cs="Times New Roman"/>
                <w:bCs/>
                <w:sz w:val="24"/>
                <w:szCs w:val="24"/>
              </w:rPr>
              <w:t xml:space="preserve">akciju </w:t>
            </w:r>
            <w:r w:rsidRPr="00574DA2">
              <w:rPr>
                <w:rFonts w:ascii="Times New Roman" w:hAnsi="Times New Roman" w:cs="Times New Roman"/>
                <w:sz w:val="24"/>
                <w:szCs w:val="24"/>
              </w:rPr>
              <w:t>sabiedrības “Latvijas Gāze” reorganizāciju saskaņā ar 2016.gada 11.februāra likumu “Grozījumi Enerģētikas likumā”, kas stājās spēkā 2016.gada</w:t>
            </w:r>
            <w:r w:rsidRPr="00574DA2">
              <w:rPr>
                <w:rFonts w:ascii="Times New Roman" w:hAnsi="Times New Roman" w:cs="Times New Roman"/>
                <w:bCs/>
                <w:sz w:val="24"/>
                <w:szCs w:val="24"/>
              </w:rPr>
              <w:t xml:space="preserve"> 8.martā</w:t>
            </w:r>
            <w:r w:rsidRPr="00574DA2">
              <w:rPr>
                <w:rFonts w:ascii="Times New Roman" w:eastAsia="Times New Roman" w:hAnsi="Times New Roman" w:cs="Times New Roman"/>
                <w:bCs/>
                <w:sz w:val="24"/>
                <w:szCs w:val="24"/>
                <w:lang w:eastAsia="lv-LV"/>
              </w:rPr>
              <w:t>, un tam ir individuāla regulējuma raksturs sagatavots atsevišķs Ministru kabineta rīkojuma</w:t>
            </w:r>
            <w:r>
              <w:rPr>
                <w:rFonts w:ascii="Times New Roman" w:eastAsia="Times New Roman" w:hAnsi="Times New Roman" w:cs="Times New Roman"/>
                <w:bCs/>
                <w:sz w:val="24"/>
                <w:szCs w:val="24"/>
                <w:lang w:eastAsia="lv-LV"/>
              </w:rPr>
              <w:t xml:space="preserve"> projekts, nevis tiek grozīti </w:t>
            </w:r>
            <w:r w:rsidRPr="00574DA2">
              <w:rPr>
                <w:rFonts w:ascii="Times New Roman" w:hAnsi="Times New Roman" w:cs="Times New Roman"/>
                <w:bCs/>
                <w:sz w:val="24"/>
                <w:szCs w:val="24"/>
              </w:rPr>
              <w:t>Noteikumi Nr.391</w:t>
            </w:r>
            <w:r>
              <w:rPr>
                <w:rFonts w:ascii="Times New Roman" w:hAnsi="Times New Roman" w:cs="Times New Roman"/>
                <w:bCs/>
                <w:sz w:val="24"/>
                <w:szCs w:val="24"/>
              </w:rPr>
              <w:t xml:space="preserve"> vai izdoti jauni Ministru kabineta noteikumi.</w:t>
            </w:r>
          </w:p>
          <w:p w:rsidR="00BF263F" w:rsidRPr="00574DA2" w:rsidRDefault="00BF263F" w:rsidP="00BF263F">
            <w:pPr>
              <w:spacing w:after="0"/>
              <w:ind w:right="26"/>
              <w:jc w:val="both"/>
              <w:rPr>
                <w:rFonts w:ascii="Times New Roman" w:hAnsi="Times New Roman" w:cs="Times New Roman"/>
                <w:sz w:val="24"/>
                <w:szCs w:val="24"/>
              </w:rPr>
            </w:pPr>
            <w:r>
              <w:rPr>
                <w:rFonts w:ascii="Times New Roman" w:hAnsi="Times New Roman" w:cs="Times New Roman"/>
                <w:bCs/>
                <w:sz w:val="24"/>
                <w:szCs w:val="24"/>
              </w:rPr>
              <w:t>Tāpat norādāms, ka Ministru kabinetam ir tiesības pieņemt gan Ministru kabineta rīkojumus, gan Ministru kabineta noteikumus, un ievērojot to, ka šīs gadījums ir individuāls un vienreizējs, atbilstošākā forma būtu Ministru kabineta rīkojums.</w:t>
            </w:r>
          </w:p>
          <w:p w:rsidR="00574DA2" w:rsidRPr="00574DA2" w:rsidRDefault="00574DA2" w:rsidP="00574DA2">
            <w:pPr>
              <w:spacing w:after="0"/>
              <w:ind w:right="26" w:firstLine="395"/>
              <w:jc w:val="both"/>
              <w:rPr>
                <w:rFonts w:ascii="Times New Roman" w:hAnsi="Times New Roman" w:cs="Times New Roman"/>
                <w:sz w:val="24"/>
                <w:szCs w:val="24"/>
              </w:rPr>
            </w:pPr>
          </w:p>
          <w:p w:rsidR="00574DA2" w:rsidRPr="00574DA2" w:rsidRDefault="00574DA2" w:rsidP="00574DA2">
            <w:pPr>
              <w:spacing w:after="0"/>
              <w:ind w:right="26"/>
              <w:jc w:val="both"/>
              <w:rPr>
                <w:rFonts w:ascii="Times New Roman" w:hAnsi="Times New Roman" w:cs="Times New Roman"/>
                <w:sz w:val="24"/>
                <w:szCs w:val="24"/>
              </w:rPr>
            </w:pPr>
            <w:r w:rsidRPr="00574DA2">
              <w:rPr>
                <w:rFonts w:ascii="Times New Roman" w:hAnsi="Times New Roman" w:cs="Times New Roman"/>
                <w:sz w:val="24"/>
                <w:szCs w:val="24"/>
              </w:rPr>
              <w:t xml:space="preserve">Ņemot vērā to, ka piešķiramā atbalsta summa (valsts nodevas apmērs par </w:t>
            </w:r>
            <w:r>
              <w:rPr>
                <w:rFonts w:ascii="Times New Roman" w:hAnsi="Times New Roman" w:cs="Times New Roman"/>
                <w:sz w:val="24"/>
                <w:szCs w:val="24"/>
              </w:rPr>
              <w:t>ziņu saņemšanu</w:t>
            </w:r>
            <w:r w:rsidRPr="00574DA2">
              <w:rPr>
                <w:rFonts w:ascii="Times New Roman" w:hAnsi="Times New Roman" w:cs="Times New Roman"/>
                <w:sz w:val="24"/>
                <w:szCs w:val="24"/>
              </w:rPr>
              <w:t xml:space="preserve"> nepārsniedz EUR 200000, atbrīvojumu no valsts nodevas </w:t>
            </w:r>
            <w:r>
              <w:rPr>
                <w:rFonts w:ascii="Times New Roman" w:hAnsi="Times New Roman" w:cs="Times New Roman"/>
                <w:sz w:val="24"/>
                <w:szCs w:val="24"/>
              </w:rPr>
              <w:t>par ziņu saņemšanu (par akcionāru dzīvesvietas adresēm)</w:t>
            </w:r>
            <w:r w:rsidRPr="00574DA2">
              <w:rPr>
                <w:rFonts w:ascii="Times New Roman" w:hAnsi="Times New Roman" w:cs="Times New Roman"/>
                <w:sz w:val="24"/>
                <w:szCs w:val="24"/>
              </w:rPr>
              <w:t xml:space="preserve"> būtu pieļaujams veikt, ievērojot Komisijas 2013. gada 18. decembra Regulas (ES) Nr. </w:t>
            </w:r>
            <w:hyperlink r:id="rId6" w:tgtFrame="_blank" w:history="1">
              <w:r w:rsidRPr="00574DA2">
                <w:rPr>
                  <w:rStyle w:val="Hyperlink"/>
                  <w:rFonts w:ascii="Times New Roman" w:hAnsi="Times New Roman" w:cs="Times New Roman"/>
                  <w:sz w:val="24"/>
                  <w:szCs w:val="24"/>
                </w:rPr>
                <w:t>1407/2013</w:t>
              </w:r>
            </w:hyperlink>
            <w:r w:rsidRPr="00574DA2">
              <w:rPr>
                <w:rFonts w:ascii="Times New Roman" w:hAnsi="Times New Roman" w:cs="Times New Roman"/>
                <w:sz w:val="24"/>
                <w:szCs w:val="24"/>
              </w:rPr>
              <w:t xml:space="preserve"> par Līguma par </w:t>
            </w:r>
            <w:r w:rsidRPr="00574DA2">
              <w:rPr>
                <w:rFonts w:ascii="Times New Roman" w:hAnsi="Times New Roman" w:cs="Times New Roman"/>
                <w:sz w:val="24"/>
                <w:szCs w:val="24"/>
              </w:rPr>
              <w:lastRenderedPageBreak/>
              <w:t xml:space="preserve">ES darbību </w:t>
            </w:r>
            <w:hyperlink r:id="rId7" w:anchor="p107" w:tgtFrame="_blank" w:history="1">
              <w:r w:rsidRPr="00574DA2">
                <w:rPr>
                  <w:rStyle w:val="Hyperlink"/>
                  <w:rFonts w:ascii="Times New Roman" w:hAnsi="Times New Roman" w:cs="Times New Roman"/>
                  <w:sz w:val="24"/>
                  <w:szCs w:val="24"/>
                </w:rPr>
                <w:t xml:space="preserve">107. </w:t>
              </w:r>
            </w:hyperlink>
            <w:r w:rsidRPr="00574DA2">
              <w:rPr>
                <w:rFonts w:ascii="Times New Roman" w:hAnsi="Times New Roman" w:cs="Times New Roman"/>
                <w:sz w:val="24"/>
                <w:szCs w:val="24"/>
              </w:rPr>
              <w:t xml:space="preserve">un </w:t>
            </w:r>
            <w:hyperlink r:id="rId8" w:anchor="p108" w:tgtFrame="_blank" w:history="1">
              <w:r w:rsidRPr="00574DA2">
                <w:rPr>
                  <w:rStyle w:val="Hyperlink"/>
                  <w:rFonts w:ascii="Times New Roman" w:hAnsi="Times New Roman" w:cs="Times New Roman"/>
                  <w:sz w:val="24"/>
                  <w:szCs w:val="24"/>
                </w:rPr>
                <w:t>108. panta</w:t>
              </w:r>
            </w:hyperlink>
            <w:r w:rsidRPr="00574DA2">
              <w:rPr>
                <w:rFonts w:ascii="Times New Roman" w:hAnsi="Times New Roman" w:cs="Times New Roman"/>
                <w:sz w:val="24"/>
                <w:szCs w:val="24"/>
              </w:rPr>
              <w:t xml:space="preserve"> piemērošanu </w:t>
            </w:r>
            <w:r w:rsidRPr="00574DA2">
              <w:rPr>
                <w:rFonts w:ascii="Times New Roman" w:hAnsi="Times New Roman" w:cs="Times New Roman"/>
                <w:i/>
                <w:sz w:val="24"/>
                <w:szCs w:val="24"/>
              </w:rPr>
              <w:t>de minimis</w:t>
            </w:r>
            <w:r w:rsidRPr="00574DA2">
              <w:rPr>
                <w:rFonts w:ascii="Times New Roman" w:hAnsi="Times New Roman" w:cs="Times New Roman"/>
                <w:sz w:val="24"/>
                <w:szCs w:val="24"/>
              </w:rPr>
              <w:t xml:space="preserve"> atbalstam (ES Oficiālais Vēstnesis, 2013. gada 24. decembris, Nr. L 352) (turpmāk – Komisijas regula Nr. 1407/2013) prasības. Piešķirot</w:t>
            </w:r>
            <w:r>
              <w:rPr>
                <w:rFonts w:ascii="Times New Roman" w:hAnsi="Times New Roman" w:cs="Times New Roman"/>
                <w:sz w:val="24"/>
                <w:szCs w:val="24"/>
              </w:rPr>
              <w:t xml:space="preserve"> akciju sabiedrībai</w:t>
            </w:r>
            <w:r w:rsidRPr="00574DA2">
              <w:rPr>
                <w:rFonts w:ascii="Times New Roman" w:hAnsi="Times New Roman" w:cs="Times New Roman"/>
                <w:sz w:val="24"/>
                <w:szCs w:val="24"/>
              </w:rPr>
              <w:t xml:space="preserve"> </w:t>
            </w:r>
            <w:r>
              <w:rPr>
                <w:rFonts w:ascii="Times New Roman" w:hAnsi="Times New Roman" w:cs="Times New Roman"/>
                <w:sz w:val="24"/>
                <w:szCs w:val="24"/>
              </w:rPr>
              <w:t>“Latvijas Gāze”</w:t>
            </w:r>
            <w:r w:rsidRPr="00574DA2">
              <w:rPr>
                <w:rFonts w:ascii="Times New Roman" w:hAnsi="Times New Roman" w:cs="Times New Roman"/>
                <w:sz w:val="24"/>
                <w:szCs w:val="24"/>
              </w:rPr>
              <w:t xml:space="preserve"> ar </w:t>
            </w:r>
            <w:r>
              <w:rPr>
                <w:rFonts w:ascii="Times New Roman" w:hAnsi="Times New Roman" w:cs="Times New Roman"/>
                <w:sz w:val="24"/>
                <w:szCs w:val="24"/>
              </w:rPr>
              <w:t>rīkojuma</w:t>
            </w:r>
            <w:r w:rsidRPr="00574DA2">
              <w:rPr>
                <w:rFonts w:ascii="Times New Roman" w:hAnsi="Times New Roman" w:cs="Times New Roman"/>
                <w:sz w:val="24"/>
                <w:szCs w:val="24"/>
              </w:rPr>
              <w:t xml:space="preserve"> projektu paredzēto </w:t>
            </w:r>
            <w:r w:rsidRPr="00574DA2">
              <w:rPr>
                <w:rFonts w:ascii="Times New Roman" w:hAnsi="Times New Roman" w:cs="Times New Roman"/>
                <w:i/>
                <w:sz w:val="24"/>
                <w:szCs w:val="24"/>
              </w:rPr>
              <w:t>de minimis</w:t>
            </w:r>
            <w:r w:rsidRPr="00574DA2">
              <w:rPr>
                <w:rFonts w:ascii="Times New Roman" w:hAnsi="Times New Roman" w:cs="Times New Roman"/>
                <w:sz w:val="24"/>
                <w:szCs w:val="24"/>
              </w:rPr>
              <w:t xml:space="preserve"> atbalstu, jāievēro Ministru kabineta 2014. gada 2. decembra noteikumu Nr. 740 „</w:t>
            </w:r>
            <w:r w:rsidRPr="00574DA2">
              <w:rPr>
                <w:rFonts w:ascii="Times New Roman" w:hAnsi="Times New Roman" w:cs="Times New Roman"/>
                <w:i/>
                <w:sz w:val="24"/>
                <w:szCs w:val="24"/>
              </w:rPr>
              <w:t>De minimis</w:t>
            </w:r>
            <w:r w:rsidRPr="00574DA2">
              <w:rPr>
                <w:rFonts w:ascii="Times New Roman" w:hAnsi="Times New Roman" w:cs="Times New Roman"/>
                <w:sz w:val="24"/>
                <w:szCs w:val="24"/>
              </w:rPr>
              <w:t xml:space="preserve"> atbalsta uzskaites un piešķiršanas kārtība un uzskaites veidlapu paraugi” (turpmāk – noteikumi Nr. 740”) nosacījumus. Proti, lai saņemtu atbrīvojumu no valsts nodevas, </w:t>
            </w:r>
            <w:r>
              <w:rPr>
                <w:rFonts w:ascii="Times New Roman" w:hAnsi="Times New Roman" w:cs="Times New Roman"/>
                <w:sz w:val="24"/>
                <w:szCs w:val="24"/>
              </w:rPr>
              <w:t>akciju sabiedrībai</w:t>
            </w:r>
            <w:r w:rsidRPr="00574DA2">
              <w:rPr>
                <w:rFonts w:ascii="Times New Roman" w:hAnsi="Times New Roman" w:cs="Times New Roman"/>
                <w:sz w:val="24"/>
                <w:szCs w:val="24"/>
              </w:rPr>
              <w:t xml:space="preserve"> </w:t>
            </w:r>
            <w:r>
              <w:rPr>
                <w:rFonts w:ascii="Times New Roman" w:hAnsi="Times New Roman" w:cs="Times New Roman"/>
                <w:sz w:val="24"/>
                <w:szCs w:val="24"/>
              </w:rPr>
              <w:t>“Latvijas Gāze”</w:t>
            </w:r>
            <w:r w:rsidRPr="00574DA2">
              <w:rPr>
                <w:rFonts w:ascii="Times New Roman" w:hAnsi="Times New Roman" w:cs="Times New Roman"/>
                <w:sz w:val="24"/>
                <w:szCs w:val="24"/>
              </w:rPr>
              <w:t xml:space="preserve"> ir jāpiesakās </w:t>
            </w:r>
            <w:r w:rsidRPr="00574DA2">
              <w:rPr>
                <w:rFonts w:ascii="Times New Roman" w:hAnsi="Times New Roman" w:cs="Times New Roman"/>
                <w:i/>
                <w:iCs/>
                <w:sz w:val="24"/>
                <w:szCs w:val="24"/>
              </w:rPr>
              <w:t xml:space="preserve">de minimis </w:t>
            </w:r>
            <w:r w:rsidRPr="00574DA2">
              <w:rPr>
                <w:rFonts w:ascii="Times New Roman" w:hAnsi="Times New Roman" w:cs="Times New Roman"/>
                <w:sz w:val="24"/>
                <w:szCs w:val="24"/>
              </w:rPr>
              <w:t xml:space="preserve">atbalstam, </w:t>
            </w:r>
            <w:r>
              <w:rPr>
                <w:rFonts w:ascii="Times New Roman" w:hAnsi="Times New Roman" w:cs="Times New Roman"/>
                <w:sz w:val="24"/>
                <w:szCs w:val="24"/>
              </w:rPr>
              <w:t>Pilsonības un migrācijas lietu pārvaldē</w:t>
            </w:r>
            <w:r w:rsidRPr="00574DA2">
              <w:rPr>
                <w:rFonts w:ascii="Times New Roman" w:hAnsi="Times New Roman" w:cs="Times New Roman"/>
                <w:sz w:val="24"/>
                <w:szCs w:val="24"/>
              </w:rPr>
              <w:t xml:space="preserve"> iesniedzot aizpildītu noteikumu Nr. 740 1.pielikumā noteikto veidlapu, norādot savus datus, ziņas par trīs fiskālo gadu periodā saņemto jebkādu </w:t>
            </w:r>
            <w:r w:rsidRPr="00574DA2">
              <w:rPr>
                <w:rFonts w:ascii="Times New Roman" w:hAnsi="Times New Roman" w:cs="Times New Roman"/>
                <w:i/>
                <w:iCs/>
                <w:sz w:val="24"/>
                <w:szCs w:val="24"/>
              </w:rPr>
              <w:t xml:space="preserve">de minimis </w:t>
            </w:r>
            <w:r w:rsidRPr="00574DA2">
              <w:rPr>
                <w:rFonts w:ascii="Times New Roman" w:hAnsi="Times New Roman" w:cs="Times New Roman"/>
                <w:sz w:val="24"/>
                <w:szCs w:val="24"/>
              </w:rPr>
              <w:t xml:space="preserve">atbalstu, kā arī datus par citu </w:t>
            </w:r>
            <w:r>
              <w:rPr>
                <w:rFonts w:ascii="Times New Roman" w:hAnsi="Times New Roman" w:cs="Times New Roman"/>
                <w:sz w:val="24"/>
                <w:szCs w:val="24"/>
              </w:rPr>
              <w:t>akciju sabiedrībai</w:t>
            </w:r>
            <w:r w:rsidRPr="00574DA2">
              <w:rPr>
                <w:rFonts w:ascii="Times New Roman" w:hAnsi="Times New Roman" w:cs="Times New Roman"/>
                <w:sz w:val="24"/>
                <w:szCs w:val="24"/>
              </w:rPr>
              <w:t xml:space="preserve"> </w:t>
            </w:r>
            <w:r>
              <w:rPr>
                <w:rFonts w:ascii="Times New Roman" w:hAnsi="Times New Roman" w:cs="Times New Roman"/>
                <w:sz w:val="24"/>
                <w:szCs w:val="24"/>
              </w:rPr>
              <w:t>“Latvijas Gāze”</w:t>
            </w:r>
            <w:r w:rsidRPr="00574DA2">
              <w:rPr>
                <w:rFonts w:ascii="Times New Roman" w:hAnsi="Times New Roman" w:cs="Times New Roman"/>
                <w:sz w:val="24"/>
                <w:szCs w:val="24"/>
              </w:rPr>
              <w:t xml:space="preserve">  piešķirto valsts atbalstu iepriekšējo trīs fiskālo gadu periodā, kas sniegts tām pašām attiecināmajām izmaksām. Tāpat </w:t>
            </w:r>
            <w:r>
              <w:rPr>
                <w:rFonts w:ascii="Times New Roman" w:hAnsi="Times New Roman" w:cs="Times New Roman"/>
                <w:sz w:val="24"/>
                <w:szCs w:val="24"/>
              </w:rPr>
              <w:t>akciju sabiedrībai</w:t>
            </w:r>
            <w:r w:rsidRPr="00574DA2">
              <w:rPr>
                <w:rFonts w:ascii="Times New Roman" w:hAnsi="Times New Roman" w:cs="Times New Roman"/>
                <w:sz w:val="24"/>
                <w:szCs w:val="24"/>
              </w:rPr>
              <w:t xml:space="preserve"> </w:t>
            </w:r>
            <w:r>
              <w:rPr>
                <w:rFonts w:ascii="Times New Roman" w:hAnsi="Times New Roman" w:cs="Times New Roman"/>
                <w:sz w:val="24"/>
                <w:szCs w:val="24"/>
              </w:rPr>
              <w:t>“Latvijas Gāze”</w:t>
            </w:r>
            <w:r w:rsidRPr="00574DA2">
              <w:rPr>
                <w:rFonts w:ascii="Times New Roman" w:hAnsi="Times New Roman" w:cs="Times New Roman"/>
                <w:sz w:val="24"/>
                <w:szCs w:val="24"/>
              </w:rPr>
              <w:t xml:space="preserve">  ir jānorāda ziņas par tā atbilstību vienas vienotas komercsabiedrības definīcijai, ziņas par to, vai pēdējo trīs fiskālo gadu laikā atbalsta pretendents ir sadalījies, apvienots vai iegādāts, kā arī jāapliecina, ka tas nav grūtībās nonācis (nav uzsākts tiesiskās aizsardzības vai maksātnespējas process). Attiecīgi pēc šāda pieteikuma un apliecinājuma saņemšanas un izvērtēšanas </w:t>
            </w:r>
            <w:r>
              <w:rPr>
                <w:rFonts w:ascii="Times New Roman" w:hAnsi="Times New Roman" w:cs="Times New Roman"/>
                <w:sz w:val="24"/>
                <w:szCs w:val="24"/>
              </w:rPr>
              <w:t>Pilsonības un migrācijas lietu pārvalde</w:t>
            </w:r>
            <w:r w:rsidRPr="00574DA2">
              <w:rPr>
                <w:rFonts w:ascii="Times New Roman" w:hAnsi="Times New Roman" w:cs="Times New Roman"/>
                <w:sz w:val="24"/>
                <w:szCs w:val="24"/>
              </w:rPr>
              <w:t xml:space="preserve"> noteikumos Nr. 740 noteiktajā kārtībā varēs pieņemt lēmumu par </w:t>
            </w:r>
            <w:r w:rsidRPr="00574DA2">
              <w:rPr>
                <w:rFonts w:ascii="Times New Roman" w:hAnsi="Times New Roman" w:cs="Times New Roman"/>
                <w:i/>
                <w:sz w:val="24"/>
                <w:szCs w:val="24"/>
              </w:rPr>
              <w:t>de minimis</w:t>
            </w:r>
            <w:r w:rsidRPr="00574DA2">
              <w:rPr>
                <w:rFonts w:ascii="Times New Roman" w:hAnsi="Times New Roman" w:cs="Times New Roman"/>
                <w:sz w:val="24"/>
                <w:szCs w:val="24"/>
              </w:rPr>
              <w:t xml:space="preserve"> atbalsta sniegšanu.</w:t>
            </w:r>
          </w:p>
          <w:p w:rsidR="00574DA2" w:rsidRPr="00574DA2" w:rsidRDefault="00574DA2" w:rsidP="00574DA2">
            <w:pPr>
              <w:spacing w:after="0"/>
              <w:ind w:right="26" w:firstLine="395"/>
              <w:jc w:val="both"/>
              <w:rPr>
                <w:rFonts w:ascii="Times New Roman" w:hAnsi="Times New Roman" w:cs="Times New Roman"/>
                <w:sz w:val="24"/>
                <w:szCs w:val="24"/>
              </w:rPr>
            </w:pPr>
            <w:r w:rsidRPr="00574DA2">
              <w:rPr>
                <w:rFonts w:ascii="Times New Roman" w:hAnsi="Times New Roman" w:cs="Times New Roman"/>
                <w:sz w:val="24"/>
                <w:szCs w:val="24"/>
              </w:rPr>
              <w:t xml:space="preserve">Attiecīgi noteikumu projekts papildināts ar atrunu, ka finanšu atbalstu </w:t>
            </w:r>
            <w:r>
              <w:rPr>
                <w:rFonts w:ascii="Times New Roman" w:hAnsi="Times New Roman" w:cs="Times New Roman"/>
                <w:sz w:val="24"/>
                <w:szCs w:val="24"/>
              </w:rPr>
              <w:t>akciju sabiedrībai</w:t>
            </w:r>
            <w:r w:rsidRPr="00574DA2">
              <w:rPr>
                <w:rFonts w:ascii="Times New Roman" w:hAnsi="Times New Roman" w:cs="Times New Roman"/>
                <w:sz w:val="24"/>
                <w:szCs w:val="24"/>
              </w:rPr>
              <w:t xml:space="preserve"> </w:t>
            </w:r>
            <w:r>
              <w:rPr>
                <w:rFonts w:ascii="Times New Roman" w:hAnsi="Times New Roman" w:cs="Times New Roman"/>
                <w:sz w:val="24"/>
                <w:szCs w:val="24"/>
              </w:rPr>
              <w:t>“Latvijas Gāze”</w:t>
            </w:r>
            <w:r w:rsidRPr="00574DA2">
              <w:rPr>
                <w:rFonts w:ascii="Times New Roman" w:hAnsi="Times New Roman" w:cs="Times New Roman"/>
                <w:sz w:val="24"/>
                <w:szCs w:val="24"/>
              </w:rPr>
              <w:t xml:space="preserve">  sniedz saskaņā ar Komisijas regulu Nr. </w:t>
            </w:r>
            <w:hyperlink r:id="rId9" w:tgtFrame="_blank" w:history="1">
              <w:r w:rsidRPr="00574DA2">
                <w:rPr>
                  <w:rStyle w:val="Hyperlink"/>
                  <w:rFonts w:ascii="Times New Roman" w:hAnsi="Times New Roman" w:cs="Times New Roman"/>
                  <w:sz w:val="24"/>
                  <w:szCs w:val="24"/>
                </w:rPr>
                <w:t>1407/2013</w:t>
              </w:r>
            </w:hyperlink>
            <w:r w:rsidRPr="00574DA2">
              <w:rPr>
                <w:rFonts w:ascii="Times New Roman" w:hAnsi="Times New Roman" w:cs="Times New Roman"/>
                <w:sz w:val="24"/>
                <w:szCs w:val="24"/>
              </w:rPr>
              <w:t>.</w:t>
            </w:r>
          </w:p>
          <w:p w:rsidR="00574DA2" w:rsidRDefault="00574DA2" w:rsidP="00574DA2">
            <w:pPr>
              <w:spacing w:after="0"/>
              <w:ind w:right="28"/>
              <w:jc w:val="both"/>
              <w:rPr>
                <w:rFonts w:ascii="Times New Roman" w:hAnsi="Times New Roman" w:cs="Times New Roman"/>
                <w:sz w:val="24"/>
                <w:szCs w:val="24"/>
              </w:rPr>
            </w:pPr>
          </w:p>
          <w:p w:rsidR="00574DA2" w:rsidRDefault="00574DA2" w:rsidP="00574DA2">
            <w:pPr>
              <w:spacing w:after="0"/>
              <w:ind w:right="28"/>
              <w:jc w:val="both"/>
              <w:rPr>
                <w:rFonts w:ascii="Times New Roman" w:hAnsi="Times New Roman" w:cs="Times New Roman"/>
                <w:sz w:val="24"/>
                <w:szCs w:val="24"/>
              </w:rPr>
            </w:pPr>
            <w:r>
              <w:rPr>
                <w:rFonts w:ascii="Times New Roman" w:hAnsi="Times New Roman" w:cs="Times New Roman"/>
                <w:sz w:val="24"/>
                <w:szCs w:val="24"/>
              </w:rPr>
              <w:t>Rīkojuma</w:t>
            </w:r>
            <w:r w:rsidRPr="00574DA2">
              <w:rPr>
                <w:rFonts w:ascii="Times New Roman" w:hAnsi="Times New Roman" w:cs="Times New Roman"/>
                <w:sz w:val="24"/>
                <w:szCs w:val="24"/>
              </w:rPr>
              <w:t xml:space="preserve"> projekta izstrādes laikā tika vērtēta plānotā regulējumu atbilstība Latvijas Republikas Satversmes 91.pantam un secināts, ka šajā gadījumā netiek pārkāpts vienlīdzības princips un šāds izņēmums ir objektīvs un pamatots.</w:t>
            </w:r>
            <w:r>
              <w:rPr>
                <w:rFonts w:ascii="Times New Roman" w:hAnsi="Times New Roman" w:cs="Times New Roman"/>
                <w:sz w:val="24"/>
                <w:szCs w:val="24"/>
              </w:rPr>
              <w:t xml:space="preserve"> </w:t>
            </w:r>
            <w:r w:rsidRPr="00574DA2">
              <w:rPr>
                <w:rFonts w:ascii="Times New Roman" w:hAnsi="Times New Roman" w:cs="Times New Roman"/>
                <w:sz w:val="24"/>
                <w:szCs w:val="24"/>
              </w:rPr>
              <w:t xml:space="preserve">Atšķirīgas attieksmes nepieciešamība konkrētajā gadījumā pamatojama ar </w:t>
            </w:r>
            <w:r>
              <w:rPr>
                <w:rFonts w:ascii="Times New Roman" w:hAnsi="Times New Roman" w:cs="Times New Roman"/>
                <w:sz w:val="24"/>
                <w:szCs w:val="24"/>
              </w:rPr>
              <w:t>to, ka izdevumi akciju sabiedrībai “Latvijas Gāze</w:t>
            </w:r>
            <w:r w:rsidRPr="00574DA2">
              <w:rPr>
                <w:rFonts w:ascii="Times New Roman" w:hAnsi="Times New Roman" w:cs="Times New Roman"/>
                <w:sz w:val="24"/>
                <w:szCs w:val="24"/>
              </w:rPr>
              <w:t>” ir saistīti ar no valsts puses izvirzīto prasību izpildi</w:t>
            </w:r>
            <w:r>
              <w:rPr>
                <w:rFonts w:ascii="Times New Roman" w:hAnsi="Times New Roman" w:cs="Times New Roman"/>
                <w:sz w:val="24"/>
                <w:szCs w:val="24"/>
              </w:rPr>
              <w:t xml:space="preserve"> – veikt reorganizāciju.</w:t>
            </w:r>
          </w:p>
          <w:p w:rsidR="00574DA2" w:rsidRPr="00574DA2" w:rsidRDefault="00574DA2" w:rsidP="00574DA2">
            <w:pPr>
              <w:spacing w:after="0"/>
              <w:ind w:right="28"/>
              <w:jc w:val="both"/>
              <w:rPr>
                <w:rFonts w:ascii="Times New Roman" w:hAnsi="Times New Roman" w:cs="Times New Roman"/>
                <w:sz w:val="24"/>
                <w:szCs w:val="24"/>
              </w:rPr>
            </w:pPr>
          </w:p>
          <w:p w:rsidR="003C1A15" w:rsidRPr="0069728E" w:rsidRDefault="00701E3E" w:rsidP="00A04627">
            <w:pPr>
              <w:jc w:val="both"/>
              <w:rPr>
                <w:rFonts w:ascii="Times New Roman" w:hAnsi="Times New Roman" w:cs="Times New Roman"/>
                <w:sz w:val="24"/>
                <w:szCs w:val="24"/>
              </w:rPr>
            </w:pPr>
            <w:r w:rsidRPr="00574DA2">
              <w:rPr>
                <w:rFonts w:ascii="Times New Roman" w:hAnsi="Times New Roman" w:cs="Times New Roman"/>
                <w:sz w:val="24"/>
                <w:szCs w:val="24"/>
              </w:rPr>
              <w:t xml:space="preserve">Ievērojot to, ka saskaņā ar Iedzīvotāju reģistra likuma </w:t>
            </w:r>
            <w:r w:rsidRPr="00574DA2">
              <w:rPr>
                <w:rFonts w:ascii="Times New Roman" w:hAnsi="Times New Roman" w:cs="Times New Roman"/>
                <w:bCs/>
                <w:sz w:val="24"/>
                <w:szCs w:val="24"/>
              </w:rPr>
              <w:t>17.</w:t>
            </w:r>
            <w:r w:rsidRPr="00574DA2">
              <w:rPr>
                <w:rFonts w:ascii="Times New Roman" w:hAnsi="Times New Roman" w:cs="Times New Roman"/>
                <w:bCs/>
                <w:sz w:val="24"/>
                <w:szCs w:val="24"/>
                <w:vertAlign w:val="superscript"/>
              </w:rPr>
              <w:t>1</w:t>
            </w:r>
            <w:r w:rsidRPr="00551313">
              <w:rPr>
                <w:rFonts w:ascii="Times New Roman" w:hAnsi="Times New Roman" w:cs="Times New Roman"/>
                <w:bCs/>
                <w:sz w:val="24"/>
                <w:szCs w:val="24"/>
              </w:rPr>
              <w:t xml:space="preserve"> pantu</w:t>
            </w:r>
            <w:r w:rsidR="003C1A15">
              <w:rPr>
                <w:rFonts w:ascii="Times New Roman" w:hAnsi="Times New Roman" w:cs="Times New Roman"/>
                <w:sz w:val="24"/>
                <w:szCs w:val="24"/>
              </w:rPr>
              <w:t xml:space="preserve"> Ministru kabinets var noteikt </w:t>
            </w:r>
            <w:r w:rsidR="003C1A15" w:rsidRPr="005E5982">
              <w:rPr>
                <w:rFonts w:ascii="Times New Roman" w:hAnsi="Times New Roman" w:cs="Times New Roman"/>
                <w:sz w:val="24"/>
                <w:szCs w:val="24"/>
              </w:rPr>
              <w:t>atbrīvojumus no valsts nodevas maksāšanas,</w:t>
            </w:r>
            <w:r w:rsidR="0002484B">
              <w:rPr>
                <w:rFonts w:ascii="Times New Roman" w:hAnsi="Times New Roman" w:cs="Times New Roman"/>
                <w:sz w:val="24"/>
                <w:szCs w:val="24"/>
              </w:rPr>
              <w:t xml:space="preserve"> </w:t>
            </w:r>
            <w:r>
              <w:rPr>
                <w:rFonts w:ascii="Times New Roman" w:hAnsi="Times New Roman" w:cs="Times New Roman"/>
                <w:sz w:val="24"/>
                <w:szCs w:val="24"/>
              </w:rPr>
              <w:t>un ka</w:t>
            </w:r>
            <w:r w:rsidR="003C1A15" w:rsidRPr="005E5982">
              <w:rPr>
                <w:rFonts w:ascii="Times New Roman" w:hAnsi="Times New Roman" w:cs="Times New Roman"/>
                <w:sz w:val="24"/>
                <w:szCs w:val="24"/>
              </w:rPr>
              <w:t xml:space="preserve"> normatīvajos aktos nav noteikts, ka akciju sabiedrības reorganizācijas gadījumā, kas veikta likumā v</w:t>
            </w:r>
            <w:r w:rsidR="007021B8" w:rsidRPr="005E5982">
              <w:rPr>
                <w:rFonts w:ascii="Times New Roman" w:hAnsi="Times New Roman" w:cs="Times New Roman"/>
                <w:sz w:val="24"/>
                <w:szCs w:val="24"/>
              </w:rPr>
              <w:t>ei</w:t>
            </w:r>
            <w:r w:rsidR="003C1A15" w:rsidRPr="005E5982">
              <w:rPr>
                <w:rFonts w:ascii="Times New Roman" w:hAnsi="Times New Roman" w:cs="Times New Roman"/>
                <w:sz w:val="24"/>
                <w:szCs w:val="24"/>
              </w:rPr>
              <w:t>kto grozījumu</w:t>
            </w:r>
            <w:r w:rsidR="007021B8" w:rsidRPr="005E5982">
              <w:rPr>
                <w:rFonts w:ascii="Times New Roman" w:hAnsi="Times New Roman" w:cs="Times New Roman"/>
                <w:sz w:val="24"/>
                <w:szCs w:val="24"/>
              </w:rPr>
              <w:t xml:space="preserve"> </w:t>
            </w:r>
            <w:r w:rsidR="003C1A15" w:rsidRPr="005E5982">
              <w:rPr>
                <w:rFonts w:ascii="Times New Roman" w:hAnsi="Times New Roman" w:cs="Times New Roman"/>
                <w:sz w:val="24"/>
                <w:szCs w:val="24"/>
              </w:rPr>
              <w:t>rezultātā, ziņas par akcionāru dzīvesvietas adresēm varētu tikt izsniegtas</w:t>
            </w:r>
            <w:r w:rsidR="00DE6CF8">
              <w:rPr>
                <w:rFonts w:ascii="Times New Roman" w:hAnsi="Times New Roman" w:cs="Times New Roman"/>
                <w:sz w:val="24"/>
                <w:szCs w:val="24"/>
              </w:rPr>
              <w:t xml:space="preserve"> </w:t>
            </w:r>
            <w:r>
              <w:rPr>
                <w:rFonts w:ascii="Times New Roman" w:hAnsi="Times New Roman" w:cs="Times New Roman"/>
                <w:sz w:val="24"/>
                <w:szCs w:val="24"/>
              </w:rPr>
              <w:t>neiekasējot</w:t>
            </w:r>
            <w:r w:rsidR="00DE6CF8">
              <w:rPr>
                <w:rFonts w:ascii="Times New Roman" w:hAnsi="Times New Roman" w:cs="Times New Roman"/>
                <w:sz w:val="24"/>
                <w:szCs w:val="24"/>
              </w:rPr>
              <w:t xml:space="preserve"> valsts nodevas samaksu</w:t>
            </w:r>
            <w:r w:rsidR="0002484B">
              <w:rPr>
                <w:rFonts w:ascii="Times New Roman" w:hAnsi="Times New Roman" w:cs="Times New Roman"/>
                <w:sz w:val="24"/>
                <w:szCs w:val="24"/>
              </w:rPr>
              <w:t>.</w:t>
            </w:r>
            <w:r w:rsidR="003C1A15" w:rsidRPr="005E5982">
              <w:rPr>
                <w:rFonts w:ascii="Times New Roman" w:hAnsi="Times New Roman" w:cs="Times New Roman"/>
                <w:sz w:val="24"/>
                <w:szCs w:val="24"/>
              </w:rPr>
              <w:t xml:space="preserve"> </w:t>
            </w:r>
            <w:r w:rsidR="0002484B" w:rsidRPr="00D93193">
              <w:rPr>
                <w:rFonts w:ascii="Times New Roman" w:hAnsi="Times New Roman" w:cs="Times New Roman"/>
                <w:sz w:val="24"/>
                <w:szCs w:val="24"/>
                <w:u w:val="single"/>
              </w:rPr>
              <w:t>J</w:t>
            </w:r>
            <w:r w:rsidR="003C1A15" w:rsidRPr="00DC462F">
              <w:rPr>
                <w:rFonts w:ascii="Times New Roman" w:hAnsi="Times New Roman" w:cs="Times New Roman"/>
                <w:sz w:val="24"/>
                <w:szCs w:val="24"/>
                <w:u w:val="single"/>
              </w:rPr>
              <w:t xml:space="preserve">autājums par </w:t>
            </w:r>
            <w:r w:rsidR="007021B8" w:rsidRPr="00DC462F">
              <w:rPr>
                <w:rFonts w:ascii="Times New Roman" w:hAnsi="Times New Roman" w:cs="Times New Roman"/>
                <w:sz w:val="24"/>
                <w:szCs w:val="24"/>
                <w:u w:val="single"/>
              </w:rPr>
              <w:t xml:space="preserve">atbrīvojumu no valsts nodevas </w:t>
            </w:r>
            <w:r>
              <w:rPr>
                <w:rFonts w:ascii="Times New Roman" w:hAnsi="Times New Roman" w:cs="Times New Roman"/>
                <w:sz w:val="24"/>
                <w:szCs w:val="24"/>
                <w:u w:val="single"/>
              </w:rPr>
              <w:t>maksāšanas par ziņu izsniegšanu no Iedzīvotāju reģistra</w:t>
            </w:r>
            <w:r w:rsidR="00A04627" w:rsidRPr="00DC462F">
              <w:rPr>
                <w:rFonts w:ascii="Times New Roman" w:hAnsi="Times New Roman" w:cs="Times New Roman"/>
                <w:sz w:val="24"/>
                <w:szCs w:val="24"/>
                <w:u w:val="single"/>
              </w:rPr>
              <w:t xml:space="preserve"> ir konceptuāli</w:t>
            </w:r>
            <w:r w:rsidR="007021B8" w:rsidRPr="00DC462F">
              <w:rPr>
                <w:rFonts w:ascii="Times New Roman" w:hAnsi="Times New Roman" w:cs="Times New Roman"/>
                <w:sz w:val="24"/>
                <w:szCs w:val="24"/>
                <w:u w:val="single"/>
              </w:rPr>
              <w:t xml:space="preserve"> </w:t>
            </w:r>
            <w:r w:rsidR="007021B8" w:rsidRPr="00DC462F">
              <w:rPr>
                <w:rFonts w:ascii="Times New Roman" w:hAnsi="Times New Roman" w:cs="Times New Roman"/>
                <w:sz w:val="24"/>
                <w:szCs w:val="24"/>
                <w:u w:val="single"/>
              </w:rPr>
              <w:lastRenderedPageBreak/>
              <w:t>izlemjams</w:t>
            </w:r>
            <w:r w:rsidR="003C1A15" w:rsidRPr="00DC462F">
              <w:rPr>
                <w:rFonts w:ascii="Times New Roman" w:hAnsi="Times New Roman" w:cs="Times New Roman"/>
                <w:sz w:val="24"/>
                <w:szCs w:val="24"/>
                <w:u w:val="single"/>
              </w:rPr>
              <w:t xml:space="preserve"> Ministru kabinetā</w:t>
            </w:r>
            <w:r w:rsidR="003C1A15" w:rsidRPr="005E5982">
              <w:rPr>
                <w:rFonts w:ascii="Times New Roman" w:hAnsi="Times New Roman" w:cs="Times New Roman"/>
                <w:sz w:val="24"/>
                <w:szCs w:val="24"/>
              </w:rPr>
              <w:t xml:space="preserve">, ievērojot faktiskos apstākļus. </w:t>
            </w:r>
            <w:r w:rsidR="007021B8" w:rsidRPr="005E5982">
              <w:rPr>
                <w:rFonts w:ascii="Times New Roman" w:hAnsi="Times New Roman" w:cs="Times New Roman"/>
                <w:sz w:val="24"/>
                <w:szCs w:val="24"/>
              </w:rPr>
              <w:t>Šī rīkojuma mērķis ir segt izdevumus, kas var rasties privātpersonai</w:t>
            </w:r>
            <w:r w:rsidR="005E5982" w:rsidRPr="005E5982">
              <w:rPr>
                <w:rFonts w:ascii="Times New Roman" w:hAnsi="Times New Roman" w:cs="Times New Roman"/>
                <w:sz w:val="24"/>
                <w:szCs w:val="24"/>
              </w:rPr>
              <w:t>, lai izpildītu</w:t>
            </w:r>
            <w:r w:rsidR="007021B8" w:rsidRPr="005E5982">
              <w:rPr>
                <w:rFonts w:ascii="Times New Roman" w:hAnsi="Times New Roman" w:cs="Times New Roman"/>
                <w:sz w:val="24"/>
                <w:szCs w:val="24"/>
              </w:rPr>
              <w:t xml:space="preserve"> likumdevēja </w:t>
            </w:r>
            <w:r w:rsidR="005E5982" w:rsidRPr="005E5982">
              <w:rPr>
                <w:rFonts w:ascii="Times New Roman" w:hAnsi="Times New Roman" w:cs="Times New Roman"/>
                <w:sz w:val="24"/>
                <w:szCs w:val="24"/>
              </w:rPr>
              <w:t xml:space="preserve">gribu, tas ir, īstenotu akciju sabiedrības reorganizāciju, </w:t>
            </w:r>
            <w:r w:rsidR="00A04627">
              <w:rPr>
                <w:rFonts w:ascii="Times New Roman" w:hAnsi="Times New Roman" w:cs="Times New Roman"/>
                <w:sz w:val="24"/>
                <w:szCs w:val="24"/>
              </w:rPr>
              <w:t>un tās ietvaros nodrošinātu</w:t>
            </w:r>
            <w:r w:rsidR="005E5982" w:rsidRPr="005E5982">
              <w:rPr>
                <w:rFonts w:ascii="Times New Roman" w:hAnsi="Times New Roman" w:cs="Times New Roman"/>
                <w:sz w:val="24"/>
                <w:szCs w:val="24"/>
              </w:rPr>
              <w:t xml:space="preserve"> obligātu akcionāru informēšanu par plānoto akcionāru sapulci</w:t>
            </w:r>
            <w:r w:rsidR="003C1A15" w:rsidRPr="005E5982">
              <w:rPr>
                <w:rFonts w:ascii="Times New Roman" w:hAnsi="Times New Roman" w:cs="Times New Roman"/>
                <w:sz w:val="24"/>
                <w:szCs w:val="24"/>
              </w:rPr>
              <w:t>.</w:t>
            </w:r>
          </w:p>
          <w:p w:rsidR="00DE6CF8" w:rsidRPr="00551313" w:rsidRDefault="00DE6CF8" w:rsidP="003E01A0">
            <w:pPr>
              <w:jc w:val="both"/>
              <w:rPr>
                <w:rFonts w:ascii="Times New Roman" w:hAnsi="Times New Roman" w:cs="Times New Roman"/>
                <w:sz w:val="24"/>
                <w:szCs w:val="24"/>
              </w:rPr>
            </w:pPr>
            <w:r>
              <w:rPr>
                <w:rFonts w:ascii="Times New Roman" w:hAnsi="Times New Roman" w:cs="Times New Roman"/>
                <w:bCs/>
                <w:sz w:val="24"/>
                <w:szCs w:val="24"/>
              </w:rPr>
              <w:t xml:space="preserve">Norādāms, ka šis </w:t>
            </w:r>
            <w:r w:rsidR="003E01A0">
              <w:rPr>
                <w:rFonts w:ascii="Times New Roman" w:hAnsi="Times New Roman" w:cs="Times New Roman"/>
                <w:bCs/>
                <w:sz w:val="24"/>
                <w:szCs w:val="24"/>
              </w:rPr>
              <w:t>būs</w:t>
            </w:r>
            <w:r>
              <w:rPr>
                <w:rFonts w:ascii="Times New Roman" w:hAnsi="Times New Roman" w:cs="Times New Roman"/>
                <w:bCs/>
                <w:sz w:val="24"/>
                <w:szCs w:val="24"/>
              </w:rPr>
              <w:t xml:space="preserve"> </w:t>
            </w:r>
            <w:r w:rsidR="003E01A0">
              <w:rPr>
                <w:rFonts w:ascii="Times New Roman" w:hAnsi="Times New Roman" w:cs="Times New Roman"/>
                <w:bCs/>
                <w:sz w:val="24"/>
                <w:szCs w:val="24"/>
              </w:rPr>
              <w:t>vienreizējs pasākums pie šādiem tiesiskajiem un faktiskajiem apstākļiem.</w:t>
            </w:r>
          </w:p>
        </w:tc>
      </w:tr>
      <w:tr w:rsidR="000D3CE6" w:rsidRPr="00495AE6" w:rsidTr="00770B2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ministrija, Pilsonības un migrācijas lietu pārvalde.</w:t>
            </w:r>
          </w:p>
        </w:tc>
      </w:tr>
      <w:tr w:rsidR="000D3CE6" w:rsidRPr="00495AE6" w:rsidTr="00770B2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0D3CE6" w:rsidRPr="00495AE6" w:rsidRDefault="000D3CE6" w:rsidP="00770B2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212242" w:rsidRDefault="00212242" w:rsidP="00212242">
      <w:pPr>
        <w:spacing w:after="0"/>
        <w:rPr>
          <w:rFonts w:ascii="Times New Roman" w:eastAsia="Times New Roman" w:hAnsi="Times New Roman" w:cs="Times New Roman"/>
          <w:sz w:val="24"/>
          <w:szCs w:val="24"/>
          <w:lang w:eastAsia="lv-LV"/>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032"/>
        <w:gridCol w:w="1557"/>
        <w:gridCol w:w="1127"/>
        <w:gridCol w:w="1127"/>
        <w:gridCol w:w="1608"/>
      </w:tblGrid>
      <w:tr w:rsidR="00212242" w:rsidRPr="00CA5D03" w:rsidTr="00A772B6">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b/>
                <w:bCs/>
                <w:sz w:val="24"/>
                <w:szCs w:val="24"/>
              </w:rPr>
            </w:pPr>
            <w:r w:rsidRPr="008567AB">
              <w:rPr>
                <w:rFonts w:ascii="Times New Roman" w:hAnsi="Times New Roman"/>
                <w:b/>
                <w:bCs/>
                <w:sz w:val="24"/>
                <w:szCs w:val="24"/>
              </w:rPr>
              <w:t>III. Tiesību akta projekta ietekme uz valsts budžetu un pašvaldību budžetiem</w:t>
            </w:r>
          </w:p>
        </w:tc>
      </w:tr>
      <w:tr w:rsidR="00212242" w:rsidRPr="008567AB" w:rsidTr="00A772B6">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ind w:firstLine="300"/>
              <w:jc w:val="center"/>
              <w:rPr>
                <w:rFonts w:ascii="Times New Roman" w:hAnsi="Times New Roman"/>
                <w:b/>
                <w:bCs/>
                <w:sz w:val="24"/>
                <w:szCs w:val="24"/>
              </w:rPr>
            </w:pPr>
            <w:r w:rsidRPr="008567AB">
              <w:rPr>
                <w:rFonts w:ascii="Times New Roman" w:hAnsi="Times New Roman"/>
                <w:b/>
                <w:bCs/>
                <w:sz w:val="24"/>
                <w:szCs w:val="24"/>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ind w:firstLine="300"/>
              <w:jc w:val="center"/>
              <w:rPr>
                <w:rFonts w:ascii="Times New Roman" w:hAnsi="Times New Roman"/>
                <w:b/>
                <w:bCs/>
                <w:sz w:val="24"/>
                <w:szCs w:val="24"/>
              </w:rPr>
            </w:pPr>
            <w:r w:rsidRPr="008567AB">
              <w:rPr>
                <w:rFonts w:ascii="Times New Roman" w:hAnsi="Times New Roman"/>
                <w:b/>
                <w:bCs/>
                <w:sz w:val="24"/>
                <w:szCs w:val="24"/>
              </w:rPr>
              <w:t>2016. gads</w:t>
            </w:r>
          </w:p>
        </w:tc>
        <w:tc>
          <w:tcPr>
            <w:tcW w:w="3817" w:type="dxa"/>
            <w:gridSpan w:val="3"/>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ind w:firstLine="300"/>
              <w:jc w:val="center"/>
              <w:rPr>
                <w:rFonts w:ascii="Times New Roman" w:hAnsi="Times New Roman"/>
                <w:sz w:val="24"/>
                <w:szCs w:val="24"/>
              </w:rPr>
            </w:pPr>
            <w:r w:rsidRPr="008567AB">
              <w:rPr>
                <w:rFonts w:ascii="Times New Roman" w:hAnsi="Times New Roman"/>
                <w:sz w:val="24"/>
                <w:szCs w:val="24"/>
              </w:rPr>
              <w:t>Turpmākie trīs gadi (</w:t>
            </w:r>
            <w:r w:rsidRPr="008567AB">
              <w:rPr>
                <w:rFonts w:ascii="Times New Roman" w:hAnsi="Times New Roman"/>
                <w:i/>
                <w:sz w:val="24"/>
                <w:szCs w:val="24"/>
              </w:rPr>
              <w:t>euro</w:t>
            </w:r>
            <w:r w:rsidRPr="008567AB">
              <w:rPr>
                <w:rFonts w:ascii="Times New Roman" w:hAnsi="Times New Roman"/>
                <w:sz w:val="24"/>
                <w:szCs w:val="24"/>
              </w:rPr>
              <w:t>)</w:t>
            </w:r>
          </w:p>
        </w:tc>
      </w:tr>
      <w:tr w:rsidR="00212242" w:rsidRPr="008567AB" w:rsidTr="00A772B6">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b/>
                <w:bCs/>
                <w:sz w:val="24"/>
                <w:szCs w:val="24"/>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b/>
                <w:bCs/>
                <w:sz w:val="24"/>
                <w:szCs w:val="24"/>
              </w:rPr>
            </w:pP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b/>
                <w:bCs/>
                <w:sz w:val="24"/>
                <w:szCs w:val="24"/>
              </w:rPr>
            </w:pPr>
            <w:r w:rsidRPr="008567AB">
              <w:rPr>
                <w:rFonts w:ascii="Times New Roman" w:hAnsi="Times New Roman"/>
                <w:b/>
                <w:bCs/>
                <w:sz w:val="24"/>
                <w:szCs w:val="24"/>
              </w:rPr>
              <w:t>2017.gads</w:t>
            </w: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b/>
                <w:bCs/>
                <w:sz w:val="24"/>
                <w:szCs w:val="24"/>
              </w:rPr>
            </w:pPr>
            <w:r w:rsidRPr="008567AB">
              <w:rPr>
                <w:rFonts w:ascii="Times New Roman" w:hAnsi="Times New Roman"/>
                <w:b/>
                <w:bCs/>
                <w:sz w:val="24"/>
                <w:szCs w:val="24"/>
              </w:rPr>
              <w:t>2018.gads</w:t>
            </w:r>
          </w:p>
        </w:tc>
        <w:tc>
          <w:tcPr>
            <w:tcW w:w="1563"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b/>
                <w:bCs/>
                <w:sz w:val="24"/>
                <w:szCs w:val="24"/>
              </w:rPr>
            </w:pPr>
            <w:r w:rsidRPr="008567AB">
              <w:rPr>
                <w:rFonts w:ascii="Times New Roman" w:hAnsi="Times New Roman"/>
                <w:b/>
                <w:bCs/>
                <w:sz w:val="24"/>
                <w:szCs w:val="24"/>
              </w:rPr>
              <w:t>2019.gads</w:t>
            </w:r>
          </w:p>
        </w:tc>
      </w:tr>
      <w:tr w:rsidR="00212242" w:rsidRPr="008567AB" w:rsidTr="00A772B6">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b/>
                <w:bCs/>
                <w:sz w:val="24"/>
                <w:szCs w:val="24"/>
              </w:rPr>
            </w:pPr>
          </w:p>
        </w:tc>
        <w:tc>
          <w:tcPr>
            <w:tcW w:w="1002"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sz w:val="24"/>
                <w:szCs w:val="24"/>
              </w:rPr>
            </w:pPr>
            <w:r w:rsidRPr="008567AB">
              <w:rPr>
                <w:rFonts w:ascii="Times New Roman" w:hAnsi="Times New Roman"/>
                <w:sz w:val="24"/>
                <w:szCs w:val="24"/>
              </w:rPr>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sz w:val="24"/>
                <w:szCs w:val="24"/>
              </w:rPr>
            </w:pPr>
            <w:r w:rsidRPr="008567AB">
              <w:rPr>
                <w:rFonts w:ascii="Times New Roman" w:hAnsi="Times New Roman"/>
                <w:sz w:val="24"/>
                <w:szCs w:val="24"/>
              </w:rPr>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sz w:val="24"/>
                <w:szCs w:val="24"/>
              </w:rPr>
            </w:pPr>
            <w:r w:rsidRPr="008567AB">
              <w:rPr>
                <w:rFonts w:ascii="Times New Roman" w:hAnsi="Times New Roman"/>
                <w:sz w:val="24"/>
                <w:szCs w:val="24"/>
              </w:rPr>
              <w:t>izmaiņas, salīdzinot ar kārtējo (2016) gadu</w:t>
            </w: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sz w:val="24"/>
                <w:szCs w:val="24"/>
              </w:rPr>
            </w:pPr>
            <w:r w:rsidRPr="008567AB">
              <w:rPr>
                <w:rFonts w:ascii="Times New Roman" w:hAnsi="Times New Roman"/>
                <w:sz w:val="24"/>
                <w:szCs w:val="24"/>
              </w:rPr>
              <w:t>izmaiņas, salīdzinot ar kārtējo (2016) gadu</w:t>
            </w:r>
          </w:p>
        </w:tc>
        <w:tc>
          <w:tcPr>
            <w:tcW w:w="1563"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jc w:val="center"/>
              <w:rPr>
                <w:rFonts w:ascii="Times New Roman" w:hAnsi="Times New Roman"/>
                <w:sz w:val="24"/>
                <w:szCs w:val="24"/>
              </w:rPr>
            </w:pPr>
            <w:r w:rsidRPr="008567AB">
              <w:rPr>
                <w:rFonts w:ascii="Times New Roman" w:hAnsi="Times New Roman"/>
                <w:sz w:val="24"/>
                <w:szCs w:val="24"/>
              </w:rPr>
              <w:t>izmaiņas, salīdzinot ar kārtējo (2016) gadu</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1</w:t>
            </w:r>
          </w:p>
        </w:tc>
        <w:tc>
          <w:tcPr>
            <w:tcW w:w="1002"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2</w:t>
            </w:r>
          </w:p>
        </w:tc>
        <w:tc>
          <w:tcPr>
            <w:tcW w:w="152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3</w:t>
            </w: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4</w:t>
            </w:r>
          </w:p>
        </w:tc>
        <w:tc>
          <w:tcPr>
            <w:tcW w:w="1097"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5</w:t>
            </w:r>
          </w:p>
        </w:tc>
        <w:tc>
          <w:tcPr>
            <w:tcW w:w="1563"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6</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1. Budžeta ieņēmumi:</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5056D8" w:rsidP="005056D8">
            <w:pPr>
              <w:jc w:val="center"/>
              <w:rPr>
                <w:rFonts w:ascii="Times New Roman" w:hAnsi="Times New Roman"/>
                <w:sz w:val="24"/>
                <w:szCs w:val="24"/>
              </w:rPr>
            </w:pPr>
            <w:r>
              <w:rPr>
                <w:rFonts w:ascii="Times New Roman" w:hAnsi="Times New Roman"/>
                <w:sz w:val="24"/>
                <w:szCs w:val="24"/>
              </w:rPr>
              <w:t>3 728</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5056D8" w:rsidP="00A772B6">
            <w:pPr>
              <w:jc w:val="center"/>
              <w:rPr>
                <w:rFonts w:ascii="Times New Roman" w:hAnsi="Times New Roman"/>
                <w:sz w:val="24"/>
                <w:szCs w:val="24"/>
              </w:rPr>
            </w:pPr>
            <w:r>
              <w:rPr>
                <w:rFonts w:ascii="Times New Roman" w:hAnsi="Times New Roman"/>
                <w:sz w:val="24"/>
                <w:szCs w:val="24"/>
              </w:rPr>
              <w:t>-13 960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1.1. valsts pamatbudžets, tai skaitā ieņēmumi no maksas pakalpojumiem un citi pašu ieņēmumi</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5056D8" w:rsidP="00A772B6">
            <w:pPr>
              <w:jc w:val="center"/>
              <w:rPr>
                <w:rFonts w:ascii="Times New Roman" w:hAnsi="Times New Roman"/>
                <w:sz w:val="24"/>
                <w:szCs w:val="24"/>
              </w:rPr>
            </w:pPr>
            <w:r>
              <w:rPr>
                <w:rFonts w:ascii="Times New Roman" w:hAnsi="Times New Roman"/>
                <w:sz w:val="24"/>
                <w:szCs w:val="24"/>
              </w:rPr>
              <w:t>3 728</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5056D8" w:rsidP="00A772B6">
            <w:pPr>
              <w:jc w:val="center"/>
              <w:rPr>
                <w:rFonts w:ascii="Times New Roman" w:hAnsi="Times New Roman"/>
                <w:sz w:val="24"/>
                <w:szCs w:val="24"/>
              </w:rPr>
            </w:pPr>
            <w:r>
              <w:rPr>
                <w:rFonts w:ascii="Times New Roman" w:hAnsi="Times New Roman"/>
                <w:sz w:val="24"/>
                <w:szCs w:val="24"/>
              </w:rPr>
              <w:t>-13 960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1.2. valsts speciālais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1.3. pašvaldību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2. Budžeta izdevumi:</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2.1. valsts pamatbudžets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2.2. valsts speciālais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2.3. pašvaldību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3. Finansiālā ietekme:</w:t>
            </w:r>
          </w:p>
        </w:tc>
        <w:tc>
          <w:tcPr>
            <w:tcW w:w="1002" w:type="dxa"/>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pStyle w:val="ListParagraph"/>
              <w:ind w:left="109"/>
              <w:jc w:val="center"/>
              <w:rPr>
                <w:lang w:val="lv-LV"/>
              </w:rPr>
            </w:pPr>
            <w:r>
              <w:rPr>
                <w:lang w:val="lv-LV"/>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lastRenderedPageBreak/>
              <w:t>3.1. valsts pamatbudžets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3.2. speciālais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3.3. pašvaldību budžets</w:t>
            </w:r>
          </w:p>
        </w:tc>
        <w:tc>
          <w:tcPr>
            <w:tcW w:w="1002"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4. Finanšu līdzekļi papildu izdevumu finansēšanai (kompensējošu izdevumu samazinājumu norāda ar "+" zīmi)</w:t>
            </w:r>
          </w:p>
        </w:tc>
        <w:tc>
          <w:tcPr>
            <w:tcW w:w="1002" w:type="dxa"/>
            <w:vMerge w:val="restart"/>
            <w:tcBorders>
              <w:top w:val="outset" w:sz="6" w:space="0" w:color="auto"/>
              <w:left w:val="outset" w:sz="6" w:space="0" w:color="auto"/>
              <w:bottom w:val="outset" w:sz="6" w:space="0" w:color="auto"/>
              <w:right w:val="outset" w:sz="6" w:space="0" w:color="auto"/>
            </w:tcBorders>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X</w:t>
            </w:r>
          </w:p>
        </w:tc>
        <w:tc>
          <w:tcPr>
            <w:tcW w:w="5374" w:type="dxa"/>
            <w:gridSpan w:val="4"/>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p>
        </w:tc>
      </w:tr>
      <w:tr w:rsidR="00212242" w:rsidRPr="008567AB" w:rsidTr="00A772B6">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sz w:val="24"/>
                <w:szCs w:val="24"/>
              </w:rPr>
            </w:pPr>
          </w:p>
        </w:tc>
        <w:tc>
          <w:tcPr>
            <w:tcW w:w="1002"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sz w:val="24"/>
                <w:szCs w:val="24"/>
              </w:rPr>
            </w:pPr>
          </w:p>
        </w:tc>
        <w:tc>
          <w:tcPr>
            <w:tcW w:w="1002"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5. Precizēta finansiālā ietekme:</w:t>
            </w:r>
          </w:p>
        </w:tc>
        <w:tc>
          <w:tcPr>
            <w:tcW w:w="1002" w:type="dxa"/>
            <w:vMerge w:val="restart"/>
            <w:tcBorders>
              <w:top w:val="outset" w:sz="6" w:space="0" w:color="auto"/>
              <w:left w:val="outset" w:sz="6" w:space="0" w:color="auto"/>
              <w:bottom w:val="outset" w:sz="6" w:space="0" w:color="auto"/>
              <w:right w:val="outset" w:sz="6" w:space="0" w:color="auto"/>
            </w:tcBorders>
          </w:tcPr>
          <w:p w:rsidR="00212242" w:rsidRPr="008567AB" w:rsidRDefault="00212242" w:rsidP="00A772B6">
            <w:pPr>
              <w:spacing w:before="100" w:beforeAutospacing="1" w:after="100" w:afterAutospacing="1" w:line="360" w:lineRule="auto"/>
              <w:ind w:firstLine="300"/>
              <w:jc w:val="center"/>
              <w:rPr>
                <w:rFonts w:ascii="Times New Roman" w:hAnsi="Times New Roman"/>
                <w:sz w:val="24"/>
                <w:szCs w:val="24"/>
              </w:rPr>
            </w:pPr>
            <w:r w:rsidRPr="008567AB">
              <w:rPr>
                <w:rFonts w:ascii="Times New Roman" w:hAnsi="Times New Roman"/>
                <w:sz w:val="24"/>
                <w:szCs w:val="24"/>
              </w:rPr>
              <w:t>X</w:t>
            </w:r>
          </w:p>
        </w:tc>
        <w:tc>
          <w:tcPr>
            <w:tcW w:w="5374" w:type="dxa"/>
            <w:gridSpan w:val="4"/>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5.1. valsts pamatbudžets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5.2. speciālais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5.3. pašvaldību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jc w:val="center"/>
              <w:rPr>
                <w:rFonts w:ascii="Times New Roman" w:hAnsi="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jc w:val="center"/>
              <w:rPr>
                <w:rFonts w:ascii="Times New Roman" w:hAnsi="Times New Roman"/>
                <w:sz w:val="24"/>
                <w:szCs w:val="24"/>
              </w:rPr>
            </w:pPr>
            <w:r w:rsidRPr="008567AB">
              <w:rPr>
                <w:rFonts w:ascii="Times New Roman" w:hAnsi="Times New Roman"/>
                <w:sz w:val="24"/>
                <w:szCs w:val="24"/>
              </w:rPr>
              <w:t>0</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6. Detalizēts ieņēmumu un izdevumu aprēķins (ja nepieciešams, detalizētu ieņēmumu un izdevumu aprēķinu var pievienot anotācijas pielikumā):</w:t>
            </w:r>
          </w:p>
        </w:tc>
        <w:tc>
          <w:tcPr>
            <w:tcW w:w="6406" w:type="dxa"/>
            <w:gridSpan w:val="5"/>
            <w:vMerge w:val="restart"/>
            <w:tcBorders>
              <w:top w:val="outset" w:sz="6" w:space="0" w:color="auto"/>
              <w:left w:val="outset" w:sz="6" w:space="0" w:color="auto"/>
              <w:bottom w:val="outset" w:sz="6" w:space="0" w:color="auto"/>
              <w:right w:val="outset" w:sz="6" w:space="0" w:color="auto"/>
            </w:tcBorders>
          </w:tcPr>
          <w:p w:rsidR="00212242" w:rsidRPr="005056D8" w:rsidRDefault="005056D8" w:rsidP="00574DA2">
            <w:pPr>
              <w:spacing w:after="0"/>
              <w:jc w:val="both"/>
              <w:rPr>
                <w:rFonts w:ascii="Times New Roman" w:hAnsi="Times New Roman"/>
                <w:sz w:val="24"/>
                <w:szCs w:val="24"/>
              </w:rPr>
            </w:pPr>
            <w:r w:rsidRPr="005056D8">
              <w:rPr>
                <w:rFonts w:ascii="Times New Roman" w:hAnsi="Times New Roman" w:cs="Times New Roman"/>
                <w:sz w:val="24"/>
                <w:szCs w:val="24"/>
              </w:rPr>
              <w:t>Saskaņā ar Ministru kabineta 2015.gada 14.jūlija noteikumu Nr.391 „</w:t>
            </w:r>
            <w:r w:rsidRPr="005056D8">
              <w:rPr>
                <w:rFonts w:ascii="Times New Roman" w:hAnsi="Times New Roman" w:cs="Times New Roman"/>
                <w:bCs/>
                <w:sz w:val="24"/>
                <w:szCs w:val="24"/>
              </w:rPr>
              <w:t xml:space="preserve">Noteikumi par valsts nodevu par informācijas saņemšanu no Iedzīvotāju reģistra” 2.5.apakšpunktu </w:t>
            </w:r>
            <w:r w:rsidRPr="005056D8">
              <w:rPr>
                <w:rFonts w:ascii="Times New Roman" w:hAnsi="Times New Roman" w:cs="Times New Roman"/>
                <w:sz w:val="24"/>
                <w:szCs w:val="24"/>
              </w:rPr>
              <w:t xml:space="preserve">informācijas saņemšana triju darbdienu laikā par vienu personu, ja tā sagatavota pēc informācijas pieprasītāja norādītajiem kritērijiem un parakstīta ar drošu elektronisko parakstu, – 2,13 </w:t>
            </w:r>
            <w:r w:rsidRPr="005056D8">
              <w:rPr>
                <w:rFonts w:ascii="Times New Roman" w:hAnsi="Times New Roman" w:cs="Times New Roman"/>
                <w:i/>
                <w:iCs/>
                <w:sz w:val="24"/>
                <w:szCs w:val="24"/>
              </w:rPr>
              <w:t>euro.</w:t>
            </w:r>
            <w:r w:rsidRPr="005056D8">
              <w:rPr>
                <w:rFonts w:ascii="Times New Roman" w:hAnsi="Times New Roman" w:cs="Times New Roman"/>
                <w:iCs/>
                <w:sz w:val="24"/>
                <w:szCs w:val="24"/>
              </w:rPr>
              <w:t xml:space="preserve"> Ja tiek pieprasītas ziņas par visiem akciju sabiedrības “Latvijas Gāze” akcionāriem, kas minēti tās vēstulē, tas ir 6554, tad valsts nodevas apmērs ir </w:t>
            </w:r>
            <w:r>
              <w:rPr>
                <w:rFonts w:ascii="Times New Roman" w:hAnsi="Times New Roman" w:cs="Times New Roman"/>
                <w:iCs/>
                <w:sz w:val="24"/>
                <w:szCs w:val="24"/>
              </w:rPr>
              <w:t>13 960.</w:t>
            </w:r>
            <w:r w:rsidRPr="005056D8">
              <w:rPr>
                <w:rFonts w:ascii="Times New Roman" w:hAnsi="Times New Roman" w:cs="Times New Roman"/>
                <w:sz w:val="24"/>
                <w:szCs w:val="24"/>
              </w:rPr>
              <w:t xml:space="preserve"> Līdz ar to </w:t>
            </w:r>
            <w:r w:rsidR="00574DA2">
              <w:rPr>
                <w:rFonts w:ascii="Times New Roman" w:hAnsi="Times New Roman" w:cs="Times New Roman"/>
                <w:sz w:val="24"/>
                <w:szCs w:val="24"/>
              </w:rPr>
              <w:t>rīkojuma</w:t>
            </w:r>
            <w:r w:rsidRPr="00574DA2">
              <w:rPr>
                <w:rFonts w:ascii="Times New Roman" w:hAnsi="Times New Roman" w:cs="Times New Roman"/>
                <w:sz w:val="24"/>
                <w:szCs w:val="24"/>
              </w:rPr>
              <w:t xml:space="preserve"> projektam</w:t>
            </w:r>
            <w:r w:rsidRPr="005056D8">
              <w:rPr>
                <w:rFonts w:ascii="Times New Roman" w:hAnsi="Times New Roman" w:cs="Times New Roman"/>
                <w:sz w:val="24"/>
                <w:szCs w:val="24"/>
              </w:rPr>
              <w:t xml:space="preserve"> ir negatīva ietekme uz valsts pamatbudžeta ieņēmumiem, jo netiks iekasēta valsts nodeva </w:t>
            </w:r>
            <w:r>
              <w:rPr>
                <w:rFonts w:ascii="Times New Roman" w:hAnsi="Times New Roman" w:cs="Times New Roman"/>
                <w:sz w:val="24"/>
                <w:szCs w:val="24"/>
              </w:rPr>
              <w:t>13 960</w:t>
            </w:r>
            <w:r w:rsidRPr="005056D8">
              <w:rPr>
                <w:rFonts w:ascii="Times New Roman" w:hAnsi="Times New Roman" w:cs="Times New Roman"/>
                <w:sz w:val="24"/>
                <w:szCs w:val="24"/>
              </w:rPr>
              <w:t xml:space="preserve"> </w:t>
            </w:r>
            <w:r w:rsidRPr="005056D8">
              <w:rPr>
                <w:rFonts w:ascii="Times New Roman" w:hAnsi="Times New Roman" w:cs="Times New Roman"/>
                <w:i/>
                <w:sz w:val="24"/>
                <w:szCs w:val="24"/>
              </w:rPr>
              <w:t>euro</w:t>
            </w:r>
            <w:r w:rsidRPr="005056D8">
              <w:rPr>
                <w:rFonts w:ascii="Times New Roman" w:hAnsi="Times New Roman" w:cs="Times New Roman"/>
                <w:sz w:val="24"/>
                <w:szCs w:val="24"/>
              </w:rPr>
              <w:t xml:space="preserve"> apmērā. </w:t>
            </w:r>
            <w:r w:rsidRPr="005056D8">
              <w:rPr>
                <w:rFonts w:ascii="Times New Roman" w:eastAsia="Times New Roman" w:hAnsi="Times New Roman" w:cs="Times New Roman"/>
                <w:sz w:val="24"/>
                <w:szCs w:val="24"/>
                <w:lang w:eastAsia="lv-LV"/>
              </w:rPr>
              <w:t xml:space="preserve"> Saskaņā ar </w:t>
            </w:r>
            <w:r w:rsidRPr="00574DA2">
              <w:rPr>
                <w:rFonts w:ascii="Times New Roman" w:hAnsi="Times New Roman" w:cs="Times New Roman"/>
                <w:sz w:val="24"/>
                <w:szCs w:val="24"/>
              </w:rPr>
              <w:t>indikatīvo</w:t>
            </w:r>
            <w:r w:rsidRPr="005056D8">
              <w:rPr>
                <w:rFonts w:ascii="Times New Roman" w:hAnsi="Times New Roman" w:cs="Times New Roman"/>
                <w:sz w:val="24"/>
                <w:szCs w:val="24"/>
              </w:rPr>
              <w:t xml:space="preserve"> 201</w:t>
            </w:r>
            <w:r>
              <w:rPr>
                <w:rFonts w:ascii="Times New Roman" w:hAnsi="Times New Roman" w:cs="Times New Roman"/>
                <w:sz w:val="24"/>
                <w:szCs w:val="24"/>
              </w:rPr>
              <w:t>6</w:t>
            </w:r>
            <w:r w:rsidRPr="005056D8">
              <w:rPr>
                <w:rFonts w:ascii="Times New Roman" w:hAnsi="Times New Roman" w:cs="Times New Roman"/>
                <w:sz w:val="24"/>
                <w:szCs w:val="24"/>
              </w:rPr>
              <w:t>.gada prognozi valsts nodevas par informācijas saņemšana triju darbdienu laikā par vienu personu, ja tā sagatavota pēc informācijas pieprasītāja norādītajiem kritērijiem un parakstīta ar drošu elektronisko parakstu</w:t>
            </w:r>
            <w:r>
              <w:rPr>
                <w:rFonts w:ascii="Times New Roman" w:hAnsi="Times New Roman" w:cs="Times New Roman"/>
                <w:sz w:val="24"/>
                <w:szCs w:val="24"/>
              </w:rPr>
              <w:t>, ieņēmumi 2016</w:t>
            </w:r>
            <w:r w:rsidRPr="005056D8">
              <w:rPr>
                <w:rFonts w:ascii="Times New Roman" w:hAnsi="Times New Roman" w:cs="Times New Roman"/>
                <w:sz w:val="24"/>
                <w:szCs w:val="24"/>
              </w:rPr>
              <w:t xml:space="preserve">.gadā prognozēti </w:t>
            </w:r>
            <w:r>
              <w:rPr>
                <w:rFonts w:ascii="Times New Roman" w:hAnsi="Times New Roman" w:cs="Times New Roman"/>
                <w:sz w:val="24"/>
                <w:szCs w:val="24"/>
              </w:rPr>
              <w:t>3 727</w:t>
            </w:r>
            <w:r w:rsidRPr="005056D8">
              <w:rPr>
                <w:rFonts w:ascii="Times New Roman" w:hAnsi="Times New Roman" w:cs="Times New Roman"/>
                <w:sz w:val="24"/>
                <w:szCs w:val="24"/>
              </w:rPr>
              <w:t xml:space="preserve"> </w:t>
            </w:r>
            <w:r w:rsidRPr="005056D8">
              <w:rPr>
                <w:rFonts w:ascii="Times New Roman" w:hAnsi="Times New Roman" w:cs="Times New Roman"/>
                <w:i/>
                <w:sz w:val="24"/>
                <w:szCs w:val="24"/>
              </w:rPr>
              <w:t xml:space="preserve">euro </w:t>
            </w:r>
            <w:r w:rsidRPr="005056D8">
              <w:rPr>
                <w:rFonts w:ascii="Times New Roman" w:hAnsi="Times New Roman" w:cs="Times New Roman"/>
                <w:sz w:val="24"/>
                <w:szCs w:val="24"/>
              </w:rPr>
              <w:t>apmērā.</w:t>
            </w:r>
            <w:r w:rsidRPr="005056D8">
              <w:rPr>
                <w:szCs w:val="24"/>
              </w:rPr>
              <w:t xml:space="preserve"> </w:t>
            </w: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6.1. detalizēts ieņēmumu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sz w:val="24"/>
                <w:szCs w:val="24"/>
              </w:rPr>
            </w:pPr>
          </w:p>
        </w:tc>
      </w:tr>
      <w:tr w:rsidR="00212242" w:rsidRPr="008567AB" w:rsidTr="00A772B6">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6.2. detalizēts izdevumu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212242" w:rsidRPr="008567AB" w:rsidRDefault="00212242" w:rsidP="00A772B6">
            <w:pPr>
              <w:rPr>
                <w:rFonts w:ascii="Times New Roman" w:hAnsi="Times New Roman"/>
                <w:sz w:val="24"/>
                <w:szCs w:val="24"/>
              </w:rPr>
            </w:pPr>
          </w:p>
        </w:tc>
      </w:tr>
      <w:tr w:rsidR="00212242" w:rsidRPr="004D6882" w:rsidTr="00A772B6">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212242" w:rsidRPr="008567AB" w:rsidRDefault="00212242" w:rsidP="00A772B6">
            <w:pPr>
              <w:rPr>
                <w:rFonts w:ascii="Times New Roman" w:hAnsi="Times New Roman"/>
                <w:sz w:val="24"/>
                <w:szCs w:val="24"/>
              </w:rPr>
            </w:pPr>
            <w:r w:rsidRPr="008567AB">
              <w:rPr>
                <w:rFonts w:ascii="Times New Roman" w:hAnsi="Times New Roman"/>
                <w:sz w:val="24"/>
                <w:szCs w:val="24"/>
              </w:rPr>
              <w:t>7. Cita informācija</w:t>
            </w:r>
          </w:p>
        </w:tc>
        <w:tc>
          <w:tcPr>
            <w:tcW w:w="6406" w:type="dxa"/>
            <w:gridSpan w:val="5"/>
            <w:tcBorders>
              <w:top w:val="outset" w:sz="6" w:space="0" w:color="auto"/>
              <w:left w:val="outset" w:sz="6" w:space="0" w:color="auto"/>
              <w:bottom w:val="outset" w:sz="6" w:space="0" w:color="auto"/>
              <w:right w:val="outset" w:sz="6" w:space="0" w:color="auto"/>
            </w:tcBorders>
          </w:tcPr>
          <w:p w:rsidR="00212242" w:rsidRPr="004D6882" w:rsidRDefault="005056D8" w:rsidP="00A772B6">
            <w:pPr>
              <w:spacing w:after="0"/>
              <w:jc w:val="both"/>
              <w:rPr>
                <w:rFonts w:ascii="Times New Roman" w:hAnsi="Times New Roman"/>
                <w:sz w:val="24"/>
                <w:szCs w:val="24"/>
              </w:rPr>
            </w:pPr>
            <w:r>
              <w:rPr>
                <w:rFonts w:ascii="Times New Roman" w:hAnsi="Times New Roman"/>
                <w:bCs/>
                <w:sz w:val="24"/>
                <w:szCs w:val="24"/>
              </w:rPr>
              <w:t>Nav.</w:t>
            </w:r>
          </w:p>
        </w:tc>
      </w:tr>
    </w:tbl>
    <w:p w:rsidR="00212242" w:rsidRDefault="00212242" w:rsidP="00212242">
      <w:pPr>
        <w:spacing w:after="0"/>
        <w:rPr>
          <w:rFonts w:ascii="Times New Roman" w:eastAsia="Times New Roman" w:hAnsi="Times New Roman" w:cs="Times New Roman"/>
          <w:sz w:val="24"/>
          <w:szCs w:val="24"/>
          <w:lang w:eastAsia="lv-LV"/>
        </w:rPr>
      </w:pPr>
    </w:p>
    <w:p w:rsidR="000D3CE6" w:rsidRPr="00495AE6" w:rsidRDefault="000D3CE6" w:rsidP="00212242">
      <w:pPr>
        <w:spacing w:after="0"/>
        <w:rPr>
          <w:szCs w:val="24"/>
        </w:rPr>
      </w:pPr>
      <w:r w:rsidRPr="00495AE6">
        <w:rPr>
          <w:rFonts w:ascii="Times New Roman" w:eastAsia="Times New Roman" w:hAnsi="Times New Roman" w:cs="Times New Roman"/>
          <w:sz w:val="24"/>
          <w:szCs w:val="24"/>
          <w:lang w:eastAsia="lv-LV"/>
        </w:rPr>
        <w:t>  </w:t>
      </w:r>
    </w:p>
    <w:p w:rsidR="000D3CE6" w:rsidRPr="00495AE6" w:rsidRDefault="000D3CE6" w:rsidP="000D3CE6">
      <w:pPr>
        <w:pStyle w:val="naisf"/>
        <w:tabs>
          <w:tab w:val="left" w:pos="6710"/>
        </w:tabs>
        <w:spacing w:before="0" w:after="120"/>
        <w:rPr>
          <w:szCs w:val="24"/>
        </w:rPr>
      </w:pPr>
      <w:r w:rsidRPr="00495AE6">
        <w:rPr>
          <w:szCs w:val="24"/>
        </w:rPr>
        <w:t>Anotācijas II,</w:t>
      </w:r>
      <w:r w:rsidR="00551313">
        <w:rPr>
          <w:szCs w:val="24"/>
        </w:rPr>
        <w:t xml:space="preserve"> </w:t>
      </w:r>
      <w:r w:rsidRPr="00495AE6">
        <w:rPr>
          <w:szCs w:val="24"/>
        </w:rPr>
        <w:t>IV, V</w:t>
      </w:r>
      <w:r w:rsidR="00551313">
        <w:rPr>
          <w:szCs w:val="24"/>
        </w:rPr>
        <w:t>, VI</w:t>
      </w:r>
      <w:r w:rsidRPr="00495AE6">
        <w:rPr>
          <w:szCs w:val="24"/>
        </w:rPr>
        <w:t xml:space="preserve"> un VI</w:t>
      </w:r>
      <w:r w:rsidR="00551313">
        <w:rPr>
          <w:szCs w:val="24"/>
        </w:rPr>
        <w:t>I</w:t>
      </w:r>
      <w:r w:rsidRPr="00495AE6">
        <w:rPr>
          <w:szCs w:val="24"/>
        </w:rPr>
        <w:t xml:space="preserve"> sadaļa – projekts šīs jomas neskar.</w:t>
      </w:r>
    </w:p>
    <w:p w:rsidR="000D3CE6" w:rsidRPr="00495AE6" w:rsidRDefault="000D3CE6" w:rsidP="000D3CE6">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R.Kozlovskis</w:t>
      </w:r>
    </w:p>
    <w:p w:rsidR="000D3CE6" w:rsidRPr="00495AE6" w:rsidRDefault="000D3CE6" w:rsidP="000D3CE6">
      <w:pPr>
        <w:pStyle w:val="naisf"/>
        <w:rPr>
          <w:szCs w:val="24"/>
        </w:rPr>
      </w:pPr>
    </w:p>
    <w:p w:rsidR="000D3CE6" w:rsidRPr="00495AE6" w:rsidRDefault="000D3CE6" w:rsidP="000D3CE6">
      <w:pPr>
        <w:pStyle w:val="naisf"/>
        <w:rPr>
          <w:szCs w:val="24"/>
        </w:rPr>
      </w:pPr>
      <w:r w:rsidRPr="00495AE6">
        <w:rPr>
          <w:szCs w:val="24"/>
        </w:rPr>
        <w:t>Vīza: valsts sekretāre</w:t>
      </w:r>
      <w:r w:rsidR="00701E3E">
        <w:rPr>
          <w:szCs w:val="24"/>
        </w:rPr>
        <w:tab/>
      </w:r>
      <w:r w:rsidR="00701E3E">
        <w:rPr>
          <w:szCs w:val="24"/>
        </w:rPr>
        <w:tab/>
      </w:r>
      <w:r w:rsidR="00701E3E">
        <w:rPr>
          <w:szCs w:val="24"/>
        </w:rPr>
        <w:tab/>
      </w:r>
      <w:r w:rsidR="00BA5CC1">
        <w:rPr>
          <w:szCs w:val="24"/>
        </w:rPr>
        <w:tab/>
      </w:r>
      <w:r w:rsidR="00BA5CC1">
        <w:rPr>
          <w:szCs w:val="24"/>
        </w:rPr>
        <w:tab/>
      </w:r>
      <w:r w:rsidR="00BA5CC1">
        <w:rPr>
          <w:szCs w:val="24"/>
        </w:rPr>
        <w:tab/>
      </w:r>
      <w:r w:rsidR="00BA5CC1">
        <w:rPr>
          <w:szCs w:val="24"/>
        </w:rPr>
        <w:tab/>
      </w:r>
      <w:r w:rsidR="00701E3E">
        <w:rPr>
          <w:szCs w:val="24"/>
        </w:rPr>
        <w:t>I.</w:t>
      </w:r>
      <w:r w:rsidR="00BA5CC1">
        <w:rPr>
          <w:szCs w:val="24"/>
        </w:rPr>
        <w:t>Pētersone-Godmane</w:t>
      </w:r>
    </w:p>
    <w:p w:rsidR="005056D8" w:rsidRDefault="005056D8" w:rsidP="000D3CE6">
      <w:pPr>
        <w:pStyle w:val="naisf"/>
        <w:spacing w:before="0" w:after="0"/>
        <w:rPr>
          <w:sz w:val="20"/>
        </w:rPr>
      </w:pPr>
    </w:p>
    <w:p w:rsidR="000D3CE6" w:rsidRDefault="00BF263F" w:rsidP="000D3CE6">
      <w:pPr>
        <w:pStyle w:val="naisf"/>
        <w:spacing w:before="0" w:after="0"/>
        <w:rPr>
          <w:sz w:val="20"/>
        </w:rPr>
      </w:pPr>
      <w:r>
        <w:rPr>
          <w:sz w:val="20"/>
        </w:rPr>
        <w:t>08</w:t>
      </w:r>
      <w:r w:rsidR="0069728E">
        <w:rPr>
          <w:sz w:val="20"/>
        </w:rPr>
        <w:t>.08</w:t>
      </w:r>
      <w:r w:rsidR="000D3CE6">
        <w:rPr>
          <w:sz w:val="20"/>
        </w:rPr>
        <w:t xml:space="preserve">.2016. </w:t>
      </w:r>
      <w:r>
        <w:rPr>
          <w:sz w:val="20"/>
        </w:rPr>
        <w:t>17:08</w:t>
      </w:r>
    </w:p>
    <w:p w:rsidR="000D3CE6" w:rsidRPr="00495AE6" w:rsidRDefault="00292388" w:rsidP="000D3CE6">
      <w:pPr>
        <w:pStyle w:val="naisf"/>
        <w:spacing w:before="0" w:after="0"/>
        <w:rPr>
          <w:sz w:val="20"/>
        </w:rPr>
      </w:pPr>
      <w:r>
        <w:rPr>
          <w:sz w:val="20"/>
        </w:rPr>
        <w:t>2 021</w:t>
      </w:r>
      <w:bookmarkStart w:id="0" w:name="_GoBack"/>
      <w:bookmarkEnd w:id="0"/>
    </w:p>
    <w:p w:rsidR="000D3CE6" w:rsidRPr="00495AE6" w:rsidRDefault="0069728E" w:rsidP="000D3CE6">
      <w:pPr>
        <w:pStyle w:val="HTMLPreformatted"/>
        <w:jc w:val="both"/>
        <w:rPr>
          <w:rFonts w:ascii="Times New Roman" w:hAnsi="Times New Roman" w:cs="Times New Roman"/>
          <w:lang w:val="de-DE" w:eastAsia="en-US"/>
        </w:rPr>
      </w:pPr>
      <w:r>
        <w:rPr>
          <w:rFonts w:ascii="Times New Roman" w:hAnsi="Times New Roman" w:cs="Times New Roman"/>
          <w:lang w:val="de-DE" w:eastAsia="en-US"/>
        </w:rPr>
        <w:t>Stone</w:t>
      </w:r>
      <w:r w:rsidR="000D3CE6" w:rsidRPr="00495AE6">
        <w:rPr>
          <w:rFonts w:ascii="Times New Roman" w:hAnsi="Times New Roman" w:cs="Times New Roman"/>
          <w:lang w:val="de-DE" w:eastAsia="en-US"/>
        </w:rPr>
        <w:t>, 67219</w:t>
      </w:r>
      <w:r>
        <w:rPr>
          <w:rFonts w:ascii="Times New Roman" w:hAnsi="Times New Roman" w:cs="Times New Roman"/>
          <w:lang w:val="de-DE" w:eastAsia="en-US"/>
        </w:rPr>
        <w:t>425</w:t>
      </w:r>
    </w:p>
    <w:p w:rsidR="003F4D6B" w:rsidRPr="0069728E" w:rsidRDefault="00A50839" w:rsidP="0069728E">
      <w:pPr>
        <w:spacing w:after="0"/>
        <w:jc w:val="both"/>
        <w:rPr>
          <w:rFonts w:ascii="Times New Roman" w:eastAsia="Times New Roman" w:hAnsi="Times New Roman" w:cs="Times New Roman"/>
          <w:sz w:val="20"/>
          <w:szCs w:val="20"/>
          <w:lang w:val="de-DE"/>
        </w:rPr>
      </w:pPr>
      <w:hyperlink r:id="rId10" w:history="1">
        <w:r w:rsidR="0069728E" w:rsidRPr="00957261">
          <w:rPr>
            <w:rStyle w:val="Hyperlink"/>
            <w:rFonts w:ascii="Times New Roman" w:eastAsia="Times New Roman" w:hAnsi="Times New Roman" w:cs="Times New Roman"/>
            <w:sz w:val="20"/>
            <w:szCs w:val="20"/>
            <w:lang w:val="de-DE"/>
          </w:rPr>
          <w:t>kristine.stone@pmlp.gov.lv</w:t>
        </w:r>
      </w:hyperlink>
    </w:p>
    <w:sectPr w:rsidR="003F4D6B" w:rsidRPr="0069728E" w:rsidSect="005C2EF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39" w:rsidRDefault="00A50839" w:rsidP="00D52818">
      <w:pPr>
        <w:spacing w:after="0"/>
      </w:pPr>
      <w:r>
        <w:separator/>
      </w:r>
    </w:p>
  </w:endnote>
  <w:endnote w:type="continuationSeparator" w:id="0">
    <w:p w:rsidR="00A50839" w:rsidRDefault="00A50839" w:rsidP="00D52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6C" w:rsidRDefault="00BF263F" w:rsidP="00697322">
    <w:pPr>
      <w:jc w:val="both"/>
    </w:pPr>
    <w:fldSimple w:instr=" FILENAME   \* MERGEFORMAT ">
      <w:r w:rsidR="00292388" w:rsidRPr="00292388">
        <w:rPr>
          <w:rFonts w:ascii="Times New Roman" w:hAnsi="Times New Roman" w:cs="Times New Roman"/>
          <w:noProof/>
          <w:sz w:val="20"/>
          <w:szCs w:val="20"/>
        </w:rPr>
        <w:t>IEMAnot_080816_zinasLG</w:t>
      </w:r>
    </w:fldSimple>
    <w:r w:rsidRPr="00E9638B">
      <w:rPr>
        <w:rFonts w:ascii="Times New Roman" w:hAnsi="Times New Roman" w:cs="Times New Roman"/>
        <w:sz w:val="20"/>
        <w:szCs w:val="20"/>
      </w:rPr>
      <w:t xml:space="preserve">; </w:t>
    </w:r>
    <w:r w:rsidRPr="00697322">
      <w:rPr>
        <w:rFonts w:ascii="Times New Roman" w:hAnsi="Times New Roman" w:cs="Times New Roman"/>
        <w:sz w:val="20"/>
        <w:szCs w:val="20"/>
      </w:rPr>
      <w:t xml:space="preserve">Ministru kabineta </w:t>
    </w:r>
    <w:r>
      <w:rPr>
        <w:rFonts w:ascii="Times New Roman" w:hAnsi="Times New Roman" w:cs="Times New Roman"/>
        <w:sz w:val="20"/>
        <w:szCs w:val="20"/>
      </w:rPr>
      <w:t>rīkojuma projekta “</w:t>
    </w:r>
    <w:r w:rsidRPr="00497DB2">
      <w:rPr>
        <w:rFonts w:ascii="Times New Roman" w:hAnsi="Times New Roman" w:cs="Times New Roman"/>
        <w:sz w:val="20"/>
        <w:szCs w:val="20"/>
      </w:rPr>
      <w:t>Par</w:t>
    </w:r>
    <w:r>
      <w:rPr>
        <w:rFonts w:ascii="Times New Roman" w:hAnsi="Times New Roman" w:cs="Times New Roman"/>
        <w:sz w:val="20"/>
        <w:szCs w:val="20"/>
      </w:rPr>
      <w:t xml:space="preserve"> akciju sabiedrības “Latvijas Gāze” atbrīvošanu</w:t>
    </w:r>
    <w:r w:rsidRPr="00497DB2">
      <w:rPr>
        <w:rFonts w:ascii="Times New Roman" w:hAnsi="Times New Roman" w:cs="Times New Roman"/>
        <w:sz w:val="20"/>
        <w:szCs w:val="20"/>
      </w:rPr>
      <w:t xml:space="preserve"> no valsts nodevas maksāšanas par ziņu </w:t>
    </w:r>
    <w:r>
      <w:rPr>
        <w:rFonts w:ascii="Times New Roman" w:hAnsi="Times New Roman" w:cs="Times New Roman"/>
        <w:sz w:val="20"/>
        <w:szCs w:val="20"/>
      </w:rPr>
      <w:t>saņemšanu</w:t>
    </w:r>
    <w:r w:rsidRPr="00497DB2">
      <w:rPr>
        <w:rFonts w:ascii="Times New Roman" w:hAnsi="Times New Roman" w:cs="Times New Roman"/>
        <w:sz w:val="20"/>
        <w:szCs w:val="20"/>
      </w:rPr>
      <w:t xml:space="preserve"> no Iedzīvotāju reģistra” sākotnējās ietekmes novērtējuma </w:t>
    </w:r>
    <w:smartTag w:uri="schemas-tilde-lv/tildestengine" w:element="veidnes">
      <w:smartTagPr>
        <w:attr w:name="id" w:val="-1"/>
        <w:attr w:name="baseform" w:val="ziņojums"/>
        <w:attr w:name="text" w:val="ziņojums"/>
      </w:smartTagPr>
      <w:r w:rsidRPr="00497DB2">
        <w:rPr>
          <w:rFonts w:ascii="Times New Roman" w:hAnsi="Times New Roman" w:cs="Times New Roman"/>
          <w:sz w:val="20"/>
          <w:szCs w:val="20"/>
        </w:rPr>
        <w:t>ziņojums</w:t>
      </w:r>
    </w:smartTag>
    <w:r w:rsidRPr="00497DB2">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6C" w:rsidRPr="00497DB2" w:rsidRDefault="00A50839" w:rsidP="00697322">
    <w:pPr>
      <w:jc w:val="both"/>
      <w:rPr>
        <w:rFonts w:ascii="Times New Roman" w:hAnsi="Times New Roman" w:cs="Times New Roman"/>
        <w:sz w:val="20"/>
        <w:szCs w:val="20"/>
      </w:rPr>
    </w:pPr>
    <w:r>
      <w:fldChar w:fldCharType="begin"/>
    </w:r>
    <w:r>
      <w:instrText xml:space="preserve"> FILENAME   \* MERGEFORMAT </w:instrText>
    </w:r>
    <w:r>
      <w:fldChar w:fldCharType="separate"/>
    </w:r>
    <w:r w:rsidR="00292388" w:rsidRPr="00292388">
      <w:rPr>
        <w:rFonts w:ascii="Times New Roman" w:hAnsi="Times New Roman" w:cs="Times New Roman"/>
        <w:noProof/>
        <w:sz w:val="20"/>
        <w:szCs w:val="20"/>
      </w:rPr>
      <w:t>IEMAnot_080816_zinasLG</w:t>
    </w:r>
    <w:r>
      <w:rPr>
        <w:rFonts w:ascii="Times New Roman" w:hAnsi="Times New Roman" w:cs="Times New Roman"/>
        <w:noProof/>
        <w:sz w:val="20"/>
        <w:szCs w:val="20"/>
      </w:rPr>
      <w:fldChar w:fldCharType="end"/>
    </w:r>
    <w:r w:rsidR="00894D6C" w:rsidRPr="00E9638B">
      <w:rPr>
        <w:rFonts w:ascii="Times New Roman" w:hAnsi="Times New Roman" w:cs="Times New Roman"/>
        <w:sz w:val="20"/>
        <w:szCs w:val="20"/>
      </w:rPr>
      <w:t xml:space="preserve">; </w:t>
    </w:r>
    <w:r w:rsidR="00894D6C" w:rsidRPr="00697322">
      <w:rPr>
        <w:rFonts w:ascii="Times New Roman" w:hAnsi="Times New Roman" w:cs="Times New Roman"/>
        <w:sz w:val="20"/>
        <w:szCs w:val="20"/>
      </w:rPr>
      <w:t xml:space="preserve">Ministru kabineta </w:t>
    </w:r>
    <w:r w:rsidR="00BF263F">
      <w:rPr>
        <w:rFonts w:ascii="Times New Roman" w:hAnsi="Times New Roman" w:cs="Times New Roman"/>
        <w:sz w:val="20"/>
        <w:szCs w:val="20"/>
      </w:rPr>
      <w:t>rīkojuma projekta “</w:t>
    </w:r>
    <w:r w:rsidR="00497DB2" w:rsidRPr="00497DB2">
      <w:rPr>
        <w:rFonts w:ascii="Times New Roman" w:hAnsi="Times New Roman" w:cs="Times New Roman"/>
        <w:sz w:val="20"/>
        <w:szCs w:val="20"/>
      </w:rPr>
      <w:t>Par</w:t>
    </w:r>
    <w:r w:rsidR="00BF263F">
      <w:rPr>
        <w:rFonts w:ascii="Times New Roman" w:hAnsi="Times New Roman" w:cs="Times New Roman"/>
        <w:sz w:val="20"/>
        <w:szCs w:val="20"/>
      </w:rPr>
      <w:t xml:space="preserve"> akciju sabiedrības “Latvijas Gāze” atbrīvošanu</w:t>
    </w:r>
    <w:r w:rsidR="00497DB2" w:rsidRPr="00497DB2">
      <w:rPr>
        <w:rFonts w:ascii="Times New Roman" w:hAnsi="Times New Roman" w:cs="Times New Roman"/>
        <w:sz w:val="20"/>
        <w:szCs w:val="20"/>
      </w:rPr>
      <w:t xml:space="preserve"> no valsts nodevas maksāšanas par ziņu </w:t>
    </w:r>
    <w:r w:rsidR="00BF263F">
      <w:rPr>
        <w:rFonts w:ascii="Times New Roman" w:hAnsi="Times New Roman" w:cs="Times New Roman"/>
        <w:sz w:val="20"/>
        <w:szCs w:val="20"/>
      </w:rPr>
      <w:t>saņemšanu</w:t>
    </w:r>
    <w:r w:rsidR="00497DB2" w:rsidRPr="00497DB2">
      <w:rPr>
        <w:rFonts w:ascii="Times New Roman" w:hAnsi="Times New Roman" w:cs="Times New Roman"/>
        <w:sz w:val="20"/>
        <w:szCs w:val="20"/>
      </w:rPr>
      <w:t xml:space="preserve"> no Iedzīvotāju reģistra</w:t>
    </w:r>
    <w:r w:rsidR="00894D6C" w:rsidRPr="00497DB2">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00894D6C" w:rsidRPr="00497DB2">
        <w:rPr>
          <w:rFonts w:ascii="Times New Roman" w:hAnsi="Times New Roman" w:cs="Times New Roman"/>
          <w:sz w:val="20"/>
          <w:szCs w:val="20"/>
        </w:rPr>
        <w:t>ziņojums</w:t>
      </w:r>
    </w:smartTag>
    <w:r w:rsidR="00894D6C" w:rsidRPr="00497DB2">
      <w:rPr>
        <w:rFonts w:ascii="Times New Roman" w:hAnsi="Times New Roman" w:cs="Times New Roman"/>
        <w:sz w:val="20"/>
        <w:szCs w:val="20"/>
      </w:rPr>
      <w:t xml:space="preserve">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39" w:rsidRDefault="00A50839" w:rsidP="00D52818">
      <w:pPr>
        <w:spacing w:after="0"/>
      </w:pPr>
      <w:r>
        <w:separator/>
      </w:r>
    </w:p>
  </w:footnote>
  <w:footnote w:type="continuationSeparator" w:id="0">
    <w:p w:rsidR="00A50839" w:rsidRDefault="00A50839" w:rsidP="00D528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894D6C" w:rsidRDefault="00894D6C">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292388">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rsidR="00894D6C" w:rsidRDefault="00894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3CE6"/>
    <w:rsid w:val="0002484B"/>
    <w:rsid w:val="00085374"/>
    <w:rsid w:val="000A2209"/>
    <w:rsid w:val="000D3CE6"/>
    <w:rsid w:val="001920FA"/>
    <w:rsid w:val="001A041C"/>
    <w:rsid w:val="001E1E0B"/>
    <w:rsid w:val="001E5A92"/>
    <w:rsid w:val="00212242"/>
    <w:rsid w:val="00257E69"/>
    <w:rsid w:val="00292388"/>
    <w:rsid w:val="002A1325"/>
    <w:rsid w:val="003C1A15"/>
    <w:rsid w:val="003E01A0"/>
    <w:rsid w:val="003F4D6B"/>
    <w:rsid w:val="003F6D92"/>
    <w:rsid w:val="00410EB7"/>
    <w:rsid w:val="00497DB2"/>
    <w:rsid w:val="004B6626"/>
    <w:rsid w:val="004D72F2"/>
    <w:rsid w:val="005056D8"/>
    <w:rsid w:val="00551313"/>
    <w:rsid w:val="00574DA2"/>
    <w:rsid w:val="005A3840"/>
    <w:rsid w:val="005C2EFD"/>
    <w:rsid w:val="005C5ADA"/>
    <w:rsid w:val="005E5982"/>
    <w:rsid w:val="006232EB"/>
    <w:rsid w:val="00667EBA"/>
    <w:rsid w:val="0069728E"/>
    <w:rsid w:val="00697322"/>
    <w:rsid w:val="00701E3E"/>
    <w:rsid w:val="007021B8"/>
    <w:rsid w:val="00717579"/>
    <w:rsid w:val="00770B2B"/>
    <w:rsid w:val="00786B8C"/>
    <w:rsid w:val="007B5640"/>
    <w:rsid w:val="00887748"/>
    <w:rsid w:val="00894D6C"/>
    <w:rsid w:val="00A04627"/>
    <w:rsid w:val="00A50839"/>
    <w:rsid w:val="00AA315C"/>
    <w:rsid w:val="00AC4CD3"/>
    <w:rsid w:val="00AF3A6C"/>
    <w:rsid w:val="00BA5CC1"/>
    <w:rsid w:val="00BF263F"/>
    <w:rsid w:val="00C924E9"/>
    <w:rsid w:val="00D1618D"/>
    <w:rsid w:val="00D52818"/>
    <w:rsid w:val="00D93193"/>
    <w:rsid w:val="00DA3168"/>
    <w:rsid w:val="00DC462F"/>
    <w:rsid w:val="00DE6CF8"/>
    <w:rsid w:val="00E22AFE"/>
    <w:rsid w:val="00E91909"/>
    <w:rsid w:val="00EE30AB"/>
    <w:rsid w:val="00F6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52C9CB5-8441-4797-83C2-E3967879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E6"/>
    <w:pPr>
      <w:spacing w:after="120"/>
    </w:pPr>
    <w:rPr>
      <w:rFonts w:asciiTheme="minorHAnsi" w:hAnsiTheme="minorHAnsi"/>
      <w:sz w:val="22"/>
    </w:rPr>
  </w:style>
  <w:style w:type="paragraph" w:styleId="Heading3">
    <w:name w:val="heading 3"/>
    <w:basedOn w:val="Normal"/>
    <w:link w:val="Heading3Char"/>
    <w:uiPriority w:val="9"/>
    <w:qFormat/>
    <w:rsid w:val="000D3CE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CE6"/>
    <w:rPr>
      <w:rFonts w:eastAsia="Times New Roman" w:cs="Times New Roman"/>
      <w:b/>
      <w:bCs/>
      <w:sz w:val="27"/>
      <w:szCs w:val="27"/>
      <w:lang w:eastAsia="lv-LV"/>
    </w:rPr>
  </w:style>
  <w:style w:type="paragraph" w:styleId="Header">
    <w:name w:val="header"/>
    <w:basedOn w:val="Normal"/>
    <w:link w:val="HeaderChar"/>
    <w:uiPriority w:val="99"/>
    <w:unhideWhenUsed/>
    <w:rsid w:val="000D3CE6"/>
    <w:pPr>
      <w:tabs>
        <w:tab w:val="center" w:pos="4153"/>
        <w:tab w:val="right" w:pos="8306"/>
      </w:tabs>
      <w:spacing w:after="0"/>
    </w:pPr>
  </w:style>
  <w:style w:type="character" w:customStyle="1" w:styleId="HeaderChar">
    <w:name w:val="Header Char"/>
    <w:basedOn w:val="DefaultParagraphFont"/>
    <w:link w:val="Header"/>
    <w:uiPriority w:val="99"/>
    <w:rsid w:val="000D3CE6"/>
    <w:rPr>
      <w:rFonts w:asciiTheme="minorHAnsi" w:hAnsiTheme="minorHAnsi"/>
      <w:sz w:val="22"/>
    </w:rPr>
  </w:style>
  <w:style w:type="paragraph" w:styleId="Footer">
    <w:name w:val="footer"/>
    <w:basedOn w:val="Normal"/>
    <w:link w:val="FooterChar"/>
    <w:uiPriority w:val="99"/>
    <w:unhideWhenUsed/>
    <w:rsid w:val="000D3CE6"/>
    <w:pPr>
      <w:tabs>
        <w:tab w:val="center" w:pos="4153"/>
        <w:tab w:val="right" w:pos="8306"/>
      </w:tabs>
      <w:spacing w:after="0"/>
    </w:pPr>
  </w:style>
  <w:style w:type="character" w:customStyle="1" w:styleId="FooterChar">
    <w:name w:val="Footer Char"/>
    <w:basedOn w:val="DefaultParagraphFont"/>
    <w:link w:val="Footer"/>
    <w:uiPriority w:val="99"/>
    <w:rsid w:val="000D3CE6"/>
    <w:rPr>
      <w:rFonts w:asciiTheme="minorHAnsi" w:hAnsiTheme="minorHAnsi"/>
      <w:sz w:val="22"/>
    </w:rPr>
  </w:style>
  <w:style w:type="paragraph" w:customStyle="1" w:styleId="naislab">
    <w:name w:val="naislab"/>
    <w:basedOn w:val="Normal"/>
    <w:rsid w:val="000D3CE6"/>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0D3CE6"/>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0D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0D3CE6"/>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0D3CE6"/>
    <w:rPr>
      <w:color w:val="0000FF"/>
      <w:u w:val="single"/>
    </w:rPr>
  </w:style>
  <w:style w:type="paragraph" w:customStyle="1" w:styleId="naisnod">
    <w:name w:val="naisnod"/>
    <w:basedOn w:val="Normal"/>
    <w:rsid w:val="000D3CE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Normal"/>
    <w:rsid w:val="00786B8C"/>
    <w:pPr>
      <w:spacing w:before="100" w:beforeAutospacing="1" w:after="100" w:afterAutospacing="1"/>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DA3168"/>
    <w:pPr>
      <w:spacing w:after="0"/>
      <w:jc w:val="both"/>
    </w:pPr>
    <w:rPr>
      <w:rFonts w:ascii="Times New Roman" w:eastAsia="Times New Roman" w:hAnsi="Times New Roman" w:cs="Times New Roman"/>
      <w:sz w:val="28"/>
      <w:szCs w:val="20"/>
      <w:lang w:val="fr-FR"/>
    </w:rPr>
  </w:style>
  <w:style w:type="character" w:customStyle="1" w:styleId="BodyTextChar">
    <w:name w:val="Body Text Char"/>
    <w:basedOn w:val="DefaultParagraphFont"/>
    <w:link w:val="BodyText"/>
    <w:rsid w:val="00DA3168"/>
    <w:rPr>
      <w:rFonts w:eastAsia="Times New Roman" w:cs="Times New Roman"/>
      <w:szCs w:val="20"/>
      <w:lang w:val="fr-FR"/>
    </w:rPr>
  </w:style>
  <w:style w:type="paragraph" w:styleId="BalloonText">
    <w:name w:val="Balloon Text"/>
    <w:basedOn w:val="Normal"/>
    <w:link w:val="BalloonTextChar"/>
    <w:uiPriority w:val="99"/>
    <w:semiHidden/>
    <w:unhideWhenUsed/>
    <w:rsid w:val="000248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4B"/>
    <w:rPr>
      <w:rFonts w:ascii="Segoe UI" w:hAnsi="Segoe UI" w:cs="Segoe UI"/>
      <w:sz w:val="18"/>
      <w:szCs w:val="18"/>
    </w:rPr>
  </w:style>
  <w:style w:type="paragraph" w:styleId="ListParagraph">
    <w:name w:val="List Paragraph"/>
    <w:basedOn w:val="Normal"/>
    <w:qFormat/>
    <w:rsid w:val="00212242"/>
    <w:pPr>
      <w:widowControl w:val="0"/>
      <w:spacing w:after="200" w:line="276" w:lineRule="auto"/>
      <w:ind w:left="720"/>
      <w:contextualSpacing/>
    </w:pPr>
    <w:rPr>
      <w:rFonts w:ascii="Calibri" w:eastAsia="Calibri" w:hAnsi="Calibri" w:cs="Times New Roman"/>
      <w:lang w:val="en-US"/>
    </w:rPr>
  </w:style>
  <w:style w:type="paragraph" w:customStyle="1" w:styleId="NormalWebCharChar">
    <w:name w:val="Normal (Web) Char Char"/>
    <w:basedOn w:val="Normal"/>
    <w:rsid w:val="00212242"/>
    <w:pPr>
      <w:widowControl w:val="0"/>
      <w:suppressAutoHyphens/>
      <w:spacing w:before="280" w:after="280"/>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1412?&amp;search=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ta/id/271412?&amp;search=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3/1407?locale=L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ristine.stone@pmlp.gov.lv" TargetMode="External"/><Relationship Id="rId4" Type="http://schemas.openxmlformats.org/officeDocument/2006/relationships/footnotes" Target="footnotes.xml"/><Relationship Id="rId9" Type="http://schemas.openxmlformats.org/officeDocument/2006/relationships/hyperlink" Target="http://eur-lex.europa.eu/eli/reg/2013/1407?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10236</Words>
  <Characters>5836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32</cp:revision>
  <cp:lastPrinted>2016-08-09T04:52:00Z</cp:lastPrinted>
  <dcterms:created xsi:type="dcterms:W3CDTF">2016-08-03T13:23:00Z</dcterms:created>
  <dcterms:modified xsi:type="dcterms:W3CDTF">2016-08-09T05:07:00Z</dcterms:modified>
</cp:coreProperties>
</file>