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AD" w:rsidRPr="00C2761A" w:rsidRDefault="001E21C4" w:rsidP="00A37AAD">
      <w:pPr>
        <w:jc w:val="center"/>
        <w:rPr>
          <w:b/>
          <w:sz w:val="28"/>
          <w:szCs w:val="28"/>
        </w:rPr>
      </w:pPr>
      <w:r w:rsidRPr="00C2761A">
        <w:rPr>
          <w:b/>
          <w:sz w:val="28"/>
          <w:szCs w:val="28"/>
        </w:rPr>
        <w:t>Ministru kabineta noteikumu projekta „</w:t>
      </w:r>
      <w:r w:rsidR="00636163" w:rsidRPr="003E4B71">
        <w:rPr>
          <w:b/>
          <w:bCs/>
          <w:sz w:val="28"/>
          <w:szCs w:val="28"/>
        </w:rPr>
        <w:t>Darbības programmas „Izaugsme un nodarbinātība” 8.</w:t>
      </w:r>
      <w:r w:rsidR="00636163">
        <w:rPr>
          <w:b/>
          <w:bCs/>
          <w:sz w:val="28"/>
          <w:szCs w:val="28"/>
        </w:rPr>
        <w:t>1</w:t>
      </w:r>
      <w:r w:rsidR="00636163" w:rsidRPr="003E4B71">
        <w:rPr>
          <w:b/>
          <w:bCs/>
          <w:sz w:val="28"/>
          <w:szCs w:val="28"/>
        </w:rPr>
        <w:t>.</w:t>
      </w:r>
      <w:r w:rsidR="007B10CE">
        <w:rPr>
          <w:b/>
          <w:bCs/>
          <w:sz w:val="28"/>
          <w:szCs w:val="28"/>
        </w:rPr>
        <w:t>1</w:t>
      </w:r>
      <w:r w:rsidR="00636163">
        <w:rPr>
          <w:b/>
          <w:bCs/>
          <w:sz w:val="28"/>
          <w:szCs w:val="28"/>
        </w:rPr>
        <w:t>. </w:t>
      </w:r>
      <w:r w:rsidR="00636163" w:rsidRPr="003E4B71">
        <w:rPr>
          <w:b/>
          <w:bCs/>
          <w:sz w:val="28"/>
          <w:szCs w:val="28"/>
        </w:rPr>
        <w:t>specifiskā atbalsta mērķa „</w:t>
      </w:r>
      <w:r w:rsidR="007B10CE" w:rsidRPr="007B10CE">
        <w:rPr>
          <w:b/>
          <w:sz w:val="28"/>
          <w:szCs w:val="28"/>
        </w:rPr>
        <w:t>Palielināt modernizēto STEM, tajā skaitā medicīnas un radošās industrijas, studiju programmu skaitu</w:t>
      </w:r>
      <w:r w:rsidR="00636163" w:rsidRPr="007B10CE">
        <w:rPr>
          <w:b/>
          <w:bCs/>
          <w:sz w:val="28"/>
          <w:szCs w:val="28"/>
        </w:rPr>
        <w:t>”</w:t>
      </w:r>
      <w:r w:rsidR="00636163" w:rsidRPr="003E4B71">
        <w:rPr>
          <w:b/>
          <w:bCs/>
          <w:sz w:val="28"/>
          <w:szCs w:val="28"/>
        </w:rPr>
        <w:t xml:space="preserve"> īstenošanas noteikumi</w:t>
      </w:r>
      <w:r w:rsidR="00A37AAD" w:rsidRPr="00C2761A">
        <w:rPr>
          <w:b/>
          <w:sz w:val="28"/>
          <w:szCs w:val="28"/>
        </w:rPr>
        <w:t>” sākotnējās ietekmes novērtējuma ziņojums (anotācija)</w:t>
      </w:r>
    </w:p>
    <w:p w:rsidR="002764B8" w:rsidRPr="00C2761A" w:rsidRDefault="002764B8" w:rsidP="00DE4771">
      <w:pPr>
        <w:jc w:val="center"/>
        <w:rPr>
          <w:b/>
          <w:bCs/>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69"/>
        <w:gridCol w:w="81"/>
        <w:gridCol w:w="1781"/>
        <w:gridCol w:w="316"/>
        <w:gridCol w:w="6042"/>
        <w:gridCol w:w="48"/>
      </w:tblGrid>
      <w:tr w:rsidR="0072604C" w:rsidRPr="00C2761A" w:rsidTr="001629C3">
        <w:trPr>
          <w:gridAfter w:val="1"/>
          <w:wAfter w:w="28" w:type="pct"/>
        </w:trPr>
        <w:tc>
          <w:tcPr>
            <w:tcW w:w="4972" w:type="pct"/>
            <w:gridSpan w:val="5"/>
            <w:tcBorders>
              <w:top w:val="single" w:sz="4" w:space="0" w:color="auto"/>
              <w:left w:val="single" w:sz="4" w:space="0" w:color="auto"/>
              <w:bottom w:val="outset" w:sz="6" w:space="0" w:color="000000"/>
              <w:right w:val="single" w:sz="4" w:space="0" w:color="auto"/>
            </w:tcBorders>
            <w:vAlign w:val="center"/>
          </w:tcPr>
          <w:p w:rsidR="0072604C" w:rsidRPr="00C2761A" w:rsidRDefault="0072604C" w:rsidP="00CD0FA2">
            <w:pPr>
              <w:spacing w:before="100" w:beforeAutospacing="1" w:after="100" w:afterAutospacing="1"/>
              <w:jc w:val="center"/>
              <w:rPr>
                <w:b/>
                <w:bCs/>
              </w:rPr>
            </w:pPr>
            <w:r w:rsidRPr="00C2761A">
              <w:rPr>
                <w:b/>
                <w:bCs/>
              </w:rPr>
              <w:t>I. Tiesību akta projekta izstrādes nepieciešamība</w:t>
            </w:r>
          </w:p>
        </w:tc>
      </w:tr>
      <w:tr w:rsidR="0072604C" w:rsidRPr="00C2761A" w:rsidTr="001629C3">
        <w:trPr>
          <w:gridAfter w:val="1"/>
          <w:wAfter w:w="28" w:type="pct"/>
        </w:trPr>
        <w:tc>
          <w:tcPr>
            <w:tcW w:w="213" w:type="pct"/>
            <w:tcBorders>
              <w:top w:val="outset" w:sz="6" w:space="0" w:color="000000"/>
              <w:left w:val="outset" w:sz="6" w:space="0" w:color="000000"/>
              <w:bottom w:val="outset" w:sz="6" w:space="0" w:color="000000"/>
              <w:right w:val="outset" w:sz="6" w:space="0" w:color="000000"/>
            </w:tcBorders>
          </w:tcPr>
          <w:p w:rsidR="0072604C" w:rsidRPr="00C2761A" w:rsidRDefault="0072604C" w:rsidP="00CD0FA2">
            <w:pPr>
              <w:spacing w:before="100" w:beforeAutospacing="1" w:after="100" w:afterAutospacing="1"/>
            </w:pPr>
            <w:r w:rsidRPr="00C2761A">
              <w:t>1.</w:t>
            </w:r>
          </w:p>
        </w:tc>
        <w:tc>
          <w:tcPr>
            <w:tcW w:w="1078" w:type="pct"/>
            <w:gridSpan w:val="2"/>
            <w:tcBorders>
              <w:top w:val="outset" w:sz="6" w:space="0" w:color="000000"/>
              <w:left w:val="outset" w:sz="6" w:space="0" w:color="000000"/>
              <w:bottom w:val="outset" w:sz="6" w:space="0" w:color="000000"/>
              <w:right w:val="outset" w:sz="6" w:space="0" w:color="000000"/>
            </w:tcBorders>
          </w:tcPr>
          <w:p w:rsidR="0072604C" w:rsidRPr="00C2761A" w:rsidRDefault="0072604C" w:rsidP="00CD0FA2">
            <w:pPr>
              <w:spacing w:before="100" w:beforeAutospacing="1" w:after="100" w:afterAutospacing="1"/>
            </w:pPr>
            <w:r w:rsidRPr="00C2761A">
              <w:t>Pamatojums</w:t>
            </w:r>
          </w:p>
        </w:tc>
        <w:tc>
          <w:tcPr>
            <w:tcW w:w="3681" w:type="pct"/>
            <w:gridSpan w:val="2"/>
            <w:tcBorders>
              <w:top w:val="outset" w:sz="6" w:space="0" w:color="000000"/>
              <w:left w:val="outset" w:sz="6" w:space="0" w:color="000000"/>
              <w:bottom w:val="outset" w:sz="6" w:space="0" w:color="000000"/>
              <w:right w:val="outset" w:sz="6" w:space="0" w:color="000000"/>
            </w:tcBorders>
          </w:tcPr>
          <w:p w:rsidR="00FA593C" w:rsidRPr="008552EF" w:rsidRDefault="00FA593C" w:rsidP="007B7E40">
            <w:pPr>
              <w:pStyle w:val="ListParagraph"/>
              <w:ind w:left="0"/>
              <w:rPr>
                <w:color w:val="000000"/>
                <w:szCs w:val="24"/>
              </w:rPr>
            </w:pPr>
            <w:r w:rsidRPr="00C2761A">
              <w:rPr>
                <w:color w:val="000000"/>
                <w:szCs w:val="24"/>
              </w:rPr>
              <w:t>Ministru kabineta (turpmāk – MK) noteikumu projekts „</w:t>
            </w:r>
            <w:r w:rsidR="00636163" w:rsidRPr="00956B3B">
              <w:rPr>
                <w:color w:val="000000"/>
                <w:szCs w:val="24"/>
              </w:rPr>
              <w:t xml:space="preserve">Darbības programmas </w:t>
            </w:r>
            <w:r w:rsidR="00636163" w:rsidRPr="00636163">
              <w:rPr>
                <w:color w:val="000000"/>
                <w:szCs w:val="24"/>
              </w:rPr>
              <w:t>„Izaugsme un nodarbinātība</w:t>
            </w:r>
            <w:r w:rsidR="00636163" w:rsidRPr="008552EF">
              <w:rPr>
                <w:color w:val="000000"/>
                <w:szCs w:val="24"/>
              </w:rPr>
              <w:t xml:space="preserve">” </w:t>
            </w:r>
            <w:r w:rsidR="008552EF" w:rsidRPr="008552EF">
              <w:rPr>
                <w:bCs/>
                <w:szCs w:val="24"/>
              </w:rPr>
              <w:t>8.1.1. specifiskā atbalsta mērķa „</w:t>
            </w:r>
            <w:r w:rsidR="008552EF" w:rsidRPr="008552EF">
              <w:rPr>
                <w:szCs w:val="24"/>
              </w:rPr>
              <w:t>Palielināt modernizēto STEM, tajā skaitā medicīnas un radošās industrijas, studiju programmu skaitu</w:t>
            </w:r>
            <w:r w:rsidR="008552EF" w:rsidRPr="008552EF">
              <w:rPr>
                <w:bCs/>
                <w:szCs w:val="24"/>
              </w:rPr>
              <w:t>” īstenošanas noteikumi</w:t>
            </w:r>
            <w:r w:rsidR="008552EF" w:rsidRPr="008552EF">
              <w:rPr>
                <w:szCs w:val="24"/>
              </w:rPr>
              <w:t xml:space="preserve">” </w:t>
            </w:r>
            <w:r w:rsidR="00F075EC" w:rsidRPr="008552EF">
              <w:rPr>
                <w:szCs w:val="24"/>
              </w:rPr>
              <w:t>(turpmāk – noteikumu projekts) sagatavots saskaņā ar</w:t>
            </w:r>
            <w:r w:rsidRPr="008552EF">
              <w:rPr>
                <w:color w:val="000000"/>
                <w:szCs w:val="24"/>
              </w:rPr>
              <w:t>:</w:t>
            </w:r>
          </w:p>
          <w:p w:rsidR="00FA593C" w:rsidRPr="00C858D8" w:rsidRDefault="00FA593C" w:rsidP="002A06CC">
            <w:pPr>
              <w:pStyle w:val="ListParagraph"/>
              <w:numPr>
                <w:ilvl w:val="0"/>
                <w:numId w:val="15"/>
              </w:numPr>
              <w:rPr>
                <w:color w:val="000000"/>
                <w:szCs w:val="24"/>
              </w:rPr>
            </w:pPr>
            <w:r w:rsidRPr="008552EF">
              <w:rPr>
                <w:szCs w:val="24"/>
                <w:lang w:eastAsia="lv-LV"/>
              </w:rPr>
              <w:t>Eiropas Savienības struktūrfondu un Kohēzijas</w:t>
            </w:r>
            <w:r w:rsidRPr="00C2761A">
              <w:rPr>
                <w:szCs w:val="24"/>
                <w:lang w:eastAsia="lv-LV"/>
              </w:rPr>
              <w:t xml:space="preserve"> fonda </w:t>
            </w:r>
            <w:r w:rsidR="00F075EC" w:rsidRPr="00C2761A">
              <w:rPr>
                <w:szCs w:val="24"/>
                <w:lang w:eastAsia="lv-LV"/>
              </w:rPr>
              <w:t xml:space="preserve">2014. – 2020.gada plānošanas perioda vadības likuma </w:t>
            </w:r>
            <w:r w:rsidR="00FA567A" w:rsidRPr="00C2761A">
              <w:rPr>
                <w:bCs/>
                <w:color w:val="000000"/>
                <w:szCs w:val="24"/>
              </w:rPr>
              <w:t xml:space="preserve">20.panta </w:t>
            </w:r>
            <w:r w:rsidR="00732323" w:rsidRPr="00C858D8">
              <w:rPr>
                <w:bCs/>
                <w:color w:val="000000"/>
                <w:szCs w:val="24"/>
              </w:rPr>
              <w:t xml:space="preserve">6. un </w:t>
            </w:r>
            <w:r w:rsidR="00FA567A" w:rsidRPr="00C858D8">
              <w:rPr>
                <w:bCs/>
                <w:color w:val="000000"/>
                <w:szCs w:val="24"/>
              </w:rPr>
              <w:t>13.punktu</w:t>
            </w:r>
            <w:r w:rsidR="006C268C" w:rsidRPr="00C858D8">
              <w:rPr>
                <w:bCs/>
                <w:color w:val="000000"/>
                <w:szCs w:val="24"/>
              </w:rPr>
              <w:t>;</w:t>
            </w:r>
          </w:p>
          <w:p w:rsidR="00AC3B6B" w:rsidRPr="00C2761A" w:rsidRDefault="00FA567A" w:rsidP="00A94D5A">
            <w:pPr>
              <w:pStyle w:val="ListParagraph"/>
              <w:numPr>
                <w:ilvl w:val="0"/>
                <w:numId w:val="15"/>
              </w:numPr>
              <w:rPr>
                <w:color w:val="000000"/>
                <w:szCs w:val="24"/>
              </w:rPr>
            </w:pPr>
            <w:r w:rsidRPr="00C858D8">
              <w:rPr>
                <w:color w:val="000000"/>
                <w:szCs w:val="24"/>
                <w:shd w:val="clear" w:color="auto" w:fill="FFFFFF"/>
              </w:rPr>
              <w:t>Ministru Prezidenta 2014.gada 21.jūlija rezolūciju</w:t>
            </w:r>
            <w:r w:rsidRPr="00C2761A">
              <w:rPr>
                <w:color w:val="000000"/>
                <w:szCs w:val="24"/>
                <w:shd w:val="clear" w:color="auto" w:fill="FFFFFF"/>
              </w:rPr>
              <w:t xml:space="preserve"> Nr.12/2014-JUR-151, kura nosaka līdz 2017.gada 1.decembrim atbilstoši kompetencei sagatavot un noteiktā kārtībā iesniegt MK </w:t>
            </w:r>
            <w:r w:rsidR="00AC3B6B" w:rsidRPr="00C2761A">
              <w:rPr>
                <w:szCs w:val="24"/>
              </w:rPr>
              <w:t xml:space="preserve">specifiskā atbalsta mērķa īstenošanas noteikumus; </w:t>
            </w:r>
          </w:p>
          <w:p w:rsidR="00B969D7" w:rsidRPr="00C2761A" w:rsidRDefault="00AC3B6B" w:rsidP="00AC3B6B">
            <w:pPr>
              <w:pStyle w:val="ListParagraph"/>
              <w:numPr>
                <w:ilvl w:val="0"/>
                <w:numId w:val="15"/>
              </w:numPr>
              <w:rPr>
                <w:szCs w:val="24"/>
              </w:rPr>
            </w:pPr>
            <w:r w:rsidRPr="00C2761A">
              <w:rPr>
                <w:szCs w:val="24"/>
              </w:rPr>
              <w:t>Eiropas Savienības fondu un Kohēzijas politikas 2014.-2020.gada plānošanas perioda darbības programmu „Izaugsme un nodarbinātība”, kas apstiprināta Eiropas Komisijā   2014.gada 11.novembrī.</w:t>
            </w:r>
            <w:r w:rsidRPr="00C2761A">
              <w:rPr>
                <w:color w:val="000000"/>
                <w:szCs w:val="24"/>
              </w:rPr>
              <w:t xml:space="preserve"> </w:t>
            </w:r>
          </w:p>
        </w:tc>
      </w:tr>
      <w:tr w:rsidR="0072604C" w:rsidRPr="00C2761A" w:rsidTr="001629C3">
        <w:trPr>
          <w:gridAfter w:val="1"/>
          <w:wAfter w:w="28" w:type="pct"/>
        </w:trPr>
        <w:tc>
          <w:tcPr>
            <w:tcW w:w="213" w:type="pct"/>
            <w:tcBorders>
              <w:top w:val="outset" w:sz="6" w:space="0" w:color="000000"/>
              <w:left w:val="outset" w:sz="6" w:space="0" w:color="000000"/>
              <w:bottom w:val="outset" w:sz="6" w:space="0" w:color="000000"/>
              <w:right w:val="outset" w:sz="6" w:space="0" w:color="000000"/>
            </w:tcBorders>
          </w:tcPr>
          <w:p w:rsidR="0072604C" w:rsidRPr="00C2761A" w:rsidRDefault="0072604C" w:rsidP="00CD0FA2">
            <w:pPr>
              <w:spacing w:before="100" w:beforeAutospacing="1" w:after="100" w:afterAutospacing="1"/>
            </w:pPr>
            <w:r w:rsidRPr="00C2761A">
              <w:t>2.</w:t>
            </w:r>
          </w:p>
        </w:tc>
        <w:tc>
          <w:tcPr>
            <w:tcW w:w="1078" w:type="pct"/>
            <w:gridSpan w:val="2"/>
            <w:tcBorders>
              <w:top w:val="outset" w:sz="6" w:space="0" w:color="000000"/>
              <w:left w:val="outset" w:sz="6" w:space="0" w:color="000000"/>
              <w:bottom w:val="outset" w:sz="6" w:space="0" w:color="000000"/>
              <w:right w:val="outset" w:sz="6" w:space="0" w:color="000000"/>
            </w:tcBorders>
          </w:tcPr>
          <w:p w:rsidR="0072604C" w:rsidRPr="00C2761A" w:rsidRDefault="00997B78" w:rsidP="00CD0FA2">
            <w:pPr>
              <w:spacing w:before="100" w:beforeAutospacing="1" w:after="100" w:afterAutospacing="1"/>
            </w:pPr>
            <w:r w:rsidRPr="00C2761A">
              <w:t>Pašreizējā situācija un problēmas, kuru risināšanai tiesību akta projekts izstrādāts, tiesiskā regulējuma mērķis un būtība</w:t>
            </w:r>
          </w:p>
        </w:tc>
        <w:tc>
          <w:tcPr>
            <w:tcW w:w="3681" w:type="pct"/>
            <w:gridSpan w:val="2"/>
            <w:tcBorders>
              <w:top w:val="outset" w:sz="6" w:space="0" w:color="000000"/>
              <w:left w:val="outset" w:sz="6" w:space="0" w:color="000000"/>
              <w:bottom w:val="outset" w:sz="6" w:space="0" w:color="000000"/>
              <w:right w:val="outset" w:sz="6" w:space="0" w:color="000000"/>
            </w:tcBorders>
          </w:tcPr>
          <w:p w:rsidR="007B10CE" w:rsidRPr="006D119F" w:rsidRDefault="007B10CE" w:rsidP="009111B0">
            <w:pPr>
              <w:ind w:firstLine="720"/>
              <w:jc w:val="both"/>
            </w:pPr>
            <w:r w:rsidRPr="006D119F">
              <w:t>Izglītības attīstības pamatnostādnēs 2014.–2020. gadam kā viens no uzdevumiem ir noteikta a</w:t>
            </w:r>
            <w:r w:rsidRPr="006D119F">
              <w:rPr>
                <w:rFonts w:ascii="Times New Roman,Bold" w:eastAsiaTheme="minorHAnsi" w:hAnsi="Times New Roman,Bold" w:cs="Times New Roman,Bold"/>
                <w:bCs/>
              </w:rPr>
              <w:t xml:space="preserve">ugstākās izglītības institūciju resursu mērķtiecīga izmantošana, veicinot STEM </w:t>
            </w:r>
            <w:r w:rsidRPr="006D119F">
              <w:rPr>
                <w:i/>
              </w:rPr>
              <w:t>(</w:t>
            </w:r>
            <w:proofErr w:type="spellStart"/>
            <w:r w:rsidRPr="006D119F">
              <w:rPr>
                <w:i/>
                <w:iCs/>
              </w:rPr>
              <w:t>Science</w:t>
            </w:r>
            <w:proofErr w:type="spellEnd"/>
            <w:r w:rsidRPr="006D119F">
              <w:rPr>
                <w:i/>
                <w:iCs/>
              </w:rPr>
              <w:t xml:space="preserve">, </w:t>
            </w:r>
            <w:proofErr w:type="spellStart"/>
            <w:r w:rsidRPr="006D119F">
              <w:rPr>
                <w:i/>
                <w:iCs/>
              </w:rPr>
              <w:t>Technology</w:t>
            </w:r>
            <w:proofErr w:type="spellEnd"/>
            <w:r w:rsidRPr="006D119F">
              <w:rPr>
                <w:i/>
                <w:iCs/>
              </w:rPr>
              <w:t xml:space="preserve">, Engineering </w:t>
            </w:r>
            <w:proofErr w:type="spellStart"/>
            <w:r w:rsidRPr="006D119F">
              <w:rPr>
                <w:i/>
                <w:iCs/>
              </w:rPr>
              <w:t>and</w:t>
            </w:r>
            <w:proofErr w:type="spellEnd"/>
            <w:r w:rsidRPr="006D119F">
              <w:rPr>
                <w:i/>
                <w:iCs/>
              </w:rPr>
              <w:t xml:space="preserve"> </w:t>
            </w:r>
            <w:proofErr w:type="spellStart"/>
            <w:r w:rsidRPr="006D119F">
              <w:rPr>
                <w:i/>
                <w:iCs/>
              </w:rPr>
              <w:t>Mathematics</w:t>
            </w:r>
            <w:proofErr w:type="spellEnd"/>
            <w:r w:rsidRPr="006D119F">
              <w:rPr>
                <w:i/>
                <w:iCs/>
              </w:rPr>
              <w:t xml:space="preserve"> – </w:t>
            </w:r>
            <w:r w:rsidRPr="006D119F">
              <w:t>zinātne, tehnoloģijas, inženierzinātnes, matemātika</w:t>
            </w:r>
            <w:r w:rsidRPr="006D119F">
              <w:rPr>
                <w:i/>
              </w:rPr>
              <w:t xml:space="preserve">) </w:t>
            </w:r>
            <w:r w:rsidRPr="006D119F">
              <w:rPr>
                <w:rFonts w:ascii="Times New Roman,Bold" w:eastAsiaTheme="minorHAnsi" w:hAnsi="Times New Roman,Bold" w:cs="Times New Roman,Bold"/>
                <w:bCs/>
              </w:rPr>
              <w:t xml:space="preserve">studiju un zinātniskā darba teritoriāli telpisko koncentrēšanos un materiālās un </w:t>
            </w:r>
            <w:r w:rsidRPr="006D119F">
              <w:rPr>
                <w:rFonts w:eastAsiaTheme="minorHAnsi"/>
                <w:bCs/>
              </w:rPr>
              <w:t>tehnisk</w:t>
            </w:r>
            <w:r w:rsidRPr="006D119F">
              <w:rPr>
                <w:rFonts w:ascii="Times New Roman,Bold" w:eastAsiaTheme="minorHAnsi" w:hAnsi="Times New Roman,Bold" w:cs="Times New Roman,Bold"/>
                <w:bCs/>
              </w:rPr>
              <w:t>ās bāzes modernizēšanu</w:t>
            </w:r>
            <w:r w:rsidRPr="006D119F">
              <w:rPr>
                <w:rFonts w:eastAsiaTheme="minorHAnsi"/>
                <w:bCs/>
              </w:rPr>
              <w:t>, t.</w:t>
            </w:r>
            <w:r w:rsidRPr="006D119F">
              <w:rPr>
                <w:rFonts w:ascii="Times New Roman,Bold" w:eastAsiaTheme="minorHAnsi" w:hAnsi="Times New Roman,Bold" w:cs="Times New Roman,Bold"/>
                <w:bCs/>
              </w:rPr>
              <w:t xml:space="preserve">sk. reģionos </w:t>
            </w:r>
            <w:r w:rsidRPr="006D119F">
              <w:rPr>
                <w:rFonts w:eastAsiaTheme="minorHAnsi"/>
                <w:bCs/>
              </w:rPr>
              <w:t xml:space="preserve">un </w:t>
            </w:r>
            <w:r w:rsidRPr="006D119F">
              <w:rPr>
                <w:rFonts w:ascii="Times New Roman,Bold" w:eastAsiaTheme="minorHAnsi" w:hAnsi="Times New Roman,Bold" w:cs="Times New Roman,Bold"/>
                <w:bCs/>
              </w:rPr>
              <w:t>medicīnas un radošo industriju jomās</w:t>
            </w:r>
            <w:r w:rsidRPr="006D119F">
              <w:rPr>
                <w:rFonts w:eastAsiaTheme="minorHAnsi"/>
                <w:bCs/>
              </w:rPr>
              <w:t>.</w:t>
            </w:r>
            <w:r w:rsidRPr="006D119F">
              <w:rPr>
                <w:rFonts w:eastAsiaTheme="minorHAnsi"/>
                <w:b/>
                <w:bCs/>
              </w:rPr>
              <w:t xml:space="preserve"> </w:t>
            </w:r>
            <w:r w:rsidRPr="006D119F">
              <w:t>Infrastruktūras un aprīkojuma modernizēšana paredzēta augstskolās, kas īsteno STEM studiju programmas, t.sk. medicīnas un radošo industriju jomās</w:t>
            </w:r>
            <w:r w:rsidR="00A3796C">
              <w:t>.</w:t>
            </w:r>
          </w:p>
          <w:p w:rsidR="008B63B8" w:rsidRPr="008A3165" w:rsidRDefault="00E02C2D" w:rsidP="009111B0">
            <w:pPr>
              <w:ind w:firstLine="720"/>
              <w:jc w:val="both"/>
            </w:pPr>
            <w:r w:rsidRPr="006D119F">
              <w:t xml:space="preserve">Arī </w:t>
            </w:r>
            <w:r w:rsidR="008B63B8" w:rsidRPr="006D119F">
              <w:t xml:space="preserve">Latvijas Viedās specializācijas stratēģija paredz izglītības modernizāciju ar mērķi sekmēt tautsaimniecības transformāciju uz augstāku pievienoto vērtību, sekmējot izaugsmi gan tradicionālajās tautsaimniecības nozarēs, gan nozarēs ar augstu nākotnes izaugsmes potenciālu un nozarēs ar nozīmīgu horizontālu ietekmi. </w:t>
            </w:r>
            <w:r w:rsidR="00C94E1C">
              <w:t xml:space="preserve">Latvijas </w:t>
            </w:r>
            <w:r w:rsidR="008B63B8" w:rsidRPr="006D119F">
              <w:t xml:space="preserve">Viedās specializācijas stratēģijas mērķu sasniegšanai būs nepieciešams </w:t>
            </w:r>
            <w:proofErr w:type="spellStart"/>
            <w:r w:rsidR="008B63B8" w:rsidRPr="006D119F">
              <w:t>cilvēkkapitāls</w:t>
            </w:r>
            <w:proofErr w:type="spellEnd"/>
            <w:r w:rsidR="008B63B8" w:rsidRPr="006D119F">
              <w:t xml:space="preserve">, kas nodrošinās izaugsmi nozarēs, kurās eksistē vai ir iespējams radīt produktus un pakalpojumus ar augstu pievienoto vērtību, nozarēs ar nozīmīgu horizontālo ietekmi un ieguldījumu tautsaimniecības transformācijā, kā arī būs nepieciešams </w:t>
            </w:r>
            <w:proofErr w:type="spellStart"/>
            <w:r w:rsidR="008B63B8" w:rsidRPr="006D119F">
              <w:t>cilvēkkapitāls</w:t>
            </w:r>
            <w:proofErr w:type="spellEnd"/>
            <w:r w:rsidR="008B63B8" w:rsidRPr="006D119F">
              <w:t xml:space="preserve">, kas mainīs </w:t>
            </w:r>
            <w:r w:rsidR="008B63B8" w:rsidRPr="006D119F">
              <w:lastRenderedPageBreak/>
              <w:t xml:space="preserve">ražošanas un eksporta struktūras tradicionālajās tautsaimniecības nozarēs. Lai izveidotu šādu </w:t>
            </w:r>
            <w:proofErr w:type="spellStart"/>
            <w:r w:rsidR="008B63B8" w:rsidRPr="006D119F">
              <w:t>cilvēkkapitālu</w:t>
            </w:r>
            <w:proofErr w:type="spellEnd"/>
            <w:r w:rsidR="008B63B8" w:rsidRPr="006D119F">
              <w:t xml:space="preserve">, ir jāstiprina </w:t>
            </w:r>
            <w:r w:rsidR="00C6231E" w:rsidRPr="006D119F">
              <w:t>izglītības vide</w:t>
            </w:r>
            <w:r w:rsidR="00290CD6" w:rsidRPr="006D119F">
              <w:t>s kvalitāte</w:t>
            </w:r>
            <w:r w:rsidR="008B63B8" w:rsidRPr="006D119F">
              <w:t xml:space="preserve">, kas attīstīs kompetenču bāzi </w:t>
            </w:r>
            <w:r w:rsidR="004A2BD0">
              <w:t xml:space="preserve">Latvijas </w:t>
            </w:r>
            <w:r w:rsidR="004A2BD0" w:rsidRPr="006D119F">
              <w:t>Viedās specializācijas stratēģij</w:t>
            </w:r>
            <w:r w:rsidR="004A2BD0">
              <w:t>ā</w:t>
            </w:r>
            <w:r w:rsidR="008B63B8" w:rsidRPr="006D119F">
              <w:t xml:space="preserve"> definētajās </w:t>
            </w:r>
            <w:r w:rsidR="00E60781" w:rsidRPr="008A3165">
              <w:t>specializācijas</w:t>
            </w:r>
            <w:r w:rsidR="008B63B8" w:rsidRPr="008A3165">
              <w:t xml:space="preserve"> jomās: 1) </w:t>
            </w:r>
            <w:proofErr w:type="spellStart"/>
            <w:r w:rsidR="008B63B8" w:rsidRPr="008A3165">
              <w:t>bioekonomikā</w:t>
            </w:r>
            <w:proofErr w:type="spellEnd"/>
            <w:r w:rsidR="008B63B8" w:rsidRPr="008A3165">
              <w:t xml:space="preserve">, 2) </w:t>
            </w:r>
            <w:proofErr w:type="spellStart"/>
            <w:r w:rsidR="008B63B8" w:rsidRPr="008A3165">
              <w:t>biomedicīnā</w:t>
            </w:r>
            <w:proofErr w:type="spellEnd"/>
            <w:r w:rsidR="008B63B8" w:rsidRPr="008A3165">
              <w:t xml:space="preserve">, medicīnas tehnoloģijās, </w:t>
            </w:r>
            <w:proofErr w:type="spellStart"/>
            <w:r w:rsidR="008B63B8" w:rsidRPr="008A3165">
              <w:t>biofarmācijā</w:t>
            </w:r>
            <w:proofErr w:type="spellEnd"/>
            <w:r w:rsidR="008B63B8" w:rsidRPr="008A3165">
              <w:t xml:space="preserve"> un biotehnoloģijās, 3) viedo materiālu izstrādē, tehnoloģijās un </w:t>
            </w:r>
            <w:proofErr w:type="spellStart"/>
            <w:r w:rsidR="008B63B8" w:rsidRPr="008A3165">
              <w:t>inženiersistēmās</w:t>
            </w:r>
            <w:proofErr w:type="spellEnd"/>
            <w:r w:rsidR="008B63B8" w:rsidRPr="008A3165">
              <w:t>, 4) viedajā enerģētikā, un 5) informācijas un komunikācijas tehnoloģijās.</w:t>
            </w:r>
          </w:p>
          <w:p w:rsidR="00EF5A62" w:rsidRPr="008A3165" w:rsidRDefault="00572EFA" w:rsidP="008A3165">
            <w:pPr>
              <w:pStyle w:val="Default"/>
              <w:ind w:firstLine="720"/>
              <w:jc w:val="both"/>
              <w:rPr>
                <w:color w:val="auto"/>
              </w:rPr>
            </w:pPr>
            <w:r w:rsidRPr="008A3165">
              <w:rPr>
                <w:color w:val="auto"/>
              </w:rPr>
              <w:t xml:space="preserve">Ekonomikas ministrija informatīvajos ziņojumos par darba tirgus vidēja un ilgtermiņa prognozēm uzsver, ka </w:t>
            </w:r>
            <w:r w:rsidR="006D119F" w:rsidRPr="008A3165">
              <w:t>darbaspēks novecojas, tas ietekmēs prasmju piedāvājumu daudzās profesijās. Īpaši tas attieksies uz STEM profesijām un norāda uz iespējamo nākotnes darbaspēka iztrūkumu zinātnes un tehnoloģiju jomā.</w:t>
            </w:r>
            <w:r w:rsidRPr="008A3165">
              <w:rPr>
                <w:color w:val="auto"/>
              </w:rPr>
              <w:t xml:space="preserve"> </w:t>
            </w:r>
            <w:r w:rsidR="008A3165" w:rsidRPr="008A3165">
              <w:rPr>
                <w:color w:val="auto"/>
              </w:rPr>
              <w:t>Viens no risinājumiem, lai mazinātu neatbilstību starp augstākās izglītības piedāvājumu un darba tirgus pieprasījumu, ir palielināt STEM jomā</w:t>
            </w:r>
            <w:r w:rsidR="00A3796C">
              <w:rPr>
                <w:color w:val="auto"/>
              </w:rPr>
              <w:t>s</w:t>
            </w:r>
            <w:r w:rsidR="008A3165" w:rsidRPr="008A3165">
              <w:rPr>
                <w:color w:val="auto"/>
              </w:rPr>
              <w:t xml:space="preserve"> </w:t>
            </w:r>
            <w:r w:rsidR="00A3796C">
              <w:rPr>
                <w:color w:val="auto"/>
              </w:rPr>
              <w:t>studējošo</w:t>
            </w:r>
            <w:r w:rsidR="008A3165" w:rsidRPr="008A3165">
              <w:rPr>
                <w:color w:val="auto"/>
              </w:rPr>
              <w:t xml:space="preserve"> skaitu, uzlabojot</w:t>
            </w:r>
            <w:r w:rsidR="006D119F" w:rsidRPr="008A3165">
              <w:t xml:space="preserve"> augstskolu nodrošinājum</w:t>
            </w:r>
            <w:r w:rsidR="008A3165" w:rsidRPr="008A3165">
              <w:t>u</w:t>
            </w:r>
            <w:r w:rsidR="006D119F" w:rsidRPr="008A3165">
              <w:t xml:space="preserve"> ar mūsdienīgām iekārtām, aprīkojumu un tehnoloģijām tādos prioritāros studiju virzienos kā dabas zinātnes, matemātika un informācijas tehnoloģijas, inženierzinātnes, ražošana un būvniecība</w:t>
            </w:r>
            <w:r w:rsidR="00C94E1C">
              <w:t>, lauksaimniecība un veselības aprūpe.</w:t>
            </w:r>
            <w:r w:rsidR="008A3165" w:rsidRPr="008A3165">
              <w:t xml:space="preserve"> </w:t>
            </w:r>
            <w:r w:rsidR="00EF5A62" w:rsidRPr="008A3165">
              <w:rPr>
                <w:color w:val="auto"/>
              </w:rPr>
              <w:t xml:space="preserve">Šī mērķa sasniegšanu sekmēs </w:t>
            </w:r>
            <w:r w:rsidR="00B05E25" w:rsidRPr="008A3165">
              <w:rPr>
                <w:color w:val="auto"/>
              </w:rPr>
              <w:t>8.1.</w:t>
            </w:r>
            <w:r w:rsidR="007B10CE" w:rsidRPr="008A3165">
              <w:rPr>
                <w:color w:val="auto"/>
              </w:rPr>
              <w:t>1</w:t>
            </w:r>
            <w:r w:rsidR="00B05E25" w:rsidRPr="008A3165">
              <w:rPr>
                <w:color w:val="auto"/>
              </w:rPr>
              <w:t>. specifiskā atbalsta mērķa „</w:t>
            </w:r>
            <w:r w:rsidR="007B10CE" w:rsidRPr="008A3165">
              <w:rPr>
                <w:color w:val="auto"/>
              </w:rPr>
              <w:t>Palielināt modernizēto STEM, tajā skaitā medicīnas un radošās industrijas, studiju programmu skaitu</w:t>
            </w:r>
            <w:r w:rsidR="00B05E25" w:rsidRPr="008A3165">
              <w:rPr>
                <w:color w:val="auto"/>
              </w:rPr>
              <w:t>” (turpmāk – 8.1.</w:t>
            </w:r>
            <w:r w:rsidR="007B10CE" w:rsidRPr="008A3165">
              <w:rPr>
                <w:color w:val="auto"/>
              </w:rPr>
              <w:t>1</w:t>
            </w:r>
            <w:r w:rsidR="00B05E25" w:rsidRPr="008A3165">
              <w:rPr>
                <w:color w:val="auto"/>
              </w:rPr>
              <w:t xml:space="preserve">. SAM) </w:t>
            </w:r>
            <w:r w:rsidR="00EF5A62" w:rsidRPr="008A3165">
              <w:rPr>
                <w:color w:val="auto"/>
              </w:rPr>
              <w:t xml:space="preserve">īstenošana. </w:t>
            </w:r>
          </w:p>
          <w:p w:rsidR="0068284C" w:rsidRPr="006D119F" w:rsidRDefault="00B66E72" w:rsidP="00F25B61">
            <w:pPr>
              <w:ind w:firstLine="720"/>
              <w:jc w:val="both"/>
            </w:pPr>
            <w:r w:rsidRPr="008A3165">
              <w:t>Ar noteikumu projektu tiks noteikts tiesisk</w:t>
            </w:r>
            <w:r w:rsidR="00515BB7" w:rsidRPr="008A3165">
              <w:t>ai</w:t>
            </w:r>
            <w:r w:rsidRPr="008A3165">
              <w:t xml:space="preserve">s ietvars </w:t>
            </w:r>
            <w:r w:rsidR="00515BB7" w:rsidRPr="008A3165">
              <w:t>8.</w:t>
            </w:r>
            <w:r w:rsidR="00636163" w:rsidRPr="008A3165">
              <w:t>1</w:t>
            </w:r>
            <w:r w:rsidR="00515BB7" w:rsidRPr="008A3165">
              <w:t>.</w:t>
            </w:r>
            <w:r w:rsidR="007B10CE" w:rsidRPr="008A3165">
              <w:t>1</w:t>
            </w:r>
            <w:r w:rsidR="00515BB7" w:rsidRPr="008A3165">
              <w:t>.</w:t>
            </w:r>
            <w:r w:rsidR="00EB6067" w:rsidRPr="008A3165">
              <w:t> SAM</w:t>
            </w:r>
            <w:r w:rsidR="00515BB7" w:rsidRPr="008A3165">
              <w:t xml:space="preserve"> </w:t>
            </w:r>
            <w:r w:rsidRPr="008A3165">
              <w:t xml:space="preserve">īstenošanai, lai sasniegtu izvirzīto </w:t>
            </w:r>
            <w:r w:rsidR="00B829DC" w:rsidRPr="008A3165">
              <w:rPr>
                <w:b/>
              </w:rPr>
              <w:t>8.</w:t>
            </w:r>
            <w:r w:rsidR="00636163" w:rsidRPr="008A3165">
              <w:rPr>
                <w:b/>
              </w:rPr>
              <w:t>1</w:t>
            </w:r>
            <w:r w:rsidR="00B829DC" w:rsidRPr="008A3165">
              <w:rPr>
                <w:b/>
              </w:rPr>
              <w:t>.</w:t>
            </w:r>
            <w:r w:rsidR="007B10CE" w:rsidRPr="008A3165">
              <w:rPr>
                <w:b/>
              </w:rPr>
              <w:t>1</w:t>
            </w:r>
            <w:r w:rsidR="00B829DC" w:rsidRPr="008A3165">
              <w:rPr>
                <w:b/>
              </w:rPr>
              <w:t>.</w:t>
            </w:r>
            <w:r w:rsidR="00EB6067" w:rsidRPr="008A3165">
              <w:rPr>
                <w:b/>
              </w:rPr>
              <w:t xml:space="preserve"> SAM </w:t>
            </w:r>
            <w:r w:rsidR="00B829DC" w:rsidRPr="008A3165">
              <w:rPr>
                <w:b/>
              </w:rPr>
              <w:t>mērķi</w:t>
            </w:r>
            <w:r w:rsidRPr="008A3165">
              <w:t xml:space="preserve"> </w:t>
            </w:r>
            <w:r w:rsidR="00515BB7" w:rsidRPr="008A3165">
              <w:t xml:space="preserve">– </w:t>
            </w:r>
            <w:r w:rsidR="00841159" w:rsidRPr="008A3165">
              <w:t xml:space="preserve">palielināt modernizēto STEM, tajā skaitā medicīnas un radošās industrijas, studiju programmu skaitu. </w:t>
            </w:r>
            <w:r w:rsidR="00515BB7" w:rsidRPr="008A3165">
              <w:t>N</w:t>
            </w:r>
            <w:r w:rsidR="00321929" w:rsidRPr="008A3165">
              <w:t>oteikumu projekt</w:t>
            </w:r>
            <w:r w:rsidRPr="008A3165">
              <w:t>s</w:t>
            </w:r>
            <w:r w:rsidR="00321929" w:rsidRPr="008A3165">
              <w:t xml:space="preserve"> nosaka </w:t>
            </w:r>
            <w:r w:rsidR="0068284C" w:rsidRPr="008A3165">
              <w:t xml:space="preserve">kārtību, kādā īsteno </w:t>
            </w:r>
            <w:r w:rsidR="00515BB7" w:rsidRPr="008A3165">
              <w:t>8.</w:t>
            </w:r>
            <w:r w:rsidR="00636163" w:rsidRPr="008A3165">
              <w:t>1</w:t>
            </w:r>
            <w:r w:rsidR="00515BB7" w:rsidRPr="008A3165">
              <w:t>.</w:t>
            </w:r>
            <w:r w:rsidR="00841159" w:rsidRPr="008A3165">
              <w:t>1</w:t>
            </w:r>
            <w:r w:rsidR="00515BB7" w:rsidRPr="008A3165">
              <w:t>.</w:t>
            </w:r>
            <w:r w:rsidR="00EB6067" w:rsidRPr="008A3165">
              <w:t> SAM</w:t>
            </w:r>
            <w:r w:rsidR="00E02C2D" w:rsidRPr="006D119F">
              <w:t>,</w:t>
            </w:r>
            <w:r w:rsidR="0068284C" w:rsidRPr="006D119F">
              <w:t xml:space="preserve"> </w:t>
            </w:r>
            <w:r w:rsidR="0041100B" w:rsidRPr="006D119F">
              <w:t xml:space="preserve">mērķi un mērķa grupu, </w:t>
            </w:r>
            <w:r w:rsidR="00732323" w:rsidRPr="006D119F">
              <w:t xml:space="preserve">pieejamo </w:t>
            </w:r>
            <w:r w:rsidR="0041100B" w:rsidRPr="006D119F">
              <w:t xml:space="preserve">finansējumu, sasniedzamos uzraudzības rādītājus, </w:t>
            </w:r>
            <w:r w:rsidR="0068284C" w:rsidRPr="006D119F">
              <w:t>prasības projekt</w:t>
            </w:r>
            <w:r w:rsidR="00636163" w:rsidRPr="006D119F">
              <w:t>u</w:t>
            </w:r>
            <w:r w:rsidR="0068284C" w:rsidRPr="006D119F">
              <w:t xml:space="preserve"> iesniedzēj</w:t>
            </w:r>
            <w:r w:rsidR="00636163" w:rsidRPr="006D119F">
              <w:t>ie</w:t>
            </w:r>
            <w:r w:rsidR="0068284C" w:rsidRPr="006D119F">
              <w:t xml:space="preserve">m, atbalstāmās darbības, izmaksu </w:t>
            </w:r>
            <w:proofErr w:type="spellStart"/>
            <w:r w:rsidR="0068284C" w:rsidRPr="006D119F">
              <w:t>attiecināmības</w:t>
            </w:r>
            <w:proofErr w:type="spellEnd"/>
            <w:r w:rsidR="0041100B" w:rsidRPr="006D119F">
              <w:t xml:space="preserve"> nosacījumus</w:t>
            </w:r>
            <w:r w:rsidR="00732323" w:rsidRPr="006D119F">
              <w:t>,</w:t>
            </w:r>
            <w:r w:rsidR="00732323" w:rsidRPr="006D119F">
              <w:rPr>
                <w:sz w:val="28"/>
                <w:szCs w:val="28"/>
              </w:rPr>
              <w:t xml:space="preserve"> </w:t>
            </w:r>
            <w:r w:rsidR="00690AA7" w:rsidRPr="006D119F">
              <w:t>vienkāršoto izmaksu piemērošanas nosacījumus un kārtību, kā arī</w:t>
            </w:r>
            <w:r w:rsidR="00F94810" w:rsidRPr="006D119F">
              <w:rPr>
                <w:sz w:val="28"/>
                <w:szCs w:val="28"/>
              </w:rPr>
              <w:t xml:space="preserve"> </w:t>
            </w:r>
            <w:r w:rsidR="00636163" w:rsidRPr="006D119F">
              <w:t>vienošanās</w:t>
            </w:r>
            <w:r w:rsidR="00C94E1C">
              <w:t xml:space="preserve"> vai līguma</w:t>
            </w:r>
            <w:r w:rsidR="0068284C" w:rsidRPr="006D119F">
              <w:t xml:space="preserve"> par projekta īstenošanu v</w:t>
            </w:r>
            <w:r w:rsidR="0041100B" w:rsidRPr="006D119F">
              <w:t>ienpusēja uzteikuma nosacījumus.</w:t>
            </w:r>
            <w:r w:rsidR="0068284C" w:rsidRPr="006D119F">
              <w:t xml:space="preserve"> </w:t>
            </w:r>
          </w:p>
          <w:p w:rsidR="00736543" w:rsidRPr="006D119F" w:rsidRDefault="00B829DC" w:rsidP="00F25B61">
            <w:pPr>
              <w:ind w:firstLine="720"/>
              <w:jc w:val="both"/>
            </w:pPr>
            <w:r w:rsidRPr="006D119F">
              <w:t>8.</w:t>
            </w:r>
            <w:r w:rsidR="00636163" w:rsidRPr="006D119F">
              <w:t>1</w:t>
            </w:r>
            <w:r w:rsidR="00EB6067" w:rsidRPr="006D119F">
              <w:t>.</w:t>
            </w:r>
            <w:r w:rsidR="00841159" w:rsidRPr="006D119F">
              <w:t>1</w:t>
            </w:r>
            <w:r w:rsidR="00EB6067" w:rsidRPr="006D119F">
              <w:t xml:space="preserve">. SAM </w:t>
            </w:r>
            <w:r w:rsidRPr="006D119F">
              <w:t xml:space="preserve">ietvaros </w:t>
            </w:r>
            <w:r w:rsidR="00446240" w:rsidRPr="006D119F">
              <w:rPr>
                <w:bCs/>
              </w:rPr>
              <w:t>a</w:t>
            </w:r>
            <w:r w:rsidR="00446240" w:rsidRPr="006D119F">
              <w:t>tbalsts plānots teritoriāli koncentrētas studiju un zinātniskā darba infrastruktūras attīstībai augstākās izglītības institūciju stratēģiskās specializācijas stiprināšanai, t.sk. ēku vai telpu pārbūvei vai atjaunošanai, ja nepieciešams, jaunas ēkas būvniecībai, iekārtu un aprīkojuma iegādei, nepieciešamo ēku un telpu pielāgošanai aprīkojuma un aparatūras uzstādīšanai un darbībai, kā arī atbalsts IKT risinājumiem, t.sk. tālmācības rīku, programmatūras, bibliotēku resursu iegādei, STEM, t.sk. medicīnas un radošās industrijas, studiju virzienos.</w:t>
            </w:r>
          </w:p>
          <w:p w:rsidR="00457A1C" w:rsidRPr="006D119F" w:rsidRDefault="00636163" w:rsidP="009111B0">
            <w:pPr>
              <w:ind w:firstLine="720"/>
              <w:jc w:val="both"/>
            </w:pPr>
            <w:r w:rsidRPr="006D119F">
              <w:rPr>
                <w:bCs/>
              </w:rPr>
              <w:t>8.1.</w:t>
            </w:r>
            <w:r w:rsidR="00841159" w:rsidRPr="006D119F">
              <w:rPr>
                <w:bCs/>
              </w:rPr>
              <w:t>1</w:t>
            </w:r>
            <w:r w:rsidRPr="006D119F">
              <w:rPr>
                <w:bCs/>
              </w:rPr>
              <w:t xml:space="preserve">. </w:t>
            </w:r>
            <w:r w:rsidR="00887BE0" w:rsidRPr="006D119F">
              <w:rPr>
                <w:bCs/>
              </w:rPr>
              <w:t xml:space="preserve">SAM </w:t>
            </w:r>
            <w:r w:rsidRPr="006D119F">
              <w:rPr>
                <w:bCs/>
              </w:rPr>
              <w:t>īstenošanai</w:t>
            </w:r>
            <w:r w:rsidRPr="006D119F">
              <w:t xml:space="preserve"> </w:t>
            </w:r>
            <w:r w:rsidRPr="006D119F">
              <w:rPr>
                <w:b/>
              </w:rPr>
              <w:t>plānot</w:t>
            </w:r>
            <w:r w:rsidR="00457A1C" w:rsidRPr="006D119F">
              <w:rPr>
                <w:b/>
              </w:rPr>
              <w:t>ai</w:t>
            </w:r>
            <w:r w:rsidRPr="006D119F">
              <w:rPr>
                <w:b/>
              </w:rPr>
              <w:t>s</w:t>
            </w:r>
            <w:r w:rsidRPr="006D119F">
              <w:t xml:space="preserve"> </w:t>
            </w:r>
            <w:r w:rsidRPr="006D119F">
              <w:rPr>
                <w:b/>
              </w:rPr>
              <w:t>kopējais attiecināmais finansējums</w:t>
            </w:r>
            <w:r w:rsidRPr="006D119F">
              <w:t xml:space="preserve"> ir </w:t>
            </w:r>
            <w:r w:rsidR="00841159" w:rsidRPr="006D119F">
              <w:t xml:space="preserve">44 641 656 </w:t>
            </w:r>
            <w:proofErr w:type="spellStart"/>
            <w:r w:rsidRPr="006D119F">
              <w:rPr>
                <w:bCs/>
                <w:i/>
              </w:rPr>
              <w:t>euro</w:t>
            </w:r>
            <w:proofErr w:type="spellEnd"/>
            <w:r w:rsidRPr="006D119F">
              <w:t xml:space="preserve">, tai skaitā Eiropas Reģionālās attīstības fonda </w:t>
            </w:r>
            <w:r w:rsidR="00B600B9">
              <w:t xml:space="preserve">(turpmāk – ERAF) </w:t>
            </w:r>
            <w:r w:rsidRPr="006D119F">
              <w:t xml:space="preserve">finansējums </w:t>
            </w:r>
            <w:r w:rsidRPr="006D119F">
              <w:rPr>
                <w:bCs/>
              </w:rPr>
              <w:t xml:space="preserve">– </w:t>
            </w:r>
            <w:r w:rsidR="00841159" w:rsidRPr="006D119F">
              <w:t xml:space="preserve">37 945 407 </w:t>
            </w:r>
            <w:proofErr w:type="spellStart"/>
            <w:r w:rsidRPr="006D119F">
              <w:rPr>
                <w:bCs/>
                <w:i/>
              </w:rPr>
              <w:t>euro</w:t>
            </w:r>
            <w:proofErr w:type="spellEnd"/>
            <w:r w:rsidRPr="006D119F">
              <w:t xml:space="preserve"> </w:t>
            </w:r>
            <w:r w:rsidRPr="006D119F">
              <w:lastRenderedPageBreak/>
              <w:t xml:space="preserve">un valsts budžeta līdzfinansējums </w:t>
            </w:r>
            <w:r w:rsidRPr="006D119F">
              <w:rPr>
                <w:bCs/>
              </w:rPr>
              <w:t xml:space="preserve">– </w:t>
            </w:r>
            <w:r w:rsidR="00841159" w:rsidRPr="006D119F">
              <w:t xml:space="preserve">6 696 249 </w:t>
            </w:r>
            <w:proofErr w:type="spellStart"/>
            <w:r w:rsidRPr="006D119F">
              <w:rPr>
                <w:bCs/>
                <w:i/>
              </w:rPr>
              <w:t>euro</w:t>
            </w:r>
            <w:proofErr w:type="spellEnd"/>
            <w:r w:rsidR="00457A1C" w:rsidRPr="006D119F">
              <w:t>, savukārt</w:t>
            </w:r>
            <w:r w:rsidR="00F75F36" w:rsidRPr="006D119F">
              <w:t xml:space="preserve"> </w:t>
            </w:r>
            <w:r w:rsidR="00457A1C" w:rsidRPr="006D119F">
              <w:rPr>
                <w:b/>
              </w:rPr>
              <w:t>pieejamais kopējais attiecināmais finansējums</w:t>
            </w:r>
            <w:r w:rsidR="00457A1C" w:rsidRPr="006D119F">
              <w:t xml:space="preserve"> līdz 2018. gada 31. decembrim, lai slēgtu vienošanās</w:t>
            </w:r>
            <w:r w:rsidR="00C94E1C">
              <w:t xml:space="preserve"> vai līgumus</w:t>
            </w:r>
            <w:r w:rsidR="00457A1C" w:rsidRPr="006D119F">
              <w:t xml:space="preserve"> par projektu īstenošanu, ir </w:t>
            </w:r>
            <w:r w:rsidR="00841159" w:rsidRPr="006D119F">
              <w:t>4</w:t>
            </w:r>
            <w:r w:rsidR="00C94E1C">
              <w:t>1</w:t>
            </w:r>
            <w:r w:rsidR="00841159" w:rsidRPr="006D119F">
              <w:t xml:space="preserve"> </w:t>
            </w:r>
            <w:r w:rsidR="00C94E1C">
              <w:t>918</w:t>
            </w:r>
            <w:r w:rsidR="00C94E1C" w:rsidRPr="006D119F">
              <w:t> </w:t>
            </w:r>
            <w:r w:rsidR="00C94E1C">
              <w:t>72</w:t>
            </w:r>
            <w:r w:rsidR="00C94E1C" w:rsidRPr="006D119F">
              <w:t xml:space="preserve">7 </w:t>
            </w:r>
            <w:proofErr w:type="spellStart"/>
            <w:r w:rsidR="00457A1C" w:rsidRPr="006D119F">
              <w:rPr>
                <w:i/>
              </w:rPr>
              <w:t>euro</w:t>
            </w:r>
            <w:proofErr w:type="spellEnd"/>
            <w:r w:rsidR="00457A1C" w:rsidRPr="006D119F">
              <w:t xml:space="preserve">, tai skaitā </w:t>
            </w:r>
            <w:r w:rsidR="00B600B9">
              <w:t>ERAF</w:t>
            </w:r>
            <w:r w:rsidR="00457A1C" w:rsidRPr="006D119F">
              <w:t xml:space="preserve"> finansējums – </w:t>
            </w:r>
            <w:r w:rsidR="00841159" w:rsidRPr="006D119F">
              <w:t>35 630 </w:t>
            </w:r>
            <w:r w:rsidR="00C94E1C" w:rsidRPr="006D119F">
              <w:t>91</w:t>
            </w:r>
            <w:r w:rsidR="00C94E1C">
              <w:t>8</w:t>
            </w:r>
            <w:r w:rsidR="00C94E1C" w:rsidRPr="006D119F">
              <w:t xml:space="preserve"> </w:t>
            </w:r>
            <w:proofErr w:type="spellStart"/>
            <w:r w:rsidR="00457A1C" w:rsidRPr="006D119F">
              <w:rPr>
                <w:i/>
              </w:rPr>
              <w:t>euro</w:t>
            </w:r>
            <w:proofErr w:type="spellEnd"/>
            <w:r w:rsidR="00457A1C" w:rsidRPr="006D119F">
              <w:t xml:space="preserve"> un valsts budžeta līdzfinansējums – </w:t>
            </w:r>
            <w:r w:rsidR="00841159" w:rsidRPr="006D119F">
              <w:t>6 287 </w:t>
            </w:r>
            <w:r w:rsidR="00C94E1C" w:rsidRPr="006D119F">
              <w:t>8</w:t>
            </w:r>
            <w:r w:rsidR="00C94E1C">
              <w:t>09</w:t>
            </w:r>
            <w:r w:rsidR="00C94E1C" w:rsidRPr="006D119F">
              <w:t xml:space="preserve"> </w:t>
            </w:r>
            <w:proofErr w:type="spellStart"/>
            <w:r w:rsidR="00457A1C" w:rsidRPr="006D119F">
              <w:rPr>
                <w:i/>
              </w:rPr>
              <w:t>euro</w:t>
            </w:r>
            <w:proofErr w:type="spellEnd"/>
            <w:r w:rsidR="00457A1C" w:rsidRPr="006D119F">
              <w:rPr>
                <w:i/>
              </w:rPr>
              <w:t>.</w:t>
            </w:r>
          </w:p>
          <w:p w:rsidR="006C6038" w:rsidRPr="006D119F" w:rsidRDefault="00457A1C" w:rsidP="00F333A7">
            <w:pPr>
              <w:tabs>
                <w:tab w:val="left" w:pos="993"/>
                <w:tab w:val="left" w:pos="1134"/>
              </w:tabs>
              <w:ind w:firstLine="720"/>
              <w:jc w:val="both"/>
            </w:pPr>
            <w:r w:rsidRPr="006D119F">
              <w:t>8.1.</w:t>
            </w:r>
            <w:r w:rsidR="00841159" w:rsidRPr="006D119F">
              <w:t>1</w:t>
            </w:r>
            <w:r w:rsidRPr="006D119F">
              <w:t xml:space="preserve">. </w:t>
            </w:r>
            <w:r w:rsidR="00887BE0" w:rsidRPr="006D119F">
              <w:t xml:space="preserve">SAM </w:t>
            </w:r>
            <w:r w:rsidRPr="006D119F">
              <w:t xml:space="preserve">īsteno </w:t>
            </w:r>
            <w:r w:rsidRPr="006D119F">
              <w:rPr>
                <w:b/>
              </w:rPr>
              <w:t>ierobežotas projektu iesniegumu atlases veidā</w:t>
            </w:r>
            <w:r w:rsidR="00BE60CB" w:rsidRPr="006D119F">
              <w:rPr>
                <w:b/>
              </w:rPr>
              <w:t xml:space="preserve"> </w:t>
            </w:r>
            <w:r w:rsidR="00BE60CB" w:rsidRPr="006D119F">
              <w:t>vienā projektu iesniegumu atlases kārtā par visu specifiskajam atbalstam pieejamo finansējumu</w:t>
            </w:r>
            <w:r w:rsidRPr="006D119F">
              <w:t>.</w:t>
            </w:r>
            <w:r w:rsidRPr="006D119F">
              <w:rPr>
                <w:sz w:val="28"/>
                <w:szCs w:val="28"/>
              </w:rPr>
              <w:t xml:space="preserve"> </w:t>
            </w:r>
            <w:r w:rsidRPr="006D119F">
              <w:rPr>
                <w:b/>
              </w:rPr>
              <w:t>Projekta iesniedzēji</w:t>
            </w:r>
            <w:r w:rsidRPr="006D119F">
              <w:t xml:space="preserve"> 8.1.</w:t>
            </w:r>
            <w:r w:rsidR="00841159" w:rsidRPr="006D119F">
              <w:t>1</w:t>
            </w:r>
            <w:r w:rsidRPr="006D119F">
              <w:t xml:space="preserve">. </w:t>
            </w:r>
            <w:r w:rsidR="00887BE0" w:rsidRPr="006D119F">
              <w:t xml:space="preserve">SAM </w:t>
            </w:r>
            <w:r w:rsidRPr="006D119F">
              <w:t xml:space="preserve">ietvaros var būt </w:t>
            </w:r>
            <w:r w:rsidR="00446240" w:rsidRPr="006D119F">
              <w:t>augstskolas</w:t>
            </w:r>
            <w:r w:rsidRPr="006D119F">
              <w:t>, kas īsteno STEM</w:t>
            </w:r>
            <w:r w:rsidR="00446240" w:rsidRPr="006D119F">
              <w:t>, tajā skaitā medicīnas un radošās industrijas,</w:t>
            </w:r>
            <w:r w:rsidRPr="006D119F">
              <w:t xml:space="preserve"> studiju programmas</w:t>
            </w:r>
            <w:r w:rsidR="006C6038" w:rsidRPr="006D119F">
              <w:t>, kuras saskaņā ar MK 02.12.2008. noteikumiem Nr.990 „Noteikumi par Latvijas izglītības klasifikāciju” ietilpst:</w:t>
            </w:r>
          </w:p>
          <w:p w:rsidR="006C6038" w:rsidRPr="006D119F" w:rsidRDefault="006C6038" w:rsidP="006C6038">
            <w:pPr>
              <w:pStyle w:val="ListParagraph"/>
              <w:numPr>
                <w:ilvl w:val="0"/>
                <w:numId w:val="43"/>
              </w:numPr>
              <w:autoSpaceDE w:val="0"/>
              <w:autoSpaceDN w:val="0"/>
              <w:adjustRightInd w:val="0"/>
              <w:ind w:left="1429" w:hanging="357"/>
              <w:contextualSpacing w:val="0"/>
              <w:rPr>
                <w:szCs w:val="24"/>
                <w:lang w:eastAsia="lv-LV"/>
              </w:rPr>
            </w:pPr>
            <w:r w:rsidRPr="006D119F">
              <w:rPr>
                <w:szCs w:val="24"/>
                <w:lang w:eastAsia="lv-LV"/>
              </w:rPr>
              <w:t xml:space="preserve">izglītības tematiskajā grupā </w:t>
            </w:r>
            <w:r w:rsidRPr="006D119F">
              <w:rPr>
                <w:i/>
                <w:szCs w:val="24"/>
                <w:lang w:eastAsia="lv-LV"/>
              </w:rPr>
              <w:t>Dabaszinātnes, matemātika un informācijas tehnoloģijas</w:t>
            </w:r>
            <w:r w:rsidRPr="006D119F">
              <w:rPr>
                <w:szCs w:val="24"/>
                <w:lang w:eastAsia="lv-LV"/>
              </w:rPr>
              <w:t xml:space="preserve"> (koda 3.cipars „</w:t>
            </w:r>
            <w:r w:rsidRPr="006D119F">
              <w:rPr>
                <w:b/>
                <w:szCs w:val="24"/>
                <w:lang w:eastAsia="lv-LV"/>
              </w:rPr>
              <w:t>4</w:t>
            </w:r>
            <w:r w:rsidRPr="006D119F">
              <w:rPr>
                <w:szCs w:val="24"/>
                <w:lang w:eastAsia="lv-LV"/>
              </w:rPr>
              <w:t>”);</w:t>
            </w:r>
          </w:p>
          <w:p w:rsidR="006C6038" w:rsidRPr="006D119F" w:rsidRDefault="006C6038" w:rsidP="006C6038">
            <w:pPr>
              <w:pStyle w:val="ListParagraph"/>
              <w:numPr>
                <w:ilvl w:val="0"/>
                <w:numId w:val="43"/>
              </w:numPr>
              <w:autoSpaceDE w:val="0"/>
              <w:autoSpaceDN w:val="0"/>
              <w:adjustRightInd w:val="0"/>
              <w:ind w:left="1429" w:hanging="357"/>
              <w:contextualSpacing w:val="0"/>
              <w:rPr>
                <w:szCs w:val="24"/>
                <w:lang w:eastAsia="lv-LV"/>
              </w:rPr>
            </w:pPr>
            <w:r w:rsidRPr="006D119F">
              <w:rPr>
                <w:szCs w:val="24"/>
                <w:lang w:eastAsia="lv-LV"/>
              </w:rPr>
              <w:t xml:space="preserve">izglītības tematiskajā grupā </w:t>
            </w:r>
            <w:r w:rsidRPr="006D119F">
              <w:rPr>
                <w:i/>
                <w:szCs w:val="24"/>
                <w:lang w:eastAsia="lv-LV"/>
              </w:rPr>
              <w:t>Inženierzinātnes, ražošana un būvniecība</w:t>
            </w:r>
            <w:r w:rsidRPr="006D119F">
              <w:rPr>
                <w:szCs w:val="24"/>
                <w:lang w:eastAsia="lv-LV"/>
              </w:rPr>
              <w:t xml:space="preserve"> (koda 3.cipars „</w:t>
            </w:r>
            <w:r w:rsidRPr="006D119F">
              <w:rPr>
                <w:b/>
                <w:szCs w:val="24"/>
                <w:lang w:eastAsia="lv-LV"/>
              </w:rPr>
              <w:t>5”</w:t>
            </w:r>
            <w:r w:rsidRPr="006D119F">
              <w:rPr>
                <w:szCs w:val="24"/>
                <w:lang w:eastAsia="lv-LV"/>
              </w:rPr>
              <w:t>);</w:t>
            </w:r>
          </w:p>
          <w:p w:rsidR="00D9013E" w:rsidRPr="006D119F" w:rsidRDefault="00D9013E" w:rsidP="00D9013E">
            <w:pPr>
              <w:pStyle w:val="ListParagraph"/>
              <w:numPr>
                <w:ilvl w:val="0"/>
                <w:numId w:val="43"/>
              </w:numPr>
              <w:autoSpaceDE w:val="0"/>
              <w:autoSpaceDN w:val="0"/>
              <w:adjustRightInd w:val="0"/>
              <w:ind w:left="1429" w:hanging="357"/>
              <w:contextualSpacing w:val="0"/>
              <w:rPr>
                <w:szCs w:val="24"/>
                <w:lang w:eastAsia="lv-LV"/>
              </w:rPr>
            </w:pPr>
            <w:r w:rsidRPr="006D119F">
              <w:rPr>
                <w:szCs w:val="24"/>
                <w:lang w:eastAsia="lv-LV"/>
              </w:rPr>
              <w:t xml:space="preserve">izglītības tematiskajā grupā </w:t>
            </w:r>
            <w:r w:rsidRPr="006D119F">
              <w:rPr>
                <w:i/>
                <w:szCs w:val="24"/>
                <w:lang w:eastAsia="lv-LV"/>
              </w:rPr>
              <w:t>Lauksaimniecība</w:t>
            </w:r>
            <w:r w:rsidRPr="006D119F">
              <w:rPr>
                <w:szCs w:val="24"/>
                <w:lang w:eastAsia="lv-LV"/>
              </w:rPr>
              <w:t xml:space="preserve"> (koda 3.cipars </w:t>
            </w:r>
            <w:r w:rsidR="00CE333F" w:rsidRPr="006D119F">
              <w:rPr>
                <w:b/>
                <w:szCs w:val="24"/>
                <w:lang w:eastAsia="lv-LV"/>
              </w:rPr>
              <w:t>„</w:t>
            </w:r>
            <w:r w:rsidRPr="006D119F">
              <w:rPr>
                <w:b/>
                <w:szCs w:val="24"/>
                <w:lang w:eastAsia="lv-LV"/>
              </w:rPr>
              <w:t>6</w:t>
            </w:r>
            <w:r w:rsidR="00CE333F" w:rsidRPr="006D119F">
              <w:rPr>
                <w:b/>
                <w:szCs w:val="24"/>
                <w:lang w:eastAsia="lv-LV"/>
              </w:rPr>
              <w:t>”</w:t>
            </w:r>
            <w:r w:rsidRPr="006D119F">
              <w:rPr>
                <w:szCs w:val="24"/>
                <w:lang w:eastAsia="lv-LV"/>
              </w:rPr>
              <w:t>)</w:t>
            </w:r>
            <w:r w:rsidR="00AA71A6" w:rsidRPr="006D119F">
              <w:rPr>
                <w:szCs w:val="24"/>
                <w:lang w:eastAsia="lv-LV"/>
              </w:rPr>
              <w:t>;</w:t>
            </w:r>
          </w:p>
          <w:p w:rsidR="006C6038" w:rsidRPr="006D119F" w:rsidRDefault="006C6038" w:rsidP="006C6038">
            <w:pPr>
              <w:pStyle w:val="ListParagraph"/>
              <w:numPr>
                <w:ilvl w:val="0"/>
                <w:numId w:val="43"/>
              </w:numPr>
              <w:autoSpaceDE w:val="0"/>
              <w:autoSpaceDN w:val="0"/>
              <w:adjustRightInd w:val="0"/>
              <w:ind w:left="1429" w:hanging="357"/>
              <w:contextualSpacing w:val="0"/>
              <w:rPr>
                <w:szCs w:val="24"/>
                <w:lang w:eastAsia="lv-LV"/>
              </w:rPr>
            </w:pPr>
            <w:r w:rsidRPr="006D119F">
              <w:rPr>
                <w:szCs w:val="24"/>
                <w:lang w:eastAsia="lv-LV"/>
              </w:rPr>
              <w:t xml:space="preserve">izglītības tematiskajā jomā </w:t>
            </w:r>
            <w:r w:rsidRPr="006D119F">
              <w:rPr>
                <w:i/>
                <w:szCs w:val="24"/>
                <w:lang w:eastAsia="lv-LV"/>
              </w:rPr>
              <w:t>Veselības aprūpe</w:t>
            </w:r>
            <w:r w:rsidRPr="006D119F">
              <w:rPr>
                <w:szCs w:val="24"/>
                <w:lang w:eastAsia="lv-LV"/>
              </w:rPr>
              <w:t xml:space="preserve"> (koda 3. un 4.cipars „</w:t>
            </w:r>
            <w:r w:rsidRPr="006D119F">
              <w:rPr>
                <w:b/>
                <w:szCs w:val="24"/>
                <w:lang w:eastAsia="lv-LV"/>
              </w:rPr>
              <w:t>72</w:t>
            </w:r>
            <w:r w:rsidRPr="006D119F">
              <w:rPr>
                <w:szCs w:val="24"/>
                <w:lang w:eastAsia="lv-LV"/>
              </w:rPr>
              <w:t>”), izņemot kosmetoloģiju;</w:t>
            </w:r>
          </w:p>
          <w:p w:rsidR="006C6038" w:rsidRPr="006D119F" w:rsidRDefault="006C6038" w:rsidP="006C6038">
            <w:pPr>
              <w:pStyle w:val="ListParagraph"/>
              <w:numPr>
                <w:ilvl w:val="0"/>
                <w:numId w:val="43"/>
              </w:numPr>
              <w:autoSpaceDE w:val="0"/>
              <w:autoSpaceDN w:val="0"/>
              <w:adjustRightInd w:val="0"/>
              <w:ind w:left="1429" w:hanging="357"/>
              <w:contextualSpacing w:val="0"/>
              <w:rPr>
                <w:szCs w:val="24"/>
                <w:lang w:eastAsia="lv-LV"/>
              </w:rPr>
            </w:pPr>
            <w:r w:rsidRPr="006D119F">
              <w:rPr>
                <w:szCs w:val="24"/>
                <w:lang w:eastAsia="lv-LV"/>
              </w:rPr>
              <w:t xml:space="preserve">izglītības tematiskajā jomā </w:t>
            </w:r>
            <w:r w:rsidRPr="006D119F">
              <w:rPr>
                <w:i/>
                <w:szCs w:val="24"/>
                <w:lang w:eastAsia="lv-LV"/>
              </w:rPr>
              <w:t xml:space="preserve">Mākslas </w:t>
            </w:r>
            <w:r w:rsidRPr="006D119F">
              <w:rPr>
                <w:szCs w:val="24"/>
                <w:lang w:eastAsia="lv-LV"/>
              </w:rPr>
              <w:t>(koda 3. un 4.cipars „</w:t>
            </w:r>
            <w:r w:rsidRPr="006D119F">
              <w:rPr>
                <w:b/>
                <w:szCs w:val="24"/>
                <w:lang w:eastAsia="lv-LV"/>
              </w:rPr>
              <w:t>21</w:t>
            </w:r>
            <w:r w:rsidRPr="006D119F">
              <w:rPr>
                <w:szCs w:val="24"/>
                <w:lang w:eastAsia="lv-LV"/>
              </w:rPr>
              <w:t>”);</w:t>
            </w:r>
          </w:p>
          <w:p w:rsidR="006C6038" w:rsidRPr="006D119F" w:rsidRDefault="006C6038" w:rsidP="006C6038">
            <w:pPr>
              <w:pStyle w:val="ListParagraph"/>
              <w:numPr>
                <w:ilvl w:val="0"/>
                <w:numId w:val="43"/>
              </w:numPr>
              <w:autoSpaceDE w:val="0"/>
              <w:autoSpaceDN w:val="0"/>
              <w:adjustRightInd w:val="0"/>
              <w:ind w:left="1429" w:hanging="357"/>
              <w:contextualSpacing w:val="0"/>
              <w:rPr>
                <w:szCs w:val="24"/>
                <w:lang w:eastAsia="lv-LV"/>
              </w:rPr>
            </w:pPr>
            <w:r w:rsidRPr="006D119F">
              <w:rPr>
                <w:szCs w:val="24"/>
              </w:rPr>
              <w:t xml:space="preserve">izglītības tematiskajā jomā </w:t>
            </w:r>
            <w:r w:rsidRPr="006D119F">
              <w:rPr>
                <w:i/>
                <w:szCs w:val="24"/>
              </w:rPr>
              <w:t xml:space="preserve">Vides aizsardzība </w:t>
            </w:r>
            <w:r w:rsidRPr="006D119F">
              <w:rPr>
                <w:szCs w:val="24"/>
                <w:lang w:eastAsia="lv-LV"/>
              </w:rPr>
              <w:t>(koda 3. un 4.cipars „</w:t>
            </w:r>
            <w:r w:rsidRPr="006D119F">
              <w:rPr>
                <w:b/>
                <w:szCs w:val="24"/>
                <w:lang w:eastAsia="lv-LV"/>
              </w:rPr>
              <w:t>85</w:t>
            </w:r>
            <w:r w:rsidRPr="006D119F">
              <w:rPr>
                <w:szCs w:val="24"/>
                <w:lang w:eastAsia="lv-LV"/>
              </w:rPr>
              <w:t>”)</w:t>
            </w:r>
            <w:r w:rsidRPr="006D119F">
              <w:rPr>
                <w:szCs w:val="24"/>
              </w:rPr>
              <w:t>.</w:t>
            </w:r>
          </w:p>
          <w:p w:rsidR="006F19ED" w:rsidRDefault="00C94E1C" w:rsidP="008A3165">
            <w:pPr>
              <w:ind w:firstLine="711"/>
              <w:jc w:val="both"/>
            </w:pPr>
            <w:r w:rsidRPr="006D119F">
              <w:t xml:space="preserve">8.1.1. SAM ietvaros </w:t>
            </w:r>
            <w:r>
              <w:t>k</w:t>
            </w:r>
            <w:r w:rsidRPr="0083414F">
              <w:t xml:space="preserve">ā projektu iesniedzēji plānotas </w:t>
            </w:r>
            <w:r>
              <w:t xml:space="preserve">tās </w:t>
            </w:r>
            <w:r w:rsidRPr="0083414F">
              <w:t xml:space="preserve">augstākās izglītības institūcijas, kuras īsteno Latvijas Viedās specializācijas stratēģijas mērķiem atbilstošas STEM jomas </w:t>
            </w:r>
            <w:r>
              <w:t xml:space="preserve">studiju </w:t>
            </w:r>
            <w:r w:rsidRPr="0083414F">
              <w:t>programmas, tai skaitā radošo industriju un medicīnas jomā, un kuras piedalās augstākās izglītības un zinātnes institūciju konsolidācijas un izcilības attīstības pasākumos nozares strukturālo reformu ietvaros un īsteno pētniecībā balstītu augstāko izglītību. Finansējuma saņēmēji ir visas universitātes, reģionālās augstskolas</w:t>
            </w:r>
            <w:r>
              <w:t>,</w:t>
            </w:r>
            <w:r w:rsidRPr="0083414F">
              <w:t xml:space="preserve"> kultūras un </w:t>
            </w:r>
            <w:r>
              <w:t xml:space="preserve">sporta </w:t>
            </w:r>
            <w:r w:rsidRPr="0083414F">
              <w:t>nozares augstskolas, un Transporta un sakaru institūts, kas ir vienīgā privātā augstskola Latvijā, kas īsteno pētniecībā balstītu augstāko izglītību STEM jomas programmās un kuras sniegumu apliecina starptautiskā zinātnes izvērtējuma rezultāti. 8.1.1. SAM ietvaros plānoti 14 projektu iesniedzēji:</w:t>
            </w:r>
            <w:r>
              <w:t xml:space="preserve"> </w:t>
            </w:r>
            <w:r w:rsidR="008A3165" w:rsidRPr="00446B6D">
              <w:t>Latvijas Universitāte, Rīgas Tehniskā universitāte</w:t>
            </w:r>
            <w:r w:rsidR="008A3165">
              <w:t>,</w:t>
            </w:r>
            <w:r w:rsidR="008A3165" w:rsidRPr="00446B6D">
              <w:t xml:space="preserve"> Rīgas Stradiņa universitāte</w:t>
            </w:r>
            <w:r w:rsidR="008A3165">
              <w:t>,</w:t>
            </w:r>
            <w:r w:rsidR="008A3165" w:rsidRPr="00446B6D">
              <w:t xml:space="preserve"> Latvijas Lauksaimniecības</w:t>
            </w:r>
            <w:r w:rsidR="008A3165">
              <w:t xml:space="preserve"> </w:t>
            </w:r>
            <w:r w:rsidR="008A3165" w:rsidRPr="00446B6D">
              <w:t>universitāte</w:t>
            </w:r>
            <w:r w:rsidR="008A3165">
              <w:t>,</w:t>
            </w:r>
            <w:r w:rsidR="008A3165" w:rsidRPr="00446B6D">
              <w:t xml:space="preserve"> Daugavpils Universitāte, Liepājas Universitāte</w:t>
            </w:r>
            <w:r w:rsidR="00657809">
              <w:t>,</w:t>
            </w:r>
            <w:r w:rsidR="008A3165" w:rsidRPr="00446B6D">
              <w:t xml:space="preserve"> Rēzeknes Tehnoloģiju akadēmija</w:t>
            </w:r>
            <w:r w:rsidR="008A3165">
              <w:t>,</w:t>
            </w:r>
            <w:r w:rsidR="008A3165" w:rsidRPr="00446B6D">
              <w:t xml:space="preserve"> Latvijas Kultūras akadēmija</w:t>
            </w:r>
            <w:r w:rsidR="008A3165">
              <w:t>,</w:t>
            </w:r>
            <w:r w:rsidR="008A3165" w:rsidRPr="00446B6D">
              <w:t xml:space="preserve"> Latvijas Mākslas akadēmija</w:t>
            </w:r>
            <w:r w:rsidR="008A3165">
              <w:t>,</w:t>
            </w:r>
            <w:r w:rsidR="008A3165" w:rsidRPr="00446B6D">
              <w:t xml:space="preserve"> J.Vītola Latvijas Mūzikas akadēmija</w:t>
            </w:r>
            <w:r w:rsidR="008A3165">
              <w:t>,</w:t>
            </w:r>
            <w:r w:rsidR="008A3165" w:rsidRPr="00446B6D">
              <w:t xml:space="preserve"> Ventspils Augstskola</w:t>
            </w:r>
            <w:r w:rsidR="008A3165">
              <w:t>,</w:t>
            </w:r>
            <w:r w:rsidR="008A3165" w:rsidRPr="00446B6D">
              <w:t xml:space="preserve"> Vidzemes Augstskola</w:t>
            </w:r>
            <w:r w:rsidR="008A3165">
              <w:t>,</w:t>
            </w:r>
            <w:r w:rsidR="008A3165" w:rsidRPr="00446B6D">
              <w:t xml:space="preserve"> Latvijas Sporta pedagoģijas akadēmija, Transporta un sakaru institūts</w:t>
            </w:r>
            <w:r w:rsidR="008A3165">
              <w:t>.</w:t>
            </w:r>
          </w:p>
          <w:p w:rsidR="006F19ED" w:rsidRPr="006D119F" w:rsidRDefault="006F19ED" w:rsidP="002061A6">
            <w:pPr>
              <w:ind w:firstLine="720"/>
              <w:jc w:val="both"/>
            </w:pPr>
            <w:r w:rsidRPr="006D119F">
              <w:t xml:space="preserve">Ņemot vērā to, ka augstskolu aģentūras Latvijas Kultūras akadēmijas Latvijas Kultūras koledža, Latvijas Universitātes </w:t>
            </w:r>
            <w:r w:rsidRPr="006D119F">
              <w:lastRenderedPageBreak/>
              <w:t xml:space="preserve">Rīgas Medicīnas koledža un Latvijas Universitātes P.Stradiņa medicīnas koledža nevar pretendēt uz atbalstu 8.1.4. SAM </w:t>
            </w:r>
            <w:r w:rsidR="00A3796C" w:rsidRPr="006D119F">
              <w:t>„</w:t>
            </w:r>
            <w:r w:rsidR="00A82FD8" w:rsidRPr="006D119F">
              <w:t xml:space="preserve">Uzlabot pirmā līmeņa profesionālās augstākās izglītības STEM, t.sk. medicīnas un radošās industrijas, studiju mācību vidi koledžās </w:t>
            </w:r>
            <w:r w:rsidRPr="006D119F">
              <w:t>ietvaros</w:t>
            </w:r>
            <w:r w:rsidR="00A82FD8" w:rsidRPr="006D119F">
              <w:t xml:space="preserve"> (</w:t>
            </w:r>
            <w:r w:rsidRPr="006D119F">
              <w:t xml:space="preserve">tās </w:t>
            </w:r>
            <w:r w:rsidR="00A82FD8" w:rsidRPr="006D119F">
              <w:t xml:space="preserve">neatbilst darbības programmā </w:t>
            </w:r>
            <w:r w:rsidR="00B600B9" w:rsidRPr="006D119F">
              <w:t>„</w:t>
            </w:r>
            <w:r w:rsidR="00A82FD8" w:rsidRPr="006D119F">
              <w:t xml:space="preserve">Izaugsme un nodarbinātība” noteiktajam, ka uz atbalstu var pretendēt tās koledžas, kas īsteno STEM, t.sk. medicīnas un radošās industrijas, pirmā līmeņa profesionālās augstākās izglītības studiju programmas un profesionālās vidējās izglītības programmas), </w:t>
            </w:r>
            <w:r w:rsidRPr="006D119F">
              <w:t xml:space="preserve">paredzēts, ka </w:t>
            </w:r>
            <w:r w:rsidR="00B55C24">
              <w:t xml:space="preserve">Latvijas Universitāte un Latvijas Kultūras akadēmija projektu īstenos kopā ar </w:t>
            </w:r>
            <w:r w:rsidR="004A2BD0">
              <w:t xml:space="preserve">savām </w:t>
            </w:r>
            <w:r w:rsidR="00B55C24">
              <w:t>aģentūrām.</w:t>
            </w:r>
          </w:p>
          <w:p w:rsidR="002061A6" w:rsidRPr="006D119F" w:rsidRDefault="002061A6" w:rsidP="00143D40">
            <w:pPr>
              <w:ind w:firstLine="720"/>
              <w:jc w:val="both"/>
            </w:pPr>
            <w:r w:rsidRPr="006D119F">
              <w:t xml:space="preserve">Metodoloģija </w:t>
            </w:r>
            <w:r w:rsidR="00446240" w:rsidRPr="006D119F">
              <w:t>augstskolām</w:t>
            </w:r>
            <w:r w:rsidRPr="006D119F">
              <w:t xml:space="preserve"> pieejamā finansējuma noteikšanai </w:t>
            </w:r>
            <w:r w:rsidRPr="008552EF">
              <w:t xml:space="preserve">iekļauta </w:t>
            </w:r>
            <w:r w:rsidR="00A3796C" w:rsidRPr="008552EF">
              <w:t>noteikumu projekta pielikumā</w:t>
            </w:r>
            <w:r w:rsidRPr="008552EF">
              <w:t>.</w:t>
            </w:r>
          </w:p>
          <w:p w:rsidR="002061A6" w:rsidRPr="006D119F" w:rsidRDefault="002061A6" w:rsidP="002061A6">
            <w:pPr>
              <w:pStyle w:val="Default"/>
              <w:ind w:firstLine="720"/>
              <w:jc w:val="both"/>
              <w:rPr>
                <w:color w:val="auto"/>
              </w:rPr>
            </w:pPr>
            <w:r w:rsidRPr="006D119F">
              <w:rPr>
                <w:color w:val="auto"/>
              </w:rPr>
              <w:t xml:space="preserve">Metodoloģija paredz, ka katram </w:t>
            </w:r>
            <w:r w:rsidRPr="006D119F">
              <w:rPr>
                <w:iCs/>
                <w:color w:val="auto"/>
              </w:rPr>
              <w:t>projekta iesniedzējam pieejamais</w:t>
            </w:r>
            <w:r w:rsidRPr="006D119F">
              <w:rPr>
                <w:color w:val="auto"/>
              </w:rPr>
              <w:t xml:space="preserve"> finansējums veidojas no sākotnējā finansējuma un </w:t>
            </w:r>
            <w:r w:rsidR="00F5042E">
              <w:rPr>
                <w:color w:val="auto"/>
              </w:rPr>
              <w:t xml:space="preserve">papildus </w:t>
            </w:r>
            <w:r w:rsidRPr="006D119F">
              <w:rPr>
                <w:color w:val="auto"/>
              </w:rPr>
              <w:t>finansējuma</w:t>
            </w:r>
            <w:r w:rsidR="00F5042E">
              <w:rPr>
                <w:color w:val="auto"/>
              </w:rPr>
              <w:t xml:space="preserve"> augstākās izglītības vides kvalitātes uzlabošanai</w:t>
            </w:r>
            <w:r w:rsidR="008A3165">
              <w:rPr>
                <w:color w:val="auto"/>
              </w:rPr>
              <w:t xml:space="preserve">, kuru </w:t>
            </w:r>
            <w:r w:rsidRPr="006D119F">
              <w:rPr>
                <w:color w:val="auto"/>
              </w:rPr>
              <w:t xml:space="preserve">nosaka, pamatojoties uz </w:t>
            </w:r>
            <w:r w:rsidR="00657809">
              <w:rPr>
                <w:color w:val="auto"/>
              </w:rPr>
              <w:t>v</w:t>
            </w:r>
            <w:r w:rsidRPr="006D119F">
              <w:rPr>
                <w:color w:val="auto"/>
              </w:rPr>
              <w:t>airākiem raksturlielumiem</w:t>
            </w:r>
            <w:r w:rsidR="008A3165">
              <w:rPr>
                <w:color w:val="auto"/>
              </w:rPr>
              <w:t>:</w:t>
            </w:r>
            <w:r w:rsidRPr="006D119F">
              <w:rPr>
                <w:color w:val="auto"/>
              </w:rPr>
              <w:t xml:space="preserve"> </w:t>
            </w:r>
          </w:p>
          <w:p w:rsidR="00657809" w:rsidRDefault="00657809" w:rsidP="002061A6">
            <w:pPr>
              <w:pStyle w:val="Default"/>
              <w:numPr>
                <w:ilvl w:val="0"/>
                <w:numId w:val="39"/>
              </w:numPr>
              <w:ind w:left="1077" w:hanging="357"/>
              <w:jc w:val="both"/>
              <w:rPr>
                <w:color w:val="auto"/>
              </w:rPr>
            </w:pPr>
            <w:r>
              <w:rPr>
                <w:color w:val="auto"/>
              </w:rPr>
              <w:t xml:space="preserve">augstākās izglītības institūcijas </w:t>
            </w:r>
            <w:r w:rsidR="002061A6" w:rsidRPr="006D119F">
              <w:rPr>
                <w:color w:val="auto"/>
              </w:rPr>
              <w:t>kapacitātes koeficient</w:t>
            </w:r>
            <w:r w:rsidR="008552EF">
              <w:rPr>
                <w:color w:val="auto"/>
              </w:rPr>
              <w:t>u</w:t>
            </w:r>
            <w:r w:rsidR="002061A6" w:rsidRPr="006D119F">
              <w:rPr>
                <w:color w:val="auto"/>
              </w:rPr>
              <w:t>, ko aprēķina, ņemot vērā</w:t>
            </w:r>
            <w:r>
              <w:rPr>
                <w:color w:val="auto"/>
              </w:rPr>
              <w:t>:</w:t>
            </w:r>
          </w:p>
          <w:p w:rsidR="00657809" w:rsidRDefault="00446240" w:rsidP="00657809">
            <w:pPr>
              <w:pStyle w:val="Default"/>
              <w:numPr>
                <w:ilvl w:val="0"/>
                <w:numId w:val="44"/>
              </w:numPr>
              <w:jc w:val="both"/>
              <w:rPr>
                <w:color w:val="auto"/>
              </w:rPr>
            </w:pPr>
            <w:r w:rsidRPr="006D119F">
              <w:rPr>
                <w:color w:val="auto"/>
              </w:rPr>
              <w:t>studējošo</w:t>
            </w:r>
            <w:r w:rsidR="002061A6" w:rsidRPr="006D119F">
              <w:rPr>
                <w:color w:val="auto"/>
              </w:rPr>
              <w:t xml:space="preserve"> skaitu</w:t>
            </w:r>
            <w:r w:rsidR="00143D40">
              <w:rPr>
                <w:color w:val="auto"/>
              </w:rPr>
              <w:t xml:space="preserve"> </w:t>
            </w:r>
            <w:r w:rsidR="002061A6" w:rsidRPr="006D119F">
              <w:rPr>
                <w:color w:val="auto"/>
              </w:rPr>
              <w:t xml:space="preserve">STEM </w:t>
            </w:r>
            <w:r w:rsidR="008552EF">
              <w:rPr>
                <w:color w:val="auto"/>
              </w:rPr>
              <w:t>studiju</w:t>
            </w:r>
            <w:r w:rsidR="002061A6" w:rsidRPr="006D119F">
              <w:rPr>
                <w:color w:val="auto"/>
              </w:rPr>
              <w:t xml:space="preserve"> programmās 2015./2016.ak.g.,</w:t>
            </w:r>
          </w:p>
          <w:p w:rsidR="002061A6" w:rsidRDefault="002061A6" w:rsidP="00657809">
            <w:pPr>
              <w:pStyle w:val="Default"/>
              <w:numPr>
                <w:ilvl w:val="0"/>
                <w:numId w:val="44"/>
              </w:numPr>
              <w:jc w:val="both"/>
              <w:rPr>
                <w:color w:val="auto"/>
              </w:rPr>
            </w:pPr>
            <w:r w:rsidRPr="006D119F">
              <w:rPr>
                <w:color w:val="auto"/>
              </w:rPr>
              <w:t>kvalifikāciju ieguvušo personu skaitu STEM</w:t>
            </w:r>
            <w:r w:rsidR="00E508DF">
              <w:rPr>
                <w:color w:val="auto"/>
              </w:rPr>
              <w:t xml:space="preserve"> studiju</w:t>
            </w:r>
            <w:r w:rsidRPr="006D119F">
              <w:rPr>
                <w:color w:val="auto"/>
              </w:rPr>
              <w:t xml:space="preserve"> programm</w:t>
            </w:r>
            <w:r w:rsidR="00E508DF">
              <w:rPr>
                <w:color w:val="auto"/>
              </w:rPr>
              <w:t>ās</w:t>
            </w:r>
            <w:r w:rsidRPr="006D119F">
              <w:rPr>
                <w:color w:val="auto"/>
              </w:rPr>
              <w:t xml:space="preserve"> 2014./2015.ak.g.;</w:t>
            </w:r>
          </w:p>
          <w:p w:rsidR="00657809" w:rsidRDefault="00657809" w:rsidP="00657809">
            <w:pPr>
              <w:pStyle w:val="Default"/>
              <w:numPr>
                <w:ilvl w:val="0"/>
                <w:numId w:val="44"/>
              </w:numPr>
              <w:jc w:val="both"/>
              <w:rPr>
                <w:color w:val="auto"/>
              </w:rPr>
            </w:pPr>
            <w:r w:rsidRPr="00657809">
              <w:rPr>
                <w:color w:val="auto"/>
              </w:rPr>
              <w:t>akadēmiskā personāla ar doktora zinātnisko grādu skaita īpatsvaru 2015./2016</w:t>
            </w:r>
            <w:r>
              <w:rPr>
                <w:color w:val="auto"/>
              </w:rPr>
              <w:t xml:space="preserve">. </w:t>
            </w:r>
            <w:proofErr w:type="spellStart"/>
            <w:r>
              <w:rPr>
                <w:color w:val="auto"/>
              </w:rPr>
              <w:t>ak.g</w:t>
            </w:r>
            <w:proofErr w:type="spellEnd"/>
            <w:r>
              <w:rPr>
                <w:color w:val="auto"/>
              </w:rPr>
              <w:t>.;</w:t>
            </w:r>
          </w:p>
          <w:p w:rsidR="00657809" w:rsidRDefault="00657809" w:rsidP="00657809">
            <w:pPr>
              <w:pStyle w:val="Default"/>
              <w:numPr>
                <w:ilvl w:val="0"/>
                <w:numId w:val="44"/>
              </w:numPr>
              <w:jc w:val="both"/>
              <w:rPr>
                <w:color w:val="auto"/>
              </w:rPr>
            </w:pPr>
            <w:r>
              <w:rPr>
                <w:color w:val="auto"/>
              </w:rPr>
              <w:t>pētniecībai piesaistītā finansējuma īpatsvaru;</w:t>
            </w:r>
          </w:p>
          <w:p w:rsidR="00143D40" w:rsidRPr="008552EF" w:rsidRDefault="00143D40" w:rsidP="002061A6">
            <w:pPr>
              <w:pStyle w:val="Default"/>
              <w:numPr>
                <w:ilvl w:val="0"/>
                <w:numId w:val="39"/>
              </w:numPr>
              <w:ind w:left="1077" w:hanging="357"/>
              <w:jc w:val="both"/>
              <w:rPr>
                <w:color w:val="auto"/>
              </w:rPr>
            </w:pPr>
            <w:r w:rsidRPr="008552EF">
              <w:rPr>
                <w:color w:val="auto"/>
              </w:rPr>
              <w:t>līdz šim veiktos ieguldījumus</w:t>
            </w:r>
            <w:r w:rsidR="008552EF" w:rsidRPr="008552EF">
              <w:rPr>
                <w:color w:val="auto"/>
              </w:rPr>
              <w:t xml:space="preserve"> infrastruktūras attīstībai uz vienu studējošo</w:t>
            </w:r>
            <w:r w:rsidRPr="008552EF">
              <w:rPr>
                <w:color w:val="auto"/>
              </w:rPr>
              <w:t xml:space="preserve"> 2007.–2013.gada plānošanas perioda darbības programmas </w:t>
            </w:r>
            <w:r w:rsidR="00204944" w:rsidRPr="008552EF">
              <w:rPr>
                <w:color w:val="auto"/>
              </w:rPr>
              <w:t>„</w:t>
            </w:r>
            <w:r w:rsidRPr="008552EF">
              <w:rPr>
                <w:color w:val="auto"/>
              </w:rPr>
              <w:t>Infrastruktūra un pakalpojumi” 3.1.2.1.1..apakšaktivitātes</w:t>
            </w:r>
            <w:r w:rsidR="00204944" w:rsidRPr="008552EF">
              <w:rPr>
                <w:color w:val="auto"/>
              </w:rPr>
              <w:t xml:space="preserve"> „</w:t>
            </w:r>
            <w:r w:rsidRPr="008552EF">
              <w:rPr>
                <w:color w:val="auto"/>
              </w:rPr>
              <w:t>Augstākās izglītības iestāžu telpu un iekārtu modernizēšana studiju programmu kvalitātes uzlabošanai, tajā skaitā, nodrošinot izglītības programmu apgūšanas iespējas arī personām ar funkcionāliem traucējumiem”</w:t>
            </w:r>
            <w:r w:rsidR="00204944" w:rsidRPr="008552EF">
              <w:rPr>
                <w:color w:val="auto"/>
              </w:rPr>
              <w:t xml:space="preserve"> projektos</w:t>
            </w:r>
            <w:r w:rsidRPr="008552EF">
              <w:rPr>
                <w:color w:val="auto"/>
              </w:rPr>
              <w:t xml:space="preserve">. </w:t>
            </w:r>
          </w:p>
          <w:p w:rsidR="00AD523D" w:rsidRPr="006D119F" w:rsidRDefault="00143D40" w:rsidP="00143D40">
            <w:pPr>
              <w:pStyle w:val="Default"/>
              <w:ind w:left="1077"/>
              <w:jc w:val="both"/>
              <w:rPr>
                <w:color w:val="auto"/>
              </w:rPr>
            </w:pPr>
            <w:r w:rsidRPr="006D119F">
              <w:t xml:space="preserve"> </w:t>
            </w:r>
          </w:p>
          <w:p w:rsidR="00457A1C" w:rsidRPr="006D119F" w:rsidRDefault="00457A1C" w:rsidP="009111B0">
            <w:pPr>
              <w:ind w:firstLine="720"/>
              <w:jc w:val="both"/>
            </w:pPr>
            <w:r w:rsidRPr="006D119F">
              <w:t xml:space="preserve">Plānotais </w:t>
            </w:r>
            <w:r w:rsidRPr="006D119F">
              <w:rPr>
                <w:b/>
              </w:rPr>
              <w:t>projektu ilgums</w:t>
            </w:r>
            <w:r w:rsidRPr="006D119F">
              <w:t xml:space="preserve"> aptuveni 2 – 4 gadi.</w:t>
            </w:r>
            <w:r w:rsidR="00F25B61" w:rsidRPr="006D119F">
              <w:t xml:space="preserve"> Projektus plānots īstenot ne ilgāk kā līdz 202</w:t>
            </w:r>
            <w:r w:rsidR="00834DED" w:rsidRPr="006D119F">
              <w:t>2</w:t>
            </w:r>
            <w:r w:rsidR="00F25B61" w:rsidRPr="006D119F">
              <w:t>.gada 31.decembrim.</w:t>
            </w:r>
          </w:p>
          <w:p w:rsidR="00D73044" w:rsidRPr="006D119F" w:rsidRDefault="00D73044" w:rsidP="009111B0">
            <w:pPr>
              <w:ind w:firstLine="720"/>
              <w:jc w:val="both"/>
            </w:pPr>
            <w:r w:rsidRPr="006D119F">
              <w:t>8.1.</w:t>
            </w:r>
            <w:r w:rsidR="008552EF">
              <w:t>1</w:t>
            </w:r>
            <w:r w:rsidRPr="006D119F">
              <w:t xml:space="preserve">. SAM ietvaros līdz 2023. gada 31. decembrim sasniedzami šādi </w:t>
            </w:r>
            <w:r w:rsidRPr="006D119F">
              <w:rPr>
                <w:b/>
              </w:rPr>
              <w:t>uzraudzības rādītāji</w:t>
            </w:r>
            <w:r w:rsidRPr="006D119F">
              <w:t xml:space="preserve">: </w:t>
            </w:r>
          </w:p>
          <w:p w:rsidR="00D73044" w:rsidRPr="006D119F" w:rsidRDefault="00D73044" w:rsidP="00D73044">
            <w:pPr>
              <w:pStyle w:val="ListParagraph"/>
              <w:numPr>
                <w:ilvl w:val="0"/>
                <w:numId w:val="37"/>
              </w:numPr>
              <w:tabs>
                <w:tab w:val="left" w:pos="426"/>
                <w:tab w:val="left" w:pos="1134"/>
              </w:tabs>
            </w:pPr>
            <w:r w:rsidRPr="006D119F">
              <w:t xml:space="preserve">iznākuma rādītājs – </w:t>
            </w:r>
            <w:r w:rsidR="00446240" w:rsidRPr="006D119F">
              <w:rPr>
                <w:bCs/>
              </w:rPr>
              <w:t xml:space="preserve">pakalpojumu sniegšanas veiktspēja atbalstītajā </w:t>
            </w:r>
            <w:r w:rsidR="00446240" w:rsidRPr="006D119F">
              <w:t>augstākās izglītības infrastruktūrā, personu skaits</w:t>
            </w:r>
            <w:r w:rsidR="00446240" w:rsidRPr="006D119F">
              <w:rPr>
                <w:bCs/>
              </w:rPr>
              <w:t xml:space="preserve"> - 2069 personas</w:t>
            </w:r>
            <w:r w:rsidRPr="006D119F">
              <w:t>;</w:t>
            </w:r>
          </w:p>
          <w:p w:rsidR="00D73044" w:rsidRPr="006D119F" w:rsidRDefault="00D73044" w:rsidP="00D73044">
            <w:pPr>
              <w:pStyle w:val="ListParagraph"/>
              <w:numPr>
                <w:ilvl w:val="0"/>
                <w:numId w:val="37"/>
              </w:numPr>
              <w:tabs>
                <w:tab w:val="left" w:pos="426"/>
                <w:tab w:val="left" w:pos="1134"/>
              </w:tabs>
            </w:pPr>
            <w:r w:rsidRPr="006D119F">
              <w:t>rezultāta rādītājs –</w:t>
            </w:r>
            <w:r w:rsidR="00446240" w:rsidRPr="006D119F">
              <w:t xml:space="preserve"> </w:t>
            </w:r>
            <w:r w:rsidR="00446240" w:rsidRPr="006D119F">
              <w:rPr>
                <w:szCs w:val="24"/>
                <w:lang w:eastAsia="lv-LV"/>
              </w:rPr>
              <w:t>modernizēto augstākās izglītības STEM, t.sk. medicīnas un radošās industrijas, studiju programmu īpatsvars to kopskaitā - 100  %</w:t>
            </w:r>
            <w:r w:rsidRPr="006D119F">
              <w:t>;</w:t>
            </w:r>
          </w:p>
          <w:p w:rsidR="00D73044" w:rsidRPr="006D119F" w:rsidRDefault="00D73044" w:rsidP="00D73044">
            <w:pPr>
              <w:pStyle w:val="ListParagraph"/>
              <w:numPr>
                <w:ilvl w:val="0"/>
                <w:numId w:val="37"/>
              </w:numPr>
            </w:pPr>
            <w:r w:rsidRPr="006D119F">
              <w:lastRenderedPageBreak/>
              <w:t xml:space="preserve">finanšu rādītājs – </w:t>
            </w:r>
            <w:r w:rsidR="00446240" w:rsidRPr="006D119F">
              <w:rPr>
                <w:bCs/>
                <w:szCs w:val="24"/>
              </w:rPr>
              <w:t xml:space="preserve">līdz 2018. gada 31. decembrim sertificēti izdevumi </w:t>
            </w:r>
            <w:r w:rsidR="00446240" w:rsidRPr="006D119F">
              <w:rPr>
                <w:rFonts w:eastAsiaTheme="minorHAnsi"/>
                <w:bCs/>
                <w:szCs w:val="24"/>
              </w:rPr>
              <w:t>11 160 414</w:t>
            </w:r>
            <w:r w:rsidR="00446240" w:rsidRPr="006D119F">
              <w:rPr>
                <w:rFonts w:eastAsiaTheme="minorHAnsi"/>
                <w:bCs/>
                <w:sz w:val="18"/>
                <w:szCs w:val="18"/>
              </w:rPr>
              <w:t xml:space="preserve"> </w:t>
            </w:r>
            <w:proofErr w:type="spellStart"/>
            <w:r w:rsidR="00446240" w:rsidRPr="006D119F">
              <w:rPr>
                <w:bCs/>
                <w:i/>
                <w:szCs w:val="24"/>
              </w:rPr>
              <w:t>euro</w:t>
            </w:r>
            <w:proofErr w:type="spellEnd"/>
            <w:r w:rsidR="00446240" w:rsidRPr="006D119F">
              <w:rPr>
                <w:bCs/>
              </w:rPr>
              <w:t xml:space="preserve"> apmērā</w:t>
            </w:r>
            <w:r w:rsidRPr="006D119F">
              <w:t>.</w:t>
            </w:r>
          </w:p>
          <w:p w:rsidR="00E02C2D" w:rsidRPr="002D583A" w:rsidRDefault="00341998" w:rsidP="00DC5D53">
            <w:pPr>
              <w:ind w:firstLine="720"/>
              <w:contextualSpacing/>
              <w:jc w:val="both"/>
            </w:pPr>
            <w:r w:rsidRPr="006D119F">
              <w:t xml:space="preserve">Noteikumu projektā paredzēta iespēja plānot  </w:t>
            </w:r>
            <w:r w:rsidRPr="006D119F">
              <w:rPr>
                <w:b/>
              </w:rPr>
              <w:t>neparedzētās izmaksas</w:t>
            </w:r>
            <w:r w:rsidRPr="006D119F">
              <w:t xml:space="preserve"> papildu darbu vai pakalpojumu veikšanai, kas neparedzamu apstākļu dēļ </w:t>
            </w:r>
            <w:r w:rsidR="00457A1C" w:rsidRPr="006D119F">
              <w:t>ir kļuvuši nepieciešami noslēgtās vienošanās</w:t>
            </w:r>
            <w:r w:rsidRPr="006D119F">
              <w:t xml:space="preserve"> </w:t>
            </w:r>
            <w:r w:rsidR="0072420E">
              <w:t xml:space="preserve">vai līguma </w:t>
            </w:r>
            <w:r w:rsidRPr="006D119F">
              <w:t xml:space="preserve">par projekta īstenošanu izpildes nodrošināšanai ne vairāk kā </w:t>
            </w:r>
            <w:r w:rsidR="00BC1D6E">
              <w:t>piecu</w:t>
            </w:r>
            <w:r w:rsidR="00BC1D6E" w:rsidRPr="006D119F">
              <w:t xml:space="preserve"> </w:t>
            </w:r>
            <w:r w:rsidRPr="006D119F">
              <w:t>procentu apmērā no kopējām projekta attiecināmajām tiešajām izmaksām.</w:t>
            </w:r>
            <w:r w:rsidR="005B64B7" w:rsidRPr="006D119F">
              <w:t xml:space="preserve"> </w:t>
            </w:r>
            <w:r w:rsidR="00E02C2D" w:rsidRPr="006D119F">
              <w:t xml:space="preserve">Projektu atbalstāmās darbības </w:t>
            </w:r>
            <w:r w:rsidR="00DC5D53" w:rsidRPr="006D119F">
              <w:t>plānots īstenot</w:t>
            </w:r>
            <w:r w:rsidR="00E02C2D" w:rsidRPr="006D119F">
              <w:t xml:space="preserve"> līdz 202</w:t>
            </w:r>
            <w:r w:rsidR="00381039" w:rsidRPr="006D119F">
              <w:t>2</w:t>
            </w:r>
            <w:r w:rsidR="00E02C2D" w:rsidRPr="006D119F">
              <w:t>.</w:t>
            </w:r>
            <w:r w:rsidR="00DC5D53" w:rsidRPr="006D119F">
              <w:t>g</w:t>
            </w:r>
            <w:r w:rsidR="00E02C2D" w:rsidRPr="006D119F">
              <w:t>ada</w:t>
            </w:r>
            <w:r w:rsidR="00DC5D53" w:rsidRPr="006D119F">
              <w:t xml:space="preserve"> beigām</w:t>
            </w:r>
            <w:r w:rsidR="00E02C2D" w:rsidRPr="006D119F">
              <w:t xml:space="preserve">, un veicot iepirkumus, nav iespējams paredzēt vai pakalpojumu izmaksas visu projekta īstenošanas laiku saglabāsies šobrīd vidēji aprēķinātā pakalpojuma izmaksu līmenī. Turklāt projektu ietvaros tiek plānota </w:t>
            </w:r>
            <w:r w:rsidR="00720368" w:rsidRPr="006D119F">
              <w:t xml:space="preserve">ēku un </w:t>
            </w:r>
            <w:r w:rsidR="00E02C2D" w:rsidRPr="006D119F">
              <w:t xml:space="preserve">telpu atjaunošana un pārbūve. Pamatojoties uz līdzšinējo pieredzi būvniecības projektos, secināts, ka veicot telpu apsekošanu un novērtēšanu pirms tehniskā projekta izstrādes nav iespējams pilnībā noteikt un finanšu tāmē iestrādāt visas nepieciešamās būvdarbu pozīcijas, tāpēc noteikumu projektā </w:t>
            </w:r>
            <w:r w:rsidR="00E02C2D" w:rsidRPr="00AD2D73">
              <w:t xml:space="preserve">nepieciešams noteikt arī </w:t>
            </w:r>
            <w:r w:rsidR="00E02C2D" w:rsidRPr="002D583A">
              <w:t>neparedzētās izmaksas.</w:t>
            </w:r>
          </w:p>
          <w:p w:rsidR="00AD2D73" w:rsidRDefault="00AD2D73" w:rsidP="00AD2D73">
            <w:pPr>
              <w:tabs>
                <w:tab w:val="left" w:pos="426"/>
                <w:tab w:val="left" w:pos="1134"/>
              </w:tabs>
              <w:ind w:firstLine="729"/>
              <w:jc w:val="both"/>
              <w:rPr>
                <w:rFonts w:eastAsia="Calibri"/>
                <w:color w:val="000000"/>
              </w:rPr>
            </w:pPr>
            <w:r w:rsidRPr="002D583A">
              <w:t>N</w:t>
            </w:r>
            <w:r w:rsidR="00A265EB" w:rsidRPr="002D583A">
              <w:t xml:space="preserve">oteikumu </w:t>
            </w:r>
            <w:r w:rsidRPr="002D583A">
              <w:t xml:space="preserve">projekta </w:t>
            </w:r>
            <w:r w:rsidR="00A265EB" w:rsidRPr="000E5F49">
              <w:t>2</w:t>
            </w:r>
            <w:r w:rsidR="009E7E16" w:rsidRPr="000E5F49">
              <w:t>7</w:t>
            </w:r>
            <w:r w:rsidR="00A265EB" w:rsidRPr="000E5F49">
              <w:t>.</w:t>
            </w:r>
            <w:r w:rsidR="00A265EB" w:rsidRPr="00A265EB">
              <w:t xml:space="preserve"> punkts paredz vienkāršoto izmaksu piemērošanu attiecībā uz netiešajām attiecināmajām izmaksām, atbilstoši </w:t>
            </w:r>
            <w:r w:rsidR="004D6057">
              <w:rPr>
                <w:rFonts w:eastAsia="Calibri"/>
              </w:rPr>
              <w:t>V</w:t>
            </w:r>
            <w:r w:rsidR="00A265EB" w:rsidRPr="00A265EB">
              <w:rPr>
                <w:rFonts w:eastAsia="Calibri"/>
                <w:color w:val="000000"/>
              </w:rPr>
              <w:t>adošās iestādes</w:t>
            </w:r>
            <w:r w:rsidR="00A265EB" w:rsidRPr="00A265EB">
              <w:rPr>
                <w:rFonts w:eastAsia="Calibri"/>
                <w:bCs/>
                <w:color w:val="000000"/>
              </w:rPr>
              <w:t xml:space="preserve"> vadlīnijām Nr.4.3. “Metodika par netiešo izmaksu vienotās likmes piemērošanu projekta izmaksu atzīšanā 2014.-2020.gada plānošanas periodā”.</w:t>
            </w:r>
            <w:r w:rsidR="00872B61" w:rsidRPr="00872B61">
              <w:rPr>
                <w:rFonts w:eastAsia="Calibri"/>
                <w:bCs/>
                <w:color w:val="000000"/>
              </w:rPr>
              <w:t xml:space="preserve"> </w:t>
            </w:r>
            <w:r w:rsidR="00A265EB" w:rsidRPr="00A265EB">
              <w:rPr>
                <w:rFonts w:eastAsia="Calibri"/>
                <w:color w:val="000000"/>
              </w:rPr>
              <w:t xml:space="preserve">Vienkāršoto izmaksu metode netiešo izmaksu noteikšanai </w:t>
            </w:r>
            <w:r w:rsidR="00A265EB" w:rsidRPr="00A265EB">
              <w:rPr>
                <w:rFonts w:eastAsia="Calibri"/>
              </w:rPr>
              <w:t>paredz, ka</w:t>
            </w:r>
            <w:r w:rsidR="00A265EB" w:rsidRPr="00A265EB">
              <w:rPr>
                <w:rFonts w:eastAsia="Calibri"/>
                <w:color w:val="000000"/>
              </w:rPr>
              <w:t xml:space="preserve"> netiešās izmaksas ir 15% no tiešajām personāla attiecināmajām izmaksām. Izmantojot šo metodi, projekta netiešās izmaksas tiek matemātiski aprēķinātas kā 15% no attiecināmajām projekta tiešajām personāla izmaksām</w:t>
            </w:r>
            <w:r w:rsidR="005F3EF0">
              <w:rPr>
                <w:rFonts w:eastAsia="Calibri"/>
                <w:color w:val="000000"/>
              </w:rPr>
              <w:t xml:space="preserve"> (8.1.1.SAM gadījumā no </w:t>
            </w:r>
            <w:r w:rsidR="005F3EF0" w:rsidRPr="005F3EF0">
              <w:rPr>
                <w:rFonts w:eastAsia="Calibri"/>
                <w:color w:val="000000"/>
              </w:rPr>
              <w:t>projekta vadības personāla atlīdzības izmaksām)</w:t>
            </w:r>
            <w:r w:rsidR="005F3EF0">
              <w:rPr>
                <w:rFonts w:eastAsia="Calibri"/>
                <w:color w:val="000000"/>
              </w:rPr>
              <w:t>.</w:t>
            </w:r>
          </w:p>
          <w:p w:rsidR="00534F9F" w:rsidRPr="00326C00" w:rsidRDefault="00534F9F" w:rsidP="00AD2D73">
            <w:pPr>
              <w:tabs>
                <w:tab w:val="left" w:pos="426"/>
                <w:tab w:val="left" w:pos="1134"/>
              </w:tabs>
              <w:ind w:firstLine="729"/>
              <w:jc w:val="both"/>
            </w:pPr>
            <w:r w:rsidRPr="0041776B">
              <w:rPr>
                <w:bCs/>
                <w:spacing w:val="-2"/>
              </w:rPr>
              <w:t>Noteikumu projekts paredz</w:t>
            </w:r>
            <w:r>
              <w:rPr>
                <w:bCs/>
                <w:spacing w:val="-2"/>
              </w:rPr>
              <w:t>, ka s</w:t>
            </w:r>
            <w:r w:rsidR="00A265EB" w:rsidRPr="00A265EB">
              <w:t>pecifiskā atbalsta ietvaros izmaksas ir attiecināmas, ja tās atbilst šajos noteikumos minētajām izmaksu pozīcijām, un ir radušās, sākot ar šo noteikumu spēkā stāšanās dienu</w:t>
            </w:r>
            <w:r w:rsidR="005F3EF0">
              <w:t xml:space="preserve">, </w:t>
            </w:r>
            <w:r w:rsidR="005F3EF0" w:rsidRPr="005F3EF0">
              <w:t xml:space="preserve">izņemot noteikumu 24.2., 24.4.1., 24.4.2. un 24.4.3.apakšpunktā minētās izmaksas, kas ir </w:t>
            </w:r>
            <w:r w:rsidR="005F3EF0" w:rsidRPr="00326C00">
              <w:t>attiecināmas ar 2016.gada 1.janvāri.</w:t>
            </w:r>
          </w:p>
          <w:p w:rsidR="00872B61" w:rsidRPr="00872B61" w:rsidRDefault="00A265EB" w:rsidP="00AD2D73">
            <w:pPr>
              <w:tabs>
                <w:tab w:val="left" w:pos="426"/>
                <w:tab w:val="left" w:pos="1134"/>
              </w:tabs>
              <w:ind w:firstLine="729"/>
              <w:jc w:val="both"/>
              <w:rPr>
                <w:rFonts w:eastAsia="Calibri"/>
                <w:bCs/>
                <w:color w:val="000000"/>
              </w:rPr>
            </w:pPr>
            <w:r w:rsidRPr="00326C00">
              <w:rPr>
                <w:bCs/>
                <w:spacing w:val="-2"/>
              </w:rPr>
              <w:t>Noteikumu projekts paredz, ka specifiskā atbalsta</w:t>
            </w:r>
            <w:r w:rsidRPr="00A265EB">
              <w:rPr>
                <w:bCs/>
                <w:spacing w:val="-2"/>
              </w:rPr>
              <w:t xml:space="preserve"> mērķa ietvaros ieguldījumus var veikt infrastruktūrā, ja tā ir projekta iesniedzēja īpašumā vai tā ir valsts vai atvasinātas publiskas personas manta, kas ir projekta iesniedzēja valdījumā vai lietojumā uz termiņu, kas nav īsāks par pieciem gadiem pēc noslēguma maksājuma veikšanas. </w:t>
            </w:r>
            <w:r w:rsidRPr="00A265EB">
              <w:t>Valdījuma vai lietošanas tiesības ir reģistrētas zemesgrāmatā.</w:t>
            </w:r>
          </w:p>
          <w:p w:rsidR="00872B61" w:rsidRPr="002D583A" w:rsidRDefault="00545937" w:rsidP="00AD2D73">
            <w:pPr>
              <w:tabs>
                <w:tab w:val="left" w:pos="426"/>
                <w:tab w:val="left" w:pos="1134"/>
              </w:tabs>
              <w:ind w:firstLine="729"/>
              <w:jc w:val="both"/>
              <w:rPr>
                <w:lang w:eastAsia="en-US"/>
              </w:rPr>
            </w:pPr>
            <w:r w:rsidRPr="000E5F49">
              <w:rPr>
                <w:lang w:eastAsia="en-US"/>
              </w:rPr>
              <w:t xml:space="preserve">Noteikumu projektā noteikts, ka gadījumā, ja projekta ietvaros tiek plānota </w:t>
            </w:r>
            <w:r w:rsidR="00BA7E37" w:rsidRPr="002D583A">
              <w:t>būvniecība (</w:t>
            </w:r>
            <w:r w:rsidR="00BA7E37" w:rsidRPr="0072092A">
              <w:t>izņemot jaunas ēkas būvniecība)</w:t>
            </w:r>
            <w:r w:rsidRPr="000E5F49">
              <w:rPr>
                <w:lang w:eastAsia="en-US"/>
              </w:rPr>
              <w:t xml:space="preserve">, projekta iesniedzējs projekta iesniegumā norāda būves enerģijas patēriņu pirms projekta īstenošanas, kā arī finansējuma saņēmējam ir pienākums informēt sadarbības iestādi par būves </w:t>
            </w:r>
            <w:r w:rsidRPr="000E5F49">
              <w:rPr>
                <w:lang w:eastAsia="en-US"/>
              </w:rPr>
              <w:lastRenderedPageBreak/>
              <w:t>enerģijas patēriņu pēc projekta īstenošanas. Minētā informācija projekta iesniedzējam un finansējuma saņēmējam jāsniedz atbilstoši Ministru kabineta 2010.gada 30.septembra noteikumiem Nr.923 “Kārtība, kādā uzskaita valsts enerģijas galapatēriņa ietaupījumu un nodrošina energoefektivitātes monitoringa sistēmas darbību” un Ekonomikas ministrijas izstrādātajiem norādījumiem “Metodiskie ieteikumi enerģijas ietaupījumu ziņošanai”.</w:t>
            </w:r>
          </w:p>
          <w:p w:rsidR="004A2BD0" w:rsidRDefault="00A265EB" w:rsidP="000E5F49">
            <w:pPr>
              <w:tabs>
                <w:tab w:val="left" w:pos="426"/>
                <w:tab w:val="left" w:pos="1134"/>
              </w:tabs>
              <w:ind w:firstLine="729"/>
              <w:jc w:val="both"/>
            </w:pPr>
            <w:r w:rsidRPr="000E5F49">
              <w:t xml:space="preserve">Noteikumu projekts paredz, ja projekta īstenošanas laikā finansējuma saņēmējam ir paredzēts avanss, to var izmaksāt pa daļām. </w:t>
            </w:r>
            <w:r w:rsidRPr="000E5F49">
              <w:rPr>
                <w:bCs/>
                <w:spacing w:val="-2"/>
              </w:rPr>
              <w:t xml:space="preserve">Viens avansa maksājums nepārsniedz 30 procentus. Noteikumu </w:t>
            </w:r>
            <w:r w:rsidR="005F3EF0" w:rsidRPr="00326C00">
              <w:rPr>
                <w:bCs/>
                <w:spacing w:val="-2"/>
              </w:rPr>
              <w:t xml:space="preserve">projekta </w:t>
            </w:r>
            <w:r w:rsidRPr="000E5F49">
              <w:rPr>
                <w:bCs/>
                <w:spacing w:val="-2"/>
              </w:rPr>
              <w:t xml:space="preserve">18.punktā minētajiem finansējuma saņēmējiem, izņemot noteikumu </w:t>
            </w:r>
            <w:r w:rsidR="005F3EF0">
              <w:rPr>
                <w:bCs/>
                <w:spacing w:val="-2"/>
              </w:rPr>
              <w:t xml:space="preserve">projekta </w:t>
            </w:r>
            <w:r w:rsidRPr="000E5F49">
              <w:rPr>
                <w:bCs/>
                <w:spacing w:val="-2"/>
              </w:rPr>
              <w:t xml:space="preserve">18.12.apakšpunktā minētajam finansējuma saņēmējam (Transporta un sakaru institūts), </w:t>
            </w:r>
            <w:r w:rsidRPr="000E5F49">
              <w:t xml:space="preserve">avansa un starpposma maksājumu kopsumma var būt 100 procenti no projektam piešķirtā Eiropas Reģionālās attīstības fonda finansējuma un valsts budžeta līdzfinansējuma kopsummas. 100 procentu </w:t>
            </w:r>
            <w:r w:rsidR="00B17B4B" w:rsidRPr="00C60BB5">
              <w:t xml:space="preserve">avansa </w:t>
            </w:r>
            <w:r w:rsidRPr="000E5F49">
              <w:t xml:space="preserve">apmērs noteikts, pamatojoties uz to, ka visi finansējuma saņēmēji (izņemot Transporta un sakaru institūtu) atbilst </w:t>
            </w:r>
            <w:r w:rsidRPr="000E5F49">
              <w:rPr>
                <w:rFonts w:eastAsiaTheme="majorEastAsia"/>
              </w:rPr>
              <w:t>MK 2015.gada 17.marta noteikumu Nr.130 “Noteikumi par valsts budžeta līdzekļu plānošanu Eiropas Savienības struktūrfondu un Kohēzijas fonda projektu īstenošanai un maksājumu veikšanu 2014.–2020.gada plānošanas periodā” 20.punktā ietvertajam regulējumam. S</w:t>
            </w:r>
            <w:r w:rsidRPr="000E5F49">
              <w:t>askaņā ar Augstskolu likuma 7. pantu un 78.pantu visi finansējuma saņēmēji, izņemot Transporta un sakaru institūtu, ir valsts budžeta daļēji finansētas atvasinātas publiskas personas. Tās īsteno projektu tām deleģēto valsts pārvaldes uzdevumu ietvaros. To darbības tiesiskais pamats ir Augstskolu likums, Zinātniskās darbības likums, augstskolu satversmes un citi normatīvie akti. Augstskolu likumā ir noteikti augstskolu uzdevumi, kas tai skaitā paredz, ka augstskolas izstrādā studiju programmas, izraugās akadēmisko personālu, iekārto laboratorijas, darbnīcas, bibliotēkas un citas struktūras tā, lai studējošajiem dotu iespēju iegūt zināšanas, akadēmisko izglītību un profesionālo prasmi atbilstoši zinātnes attīstības līmenim un Latvijas kultūras tradīcijām</w:t>
            </w:r>
            <w:r w:rsidR="005F3EF0">
              <w:t>,</w:t>
            </w:r>
            <w:r w:rsidRPr="000E5F49">
              <w:t xml:space="preserve"> turklāt iespējami koncentrētā un didaktiski pilnvērtīgā veidā. Augstskolu mērķi un pamatdarbības virzieni ir noteikti katras augstskolas satversmē.</w:t>
            </w:r>
          </w:p>
          <w:p w:rsidR="00B17B4B" w:rsidRPr="000E5F49" w:rsidRDefault="00B17B4B" w:rsidP="00AD2D73">
            <w:pPr>
              <w:tabs>
                <w:tab w:val="left" w:pos="426"/>
                <w:tab w:val="left" w:pos="1134"/>
              </w:tabs>
              <w:ind w:firstLine="729"/>
              <w:jc w:val="both"/>
              <w:rPr>
                <w:rFonts w:eastAsia="Calibri"/>
                <w:bCs/>
                <w:color w:val="000000"/>
              </w:rPr>
            </w:pPr>
          </w:p>
          <w:p w:rsidR="00A9466D" w:rsidRDefault="006D119F" w:rsidP="006D119F">
            <w:pPr>
              <w:ind w:firstLine="720"/>
              <w:contextualSpacing/>
              <w:jc w:val="both"/>
            </w:pPr>
            <w:r w:rsidRPr="00AD2D73">
              <w:t>8.</w:t>
            </w:r>
            <w:r w:rsidR="00627322" w:rsidRPr="00AD2D73">
              <w:t>1.1.SAM ietvaros plānotās ERAF</w:t>
            </w:r>
            <w:r w:rsidR="00627322" w:rsidRPr="006D119F">
              <w:t xml:space="preserve"> investīcijas augstskolu infrastruktūrā papildinās līdz šim veiktos ieguldījumus 2007.–2013.gada plānošanas perioda darbības programmas </w:t>
            </w:r>
            <w:r w:rsidR="00A3796C" w:rsidRPr="006D119F">
              <w:t>„</w:t>
            </w:r>
            <w:r w:rsidR="00627322" w:rsidRPr="006D119F">
              <w:t xml:space="preserve">Infrastruktūra un pakalpojumi” 3.1.2.1.1..apakšaktivitātes“ Augstākās izglītības iestāžu telpu un iekārtu modernizēšana studiju programmu kvalitātes uzlabošanai, tajā skaitā, nodrošinot izglītības programmu apgūšanas iespējas arī personām ar funkcionāliem traucējumiem” projektos, kā arī </w:t>
            </w:r>
            <w:r w:rsidR="00A9466D" w:rsidRPr="006D119F">
              <w:t>8.1.</w:t>
            </w:r>
            <w:r w:rsidR="006F19ED" w:rsidRPr="006D119F">
              <w:t>1</w:t>
            </w:r>
            <w:r w:rsidR="00A9466D" w:rsidRPr="006D119F">
              <w:t xml:space="preserve">.SAM </w:t>
            </w:r>
            <w:r w:rsidR="00A9466D" w:rsidRPr="006D119F">
              <w:lastRenderedPageBreak/>
              <w:t xml:space="preserve">ietvaros plānotās ERAF investīcijas </w:t>
            </w:r>
            <w:r w:rsidR="006F19ED" w:rsidRPr="006D119F">
              <w:t>augstskolu</w:t>
            </w:r>
            <w:r w:rsidR="00A9466D" w:rsidRPr="006D119F">
              <w:t xml:space="preserve"> infrastruktūrā papildinās 2014.</w:t>
            </w:r>
            <w:r w:rsidR="00A9466D" w:rsidRPr="006D119F">
              <w:rPr>
                <w:lang w:bidi="lo-LA"/>
              </w:rPr>
              <w:t xml:space="preserve"> –</w:t>
            </w:r>
            <w:r w:rsidR="00A9466D" w:rsidRPr="006D119F">
              <w:t xml:space="preserve">2020.gada plānošanas perioda 8.2.1. SAM </w:t>
            </w:r>
            <w:r w:rsidR="00A3796C" w:rsidRPr="006D119F">
              <w:t>„</w:t>
            </w:r>
            <w:r w:rsidR="00A9466D" w:rsidRPr="006D119F">
              <w:t xml:space="preserve">Samazināt studiju programmu fragmentāciju un stiprināt resursu koplietošanu”, 8.2.2. SAM </w:t>
            </w:r>
            <w:r w:rsidR="00A3796C" w:rsidRPr="006D119F">
              <w:t>„</w:t>
            </w:r>
            <w:r w:rsidR="00A9466D" w:rsidRPr="006D119F">
              <w:t xml:space="preserve">Stiprināt augstākās izglītības institūciju akadēmisko personālu stratēģiskās specializācijas jomās” un 8.2.3. SAM </w:t>
            </w:r>
            <w:r w:rsidR="00A3796C" w:rsidRPr="006D119F">
              <w:t>„</w:t>
            </w:r>
            <w:r w:rsidR="00A9466D" w:rsidRPr="006D119F">
              <w:t xml:space="preserve">Nodrošināt labāku pārvaldību augstākās izglītības institūcijās” ietvaros plānotās ESF investīcijas augstākās izglītības institūcijās, tajā skaitā koledžās, ar mērķi konsolidēt un efektīvi izmantot pieejamos resursus, stiprināt izcilību studiju programmās, kā arī stiprināt akadēmiskā personāla kapacitāti un augstākās izglītības institūciju pārvaldību. </w:t>
            </w:r>
          </w:p>
          <w:p w:rsidR="00204944" w:rsidRPr="006D119F" w:rsidRDefault="00204944" w:rsidP="006D119F">
            <w:pPr>
              <w:ind w:firstLine="720"/>
              <w:contextualSpacing/>
              <w:jc w:val="both"/>
            </w:pPr>
            <w:r w:rsidRPr="00204944">
              <w:t>8.1.1.SAM veikto darbību ietvaros var veidoties sinerģija un demarkācija ar 1.1.1.</w:t>
            </w:r>
            <w:r w:rsidR="00657809">
              <w:t xml:space="preserve">4. </w:t>
            </w:r>
            <w:r w:rsidRPr="00204944">
              <w:t xml:space="preserve">pasākumu </w:t>
            </w:r>
            <w:r w:rsidRPr="006D119F">
              <w:t>„</w:t>
            </w:r>
            <w:r w:rsidRPr="00204944">
              <w:t xml:space="preserve">P&amp;A infrastruktūras attīstīšana Viedās specializācijas jomās un zinātnisko institūciju institucionālās kapacitātes stiprināšana”, kura ietvaros plānots attīstīt P&amp;A infrastruktūru praktiskās pētniecības un tehnoloģiju pārneses īstenošanai zinātniskajās institūcijās atbilstoši </w:t>
            </w:r>
            <w:r w:rsidR="005F3EF0" w:rsidRPr="006D119F">
              <w:t>Latvijas Viedās specializācijas stratēģija</w:t>
            </w:r>
            <w:r w:rsidR="0004202D">
              <w:t>i</w:t>
            </w:r>
            <w:r w:rsidRPr="00204944">
              <w:t xml:space="preserve">, un šīs infrastruktūras pamata lietotāji būs zinātniskie darbinieki, savukārt 8.1.1.SAM ietvaros plānots modernizēt materiāltehnisko bāzi </w:t>
            </w:r>
            <w:r>
              <w:t>augstākās izglītības institūcijās</w:t>
            </w:r>
            <w:r w:rsidRPr="00204944">
              <w:t xml:space="preserve">, kas nepieciešama studiju programmu īstenošanai un zinātnisko darbību veikšanai doktora zinātniskā grāda ieguvei, un infrastruktūras pamata lietotāji būs studējošie un akadēmiskais personāls. </w:t>
            </w:r>
          </w:p>
          <w:p w:rsidR="00147B95" w:rsidRPr="006D119F" w:rsidRDefault="00EC7729" w:rsidP="006F19ED">
            <w:pPr>
              <w:ind w:firstLine="720"/>
              <w:contextualSpacing/>
              <w:jc w:val="both"/>
            </w:pPr>
            <w:r w:rsidRPr="006D119F">
              <w:t xml:space="preserve">Specifiskā atbalsta ietvaros plānotās atbalstāmās darbības atbilst darbības programmas „Izaugsme un nodarbinātība” 8.prioritārajam virzienam „Izglītība, prasmes un mūžizglītība” noteiktajai intervences kategorijai un intervences laukuma kodam 49. </w:t>
            </w:r>
            <w:r w:rsidR="00B600B9" w:rsidRPr="006D119F">
              <w:t>„</w:t>
            </w:r>
            <w:r w:rsidRPr="006D119F">
              <w:t xml:space="preserve">Izglītības infrastruktūra terciārajā izglītībā” un 13. </w:t>
            </w:r>
            <w:r w:rsidR="00B600B9" w:rsidRPr="006D119F">
              <w:t>„</w:t>
            </w:r>
            <w:r w:rsidRPr="006D119F">
              <w:t>Publiskās infrastruktūras atjaunošana energoefektivitātes uzlabošanai, projektu demonstrēšana un atbalsta pasākumi”.</w:t>
            </w:r>
          </w:p>
        </w:tc>
      </w:tr>
      <w:tr w:rsidR="0072604C" w:rsidRPr="00C2761A" w:rsidTr="001629C3">
        <w:trPr>
          <w:gridAfter w:val="1"/>
          <w:wAfter w:w="28" w:type="pct"/>
        </w:trPr>
        <w:tc>
          <w:tcPr>
            <w:tcW w:w="213" w:type="pct"/>
            <w:tcBorders>
              <w:top w:val="outset" w:sz="6" w:space="0" w:color="000000"/>
              <w:left w:val="outset" w:sz="6" w:space="0" w:color="000000"/>
              <w:bottom w:val="outset" w:sz="6" w:space="0" w:color="000000"/>
              <w:right w:val="outset" w:sz="6" w:space="0" w:color="000000"/>
            </w:tcBorders>
          </w:tcPr>
          <w:p w:rsidR="0072604C" w:rsidRPr="00C2761A" w:rsidRDefault="00B77F92" w:rsidP="00CD0FA2">
            <w:pPr>
              <w:spacing w:before="100" w:beforeAutospacing="1" w:after="100" w:afterAutospacing="1"/>
            </w:pPr>
            <w:r w:rsidRPr="00C2761A">
              <w:lastRenderedPageBreak/>
              <w:t>3.</w:t>
            </w:r>
          </w:p>
        </w:tc>
        <w:tc>
          <w:tcPr>
            <w:tcW w:w="1078" w:type="pct"/>
            <w:gridSpan w:val="2"/>
            <w:tcBorders>
              <w:top w:val="outset" w:sz="6" w:space="0" w:color="000000"/>
              <w:left w:val="outset" w:sz="6" w:space="0" w:color="000000"/>
              <w:bottom w:val="outset" w:sz="6" w:space="0" w:color="000000"/>
              <w:right w:val="outset" w:sz="6" w:space="0" w:color="000000"/>
            </w:tcBorders>
          </w:tcPr>
          <w:p w:rsidR="0072604C" w:rsidRPr="00C2761A" w:rsidRDefault="0072604C" w:rsidP="00CD0FA2">
            <w:pPr>
              <w:spacing w:before="100" w:beforeAutospacing="1" w:after="100" w:afterAutospacing="1"/>
            </w:pPr>
            <w:r w:rsidRPr="00C2761A">
              <w:t>Projekta izstrādē iesaistītās institūcijas</w:t>
            </w:r>
          </w:p>
        </w:tc>
        <w:tc>
          <w:tcPr>
            <w:tcW w:w="3681" w:type="pct"/>
            <w:gridSpan w:val="2"/>
            <w:tcBorders>
              <w:top w:val="outset" w:sz="6" w:space="0" w:color="000000"/>
              <w:left w:val="outset" w:sz="6" w:space="0" w:color="000000"/>
              <w:bottom w:val="outset" w:sz="6" w:space="0" w:color="000000"/>
              <w:right w:val="outset" w:sz="6" w:space="0" w:color="000000"/>
            </w:tcBorders>
          </w:tcPr>
          <w:p w:rsidR="00720F8B" w:rsidRPr="006D119F" w:rsidRDefault="00EF394B" w:rsidP="00EB6067">
            <w:pPr>
              <w:jc w:val="both"/>
              <w:rPr>
                <w:bCs/>
                <w:iCs/>
              </w:rPr>
            </w:pPr>
            <w:r w:rsidRPr="006D119F">
              <w:rPr>
                <w:bCs/>
                <w:iCs/>
              </w:rPr>
              <w:t>Izglītības un zinātnes ministrija.</w:t>
            </w:r>
          </w:p>
        </w:tc>
      </w:tr>
      <w:tr w:rsidR="0072604C" w:rsidRPr="00C2761A" w:rsidTr="001629C3">
        <w:trPr>
          <w:gridAfter w:val="1"/>
          <w:wAfter w:w="28" w:type="pct"/>
          <w:trHeight w:val="35"/>
        </w:trPr>
        <w:tc>
          <w:tcPr>
            <w:tcW w:w="213" w:type="pct"/>
            <w:tcBorders>
              <w:top w:val="outset" w:sz="6" w:space="0" w:color="000000"/>
              <w:left w:val="outset" w:sz="6" w:space="0" w:color="000000"/>
              <w:bottom w:val="outset" w:sz="6" w:space="0" w:color="000000"/>
              <w:right w:val="outset" w:sz="6" w:space="0" w:color="000000"/>
            </w:tcBorders>
          </w:tcPr>
          <w:p w:rsidR="0072604C" w:rsidRPr="00C2761A" w:rsidRDefault="00B77F92" w:rsidP="00CD0FA2">
            <w:pPr>
              <w:spacing w:before="100" w:beforeAutospacing="1" w:after="100" w:afterAutospacing="1"/>
            </w:pPr>
            <w:r w:rsidRPr="00C2761A">
              <w:t>4</w:t>
            </w:r>
            <w:r w:rsidR="0072604C" w:rsidRPr="00C2761A">
              <w:t>.</w:t>
            </w:r>
          </w:p>
        </w:tc>
        <w:tc>
          <w:tcPr>
            <w:tcW w:w="1078" w:type="pct"/>
            <w:gridSpan w:val="2"/>
            <w:tcBorders>
              <w:top w:val="outset" w:sz="6" w:space="0" w:color="000000"/>
              <w:left w:val="outset" w:sz="6" w:space="0" w:color="000000"/>
              <w:bottom w:val="outset" w:sz="6" w:space="0" w:color="000000"/>
              <w:right w:val="outset" w:sz="6" w:space="0" w:color="000000"/>
            </w:tcBorders>
          </w:tcPr>
          <w:p w:rsidR="0072604C" w:rsidRPr="00C2761A" w:rsidRDefault="0072604C" w:rsidP="00CD0FA2">
            <w:pPr>
              <w:spacing w:before="100" w:beforeAutospacing="1" w:after="100" w:afterAutospacing="1"/>
            </w:pPr>
            <w:r w:rsidRPr="00C2761A">
              <w:t>Cita informācija</w:t>
            </w:r>
          </w:p>
        </w:tc>
        <w:tc>
          <w:tcPr>
            <w:tcW w:w="3681" w:type="pct"/>
            <w:gridSpan w:val="2"/>
            <w:tcBorders>
              <w:top w:val="outset" w:sz="6" w:space="0" w:color="000000"/>
              <w:left w:val="outset" w:sz="6" w:space="0" w:color="000000"/>
              <w:bottom w:val="outset" w:sz="6" w:space="0" w:color="000000"/>
              <w:right w:val="outset" w:sz="6" w:space="0" w:color="000000"/>
            </w:tcBorders>
          </w:tcPr>
          <w:p w:rsidR="0072604C" w:rsidRPr="00C858D8" w:rsidRDefault="002061A6" w:rsidP="00F03F3B">
            <w:pPr>
              <w:spacing w:before="100" w:beforeAutospacing="1" w:after="100" w:afterAutospacing="1"/>
              <w:jc w:val="both"/>
              <w:rPr>
                <w:bCs/>
                <w:iCs/>
              </w:rPr>
            </w:pPr>
            <w:r>
              <w:t>Nav.</w:t>
            </w:r>
          </w:p>
        </w:tc>
      </w:tr>
      <w:tr w:rsidR="0072604C" w:rsidRPr="00C2761A" w:rsidTr="001629C3">
        <w:tc>
          <w:tcPr>
            <w:tcW w:w="5000" w:type="pct"/>
            <w:gridSpan w:val="6"/>
            <w:tcBorders>
              <w:top w:val="single" w:sz="4" w:space="0" w:color="auto"/>
              <w:left w:val="single" w:sz="4" w:space="0" w:color="auto"/>
              <w:bottom w:val="outset" w:sz="6" w:space="0" w:color="000000"/>
              <w:right w:val="single" w:sz="4" w:space="0" w:color="auto"/>
            </w:tcBorders>
            <w:vAlign w:val="center"/>
          </w:tcPr>
          <w:p w:rsidR="0072604C" w:rsidRPr="00C2761A" w:rsidRDefault="00B77F92" w:rsidP="00CD0FA2">
            <w:pPr>
              <w:spacing w:before="100" w:beforeAutospacing="1" w:after="100" w:afterAutospacing="1"/>
              <w:jc w:val="center"/>
              <w:rPr>
                <w:b/>
                <w:bCs/>
              </w:rPr>
            </w:pPr>
            <w:r w:rsidRPr="00C2761A">
              <w:rPr>
                <w:b/>
              </w:rPr>
              <w:t xml:space="preserve">II. </w:t>
            </w:r>
            <w:r w:rsidRPr="00984A74">
              <w:rPr>
                <w:b/>
              </w:rPr>
              <w:t>Tiesību akta projekta ietekme uz sabiedrību, tautsaimniecības attīstību un administratīvo slogu</w:t>
            </w:r>
          </w:p>
        </w:tc>
      </w:tr>
      <w:tr w:rsidR="0072604C" w:rsidRPr="00C2761A" w:rsidTr="001629C3">
        <w:tc>
          <w:tcPr>
            <w:tcW w:w="260" w:type="pct"/>
            <w:gridSpan w:val="2"/>
            <w:tcBorders>
              <w:top w:val="outset" w:sz="6" w:space="0" w:color="000000"/>
              <w:left w:val="outset" w:sz="6" w:space="0" w:color="000000"/>
              <w:bottom w:val="outset" w:sz="6" w:space="0" w:color="000000"/>
              <w:right w:val="outset" w:sz="6" w:space="0" w:color="000000"/>
            </w:tcBorders>
          </w:tcPr>
          <w:p w:rsidR="0072604C" w:rsidRPr="00C2761A" w:rsidRDefault="0072604C" w:rsidP="00101A77">
            <w:pPr>
              <w:spacing w:before="100" w:beforeAutospacing="1" w:after="100" w:afterAutospacing="1"/>
              <w:jc w:val="center"/>
            </w:pPr>
            <w:r w:rsidRPr="00C2761A">
              <w:t>1.</w:t>
            </w:r>
          </w:p>
        </w:tc>
        <w:tc>
          <w:tcPr>
            <w:tcW w:w="1214" w:type="pct"/>
            <w:gridSpan w:val="2"/>
            <w:tcBorders>
              <w:top w:val="outset" w:sz="6" w:space="0" w:color="000000"/>
              <w:left w:val="outset" w:sz="6" w:space="0" w:color="000000"/>
              <w:bottom w:val="outset" w:sz="6" w:space="0" w:color="000000"/>
              <w:right w:val="outset" w:sz="6" w:space="0" w:color="000000"/>
            </w:tcBorders>
          </w:tcPr>
          <w:p w:rsidR="0072604C" w:rsidRPr="00C2761A" w:rsidRDefault="00B77F92" w:rsidP="00CD0FA2">
            <w:pPr>
              <w:spacing w:before="100" w:beforeAutospacing="1" w:after="100" w:afterAutospacing="1"/>
            </w:pPr>
            <w:r w:rsidRPr="00C2761A">
              <w:t>Sabiedrības mērķgrupas, kuras tiesiskais regulējums ietekmē vai varētu ietekmēt</w:t>
            </w:r>
          </w:p>
        </w:tc>
        <w:tc>
          <w:tcPr>
            <w:tcW w:w="3525" w:type="pct"/>
            <w:gridSpan w:val="2"/>
            <w:tcBorders>
              <w:top w:val="outset" w:sz="6" w:space="0" w:color="000000"/>
              <w:left w:val="outset" w:sz="6" w:space="0" w:color="000000"/>
              <w:bottom w:val="outset" w:sz="6" w:space="0" w:color="000000"/>
              <w:right w:val="outset" w:sz="6" w:space="0" w:color="000000"/>
            </w:tcBorders>
          </w:tcPr>
          <w:p w:rsidR="00EB327C" w:rsidRDefault="00EB327C" w:rsidP="00DC5D53">
            <w:pPr>
              <w:ind w:firstLine="720"/>
              <w:jc w:val="both"/>
              <w:rPr>
                <w:bCs/>
                <w:spacing w:val="-2"/>
                <w:sz w:val="28"/>
                <w:szCs w:val="28"/>
              </w:rPr>
            </w:pPr>
            <w:r w:rsidRPr="00EB327C">
              <w:t xml:space="preserve">Tiesiskais regulējums ietekmē </w:t>
            </w:r>
            <w:r w:rsidR="00722119">
              <w:t>augstskolu</w:t>
            </w:r>
            <w:r w:rsidRPr="00EB327C">
              <w:t xml:space="preserve">, </w:t>
            </w:r>
            <w:r w:rsidRPr="007F0D69">
              <w:t>kas īsteno</w:t>
            </w:r>
            <w:r>
              <w:t xml:space="preserve"> STEM, tai </w:t>
            </w:r>
            <w:r w:rsidRPr="007F0D69">
              <w:t>sk</w:t>
            </w:r>
            <w:r>
              <w:t>aitā</w:t>
            </w:r>
            <w:r w:rsidRPr="007F0D69">
              <w:t xml:space="preserve"> medicīnas un radošas industrijas, studiju programmas</w:t>
            </w:r>
            <w:r>
              <w:t xml:space="preserve">, </w:t>
            </w:r>
            <w:r w:rsidR="00FB09DB">
              <w:t xml:space="preserve">iepriekš minēto </w:t>
            </w:r>
            <w:r w:rsidR="006F19ED">
              <w:t>institūciju</w:t>
            </w:r>
            <w:r>
              <w:t xml:space="preserve"> akadēmisko personālu</w:t>
            </w:r>
            <w:r w:rsidR="006F19ED">
              <w:t xml:space="preserve"> un</w:t>
            </w:r>
            <w:r>
              <w:t xml:space="preserve"> studējošos</w:t>
            </w:r>
            <w:r w:rsidR="006F19ED">
              <w:t>.</w:t>
            </w:r>
          </w:p>
          <w:p w:rsidR="00EB327C" w:rsidRPr="00C858D8" w:rsidRDefault="006D119F" w:rsidP="0004202D">
            <w:pPr>
              <w:ind w:firstLine="720"/>
              <w:jc w:val="both"/>
              <w:rPr>
                <w:i/>
              </w:rPr>
            </w:pPr>
            <w:r w:rsidRPr="00627322">
              <w:t xml:space="preserve">8.1.1. SAM ietvaros </w:t>
            </w:r>
            <w:r>
              <w:t xml:space="preserve">14 augstskolām un 3 </w:t>
            </w:r>
            <w:r w:rsidR="0004202D">
              <w:t xml:space="preserve">augstskolu </w:t>
            </w:r>
            <w:r>
              <w:t>aģentūrām</w:t>
            </w:r>
            <w:r w:rsidR="008552EF">
              <w:t xml:space="preserve"> </w:t>
            </w:r>
            <w:r>
              <w:t>būs</w:t>
            </w:r>
            <w:r w:rsidR="00A3796C">
              <w:t xml:space="preserve"> </w:t>
            </w:r>
            <w:r w:rsidR="00B301FB" w:rsidRPr="00627322">
              <w:t>iespēja pretendēt uz atbalsta saņemšanu,</w:t>
            </w:r>
            <w:r w:rsidR="00EB327C" w:rsidRPr="00627322">
              <w:t xml:space="preserve"> </w:t>
            </w:r>
            <w:r w:rsidR="00FB09DB" w:rsidRPr="00627322">
              <w:t xml:space="preserve">un </w:t>
            </w:r>
            <w:r>
              <w:t xml:space="preserve">2015./2016.ak.gadā </w:t>
            </w:r>
            <w:r w:rsidR="00FB09DB" w:rsidRPr="00627322">
              <w:t>tajās</w:t>
            </w:r>
            <w:r w:rsidR="00EB327C" w:rsidRPr="00627322">
              <w:t xml:space="preserve"> izglītību </w:t>
            </w:r>
            <w:r w:rsidR="00147D34" w:rsidRPr="00627322">
              <w:t xml:space="preserve">STEM </w:t>
            </w:r>
            <w:r w:rsidR="008552EF">
              <w:t xml:space="preserve">studiju </w:t>
            </w:r>
            <w:r w:rsidR="00147D34" w:rsidRPr="00627322">
              <w:t xml:space="preserve">programmās </w:t>
            </w:r>
            <w:r w:rsidR="00EB327C" w:rsidRPr="00627322">
              <w:t>apg</w:t>
            </w:r>
            <w:r w:rsidR="00627322">
              <w:t>uva</w:t>
            </w:r>
            <w:r w:rsidR="00EB327C" w:rsidRPr="00627322">
              <w:t xml:space="preserve"> </w:t>
            </w:r>
            <w:r w:rsidR="00722119" w:rsidRPr="00204944">
              <w:t>30 362</w:t>
            </w:r>
            <w:r w:rsidR="00B301FB" w:rsidRPr="00204944">
              <w:t xml:space="preserve"> studējošie</w:t>
            </w:r>
            <w:r w:rsidR="00EB327C" w:rsidRPr="00204944">
              <w:t>.</w:t>
            </w:r>
          </w:p>
        </w:tc>
      </w:tr>
      <w:tr w:rsidR="00B77F92" w:rsidRPr="00C2761A" w:rsidTr="001629C3">
        <w:tc>
          <w:tcPr>
            <w:tcW w:w="260" w:type="pct"/>
            <w:gridSpan w:val="2"/>
            <w:tcBorders>
              <w:top w:val="outset" w:sz="6" w:space="0" w:color="000000"/>
              <w:left w:val="outset" w:sz="6" w:space="0" w:color="000000"/>
              <w:bottom w:val="outset" w:sz="6" w:space="0" w:color="000000"/>
              <w:right w:val="outset" w:sz="6" w:space="0" w:color="000000"/>
            </w:tcBorders>
          </w:tcPr>
          <w:p w:rsidR="00B77F92" w:rsidRPr="00C2761A" w:rsidRDefault="00B77F92" w:rsidP="00101A77">
            <w:pPr>
              <w:ind w:left="57" w:right="57"/>
              <w:jc w:val="center"/>
            </w:pPr>
            <w:r w:rsidRPr="00C2761A">
              <w:lastRenderedPageBreak/>
              <w:t>2.</w:t>
            </w:r>
          </w:p>
        </w:tc>
        <w:tc>
          <w:tcPr>
            <w:tcW w:w="1214" w:type="pct"/>
            <w:gridSpan w:val="2"/>
            <w:tcBorders>
              <w:top w:val="outset" w:sz="6" w:space="0" w:color="000000"/>
              <w:left w:val="outset" w:sz="6" w:space="0" w:color="000000"/>
              <w:bottom w:val="outset" w:sz="6" w:space="0" w:color="000000"/>
              <w:right w:val="outset" w:sz="6" w:space="0" w:color="000000"/>
            </w:tcBorders>
          </w:tcPr>
          <w:p w:rsidR="00B77F92" w:rsidRPr="00C2761A" w:rsidRDefault="00B77F92" w:rsidP="00B77F92">
            <w:pPr>
              <w:ind w:left="57" w:right="57"/>
            </w:pPr>
            <w:r w:rsidRPr="00C2761A">
              <w:t>Tiesiskā regulējuma ietekme uz tautsaimniecību un administratīvo slogu</w:t>
            </w:r>
          </w:p>
        </w:tc>
        <w:tc>
          <w:tcPr>
            <w:tcW w:w="3525" w:type="pct"/>
            <w:gridSpan w:val="2"/>
            <w:tcBorders>
              <w:top w:val="outset" w:sz="6" w:space="0" w:color="000000"/>
              <w:left w:val="outset" w:sz="6" w:space="0" w:color="000000"/>
              <w:bottom w:val="outset" w:sz="6" w:space="0" w:color="000000"/>
              <w:right w:val="outset" w:sz="6" w:space="0" w:color="000000"/>
            </w:tcBorders>
          </w:tcPr>
          <w:p w:rsidR="00503FA0" w:rsidRPr="000629DD" w:rsidRDefault="00797E17" w:rsidP="00DC5D53">
            <w:pPr>
              <w:ind w:firstLine="720"/>
              <w:contextualSpacing/>
              <w:jc w:val="both"/>
              <w:rPr>
                <w:highlight w:val="yellow"/>
              </w:rPr>
            </w:pPr>
            <w:r>
              <w:t>8.1.</w:t>
            </w:r>
            <w:r w:rsidR="007D4EB2">
              <w:t>1</w:t>
            </w:r>
            <w:r>
              <w:t>.</w:t>
            </w:r>
            <w:r w:rsidR="00DC49CE">
              <w:t> </w:t>
            </w:r>
            <w:r w:rsidR="00887BE0">
              <w:t xml:space="preserve">SAM </w:t>
            </w:r>
            <w:r>
              <w:t xml:space="preserve">īstenošanai </w:t>
            </w:r>
            <w:r w:rsidRPr="00F93993">
              <w:t xml:space="preserve">nav tiešas ietekmes </w:t>
            </w:r>
            <w:r w:rsidRPr="00DC5D53">
              <w:rPr>
                <w:b/>
              </w:rPr>
              <w:t>uz makroekonomisko vidi</w:t>
            </w:r>
            <w:r w:rsidRPr="009551A8">
              <w:t>,</w:t>
            </w:r>
            <w:r w:rsidRPr="00F93993">
              <w:t xml:space="preserve"> taču </w:t>
            </w:r>
            <w:r w:rsidR="00DC49CE">
              <w:t>8.1.</w:t>
            </w:r>
            <w:r w:rsidR="007D4EB2">
              <w:t>1</w:t>
            </w:r>
            <w:r w:rsidR="00DC49CE">
              <w:t>. </w:t>
            </w:r>
            <w:r>
              <w:t>SAM</w:t>
            </w:r>
            <w:r w:rsidRPr="00F93993">
              <w:t xml:space="preserve"> aktivitātes ir vērstas uz izglītības kvalitātes un atbilstības uzlabošanu un zinoša un prasmīga darbaspēka sagatavošanu, lai veicinātu tautsaimniecības attīstību valst</w:t>
            </w:r>
            <w:r>
              <w:t>ī kopumā.</w:t>
            </w:r>
            <w:r w:rsidR="00503FA0" w:rsidRPr="000629DD">
              <w:rPr>
                <w:highlight w:val="yellow"/>
              </w:rPr>
              <w:t xml:space="preserve"> </w:t>
            </w:r>
          </w:p>
          <w:p w:rsidR="00677FEA" w:rsidRPr="00677FEA" w:rsidRDefault="00887BE0" w:rsidP="00DC5D53">
            <w:pPr>
              <w:ind w:firstLine="720"/>
              <w:contextualSpacing/>
              <w:jc w:val="both"/>
            </w:pPr>
            <w:r>
              <w:t>8.1.</w:t>
            </w:r>
            <w:r w:rsidR="008552EF">
              <w:t>1</w:t>
            </w:r>
            <w:r>
              <w:t>. </w:t>
            </w:r>
            <w:r w:rsidRPr="008071D5">
              <w:t xml:space="preserve">SAM </w:t>
            </w:r>
            <w:r w:rsidR="00797E17" w:rsidRPr="008071D5">
              <w:t xml:space="preserve">īstenošana atstās netiešu pozitīvu </w:t>
            </w:r>
            <w:r w:rsidR="00797E17" w:rsidRPr="00FD4C6C">
              <w:t>ietekmi</w:t>
            </w:r>
            <w:r w:rsidR="00797E17" w:rsidRPr="00DD2477">
              <w:rPr>
                <w:b/>
              </w:rPr>
              <w:t xml:space="preserve"> </w:t>
            </w:r>
            <w:r w:rsidR="00797E17" w:rsidRPr="00DC5D53">
              <w:rPr>
                <w:b/>
              </w:rPr>
              <w:t>uz uzņēmējdarbības vidi</w:t>
            </w:r>
            <w:r w:rsidR="00797E17" w:rsidRPr="009551A8">
              <w:t xml:space="preserve">. </w:t>
            </w:r>
            <w:r w:rsidR="00677FEA" w:rsidRPr="00677FEA">
              <w:t>Saskaņā ar E</w:t>
            </w:r>
            <w:r w:rsidR="008552EF">
              <w:t>konomikas ministrijas</w:t>
            </w:r>
            <w:r w:rsidR="00677FEA" w:rsidRPr="00677FEA">
              <w:t xml:space="preserve"> Darba tirgus vidēja un ilgtermiņa prognozēm 8.1.1. SAM ieguldījumi tiek plānoti infrastruktūras un aprīkojuma modernizācijā studiju programmās, kas atbilst tautsaimniecībai svarīgākajām nozarēm. 8.1.1. SAM investīciju ieguldījumi sekmēs studiju kvalitātes uzlabošanos, jo studiju procesā tiks izmantots mūsdienu prasībām atbilstošs aprīkojums un iekārtas STEM jomas studiju programmās. Augstskolās studējošie apgūst darba tirgū pieprasītas profesijas un prasmes STEM jomā, tādējādi darba devējiem būs pieejams kvalificētāks, mūsdienu darba tirgus prasībām atbilstošāks darbaspēks. Tā kā daļa no STEM jomas studiju programmu absolventiem kļūs ne tikai par darba ņēmējiem, bet arī par darba devējiem, kvalitatīvāks studiju process veicinās uzņēmējdarbības attīstību, tajā skaitā jaunu uzņēmumu veidošanos.</w:t>
            </w:r>
          </w:p>
          <w:p w:rsidR="00FA25BA" w:rsidRPr="00677FEA" w:rsidRDefault="00FA25BA" w:rsidP="00390D20">
            <w:pPr>
              <w:ind w:firstLine="720"/>
              <w:jc w:val="both"/>
              <w:rPr>
                <w:b/>
              </w:rPr>
            </w:pPr>
            <w:r w:rsidRPr="00677FEA">
              <w:rPr>
                <w:b/>
              </w:rPr>
              <w:t>Ietekme uz administratī</w:t>
            </w:r>
            <w:r w:rsidR="00390D20" w:rsidRPr="00677FEA">
              <w:rPr>
                <w:b/>
              </w:rPr>
              <w:t>vajām procedūrām un to izmaksām</w:t>
            </w:r>
            <w:r w:rsidR="00A3796C">
              <w:rPr>
                <w:b/>
              </w:rPr>
              <w:t>.</w:t>
            </w:r>
            <w:r w:rsidRPr="00677FEA">
              <w:rPr>
                <w:b/>
              </w:rPr>
              <w:t xml:space="preserve"> </w:t>
            </w:r>
          </w:p>
          <w:p w:rsidR="00FA25BA" w:rsidRPr="00677FEA" w:rsidRDefault="00FA25BA" w:rsidP="00390D20">
            <w:pPr>
              <w:shd w:val="clear" w:color="auto" w:fill="FFFFFF"/>
              <w:ind w:right="113" w:firstLine="720"/>
              <w:jc w:val="both"/>
            </w:pPr>
            <w:r w:rsidRPr="00677FEA">
              <w:t>Kopumā sabiedrības grupām un institūcijām 8.1.</w:t>
            </w:r>
            <w:r w:rsidR="00677FEA" w:rsidRPr="00677FEA">
              <w:t>1</w:t>
            </w:r>
            <w:r w:rsidRPr="00677FEA">
              <w:t>. SAM ietvaros plānotais tiesiskais regulējums nemaina tiesības un pienākumus, kā arī veicamās darbības.</w:t>
            </w:r>
          </w:p>
          <w:p w:rsidR="00FA25BA" w:rsidRPr="00C2761A" w:rsidRDefault="00FA25BA" w:rsidP="00020155">
            <w:pPr>
              <w:ind w:firstLine="720"/>
              <w:contextualSpacing/>
              <w:jc w:val="both"/>
            </w:pPr>
            <w:r w:rsidRPr="00677FEA">
              <w:t>8.1.</w:t>
            </w:r>
            <w:r w:rsidR="002C70CB">
              <w:t>1</w:t>
            </w:r>
            <w:r w:rsidRPr="00677FEA">
              <w:t xml:space="preserve">. SAM ietvaros finansējuma saņēmējs nodrošina noteikumu projekta </w:t>
            </w:r>
            <w:r w:rsidR="00020155">
              <w:t>36.1.</w:t>
            </w:r>
            <w:r w:rsidR="00BE257F" w:rsidRPr="00D2750E">
              <w:t xml:space="preserve"> </w:t>
            </w:r>
            <w:r w:rsidR="0004202D">
              <w:t>ap</w:t>
            </w:r>
            <w:r w:rsidR="008874A5">
              <w:t>a</w:t>
            </w:r>
            <w:r w:rsidR="0004202D">
              <w:t>kš</w:t>
            </w:r>
            <w:r w:rsidR="00BE257F" w:rsidRPr="00D2750E">
              <w:t>punktā</w:t>
            </w:r>
            <w:r w:rsidRPr="00D2750E">
              <w:t xml:space="preserve"> </w:t>
            </w:r>
            <w:r w:rsidRPr="00677FEA">
              <w:t>minētos informācijas sniegšanas pasākumus</w:t>
            </w:r>
            <w:r w:rsidRPr="00075C69">
              <w:rPr>
                <w:color w:val="1F497D" w:themeColor="text2"/>
              </w:rPr>
              <w:t>.</w:t>
            </w:r>
          </w:p>
        </w:tc>
      </w:tr>
      <w:tr w:rsidR="00FA25BA" w:rsidRPr="00FA25BA" w:rsidTr="001629C3">
        <w:tc>
          <w:tcPr>
            <w:tcW w:w="260" w:type="pct"/>
            <w:gridSpan w:val="2"/>
            <w:tcBorders>
              <w:top w:val="outset" w:sz="6" w:space="0" w:color="000000"/>
              <w:left w:val="outset" w:sz="6" w:space="0" w:color="000000"/>
              <w:bottom w:val="outset" w:sz="6" w:space="0" w:color="000000"/>
              <w:right w:val="outset" w:sz="6" w:space="0" w:color="000000"/>
            </w:tcBorders>
          </w:tcPr>
          <w:p w:rsidR="00B77F92" w:rsidRPr="00C2761A" w:rsidRDefault="00B77F92" w:rsidP="00101A77">
            <w:pPr>
              <w:ind w:left="57" w:right="57"/>
              <w:jc w:val="center"/>
            </w:pPr>
            <w:r w:rsidRPr="00C2761A">
              <w:t>3.</w:t>
            </w:r>
          </w:p>
        </w:tc>
        <w:tc>
          <w:tcPr>
            <w:tcW w:w="1214" w:type="pct"/>
            <w:gridSpan w:val="2"/>
            <w:tcBorders>
              <w:top w:val="outset" w:sz="6" w:space="0" w:color="000000"/>
              <w:left w:val="outset" w:sz="6" w:space="0" w:color="000000"/>
              <w:bottom w:val="outset" w:sz="6" w:space="0" w:color="000000"/>
              <w:right w:val="outset" w:sz="6" w:space="0" w:color="000000"/>
            </w:tcBorders>
          </w:tcPr>
          <w:p w:rsidR="00B77F92" w:rsidRPr="00C2761A" w:rsidRDefault="00B77F92" w:rsidP="00B77F92">
            <w:pPr>
              <w:ind w:left="57" w:right="57"/>
            </w:pPr>
            <w:r w:rsidRPr="00C2761A">
              <w:t>Administratīvo izmaksu monetārs novērtējums</w:t>
            </w:r>
          </w:p>
        </w:tc>
        <w:tc>
          <w:tcPr>
            <w:tcW w:w="3525" w:type="pct"/>
            <w:gridSpan w:val="2"/>
            <w:tcBorders>
              <w:top w:val="outset" w:sz="6" w:space="0" w:color="000000"/>
              <w:left w:val="outset" w:sz="6" w:space="0" w:color="000000"/>
              <w:bottom w:val="outset" w:sz="6" w:space="0" w:color="000000"/>
              <w:right w:val="outset" w:sz="6" w:space="0" w:color="000000"/>
            </w:tcBorders>
          </w:tcPr>
          <w:p w:rsidR="00C349CD" w:rsidRPr="00A3796C" w:rsidRDefault="00C349CD" w:rsidP="00C349CD">
            <w:pPr>
              <w:pStyle w:val="NoSpacing"/>
              <w:ind w:left="132" w:right="152"/>
              <w:jc w:val="both"/>
              <w:rPr>
                <w:rFonts w:ascii="Times New Roman" w:hAnsi="Times New Roman"/>
                <w:sz w:val="24"/>
                <w:szCs w:val="24"/>
                <w:lang w:eastAsia="lv-LV"/>
              </w:rPr>
            </w:pPr>
            <w:r w:rsidRPr="00A3796C">
              <w:rPr>
                <w:rFonts w:ascii="Times New Roman" w:hAnsi="Times New Roman"/>
                <w:b/>
                <w:sz w:val="24"/>
                <w:szCs w:val="24"/>
                <w:lang w:eastAsia="lv-LV"/>
              </w:rPr>
              <w:t>Administratīvās izmaksas</w:t>
            </w:r>
            <w:r w:rsidR="00B6794D" w:rsidRPr="00A3796C">
              <w:rPr>
                <w:rFonts w:ascii="Times New Roman" w:hAnsi="Times New Roman"/>
                <w:sz w:val="24"/>
                <w:szCs w:val="24"/>
                <w:lang w:eastAsia="lv-LV"/>
              </w:rPr>
              <w:t xml:space="preserve"> (C)</w:t>
            </w:r>
          </w:p>
          <w:p w:rsidR="00A671BB" w:rsidRPr="00A3796C" w:rsidRDefault="00A671BB" w:rsidP="00C349CD">
            <w:pPr>
              <w:pStyle w:val="NoSpacing"/>
              <w:ind w:left="132" w:right="152"/>
              <w:jc w:val="both"/>
              <w:rPr>
                <w:rFonts w:ascii="Times New Roman" w:hAnsi="Times New Roman"/>
                <w:sz w:val="24"/>
                <w:szCs w:val="24"/>
                <w:lang w:eastAsia="lv-LV"/>
              </w:rPr>
            </w:pPr>
            <w:r w:rsidRPr="00A3796C">
              <w:rPr>
                <w:rFonts w:ascii="Times New Roman" w:hAnsi="Times New Roman"/>
                <w:sz w:val="24"/>
                <w:szCs w:val="24"/>
                <w:lang w:eastAsia="lv-LV"/>
              </w:rPr>
              <w:t xml:space="preserve">Finansējuma saņēmēja izmaksas par noteikumu projekta </w:t>
            </w:r>
            <w:r w:rsidR="00A265EB" w:rsidRPr="009E7E16">
              <w:rPr>
                <w:rFonts w:ascii="Times New Roman" w:hAnsi="Times New Roman"/>
                <w:sz w:val="24"/>
                <w:szCs w:val="24"/>
                <w:lang w:eastAsia="lv-LV"/>
              </w:rPr>
              <w:t>1</w:t>
            </w:r>
            <w:r w:rsidR="0004202D" w:rsidRPr="00E75A85">
              <w:rPr>
                <w:rFonts w:ascii="Times New Roman" w:hAnsi="Times New Roman"/>
                <w:sz w:val="24"/>
                <w:szCs w:val="24"/>
                <w:lang w:eastAsia="lv-LV"/>
              </w:rPr>
              <w:t>3</w:t>
            </w:r>
            <w:r w:rsidRPr="00E75A85">
              <w:rPr>
                <w:rFonts w:ascii="Times New Roman" w:hAnsi="Times New Roman"/>
                <w:sz w:val="24"/>
                <w:szCs w:val="24"/>
                <w:lang w:eastAsia="lv-LV"/>
              </w:rPr>
              <w:t>. punktā</w:t>
            </w:r>
            <w:r w:rsidRPr="00A3796C">
              <w:rPr>
                <w:rFonts w:ascii="Times New Roman" w:hAnsi="Times New Roman"/>
                <w:sz w:val="24"/>
                <w:szCs w:val="24"/>
                <w:lang w:eastAsia="lv-LV"/>
              </w:rPr>
              <w:t xml:space="preserve"> noteikto projekta iesnieguma iesniegšanu:</w:t>
            </w:r>
          </w:p>
          <w:p w:rsidR="00C349CD" w:rsidRPr="00A3796C" w:rsidRDefault="00A671BB" w:rsidP="00C349CD">
            <w:pPr>
              <w:pStyle w:val="NoSpacing"/>
              <w:ind w:left="132" w:right="152"/>
              <w:jc w:val="both"/>
              <w:rPr>
                <w:rFonts w:ascii="Times New Roman" w:hAnsi="Times New Roman"/>
                <w:i/>
                <w:sz w:val="24"/>
                <w:szCs w:val="24"/>
                <w:lang w:eastAsia="lv-LV"/>
              </w:rPr>
            </w:pPr>
            <w:r w:rsidRPr="00A3796C">
              <w:rPr>
                <w:rFonts w:ascii="Times New Roman" w:hAnsi="Times New Roman"/>
                <w:sz w:val="24"/>
                <w:szCs w:val="24"/>
                <w:lang w:eastAsia="lv-LV"/>
              </w:rPr>
              <w:t xml:space="preserve"> </w:t>
            </w:r>
            <w:r w:rsidR="00B6794D" w:rsidRPr="00A3796C">
              <w:rPr>
                <w:rFonts w:ascii="Times New Roman" w:hAnsi="Times New Roman"/>
                <w:sz w:val="24"/>
                <w:szCs w:val="24"/>
                <w:lang w:eastAsia="lv-LV"/>
              </w:rPr>
              <w:t>C=</w:t>
            </w:r>
            <w:r w:rsidRPr="00A3796C">
              <w:rPr>
                <w:rFonts w:ascii="Times New Roman" w:hAnsi="Times New Roman"/>
                <w:sz w:val="24"/>
                <w:szCs w:val="24"/>
                <w:lang w:eastAsia="lv-LV"/>
              </w:rPr>
              <w:t xml:space="preserve"> </w:t>
            </w:r>
            <w:r w:rsidR="00B6794D" w:rsidRPr="00A3796C">
              <w:rPr>
                <w:rFonts w:ascii="Times New Roman" w:hAnsi="Times New Roman"/>
                <w:sz w:val="24"/>
                <w:szCs w:val="24"/>
                <w:lang w:eastAsia="lv-LV"/>
              </w:rPr>
              <w:t xml:space="preserve">(f * l) x (n * b) = </w:t>
            </w:r>
            <w:r w:rsidR="00C349CD" w:rsidRPr="00A3796C">
              <w:rPr>
                <w:rFonts w:ascii="Times New Roman" w:hAnsi="Times New Roman"/>
                <w:sz w:val="24"/>
                <w:szCs w:val="24"/>
                <w:lang w:eastAsia="lv-LV"/>
              </w:rPr>
              <w:t>(5</w:t>
            </w:r>
            <w:r w:rsidR="00A763F4" w:rsidRPr="00A3796C">
              <w:rPr>
                <w:rFonts w:ascii="Times New Roman" w:hAnsi="Times New Roman"/>
                <w:sz w:val="24"/>
                <w:szCs w:val="24"/>
                <w:lang w:eastAsia="lv-LV"/>
              </w:rPr>
              <w:t>,</w:t>
            </w:r>
            <w:r w:rsidR="00880765" w:rsidRPr="00A3796C">
              <w:rPr>
                <w:rFonts w:ascii="Times New Roman" w:hAnsi="Times New Roman"/>
                <w:sz w:val="24"/>
                <w:szCs w:val="24"/>
                <w:lang w:eastAsia="lv-LV"/>
              </w:rPr>
              <w:t>34</w:t>
            </w:r>
            <w:r w:rsidR="00C349CD" w:rsidRPr="00A3796C">
              <w:rPr>
                <w:rFonts w:ascii="Times New Roman" w:hAnsi="Times New Roman"/>
                <w:sz w:val="24"/>
                <w:szCs w:val="24"/>
                <w:lang w:eastAsia="lv-LV"/>
              </w:rPr>
              <w:t xml:space="preserve"> * 4) * (2 * 2) = 23</w:t>
            </w:r>
            <w:r w:rsidR="00A763F4" w:rsidRPr="00A3796C">
              <w:rPr>
                <w:rFonts w:ascii="Times New Roman" w:hAnsi="Times New Roman"/>
                <w:sz w:val="24"/>
                <w:szCs w:val="24"/>
                <w:lang w:eastAsia="lv-LV"/>
              </w:rPr>
              <w:t>,</w:t>
            </w:r>
            <w:r w:rsidR="00C349CD" w:rsidRPr="00A3796C">
              <w:rPr>
                <w:rFonts w:ascii="Times New Roman" w:hAnsi="Times New Roman"/>
                <w:sz w:val="24"/>
                <w:szCs w:val="24"/>
                <w:lang w:eastAsia="lv-LV"/>
              </w:rPr>
              <w:t xml:space="preserve">12 * 4 = </w:t>
            </w:r>
            <w:r w:rsidR="001645EB" w:rsidRPr="00A3796C">
              <w:rPr>
                <w:rFonts w:ascii="Times New Roman" w:hAnsi="Times New Roman"/>
                <w:sz w:val="24"/>
                <w:szCs w:val="24"/>
                <w:lang w:eastAsia="lv-LV"/>
              </w:rPr>
              <w:t>85,44</w:t>
            </w:r>
            <w:r w:rsidR="00C349CD" w:rsidRPr="00A3796C">
              <w:rPr>
                <w:rFonts w:ascii="Times New Roman" w:hAnsi="Times New Roman"/>
                <w:sz w:val="24"/>
                <w:szCs w:val="24"/>
                <w:lang w:eastAsia="lv-LV"/>
              </w:rPr>
              <w:t xml:space="preserve"> </w:t>
            </w:r>
            <w:proofErr w:type="spellStart"/>
            <w:r w:rsidR="00C349CD" w:rsidRPr="00A3796C">
              <w:rPr>
                <w:rFonts w:ascii="Times New Roman" w:hAnsi="Times New Roman"/>
                <w:i/>
                <w:sz w:val="24"/>
                <w:szCs w:val="24"/>
                <w:lang w:eastAsia="lv-LV"/>
              </w:rPr>
              <w:t>euro</w:t>
            </w:r>
            <w:proofErr w:type="spellEnd"/>
            <w:r w:rsidR="001645EB" w:rsidRPr="00A3796C">
              <w:rPr>
                <w:rFonts w:ascii="Times New Roman" w:hAnsi="Times New Roman"/>
                <w:i/>
                <w:sz w:val="24"/>
                <w:szCs w:val="24"/>
                <w:lang w:eastAsia="lv-LV"/>
              </w:rPr>
              <w:t>.</w:t>
            </w:r>
          </w:p>
          <w:p w:rsidR="00B6794D" w:rsidRPr="00A3796C" w:rsidRDefault="00B6794D" w:rsidP="00C349CD">
            <w:pPr>
              <w:pStyle w:val="NoSpacing"/>
              <w:ind w:left="132" w:right="152"/>
              <w:jc w:val="both"/>
              <w:rPr>
                <w:rFonts w:ascii="Times New Roman" w:hAnsi="Times New Roman"/>
                <w:sz w:val="24"/>
                <w:szCs w:val="24"/>
                <w:lang w:eastAsia="lv-LV"/>
              </w:rPr>
            </w:pPr>
            <w:r w:rsidRPr="00A3796C">
              <w:rPr>
                <w:rFonts w:ascii="Times New Roman" w:hAnsi="Times New Roman"/>
                <w:sz w:val="24"/>
                <w:szCs w:val="24"/>
                <w:lang w:eastAsia="lv-LV"/>
              </w:rPr>
              <w:t xml:space="preserve">f </w:t>
            </w:r>
            <w:r w:rsidR="00A671BB" w:rsidRPr="00A3796C">
              <w:rPr>
                <w:rFonts w:ascii="Times New Roman" w:hAnsi="Times New Roman"/>
                <w:sz w:val="24"/>
                <w:szCs w:val="24"/>
                <w:lang w:eastAsia="lv-LV"/>
              </w:rPr>
              <w:t>–</w:t>
            </w:r>
            <w:r w:rsidRPr="00A3796C">
              <w:rPr>
                <w:rFonts w:ascii="Times New Roman" w:hAnsi="Times New Roman"/>
                <w:sz w:val="24"/>
                <w:szCs w:val="24"/>
                <w:lang w:eastAsia="lv-LV"/>
              </w:rPr>
              <w:t xml:space="preserve"> darbaspēka</w:t>
            </w:r>
            <w:r w:rsidR="00A671BB" w:rsidRPr="00A3796C">
              <w:rPr>
                <w:rFonts w:ascii="Times New Roman" w:hAnsi="Times New Roman"/>
                <w:sz w:val="24"/>
                <w:szCs w:val="24"/>
                <w:lang w:eastAsia="lv-LV"/>
              </w:rPr>
              <w:t xml:space="preserve"> </w:t>
            </w:r>
            <w:r w:rsidRPr="00A3796C">
              <w:rPr>
                <w:rFonts w:ascii="Times New Roman" w:hAnsi="Times New Roman"/>
                <w:sz w:val="24"/>
                <w:szCs w:val="24"/>
                <w:lang w:eastAsia="lv-LV"/>
              </w:rPr>
              <w:t>atlīdzības vidējā stundas likme;</w:t>
            </w:r>
          </w:p>
          <w:p w:rsidR="00B6794D" w:rsidRPr="00A3796C" w:rsidRDefault="00B6794D" w:rsidP="00C349CD">
            <w:pPr>
              <w:pStyle w:val="NoSpacing"/>
              <w:ind w:left="132" w:right="152"/>
              <w:jc w:val="both"/>
              <w:rPr>
                <w:rFonts w:ascii="Times New Roman" w:hAnsi="Times New Roman"/>
                <w:sz w:val="24"/>
                <w:szCs w:val="24"/>
                <w:lang w:eastAsia="lv-LV"/>
              </w:rPr>
            </w:pPr>
            <w:r w:rsidRPr="00A3796C">
              <w:rPr>
                <w:rFonts w:ascii="Times New Roman" w:hAnsi="Times New Roman"/>
                <w:sz w:val="24"/>
                <w:szCs w:val="24"/>
                <w:lang w:eastAsia="lv-LV"/>
              </w:rPr>
              <w:t xml:space="preserve">l </w:t>
            </w:r>
            <w:r w:rsidR="00A671BB" w:rsidRPr="00A3796C">
              <w:rPr>
                <w:rFonts w:ascii="Times New Roman" w:hAnsi="Times New Roman"/>
                <w:sz w:val="24"/>
                <w:szCs w:val="24"/>
                <w:lang w:eastAsia="lv-LV"/>
              </w:rPr>
              <w:t>–</w:t>
            </w:r>
            <w:r w:rsidRPr="00A3796C">
              <w:rPr>
                <w:rFonts w:ascii="Times New Roman" w:hAnsi="Times New Roman"/>
                <w:sz w:val="24"/>
                <w:szCs w:val="24"/>
                <w:lang w:eastAsia="lv-LV"/>
              </w:rPr>
              <w:t xml:space="preserve"> laiks, kas nepieciešams informācijas ievadīšanai;</w:t>
            </w:r>
          </w:p>
          <w:p w:rsidR="00A671BB" w:rsidRPr="00A3796C" w:rsidRDefault="00A671BB" w:rsidP="00C349CD">
            <w:pPr>
              <w:pStyle w:val="NoSpacing"/>
              <w:ind w:left="132" w:right="152"/>
              <w:jc w:val="both"/>
              <w:rPr>
                <w:rFonts w:ascii="Times New Roman" w:hAnsi="Times New Roman"/>
                <w:sz w:val="24"/>
                <w:szCs w:val="24"/>
                <w:lang w:eastAsia="lv-LV"/>
              </w:rPr>
            </w:pPr>
            <w:r w:rsidRPr="00A3796C">
              <w:rPr>
                <w:rFonts w:ascii="Times New Roman" w:hAnsi="Times New Roman"/>
                <w:sz w:val="24"/>
                <w:szCs w:val="24"/>
                <w:lang w:eastAsia="lv-LV"/>
              </w:rPr>
              <w:t>n – projekta vadības personāla skaits, kas ievieto informāciju;</w:t>
            </w:r>
          </w:p>
          <w:p w:rsidR="00A671BB" w:rsidRPr="00A3796C" w:rsidRDefault="00A671BB" w:rsidP="00C349CD">
            <w:pPr>
              <w:pStyle w:val="NoSpacing"/>
              <w:ind w:left="132" w:right="152"/>
              <w:jc w:val="both"/>
              <w:rPr>
                <w:rFonts w:ascii="Times New Roman" w:hAnsi="Times New Roman"/>
                <w:sz w:val="24"/>
                <w:szCs w:val="24"/>
                <w:lang w:eastAsia="lv-LV"/>
              </w:rPr>
            </w:pPr>
            <w:r w:rsidRPr="00A3796C">
              <w:rPr>
                <w:rFonts w:ascii="Times New Roman" w:hAnsi="Times New Roman"/>
                <w:sz w:val="24"/>
                <w:szCs w:val="24"/>
                <w:lang w:eastAsia="lv-LV"/>
              </w:rPr>
              <w:t>b – informācijas sniegšanas biežums.</w:t>
            </w:r>
          </w:p>
          <w:p w:rsidR="00B6794D" w:rsidRPr="00A3796C" w:rsidRDefault="00100F56" w:rsidP="00C349CD">
            <w:pPr>
              <w:pStyle w:val="NoSpacing"/>
              <w:ind w:left="132" w:right="152"/>
              <w:jc w:val="both"/>
              <w:rPr>
                <w:rFonts w:ascii="Times New Roman" w:hAnsi="Times New Roman"/>
                <w:sz w:val="24"/>
                <w:szCs w:val="24"/>
                <w:lang w:eastAsia="lv-LV"/>
              </w:rPr>
            </w:pPr>
            <w:r w:rsidRPr="00A3796C">
              <w:rPr>
                <w:rFonts w:ascii="Times New Roman" w:hAnsi="Times New Roman"/>
                <w:sz w:val="24"/>
                <w:szCs w:val="24"/>
                <w:lang w:eastAsia="lv-LV"/>
              </w:rPr>
              <w:t xml:space="preserve"> </w:t>
            </w:r>
          </w:p>
          <w:p w:rsidR="00C349CD" w:rsidRPr="00A3796C" w:rsidRDefault="001645EB" w:rsidP="001645EB">
            <w:pPr>
              <w:shd w:val="clear" w:color="auto" w:fill="FFFFFF"/>
              <w:ind w:left="57" w:right="113"/>
              <w:jc w:val="both"/>
            </w:pPr>
            <w:r w:rsidRPr="00A3796C">
              <w:t xml:space="preserve">Aprēķinam izmantots pieņēmums, ka </w:t>
            </w:r>
            <w:r w:rsidR="000F3D49" w:rsidRPr="00A3796C">
              <w:t xml:space="preserve">projekta iesniegums tiek iesniegts elektroniski, </w:t>
            </w:r>
            <w:r w:rsidRPr="00A3796C">
              <w:t xml:space="preserve">šo pienākumu veic darbinieki ar vidējo mēneša darba samaksu sabiedriskajā sektorā, kas </w:t>
            </w:r>
            <w:r w:rsidR="00612FAD" w:rsidRPr="00A3796C">
              <w:t xml:space="preserve">2015.gadā Latvijā bija 855 </w:t>
            </w:r>
            <w:proofErr w:type="spellStart"/>
            <w:r w:rsidR="00612FAD" w:rsidRPr="00A3796C">
              <w:rPr>
                <w:i/>
              </w:rPr>
              <w:t>euro</w:t>
            </w:r>
            <w:proofErr w:type="spellEnd"/>
            <w:r w:rsidR="00612FAD" w:rsidRPr="00A3796C">
              <w:t xml:space="preserve"> </w:t>
            </w:r>
            <w:r w:rsidRPr="00A3796C">
              <w:t>mēnesī (</w:t>
            </w:r>
            <w:hyperlink r:id="rId8" w:history="1">
              <w:r w:rsidRPr="00A3796C">
                <w:rPr>
                  <w:rStyle w:val="Hyperlink"/>
                  <w:color w:val="auto"/>
                </w:rPr>
                <w:t>http://www.csb.gov.lv/statistikas-temas/darba-samaksa-galvenie-raditaji-30270.html</w:t>
              </w:r>
            </w:hyperlink>
            <w:r w:rsidRPr="00A3796C">
              <w:t xml:space="preserve">), kam atbilst stundas samaksas </w:t>
            </w:r>
            <w:r w:rsidRPr="00A3796C">
              <w:lastRenderedPageBreak/>
              <w:t xml:space="preserve">likme 5,34 </w:t>
            </w:r>
            <w:proofErr w:type="spellStart"/>
            <w:r w:rsidRPr="00A3796C">
              <w:rPr>
                <w:i/>
              </w:rPr>
              <w:t>euro</w:t>
            </w:r>
            <w:proofErr w:type="spellEnd"/>
            <w:r w:rsidRPr="00A3796C">
              <w:t>. A</w:t>
            </w:r>
            <w:r w:rsidR="00C349CD" w:rsidRPr="00A3796C">
              <w:t>prēķinam tiek izmantots pieņēmums, ka finansējuma saņēmējs datu ievadei un i</w:t>
            </w:r>
            <w:r w:rsidR="00612FAD" w:rsidRPr="00A3796C">
              <w:t xml:space="preserve">esniegšanai sadarbības iestādē </w:t>
            </w:r>
            <w:r w:rsidR="00C349CD" w:rsidRPr="00A3796C">
              <w:t xml:space="preserve">izmanto Kohēzijas politikas </w:t>
            </w:r>
            <w:r w:rsidR="00612FAD" w:rsidRPr="00A3796C">
              <w:t>v</w:t>
            </w:r>
            <w:r w:rsidR="00C349CD" w:rsidRPr="00A3796C">
              <w:t xml:space="preserve">adības informācijas sistēmu, nodrošinot “četru acu principu” un īstenotais projekts ir </w:t>
            </w:r>
            <w:proofErr w:type="spellStart"/>
            <w:r w:rsidR="00C349CD" w:rsidRPr="00A3796C">
              <w:t>mazapjomīgs</w:t>
            </w:r>
            <w:proofErr w:type="spellEnd"/>
            <w:r w:rsidR="00C349CD" w:rsidRPr="00A3796C">
              <w:t xml:space="preserve"> un nav nepieciešams pievienot pamatojošos  dokumentus lielā apjomā.</w:t>
            </w:r>
          </w:p>
          <w:p w:rsidR="00FA25BA" w:rsidRPr="00A3796C" w:rsidRDefault="00FA25BA" w:rsidP="000C6113">
            <w:pPr>
              <w:ind w:right="57"/>
              <w:jc w:val="both"/>
              <w:rPr>
                <w:iCs/>
              </w:rPr>
            </w:pPr>
          </w:p>
        </w:tc>
      </w:tr>
      <w:tr w:rsidR="00B77F92" w:rsidRPr="00C2761A" w:rsidTr="001629C3">
        <w:tc>
          <w:tcPr>
            <w:tcW w:w="260" w:type="pct"/>
            <w:gridSpan w:val="2"/>
            <w:tcBorders>
              <w:top w:val="outset" w:sz="6" w:space="0" w:color="000000"/>
              <w:left w:val="outset" w:sz="6" w:space="0" w:color="000000"/>
              <w:bottom w:val="outset" w:sz="6" w:space="0" w:color="000000"/>
              <w:right w:val="outset" w:sz="6" w:space="0" w:color="000000"/>
            </w:tcBorders>
          </w:tcPr>
          <w:p w:rsidR="00B77F92" w:rsidRPr="00C2761A" w:rsidRDefault="00B77F92" w:rsidP="00101A77">
            <w:pPr>
              <w:ind w:left="57" w:right="57"/>
              <w:jc w:val="center"/>
            </w:pPr>
            <w:r w:rsidRPr="00C2761A">
              <w:lastRenderedPageBreak/>
              <w:t>4.</w:t>
            </w:r>
          </w:p>
        </w:tc>
        <w:tc>
          <w:tcPr>
            <w:tcW w:w="1214" w:type="pct"/>
            <w:gridSpan w:val="2"/>
            <w:tcBorders>
              <w:top w:val="outset" w:sz="6" w:space="0" w:color="000000"/>
              <w:left w:val="outset" w:sz="6" w:space="0" w:color="000000"/>
              <w:bottom w:val="outset" w:sz="6" w:space="0" w:color="000000"/>
              <w:right w:val="outset" w:sz="6" w:space="0" w:color="000000"/>
            </w:tcBorders>
          </w:tcPr>
          <w:p w:rsidR="00B77F92" w:rsidRPr="00C2761A" w:rsidRDefault="00B77F92" w:rsidP="00B77F92">
            <w:pPr>
              <w:ind w:left="57" w:right="57"/>
            </w:pPr>
            <w:r w:rsidRPr="00C2761A">
              <w:t> Cita informācija</w:t>
            </w:r>
          </w:p>
        </w:tc>
        <w:tc>
          <w:tcPr>
            <w:tcW w:w="3525" w:type="pct"/>
            <w:gridSpan w:val="2"/>
            <w:tcBorders>
              <w:top w:val="outset" w:sz="6" w:space="0" w:color="000000"/>
              <w:left w:val="outset" w:sz="6" w:space="0" w:color="000000"/>
              <w:bottom w:val="outset" w:sz="6" w:space="0" w:color="000000"/>
              <w:right w:val="outset" w:sz="6" w:space="0" w:color="000000"/>
            </w:tcBorders>
          </w:tcPr>
          <w:p w:rsidR="00C14A85" w:rsidRPr="00A3796C" w:rsidRDefault="00887BE0" w:rsidP="00DC5D53">
            <w:pPr>
              <w:ind w:firstLine="720"/>
              <w:jc w:val="both"/>
            </w:pPr>
            <w:r w:rsidRPr="00A3796C">
              <w:t>8.1.</w:t>
            </w:r>
            <w:r w:rsidR="005C4B52">
              <w:t>1</w:t>
            </w:r>
            <w:r w:rsidRPr="00A3796C">
              <w:t xml:space="preserve">. SAM </w:t>
            </w:r>
            <w:r w:rsidR="009551A8" w:rsidRPr="00A3796C">
              <w:t xml:space="preserve">īstenošana atstās netiešu pozitīvu ietekmi </w:t>
            </w:r>
            <w:r w:rsidR="009551A8" w:rsidRPr="00A3796C">
              <w:rPr>
                <w:b/>
              </w:rPr>
              <w:t xml:space="preserve">uz ekonomisko un sociālo vidi </w:t>
            </w:r>
            <w:r w:rsidR="009551A8" w:rsidRPr="00A3796C">
              <w:t xml:space="preserve">– palielināsies </w:t>
            </w:r>
            <w:r w:rsidR="002C70CB" w:rsidRPr="001079A9">
              <w:t xml:space="preserve">augstāko izglītību ieguvušo </w:t>
            </w:r>
            <w:r w:rsidR="002C70CB">
              <w:t>personu</w:t>
            </w:r>
            <w:r w:rsidR="002C70CB" w:rsidRPr="001079A9">
              <w:t xml:space="preserve"> skaits</w:t>
            </w:r>
            <w:r w:rsidR="009551A8" w:rsidRPr="00A3796C">
              <w:t xml:space="preserve">, kas veicinās izglītotākas sabiedrības attīstību, palielināsies darbavietu skaits, pieaugs dažāda veida nodokļu ieņēmumi. </w:t>
            </w:r>
            <w:r w:rsidR="002C70CB" w:rsidRPr="001079A9">
              <w:t>Studiju un zinātniskā darba infrastruktūras attīstība STEM jomā pozitīvi ietekmēs izglītības rezultātus, veicinot studējošo kompetenču attīstību un spēju pielāgoties mainīgajām dzīves situācijām un darba tirgus prasībām. STEM jomas programmu absolventi, studējot mūsdienīgā izglītības vidē, palielinās gan darba devēju skaitu, gan būs pieprasīti arī darba tirgū, tādējādi mazinot bezdarba līmeni. Studiju vides un kvalitātes uzlabošanās dos arī papildus sociālos ieguvumus – kultūras līmeņa attīstību, sociālo saliedētību, drošāku sabiedrisko vidi</w:t>
            </w:r>
            <w:r w:rsidR="002C70CB">
              <w:t>.</w:t>
            </w:r>
            <w:r w:rsidR="009551A8" w:rsidRPr="00A3796C">
              <w:t xml:space="preserve"> </w:t>
            </w:r>
          </w:p>
          <w:p w:rsidR="009551A8" w:rsidRPr="00A3796C" w:rsidRDefault="00C14A85" w:rsidP="00DC5D53">
            <w:pPr>
              <w:ind w:firstLine="720"/>
              <w:jc w:val="both"/>
              <w:rPr>
                <w:b/>
                <w:bCs/>
              </w:rPr>
            </w:pPr>
            <w:r w:rsidRPr="00A3796C">
              <w:t>8.</w:t>
            </w:r>
            <w:r w:rsidR="000629DD" w:rsidRPr="00A3796C">
              <w:t>1</w:t>
            </w:r>
            <w:r w:rsidRPr="00A3796C">
              <w:t>.</w:t>
            </w:r>
            <w:r w:rsidR="00BA4EBF" w:rsidRPr="00A3796C">
              <w:t>1</w:t>
            </w:r>
            <w:r w:rsidRPr="00A3796C">
              <w:t xml:space="preserve">. </w:t>
            </w:r>
            <w:r w:rsidR="00887BE0" w:rsidRPr="00A3796C">
              <w:t>SAM</w:t>
            </w:r>
            <w:r w:rsidR="00887BE0" w:rsidRPr="00A3796C">
              <w:rPr>
                <w:bCs/>
              </w:rPr>
              <w:t xml:space="preserve"> </w:t>
            </w:r>
            <w:r w:rsidRPr="00A3796C">
              <w:rPr>
                <w:bCs/>
              </w:rPr>
              <w:t xml:space="preserve">nav </w:t>
            </w:r>
            <w:r w:rsidR="00B829DC" w:rsidRPr="00A3796C">
              <w:rPr>
                <w:b/>
                <w:bCs/>
              </w:rPr>
              <w:t>ietekmes uz vidi</w:t>
            </w:r>
            <w:r w:rsidR="009551A8" w:rsidRPr="00A3796C">
              <w:rPr>
                <w:b/>
                <w:bCs/>
              </w:rPr>
              <w:t xml:space="preserve">. </w:t>
            </w:r>
          </w:p>
          <w:p w:rsidR="009551A8" w:rsidRPr="00A3796C" w:rsidRDefault="00887BE0" w:rsidP="00DC5D53">
            <w:pPr>
              <w:pStyle w:val="Default"/>
              <w:ind w:firstLine="720"/>
              <w:jc w:val="both"/>
              <w:rPr>
                <w:bCs/>
                <w:color w:val="auto"/>
              </w:rPr>
            </w:pPr>
            <w:r w:rsidRPr="00A3796C">
              <w:rPr>
                <w:rFonts w:eastAsia="Times New Roman"/>
                <w:color w:val="auto"/>
              </w:rPr>
              <w:t>8.1.</w:t>
            </w:r>
            <w:r w:rsidR="00BA4EBF" w:rsidRPr="00A3796C">
              <w:rPr>
                <w:rFonts w:eastAsia="Times New Roman"/>
                <w:color w:val="auto"/>
              </w:rPr>
              <w:t>1</w:t>
            </w:r>
            <w:r w:rsidRPr="00A3796C">
              <w:rPr>
                <w:rFonts w:eastAsia="Times New Roman"/>
                <w:color w:val="auto"/>
              </w:rPr>
              <w:t xml:space="preserve">. SAM </w:t>
            </w:r>
            <w:r w:rsidR="009551A8" w:rsidRPr="00A3796C">
              <w:rPr>
                <w:rFonts w:eastAsia="Times New Roman"/>
                <w:color w:val="auto"/>
              </w:rPr>
              <w:t xml:space="preserve">ietvaros tiek plānota netieša pozitīva ietekme uz </w:t>
            </w:r>
            <w:r w:rsidR="009551A8" w:rsidRPr="00A3796C">
              <w:rPr>
                <w:b/>
                <w:color w:val="auto"/>
              </w:rPr>
              <w:t>horizontālo principu</w:t>
            </w:r>
            <w:r w:rsidR="009551A8" w:rsidRPr="00A3796C">
              <w:rPr>
                <w:rFonts w:eastAsia="Times New Roman"/>
                <w:color w:val="auto"/>
              </w:rPr>
              <w:t xml:space="preserve"> „</w:t>
            </w:r>
            <w:r w:rsidR="009551A8" w:rsidRPr="00A3796C">
              <w:rPr>
                <w:rFonts w:eastAsia="Times New Roman"/>
                <w:b/>
                <w:color w:val="auto"/>
              </w:rPr>
              <w:t xml:space="preserve">Vienlīdzīgas iespējas”. </w:t>
            </w:r>
            <w:r w:rsidR="009551A8" w:rsidRPr="00A3796C">
              <w:rPr>
                <w:rFonts w:eastAsia="Times New Roman"/>
                <w:color w:val="auto"/>
              </w:rPr>
              <w:t xml:space="preserve">Veicot ieguldījumus </w:t>
            </w:r>
            <w:r w:rsidR="00AA47D0">
              <w:t>augstskolu</w:t>
            </w:r>
            <w:r w:rsidR="009551A8" w:rsidRPr="00A3796C">
              <w:rPr>
                <w:rFonts w:eastAsia="Times New Roman"/>
                <w:color w:val="auto"/>
              </w:rPr>
              <w:t xml:space="preserve"> infrastruktūras attīstībā, </w:t>
            </w:r>
            <w:r w:rsidR="009551A8" w:rsidRPr="00A3796C">
              <w:rPr>
                <w:rFonts w:eastAsia="ヒラギノ角ゴ Pro W3"/>
                <w:color w:val="auto"/>
              </w:rPr>
              <w:t>iespējamas specifiskas darbības vides un informācijas pieejamības nodrošināšanai</w:t>
            </w:r>
            <w:r w:rsidR="009551A8" w:rsidRPr="00A3796C">
              <w:rPr>
                <w:bCs/>
                <w:color w:val="auto"/>
              </w:rPr>
              <w:t xml:space="preserve">, kas īpaši veicina vides un informācijas pieejamību personām ar kustību traucējumiem, redzes, dzirdes vai garīga rakstura traucējumiem </w:t>
            </w:r>
            <w:r w:rsidR="009551A8" w:rsidRPr="00A3796C">
              <w:rPr>
                <w:rFonts w:eastAsia="ヒラギノ角ゴ Pro W3"/>
                <w:color w:val="auto"/>
              </w:rPr>
              <w:t>(nav obligāta prasība)</w:t>
            </w:r>
            <w:r w:rsidR="009551A8" w:rsidRPr="00A3796C">
              <w:rPr>
                <w:rFonts w:eastAsia="Times New Roman"/>
                <w:color w:val="auto"/>
              </w:rPr>
              <w:t xml:space="preserve">. </w:t>
            </w:r>
            <w:r w:rsidR="00720368" w:rsidRPr="00A3796C">
              <w:rPr>
                <w:bCs/>
                <w:color w:val="auto"/>
              </w:rPr>
              <w:t>Noteikumu projektā paredzēts, ka finansējuma saņēmējs uzkrāj datus par objektu skaitu, kuros ERAF ieguldījumu rezultātā ir nodrošināta vides un informācijas pieejamība</w:t>
            </w:r>
            <w:r w:rsidR="006A00C7" w:rsidRPr="00A3796C">
              <w:rPr>
                <w:bCs/>
                <w:color w:val="auto"/>
              </w:rPr>
              <w:t xml:space="preserve"> (ja attiecināms)</w:t>
            </w:r>
            <w:r w:rsidR="00720368" w:rsidRPr="00A3796C">
              <w:rPr>
                <w:bCs/>
                <w:color w:val="auto"/>
              </w:rPr>
              <w:t>.</w:t>
            </w:r>
          </w:p>
          <w:p w:rsidR="00C14A85" w:rsidRPr="00A3796C" w:rsidRDefault="00887BE0" w:rsidP="002B67E7">
            <w:pPr>
              <w:ind w:firstLine="720"/>
              <w:jc w:val="both"/>
            </w:pPr>
            <w:r w:rsidRPr="00A3796C">
              <w:t>8.1.</w:t>
            </w:r>
            <w:r w:rsidR="00BA4EBF" w:rsidRPr="00A3796C">
              <w:t>1</w:t>
            </w:r>
            <w:r w:rsidRPr="00A3796C">
              <w:t xml:space="preserve">. SAM </w:t>
            </w:r>
            <w:r w:rsidR="009551A8" w:rsidRPr="00A3796C">
              <w:t xml:space="preserve">ietvaros tiek plānota arī netieša pozitīva ietekme uz </w:t>
            </w:r>
            <w:r w:rsidR="009551A8" w:rsidRPr="00A3796C">
              <w:rPr>
                <w:b/>
              </w:rPr>
              <w:t>horizontālo principu „Ilgtspējīga attīstība”.</w:t>
            </w:r>
            <w:r w:rsidR="009551A8" w:rsidRPr="00A3796C">
              <w:t xml:space="preserve"> Veicot ieguldījumus </w:t>
            </w:r>
            <w:r w:rsidR="002B67E7">
              <w:t>augstskolu</w:t>
            </w:r>
            <w:r w:rsidR="002B67E7" w:rsidRPr="00A3796C">
              <w:t xml:space="preserve"> </w:t>
            </w:r>
            <w:r w:rsidR="009551A8" w:rsidRPr="00A3796C">
              <w:t xml:space="preserve">infrastruktūras attīstībā, </w:t>
            </w:r>
            <w:r w:rsidR="009551A8" w:rsidRPr="00A3796C">
              <w:rPr>
                <w:rFonts w:eastAsia="ヒラギノ角ゴ Pro W3"/>
              </w:rPr>
              <w:t>publiskajos iepirkumos var piemērot zaļā publiskā iepirkuma kritērijus (nav obligāta prasība).</w:t>
            </w:r>
            <w:r w:rsidR="005F1FE1" w:rsidRPr="00A3796C">
              <w:rPr>
                <w:rFonts w:eastAsia="Calibri"/>
                <w:bCs/>
              </w:rPr>
              <w:t xml:space="preserve"> </w:t>
            </w:r>
            <w:r w:rsidR="00A265EB" w:rsidRPr="0004202D">
              <w:rPr>
                <w:rFonts w:eastAsia="Calibri"/>
                <w:bCs/>
              </w:rPr>
              <w:t xml:space="preserve">Noteikumu projektā paredzēts, ka finansējuma saņēmējs </w:t>
            </w:r>
            <w:r w:rsidR="00A265EB" w:rsidRPr="0004202D">
              <w:rPr>
                <w:bCs/>
              </w:rPr>
              <w:t xml:space="preserve">uzkrāj datus </w:t>
            </w:r>
            <w:r w:rsidR="00A265EB" w:rsidRPr="0004202D">
              <w:rPr>
                <w:rFonts w:eastAsia="Calibri"/>
                <w:bCs/>
              </w:rPr>
              <w:t>par projekta īstenošanā izmantoto zaļo publisko iepirkumu skaitu</w:t>
            </w:r>
            <w:r w:rsidR="005F1FE1" w:rsidRPr="00A3796C">
              <w:rPr>
                <w:rFonts w:eastAsia="Calibri"/>
                <w:bCs/>
              </w:rPr>
              <w:t xml:space="preserve"> (ja attiecināms).</w:t>
            </w:r>
          </w:p>
        </w:tc>
      </w:tr>
    </w:tbl>
    <w:p w:rsidR="00D46C2D" w:rsidRPr="00C2761A" w:rsidRDefault="00D46C2D"/>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9"/>
        <w:gridCol w:w="1273"/>
        <w:gridCol w:w="1171"/>
        <w:gridCol w:w="1457"/>
        <w:gridCol w:w="1520"/>
        <w:gridCol w:w="1417"/>
      </w:tblGrid>
      <w:tr w:rsidR="00BF3649" w:rsidRPr="00C2761A" w:rsidTr="008E0BB9">
        <w:trPr>
          <w:trHeight w:val="361"/>
          <w:jc w:val="center"/>
        </w:trPr>
        <w:tc>
          <w:tcPr>
            <w:tcW w:w="9067" w:type="dxa"/>
            <w:gridSpan w:val="6"/>
            <w:vAlign w:val="center"/>
          </w:tcPr>
          <w:p w:rsidR="00BF3649" w:rsidRPr="00C2761A" w:rsidRDefault="00BF3649" w:rsidP="00016659">
            <w:pPr>
              <w:pStyle w:val="naisnod"/>
              <w:spacing w:before="0" w:after="0"/>
              <w:rPr>
                <w:b w:val="0"/>
                <w:i/>
              </w:rPr>
            </w:pPr>
            <w:r w:rsidRPr="00C2761A">
              <w:br w:type="page"/>
              <w:t>III. Tiesību akta projekta ietekme uz valsts budžetu un pašvaldību budžetiem</w:t>
            </w:r>
          </w:p>
        </w:tc>
      </w:tr>
      <w:tr w:rsidR="00BF3649" w:rsidRPr="00C2761A" w:rsidTr="008E0BB9">
        <w:trPr>
          <w:jc w:val="center"/>
        </w:trPr>
        <w:tc>
          <w:tcPr>
            <w:tcW w:w="2229" w:type="dxa"/>
            <w:vMerge w:val="restart"/>
            <w:vAlign w:val="center"/>
          </w:tcPr>
          <w:p w:rsidR="00BF3649" w:rsidRPr="00C2761A" w:rsidRDefault="00BF3649" w:rsidP="00016659">
            <w:pPr>
              <w:pStyle w:val="naisf"/>
              <w:spacing w:before="0" w:after="0"/>
              <w:jc w:val="center"/>
              <w:rPr>
                <w:b/>
              </w:rPr>
            </w:pPr>
            <w:r w:rsidRPr="00C2761A">
              <w:rPr>
                <w:b/>
              </w:rPr>
              <w:t>Rādītāji</w:t>
            </w:r>
          </w:p>
          <w:p w:rsidR="00BF3649" w:rsidRPr="00C2761A" w:rsidRDefault="00BF3649" w:rsidP="00016659"/>
          <w:p w:rsidR="00BF3649" w:rsidRPr="00C2761A" w:rsidRDefault="00BF3649" w:rsidP="00016659"/>
          <w:p w:rsidR="00BF3649" w:rsidRPr="00C2761A" w:rsidRDefault="00BF3649" w:rsidP="00016659"/>
        </w:tc>
        <w:tc>
          <w:tcPr>
            <w:tcW w:w="2444" w:type="dxa"/>
            <w:gridSpan w:val="2"/>
            <w:vMerge w:val="restart"/>
            <w:vAlign w:val="center"/>
          </w:tcPr>
          <w:p w:rsidR="00BF3649" w:rsidRPr="00C2761A" w:rsidRDefault="00BF3649" w:rsidP="00BA17C8">
            <w:pPr>
              <w:pStyle w:val="naisf"/>
              <w:spacing w:before="0" w:after="0"/>
              <w:jc w:val="center"/>
              <w:rPr>
                <w:b/>
              </w:rPr>
            </w:pPr>
            <w:r w:rsidRPr="00C2761A">
              <w:rPr>
                <w:b/>
              </w:rPr>
              <w:t>201</w:t>
            </w:r>
            <w:r w:rsidR="00BA17C8">
              <w:rPr>
                <w:b/>
              </w:rPr>
              <w:t>6</w:t>
            </w:r>
            <w:r w:rsidRPr="00C2761A">
              <w:rPr>
                <w:b/>
              </w:rPr>
              <w:t>.gads</w:t>
            </w:r>
          </w:p>
        </w:tc>
        <w:tc>
          <w:tcPr>
            <w:tcW w:w="4394" w:type="dxa"/>
            <w:gridSpan w:val="3"/>
            <w:vAlign w:val="center"/>
          </w:tcPr>
          <w:p w:rsidR="00BF3649" w:rsidRPr="00C2761A" w:rsidRDefault="00BF3649" w:rsidP="00016659">
            <w:pPr>
              <w:pStyle w:val="naisf"/>
              <w:spacing w:before="0" w:after="0"/>
              <w:jc w:val="center"/>
              <w:rPr>
                <w:b/>
                <w:i/>
              </w:rPr>
            </w:pPr>
            <w:r w:rsidRPr="00C2761A">
              <w:t>Turpmākie trīs gadi (</w:t>
            </w:r>
            <w:proofErr w:type="spellStart"/>
            <w:r w:rsidRPr="00C2761A">
              <w:rPr>
                <w:i/>
              </w:rPr>
              <w:t>euro</w:t>
            </w:r>
            <w:proofErr w:type="spellEnd"/>
            <w:r w:rsidRPr="00C2761A">
              <w:t>)</w:t>
            </w:r>
          </w:p>
        </w:tc>
      </w:tr>
      <w:tr w:rsidR="00BF3649" w:rsidRPr="00C2761A" w:rsidTr="008E0BB9">
        <w:trPr>
          <w:jc w:val="center"/>
        </w:trPr>
        <w:tc>
          <w:tcPr>
            <w:tcW w:w="2229" w:type="dxa"/>
            <w:vMerge/>
            <w:vAlign w:val="center"/>
          </w:tcPr>
          <w:p w:rsidR="00BF3649" w:rsidRPr="00C2761A" w:rsidRDefault="00BF3649" w:rsidP="00016659">
            <w:pPr>
              <w:pStyle w:val="naisf"/>
              <w:spacing w:before="0" w:after="0"/>
              <w:jc w:val="center"/>
              <w:rPr>
                <w:b/>
                <w:i/>
              </w:rPr>
            </w:pPr>
          </w:p>
        </w:tc>
        <w:tc>
          <w:tcPr>
            <w:tcW w:w="2444" w:type="dxa"/>
            <w:gridSpan w:val="2"/>
            <w:vMerge/>
            <w:vAlign w:val="center"/>
          </w:tcPr>
          <w:p w:rsidR="00BF3649" w:rsidRPr="00C2761A" w:rsidRDefault="00BF3649" w:rsidP="00016659">
            <w:pPr>
              <w:pStyle w:val="naisf"/>
              <w:spacing w:before="0" w:after="0"/>
              <w:jc w:val="center"/>
              <w:rPr>
                <w:b/>
                <w:i/>
              </w:rPr>
            </w:pPr>
          </w:p>
        </w:tc>
        <w:tc>
          <w:tcPr>
            <w:tcW w:w="1457" w:type="dxa"/>
            <w:vAlign w:val="center"/>
          </w:tcPr>
          <w:p w:rsidR="00BF3649" w:rsidRPr="00C2761A" w:rsidRDefault="00BF3649" w:rsidP="00BA17C8">
            <w:pPr>
              <w:pStyle w:val="naisf"/>
              <w:spacing w:before="0" w:after="0"/>
              <w:jc w:val="center"/>
              <w:rPr>
                <w:b/>
                <w:i/>
              </w:rPr>
            </w:pPr>
            <w:r w:rsidRPr="00C2761A">
              <w:rPr>
                <w:b/>
                <w:bCs/>
              </w:rPr>
              <w:t>201</w:t>
            </w:r>
            <w:r w:rsidR="00BA17C8">
              <w:rPr>
                <w:b/>
                <w:bCs/>
              </w:rPr>
              <w:t>7</w:t>
            </w:r>
            <w:r w:rsidRPr="00C2761A">
              <w:rPr>
                <w:b/>
                <w:bCs/>
              </w:rPr>
              <w:t>.</w:t>
            </w:r>
          </w:p>
        </w:tc>
        <w:tc>
          <w:tcPr>
            <w:tcW w:w="1520" w:type="dxa"/>
            <w:vAlign w:val="center"/>
          </w:tcPr>
          <w:p w:rsidR="00BF3649" w:rsidRPr="00C2761A" w:rsidRDefault="00BF3649" w:rsidP="00BA17C8">
            <w:pPr>
              <w:pStyle w:val="naisf"/>
              <w:spacing w:before="0" w:after="0"/>
              <w:jc w:val="center"/>
              <w:rPr>
                <w:b/>
                <w:i/>
              </w:rPr>
            </w:pPr>
            <w:r w:rsidRPr="00C2761A">
              <w:rPr>
                <w:b/>
                <w:bCs/>
              </w:rPr>
              <w:t>201</w:t>
            </w:r>
            <w:r w:rsidR="00BA17C8">
              <w:rPr>
                <w:b/>
                <w:bCs/>
              </w:rPr>
              <w:t>8</w:t>
            </w:r>
            <w:r w:rsidRPr="00C2761A">
              <w:rPr>
                <w:b/>
                <w:bCs/>
              </w:rPr>
              <w:t>.</w:t>
            </w:r>
          </w:p>
        </w:tc>
        <w:tc>
          <w:tcPr>
            <w:tcW w:w="1417" w:type="dxa"/>
            <w:vAlign w:val="center"/>
          </w:tcPr>
          <w:p w:rsidR="00BF3649" w:rsidRPr="00C2761A" w:rsidRDefault="00BF3649" w:rsidP="00BA17C8">
            <w:pPr>
              <w:pStyle w:val="naisf"/>
              <w:spacing w:before="0" w:after="0"/>
              <w:jc w:val="center"/>
              <w:rPr>
                <w:b/>
                <w:i/>
              </w:rPr>
            </w:pPr>
            <w:r w:rsidRPr="00C2761A">
              <w:rPr>
                <w:b/>
                <w:bCs/>
              </w:rPr>
              <w:t>201</w:t>
            </w:r>
            <w:r w:rsidR="00BA17C8">
              <w:rPr>
                <w:b/>
                <w:bCs/>
              </w:rPr>
              <w:t>9</w:t>
            </w:r>
            <w:r w:rsidRPr="00C2761A">
              <w:rPr>
                <w:b/>
                <w:bCs/>
              </w:rPr>
              <w:t>.</w:t>
            </w:r>
          </w:p>
        </w:tc>
      </w:tr>
      <w:tr w:rsidR="00BF3649" w:rsidRPr="00C2761A" w:rsidTr="008E0BB9">
        <w:trPr>
          <w:jc w:val="center"/>
        </w:trPr>
        <w:tc>
          <w:tcPr>
            <w:tcW w:w="2229" w:type="dxa"/>
            <w:vMerge/>
            <w:vAlign w:val="center"/>
          </w:tcPr>
          <w:p w:rsidR="00BF3649" w:rsidRPr="00C2761A" w:rsidRDefault="00BF3649" w:rsidP="00016659">
            <w:pPr>
              <w:pStyle w:val="naisf"/>
              <w:spacing w:before="0" w:after="0"/>
              <w:jc w:val="center"/>
              <w:rPr>
                <w:b/>
                <w:i/>
              </w:rPr>
            </w:pPr>
          </w:p>
        </w:tc>
        <w:tc>
          <w:tcPr>
            <w:tcW w:w="1273" w:type="dxa"/>
            <w:vAlign w:val="center"/>
          </w:tcPr>
          <w:p w:rsidR="00BF3649" w:rsidRPr="00C2761A" w:rsidRDefault="00BF3649" w:rsidP="0091265B">
            <w:pPr>
              <w:pStyle w:val="naisf"/>
              <w:spacing w:before="0" w:after="0"/>
              <w:ind w:firstLine="0"/>
              <w:rPr>
                <w:b/>
                <w:i/>
              </w:rPr>
            </w:pPr>
            <w:r w:rsidRPr="00C2761A">
              <w:t xml:space="preserve">saskaņā ar valsts </w:t>
            </w:r>
            <w:r w:rsidRPr="00C2761A">
              <w:lastRenderedPageBreak/>
              <w:t>budžetu kārtējam gadam</w:t>
            </w:r>
          </w:p>
        </w:tc>
        <w:tc>
          <w:tcPr>
            <w:tcW w:w="1171" w:type="dxa"/>
            <w:vAlign w:val="center"/>
          </w:tcPr>
          <w:p w:rsidR="00BF3649" w:rsidRPr="00C2761A" w:rsidRDefault="00BF3649" w:rsidP="0091265B">
            <w:pPr>
              <w:pStyle w:val="naisf"/>
              <w:spacing w:before="0" w:after="0"/>
              <w:ind w:firstLine="0"/>
              <w:rPr>
                <w:b/>
                <w:i/>
              </w:rPr>
            </w:pPr>
            <w:r w:rsidRPr="00C2761A">
              <w:lastRenderedPageBreak/>
              <w:t xml:space="preserve">izmaiņas kārtējā </w:t>
            </w:r>
            <w:r w:rsidRPr="00C2761A">
              <w:lastRenderedPageBreak/>
              <w:t>gadā, salīdzinot ar valsts budžetu kārtējam gadam</w:t>
            </w:r>
          </w:p>
        </w:tc>
        <w:tc>
          <w:tcPr>
            <w:tcW w:w="1457" w:type="dxa"/>
            <w:vAlign w:val="center"/>
          </w:tcPr>
          <w:p w:rsidR="00BF3649" w:rsidRPr="00C2761A" w:rsidRDefault="00BF3649" w:rsidP="0091265B">
            <w:pPr>
              <w:pStyle w:val="naisf"/>
              <w:spacing w:before="0" w:after="0"/>
              <w:ind w:firstLine="0"/>
              <w:rPr>
                <w:b/>
                <w:i/>
              </w:rPr>
            </w:pPr>
            <w:r w:rsidRPr="00C2761A">
              <w:lastRenderedPageBreak/>
              <w:t xml:space="preserve">izmaiņas, salīdzinot ar </w:t>
            </w:r>
            <w:r w:rsidRPr="00C2761A">
              <w:lastRenderedPageBreak/>
              <w:t>kārtējo (n) gadu</w:t>
            </w:r>
          </w:p>
        </w:tc>
        <w:tc>
          <w:tcPr>
            <w:tcW w:w="1520" w:type="dxa"/>
            <w:vAlign w:val="center"/>
          </w:tcPr>
          <w:p w:rsidR="00BF3649" w:rsidRPr="00C2761A" w:rsidRDefault="00BF3649" w:rsidP="0091265B">
            <w:pPr>
              <w:pStyle w:val="naisf"/>
              <w:spacing w:before="0" w:after="0"/>
              <w:ind w:firstLine="0"/>
              <w:rPr>
                <w:b/>
                <w:i/>
              </w:rPr>
            </w:pPr>
            <w:r w:rsidRPr="00C2761A">
              <w:lastRenderedPageBreak/>
              <w:t xml:space="preserve">izmaiņas, salīdzinot ar </w:t>
            </w:r>
            <w:r w:rsidRPr="00C2761A">
              <w:lastRenderedPageBreak/>
              <w:t>kārtējo (n) gadu</w:t>
            </w:r>
          </w:p>
        </w:tc>
        <w:tc>
          <w:tcPr>
            <w:tcW w:w="1417" w:type="dxa"/>
            <w:vAlign w:val="center"/>
          </w:tcPr>
          <w:p w:rsidR="00BF3649" w:rsidRPr="00C2761A" w:rsidRDefault="00BF3649" w:rsidP="0091265B">
            <w:pPr>
              <w:pStyle w:val="naisf"/>
              <w:spacing w:before="0" w:after="0"/>
              <w:ind w:firstLine="0"/>
              <w:rPr>
                <w:b/>
                <w:i/>
              </w:rPr>
            </w:pPr>
            <w:r w:rsidRPr="00C2761A">
              <w:lastRenderedPageBreak/>
              <w:t xml:space="preserve">izmaiņas, salīdzinot ar </w:t>
            </w:r>
            <w:r w:rsidRPr="00C2761A">
              <w:lastRenderedPageBreak/>
              <w:t>kārtējo (n) gadu</w:t>
            </w:r>
          </w:p>
        </w:tc>
      </w:tr>
      <w:tr w:rsidR="00BF3649" w:rsidRPr="00C2761A" w:rsidTr="008E0BB9">
        <w:trPr>
          <w:jc w:val="center"/>
        </w:trPr>
        <w:tc>
          <w:tcPr>
            <w:tcW w:w="2229" w:type="dxa"/>
            <w:vAlign w:val="center"/>
          </w:tcPr>
          <w:p w:rsidR="00BF3649" w:rsidRPr="00C2761A" w:rsidRDefault="00BF3649" w:rsidP="00887BE0">
            <w:pPr>
              <w:pStyle w:val="naisf"/>
              <w:spacing w:before="0" w:after="0"/>
              <w:ind w:firstLine="0"/>
              <w:jc w:val="center"/>
              <w:rPr>
                <w:bCs/>
              </w:rPr>
            </w:pPr>
            <w:r w:rsidRPr="00C2761A">
              <w:rPr>
                <w:bCs/>
              </w:rPr>
              <w:lastRenderedPageBreak/>
              <w:t>1</w:t>
            </w:r>
          </w:p>
        </w:tc>
        <w:tc>
          <w:tcPr>
            <w:tcW w:w="1273" w:type="dxa"/>
            <w:vAlign w:val="center"/>
          </w:tcPr>
          <w:p w:rsidR="00BF3649" w:rsidRPr="00C2761A" w:rsidRDefault="00BF3649" w:rsidP="00887BE0">
            <w:pPr>
              <w:pStyle w:val="naisf"/>
              <w:spacing w:before="0" w:after="0"/>
              <w:ind w:firstLine="0"/>
              <w:jc w:val="center"/>
              <w:rPr>
                <w:bCs/>
              </w:rPr>
            </w:pPr>
            <w:r w:rsidRPr="00C2761A">
              <w:rPr>
                <w:bCs/>
              </w:rPr>
              <w:t>2</w:t>
            </w:r>
          </w:p>
        </w:tc>
        <w:tc>
          <w:tcPr>
            <w:tcW w:w="1171" w:type="dxa"/>
            <w:vAlign w:val="center"/>
          </w:tcPr>
          <w:p w:rsidR="00BF3649" w:rsidRPr="00C2761A" w:rsidRDefault="00BF3649" w:rsidP="00887BE0">
            <w:pPr>
              <w:pStyle w:val="naisf"/>
              <w:spacing w:before="0" w:after="0"/>
              <w:ind w:firstLine="0"/>
              <w:jc w:val="center"/>
              <w:rPr>
                <w:bCs/>
              </w:rPr>
            </w:pPr>
            <w:r w:rsidRPr="00C2761A">
              <w:rPr>
                <w:bCs/>
              </w:rPr>
              <w:t>3</w:t>
            </w:r>
          </w:p>
        </w:tc>
        <w:tc>
          <w:tcPr>
            <w:tcW w:w="1457" w:type="dxa"/>
            <w:vAlign w:val="center"/>
          </w:tcPr>
          <w:p w:rsidR="00BF3649" w:rsidRPr="00C2761A" w:rsidRDefault="00BF3649" w:rsidP="00887BE0">
            <w:pPr>
              <w:pStyle w:val="naisf"/>
              <w:spacing w:before="0" w:after="0"/>
              <w:ind w:firstLine="0"/>
              <w:jc w:val="center"/>
              <w:rPr>
                <w:bCs/>
              </w:rPr>
            </w:pPr>
            <w:r w:rsidRPr="00C2761A">
              <w:rPr>
                <w:bCs/>
              </w:rPr>
              <w:t>4</w:t>
            </w:r>
          </w:p>
        </w:tc>
        <w:tc>
          <w:tcPr>
            <w:tcW w:w="1520" w:type="dxa"/>
            <w:vAlign w:val="center"/>
          </w:tcPr>
          <w:p w:rsidR="00BF3649" w:rsidRPr="00C2761A" w:rsidRDefault="00BF3649" w:rsidP="00887BE0">
            <w:pPr>
              <w:pStyle w:val="naisf"/>
              <w:spacing w:before="0" w:after="0"/>
              <w:ind w:firstLine="0"/>
              <w:jc w:val="center"/>
              <w:rPr>
                <w:bCs/>
              </w:rPr>
            </w:pPr>
            <w:r w:rsidRPr="00C2761A">
              <w:rPr>
                <w:bCs/>
              </w:rPr>
              <w:t>5</w:t>
            </w:r>
          </w:p>
        </w:tc>
        <w:tc>
          <w:tcPr>
            <w:tcW w:w="1417" w:type="dxa"/>
            <w:vAlign w:val="center"/>
          </w:tcPr>
          <w:p w:rsidR="00BF3649" w:rsidRPr="00C2761A" w:rsidRDefault="00BF3649" w:rsidP="00887BE0">
            <w:pPr>
              <w:pStyle w:val="naisf"/>
              <w:spacing w:before="0" w:after="0"/>
              <w:ind w:firstLine="0"/>
              <w:jc w:val="center"/>
              <w:rPr>
                <w:bCs/>
              </w:rPr>
            </w:pPr>
            <w:r w:rsidRPr="00C2761A">
              <w:rPr>
                <w:bCs/>
              </w:rPr>
              <w:t>6</w:t>
            </w:r>
          </w:p>
        </w:tc>
      </w:tr>
      <w:tr w:rsidR="003C4140" w:rsidRPr="00C2761A" w:rsidTr="008E0BB9">
        <w:trPr>
          <w:trHeight w:val="379"/>
          <w:jc w:val="center"/>
        </w:trPr>
        <w:tc>
          <w:tcPr>
            <w:tcW w:w="2229" w:type="dxa"/>
          </w:tcPr>
          <w:p w:rsidR="003C4140" w:rsidRPr="00C2761A" w:rsidRDefault="003C4140" w:rsidP="0091265B">
            <w:pPr>
              <w:pStyle w:val="naisf"/>
              <w:spacing w:before="0" w:after="0"/>
              <w:ind w:firstLine="0"/>
              <w:rPr>
                <w:i/>
              </w:rPr>
            </w:pPr>
            <w:r w:rsidRPr="00C2761A">
              <w:t>1.Budžeta ieņēmumi:</w:t>
            </w:r>
          </w:p>
        </w:tc>
        <w:tc>
          <w:tcPr>
            <w:tcW w:w="1273" w:type="dxa"/>
          </w:tcPr>
          <w:p w:rsidR="003C4140" w:rsidRPr="00C2761A" w:rsidRDefault="003C4140" w:rsidP="00E53DB2">
            <w:pPr>
              <w:pStyle w:val="naisf"/>
              <w:spacing w:before="0" w:after="0"/>
              <w:ind w:firstLine="0"/>
              <w:jc w:val="center"/>
            </w:pPr>
            <w:r w:rsidRPr="00C2761A">
              <w:t>0</w:t>
            </w:r>
          </w:p>
        </w:tc>
        <w:tc>
          <w:tcPr>
            <w:tcW w:w="1171" w:type="dxa"/>
          </w:tcPr>
          <w:p w:rsidR="003C4140" w:rsidRPr="00C2761A" w:rsidRDefault="006A00C7" w:rsidP="0091265B">
            <w:pPr>
              <w:pStyle w:val="naisf"/>
              <w:spacing w:before="0" w:after="0"/>
              <w:ind w:firstLine="0"/>
              <w:jc w:val="center"/>
            </w:pPr>
            <w:r>
              <w:t>0</w:t>
            </w:r>
          </w:p>
        </w:tc>
        <w:tc>
          <w:tcPr>
            <w:tcW w:w="1457" w:type="dxa"/>
          </w:tcPr>
          <w:p w:rsidR="008E0BB9" w:rsidRPr="008E0BB9" w:rsidRDefault="008E0BB9" w:rsidP="008E0BB9">
            <w:pPr>
              <w:jc w:val="center"/>
            </w:pPr>
            <w:r w:rsidRPr="008E0BB9">
              <w:t>7</w:t>
            </w:r>
            <w:r>
              <w:t xml:space="preserve"> </w:t>
            </w:r>
            <w:r w:rsidRPr="008E0BB9">
              <w:t>589</w:t>
            </w:r>
            <w:r>
              <w:t xml:space="preserve"> </w:t>
            </w:r>
            <w:r w:rsidRPr="008E0BB9">
              <w:t>081</w:t>
            </w:r>
          </w:p>
          <w:p w:rsidR="008E0BB9" w:rsidRPr="008E0BB9" w:rsidRDefault="008E0BB9" w:rsidP="006A00C7">
            <w:pPr>
              <w:pStyle w:val="naisf"/>
              <w:spacing w:before="0" w:after="0"/>
              <w:ind w:firstLine="0"/>
              <w:jc w:val="center"/>
            </w:pPr>
          </w:p>
        </w:tc>
        <w:tc>
          <w:tcPr>
            <w:tcW w:w="1520" w:type="dxa"/>
          </w:tcPr>
          <w:p w:rsidR="008E0BB9" w:rsidRPr="008E0BB9" w:rsidRDefault="008E0BB9" w:rsidP="008E0BB9">
            <w:pPr>
              <w:jc w:val="center"/>
            </w:pPr>
            <w:r w:rsidRPr="008E0BB9">
              <w:t>9</w:t>
            </w:r>
            <w:r>
              <w:t xml:space="preserve"> </w:t>
            </w:r>
            <w:r w:rsidRPr="008E0BB9">
              <w:t>486</w:t>
            </w:r>
            <w:r>
              <w:t xml:space="preserve"> </w:t>
            </w:r>
            <w:r w:rsidRPr="008E0BB9">
              <w:t>352</w:t>
            </w:r>
          </w:p>
          <w:p w:rsidR="008E0BB9" w:rsidRPr="008E0BB9" w:rsidRDefault="008E0BB9" w:rsidP="003C4140">
            <w:pPr>
              <w:pStyle w:val="naisf"/>
              <w:spacing w:before="0" w:after="0"/>
              <w:ind w:firstLine="0"/>
              <w:jc w:val="center"/>
            </w:pPr>
          </w:p>
        </w:tc>
        <w:tc>
          <w:tcPr>
            <w:tcW w:w="1417" w:type="dxa"/>
          </w:tcPr>
          <w:p w:rsidR="008E0BB9" w:rsidRPr="008E0BB9" w:rsidRDefault="008E0BB9" w:rsidP="008E0BB9">
            <w:pPr>
              <w:jc w:val="center"/>
            </w:pPr>
            <w:r w:rsidRPr="008E0BB9">
              <w:t>9</w:t>
            </w:r>
            <w:r>
              <w:t xml:space="preserve"> </w:t>
            </w:r>
            <w:r w:rsidRPr="008E0BB9">
              <w:t>486</w:t>
            </w:r>
            <w:r>
              <w:t xml:space="preserve"> </w:t>
            </w:r>
            <w:r w:rsidRPr="008E0BB9">
              <w:t>352</w:t>
            </w:r>
          </w:p>
          <w:p w:rsidR="008E0BB9" w:rsidRPr="008E0BB9" w:rsidRDefault="008E0BB9" w:rsidP="003C4140">
            <w:pPr>
              <w:jc w:val="center"/>
            </w:pPr>
          </w:p>
        </w:tc>
      </w:tr>
      <w:tr w:rsidR="008E0BB9" w:rsidRPr="00C2761A" w:rsidTr="008E0BB9">
        <w:trPr>
          <w:jc w:val="center"/>
        </w:trPr>
        <w:tc>
          <w:tcPr>
            <w:tcW w:w="2229" w:type="dxa"/>
          </w:tcPr>
          <w:p w:rsidR="008E0BB9" w:rsidRPr="00C2761A" w:rsidRDefault="008E0BB9" w:rsidP="008E0BB9">
            <w:r w:rsidRPr="00C2761A">
              <w:rPr>
                <w:rFonts w:eastAsia="Calibri"/>
              </w:rPr>
              <w:t>1.1. valsts pamatbudžets, tai skaitā ieņēmumi no maksas pakalpojumiem un citi pašu ieņēmumi</w:t>
            </w:r>
          </w:p>
        </w:tc>
        <w:tc>
          <w:tcPr>
            <w:tcW w:w="1273" w:type="dxa"/>
          </w:tcPr>
          <w:p w:rsidR="008E0BB9" w:rsidRPr="00C2761A" w:rsidRDefault="008E0BB9" w:rsidP="008E0BB9">
            <w:pPr>
              <w:pStyle w:val="naisf"/>
              <w:spacing w:before="0" w:after="0"/>
              <w:ind w:firstLine="0"/>
              <w:jc w:val="center"/>
            </w:pPr>
            <w:r w:rsidRPr="00C2761A">
              <w:rPr>
                <w:rFonts w:eastAsia="Calibri"/>
              </w:rPr>
              <w:t>0</w:t>
            </w:r>
          </w:p>
        </w:tc>
        <w:tc>
          <w:tcPr>
            <w:tcW w:w="1171" w:type="dxa"/>
          </w:tcPr>
          <w:p w:rsidR="008E0BB9" w:rsidRPr="00C2761A" w:rsidRDefault="008E0BB9" w:rsidP="008E0BB9">
            <w:pPr>
              <w:pStyle w:val="naisf"/>
              <w:spacing w:before="0" w:after="0"/>
              <w:ind w:firstLine="0"/>
              <w:jc w:val="center"/>
            </w:pPr>
            <w:r>
              <w:t>0</w:t>
            </w:r>
          </w:p>
        </w:tc>
        <w:tc>
          <w:tcPr>
            <w:tcW w:w="1457" w:type="dxa"/>
          </w:tcPr>
          <w:p w:rsidR="008E0BB9" w:rsidRPr="008E0BB9" w:rsidRDefault="008E0BB9" w:rsidP="008E0BB9">
            <w:pPr>
              <w:jc w:val="center"/>
            </w:pPr>
            <w:r w:rsidRPr="008E0BB9">
              <w:t>7</w:t>
            </w:r>
            <w:r>
              <w:t xml:space="preserve"> </w:t>
            </w:r>
            <w:r w:rsidRPr="008E0BB9">
              <w:t>589</w:t>
            </w:r>
            <w:r>
              <w:t xml:space="preserve"> </w:t>
            </w:r>
            <w:r w:rsidRPr="008E0BB9">
              <w:t>081</w:t>
            </w:r>
          </w:p>
          <w:p w:rsidR="008E0BB9" w:rsidRPr="008E0BB9" w:rsidRDefault="008E0BB9" w:rsidP="008E0BB9">
            <w:pPr>
              <w:pStyle w:val="naisf"/>
              <w:spacing w:before="0" w:after="0"/>
              <w:ind w:firstLine="0"/>
              <w:jc w:val="center"/>
            </w:pPr>
          </w:p>
        </w:tc>
        <w:tc>
          <w:tcPr>
            <w:tcW w:w="1520" w:type="dxa"/>
          </w:tcPr>
          <w:p w:rsidR="008E0BB9" w:rsidRPr="008E0BB9" w:rsidRDefault="008E0BB9" w:rsidP="008E0BB9">
            <w:pPr>
              <w:jc w:val="center"/>
            </w:pPr>
            <w:r w:rsidRPr="008E0BB9">
              <w:t>9</w:t>
            </w:r>
            <w:r>
              <w:t xml:space="preserve"> </w:t>
            </w:r>
            <w:r w:rsidRPr="008E0BB9">
              <w:t>486</w:t>
            </w:r>
            <w:r>
              <w:t xml:space="preserve"> </w:t>
            </w:r>
            <w:r w:rsidRPr="008E0BB9">
              <w:t>352</w:t>
            </w:r>
          </w:p>
          <w:p w:rsidR="008E0BB9" w:rsidRPr="008E0BB9" w:rsidRDefault="008E0BB9" w:rsidP="008E0BB9">
            <w:pPr>
              <w:pStyle w:val="naisf"/>
              <w:spacing w:before="0" w:after="0"/>
              <w:ind w:firstLine="0"/>
              <w:jc w:val="center"/>
            </w:pPr>
          </w:p>
        </w:tc>
        <w:tc>
          <w:tcPr>
            <w:tcW w:w="1417" w:type="dxa"/>
          </w:tcPr>
          <w:p w:rsidR="008E0BB9" w:rsidRPr="008E0BB9" w:rsidRDefault="008E0BB9" w:rsidP="008E0BB9">
            <w:pPr>
              <w:jc w:val="center"/>
            </w:pPr>
            <w:r w:rsidRPr="008E0BB9">
              <w:t>9</w:t>
            </w:r>
            <w:r>
              <w:t xml:space="preserve"> </w:t>
            </w:r>
            <w:r w:rsidRPr="008E0BB9">
              <w:t>486</w:t>
            </w:r>
            <w:r>
              <w:t xml:space="preserve"> </w:t>
            </w:r>
            <w:r w:rsidRPr="008E0BB9">
              <w:t>352</w:t>
            </w:r>
          </w:p>
          <w:p w:rsidR="008E0BB9" w:rsidRPr="008E0BB9" w:rsidRDefault="008E0BB9" w:rsidP="008E0BB9">
            <w:pPr>
              <w:jc w:val="center"/>
            </w:pPr>
          </w:p>
        </w:tc>
      </w:tr>
      <w:tr w:rsidR="00623724" w:rsidRPr="00C2761A" w:rsidTr="008E0BB9">
        <w:trPr>
          <w:jc w:val="center"/>
        </w:trPr>
        <w:tc>
          <w:tcPr>
            <w:tcW w:w="2229" w:type="dxa"/>
          </w:tcPr>
          <w:p w:rsidR="00623724" w:rsidRPr="00C2761A" w:rsidRDefault="00623724" w:rsidP="00016659">
            <w:r w:rsidRPr="00C2761A">
              <w:rPr>
                <w:rFonts w:eastAsia="Calibri"/>
              </w:rPr>
              <w:t>1.2. valsts speciālais budžets</w:t>
            </w:r>
          </w:p>
        </w:tc>
        <w:tc>
          <w:tcPr>
            <w:tcW w:w="1273" w:type="dxa"/>
            <w:vAlign w:val="center"/>
          </w:tcPr>
          <w:p w:rsidR="00623724" w:rsidRPr="00C2761A" w:rsidRDefault="00623724" w:rsidP="00E53DB2">
            <w:pPr>
              <w:pStyle w:val="naisf"/>
              <w:spacing w:before="0" w:after="0"/>
              <w:ind w:firstLine="0"/>
              <w:jc w:val="center"/>
            </w:pPr>
            <w:r w:rsidRPr="00C2761A">
              <w:rPr>
                <w:rFonts w:eastAsia="Calibri"/>
              </w:rPr>
              <w:t>0</w:t>
            </w:r>
          </w:p>
        </w:tc>
        <w:tc>
          <w:tcPr>
            <w:tcW w:w="1171" w:type="dxa"/>
            <w:vAlign w:val="center"/>
          </w:tcPr>
          <w:p w:rsidR="00623724" w:rsidRPr="00C2761A" w:rsidRDefault="00623724" w:rsidP="0091265B">
            <w:pPr>
              <w:pStyle w:val="naisf"/>
              <w:spacing w:before="0" w:after="0"/>
              <w:ind w:firstLine="0"/>
              <w:jc w:val="center"/>
            </w:pPr>
            <w:r w:rsidRPr="00C2761A">
              <w:rPr>
                <w:rFonts w:eastAsia="Calibri"/>
              </w:rPr>
              <w:t>0</w:t>
            </w:r>
          </w:p>
        </w:tc>
        <w:tc>
          <w:tcPr>
            <w:tcW w:w="1457" w:type="dxa"/>
            <w:vAlign w:val="center"/>
          </w:tcPr>
          <w:p w:rsidR="00623724" w:rsidRPr="003C4140" w:rsidRDefault="00623724" w:rsidP="0091265B">
            <w:pPr>
              <w:pStyle w:val="naisf"/>
              <w:spacing w:before="0" w:after="0"/>
              <w:ind w:firstLine="0"/>
              <w:jc w:val="center"/>
            </w:pPr>
            <w:r w:rsidRPr="003C4140">
              <w:rPr>
                <w:rFonts w:eastAsia="Calibri"/>
              </w:rPr>
              <w:t>0</w:t>
            </w:r>
          </w:p>
        </w:tc>
        <w:tc>
          <w:tcPr>
            <w:tcW w:w="1520" w:type="dxa"/>
            <w:vAlign w:val="center"/>
          </w:tcPr>
          <w:p w:rsidR="00623724" w:rsidRPr="003C4140" w:rsidRDefault="00623724" w:rsidP="0091265B">
            <w:pPr>
              <w:pStyle w:val="naisf"/>
              <w:spacing w:before="0" w:after="0"/>
              <w:ind w:firstLine="0"/>
              <w:jc w:val="center"/>
            </w:pPr>
            <w:r w:rsidRPr="003C4140">
              <w:rPr>
                <w:rFonts w:eastAsia="Calibri"/>
              </w:rPr>
              <w:t>0</w:t>
            </w:r>
          </w:p>
        </w:tc>
        <w:tc>
          <w:tcPr>
            <w:tcW w:w="1417" w:type="dxa"/>
            <w:vAlign w:val="center"/>
          </w:tcPr>
          <w:p w:rsidR="00623724" w:rsidRPr="003C4140" w:rsidRDefault="00623724" w:rsidP="0091265B">
            <w:pPr>
              <w:pStyle w:val="naisf"/>
              <w:spacing w:before="0" w:after="0"/>
              <w:ind w:firstLine="0"/>
              <w:jc w:val="center"/>
            </w:pPr>
            <w:r w:rsidRPr="003C4140">
              <w:rPr>
                <w:rFonts w:eastAsia="Calibri"/>
              </w:rPr>
              <w:t>0</w:t>
            </w:r>
          </w:p>
        </w:tc>
      </w:tr>
      <w:tr w:rsidR="00623724" w:rsidRPr="00C2761A" w:rsidTr="008E0BB9">
        <w:trPr>
          <w:jc w:val="center"/>
        </w:trPr>
        <w:tc>
          <w:tcPr>
            <w:tcW w:w="2229" w:type="dxa"/>
          </w:tcPr>
          <w:p w:rsidR="00623724" w:rsidRPr="00C2761A" w:rsidRDefault="00623724" w:rsidP="00016659">
            <w:r w:rsidRPr="00C2761A">
              <w:rPr>
                <w:rFonts w:eastAsia="Calibri"/>
              </w:rPr>
              <w:t>1.3. pašvaldību budžets</w:t>
            </w:r>
          </w:p>
        </w:tc>
        <w:tc>
          <w:tcPr>
            <w:tcW w:w="1273" w:type="dxa"/>
            <w:vAlign w:val="center"/>
          </w:tcPr>
          <w:p w:rsidR="00623724" w:rsidRPr="00C2761A" w:rsidRDefault="00623724" w:rsidP="00E53DB2">
            <w:pPr>
              <w:pStyle w:val="naisf"/>
              <w:spacing w:before="0" w:after="0"/>
              <w:ind w:firstLine="0"/>
              <w:jc w:val="center"/>
            </w:pPr>
            <w:r w:rsidRPr="00C2761A">
              <w:rPr>
                <w:rFonts w:eastAsia="Calibri"/>
              </w:rPr>
              <w:t>0</w:t>
            </w:r>
          </w:p>
        </w:tc>
        <w:tc>
          <w:tcPr>
            <w:tcW w:w="1171" w:type="dxa"/>
            <w:vAlign w:val="center"/>
          </w:tcPr>
          <w:p w:rsidR="00623724" w:rsidRPr="00C2761A" w:rsidRDefault="00623724" w:rsidP="0091265B">
            <w:pPr>
              <w:pStyle w:val="naisf"/>
              <w:spacing w:before="0" w:after="0"/>
              <w:ind w:firstLine="0"/>
              <w:jc w:val="center"/>
            </w:pPr>
            <w:r w:rsidRPr="00C2761A">
              <w:rPr>
                <w:rFonts w:eastAsia="Calibri"/>
              </w:rPr>
              <w:t>0</w:t>
            </w:r>
          </w:p>
        </w:tc>
        <w:tc>
          <w:tcPr>
            <w:tcW w:w="1457" w:type="dxa"/>
            <w:vAlign w:val="center"/>
          </w:tcPr>
          <w:p w:rsidR="00623724" w:rsidRPr="003C4140" w:rsidRDefault="00623724" w:rsidP="0091265B">
            <w:pPr>
              <w:pStyle w:val="naisf"/>
              <w:spacing w:before="0" w:after="0"/>
              <w:ind w:firstLine="0"/>
              <w:jc w:val="center"/>
            </w:pPr>
            <w:r w:rsidRPr="003C4140">
              <w:rPr>
                <w:rFonts w:eastAsia="Calibri"/>
              </w:rPr>
              <w:t>0</w:t>
            </w:r>
          </w:p>
        </w:tc>
        <w:tc>
          <w:tcPr>
            <w:tcW w:w="1520" w:type="dxa"/>
            <w:vAlign w:val="center"/>
          </w:tcPr>
          <w:p w:rsidR="00623724" w:rsidRPr="003C4140" w:rsidRDefault="00623724" w:rsidP="0091265B">
            <w:pPr>
              <w:pStyle w:val="naisf"/>
              <w:spacing w:before="0" w:after="0"/>
              <w:ind w:firstLine="0"/>
              <w:jc w:val="center"/>
            </w:pPr>
            <w:r w:rsidRPr="003C4140">
              <w:rPr>
                <w:rFonts w:eastAsia="Calibri"/>
              </w:rPr>
              <w:t>0</w:t>
            </w:r>
          </w:p>
        </w:tc>
        <w:tc>
          <w:tcPr>
            <w:tcW w:w="1417" w:type="dxa"/>
            <w:vAlign w:val="center"/>
          </w:tcPr>
          <w:p w:rsidR="00623724" w:rsidRPr="003C4140" w:rsidRDefault="00623724" w:rsidP="0091265B">
            <w:pPr>
              <w:pStyle w:val="naisf"/>
              <w:spacing w:before="0" w:after="0"/>
              <w:ind w:firstLine="0"/>
              <w:jc w:val="center"/>
            </w:pPr>
            <w:r w:rsidRPr="003C4140">
              <w:rPr>
                <w:rFonts w:eastAsia="Calibri"/>
              </w:rPr>
              <w:t>0</w:t>
            </w:r>
          </w:p>
        </w:tc>
      </w:tr>
      <w:tr w:rsidR="003C4140" w:rsidRPr="00C2761A" w:rsidTr="008E0BB9">
        <w:trPr>
          <w:jc w:val="center"/>
        </w:trPr>
        <w:tc>
          <w:tcPr>
            <w:tcW w:w="2229" w:type="dxa"/>
          </w:tcPr>
          <w:p w:rsidR="003C4140" w:rsidRPr="00C2761A" w:rsidRDefault="003C4140" w:rsidP="00016659">
            <w:r w:rsidRPr="00C2761A">
              <w:t>2. Budžeta izdevumi:</w:t>
            </w:r>
          </w:p>
        </w:tc>
        <w:tc>
          <w:tcPr>
            <w:tcW w:w="1273" w:type="dxa"/>
          </w:tcPr>
          <w:p w:rsidR="003C4140" w:rsidRPr="00C2761A" w:rsidRDefault="003C4140" w:rsidP="00E53DB2">
            <w:pPr>
              <w:pStyle w:val="naisf"/>
              <w:spacing w:before="0" w:after="0"/>
              <w:ind w:firstLine="0"/>
              <w:jc w:val="center"/>
            </w:pPr>
            <w:r w:rsidRPr="00C2761A">
              <w:t>0</w:t>
            </w:r>
          </w:p>
        </w:tc>
        <w:tc>
          <w:tcPr>
            <w:tcW w:w="1171" w:type="dxa"/>
          </w:tcPr>
          <w:p w:rsidR="003C4140" w:rsidRPr="00C2761A" w:rsidRDefault="006A00C7" w:rsidP="0091265B">
            <w:pPr>
              <w:pStyle w:val="naisf"/>
              <w:spacing w:before="0" w:after="0"/>
              <w:ind w:firstLine="0"/>
              <w:jc w:val="center"/>
            </w:pPr>
            <w:r>
              <w:t>0</w:t>
            </w:r>
          </w:p>
        </w:tc>
        <w:tc>
          <w:tcPr>
            <w:tcW w:w="1457" w:type="dxa"/>
          </w:tcPr>
          <w:p w:rsidR="008E0BB9" w:rsidRPr="008E0BB9" w:rsidRDefault="008E0BB9" w:rsidP="008E0BB9">
            <w:pPr>
              <w:jc w:val="center"/>
            </w:pPr>
            <w:r w:rsidRPr="008E0BB9">
              <w:t>8</w:t>
            </w:r>
            <w:r>
              <w:t xml:space="preserve"> </w:t>
            </w:r>
            <w:r w:rsidRPr="008E0BB9">
              <w:t>928</w:t>
            </w:r>
            <w:r>
              <w:t xml:space="preserve"> </w:t>
            </w:r>
            <w:r w:rsidRPr="008E0BB9">
              <w:t>331</w:t>
            </w:r>
          </w:p>
          <w:p w:rsidR="008E0BB9" w:rsidRPr="008E0BB9" w:rsidRDefault="008E0BB9" w:rsidP="006A00C7">
            <w:pPr>
              <w:pStyle w:val="naisf"/>
              <w:spacing w:before="0" w:after="0"/>
              <w:ind w:firstLine="0"/>
              <w:jc w:val="center"/>
              <w:rPr>
                <w:highlight w:val="yellow"/>
              </w:rPr>
            </w:pPr>
          </w:p>
        </w:tc>
        <w:tc>
          <w:tcPr>
            <w:tcW w:w="1520" w:type="dxa"/>
          </w:tcPr>
          <w:p w:rsidR="008E0BB9" w:rsidRPr="008E0BB9" w:rsidRDefault="008E0BB9" w:rsidP="008E0BB9">
            <w:pPr>
              <w:jc w:val="center"/>
            </w:pPr>
            <w:r w:rsidRPr="008E0BB9">
              <w:t>11</w:t>
            </w:r>
            <w:r>
              <w:t xml:space="preserve"> </w:t>
            </w:r>
            <w:r w:rsidRPr="008E0BB9">
              <w:t>160</w:t>
            </w:r>
            <w:r>
              <w:t xml:space="preserve"> </w:t>
            </w:r>
            <w:r w:rsidRPr="008E0BB9">
              <w:t>414</w:t>
            </w:r>
          </w:p>
          <w:p w:rsidR="008E0BB9" w:rsidRPr="008E0BB9" w:rsidRDefault="008E0BB9" w:rsidP="003C4140">
            <w:pPr>
              <w:jc w:val="center"/>
            </w:pPr>
          </w:p>
        </w:tc>
        <w:tc>
          <w:tcPr>
            <w:tcW w:w="1417" w:type="dxa"/>
          </w:tcPr>
          <w:p w:rsidR="008E0BB9" w:rsidRPr="008E0BB9" w:rsidRDefault="008E0BB9" w:rsidP="008E0BB9">
            <w:pPr>
              <w:jc w:val="center"/>
            </w:pPr>
            <w:r w:rsidRPr="008E0BB9">
              <w:t>11</w:t>
            </w:r>
            <w:r>
              <w:t xml:space="preserve"> </w:t>
            </w:r>
            <w:r w:rsidRPr="008E0BB9">
              <w:t>160</w:t>
            </w:r>
            <w:r>
              <w:t xml:space="preserve"> </w:t>
            </w:r>
            <w:r w:rsidRPr="008E0BB9">
              <w:t>414</w:t>
            </w:r>
          </w:p>
          <w:p w:rsidR="008E0BB9" w:rsidRPr="008E0BB9" w:rsidRDefault="008E0BB9" w:rsidP="003C4140">
            <w:pPr>
              <w:jc w:val="center"/>
            </w:pPr>
          </w:p>
        </w:tc>
      </w:tr>
      <w:tr w:rsidR="008E0BB9" w:rsidRPr="00C2761A" w:rsidTr="008E0BB9">
        <w:trPr>
          <w:jc w:val="center"/>
        </w:trPr>
        <w:tc>
          <w:tcPr>
            <w:tcW w:w="2229" w:type="dxa"/>
          </w:tcPr>
          <w:p w:rsidR="008E0BB9" w:rsidRPr="00C2761A" w:rsidRDefault="008E0BB9" w:rsidP="008E0BB9">
            <w:r w:rsidRPr="00C2761A">
              <w:rPr>
                <w:rFonts w:eastAsia="Calibri"/>
              </w:rPr>
              <w:t>2.1. valsts pamatbudžets</w:t>
            </w:r>
          </w:p>
        </w:tc>
        <w:tc>
          <w:tcPr>
            <w:tcW w:w="1273" w:type="dxa"/>
            <w:shd w:val="clear" w:color="auto" w:fill="auto"/>
            <w:vAlign w:val="center"/>
          </w:tcPr>
          <w:p w:rsidR="008E0BB9" w:rsidRPr="00C2761A" w:rsidRDefault="008E0BB9" w:rsidP="008E0BB9">
            <w:pPr>
              <w:pStyle w:val="naisf"/>
              <w:spacing w:before="0" w:after="0"/>
              <w:ind w:firstLine="0"/>
              <w:jc w:val="center"/>
            </w:pPr>
            <w:r w:rsidRPr="00C2761A">
              <w:rPr>
                <w:rFonts w:eastAsia="Calibri"/>
              </w:rPr>
              <w:t>0</w:t>
            </w:r>
          </w:p>
        </w:tc>
        <w:tc>
          <w:tcPr>
            <w:tcW w:w="1171" w:type="dxa"/>
            <w:shd w:val="clear" w:color="auto" w:fill="auto"/>
          </w:tcPr>
          <w:p w:rsidR="008E0BB9" w:rsidRPr="00C2761A" w:rsidRDefault="008E0BB9" w:rsidP="008E0BB9">
            <w:pPr>
              <w:pStyle w:val="naisf"/>
              <w:spacing w:before="0" w:after="0"/>
              <w:ind w:firstLine="0"/>
              <w:jc w:val="center"/>
            </w:pPr>
            <w:r>
              <w:t>0</w:t>
            </w:r>
          </w:p>
        </w:tc>
        <w:tc>
          <w:tcPr>
            <w:tcW w:w="1457" w:type="dxa"/>
          </w:tcPr>
          <w:p w:rsidR="008E0BB9" w:rsidRPr="008E0BB9" w:rsidRDefault="008E0BB9" w:rsidP="008E0BB9">
            <w:pPr>
              <w:jc w:val="center"/>
            </w:pPr>
            <w:r w:rsidRPr="008E0BB9">
              <w:t>8</w:t>
            </w:r>
            <w:r>
              <w:t xml:space="preserve"> </w:t>
            </w:r>
            <w:r w:rsidRPr="008E0BB9">
              <w:t>928</w:t>
            </w:r>
            <w:r>
              <w:t xml:space="preserve"> </w:t>
            </w:r>
            <w:r w:rsidRPr="008E0BB9">
              <w:t>331</w:t>
            </w:r>
          </w:p>
          <w:p w:rsidR="008E0BB9" w:rsidRPr="008E0BB9" w:rsidRDefault="008E0BB9" w:rsidP="008E0BB9">
            <w:pPr>
              <w:pStyle w:val="naisf"/>
              <w:spacing w:before="0" w:after="0"/>
              <w:ind w:firstLine="0"/>
              <w:jc w:val="center"/>
              <w:rPr>
                <w:highlight w:val="yellow"/>
              </w:rPr>
            </w:pPr>
          </w:p>
        </w:tc>
        <w:tc>
          <w:tcPr>
            <w:tcW w:w="1520" w:type="dxa"/>
          </w:tcPr>
          <w:p w:rsidR="008E0BB9" w:rsidRPr="008E0BB9" w:rsidRDefault="008E0BB9" w:rsidP="008E0BB9">
            <w:pPr>
              <w:jc w:val="center"/>
            </w:pPr>
            <w:r w:rsidRPr="008E0BB9">
              <w:t>11</w:t>
            </w:r>
            <w:r>
              <w:t xml:space="preserve"> </w:t>
            </w:r>
            <w:r w:rsidRPr="008E0BB9">
              <w:t>160</w:t>
            </w:r>
            <w:r>
              <w:t xml:space="preserve"> </w:t>
            </w:r>
            <w:r w:rsidRPr="008E0BB9">
              <w:t>414</w:t>
            </w:r>
          </w:p>
          <w:p w:rsidR="008E0BB9" w:rsidRPr="008E0BB9" w:rsidRDefault="008E0BB9" w:rsidP="008E0BB9">
            <w:pPr>
              <w:jc w:val="center"/>
            </w:pPr>
          </w:p>
        </w:tc>
        <w:tc>
          <w:tcPr>
            <w:tcW w:w="1417" w:type="dxa"/>
          </w:tcPr>
          <w:p w:rsidR="008E0BB9" w:rsidRPr="008E0BB9" w:rsidRDefault="008E0BB9" w:rsidP="008E0BB9">
            <w:pPr>
              <w:jc w:val="center"/>
            </w:pPr>
            <w:r w:rsidRPr="008E0BB9">
              <w:t>11</w:t>
            </w:r>
            <w:r>
              <w:t xml:space="preserve"> </w:t>
            </w:r>
            <w:r w:rsidRPr="008E0BB9">
              <w:t>160</w:t>
            </w:r>
            <w:r>
              <w:t xml:space="preserve"> </w:t>
            </w:r>
            <w:r w:rsidRPr="008E0BB9">
              <w:t>414</w:t>
            </w:r>
          </w:p>
          <w:p w:rsidR="008E0BB9" w:rsidRPr="008E0BB9" w:rsidRDefault="008E0BB9" w:rsidP="008E0BB9">
            <w:pPr>
              <w:jc w:val="center"/>
            </w:pPr>
          </w:p>
        </w:tc>
      </w:tr>
      <w:tr w:rsidR="00623724" w:rsidRPr="00C2761A" w:rsidTr="008E0BB9">
        <w:trPr>
          <w:jc w:val="center"/>
        </w:trPr>
        <w:tc>
          <w:tcPr>
            <w:tcW w:w="2229" w:type="dxa"/>
          </w:tcPr>
          <w:p w:rsidR="00623724" w:rsidRPr="00C2761A" w:rsidRDefault="00623724" w:rsidP="00016659">
            <w:r w:rsidRPr="00C2761A">
              <w:rPr>
                <w:rFonts w:eastAsia="Calibri"/>
              </w:rPr>
              <w:t>2.2. valsts speciālais budžets</w:t>
            </w:r>
          </w:p>
        </w:tc>
        <w:tc>
          <w:tcPr>
            <w:tcW w:w="1273" w:type="dxa"/>
            <w:shd w:val="clear" w:color="auto" w:fill="auto"/>
            <w:vAlign w:val="center"/>
          </w:tcPr>
          <w:p w:rsidR="00623724" w:rsidRPr="00C2761A" w:rsidRDefault="00623724" w:rsidP="00E53DB2">
            <w:pPr>
              <w:pStyle w:val="naisf"/>
              <w:spacing w:before="0" w:after="0"/>
              <w:ind w:firstLine="0"/>
              <w:jc w:val="center"/>
            </w:pPr>
            <w:r w:rsidRPr="00C2761A">
              <w:rPr>
                <w:rFonts w:eastAsia="Calibri"/>
              </w:rPr>
              <w:t>0</w:t>
            </w:r>
          </w:p>
        </w:tc>
        <w:tc>
          <w:tcPr>
            <w:tcW w:w="1171" w:type="dxa"/>
            <w:shd w:val="clear" w:color="auto" w:fill="auto"/>
            <w:vAlign w:val="center"/>
          </w:tcPr>
          <w:p w:rsidR="00623724" w:rsidRPr="00C2761A" w:rsidRDefault="00623724" w:rsidP="000C0381">
            <w:pPr>
              <w:pStyle w:val="naisf"/>
              <w:spacing w:before="0" w:after="0"/>
              <w:ind w:firstLine="0"/>
              <w:jc w:val="center"/>
            </w:pPr>
            <w:r w:rsidRPr="00C2761A">
              <w:rPr>
                <w:rFonts w:eastAsia="Calibri"/>
              </w:rPr>
              <w:t>0</w:t>
            </w:r>
          </w:p>
        </w:tc>
        <w:tc>
          <w:tcPr>
            <w:tcW w:w="1457" w:type="dxa"/>
            <w:vAlign w:val="center"/>
          </w:tcPr>
          <w:p w:rsidR="00623724" w:rsidRPr="003C4140" w:rsidRDefault="00623724" w:rsidP="000C0381">
            <w:pPr>
              <w:pStyle w:val="naisf"/>
              <w:spacing w:before="0" w:after="0"/>
              <w:ind w:firstLine="0"/>
              <w:jc w:val="center"/>
            </w:pPr>
            <w:r w:rsidRPr="003C4140">
              <w:rPr>
                <w:rFonts w:eastAsia="Calibri"/>
              </w:rPr>
              <w:t>0</w:t>
            </w:r>
          </w:p>
        </w:tc>
        <w:tc>
          <w:tcPr>
            <w:tcW w:w="1520" w:type="dxa"/>
            <w:vAlign w:val="center"/>
          </w:tcPr>
          <w:p w:rsidR="00623724" w:rsidRPr="003C4140" w:rsidRDefault="00623724" w:rsidP="000C0381">
            <w:pPr>
              <w:pStyle w:val="naisf"/>
              <w:spacing w:before="0" w:after="0"/>
              <w:ind w:firstLine="0"/>
              <w:jc w:val="center"/>
            </w:pPr>
            <w:r w:rsidRPr="003C4140">
              <w:rPr>
                <w:rFonts w:eastAsia="Calibri"/>
              </w:rPr>
              <w:t>0</w:t>
            </w:r>
          </w:p>
        </w:tc>
        <w:tc>
          <w:tcPr>
            <w:tcW w:w="1417" w:type="dxa"/>
            <w:vAlign w:val="center"/>
          </w:tcPr>
          <w:p w:rsidR="00623724" w:rsidRPr="003C4140" w:rsidRDefault="00623724" w:rsidP="000C0381">
            <w:pPr>
              <w:pStyle w:val="naisf"/>
              <w:spacing w:before="0" w:after="0"/>
              <w:ind w:firstLine="0"/>
              <w:jc w:val="center"/>
            </w:pPr>
            <w:r w:rsidRPr="003C4140">
              <w:rPr>
                <w:rFonts w:eastAsia="Calibri"/>
              </w:rPr>
              <w:t>0</w:t>
            </w:r>
          </w:p>
        </w:tc>
      </w:tr>
      <w:tr w:rsidR="00623724" w:rsidRPr="00C2761A" w:rsidTr="008E0BB9">
        <w:trPr>
          <w:jc w:val="center"/>
        </w:trPr>
        <w:tc>
          <w:tcPr>
            <w:tcW w:w="2229" w:type="dxa"/>
          </w:tcPr>
          <w:p w:rsidR="00623724" w:rsidRPr="00C2761A" w:rsidRDefault="00623724" w:rsidP="00016659">
            <w:r w:rsidRPr="00C2761A">
              <w:rPr>
                <w:rFonts w:eastAsia="Calibri"/>
              </w:rPr>
              <w:t>2.3. pašvaldību budžets</w:t>
            </w:r>
          </w:p>
        </w:tc>
        <w:tc>
          <w:tcPr>
            <w:tcW w:w="1273" w:type="dxa"/>
            <w:shd w:val="clear" w:color="auto" w:fill="auto"/>
            <w:vAlign w:val="center"/>
          </w:tcPr>
          <w:p w:rsidR="00623724" w:rsidRPr="00C2761A" w:rsidRDefault="00623724" w:rsidP="00E53DB2">
            <w:pPr>
              <w:pStyle w:val="naisf"/>
              <w:spacing w:before="0" w:after="0"/>
              <w:ind w:firstLine="0"/>
              <w:jc w:val="center"/>
            </w:pPr>
            <w:r w:rsidRPr="00C2761A">
              <w:rPr>
                <w:rFonts w:eastAsia="Calibri"/>
              </w:rPr>
              <w:t>0</w:t>
            </w:r>
          </w:p>
        </w:tc>
        <w:tc>
          <w:tcPr>
            <w:tcW w:w="1171" w:type="dxa"/>
            <w:shd w:val="clear" w:color="auto" w:fill="auto"/>
            <w:vAlign w:val="center"/>
          </w:tcPr>
          <w:p w:rsidR="00623724" w:rsidRPr="00C2761A" w:rsidRDefault="00623724" w:rsidP="000C0381">
            <w:pPr>
              <w:pStyle w:val="naisf"/>
              <w:spacing w:before="0" w:after="0"/>
              <w:ind w:firstLine="0"/>
              <w:jc w:val="center"/>
            </w:pPr>
            <w:r w:rsidRPr="00C2761A">
              <w:rPr>
                <w:rFonts w:eastAsia="Calibri"/>
              </w:rPr>
              <w:t>0</w:t>
            </w:r>
          </w:p>
        </w:tc>
        <w:tc>
          <w:tcPr>
            <w:tcW w:w="1457" w:type="dxa"/>
            <w:vAlign w:val="center"/>
          </w:tcPr>
          <w:p w:rsidR="00623724" w:rsidRPr="003C4140" w:rsidRDefault="00623724" w:rsidP="000C0381">
            <w:pPr>
              <w:pStyle w:val="naisf"/>
              <w:spacing w:before="0" w:after="0"/>
              <w:ind w:firstLine="0"/>
              <w:jc w:val="center"/>
            </w:pPr>
            <w:r w:rsidRPr="003C4140">
              <w:rPr>
                <w:rFonts w:eastAsia="Calibri"/>
              </w:rPr>
              <w:t>0</w:t>
            </w:r>
          </w:p>
        </w:tc>
        <w:tc>
          <w:tcPr>
            <w:tcW w:w="1520" w:type="dxa"/>
            <w:vAlign w:val="center"/>
          </w:tcPr>
          <w:p w:rsidR="00623724" w:rsidRPr="003C4140" w:rsidRDefault="00623724" w:rsidP="000C0381">
            <w:pPr>
              <w:pStyle w:val="naisf"/>
              <w:spacing w:before="0" w:after="0"/>
              <w:ind w:firstLine="0"/>
              <w:jc w:val="center"/>
            </w:pPr>
            <w:r w:rsidRPr="003C4140">
              <w:rPr>
                <w:rFonts w:eastAsia="Calibri"/>
              </w:rPr>
              <w:t>0</w:t>
            </w:r>
          </w:p>
        </w:tc>
        <w:tc>
          <w:tcPr>
            <w:tcW w:w="1417" w:type="dxa"/>
            <w:vAlign w:val="center"/>
          </w:tcPr>
          <w:p w:rsidR="00623724" w:rsidRPr="003C4140" w:rsidRDefault="00623724" w:rsidP="000C0381">
            <w:pPr>
              <w:pStyle w:val="naisf"/>
              <w:spacing w:before="0" w:after="0"/>
              <w:ind w:firstLine="0"/>
              <w:jc w:val="center"/>
            </w:pPr>
            <w:r w:rsidRPr="003C4140">
              <w:rPr>
                <w:rFonts w:eastAsia="Calibri"/>
              </w:rPr>
              <w:t>0</w:t>
            </w:r>
          </w:p>
        </w:tc>
      </w:tr>
      <w:tr w:rsidR="00BF3649" w:rsidRPr="00C2761A" w:rsidTr="008E0BB9">
        <w:trPr>
          <w:jc w:val="center"/>
        </w:trPr>
        <w:tc>
          <w:tcPr>
            <w:tcW w:w="2229" w:type="dxa"/>
          </w:tcPr>
          <w:p w:rsidR="00BF3649" w:rsidRPr="00C2761A" w:rsidRDefault="00BF3649" w:rsidP="00016659">
            <w:r w:rsidRPr="00C2761A">
              <w:t>3. Finansiālā ietekme:</w:t>
            </w:r>
          </w:p>
        </w:tc>
        <w:tc>
          <w:tcPr>
            <w:tcW w:w="1273" w:type="dxa"/>
            <w:shd w:val="clear" w:color="auto" w:fill="auto"/>
          </w:tcPr>
          <w:p w:rsidR="00BF3649" w:rsidRPr="00C2761A" w:rsidRDefault="00E53DB2" w:rsidP="00E53DB2">
            <w:pPr>
              <w:pStyle w:val="naisf"/>
              <w:spacing w:before="0" w:after="0"/>
              <w:ind w:firstLine="0"/>
              <w:jc w:val="center"/>
            </w:pPr>
            <w:r w:rsidRPr="00C2761A">
              <w:t>0</w:t>
            </w:r>
          </w:p>
        </w:tc>
        <w:tc>
          <w:tcPr>
            <w:tcW w:w="1171" w:type="dxa"/>
            <w:shd w:val="clear" w:color="auto" w:fill="auto"/>
          </w:tcPr>
          <w:p w:rsidR="00BF3649" w:rsidRPr="003C4140" w:rsidRDefault="006A00C7" w:rsidP="000C0381">
            <w:pPr>
              <w:pStyle w:val="naisf"/>
              <w:spacing w:before="0" w:after="0"/>
              <w:ind w:firstLine="0"/>
              <w:jc w:val="center"/>
            </w:pPr>
            <w:r>
              <w:t>0</w:t>
            </w:r>
          </w:p>
        </w:tc>
        <w:tc>
          <w:tcPr>
            <w:tcW w:w="1457" w:type="dxa"/>
          </w:tcPr>
          <w:p w:rsidR="008E0BB9" w:rsidRPr="008E0BB9" w:rsidRDefault="000C0381" w:rsidP="008E0BB9">
            <w:pPr>
              <w:pStyle w:val="naisf"/>
              <w:spacing w:before="0" w:after="0"/>
              <w:ind w:firstLine="0"/>
              <w:jc w:val="center"/>
              <w:rPr>
                <w:sz w:val="22"/>
                <w:szCs w:val="22"/>
              </w:rPr>
            </w:pPr>
            <w:r w:rsidRPr="008E0BB9">
              <w:rPr>
                <w:sz w:val="22"/>
                <w:szCs w:val="22"/>
              </w:rPr>
              <w:t xml:space="preserve">- </w:t>
            </w:r>
            <w:r w:rsidR="008E0BB9" w:rsidRPr="008E0BB9">
              <w:rPr>
                <w:sz w:val="22"/>
                <w:szCs w:val="22"/>
              </w:rPr>
              <w:t>1 339 250</w:t>
            </w:r>
          </w:p>
          <w:p w:rsidR="008E0BB9" w:rsidRPr="008E0BB9" w:rsidRDefault="008E0BB9" w:rsidP="006A00C7">
            <w:pPr>
              <w:pStyle w:val="naisf"/>
              <w:spacing w:before="0" w:after="0"/>
              <w:ind w:firstLine="0"/>
              <w:jc w:val="center"/>
              <w:rPr>
                <w:sz w:val="22"/>
                <w:szCs w:val="22"/>
              </w:rPr>
            </w:pPr>
          </w:p>
        </w:tc>
        <w:tc>
          <w:tcPr>
            <w:tcW w:w="1520" w:type="dxa"/>
          </w:tcPr>
          <w:p w:rsidR="008E0BB9" w:rsidRPr="008E0BB9" w:rsidRDefault="000C0381" w:rsidP="008E0BB9">
            <w:pPr>
              <w:pStyle w:val="naisf"/>
              <w:spacing w:before="0" w:after="0"/>
              <w:ind w:firstLine="0"/>
              <w:jc w:val="center"/>
              <w:rPr>
                <w:color w:val="000000"/>
                <w:sz w:val="22"/>
                <w:szCs w:val="22"/>
              </w:rPr>
            </w:pPr>
            <w:r w:rsidRPr="008E0BB9">
              <w:rPr>
                <w:sz w:val="22"/>
                <w:szCs w:val="22"/>
              </w:rPr>
              <w:t xml:space="preserve">- </w:t>
            </w:r>
            <w:r w:rsidR="008E0BB9" w:rsidRPr="008E0BB9">
              <w:rPr>
                <w:color w:val="000000"/>
                <w:sz w:val="22"/>
                <w:szCs w:val="22"/>
              </w:rPr>
              <w:t>1 674 062</w:t>
            </w:r>
          </w:p>
          <w:p w:rsidR="008E0BB9" w:rsidRPr="008E0BB9" w:rsidRDefault="008E0BB9" w:rsidP="003C4140">
            <w:pPr>
              <w:pStyle w:val="naisf"/>
              <w:spacing w:before="0" w:after="0"/>
              <w:ind w:firstLine="0"/>
              <w:jc w:val="center"/>
              <w:rPr>
                <w:sz w:val="22"/>
                <w:szCs w:val="22"/>
              </w:rPr>
            </w:pPr>
          </w:p>
        </w:tc>
        <w:tc>
          <w:tcPr>
            <w:tcW w:w="1417" w:type="dxa"/>
          </w:tcPr>
          <w:p w:rsidR="008E0BB9" w:rsidRPr="008E0BB9" w:rsidRDefault="000C0381" w:rsidP="008E0BB9">
            <w:pPr>
              <w:pStyle w:val="naisf"/>
              <w:spacing w:before="0" w:after="0"/>
              <w:ind w:firstLine="0"/>
              <w:jc w:val="center"/>
              <w:rPr>
                <w:color w:val="000000"/>
                <w:sz w:val="22"/>
                <w:szCs w:val="22"/>
              </w:rPr>
            </w:pPr>
            <w:r w:rsidRPr="008E0BB9">
              <w:rPr>
                <w:sz w:val="22"/>
                <w:szCs w:val="22"/>
              </w:rPr>
              <w:t xml:space="preserve">- </w:t>
            </w:r>
            <w:r w:rsidR="008E0BB9" w:rsidRPr="008E0BB9">
              <w:rPr>
                <w:color w:val="000000"/>
                <w:sz w:val="22"/>
                <w:szCs w:val="22"/>
              </w:rPr>
              <w:t>1 674 062</w:t>
            </w:r>
          </w:p>
          <w:p w:rsidR="008E0BB9" w:rsidRPr="008E0BB9" w:rsidRDefault="008E0BB9" w:rsidP="000C0381">
            <w:pPr>
              <w:pStyle w:val="naisf"/>
              <w:spacing w:before="0" w:after="0"/>
              <w:ind w:firstLine="0"/>
              <w:jc w:val="center"/>
              <w:rPr>
                <w:sz w:val="22"/>
                <w:szCs w:val="22"/>
              </w:rPr>
            </w:pPr>
          </w:p>
        </w:tc>
      </w:tr>
      <w:tr w:rsidR="008E0BB9" w:rsidRPr="00C2761A" w:rsidTr="008E0BB9">
        <w:trPr>
          <w:jc w:val="center"/>
        </w:trPr>
        <w:tc>
          <w:tcPr>
            <w:tcW w:w="2229" w:type="dxa"/>
          </w:tcPr>
          <w:p w:rsidR="008E0BB9" w:rsidRPr="00C2761A" w:rsidRDefault="008E0BB9" w:rsidP="008E0BB9">
            <w:r w:rsidRPr="00C2761A">
              <w:rPr>
                <w:rFonts w:eastAsia="Calibri"/>
              </w:rPr>
              <w:t>3.1. valsts pamatbudžets</w:t>
            </w:r>
          </w:p>
        </w:tc>
        <w:tc>
          <w:tcPr>
            <w:tcW w:w="1273" w:type="dxa"/>
            <w:shd w:val="clear" w:color="auto" w:fill="auto"/>
            <w:vAlign w:val="center"/>
          </w:tcPr>
          <w:p w:rsidR="008E0BB9" w:rsidRPr="00C2761A" w:rsidRDefault="008E0BB9" w:rsidP="008E0BB9">
            <w:pPr>
              <w:pStyle w:val="naisf"/>
              <w:spacing w:before="0" w:after="0"/>
              <w:ind w:firstLine="0"/>
              <w:jc w:val="center"/>
            </w:pPr>
            <w:r w:rsidRPr="00C2761A">
              <w:rPr>
                <w:rFonts w:eastAsia="Calibri"/>
              </w:rPr>
              <w:t>0</w:t>
            </w:r>
          </w:p>
        </w:tc>
        <w:tc>
          <w:tcPr>
            <w:tcW w:w="1171" w:type="dxa"/>
            <w:shd w:val="clear" w:color="auto" w:fill="auto"/>
          </w:tcPr>
          <w:p w:rsidR="008E0BB9" w:rsidRPr="003C4140" w:rsidRDefault="008E0BB9" w:rsidP="008E0BB9">
            <w:pPr>
              <w:pStyle w:val="naisf"/>
              <w:spacing w:before="0" w:after="0"/>
              <w:ind w:firstLine="0"/>
              <w:jc w:val="center"/>
            </w:pPr>
            <w:r>
              <w:t>0</w:t>
            </w:r>
          </w:p>
        </w:tc>
        <w:tc>
          <w:tcPr>
            <w:tcW w:w="1457" w:type="dxa"/>
          </w:tcPr>
          <w:p w:rsidR="008E0BB9" w:rsidRPr="008E0BB9" w:rsidRDefault="008E0BB9" w:rsidP="008E0BB9">
            <w:pPr>
              <w:pStyle w:val="naisf"/>
              <w:spacing w:before="0" w:after="0"/>
              <w:ind w:firstLine="0"/>
              <w:jc w:val="center"/>
              <w:rPr>
                <w:sz w:val="22"/>
                <w:szCs w:val="22"/>
              </w:rPr>
            </w:pPr>
            <w:r w:rsidRPr="008E0BB9">
              <w:rPr>
                <w:sz w:val="22"/>
                <w:szCs w:val="22"/>
              </w:rPr>
              <w:t>- 1 339 250</w:t>
            </w:r>
          </w:p>
          <w:p w:rsidR="008E0BB9" w:rsidRPr="008E0BB9" w:rsidRDefault="008E0BB9" w:rsidP="008E0BB9">
            <w:pPr>
              <w:pStyle w:val="naisf"/>
              <w:spacing w:before="0" w:after="0"/>
              <w:ind w:firstLine="0"/>
              <w:jc w:val="center"/>
              <w:rPr>
                <w:sz w:val="22"/>
                <w:szCs w:val="22"/>
              </w:rPr>
            </w:pPr>
          </w:p>
        </w:tc>
        <w:tc>
          <w:tcPr>
            <w:tcW w:w="1520" w:type="dxa"/>
          </w:tcPr>
          <w:p w:rsidR="008E0BB9" w:rsidRPr="008E0BB9" w:rsidRDefault="008E0BB9" w:rsidP="008E0BB9">
            <w:pPr>
              <w:pStyle w:val="naisf"/>
              <w:spacing w:before="0" w:after="0"/>
              <w:ind w:firstLine="0"/>
              <w:jc w:val="center"/>
              <w:rPr>
                <w:color w:val="000000"/>
                <w:sz w:val="22"/>
                <w:szCs w:val="22"/>
              </w:rPr>
            </w:pPr>
            <w:r w:rsidRPr="008E0BB9">
              <w:rPr>
                <w:sz w:val="22"/>
                <w:szCs w:val="22"/>
              </w:rPr>
              <w:t xml:space="preserve">- </w:t>
            </w:r>
            <w:r w:rsidRPr="008E0BB9">
              <w:rPr>
                <w:color w:val="000000"/>
                <w:sz w:val="22"/>
                <w:szCs w:val="22"/>
              </w:rPr>
              <w:t>1 674 062</w:t>
            </w:r>
          </w:p>
          <w:p w:rsidR="008E0BB9" w:rsidRPr="008E0BB9" w:rsidRDefault="008E0BB9" w:rsidP="008E0BB9">
            <w:pPr>
              <w:pStyle w:val="naisf"/>
              <w:spacing w:before="0" w:after="0"/>
              <w:ind w:firstLine="0"/>
              <w:jc w:val="center"/>
              <w:rPr>
                <w:sz w:val="22"/>
                <w:szCs w:val="22"/>
              </w:rPr>
            </w:pPr>
          </w:p>
        </w:tc>
        <w:tc>
          <w:tcPr>
            <w:tcW w:w="1417" w:type="dxa"/>
          </w:tcPr>
          <w:p w:rsidR="008E0BB9" w:rsidRPr="008E0BB9" w:rsidRDefault="008E0BB9" w:rsidP="008E0BB9">
            <w:pPr>
              <w:pStyle w:val="naisf"/>
              <w:spacing w:before="0" w:after="0"/>
              <w:ind w:firstLine="0"/>
              <w:jc w:val="center"/>
              <w:rPr>
                <w:color w:val="000000"/>
                <w:sz w:val="22"/>
                <w:szCs w:val="22"/>
              </w:rPr>
            </w:pPr>
            <w:r w:rsidRPr="008E0BB9">
              <w:rPr>
                <w:sz w:val="22"/>
                <w:szCs w:val="22"/>
              </w:rPr>
              <w:t xml:space="preserve">- </w:t>
            </w:r>
            <w:r w:rsidRPr="008E0BB9">
              <w:rPr>
                <w:color w:val="000000"/>
                <w:sz w:val="22"/>
                <w:szCs w:val="22"/>
              </w:rPr>
              <w:t>1 674 062</w:t>
            </w:r>
          </w:p>
          <w:p w:rsidR="008E0BB9" w:rsidRPr="008E0BB9" w:rsidRDefault="008E0BB9" w:rsidP="008E0BB9">
            <w:pPr>
              <w:pStyle w:val="naisf"/>
              <w:spacing w:before="0" w:after="0"/>
              <w:ind w:firstLine="0"/>
              <w:jc w:val="center"/>
              <w:rPr>
                <w:sz w:val="22"/>
                <w:szCs w:val="22"/>
              </w:rPr>
            </w:pPr>
          </w:p>
        </w:tc>
      </w:tr>
      <w:tr w:rsidR="00321969" w:rsidRPr="00C2761A" w:rsidTr="008E0BB9">
        <w:trPr>
          <w:jc w:val="center"/>
        </w:trPr>
        <w:tc>
          <w:tcPr>
            <w:tcW w:w="2229" w:type="dxa"/>
          </w:tcPr>
          <w:p w:rsidR="00321969" w:rsidRPr="00C2761A" w:rsidRDefault="00321969" w:rsidP="00016659">
            <w:r w:rsidRPr="00C2761A">
              <w:rPr>
                <w:rFonts w:eastAsia="Calibri"/>
              </w:rPr>
              <w:t>3.2. speciālais budžets</w:t>
            </w:r>
          </w:p>
        </w:tc>
        <w:tc>
          <w:tcPr>
            <w:tcW w:w="1273" w:type="dxa"/>
            <w:shd w:val="clear" w:color="auto" w:fill="auto"/>
            <w:vAlign w:val="center"/>
          </w:tcPr>
          <w:p w:rsidR="00321969" w:rsidRPr="00C2761A" w:rsidRDefault="00321969" w:rsidP="00E53DB2">
            <w:pPr>
              <w:pStyle w:val="naisf"/>
              <w:spacing w:before="0" w:after="0"/>
              <w:ind w:firstLine="0"/>
              <w:jc w:val="center"/>
            </w:pPr>
            <w:r w:rsidRPr="00C2761A">
              <w:rPr>
                <w:rFonts w:eastAsia="Calibri"/>
              </w:rPr>
              <w:t>0</w:t>
            </w:r>
          </w:p>
        </w:tc>
        <w:tc>
          <w:tcPr>
            <w:tcW w:w="1171" w:type="dxa"/>
            <w:shd w:val="clear" w:color="auto" w:fill="auto"/>
            <w:vAlign w:val="center"/>
          </w:tcPr>
          <w:p w:rsidR="00321969" w:rsidRPr="00C2761A" w:rsidRDefault="00321969" w:rsidP="000C0381">
            <w:pPr>
              <w:pStyle w:val="naisf"/>
              <w:spacing w:before="0" w:after="0"/>
              <w:ind w:firstLine="0"/>
              <w:jc w:val="center"/>
            </w:pPr>
            <w:r w:rsidRPr="00C2761A">
              <w:rPr>
                <w:rFonts w:eastAsia="Calibri"/>
              </w:rPr>
              <w:t>0</w:t>
            </w:r>
          </w:p>
        </w:tc>
        <w:tc>
          <w:tcPr>
            <w:tcW w:w="1457" w:type="dxa"/>
            <w:vAlign w:val="center"/>
          </w:tcPr>
          <w:p w:rsidR="00321969" w:rsidRPr="00C2761A" w:rsidRDefault="00321969" w:rsidP="000C0381">
            <w:pPr>
              <w:pStyle w:val="naisf"/>
              <w:spacing w:before="0" w:after="0"/>
              <w:ind w:firstLine="0"/>
              <w:jc w:val="center"/>
            </w:pPr>
            <w:r w:rsidRPr="00C2761A">
              <w:rPr>
                <w:rFonts w:eastAsia="Calibri"/>
              </w:rPr>
              <w:t>0</w:t>
            </w:r>
          </w:p>
        </w:tc>
        <w:tc>
          <w:tcPr>
            <w:tcW w:w="1520" w:type="dxa"/>
            <w:vAlign w:val="center"/>
          </w:tcPr>
          <w:p w:rsidR="00321969" w:rsidRPr="00C2761A" w:rsidRDefault="00321969" w:rsidP="000C0381">
            <w:pPr>
              <w:pStyle w:val="naisf"/>
              <w:spacing w:before="0" w:after="0"/>
              <w:ind w:firstLine="0"/>
              <w:jc w:val="center"/>
            </w:pPr>
            <w:r w:rsidRPr="00C2761A">
              <w:rPr>
                <w:rFonts w:eastAsia="Calibri"/>
              </w:rPr>
              <w:t>0</w:t>
            </w:r>
          </w:p>
        </w:tc>
        <w:tc>
          <w:tcPr>
            <w:tcW w:w="1417" w:type="dxa"/>
            <w:vAlign w:val="center"/>
          </w:tcPr>
          <w:p w:rsidR="00321969" w:rsidRPr="00C2761A" w:rsidRDefault="00321969" w:rsidP="000C0381">
            <w:pPr>
              <w:pStyle w:val="naisf"/>
              <w:spacing w:before="0" w:after="0"/>
              <w:ind w:firstLine="0"/>
              <w:jc w:val="center"/>
            </w:pPr>
            <w:r w:rsidRPr="00C2761A">
              <w:rPr>
                <w:rFonts w:eastAsia="Calibri"/>
              </w:rPr>
              <w:t>0</w:t>
            </w:r>
          </w:p>
        </w:tc>
      </w:tr>
      <w:tr w:rsidR="00321969" w:rsidRPr="00C2761A" w:rsidTr="008E0BB9">
        <w:trPr>
          <w:jc w:val="center"/>
        </w:trPr>
        <w:tc>
          <w:tcPr>
            <w:tcW w:w="2229" w:type="dxa"/>
          </w:tcPr>
          <w:p w:rsidR="00321969" w:rsidRPr="00C2761A" w:rsidRDefault="00321969" w:rsidP="00016659">
            <w:r w:rsidRPr="00C2761A">
              <w:rPr>
                <w:rFonts w:eastAsia="Calibri"/>
              </w:rPr>
              <w:t>3.3. pašvaldību budžets</w:t>
            </w:r>
          </w:p>
        </w:tc>
        <w:tc>
          <w:tcPr>
            <w:tcW w:w="1273" w:type="dxa"/>
            <w:shd w:val="clear" w:color="auto" w:fill="auto"/>
            <w:vAlign w:val="center"/>
          </w:tcPr>
          <w:p w:rsidR="00321969" w:rsidRPr="00C2761A" w:rsidRDefault="00321969" w:rsidP="00E53DB2">
            <w:pPr>
              <w:pStyle w:val="naisf"/>
              <w:spacing w:before="0" w:after="0"/>
              <w:ind w:firstLine="0"/>
              <w:jc w:val="center"/>
            </w:pPr>
            <w:r w:rsidRPr="00C2761A">
              <w:rPr>
                <w:rFonts w:eastAsia="Calibri"/>
              </w:rPr>
              <w:t>0</w:t>
            </w:r>
          </w:p>
        </w:tc>
        <w:tc>
          <w:tcPr>
            <w:tcW w:w="1171" w:type="dxa"/>
            <w:shd w:val="clear" w:color="auto" w:fill="auto"/>
            <w:vAlign w:val="center"/>
          </w:tcPr>
          <w:p w:rsidR="00321969" w:rsidRPr="00C2761A" w:rsidRDefault="00321969" w:rsidP="000C0381">
            <w:pPr>
              <w:pStyle w:val="naisf"/>
              <w:spacing w:before="0" w:after="0"/>
              <w:ind w:firstLine="0"/>
              <w:jc w:val="center"/>
            </w:pPr>
            <w:r w:rsidRPr="00C2761A">
              <w:rPr>
                <w:rFonts w:eastAsia="Calibri"/>
              </w:rPr>
              <w:t>0</w:t>
            </w:r>
          </w:p>
        </w:tc>
        <w:tc>
          <w:tcPr>
            <w:tcW w:w="1457" w:type="dxa"/>
            <w:vAlign w:val="center"/>
          </w:tcPr>
          <w:p w:rsidR="00321969" w:rsidRPr="00C2761A" w:rsidRDefault="00321969" w:rsidP="000C0381">
            <w:pPr>
              <w:pStyle w:val="naisf"/>
              <w:spacing w:before="0" w:after="0"/>
              <w:ind w:firstLine="0"/>
              <w:jc w:val="center"/>
            </w:pPr>
            <w:r w:rsidRPr="00C2761A">
              <w:rPr>
                <w:rFonts w:eastAsia="Calibri"/>
              </w:rPr>
              <w:t>0</w:t>
            </w:r>
          </w:p>
        </w:tc>
        <w:tc>
          <w:tcPr>
            <w:tcW w:w="1520" w:type="dxa"/>
            <w:vAlign w:val="center"/>
          </w:tcPr>
          <w:p w:rsidR="00321969" w:rsidRPr="00C2761A" w:rsidRDefault="00321969" w:rsidP="000C0381">
            <w:pPr>
              <w:pStyle w:val="naisf"/>
              <w:spacing w:before="0" w:after="0"/>
              <w:ind w:firstLine="0"/>
              <w:jc w:val="center"/>
            </w:pPr>
            <w:r w:rsidRPr="00C2761A">
              <w:rPr>
                <w:rFonts w:eastAsia="Calibri"/>
              </w:rPr>
              <w:t>0</w:t>
            </w:r>
          </w:p>
        </w:tc>
        <w:tc>
          <w:tcPr>
            <w:tcW w:w="1417" w:type="dxa"/>
            <w:vAlign w:val="center"/>
          </w:tcPr>
          <w:p w:rsidR="00321969" w:rsidRPr="00C2761A" w:rsidRDefault="00321969" w:rsidP="000C0381">
            <w:pPr>
              <w:pStyle w:val="naisf"/>
              <w:spacing w:before="0" w:after="0"/>
              <w:ind w:firstLine="0"/>
              <w:jc w:val="center"/>
            </w:pPr>
            <w:r w:rsidRPr="00C2761A">
              <w:rPr>
                <w:rFonts w:eastAsia="Calibri"/>
              </w:rPr>
              <w:t>0</w:t>
            </w:r>
          </w:p>
        </w:tc>
      </w:tr>
      <w:tr w:rsidR="00E33D24" w:rsidRPr="00C2761A" w:rsidTr="008E0BB9">
        <w:trPr>
          <w:trHeight w:val="1380"/>
          <w:jc w:val="center"/>
        </w:trPr>
        <w:tc>
          <w:tcPr>
            <w:tcW w:w="2229" w:type="dxa"/>
          </w:tcPr>
          <w:p w:rsidR="00E33D24" w:rsidRPr="00C2761A" w:rsidRDefault="00E33D24" w:rsidP="00E33D24">
            <w:r w:rsidRPr="00C2761A">
              <w:t>4. Finanšu līdzekļi papildu izdevumu finansēšanai (kompensējošu izdevumu samazinājumu norāda ar "+" zīmi)</w:t>
            </w:r>
          </w:p>
        </w:tc>
        <w:tc>
          <w:tcPr>
            <w:tcW w:w="1273" w:type="dxa"/>
          </w:tcPr>
          <w:p w:rsidR="00E33D24" w:rsidRPr="00677FEA" w:rsidRDefault="00E33D24" w:rsidP="00E33D24">
            <w:pPr>
              <w:pStyle w:val="naisf"/>
              <w:spacing w:before="0" w:after="0"/>
              <w:ind w:firstLine="0"/>
              <w:jc w:val="center"/>
            </w:pPr>
            <w:r w:rsidRPr="00677FEA">
              <w:t>n/a</w:t>
            </w:r>
          </w:p>
        </w:tc>
        <w:tc>
          <w:tcPr>
            <w:tcW w:w="1171" w:type="dxa"/>
          </w:tcPr>
          <w:p w:rsidR="00E33D24" w:rsidRPr="00677FEA" w:rsidRDefault="00E33D24" w:rsidP="00E33D24">
            <w:pPr>
              <w:jc w:val="center"/>
            </w:pPr>
            <w:r w:rsidRPr="00677FEA">
              <w:t>n/a</w:t>
            </w:r>
          </w:p>
        </w:tc>
        <w:tc>
          <w:tcPr>
            <w:tcW w:w="1457" w:type="dxa"/>
          </w:tcPr>
          <w:p w:rsidR="00E33D24" w:rsidRPr="008E0BB9" w:rsidRDefault="00E33D24" w:rsidP="00E33D24">
            <w:pPr>
              <w:pStyle w:val="naisf"/>
              <w:spacing w:before="0" w:after="0"/>
              <w:ind w:firstLine="0"/>
              <w:jc w:val="center"/>
              <w:rPr>
                <w:sz w:val="22"/>
                <w:szCs w:val="22"/>
              </w:rPr>
            </w:pPr>
            <w:r w:rsidRPr="008E0BB9">
              <w:rPr>
                <w:sz w:val="22"/>
                <w:szCs w:val="22"/>
              </w:rPr>
              <w:t xml:space="preserve"> 1 339 250</w:t>
            </w:r>
          </w:p>
          <w:p w:rsidR="00E33D24" w:rsidRPr="008E0BB9" w:rsidRDefault="00E33D24" w:rsidP="00E33D24">
            <w:pPr>
              <w:pStyle w:val="naisf"/>
              <w:spacing w:before="0" w:after="0"/>
              <w:ind w:firstLine="0"/>
              <w:jc w:val="center"/>
              <w:rPr>
                <w:sz w:val="22"/>
                <w:szCs w:val="22"/>
              </w:rPr>
            </w:pPr>
          </w:p>
        </w:tc>
        <w:tc>
          <w:tcPr>
            <w:tcW w:w="1520" w:type="dxa"/>
          </w:tcPr>
          <w:p w:rsidR="00E33D24" w:rsidRPr="008E0BB9" w:rsidRDefault="00E33D24" w:rsidP="00E33D24">
            <w:pPr>
              <w:pStyle w:val="naisf"/>
              <w:spacing w:before="0" w:after="0"/>
              <w:ind w:firstLine="0"/>
              <w:jc w:val="center"/>
              <w:rPr>
                <w:color w:val="000000"/>
                <w:sz w:val="22"/>
                <w:szCs w:val="22"/>
              </w:rPr>
            </w:pPr>
            <w:r w:rsidRPr="008E0BB9">
              <w:rPr>
                <w:sz w:val="22"/>
                <w:szCs w:val="22"/>
              </w:rPr>
              <w:t xml:space="preserve"> </w:t>
            </w:r>
            <w:r w:rsidRPr="008E0BB9">
              <w:rPr>
                <w:color w:val="000000"/>
                <w:sz w:val="22"/>
                <w:szCs w:val="22"/>
              </w:rPr>
              <w:t>1 674 062</w:t>
            </w:r>
          </w:p>
          <w:p w:rsidR="00E33D24" w:rsidRPr="008E0BB9" w:rsidRDefault="00E33D24" w:rsidP="00E33D24">
            <w:pPr>
              <w:pStyle w:val="naisf"/>
              <w:spacing w:before="0" w:after="0"/>
              <w:ind w:firstLine="0"/>
              <w:jc w:val="center"/>
              <w:rPr>
                <w:sz w:val="22"/>
                <w:szCs w:val="22"/>
              </w:rPr>
            </w:pPr>
          </w:p>
        </w:tc>
        <w:tc>
          <w:tcPr>
            <w:tcW w:w="1417" w:type="dxa"/>
          </w:tcPr>
          <w:p w:rsidR="00E33D24" w:rsidRPr="008E0BB9" w:rsidRDefault="00E33D24" w:rsidP="00E33D24">
            <w:pPr>
              <w:pStyle w:val="naisf"/>
              <w:spacing w:before="0" w:after="0"/>
              <w:ind w:firstLine="0"/>
              <w:jc w:val="center"/>
              <w:rPr>
                <w:color w:val="000000"/>
                <w:sz w:val="22"/>
                <w:szCs w:val="22"/>
              </w:rPr>
            </w:pPr>
            <w:r w:rsidRPr="008E0BB9">
              <w:rPr>
                <w:sz w:val="22"/>
                <w:szCs w:val="22"/>
              </w:rPr>
              <w:t xml:space="preserve"> </w:t>
            </w:r>
            <w:r w:rsidRPr="008E0BB9">
              <w:rPr>
                <w:color w:val="000000"/>
                <w:sz w:val="22"/>
                <w:szCs w:val="22"/>
              </w:rPr>
              <w:t>1 674 062</w:t>
            </w:r>
          </w:p>
          <w:p w:rsidR="00E33D24" w:rsidRPr="008E0BB9" w:rsidRDefault="00E33D24" w:rsidP="00E33D24">
            <w:pPr>
              <w:pStyle w:val="naisf"/>
              <w:spacing w:before="0" w:after="0"/>
              <w:ind w:firstLine="0"/>
              <w:jc w:val="center"/>
              <w:rPr>
                <w:sz w:val="22"/>
                <w:szCs w:val="22"/>
              </w:rPr>
            </w:pPr>
          </w:p>
        </w:tc>
      </w:tr>
      <w:tr w:rsidR="00E53DB2" w:rsidRPr="00C2761A" w:rsidTr="008E0BB9">
        <w:trPr>
          <w:jc w:val="center"/>
        </w:trPr>
        <w:tc>
          <w:tcPr>
            <w:tcW w:w="2229" w:type="dxa"/>
          </w:tcPr>
          <w:p w:rsidR="00E53DB2" w:rsidRPr="00C2761A" w:rsidRDefault="00E53DB2" w:rsidP="00016659">
            <w:r w:rsidRPr="00C2761A">
              <w:t>5. Precizēta finansiālā ietekme:</w:t>
            </w:r>
          </w:p>
        </w:tc>
        <w:tc>
          <w:tcPr>
            <w:tcW w:w="1273" w:type="dxa"/>
          </w:tcPr>
          <w:p w:rsidR="00E53DB2" w:rsidRPr="00C2761A" w:rsidRDefault="006E1301" w:rsidP="006A00C7">
            <w:pPr>
              <w:jc w:val="center"/>
            </w:pPr>
            <w:r w:rsidRPr="00C2761A">
              <w:t>0</w:t>
            </w:r>
          </w:p>
        </w:tc>
        <w:tc>
          <w:tcPr>
            <w:tcW w:w="1171" w:type="dxa"/>
          </w:tcPr>
          <w:p w:rsidR="00E53DB2" w:rsidRPr="00C2761A" w:rsidRDefault="006E1301" w:rsidP="006A00C7">
            <w:pPr>
              <w:jc w:val="center"/>
            </w:pPr>
            <w:r w:rsidRPr="00C2761A">
              <w:t>0</w:t>
            </w:r>
          </w:p>
        </w:tc>
        <w:tc>
          <w:tcPr>
            <w:tcW w:w="1457" w:type="dxa"/>
          </w:tcPr>
          <w:p w:rsidR="00E53DB2" w:rsidRPr="00C2761A" w:rsidRDefault="006E1301" w:rsidP="00E53DB2">
            <w:pPr>
              <w:jc w:val="center"/>
            </w:pPr>
            <w:r w:rsidRPr="00C2761A">
              <w:t>0</w:t>
            </w:r>
          </w:p>
        </w:tc>
        <w:tc>
          <w:tcPr>
            <w:tcW w:w="1520" w:type="dxa"/>
          </w:tcPr>
          <w:p w:rsidR="00E53DB2" w:rsidRPr="00C2761A" w:rsidRDefault="006E1301" w:rsidP="00E53DB2">
            <w:pPr>
              <w:jc w:val="center"/>
            </w:pPr>
            <w:r w:rsidRPr="00C2761A">
              <w:t>0</w:t>
            </w:r>
          </w:p>
        </w:tc>
        <w:tc>
          <w:tcPr>
            <w:tcW w:w="1417" w:type="dxa"/>
          </w:tcPr>
          <w:p w:rsidR="00E53DB2" w:rsidRPr="00C2761A" w:rsidRDefault="006E1301" w:rsidP="00E53DB2">
            <w:pPr>
              <w:jc w:val="center"/>
            </w:pPr>
            <w:r w:rsidRPr="00C2761A">
              <w:t>0</w:t>
            </w:r>
          </w:p>
        </w:tc>
      </w:tr>
      <w:tr w:rsidR="00321969" w:rsidRPr="00C2761A" w:rsidTr="008E0BB9">
        <w:trPr>
          <w:jc w:val="center"/>
        </w:trPr>
        <w:tc>
          <w:tcPr>
            <w:tcW w:w="2229" w:type="dxa"/>
          </w:tcPr>
          <w:p w:rsidR="00321969" w:rsidRPr="00C2761A" w:rsidRDefault="00321969" w:rsidP="00016659">
            <w:r w:rsidRPr="00C2761A">
              <w:rPr>
                <w:rFonts w:eastAsia="Calibri"/>
              </w:rPr>
              <w:t>5.1. valsts pamatbudžets</w:t>
            </w:r>
          </w:p>
        </w:tc>
        <w:tc>
          <w:tcPr>
            <w:tcW w:w="1273" w:type="dxa"/>
          </w:tcPr>
          <w:p w:rsidR="00321969" w:rsidRPr="00C2761A" w:rsidDel="006E1301" w:rsidRDefault="00321969" w:rsidP="006A00C7">
            <w:pPr>
              <w:jc w:val="center"/>
            </w:pPr>
            <w:r w:rsidRPr="00C2761A">
              <w:t>0</w:t>
            </w:r>
          </w:p>
        </w:tc>
        <w:tc>
          <w:tcPr>
            <w:tcW w:w="1171" w:type="dxa"/>
          </w:tcPr>
          <w:p w:rsidR="00321969" w:rsidRPr="00C2761A" w:rsidDel="006E1301" w:rsidRDefault="00321969" w:rsidP="006A00C7">
            <w:pPr>
              <w:jc w:val="center"/>
            </w:pPr>
            <w:r w:rsidRPr="00C2761A">
              <w:t>0</w:t>
            </w:r>
          </w:p>
        </w:tc>
        <w:tc>
          <w:tcPr>
            <w:tcW w:w="1457" w:type="dxa"/>
          </w:tcPr>
          <w:p w:rsidR="00321969" w:rsidRPr="00C2761A" w:rsidDel="006E1301" w:rsidRDefault="00321969" w:rsidP="00E53DB2">
            <w:pPr>
              <w:jc w:val="center"/>
            </w:pPr>
            <w:r w:rsidRPr="00C2761A">
              <w:t>0</w:t>
            </w:r>
          </w:p>
        </w:tc>
        <w:tc>
          <w:tcPr>
            <w:tcW w:w="1520" w:type="dxa"/>
          </w:tcPr>
          <w:p w:rsidR="00321969" w:rsidRPr="00C2761A" w:rsidDel="006E1301" w:rsidRDefault="00321969" w:rsidP="00E53DB2">
            <w:pPr>
              <w:jc w:val="center"/>
            </w:pPr>
            <w:r w:rsidRPr="00C2761A">
              <w:t>0</w:t>
            </w:r>
          </w:p>
        </w:tc>
        <w:tc>
          <w:tcPr>
            <w:tcW w:w="1417" w:type="dxa"/>
          </w:tcPr>
          <w:p w:rsidR="00321969" w:rsidRPr="00C2761A" w:rsidDel="006E1301" w:rsidRDefault="00321969" w:rsidP="00E53DB2">
            <w:pPr>
              <w:jc w:val="center"/>
            </w:pPr>
            <w:r w:rsidRPr="00C2761A">
              <w:t>0</w:t>
            </w:r>
          </w:p>
        </w:tc>
      </w:tr>
      <w:tr w:rsidR="00321969" w:rsidRPr="00C2761A" w:rsidTr="008E0BB9">
        <w:trPr>
          <w:jc w:val="center"/>
        </w:trPr>
        <w:tc>
          <w:tcPr>
            <w:tcW w:w="2229" w:type="dxa"/>
          </w:tcPr>
          <w:p w:rsidR="00321969" w:rsidRPr="00C2761A" w:rsidRDefault="00321969" w:rsidP="00016659">
            <w:r w:rsidRPr="00C2761A">
              <w:rPr>
                <w:rFonts w:eastAsia="Calibri"/>
              </w:rPr>
              <w:lastRenderedPageBreak/>
              <w:t>5.2. speciālais budžets</w:t>
            </w:r>
          </w:p>
        </w:tc>
        <w:tc>
          <w:tcPr>
            <w:tcW w:w="1273" w:type="dxa"/>
          </w:tcPr>
          <w:p w:rsidR="00321969" w:rsidRPr="00C2761A" w:rsidDel="006E1301" w:rsidRDefault="00321969" w:rsidP="006A00C7">
            <w:pPr>
              <w:jc w:val="center"/>
            </w:pPr>
            <w:r w:rsidRPr="00C2761A">
              <w:t>0</w:t>
            </w:r>
          </w:p>
        </w:tc>
        <w:tc>
          <w:tcPr>
            <w:tcW w:w="1171" w:type="dxa"/>
          </w:tcPr>
          <w:p w:rsidR="00321969" w:rsidRPr="00C2761A" w:rsidDel="006E1301" w:rsidRDefault="00321969" w:rsidP="006A00C7">
            <w:pPr>
              <w:jc w:val="center"/>
            </w:pPr>
            <w:r w:rsidRPr="00C2761A">
              <w:t>0</w:t>
            </w:r>
          </w:p>
        </w:tc>
        <w:tc>
          <w:tcPr>
            <w:tcW w:w="1457" w:type="dxa"/>
          </w:tcPr>
          <w:p w:rsidR="00321969" w:rsidRPr="00C2761A" w:rsidDel="006E1301" w:rsidRDefault="00321969" w:rsidP="00E53DB2">
            <w:pPr>
              <w:jc w:val="center"/>
            </w:pPr>
            <w:r w:rsidRPr="00C2761A">
              <w:t>0</w:t>
            </w:r>
          </w:p>
        </w:tc>
        <w:tc>
          <w:tcPr>
            <w:tcW w:w="1520" w:type="dxa"/>
          </w:tcPr>
          <w:p w:rsidR="00321969" w:rsidRPr="00C2761A" w:rsidDel="006E1301" w:rsidRDefault="00321969" w:rsidP="00E53DB2">
            <w:pPr>
              <w:jc w:val="center"/>
            </w:pPr>
            <w:r w:rsidRPr="00C2761A">
              <w:t>0</w:t>
            </w:r>
          </w:p>
        </w:tc>
        <w:tc>
          <w:tcPr>
            <w:tcW w:w="1417" w:type="dxa"/>
          </w:tcPr>
          <w:p w:rsidR="00321969" w:rsidRPr="00C2761A" w:rsidDel="006E1301" w:rsidRDefault="00321969" w:rsidP="00E53DB2">
            <w:pPr>
              <w:jc w:val="center"/>
            </w:pPr>
            <w:r w:rsidRPr="00C2761A">
              <w:t>0</w:t>
            </w:r>
          </w:p>
        </w:tc>
      </w:tr>
      <w:tr w:rsidR="00321969" w:rsidRPr="00C2761A" w:rsidTr="008E0BB9">
        <w:trPr>
          <w:jc w:val="center"/>
        </w:trPr>
        <w:tc>
          <w:tcPr>
            <w:tcW w:w="2229" w:type="dxa"/>
          </w:tcPr>
          <w:p w:rsidR="00321969" w:rsidRPr="00C2761A" w:rsidRDefault="00321969" w:rsidP="00016659">
            <w:r w:rsidRPr="00C2761A">
              <w:rPr>
                <w:rFonts w:eastAsia="Calibri"/>
              </w:rPr>
              <w:t>5.3. pašvaldību budžets</w:t>
            </w:r>
          </w:p>
        </w:tc>
        <w:tc>
          <w:tcPr>
            <w:tcW w:w="1273" w:type="dxa"/>
          </w:tcPr>
          <w:p w:rsidR="00321969" w:rsidRPr="00C2761A" w:rsidDel="006E1301" w:rsidRDefault="00321969" w:rsidP="006A00C7">
            <w:pPr>
              <w:jc w:val="center"/>
            </w:pPr>
            <w:r w:rsidRPr="00C2761A">
              <w:t>0</w:t>
            </w:r>
          </w:p>
        </w:tc>
        <w:tc>
          <w:tcPr>
            <w:tcW w:w="1171" w:type="dxa"/>
          </w:tcPr>
          <w:p w:rsidR="00321969" w:rsidRPr="00C2761A" w:rsidDel="006E1301" w:rsidRDefault="00321969" w:rsidP="006A00C7">
            <w:pPr>
              <w:jc w:val="center"/>
            </w:pPr>
            <w:r w:rsidRPr="00C2761A">
              <w:t>0</w:t>
            </w:r>
          </w:p>
        </w:tc>
        <w:tc>
          <w:tcPr>
            <w:tcW w:w="1457" w:type="dxa"/>
          </w:tcPr>
          <w:p w:rsidR="00321969" w:rsidRPr="00C2761A" w:rsidDel="006E1301" w:rsidRDefault="00321969" w:rsidP="00E53DB2">
            <w:pPr>
              <w:jc w:val="center"/>
            </w:pPr>
            <w:r w:rsidRPr="00C2761A">
              <w:t>0</w:t>
            </w:r>
          </w:p>
        </w:tc>
        <w:tc>
          <w:tcPr>
            <w:tcW w:w="1520" w:type="dxa"/>
          </w:tcPr>
          <w:p w:rsidR="00321969" w:rsidRPr="00C2761A" w:rsidDel="006E1301" w:rsidRDefault="00321969" w:rsidP="00E53DB2">
            <w:pPr>
              <w:jc w:val="center"/>
            </w:pPr>
            <w:r w:rsidRPr="00C2761A">
              <w:t>0</w:t>
            </w:r>
          </w:p>
        </w:tc>
        <w:tc>
          <w:tcPr>
            <w:tcW w:w="1417" w:type="dxa"/>
          </w:tcPr>
          <w:p w:rsidR="00321969" w:rsidRPr="00C2761A" w:rsidDel="006E1301" w:rsidRDefault="00321969" w:rsidP="00E53DB2">
            <w:pPr>
              <w:jc w:val="center"/>
            </w:pPr>
            <w:r w:rsidRPr="00C2761A">
              <w:t>0</w:t>
            </w:r>
          </w:p>
        </w:tc>
      </w:tr>
      <w:tr w:rsidR="00BF3649" w:rsidRPr="00C2761A" w:rsidTr="008E0BB9">
        <w:trPr>
          <w:jc w:val="center"/>
        </w:trPr>
        <w:tc>
          <w:tcPr>
            <w:tcW w:w="2229" w:type="dxa"/>
            <w:shd w:val="clear" w:color="auto" w:fill="auto"/>
          </w:tcPr>
          <w:p w:rsidR="00BF3649" w:rsidRPr="00C2761A" w:rsidRDefault="00BF3649" w:rsidP="00016659">
            <w:r w:rsidRPr="00C2761A">
              <w:t>6. Detalizēts ieņēmumu un izdevumu aprēķins (ja nepie</w:t>
            </w:r>
            <w:r w:rsidRPr="00C2761A">
              <w:softHyphen/>
              <w:t>ciešams, detalizētu ieņēmumu un izdevumu aprēķinu var pie</w:t>
            </w:r>
            <w:r w:rsidRPr="00C2761A">
              <w:softHyphen/>
              <w:t>vienot anotācijas pielikumā):</w:t>
            </w:r>
          </w:p>
        </w:tc>
        <w:tc>
          <w:tcPr>
            <w:tcW w:w="6838" w:type="dxa"/>
            <w:gridSpan w:val="5"/>
            <w:vMerge w:val="restart"/>
            <w:shd w:val="clear" w:color="auto" w:fill="auto"/>
            <w:vAlign w:val="center"/>
          </w:tcPr>
          <w:p w:rsidR="00E87ED4" w:rsidRPr="00677FEA" w:rsidRDefault="00BF3649" w:rsidP="00D11178">
            <w:pPr>
              <w:ind w:firstLine="663"/>
              <w:jc w:val="both"/>
              <w:rPr>
                <w:bCs/>
              </w:rPr>
            </w:pPr>
            <w:r w:rsidRPr="00677FEA">
              <w:rPr>
                <w:lang w:bidi="lo-LA"/>
              </w:rPr>
              <w:t>8.</w:t>
            </w:r>
            <w:r w:rsidR="00887BE0" w:rsidRPr="00677FEA">
              <w:rPr>
                <w:lang w:bidi="lo-LA"/>
              </w:rPr>
              <w:t>1.</w:t>
            </w:r>
            <w:r w:rsidR="00DF7EBE" w:rsidRPr="00677FEA">
              <w:rPr>
                <w:lang w:bidi="lo-LA"/>
              </w:rPr>
              <w:t>1</w:t>
            </w:r>
            <w:r w:rsidR="00887BE0" w:rsidRPr="00677FEA">
              <w:rPr>
                <w:lang w:bidi="lo-LA"/>
              </w:rPr>
              <w:t xml:space="preserve">. SAM </w:t>
            </w:r>
            <w:r w:rsidRPr="00677FEA">
              <w:rPr>
                <w:lang w:bidi="lo-LA"/>
              </w:rPr>
              <w:t xml:space="preserve">plānotais </w:t>
            </w:r>
            <w:r w:rsidR="00887BE0" w:rsidRPr="00677FEA">
              <w:rPr>
                <w:lang w:bidi="lo-LA"/>
              </w:rPr>
              <w:t xml:space="preserve">kopējais finansējums (kopējās attiecināmās izmaksas) ir </w:t>
            </w:r>
            <w:r w:rsidR="00DF7EBE" w:rsidRPr="00677FEA">
              <w:t xml:space="preserve">44 641 656 </w:t>
            </w:r>
            <w:proofErr w:type="spellStart"/>
            <w:r w:rsidR="00E87ED4" w:rsidRPr="00677FEA">
              <w:rPr>
                <w:i/>
              </w:rPr>
              <w:t>euro</w:t>
            </w:r>
            <w:proofErr w:type="spellEnd"/>
            <w:r w:rsidR="00E87ED4" w:rsidRPr="00677FEA">
              <w:t xml:space="preserve">, tai skaitā ERAF </w:t>
            </w:r>
            <w:r w:rsidR="00DF7EBE" w:rsidRPr="00677FEA">
              <w:t xml:space="preserve">37 945 407 </w:t>
            </w:r>
            <w:proofErr w:type="spellStart"/>
            <w:r w:rsidR="00E87ED4" w:rsidRPr="00677FEA">
              <w:rPr>
                <w:i/>
              </w:rPr>
              <w:t>euro</w:t>
            </w:r>
            <w:proofErr w:type="spellEnd"/>
            <w:r w:rsidR="00E87ED4" w:rsidRPr="00677FEA">
              <w:t xml:space="preserve"> un valsts budžeta finansējums </w:t>
            </w:r>
            <w:r w:rsidR="00DF7EBE" w:rsidRPr="00677FEA">
              <w:t xml:space="preserve">6 696 249 </w:t>
            </w:r>
            <w:proofErr w:type="spellStart"/>
            <w:r w:rsidR="00E87ED4" w:rsidRPr="00677FEA">
              <w:rPr>
                <w:i/>
              </w:rPr>
              <w:t>euro</w:t>
            </w:r>
            <w:proofErr w:type="spellEnd"/>
            <w:r w:rsidR="00E87ED4" w:rsidRPr="00677FEA">
              <w:t>.</w:t>
            </w:r>
            <w:r w:rsidR="00E87ED4" w:rsidRPr="00677FEA">
              <w:rPr>
                <w:bCs/>
              </w:rPr>
              <w:t xml:space="preserve"> ERAF finansējuma intensitāte - 85 %.</w:t>
            </w:r>
            <w:r w:rsidR="007734CA" w:rsidRPr="00677FEA">
              <w:rPr>
                <w:bCs/>
              </w:rPr>
              <w:t xml:space="preserve"> </w:t>
            </w:r>
          </w:p>
          <w:p w:rsidR="00BF3649" w:rsidRPr="00677FEA" w:rsidRDefault="00BF3649" w:rsidP="00D11178">
            <w:pPr>
              <w:ind w:firstLine="663"/>
              <w:jc w:val="both"/>
              <w:rPr>
                <w:lang w:bidi="lo-LA"/>
              </w:rPr>
            </w:pPr>
            <w:r w:rsidRPr="00677FEA">
              <w:rPr>
                <w:lang w:bidi="lo-LA"/>
              </w:rPr>
              <w:t xml:space="preserve">Budžeta ieņēmumi ir finansējuma </w:t>
            </w:r>
            <w:r w:rsidR="00887BE0" w:rsidRPr="00677FEA">
              <w:rPr>
                <w:lang w:bidi="lo-LA"/>
              </w:rPr>
              <w:t>ERAF</w:t>
            </w:r>
            <w:r w:rsidRPr="00677FEA">
              <w:rPr>
                <w:lang w:bidi="lo-LA"/>
              </w:rPr>
              <w:t xml:space="preserve"> daļ</w:t>
            </w:r>
            <w:r w:rsidR="00C94D60" w:rsidRPr="00677FEA">
              <w:rPr>
                <w:lang w:bidi="lo-LA"/>
              </w:rPr>
              <w:t>a 85 procentu apmērā no projektu</w:t>
            </w:r>
            <w:r w:rsidRPr="00677FEA">
              <w:rPr>
                <w:lang w:bidi="lo-LA"/>
              </w:rPr>
              <w:t xml:space="preserve"> attiecināmām izmaksām. Budž</w:t>
            </w:r>
            <w:r w:rsidR="00C94D60" w:rsidRPr="00677FEA">
              <w:rPr>
                <w:lang w:bidi="lo-LA"/>
              </w:rPr>
              <w:t>eta izdevumi ir kopējie projektu</w:t>
            </w:r>
            <w:r w:rsidRPr="00677FEA">
              <w:rPr>
                <w:lang w:bidi="lo-LA"/>
              </w:rPr>
              <w:t xml:space="preserve"> ieviešanai nepieciešamie publiskā finansējuma (</w:t>
            </w:r>
            <w:r w:rsidR="00887BE0" w:rsidRPr="00677FEA">
              <w:rPr>
                <w:lang w:bidi="lo-LA"/>
              </w:rPr>
              <w:t>ERAF</w:t>
            </w:r>
            <w:r w:rsidRPr="00677FEA">
              <w:rPr>
                <w:lang w:bidi="lo-LA"/>
              </w:rPr>
              <w:t xml:space="preserve"> un valsts budžeta) līdzekļi</w:t>
            </w:r>
            <w:r w:rsidR="00C94D60" w:rsidRPr="00677FEA">
              <w:rPr>
                <w:lang w:bidi="lo-LA"/>
              </w:rPr>
              <w:t xml:space="preserve"> 100 procentu apmērā no projektu</w:t>
            </w:r>
            <w:r w:rsidRPr="00677FEA">
              <w:rPr>
                <w:lang w:bidi="lo-LA"/>
              </w:rPr>
              <w:t xml:space="preserve"> attiecināmām izmaksām. </w:t>
            </w:r>
          </w:p>
          <w:p w:rsidR="00BF3649" w:rsidRPr="00677FEA" w:rsidRDefault="00BF3649" w:rsidP="00D11178">
            <w:pPr>
              <w:ind w:firstLine="663"/>
              <w:jc w:val="both"/>
              <w:rPr>
                <w:lang w:bidi="lo-LA"/>
              </w:rPr>
            </w:pPr>
            <w:r w:rsidRPr="00677FEA">
              <w:rPr>
                <w:lang w:bidi="lo-LA"/>
              </w:rPr>
              <w:t>Projektu</w:t>
            </w:r>
            <w:r w:rsidR="00887BE0" w:rsidRPr="00677FEA">
              <w:rPr>
                <w:lang w:bidi="lo-LA"/>
              </w:rPr>
              <w:t>s</w:t>
            </w:r>
            <w:r w:rsidRPr="00677FEA">
              <w:rPr>
                <w:lang w:bidi="lo-LA"/>
              </w:rPr>
              <w:t xml:space="preserve"> plānots </w:t>
            </w:r>
            <w:r w:rsidR="00D057A8" w:rsidRPr="00677FEA">
              <w:rPr>
                <w:lang w:bidi="lo-LA"/>
              </w:rPr>
              <w:t xml:space="preserve">indikatīvi </w:t>
            </w:r>
            <w:r w:rsidRPr="00677FEA">
              <w:rPr>
                <w:lang w:bidi="lo-LA"/>
              </w:rPr>
              <w:t>ieviest no 201</w:t>
            </w:r>
            <w:r w:rsidR="00887BE0" w:rsidRPr="00677FEA">
              <w:rPr>
                <w:lang w:bidi="lo-LA"/>
              </w:rPr>
              <w:t>7</w:t>
            </w:r>
            <w:r w:rsidRPr="00677FEA">
              <w:rPr>
                <w:lang w:bidi="lo-LA"/>
              </w:rPr>
              <w:t>.gada I ceturkšņa līdz 20</w:t>
            </w:r>
            <w:r w:rsidR="00887BE0" w:rsidRPr="00677FEA">
              <w:rPr>
                <w:lang w:bidi="lo-LA"/>
              </w:rPr>
              <w:t>2</w:t>
            </w:r>
            <w:r w:rsidR="005B6259" w:rsidRPr="00677FEA">
              <w:rPr>
                <w:lang w:bidi="lo-LA"/>
              </w:rPr>
              <w:t>2</w:t>
            </w:r>
            <w:r w:rsidRPr="00677FEA">
              <w:rPr>
                <w:lang w:bidi="lo-LA"/>
              </w:rPr>
              <w:t xml:space="preserve">.gada </w:t>
            </w:r>
            <w:r w:rsidR="00F964F4" w:rsidRPr="00677FEA">
              <w:rPr>
                <w:lang w:bidi="lo-LA"/>
              </w:rPr>
              <w:t>IV</w:t>
            </w:r>
            <w:r w:rsidRPr="00677FEA">
              <w:rPr>
                <w:lang w:bidi="lo-LA"/>
              </w:rPr>
              <w:t xml:space="preserve"> ceturksnim (projekt</w:t>
            </w:r>
            <w:r w:rsidR="00D057A8" w:rsidRPr="00677FEA">
              <w:rPr>
                <w:lang w:bidi="lo-LA"/>
              </w:rPr>
              <w:t>u</w:t>
            </w:r>
            <w:r w:rsidRPr="00677FEA">
              <w:rPr>
                <w:lang w:bidi="lo-LA"/>
              </w:rPr>
              <w:t xml:space="preserve"> īstenošanas laiks </w:t>
            </w:r>
            <w:r w:rsidR="00887BE0" w:rsidRPr="00677FEA">
              <w:rPr>
                <w:lang w:bidi="lo-LA"/>
              </w:rPr>
              <w:t>2–4</w:t>
            </w:r>
            <w:r w:rsidRPr="00677FEA">
              <w:rPr>
                <w:lang w:bidi="lo-LA"/>
              </w:rPr>
              <w:t xml:space="preserve"> gadi). </w:t>
            </w:r>
            <w:r w:rsidR="00F400F8" w:rsidRPr="00677FEA">
              <w:rPr>
                <w:lang w:bidi="lo-LA"/>
              </w:rPr>
              <w:t>8.1.</w:t>
            </w:r>
            <w:r w:rsidR="00DF7EBE" w:rsidRPr="00677FEA">
              <w:rPr>
                <w:lang w:bidi="lo-LA"/>
              </w:rPr>
              <w:t>1</w:t>
            </w:r>
            <w:r w:rsidR="00F400F8" w:rsidRPr="00677FEA">
              <w:rPr>
                <w:lang w:bidi="lo-LA"/>
              </w:rPr>
              <w:t>. SAM īsteno vienā projektu iesniegumu atlases kārtā par visu specifiskajam atbalstam pieejamo finansējumu.</w:t>
            </w:r>
          </w:p>
          <w:p w:rsidR="006F7E14" w:rsidRPr="00677FEA" w:rsidRDefault="006F7E14" w:rsidP="009C4000">
            <w:pPr>
              <w:ind w:firstLine="663"/>
              <w:jc w:val="both"/>
              <w:rPr>
                <w:lang w:bidi="lo-LA"/>
              </w:rPr>
            </w:pPr>
            <w:r w:rsidRPr="00677FEA">
              <w:rPr>
                <w:lang w:bidi="lo-LA"/>
              </w:rPr>
              <w:t>8.1.</w:t>
            </w:r>
            <w:r w:rsidR="00DF7EBE" w:rsidRPr="00677FEA">
              <w:rPr>
                <w:lang w:bidi="lo-LA"/>
              </w:rPr>
              <w:t>1</w:t>
            </w:r>
            <w:r w:rsidRPr="00677FEA">
              <w:rPr>
                <w:lang w:bidi="lo-LA"/>
              </w:rPr>
              <w:t xml:space="preserve">. SAM </w:t>
            </w:r>
            <w:r w:rsidR="008D7852" w:rsidRPr="00677FEA">
              <w:rPr>
                <w:lang w:bidi="lo-LA"/>
              </w:rPr>
              <w:t xml:space="preserve">projektu </w:t>
            </w:r>
            <w:r w:rsidRPr="00677FEA">
              <w:rPr>
                <w:lang w:bidi="lo-LA"/>
              </w:rPr>
              <w:t xml:space="preserve">ietvaros plānots atbalsts gan </w:t>
            </w:r>
            <w:r w:rsidR="00DF7EBE" w:rsidRPr="00677FEA">
              <w:rPr>
                <w:lang w:bidi="lo-LA"/>
              </w:rPr>
              <w:t>augstākās izglītības institūciju</w:t>
            </w:r>
            <w:r w:rsidRPr="00677FEA">
              <w:rPr>
                <w:lang w:bidi="lo-LA"/>
              </w:rPr>
              <w:t xml:space="preserve"> infrastruktūras attīstībai, gan aprīkojuma iegādei, līdz ar to iespējami projekti ar dažādu atbalsta veidu. Pirmie varētu noslēgties projekti, kuros plānots atbalsts aprīkojuma iegādei, savukārt projekti, kuros plānots atbalsts infrastruktūras attīstībai noslēgtos vēlākā laika posmā. Līdz 2018.gada beigām varētu </w:t>
            </w:r>
            <w:r w:rsidR="00F740AD" w:rsidRPr="00677FEA">
              <w:rPr>
                <w:lang w:bidi="lo-LA"/>
              </w:rPr>
              <w:t>būt</w:t>
            </w:r>
            <w:r w:rsidRPr="00677FEA">
              <w:rPr>
                <w:lang w:bidi="lo-LA"/>
              </w:rPr>
              <w:t xml:space="preserve"> noslēgušies būvdarbu iepirkumi un uzsākti būvdarbi, noslēgti līgumi par aprīkojuma iegādi. </w:t>
            </w:r>
          </w:p>
          <w:p w:rsidR="00DF7EBE" w:rsidRPr="00677FEA" w:rsidRDefault="003D3583" w:rsidP="00DF7EBE">
            <w:pPr>
              <w:jc w:val="both"/>
              <w:rPr>
                <w:lang w:bidi="lo-LA"/>
              </w:rPr>
            </w:pPr>
            <w:r w:rsidRPr="00677FEA">
              <w:rPr>
                <w:lang w:bidi="lo-LA"/>
              </w:rPr>
              <w:t xml:space="preserve">2017.gadā tiek plānots finansējums 20 procentu apmērā no kopējā plānotā finansējuma, t.i., </w:t>
            </w:r>
            <w:r w:rsidR="00DF7EBE" w:rsidRPr="00677FEA">
              <w:rPr>
                <w:lang w:bidi="lo-LA"/>
              </w:rPr>
              <w:t>8 928 331</w:t>
            </w:r>
            <w:r w:rsidRPr="00677FEA">
              <w:rPr>
                <w:lang w:bidi="lo-LA"/>
              </w:rPr>
              <w:t xml:space="preserve"> </w:t>
            </w:r>
            <w:proofErr w:type="spellStart"/>
            <w:r w:rsidRPr="00677FEA">
              <w:rPr>
                <w:i/>
                <w:lang w:bidi="lo-LA"/>
              </w:rPr>
              <w:t>euro</w:t>
            </w:r>
            <w:proofErr w:type="spellEnd"/>
            <w:r w:rsidRPr="00677FEA">
              <w:rPr>
                <w:i/>
                <w:lang w:bidi="lo-LA"/>
              </w:rPr>
              <w:t xml:space="preserve"> (</w:t>
            </w:r>
            <w:r w:rsidRPr="00677FEA">
              <w:rPr>
                <w:lang w:bidi="lo-LA"/>
              </w:rPr>
              <w:t>t.sk.</w:t>
            </w:r>
            <w:r w:rsidRPr="00677FEA">
              <w:rPr>
                <w:i/>
                <w:lang w:bidi="lo-LA"/>
              </w:rPr>
              <w:t xml:space="preserve"> </w:t>
            </w:r>
            <w:r w:rsidR="00DF7EBE" w:rsidRPr="00677FEA">
              <w:rPr>
                <w:lang w:bidi="lo-LA"/>
              </w:rPr>
              <w:t xml:space="preserve">ERAF </w:t>
            </w:r>
            <w:r w:rsidR="00DF7EBE" w:rsidRPr="00677FEA">
              <w:t xml:space="preserve">7 589 081 </w:t>
            </w:r>
            <w:proofErr w:type="spellStart"/>
            <w:r w:rsidRPr="00677FEA">
              <w:rPr>
                <w:i/>
              </w:rPr>
              <w:t>euro</w:t>
            </w:r>
            <w:proofErr w:type="spellEnd"/>
            <w:r w:rsidRPr="00677FEA">
              <w:t xml:space="preserve">, valsts budžets </w:t>
            </w:r>
            <w:r w:rsidR="00DF7EBE" w:rsidRPr="00677FEA">
              <w:t>1 339 250</w:t>
            </w:r>
            <w:r w:rsidRPr="00677FEA">
              <w:t xml:space="preserve"> </w:t>
            </w:r>
            <w:proofErr w:type="spellStart"/>
            <w:r w:rsidRPr="00677FEA">
              <w:rPr>
                <w:i/>
              </w:rPr>
              <w:t>euro</w:t>
            </w:r>
            <w:proofErr w:type="spellEnd"/>
            <w:r w:rsidRPr="00677FEA">
              <w:t>),</w:t>
            </w:r>
            <w:r w:rsidRPr="00677FEA">
              <w:rPr>
                <w:lang w:bidi="lo-LA"/>
              </w:rPr>
              <w:t xml:space="preserve"> 2018.gadā – 25 procenti, t.i., </w:t>
            </w:r>
            <w:r w:rsidR="00DF7EBE" w:rsidRPr="00677FEA">
              <w:rPr>
                <w:lang w:bidi="lo-LA"/>
              </w:rPr>
              <w:t>1 1160 414</w:t>
            </w:r>
            <w:r w:rsidRPr="00677FEA">
              <w:t xml:space="preserve"> </w:t>
            </w:r>
            <w:proofErr w:type="spellStart"/>
            <w:r w:rsidRPr="00677FEA">
              <w:rPr>
                <w:i/>
              </w:rPr>
              <w:t>euro</w:t>
            </w:r>
            <w:proofErr w:type="spellEnd"/>
            <w:r w:rsidRPr="00677FEA">
              <w:t xml:space="preserve"> (t.sk. ERAF </w:t>
            </w:r>
            <w:r w:rsidR="00DF7EBE" w:rsidRPr="00677FEA">
              <w:t>9 486 352</w:t>
            </w:r>
            <w:r w:rsidRPr="00677FEA">
              <w:t xml:space="preserve"> </w:t>
            </w:r>
            <w:proofErr w:type="spellStart"/>
            <w:r w:rsidRPr="00677FEA">
              <w:rPr>
                <w:i/>
              </w:rPr>
              <w:t>euro</w:t>
            </w:r>
            <w:proofErr w:type="spellEnd"/>
            <w:r w:rsidRPr="00677FEA">
              <w:t xml:space="preserve">, valsts budžets </w:t>
            </w:r>
            <w:r w:rsidR="00DF7EBE" w:rsidRPr="00677FEA">
              <w:t xml:space="preserve">1 674 062 </w:t>
            </w:r>
            <w:proofErr w:type="spellStart"/>
            <w:r w:rsidRPr="00677FEA">
              <w:rPr>
                <w:i/>
              </w:rPr>
              <w:t>euro</w:t>
            </w:r>
            <w:proofErr w:type="spellEnd"/>
            <w:r w:rsidRPr="00677FEA">
              <w:t xml:space="preserve">), </w:t>
            </w:r>
            <w:r w:rsidRPr="00677FEA">
              <w:rPr>
                <w:lang w:bidi="lo-LA"/>
              </w:rPr>
              <w:t xml:space="preserve">2019.gadā – 25 procenti, t.i., </w:t>
            </w:r>
            <w:r w:rsidR="00DF7EBE" w:rsidRPr="00677FEA">
              <w:rPr>
                <w:lang w:bidi="lo-LA"/>
              </w:rPr>
              <w:t>1 1160 414</w:t>
            </w:r>
            <w:r w:rsidR="00DF7EBE" w:rsidRPr="00677FEA">
              <w:t xml:space="preserve"> </w:t>
            </w:r>
            <w:proofErr w:type="spellStart"/>
            <w:r w:rsidR="00DF7EBE" w:rsidRPr="00677FEA">
              <w:rPr>
                <w:i/>
              </w:rPr>
              <w:t>euro</w:t>
            </w:r>
            <w:proofErr w:type="spellEnd"/>
            <w:r w:rsidR="00DF7EBE" w:rsidRPr="00677FEA">
              <w:t xml:space="preserve"> (t.sk. ERAF 9 486 352 </w:t>
            </w:r>
            <w:proofErr w:type="spellStart"/>
            <w:r w:rsidR="00DF7EBE" w:rsidRPr="00677FEA">
              <w:rPr>
                <w:i/>
              </w:rPr>
              <w:t>euro</w:t>
            </w:r>
            <w:proofErr w:type="spellEnd"/>
            <w:r w:rsidR="00DF7EBE" w:rsidRPr="00677FEA">
              <w:t xml:space="preserve">, valsts budžets 1 674 062 </w:t>
            </w:r>
            <w:proofErr w:type="spellStart"/>
            <w:r w:rsidR="00DF7EBE" w:rsidRPr="00677FEA">
              <w:rPr>
                <w:i/>
              </w:rPr>
              <w:t>euro</w:t>
            </w:r>
            <w:proofErr w:type="spellEnd"/>
            <w:r w:rsidRPr="00677FEA">
              <w:t>)</w:t>
            </w:r>
            <w:r w:rsidRPr="00677FEA">
              <w:rPr>
                <w:i/>
                <w:lang w:bidi="lo-LA"/>
              </w:rPr>
              <w:t>,</w:t>
            </w:r>
            <w:r w:rsidRPr="00677FEA">
              <w:rPr>
                <w:lang w:bidi="lo-LA"/>
              </w:rPr>
              <w:t xml:space="preserve"> 2020.gadā – </w:t>
            </w:r>
            <w:r w:rsidR="005B6259" w:rsidRPr="00677FEA">
              <w:rPr>
                <w:lang w:bidi="lo-LA"/>
              </w:rPr>
              <w:t>15</w:t>
            </w:r>
            <w:r w:rsidRPr="00677FEA">
              <w:rPr>
                <w:lang w:bidi="lo-LA"/>
              </w:rPr>
              <w:t xml:space="preserve"> procenti, t.i., </w:t>
            </w:r>
          </w:p>
          <w:p w:rsidR="003D3583" w:rsidRPr="00677FEA" w:rsidRDefault="00DF7EBE" w:rsidP="00DF7EBE">
            <w:pPr>
              <w:jc w:val="both"/>
              <w:rPr>
                <w:i/>
                <w:lang w:bidi="lo-LA"/>
              </w:rPr>
            </w:pPr>
            <w:r w:rsidRPr="00677FEA">
              <w:t>6 696 248</w:t>
            </w:r>
            <w:r w:rsidR="003D3583" w:rsidRPr="00677FEA">
              <w:rPr>
                <w:lang w:bidi="lo-LA"/>
              </w:rPr>
              <w:t xml:space="preserve"> </w:t>
            </w:r>
            <w:proofErr w:type="spellStart"/>
            <w:r w:rsidR="003D3583" w:rsidRPr="00677FEA">
              <w:rPr>
                <w:i/>
                <w:lang w:bidi="lo-LA"/>
              </w:rPr>
              <w:t>euro</w:t>
            </w:r>
            <w:proofErr w:type="spellEnd"/>
            <w:r w:rsidR="003D3583" w:rsidRPr="00677FEA">
              <w:rPr>
                <w:i/>
                <w:lang w:bidi="lo-LA"/>
              </w:rPr>
              <w:t xml:space="preserve"> (</w:t>
            </w:r>
            <w:r w:rsidR="003D3583" w:rsidRPr="00677FEA">
              <w:rPr>
                <w:lang w:bidi="lo-LA"/>
              </w:rPr>
              <w:t>t.sk.</w:t>
            </w:r>
            <w:r w:rsidR="003D3583" w:rsidRPr="00677FEA">
              <w:rPr>
                <w:i/>
                <w:lang w:bidi="lo-LA"/>
              </w:rPr>
              <w:t xml:space="preserve"> </w:t>
            </w:r>
            <w:r w:rsidR="003D3583" w:rsidRPr="00677FEA">
              <w:rPr>
                <w:lang w:bidi="lo-LA"/>
              </w:rPr>
              <w:t>ERAF</w:t>
            </w:r>
            <w:r w:rsidR="003D3583" w:rsidRPr="00677FEA">
              <w:rPr>
                <w:i/>
                <w:lang w:bidi="lo-LA"/>
              </w:rPr>
              <w:t xml:space="preserve"> </w:t>
            </w:r>
            <w:r w:rsidRPr="00677FEA">
              <w:rPr>
                <w:lang w:bidi="lo-LA"/>
              </w:rPr>
              <w:t>5 691 811</w:t>
            </w:r>
            <w:r w:rsidRPr="00677FEA">
              <w:rPr>
                <w:i/>
                <w:lang w:bidi="lo-LA"/>
              </w:rPr>
              <w:t xml:space="preserve"> </w:t>
            </w:r>
            <w:proofErr w:type="spellStart"/>
            <w:r w:rsidR="003D3583" w:rsidRPr="00677FEA">
              <w:rPr>
                <w:i/>
              </w:rPr>
              <w:t>euro</w:t>
            </w:r>
            <w:proofErr w:type="spellEnd"/>
            <w:r w:rsidR="003D3583" w:rsidRPr="00677FEA">
              <w:t xml:space="preserve">, valsts budžets </w:t>
            </w:r>
            <w:r w:rsidR="000D1C1F" w:rsidRPr="00677FEA">
              <w:t xml:space="preserve">1 004 437 </w:t>
            </w:r>
            <w:proofErr w:type="spellStart"/>
            <w:r w:rsidR="003D3583" w:rsidRPr="00677FEA">
              <w:rPr>
                <w:i/>
              </w:rPr>
              <w:t>euro</w:t>
            </w:r>
            <w:proofErr w:type="spellEnd"/>
            <w:r w:rsidR="003D3583" w:rsidRPr="00677FEA">
              <w:t>)</w:t>
            </w:r>
            <w:r w:rsidR="003D3583" w:rsidRPr="00677FEA">
              <w:rPr>
                <w:i/>
                <w:lang w:bidi="lo-LA"/>
              </w:rPr>
              <w:t>,</w:t>
            </w:r>
            <w:r w:rsidR="003D3583" w:rsidRPr="00677FEA">
              <w:rPr>
                <w:lang w:bidi="lo-LA"/>
              </w:rPr>
              <w:t xml:space="preserve"> 2021.gadā – 10 procenti, t.i., </w:t>
            </w:r>
            <w:r w:rsidR="000D1C1F" w:rsidRPr="00677FEA">
              <w:rPr>
                <w:lang w:bidi="lo-LA"/>
              </w:rPr>
              <w:t xml:space="preserve">4 464 166 </w:t>
            </w:r>
            <w:proofErr w:type="spellStart"/>
            <w:r w:rsidR="003D3583" w:rsidRPr="00677FEA">
              <w:rPr>
                <w:i/>
                <w:lang w:bidi="lo-LA"/>
              </w:rPr>
              <w:t>euro</w:t>
            </w:r>
            <w:proofErr w:type="spellEnd"/>
            <w:r w:rsidR="003D3583" w:rsidRPr="00677FEA">
              <w:rPr>
                <w:i/>
                <w:lang w:bidi="lo-LA"/>
              </w:rPr>
              <w:t xml:space="preserve"> (</w:t>
            </w:r>
            <w:r w:rsidR="003D3583" w:rsidRPr="00677FEA">
              <w:rPr>
                <w:lang w:bidi="lo-LA"/>
              </w:rPr>
              <w:t>t.sk.</w:t>
            </w:r>
            <w:r w:rsidR="003D3583" w:rsidRPr="00677FEA">
              <w:rPr>
                <w:i/>
                <w:lang w:bidi="lo-LA"/>
              </w:rPr>
              <w:t xml:space="preserve"> </w:t>
            </w:r>
            <w:r w:rsidR="003D3583" w:rsidRPr="00677FEA">
              <w:rPr>
                <w:lang w:bidi="lo-LA"/>
              </w:rPr>
              <w:t>ERAF</w:t>
            </w:r>
            <w:r w:rsidR="003D3583" w:rsidRPr="00677FEA">
              <w:rPr>
                <w:i/>
                <w:lang w:bidi="lo-LA"/>
              </w:rPr>
              <w:t xml:space="preserve"> </w:t>
            </w:r>
            <w:r w:rsidR="000D1C1F" w:rsidRPr="00677FEA">
              <w:t>3 794 541</w:t>
            </w:r>
            <w:r w:rsidR="003D3583" w:rsidRPr="00677FEA">
              <w:t xml:space="preserve"> </w:t>
            </w:r>
            <w:proofErr w:type="spellStart"/>
            <w:r w:rsidR="003D3583" w:rsidRPr="00677FEA">
              <w:rPr>
                <w:i/>
              </w:rPr>
              <w:t>euro</w:t>
            </w:r>
            <w:proofErr w:type="spellEnd"/>
            <w:r w:rsidR="003D3583" w:rsidRPr="00677FEA">
              <w:t xml:space="preserve">, valsts budžets </w:t>
            </w:r>
            <w:r w:rsidR="000D1C1F" w:rsidRPr="00677FEA">
              <w:t xml:space="preserve">669 625 </w:t>
            </w:r>
            <w:proofErr w:type="spellStart"/>
            <w:r w:rsidR="003D3583" w:rsidRPr="00677FEA">
              <w:rPr>
                <w:i/>
              </w:rPr>
              <w:t>euro</w:t>
            </w:r>
            <w:proofErr w:type="spellEnd"/>
            <w:r w:rsidR="003D3583" w:rsidRPr="00677FEA">
              <w:t>)</w:t>
            </w:r>
            <w:r w:rsidR="005B6259" w:rsidRPr="00677FEA">
              <w:t xml:space="preserve">, 2022.gadā – 5 procenti, t.i. </w:t>
            </w:r>
            <w:r w:rsidR="000D1C1F" w:rsidRPr="00677FEA">
              <w:t xml:space="preserve">2 232 083 </w:t>
            </w:r>
            <w:proofErr w:type="spellStart"/>
            <w:r w:rsidR="005B6259" w:rsidRPr="00677FEA">
              <w:rPr>
                <w:i/>
              </w:rPr>
              <w:t>euro</w:t>
            </w:r>
            <w:proofErr w:type="spellEnd"/>
            <w:r w:rsidR="005B6259" w:rsidRPr="00677FEA">
              <w:t xml:space="preserve"> (t.sk. ERAF </w:t>
            </w:r>
            <w:r w:rsidR="000D1C1F" w:rsidRPr="00677FEA">
              <w:t xml:space="preserve">1 897 270 </w:t>
            </w:r>
            <w:proofErr w:type="spellStart"/>
            <w:r w:rsidR="005B6259" w:rsidRPr="00677FEA">
              <w:rPr>
                <w:i/>
              </w:rPr>
              <w:t>euro</w:t>
            </w:r>
            <w:proofErr w:type="spellEnd"/>
            <w:r w:rsidR="005B6259" w:rsidRPr="00677FEA">
              <w:t xml:space="preserve">, valsts budžets </w:t>
            </w:r>
            <w:r w:rsidR="000D1C1F" w:rsidRPr="00677FEA">
              <w:t xml:space="preserve">334 813 </w:t>
            </w:r>
            <w:proofErr w:type="spellStart"/>
            <w:r w:rsidR="005B6259" w:rsidRPr="00677FEA">
              <w:rPr>
                <w:i/>
              </w:rPr>
              <w:t>euro</w:t>
            </w:r>
            <w:proofErr w:type="spellEnd"/>
            <w:r w:rsidR="005B6259" w:rsidRPr="00677FEA">
              <w:t>).</w:t>
            </w:r>
          </w:p>
          <w:p w:rsidR="009C4000" w:rsidRPr="00677FEA" w:rsidRDefault="009C4000" w:rsidP="00F400F8">
            <w:pPr>
              <w:ind w:firstLine="663"/>
              <w:jc w:val="both"/>
              <w:rPr>
                <w:lang w:bidi="lo-LA"/>
              </w:rPr>
            </w:pPr>
            <w:r w:rsidRPr="00677FEA">
              <w:rPr>
                <w:lang w:bidi="lo-LA"/>
              </w:rPr>
              <w:t xml:space="preserve">Budžeta ilgtermiņa saistībās 2017., 2018. un 2019. gadam </w:t>
            </w:r>
            <w:r w:rsidR="00CC6611">
              <w:rPr>
                <w:lang w:bidi="lo-LA"/>
              </w:rPr>
              <w:t xml:space="preserve"> </w:t>
            </w:r>
            <w:r w:rsidRPr="00677FEA">
              <w:rPr>
                <w:lang w:bidi="lo-LA"/>
              </w:rPr>
              <w:t>šobrīd finansējums projektiem nav paredzēts. 8.1.</w:t>
            </w:r>
            <w:r w:rsidR="00BA4EBF" w:rsidRPr="00677FEA">
              <w:rPr>
                <w:lang w:bidi="lo-LA"/>
              </w:rPr>
              <w:t>1</w:t>
            </w:r>
            <w:r w:rsidRPr="00677FEA">
              <w:rPr>
                <w:lang w:bidi="lo-LA"/>
              </w:rPr>
              <w:t>. SAM projekt</w:t>
            </w:r>
            <w:r w:rsidR="00C94D60" w:rsidRPr="00677FEA">
              <w:rPr>
                <w:lang w:bidi="lo-LA"/>
              </w:rPr>
              <w:t>u</w:t>
            </w:r>
            <w:r w:rsidRPr="00677FEA">
              <w:rPr>
                <w:lang w:bidi="lo-LA"/>
              </w:rPr>
              <w:t xml:space="preserve"> īstenošanai nepieciešamais finansējums tiks iestrādāts budžeta ilgtermiņa saistībās likumprojekta “Par vidēja termiņa budžeta ietvaru 2017., 2018. un 2019.gadam” sagatavošanas laikā.</w:t>
            </w:r>
          </w:p>
          <w:p w:rsidR="004F3141" w:rsidRPr="00677FEA" w:rsidRDefault="00BF3649" w:rsidP="00460736">
            <w:pPr>
              <w:ind w:firstLine="720"/>
              <w:jc w:val="both"/>
              <w:rPr>
                <w:b/>
              </w:rPr>
            </w:pPr>
            <w:r w:rsidRPr="00677FEA" w:rsidDel="00D11178">
              <w:rPr>
                <w:lang w:bidi="lo-LA"/>
              </w:rPr>
              <w:t>Finansējuma sadalījums pa gadiem norādīts indikatīvi un var tikt precizēts pēc 8.</w:t>
            </w:r>
            <w:r w:rsidR="00D057A8" w:rsidRPr="00677FEA">
              <w:rPr>
                <w:lang w:bidi="lo-LA"/>
              </w:rPr>
              <w:t>1</w:t>
            </w:r>
            <w:r w:rsidRPr="00677FEA" w:rsidDel="00D11178">
              <w:rPr>
                <w:lang w:bidi="lo-LA"/>
              </w:rPr>
              <w:t>.</w:t>
            </w:r>
            <w:r w:rsidR="00460736" w:rsidRPr="00677FEA">
              <w:rPr>
                <w:lang w:bidi="lo-LA"/>
              </w:rPr>
              <w:t>1</w:t>
            </w:r>
            <w:r w:rsidRPr="00677FEA" w:rsidDel="00D11178">
              <w:rPr>
                <w:lang w:bidi="lo-LA"/>
              </w:rPr>
              <w:t xml:space="preserve">. </w:t>
            </w:r>
            <w:r w:rsidR="00D057A8" w:rsidRPr="00677FEA" w:rsidDel="00D11178">
              <w:rPr>
                <w:lang w:bidi="lo-LA"/>
              </w:rPr>
              <w:t xml:space="preserve">SAM </w:t>
            </w:r>
            <w:r w:rsidRPr="00677FEA" w:rsidDel="00D11178">
              <w:rPr>
                <w:lang w:bidi="lo-LA"/>
              </w:rPr>
              <w:t>projekt</w:t>
            </w:r>
            <w:r w:rsidR="00D057A8" w:rsidRPr="00677FEA">
              <w:rPr>
                <w:lang w:bidi="lo-LA"/>
              </w:rPr>
              <w:t>u</w:t>
            </w:r>
            <w:r w:rsidRPr="00677FEA" w:rsidDel="00D11178">
              <w:rPr>
                <w:lang w:bidi="lo-LA"/>
              </w:rPr>
              <w:t xml:space="preserve"> apstiprināšanas.</w:t>
            </w:r>
          </w:p>
        </w:tc>
      </w:tr>
      <w:tr w:rsidR="00BF3649" w:rsidRPr="00C2761A" w:rsidTr="008E0BB9">
        <w:trPr>
          <w:jc w:val="center"/>
        </w:trPr>
        <w:tc>
          <w:tcPr>
            <w:tcW w:w="2229" w:type="dxa"/>
          </w:tcPr>
          <w:p w:rsidR="00BF3649" w:rsidRPr="00C2761A" w:rsidRDefault="00BF3649" w:rsidP="00016659">
            <w:r w:rsidRPr="00C2761A">
              <w:t>6.1. detalizēts ieņēmumu aprēķins</w:t>
            </w:r>
          </w:p>
        </w:tc>
        <w:tc>
          <w:tcPr>
            <w:tcW w:w="6838" w:type="dxa"/>
            <w:gridSpan w:val="5"/>
            <w:vMerge/>
          </w:tcPr>
          <w:p w:rsidR="00BF3649" w:rsidRPr="00677FEA" w:rsidRDefault="00BF3649" w:rsidP="00016659">
            <w:pPr>
              <w:pStyle w:val="naisf"/>
              <w:spacing w:before="0" w:after="0"/>
              <w:ind w:left="57" w:right="113"/>
              <w:rPr>
                <w:b/>
                <w:i/>
              </w:rPr>
            </w:pPr>
          </w:p>
        </w:tc>
      </w:tr>
      <w:tr w:rsidR="00BF3649" w:rsidRPr="00C2761A" w:rsidTr="008E0BB9">
        <w:trPr>
          <w:jc w:val="center"/>
        </w:trPr>
        <w:tc>
          <w:tcPr>
            <w:tcW w:w="2229" w:type="dxa"/>
          </w:tcPr>
          <w:p w:rsidR="00BF3649" w:rsidRDefault="00BF3649" w:rsidP="00016659">
            <w:r w:rsidRPr="00C2761A">
              <w:t>6.2. detalizēts izdevumu aprēķins</w:t>
            </w:r>
          </w:p>
          <w:p w:rsidR="001F4D68" w:rsidRDefault="001F4D68" w:rsidP="00016659"/>
          <w:p w:rsidR="001F4D68" w:rsidRPr="00C2761A" w:rsidRDefault="001F4D68" w:rsidP="00016659"/>
        </w:tc>
        <w:tc>
          <w:tcPr>
            <w:tcW w:w="6838" w:type="dxa"/>
            <w:gridSpan w:val="5"/>
            <w:vMerge/>
          </w:tcPr>
          <w:p w:rsidR="00BF3649" w:rsidRPr="00677FEA" w:rsidRDefault="00BF3649" w:rsidP="00016659">
            <w:pPr>
              <w:pStyle w:val="naisf"/>
              <w:spacing w:before="0" w:after="0"/>
              <w:ind w:left="57" w:right="113"/>
              <w:rPr>
                <w:b/>
                <w:i/>
              </w:rPr>
            </w:pPr>
          </w:p>
        </w:tc>
      </w:tr>
      <w:tr w:rsidR="00BF3649" w:rsidRPr="00C2761A" w:rsidTr="008E0BB9">
        <w:trPr>
          <w:trHeight w:val="556"/>
          <w:jc w:val="center"/>
        </w:trPr>
        <w:tc>
          <w:tcPr>
            <w:tcW w:w="2229" w:type="dxa"/>
          </w:tcPr>
          <w:p w:rsidR="00BF3649" w:rsidRPr="00C2761A" w:rsidRDefault="00BF3649" w:rsidP="00016659">
            <w:r w:rsidRPr="00C2761A">
              <w:t>7. Cita informācija</w:t>
            </w:r>
          </w:p>
        </w:tc>
        <w:tc>
          <w:tcPr>
            <w:tcW w:w="6838" w:type="dxa"/>
            <w:gridSpan w:val="5"/>
          </w:tcPr>
          <w:p w:rsidR="004E550F" w:rsidRPr="00677FEA" w:rsidRDefault="00C24586" w:rsidP="00D855A0">
            <w:pPr>
              <w:pStyle w:val="naisf"/>
              <w:tabs>
                <w:tab w:val="left" w:pos="4644"/>
              </w:tabs>
              <w:spacing w:before="0" w:after="0"/>
              <w:ind w:firstLine="0"/>
            </w:pPr>
            <w:r w:rsidRPr="00677FEA">
              <w:t xml:space="preserve">Nepieciešamais </w:t>
            </w:r>
            <w:r w:rsidRPr="00530505">
              <w:t>finansējums</w:t>
            </w:r>
            <w:r w:rsidR="00462731" w:rsidRPr="002C70CB">
              <w:t xml:space="preserve"> </w:t>
            </w:r>
            <w:r w:rsidR="00A265EB" w:rsidRPr="000E5F49">
              <w:t>2017.</w:t>
            </w:r>
            <w:r w:rsidR="00474379" w:rsidRPr="00530505">
              <w:t xml:space="preserve"> </w:t>
            </w:r>
            <w:r w:rsidR="00D855A0">
              <w:t xml:space="preserve">gadam un turpmāk </w:t>
            </w:r>
            <w:r w:rsidRPr="002C70CB">
              <w:t>8.1</w:t>
            </w:r>
            <w:r w:rsidRPr="00677FEA">
              <w:t>.</w:t>
            </w:r>
            <w:r w:rsidR="00677FEA" w:rsidRPr="00677FEA">
              <w:t>1</w:t>
            </w:r>
            <w:r w:rsidRPr="00677FEA">
              <w:t>.SAM īstenošanai pēc projekt</w:t>
            </w:r>
            <w:r w:rsidR="006C48A7" w:rsidRPr="00677FEA">
              <w:t>u</w:t>
            </w:r>
            <w:r w:rsidRPr="00677FEA">
              <w:t xml:space="preserve"> iesniegum</w:t>
            </w:r>
            <w:r w:rsidR="006C48A7" w:rsidRPr="00677FEA">
              <w:t>u</w:t>
            </w:r>
            <w:r w:rsidRPr="00677FEA">
              <w:t xml:space="preserve"> apstiprināšanas tiks piesaistīts normatīvajos aktos noteiktajā kārtībā no 74.resora “Gadskārtējā valsts budžeta izpildes procesā pārdalāmais finansējums” budžeta </w:t>
            </w:r>
            <w:r w:rsidRPr="00677FEA">
              <w:lastRenderedPageBreak/>
              <w:t>programmas 80.00.00 “Nesadalītais finansējums Eiropas Savienības politiku instrumentu un pārējās ārvalstu finanšu palīdzības līdzfinansēto projektu un pasākumu īstenošanai”</w:t>
            </w:r>
            <w:r w:rsidR="003C4140" w:rsidRPr="00677FEA">
              <w:t>.</w:t>
            </w:r>
          </w:p>
        </w:tc>
      </w:tr>
    </w:tbl>
    <w:p w:rsidR="00BF3649" w:rsidRPr="00C2761A" w:rsidRDefault="00BF3649"/>
    <w:p w:rsidR="002764B8" w:rsidRPr="00C2761A" w:rsidRDefault="002764B8"/>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6"/>
        <w:gridCol w:w="1668"/>
        <w:gridCol w:w="265"/>
        <w:gridCol w:w="723"/>
        <w:gridCol w:w="1394"/>
        <w:gridCol w:w="1111"/>
        <w:gridCol w:w="1506"/>
        <w:gridCol w:w="1970"/>
      </w:tblGrid>
      <w:tr w:rsidR="00016659" w:rsidRPr="00C2761A" w:rsidTr="001629C3">
        <w:trPr>
          <w:trHeight w:val="421"/>
          <w:jc w:val="center"/>
        </w:trPr>
        <w:tc>
          <w:tcPr>
            <w:tcW w:w="8873" w:type="dxa"/>
            <w:gridSpan w:val="8"/>
            <w:tcBorders>
              <w:top w:val="single" w:sz="4" w:space="0" w:color="auto"/>
              <w:left w:val="single" w:sz="4" w:space="0" w:color="auto"/>
              <w:bottom w:val="single" w:sz="4" w:space="0" w:color="auto"/>
              <w:right w:val="single" w:sz="4" w:space="0" w:color="auto"/>
            </w:tcBorders>
            <w:vAlign w:val="center"/>
          </w:tcPr>
          <w:p w:rsidR="00016659" w:rsidRPr="00C2761A" w:rsidRDefault="00016659" w:rsidP="00016659">
            <w:pPr>
              <w:rPr>
                <w:b/>
              </w:rPr>
            </w:pPr>
            <w:r w:rsidRPr="00C2761A">
              <w:rPr>
                <w:b/>
              </w:rPr>
              <w:t>V. Tiesību akta projekta atbilstība Latvijas Republikas starptautiskajām saistībām</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1.</w:t>
            </w:r>
          </w:p>
        </w:tc>
        <w:tc>
          <w:tcPr>
            <w:tcW w:w="2656" w:type="dxa"/>
            <w:gridSpan w:val="3"/>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Saistības pret Eiropas Savienību</w:t>
            </w:r>
          </w:p>
        </w:tc>
        <w:tc>
          <w:tcPr>
            <w:tcW w:w="5981" w:type="dxa"/>
            <w:gridSpan w:val="4"/>
            <w:tcBorders>
              <w:top w:val="outset" w:sz="6" w:space="0" w:color="auto"/>
              <w:left w:val="outset" w:sz="6" w:space="0" w:color="auto"/>
              <w:bottom w:val="outset" w:sz="6" w:space="0" w:color="auto"/>
              <w:right w:val="outset" w:sz="6" w:space="0" w:color="auto"/>
            </w:tcBorders>
          </w:tcPr>
          <w:p w:rsidR="00D73044" w:rsidRPr="00D73044" w:rsidRDefault="00D73044" w:rsidP="006F7D3F">
            <w:pPr>
              <w:ind w:left="57" w:right="113"/>
              <w:jc w:val="both"/>
            </w:pPr>
            <w:r w:rsidRPr="00D73044">
              <w:t xml:space="preserve">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w:t>
            </w:r>
            <w:r w:rsidR="006F7D3F">
              <w:t>R</w:t>
            </w:r>
            <w:r w:rsidRPr="00D73044">
              <w:t>egula Nr.1303/2013).</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2.</w:t>
            </w:r>
          </w:p>
        </w:tc>
        <w:tc>
          <w:tcPr>
            <w:tcW w:w="2656" w:type="dxa"/>
            <w:gridSpan w:val="3"/>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Citas starptautiskās saistības</w:t>
            </w:r>
          </w:p>
        </w:tc>
        <w:tc>
          <w:tcPr>
            <w:tcW w:w="5981" w:type="dxa"/>
            <w:gridSpan w:val="4"/>
            <w:tcBorders>
              <w:top w:val="outset" w:sz="6" w:space="0" w:color="auto"/>
              <w:left w:val="outset" w:sz="6" w:space="0" w:color="auto"/>
              <w:bottom w:val="outset" w:sz="6" w:space="0" w:color="auto"/>
              <w:right w:val="outset" w:sz="6" w:space="0" w:color="auto"/>
            </w:tcBorders>
          </w:tcPr>
          <w:p w:rsidR="00016659" w:rsidRPr="00C2761A" w:rsidRDefault="00016659" w:rsidP="00016659">
            <w:pPr>
              <w:ind w:left="57" w:right="113"/>
              <w:jc w:val="both"/>
            </w:pPr>
            <w:r w:rsidRPr="00C2761A">
              <w:t>Noteikumu projekts šo jomu neskar.</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3.</w:t>
            </w:r>
          </w:p>
        </w:tc>
        <w:tc>
          <w:tcPr>
            <w:tcW w:w="2656" w:type="dxa"/>
            <w:gridSpan w:val="3"/>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Cita informācija</w:t>
            </w:r>
          </w:p>
        </w:tc>
        <w:tc>
          <w:tcPr>
            <w:tcW w:w="5981" w:type="dxa"/>
            <w:gridSpan w:val="4"/>
            <w:tcBorders>
              <w:top w:val="outset" w:sz="6" w:space="0" w:color="auto"/>
              <w:left w:val="outset" w:sz="6" w:space="0" w:color="auto"/>
              <w:bottom w:val="outset" w:sz="6" w:space="0" w:color="auto"/>
              <w:right w:val="outset" w:sz="6" w:space="0" w:color="auto"/>
            </w:tcBorders>
          </w:tcPr>
          <w:p w:rsidR="00016659" w:rsidRPr="00075C69" w:rsidRDefault="00D242E7" w:rsidP="00677FEA">
            <w:pPr>
              <w:ind w:left="57" w:right="113"/>
              <w:jc w:val="both"/>
              <w:rPr>
                <w:color w:val="1F497D" w:themeColor="text2"/>
              </w:rPr>
            </w:pPr>
            <w:r w:rsidRPr="00677FEA">
              <w:t xml:space="preserve">Saskaņā ar </w:t>
            </w:r>
            <w:r w:rsidRPr="00677FEA">
              <w:rPr>
                <w:bCs/>
              </w:rPr>
              <w:t xml:space="preserve">Darbības programmas „Izaugsme un nodarbinātība” 7.pielikumā „Koordinācija ar Eiropas Savienības stratēģiju Baltijas jūras reģionam minēto, </w:t>
            </w:r>
            <w:r w:rsidRPr="00677FEA">
              <w:t>8.1.</w:t>
            </w:r>
            <w:r w:rsidR="00677FEA">
              <w:t>1</w:t>
            </w:r>
            <w:r w:rsidRPr="00677FEA">
              <w:t xml:space="preserve">. SAM ietvaros koordinācija ar </w:t>
            </w:r>
            <w:r w:rsidRPr="00677FEA">
              <w:rPr>
                <w:rStyle w:val="st"/>
              </w:rPr>
              <w:t xml:space="preserve">ES </w:t>
            </w:r>
            <w:r w:rsidRPr="00677FEA">
              <w:rPr>
                <w:rStyle w:val="Emphasis"/>
                <w:i w:val="0"/>
              </w:rPr>
              <w:t>stratēģiju Baltijas jūras reģionam</w:t>
            </w:r>
            <w:r w:rsidRPr="00677FEA">
              <w:rPr>
                <w:i/>
              </w:rPr>
              <w:t xml:space="preserve"> </w:t>
            </w:r>
            <w:r w:rsidRPr="00677FEA">
              <w:t>nav paredzēta.</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8873" w:type="dxa"/>
            <w:gridSpan w:val="8"/>
            <w:tcBorders>
              <w:top w:val="outset" w:sz="6" w:space="0" w:color="auto"/>
              <w:left w:val="outset" w:sz="6" w:space="0" w:color="auto"/>
              <w:bottom w:val="outset" w:sz="6" w:space="0" w:color="auto"/>
              <w:right w:val="outset" w:sz="6" w:space="0" w:color="auto"/>
            </w:tcBorders>
            <w:vAlign w:val="center"/>
          </w:tcPr>
          <w:p w:rsidR="00016659" w:rsidRPr="00C2761A" w:rsidRDefault="00016659" w:rsidP="00016659">
            <w:pPr>
              <w:rPr>
                <w:b/>
              </w:rPr>
            </w:pPr>
            <w:r w:rsidRPr="00C2761A">
              <w:rPr>
                <w:b/>
              </w:rPr>
              <w:t>1.tabula</w:t>
            </w:r>
          </w:p>
          <w:p w:rsidR="00016659" w:rsidRPr="00C2761A" w:rsidRDefault="00016659" w:rsidP="00016659">
            <w:r w:rsidRPr="00C2761A">
              <w:rPr>
                <w:b/>
              </w:rPr>
              <w:t>Tiesību akta projekta atbilstība ES tiesību aktiem</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016659" w:rsidRPr="004429C5" w:rsidRDefault="00016659" w:rsidP="00016659">
            <w:r w:rsidRPr="004429C5">
              <w:t>Attiecīgā ES tiesību akta datums, numurs un nosaukums</w:t>
            </w:r>
          </w:p>
        </w:tc>
        <w:tc>
          <w:tcPr>
            <w:tcW w:w="6969" w:type="dxa"/>
            <w:gridSpan w:val="6"/>
            <w:tcBorders>
              <w:top w:val="outset" w:sz="6" w:space="0" w:color="auto"/>
              <w:left w:val="outset" w:sz="6" w:space="0" w:color="auto"/>
              <w:bottom w:val="outset" w:sz="6" w:space="0" w:color="auto"/>
              <w:right w:val="outset" w:sz="6" w:space="0" w:color="auto"/>
            </w:tcBorders>
          </w:tcPr>
          <w:p w:rsidR="00016659" w:rsidRPr="004429C5" w:rsidRDefault="006F7D3F" w:rsidP="00016659">
            <w:r>
              <w:t>R</w:t>
            </w:r>
            <w:r w:rsidR="00016659" w:rsidRPr="004429C5">
              <w:t>egula Nr.1303/2013.</w:t>
            </w:r>
          </w:p>
          <w:p w:rsidR="00016659" w:rsidRPr="004429C5" w:rsidRDefault="00016659" w:rsidP="00016659"/>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vAlign w:val="center"/>
          </w:tcPr>
          <w:p w:rsidR="00016659" w:rsidRPr="00C2761A" w:rsidRDefault="00016659" w:rsidP="00016659">
            <w:r w:rsidRPr="00C2761A">
              <w:t>A</w:t>
            </w:r>
          </w:p>
        </w:tc>
        <w:tc>
          <w:tcPr>
            <w:tcW w:w="2382" w:type="dxa"/>
            <w:gridSpan w:val="3"/>
            <w:tcBorders>
              <w:top w:val="outset" w:sz="6" w:space="0" w:color="auto"/>
              <w:left w:val="outset" w:sz="6" w:space="0" w:color="auto"/>
              <w:bottom w:val="outset" w:sz="6" w:space="0" w:color="auto"/>
              <w:right w:val="outset" w:sz="6" w:space="0" w:color="auto"/>
            </w:tcBorders>
            <w:vAlign w:val="center"/>
          </w:tcPr>
          <w:p w:rsidR="00016659" w:rsidRPr="00C2761A" w:rsidRDefault="00016659" w:rsidP="00016659">
            <w:r w:rsidRPr="00C2761A">
              <w:t>B</w:t>
            </w:r>
          </w:p>
        </w:tc>
        <w:tc>
          <w:tcPr>
            <w:tcW w:w="2617" w:type="dxa"/>
            <w:gridSpan w:val="2"/>
            <w:tcBorders>
              <w:top w:val="outset" w:sz="6" w:space="0" w:color="auto"/>
              <w:left w:val="outset" w:sz="6" w:space="0" w:color="auto"/>
              <w:bottom w:val="outset" w:sz="6" w:space="0" w:color="auto"/>
              <w:right w:val="outset" w:sz="6" w:space="0" w:color="auto"/>
            </w:tcBorders>
            <w:vAlign w:val="center"/>
          </w:tcPr>
          <w:p w:rsidR="00016659" w:rsidRPr="00C2761A" w:rsidRDefault="00016659" w:rsidP="00016659">
            <w:r w:rsidRPr="00C2761A">
              <w:t>C</w:t>
            </w:r>
          </w:p>
        </w:tc>
        <w:tc>
          <w:tcPr>
            <w:tcW w:w="1970" w:type="dxa"/>
            <w:tcBorders>
              <w:top w:val="outset" w:sz="6" w:space="0" w:color="auto"/>
              <w:left w:val="outset" w:sz="6" w:space="0" w:color="auto"/>
              <w:bottom w:val="outset" w:sz="6" w:space="0" w:color="auto"/>
              <w:right w:val="outset" w:sz="6" w:space="0" w:color="auto"/>
            </w:tcBorders>
            <w:vAlign w:val="center"/>
          </w:tcPr>
          <w:p w:rsidR="00016659" w:rsidRPr="00C2761A" w:rsidRDefault="00016659" w:rsidP="00016659">
            <w:r w:rsidRPr="00C2761A">
              <w:t>D</w:t>
            </w:r>
          </w:p>
        </w:tc>
      </w:tr>
      <w:tr w:rsidR="00016659"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Attiecīgā ES tiesību akta panta numurs (uzskaitot katru tiesību akta vienību – pantu, daļu, punktu, apakšpunktu)</w:t>
            </w:r>
          </w:p>
        </w:tc>
        <w:tc>
          <w:tcPr>
            <w:tcW w:w="2382" w:type="dxa"/>
            <w:gridSpan w:val="3"/>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Projekta vienība, kas pārņem vai ievieš katru šīs tabulas A ailē minēto ES tiesību akta vienību, vai tiesību akts, kur attiecīgā ES tiesību akta vienība pārņemta vai ieviesta</w:t>
            </w:r>
          </w:p>
        </w:tc>
        <w:tc>
          <w:tcPr>
            <w:tcW w:w="2617" w:type="dxa"/>
            <w:gridSpan w:val="2"/>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t>Informācija par to, vai šīs tabulas A ailē minētās ES tiesību akta vienības tiek pārņemtas vai ieviestas pilnībā vai daļēji.</w:t>
            </w:r>
          </w:p>
          <w:p w:rsidR="00016659" w:rsidRPr="00C2761A" w:rsidRDefault="00016659" w:rsidP="00016659">
            <w:r w:rsidRPr="00C2761A">
              <w:t>Ja attiecīgā ES tiesību akta vienība tiek pārņemta vai ieviesta daļēji, sniedz attiecīgu skaidrojumu, kā arī precīzi norāda, kad un kādā veidā ES tiesību akta vienība tiks pārņemta vai ieviesta pilnībā.</w:t>
            </w:r>
          </w:p>
          <w:p w:rsidR="00016659" w:rsidRPr="00C2761A" w:rsidRDefault="00016659" w:rsidP="00016659">
            <w:r w:rsidRPr="00C2761A">
              <w:lastRenderedPageBreak/>
              <w:t>Norāda institūciju, kas ir atbildīga par šo saistību izpildi pilnībā</w:t>
            </w:r>
          </w:p>
        </w:tc>
        <w:tc>
          <w:tcPr>
            <w:tcW w:w="1970" w:type="dxa"/>
            <w:tcBorders>
              <w:top w:val="outset" w:sz="6" w:space="0" w:color="auto"/>
              <w:left w:val="outset" w:sz="6" w:space="0" w:color="auto"/>
              <w:bottom w:val="outset" w:sz="6" w:space="0" w:color="auto"/>
              <w:right w:val="outset" w:sz="6" w:space="0" w:color="auto"/>
            </w:tcBorders>
          </w:tcPr>
          <w:p w:rsidR="00016659" w:rsidRPr="00C2761A" w:rsidRDefault="00016659" w:rsidP="00016659">
            <w:r w:rsidRPr="00C2761A">
              <w:lastRenderedPageBreak/>
              <w:t>Informācija par to, vai šīs tabulas B ailē minētās projekta vienības paredz stingrākas prasības nekā šīs tabulas A ailē minētās ES tiesību akta vienības.</w:t>
            </w:r>
          </w:p>
          <w:p w:rsidR="00016659" w:rsidRPr="00C2761A" w:rsidRDefault="00016659" w:rsidP="00016659">
            <w:r w:rsidRPr="00C2761A">
              <w:t>Ja projekts satur stingrā</w:t>
            </w:r>
            <w:r w:rsidRPr="00C2761A">
              <w:softHyphen/>
              <w:t>kas prasības nekā attie</w:t>
            </w:r>
            <w:r w:rsidRPr="00C2761A">
              <w:softHyphen/>
              <w:t>cīgais ES tiesību akts, norāda pamatojumu un samērīgumu.</w:t>
            </w:r>
          </w:p>
          <w:p w:rsidR="00016659" w:rsidRPr="00C2761A" w:rsidRDefault="00016659" w:rsidP="00016659">
            <w:r w:rsidRPr="00C2761A">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6F7D3F"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6F7D3F" w:rsidRPr="006F7D3F" w:rsidRDefault="006F7D3F" w:rsidP="006F7D3F">
            <w:r>
              <w:lastRenderedPageBreak/>
              <w:t>R</w:t>
            </w:r>
            <w:r w:rsidRPr="006F7D3F">
              <w:t xml:space="preserve">egula Nr.1303/2013 </w:t>
            </w:r>
            <w:r w:rsidR="000A03CC" w:rsidRPr="000A03CC">
              <w:t>61. panta 7. punkta "b" apakšpunkt</w:t>
            </w:r>
            <w:r>
              <w:t>s</w:t>
            </w:r>
            <w:r w:rsidR="000A03CC" w:rsidRPr="000A03CC">
              <w:t xml:space="preserve"> </w:t>
            </w:r>
            <w:r>
              <w:t xml:space="preserve">un </w:t>
            </w:r>
            <w:r w:rsidRPr="006F7D3F">
              <w:t>65. panta 8. punkt</w:t>
            </w:r>
            <w:r>
              <w:t>s</w:t>
            </w:r>
          </w:p>
        </w:tc>
        <w:tc>
          <w:tcPr>
            <w:tcW w:w="2382" w:type="dxa"/>
            <w:gridSpan w:val="3"/>
            <w:tcBorders>
              <w:top w:val="outset" w:sz="6" w:space="0" w:color="auto"/>
              <w:left w:val="outset" w:sz="6" w:space="0" w:color="auto"/>
              <w:bottom w:val="outset" w:sz="6" w:space="0" w:color="auto"/>
              <w:right w:val="outset" w:sz="6" w:space="0" w:color="auto"/>
            </w:tcBorders>
          </w:tcPr>
          <w:p w:rsidR="006F7D3F" w:rsidRPr="0072092A" w:rsidRDefault="006F7D3F" w:rsidP="003D4B4C">
            <w:r w:rsidRPr="002D583A">
              <w:t xml:space="preserve">Noteikumu projekta </w:t>
            </w:r>
            <w:r w:rsidR="00A265EB" w:rsidRPr="002D583A">
              <w:t>3</w:t>
            </w:r>
            <w:r w:rsidR="0004202D" w:rsidRPr="000E5F49">
              <w:t>5</w:t>
            </w:r>
            <w:r w:rsidR="00A265EB" w:rsidRPr="002D583A">
              <w:t>.punkts</w:t>
            </w:r>
          </w:p>
        </w:tc>
        <w:tc>
          <w:tcPr>
            <w:tcW w:w="2617" w:type="dxa"/>
            <w:gridSpan w:val="2"/>
            <w:tcBorders>
              <w:top w:val="outset" w:sz="6" w:space="0" w:color="auto"/>
              <w:left w:val="outset" w:sz="6" w:space="0" w:color="auto"/>
              <w:bottom w:val="outset" w:sz="6" w:space="0" w:color="auto"/>
              <w:right w:val="outset" w:sz="6" w:space="0" w:color="auto"/>
            </w:tcBorders>
          </w:tcPr>
          <w:p w:rsidR="006F7D3F" w:rsidRDefault="006F7D3F" w:rsidP="001D4EDF">
            <w:r w:rsidRPr="00C2761A">
              <w:t xml:space="preserve">Vienība tiek ieviesta pilnībā. </w:t>
            </w:r>
          </w:p>
          <w:p w:rsidR="006F7D3F" w:rsidRPr="00C2761A" w:rsidRDefault="006F7D3F" w:rsidP="00C45733">
            <w:r>
              <w:t xml:space="preserve">Atbildīgās institūcijas – </w:t>
            </w:r>
            <w:r w:rsidR="00C45733">
              <w:t xml:space="preserve">augstskolas </w:t>
            </w:r>
            <w:r>
              <w:t>(projekta īstenotāji).</w:t>
            </w:r>
          </w:p>
        </w:tc>
        <w:tc>
          <w:tcPr>
            <w:tcW w:w="1970" w:type="dxa"/>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t>Netiek paredzētas stingrākas prasības.</w:t>
            </w:r>
          </w:p>
        </w:tc>
      </w:tr>
      <w:tr w:rsidR="006F7D3F"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6F7D3F" w:rsidRPr="00C2761A" w:rsidRDefault="006F7D3F" w:rsidP="00016659">
            <w:r>
              <w:t>R</w:t>
            </w:r>
            <w:r w:rsidRPr="00C2761A">
              <w:t>egula Nr.1303/2013 XII pielikuma 2.2.apakšpunkts</w:t>
            </w:r>
          </w:p>
        </w:tc>
        <w:tc>
          <w:tcPr>
            <w:tcW w:w="2382" w:type="dxa"/>
            <w:gridSpan w:val="3"/>
            <w:tcBorders>
              <w:top w:val="outset" w:sz="6" w:space="0" w:color="auto"/>
              <w:left w:val="outset" w:sz="6" w:space="0" w:color="auto"/>
              <w:bottom w:val="outset" w:sz="6" w:space="0" w:color="auto"/>
              <w:right w:val="outset" w:sz="6" w:space="0" w:color="auto"/>
            </w:tcBorders>
          </w:tcPr>
          <w:p w:rsidR="006F7D3F" w:rsidRPr="0072092A" w:rsidRDefault="006F7D3F" w:rsidP="003D4B4C">
            <w:r w:rsidRPr="002D583A">
              <w:t xml:space="preserve">Noteikumu projekta </w:t>
            </w:r>
            <w:r w:rsidR="00A265EB" w:rsidRPr="002D583A">
              <w:t>3</w:t>
            </w:r>
            <w:r w:rsidR="0004202D" w:rsidRPr="000E5F49">
              <w:t>6</w:t>
            </w:r>
            <w:r w:rsidR="00A265EB" w:rsidRPr="002D583A">
              <w:t>.1.apkšpunkts</w:t>
            </w:r>
          </w:p>
        </w:tc>
        <w:tc>
          <w:tcPr>
            <w:tcW w:w="2617" w:type="dxa"/>
            <w:gridSpan w:val="2"/>
            <w:tcBorders>
              <w:top w:val="outset" w:sz="6" w:space="0" w:color="auto"/>
              <w:left w:val="outset" w:sz="6" w:space="0" w:color="auto"/>
              <w:bottom w:val="outset" w:sz="6" w:space="0" w:color="auto"/>
              <w:right w:val="outset" w:sz="6" w:space="0" w:color="auto"/>
            </w:tcBorders>
          </w:tcPr>
          <w:p w:rsidR="006F7D3F" w:rsidRDefault="006F7D3F" w:rsidP="00417564">
            <w:r w:rsidRPr="00C2761A">
              <w:t xml:space="preserve">Vienība tiek ieviesta pilnībā. </w:t>
            </w:r>
          </w:p>
          <w:p w:rsidR="006F7D3F" w:rsidRPr="00C2761A" w:rsidRDefault="006F7D3F" w:rsidP="00C45733">
            <w:r>
              <w:t xml:space="preserve">Atbildīgās institūcijas – </w:t>
            </w:r>
            <w:r w:rsidR="00C45733">
              <w:t xml:space="preserve">augstskolas </w:t>
            </w:r>
            <w:r>
              <w:t>(projekta īstenotāji).</w:t>
            </w:r>
          </w:p>
        </w:tc>
        <w:tc>
          <w:tcPr>
            <w:tcW w:w="1970" w:type="dxa"/>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t>Netiek paredzētas stingrākas prasības.</w:t>
            </w:r>
          </w:p>
        </w:tc>
      </w:tr>
      <w:tr w:rsidR="006F7D3F"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t>Kā ir izmantota ES tiesību aktā paredzētā rīcības brīvība dalīb</w:t>
            </w:r>
            <w:r w:rsidRPr="00C2761A">
              <w:softHyphen/>
              <w:t>valstij pārņemt vai ieviest noteiktas ES tiesību akta normas?</w:t>
            </w:r>
          </w:p>
          <w:p w:rsidR="006F7D3F" w:rsidRPr="00C2761A" w:rsidRDefault="006F7D3F" w:rsidP="00016659">
            <w:r w:rsidRPr="00C2761A">
              <w:t>Kādēļ?</w:t>
            </w:r>
          </w:p>
        </w:tc>
        <w:tc>
          <w:tcPr>
            <w:tcW w:w="6969" w:type="dxa"/>
            <w:gridSpan w:val="6"/>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t>Noteikumu projekts šo jomu neskar.</w:t>
            </w:r>
          </w:p>
        </w:tc>
      </w:tr>
      <w:tr w:rsidR="006F7D3F"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t>Saistības sniegt paziņojumu ES insti</w:t>
            </w:r>
            <w:r w:rsidRPr="00C2761A">
              <w:softHyphen/>
              <w:t>tūcijām un ES dalīb</w:t>
            </w:r>
            <w:r w:rsidRPr="00C2761A">
              <w:softHyphen/>
              <w:t xml:space="preserve">valstīm atbilstoši normatīvajiem aktiem, kas regulē informācijas sniegšanu par tehnisko noteikumu, valsts </w:t>
            </w:r>
            <w:r w:rsidRPr="00C2761A">
              <w:lastRenderedPageBreak/>
              <w:t>atbalsta piešķir</w:t>
            </w:r>
            <w:r w:rsidRPr="00C2761A">
              <w:softHyphen/>
              <w:t>šanas un finanšu noteikumu (attiecībā uz monetāro politiku) projektiem</w:t>
            </w:r>
          </w:p>
        </w:tc>
        <w:tc>
          <w:tcPr>
            <w:tcW w:w="6969" w:type="dxa"/>
            <w:gridSpan w:val="6"/>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lastRenderedPageBreak/>
              <w:t>Noteikumu projekts šo jomu neskar.</w:t>
            </w:r>
          </w:p>
        </w:tc>
      </w:tr>
      <w:tr w:rsidR="006F7D3F"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1904" w:type="dxa"/>
            <w:gridSpan w:val="2"/>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t>Cita informācija</w:t>
            </w:r>
          </w:p>
        </w:tc>
        <w:tc>
          <w:tcPr>
            <w:tcW w:w="6969" w:type="dxa"/>
            <w:gridSpan w:val="6"/>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t>Nav.</w:t>
            </w:r>
          </w:p>
        </w:tc>
      </w:tr>
      <w:tr w:rsidR="006F7D3F"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8873" w:type="dxa"/>
            <w:gridSpan w:val="8"/>
            <w:tcBorders>
              <w:top w:val="outset" w:sz="6" w:space="0" w:color="auto"/>
              <w:left w:val="outset" w:sz="6" w:space="0" w:color="auto"/>
              <w:bottom w:val="outset" w:sz="6" w:space="0" w:color="auto"/>
              <w:right w:val="outset" w:sz="6" w:space="0" w:color="auto"/>
            </w:tcBorders>
            <w:vAlign w:val="center"/>
          </w:tcPr>
          <w:p w:rsidR="006F7D3F" w:rsidRPr="00C2761A" w:rsidRDefault="006F7D3F" w:rsidP="0071698E">
            <w:pPr>
              <w:jc w:val="both"/>
              <w:rPr>
                <w:b/>
              </w:rPr>
            </w:pPr>
            <w:r w:rsidRPr="00C2761A">
              <w:rPr>
                <w:b/>
              </w:rPr>
              <w:t>2.tabula</w:t>
            </w:r>
          </w:p>
          <w:p w:rsidR="006F7D3F" w:rsidRPr="00C2761A" w:rsidRDefault="006F7D3F" w:rsidP="0071698E">
            <w:pPr>
              <w:jc w:val="both"/>
              <w:rPr>
                <w:b/>
              </w:rPr>
            </w:pPr>
            <w:r w:rsidRPr="00C2761A">
              <w:rPr>
                <w:b/>
              </w:rPr>
              <w:t>Ar tiesību akta projektu izpildītās vai uzņemtās saistības, kas izriet no starptautiskajiem tiesību aktiem vai starptautiskas institūcijas vai organizācijas dokumentiem.</w:t>
            </w:r>
          </w:p>
          <w:p w:rsidR="006F7D3F" w:rsidRPr="00C2761A" w:rsidRDefault="006F7D3F" w:rsidP="0071698E">
            <w:pPr>
              <w:jc w:val="both"/>
              <w:rPr>
                <w:b/>
              </w:rPr>
            </w:pPr>
            <w:r w:rsidRPr="00C2761A">
              <w:rPr>
                <w:b/>
              </w:rPr>
              <w:t>Pasākumi šo saistību izpildei</w:t>
            </w:r>
          </w:p>
        </w:tc>
      </w:tr>
      <w:tr w:rsidR="006F7D3F"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69" w:type="dxa"/>
            <w:gridSpan w:val="3"/>
            <w:tcBorders>
              <w:top w:val="outset" w:sz="6" w:space="0" w:color="auto"/>
              <w:left w:val="outset" w:sz="6" w:space="0" w:color="auto"/>
              <w:bottom w:val="outset" w:sz="6" w:space="0" w:color="auto"/>
              <w:right w:val="outset" w:sz="6" w:space="0" w:color="auto"/>
            </w:tcBorders>
            <w:vAlign w:val="center"/>
          </w:tcPr>
          <w:p w:rsidR="006F7D3F" w:rsidRPr="00C2761A" w:rsidRDefault="006F7D3F" w:rsidP="00016659">
            <w:r w:rsidRPr="00C2761A">
              <w:t>Attiecīgā starptautiskā tiesību akta vai starptautiskas institūcijas vai organizācijas dokumenta (turpmāk – starptautiskais dokuments) datums, numurs un nosaukums</w:t>
            </w:r>
          </w:p>
        </w:tc>
        <w:tc>
          <w:tcPr>
            <w:tcW w:w="6704" w:type="dxa"/>
            <w:gridSpan w:val="5"/>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t>Noteikumu projekts šo jomu neskar.</w:t>
            </w:r>
          </w:p>
        </w:tc>
      </w:tr>
      <w:tr w:rsidR="006F7D3F"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69" w:type="dxa"/>
            <w:gridSpan w:val="3"/>
            <w:tcBorders>
              <w:top w:val="outset" w:sz="6" w:space="0" w:color="auto"/>
              <w:left w:val="outset" w:sz="6" w:space="0" w:color="auto"/>
              <w:bottom w:val="outset" w:sz="6" w:space="0" w:color="auto"/>
              <w:right w:val="outset" w:sz="6" w:space="0" w:color="auto"/>
            </w:tcBorders>
            <w:vAlign w:val="center"/>
          </w:tcPr>
          <w:p w:rsidR="006F7D3F" w:rsidRPr="00C2761A" w:rsidRDefault="006F7D3F" w:rsidP="00016659">
            <w:r w:rsidRPr="00C2761A">
              <w:t>A</w:t>
            </w:r>
          </w:p>
        </w:tc>
        <w:tc>
          <w:tcPr>
            <w:tcW w:w="3228" w:type="dxa"/>
            <w:gridSpan w:val="3"/>
            <w:tcBorders>
              <w:top w:val="outset" w:sz="6" w:space="0" w:color="auto"/>
              <w:left w:val="outset" w:sz="6" w:space="0" w:color="auto"/>
              <w:bottom w:val="outset" w:sz="6" w:space="0" w:color="auto"/>
              <w:right w:val="outset" w:sz="6" w:space="0" w:color="auto"/>
            </w:tcBorders>
            <w:vAlign w:val="center"/>
          </w:tcPr>
          <w:p w:rsidR="006F7D3F" w:rsidRPr="00C2761A" w:rsidRDefault="006F7D3F" w:rsidP="00016659">
            <w:r w:rsidRPr="00C2761A">
              <w:t>B</w:t>
            </w:r>
          </w:p>
        </w:tc>
        <w:tc>
          <w:tcPr>
            <w:tcW w:w="3476" w:type="dxa"/>
            <w:gridSpan w:val="2"/>
            <w:tcBorders>
              <w:top w:val="outset" w:sz="6" w:space="0" w:color="auto"/>
              <w:left w:val="outset" w:sz="6" w:space="0" w:color="auto"/>
              <w:bottom w:val="outset" w:sz="6" w:space="0" w:color="auto"/>
              <w:right w:val="outset" w:sz="6" w:space="0" w:color="auto"/>
            </w:tcBorders>
            <w:vAlign w:val="center"/>
          </w:tcPr>
          <w:p w:rsidR="006F7D3F" w:rsidRPr="00C2761A" w:rsidRDefault="006F7D3F" w:rsidP="00016659">
            <w:r w:rsidRPr="00C2761A">
              <w:t>C</w:t>
            </w:r>
          </w:p>
        </w:tc>
      </w:tr>
      <w:tr w:rsidR="006F7D3F"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69" w:type="dxa"/>
            <w:gridSpan w:val="3"/>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t>Starptautiskās saistības (pēc būtības), kas izriet no norādītā starptautiskā dokumenta.</w:t>
            </w:r>
          </w:p>
          <w:p w:rsidR="006F7D3F" w:rsidRPr="00C2761A" w:rsidRDefault="006F7D3F" w:rsidP="00016659">
            <w:r w:rsidRPr="00C2761A">
              <w:t>Konkrēti veicamie pasākumi vai uzdevumi, kas nepieciešami šo starptautisko saistību izpildei</w:t>
            </w:r>
          </w:p>
        </w:tc>
        <w:tc>
          <w:tcPr>
            <w:tcW w:w="3228" w:type="dxa"/>
            <w:gridSpan w:val="3"/>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476" w:type="dxa"/>
            <w:gridSpan w:val="2"/>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t>Informācija par to, vai starptautiskās saistības, kas minētas šīs tabulas A ailē, tiek izpildītas pilnībā vai daļēji.</w:t>
            </w:r>
          </w:p>
          <w:p w:rsidR="006F7D3F" w:rsidRPr="00C2761A" w:rsidRDefault="006F7D3F" w:rsidP="00016659">
            <w:r w:rsidRPr="00C2761A">
              <w:t>Ja attiecīgās starptautiskās saistības tiek izpildītas daļēji, sniedz skaidrojumu, kā arī precīzi norāda, kad un kādā veidā starptautiskās saistības tiks izpildītas pilnībā.</w:t>
            </w:r>
          </w:p>
          <w:p w:rsidR="006F7D3F" w:rsidRPr="00C2761A" w:rsidRDefault="006F7D3F" w:rsidP="00016659">
            <w:r w:rsidRPr="00C2761A">
              <w:t>Norāda institūciju, kas ir atbildīga par šo saistību izpildi pilnībā</w:t>
            </w:r>
          </w:p>
        </w:tc>
      </w:tr>
      <w:tr w:rsidR="006F7D3F"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69" w:type="dxa"/>
            <w:gridSpan w:val="3"/>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t>Noteikumu projekts šo jomu neskar.</w:t>
            </w:r>
          </w:p>
        </w:tc>
        <w:tc>
          <w:tcPr>
            <w:tcW w:w="3228" w:type="dxa"/>
            <w:gridSpan w:val="3"/>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t>Noteikumu projekts šo jomu neskar.</w:t>
            </w:r>
          </w:p>
        </w:tc>
        <w:tc>
          <w:tcPr>
            <w:tcW w:w="3476" w:type="dxa"/>
            <w:gridSpan w:val="2"/>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t>Noteikumu projekts šo jomu neskar.</w:t>
            </w:r>
          </w:p>
        </w:tc>
      </w:tr>
      <w:tr w:rsidR="006F7D3F"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69" w:type="dxa"/>
            <w:gridSpan w:val="3"/>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t xml:space="preserve">Vai starptautiskajā dokumentā paredzētās saistības nav pretrunā ar jau esošajām Latvijas Republikas </w:t>
            </w:r>
            <w:r w:rsidRPr="00C2761A">
              <w:lastRenderedPageBreak/>
              <w:t>starptautis</w:t>
            </w:r>
            <w:r w:rsidRPr="00C2761A">
              <w:softHyphen/>
              <w:t>kajām saistībām</w:t>
            </w:r>
          </w:p>
        </w:tc>
        <w:tc>
          <w:tcPr>
            <w:tcW w:w="6704" w:type="dxa"/>
            <w:gridSpan w:val="5"/>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lastRenderedPageBreak/>
              <w:t>Noteikumu projekts šo jomu neskar.</w:t>
            </w:r>
          </w:p>
        </w:tc>
      </w:tr>
      <w:tr w:rsidR="006F7D3F" w:rsidRPr="00C2761A" w:rsidTr="001629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69" w:type="dxa"/>
            <w:gridSpan w:val="3"/>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t>Cita informācija</w:t>
            </w:r>
          </w:p>
        </w:tc>
        <w:tc>
          <w:tcPr>
            <w:tcW w:w="6704" w:type="dxa"/>
            <w:gridSpan w:val="5"/>
            <w:tcBorders>
              <w:top w:val="outset" w:sz="6" w:space="0" w:color="auto"/>
              <w:left w:val="outset" w:sz="6" w:space="0" w:color="auto"/>
              <w:bottom w:val="outset" w:sz="6" w:space="0" w:color="auto"/>
              <w:right w:val="outset" w:sz="6" w:space="0" w:color="auto"/>
            </w:tcBorders>
          </w:tcPr>
          <w:p w:rsidR="006F7D3F" w:rsidRPr="00C2761A" w:rsidRDefault="006F7D3F" w:rsidP="00016659">
            <w:r w:rsidRPr="00C2761A">
              <w:t>Nav.</w:t>
            </w:r>
          </w:p>
        </w:tc>
      </w:tr>
    </w:tbl>
    <w:p w:rsidR="00016659" w:rsidRPr="00C2761A" w:rsidRDefault="00016659"/>
    <w:tbl>
      <w:tblPr>
        <w:tblW w:w="5129"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82"/>
        <w:gridCol w:w="2769"/>
        <w:gridCol w:w="5603"/>
      </w:tblGrid>
      <w:tr w:rsidR="00BF3649" w:rsidRPr="00C2761A" w:rsidTr="001629C3">
        <w:tc>
          <w:tcPr>
            <w:tcW w:w="8931" w:type="dxa"/>
            <w:gridSpan w:val="3"/>
            <w:tcBorders>
              <w:top w:val="outset" w:sz="6" w:space="0" w:color="000000"/>
              <w:left w:val="outset" w:sz="6" w:space="0" w:color="000000"/>
              <w:bottom w:val="outset" w:sz="6" w:space="0" w:color="000000"/>
              <w:right w:val="outset" w:sz="6" w:space="0" w:color="000000"/>
            </w:tcBorders>
          </w:tcPr>
          <w:p w:rsidR="00BF3649" w:rsidRPr="00C2761A" w:rsidRDefault="00BF3649" w:rsidP="00016659">
            <w:pPr>
              <w:spacing w:before="100" w:beforeAutospacing="1" w:after="100" w:afterAutospacing="1"/>
              <w:jc w:val="center"/>
              <w:rPr>
                <w:b/>
                <w:bCs/>
              </w:rPr>
            </w:pPr>
            <w:r w:rsidRPr="00C2761A">
              <w:rPr>
                <w:b/>
                <w:bCs/>
              </w:rPr>
              <w:t xml:space="preserve">VI. </w:t>
            </w:r>
            <w:r w:rsidRPr="00C2761A">
              <w:rPr>
                <w:b/>
              </w:rPr>
              <w:t>Sabiedrības līdzdalība un komunikācijas aktivitātes</w:t>
            </w:r>
          </w:p>
        </w:tc>
      </w:tr>
      <w:tr w:rsidR="00BF3649" w:rsidRPr="00C2761A" w:rsidTr="001629C3">
        <w:tc>
          <w:tcPr>
            <w:tcW w:w="486" w:type="dxa"/>
            <w:tcBorders>
              <w:top w:val="outset" w:sz="6" w:space="0" w:color="000000"/>
              <w:left w:val="outset" w:sz="6" w:space="0" w:color="000000"/>
              <w:bottom w:val="outset" w:sz="6" w:space="0" w:color="000000"/>
              <w:right w:val="outset" w:sz="6" w:space="0" w:color="000000"/>
            </w:tcBorders>
          </w:tcPr>
          <w:p w:rsidR="00BF3649" w:rsidRPr="00C2761A" w:rsidRDefault="00BF3649" w:rsidP="00016659">
            <w:pPr>
              <w:spacing w:before="100" w:beforeAutospacing="1" w:after="100" w:afterAutospacing="1"/>
              <w:jc w:val="center"/>
            </w:pPr>
            <w:r w:rsidRPr="00C2761A">
              <w:t>1.</w:t>
            </w:r>
          </w:p>
        </w:tc>
        <w:tc>
          <w:tcPr>
            <w:tcW w:w="2793" w:type="dxa"/>
            <w:tcBorders>
              <w:top w:val="outset" w:sz="6" w:space="0" w:color="000000"/>
              <w:left w:val="outset" w:sz="6" w:space="0" w:color="000000"/>
              <w:bottom w:val="outset" w:sz="6" w:space="0" w:color="000000"/>
              <w:right w:val="outset" w:sz="6" w:space="0" w:color="000000"/>
            </w:tcBorders>
          </w:tcPr>
          <w:p w:rsidR="00BF3649" w:rsidRPr="00C2761A" w:rsidRDefault="00BF3649" w:rsidP="00016659">
            <w:pPr>
              <w:spacing w:before="100" w:beforeAutospacing="1" w:after="100" w:afterAutospacing="1"/>
            </w:pPr>
            <w:r w:rsidRPr="00C2761A">
              <w:t>Plānotās sabiedrības līdzdalības un komunikācijas aktivitātes saistībā ar projektu</w:t>
            </w:r>
          </w:p>
        </w:tc>
        <w:tc>
          <w:tcPr>
            <w:tcW w:w="5652" w:type="dxa"/>
            <w:tcBorders>
              <w:top w:val="outset" w:sz="6" w:space="0" w:color="000000"/>
              <w:left w:val="outset" w:sz="6" w:space="0" w:color="000000"/>
              <w:bottom w:val="outset" w:sz="6" w:space="0" w:color="000000"/>
              <w:right w:val="outset" w:sz="6" w:space="0" w:color="000000"/>
            </w:tcBorders>
          </w:tcPr>
          <w:p w:rsidR="00BF3649" w:rsidRPr="00C2761A" w:rsidRDefault="000629DD" w:rsidP="00C45733">
            <w:pPr>
              <w:shd w:val="clear" w:color="auto" w:fill="FFFFFF"/>
              <w:jc w:val="both"/>
            </w:pPr>
            <w:r w:rsidRPr="00380792">
              <w:rPr>
                <w:bCs/>
              </w:rPr>
              <w:t>Sabiedrības</w:t>
            </w:r>
            <w:r>
              <w:rPr>
                <w:bCs/>
              </w:rPr>
              <w:t xml:space="preserve"> pārstāvji varēs līdzdarboties </w:t>
            </w:r>
            <w:r w:rsidRPr="00380792">
              <w:rPr>
                <w:bCs/>
              </w:rPr>
              <w:t xml:space="preserve">noteikumu projekta izstrādē, sniedzot atzinumu un viedokli par </w:t>
            </w:r>
            <w:r w:rsidR="00417564">
              <w:t xml:space="preserve">Eiropas Savienības </w:t>
            </w:r>
            <w:r w:rsidRPr="003A5266">
              <w:t>struktūrfondu un Kohēzijas fonda 2014.-2020.gada plānošanas perioda Izglītības, prasmju un mūžizglītības</w:t>
            </w:r>
            <w:r w:rsidRPr="003A5266">
              <w:rPr>
                <w:b/>
                <w:bCs/>
              </w:rPr>
              <w:t xml:space="preserve"> </w:t>
            </w:r>
            <w:r w:rsidRPr="00AC3F25">
              <w:t xml:space="preserve">prioritārā virziena </w:t>
            </w:r>
            <w:r w:rsidRPr="00380792">
              <w:rPr>
                <w:bCs/>
              </w:rPr>
              <w:t>apakškomitejā iesniegtajiem projektu iesniegumu vērtēšanas kritērijiem</w:t>
            </w:r>
            <w:r>
              <w:rPr>
                <w:bCs/>
              </w:rPr>
              <w:t>, kritēriju piemērošanas metodiku</w:t>
            </w:r>
            <w:r w:rsidRPr="00380792">
              <w:rPr>
                <w:bCs/>
              </w:rPr>
              <w:t xml:space="preserve"> </w:t>
            </w:r>
            <w:r>
              <w:rPr>
                <w:bCs/>
              </w:rPr>
              <w:t>un 8.1.</w:t>
            </w:r>
            <w:r w:rsidR="00460736">
              <w:rPr>
                <w:bCs/>
              </w:rPr>
              <w:t>1</w:t>
            </w:r>
            <w:r>
              <w:rPr>
                <w:bCs/>
              </w:rPr>
              <w:t xml:space="preserve">. </w:t>
            </w:r>
            <w:r w:rsidR="00417564">
              <w:rPr>
                <w:bCs/>
              </w:rPr>
              <w:t>SAM</w:t>
            </w:r>
            <w:r w:rsidR="00417564" w:rsidRPr="00973D2B">
              <w:rPr>
                <w:bCs/>
              </w:rPr>
              <w:t xml:space="preserve"> </w:t>
            </w:r>
            <w:r w:rsidRPr="00973D2B">
              <w:rPr>
                <w:bCs/>
              </w:rPr>
              <w:t>paplašināto</w:t>
            </w:r>
            <w:r>
              <w:rPr>
                <w:bCs/>
              </w:rPr>
              <w:t xml:space="preserve"> sākotnējo novērtējumu</w:t>
            </w:r>
            <w:r w:rsidR="00C45733">
              <w:rPr>
                <w:bCs/>
              </w:rPr>
              <w:t>,</w:t>
            </w:r>
            <w:r>
              <w:rPr>
                <w:bCs/>
              </w:rPr>
              <w:t xml:space="preserve"> </w:t>
            </w:r>
            <w:r w:rsidR="00973D2B" w:rsidRPr="00C858D8">
              <w:rPr>
                <w:bCs/>
              </w:rPr>
              <w:t>Vienlaikus n</w:t>
            </w:r>
            <w:r w:rsidR="00973D2B" w:rsidRPr="00C858D8">
              <w:t>oteikumu projekts, tā sākotnējās ietekmes novērtējuma ziņojums (anotācija), kā arī projektu iesniegumu vērtēšanas kritēriji 8.</w:t>
            </w:r>
            <w:r w:rsidR="00973D2B">
              <w:t>1</w:t>
            </w:r>
            <w:r w:rsidR="00973D2B" w:rsidRPr="00C858D8">
              <w:t>.</w:t>
            </w:r>
            <w:r w:rsidR="00460736">
              <w:t>1</w:t>
            </w:r>
            <w:r w:rsidR="00973D2B" w:rsidRPr="00C858D8">
              <w:t xml:space="preserve">. </w:t>
            </w:r>
            <w:r w:rsidR="00417564" w:rsidRPr="00C858D8">
              <w:t xml:space="preserve">SAM </w:t>
            </w:r>
            <w:r w:rsidR="00973D2B" w:rsidRPr="00C858D8">
              <w:t>tik</w:t>
            </w:r>
            <w:r w:rsidR="00973D2B">
              <w:t>s</w:t>
            </w:r>
            <w:r w:rsidR="00973D2B" w:rsidRPr="00C858D8">
              <w:t xml:space="preserve"> publicēti tīmekļa </w:t>
            </w:r>
            <w:r w:rsidR="00973D2B" w:rsidRPr="00417564">
              <w:t xml:space="preserve">vietnē </w:t>
            </w:r>
            <w:hyperlink r:id="rId9" w:history="1">
              <w:r w:rsidR="00973D2B" w:rsidRPr="00417564">
                <w:t>www.izm.gov.lv</w:t>
              </w:r>
            </w:hyperlink>
            <w:r w:rsidR="00973D2B" w:rsidRPr="00417564">
              <w:t>.</w:t>
            </w:r>
          </w:p>
        </w:tc>
      </w:tr>
      <w:tr w:rsidR="00BF3649" w:rsidRPr="00C2761A" w:rsidTr="001629C3">
        <w:tc>
          <w:tcPr>
            <w:tcW w:w="486" w:type="dxa"/>
            <w:tcBorders>
              <w:top w:val="outset" w:sz="6" w:space="0" w:color="000000"/>
              <w:left w:val="outset" w:sz="6" w:space="0" w:color="000000"/>
              <w:bottom w:val="outset" w:sz="6" w:space="0" w:color="000000"/>
              <w:right w:val="outset" w:sz="6" w:space="0" w:color="000000"/>
            </w:tcBorders>
          </w:tcPr>
          <w:p w:rsidR="00BF3649" w:rsidRPr="00C2761A" w:rsidRDefault="00BF3649" w:rsidP="00016659">
            <w:pPr>
              <w:spacing w:before="100" w:beforeAutospacing="1" w:after="100" w:afterAutospacing="1"/>
              <w:jc w:val="center"/>
            </w:pPr>
            <w:r w:rsidRPr="00C2761A">
              <w:t>2.</w:t>
            </w:r>
          </w:p>
        </w:tc>
        <w:tc>
          <w:tcPr>
            <w:tcW w:w="2793" w:type="dxa"/>
            <w:tcBorders>
              <w:top w:val="outset" w:sz="6" w:space="0" w:color="000000"/>
              <w:left w:val="outset" w:sz="6" w:space="0" w:color="000000"/>
              <w:bottom w:val="outset" w:sz="6" w:space="0" w:color="000000"/>
              <w:right w:val="outset" w:sz="6" w:space="0" w:color="000000"/>
            </w:tcBorders>
          </w:tcPr>
          <w:p w:rsidR="00BF3649" w:rsidRPr="00C2761A" w:rsidRDefault="007D27E5" w:rsidP="00016659">
            <w:pPr>
              <w:spacing w:before="100" w:beforeAutospacing="1" w:after="100" w:afterAutospacing="1"/>
            </w:pPr>
            <w:r w:rsidRPr="00C2761A">
              <w:t>Sabiedrības līdzdalība projekta izstrādē</w:t>
            </w:r>
          </w:p>
        </w:tc>
        <w:tc>
          <w:tcPr>
            <w:tcW w:w="5652" w:type="dxa"/>
            <w:tcBorders>
              <w:top w:val="outset" w:sz="6" w:space="0" w:color="000000"/>
              <w:left w:val="outset" w:sz="6" w:space="0" w:color="000000"/>
              <w:bottom w:val="outset" w:sz="6" w:space="0" w:color="000000"/>
              <w:right w:val="outset" w:sz="6" w:space="0" w:color="000000"/>
            </w:tcBorders>
          </w:tcPr>
          <w:p w:rsidR="00BF3649" w:rsidRPr="00C858D8" w:rsidRDefault="00B309A3" w:rsidP="00417564">
            <w:pPr>
              <w:spacing w:before="75" w:after="75"/>
              <w:jc w:val="both"/>
            </w:pPr>
            <w:r w:rsidRPr="00B336A1">
              <w:rPr>
                <w:bCs/>
              </w:rPr>
              <w:t>Sabiedrības līdzdalība noteikumu projekta izstrādē tiks nodrošināta,</w:t>
            </w:r>
            <w:r w:rsidRPr="00B336A1">
              <w:t xml:space="preserve"> </w:t>
            </w:r>
            <w:r w:rsidRPr="00B336A1">
              <w:rPr>
                <w:bCs/>
              </w:rPr>
              <w:t xml:space="preserve">ievietojot noteikumu projektu tīmekļa vietnē </w:t>
            </w:r>
            <w:hyperlink r:id="rId10" w:history="1">
              <w:r w:rsidRPr="00B336A1">
                <w:rPr>
                  <w:rStyle w:val="Hyperlink"/>
                  <w:bCs/>
                </w:rPr>
                <w:t>www.izm.gov.lv</w:t>
              </w:r>
            </w:hyperlink>
            <w:r w:rsidRPr="00B336A1">
              <w:rPr>
                <w:bCs/>
              </w:rPr>
              <w:t xml:space="preserve"> un aicinot sabiedrības pārstāvjus rakstiski sniegt viedokli par noteikumu projektu tā izstrādes stadijā – nosūtot elektroniski uz e-pastu: </w:t>
            </w:r>
            <w:hyperlink r:id="rId11" w:history="1">
              <w:r w:rsidRPr="00B336A1">
                <w:rPr>
                  <w:rStyle w:val="Hyperlink"/>
                  <w:bCs/>
                </w:rPr>
                <w:t>pasts@izm.gov.lv</w:t>
              </w:r>
            </w:hyperlink>
            <w:r w:rsidRPr="00B336A1">
              <w:rPr>
                <w:bCs/>
              </w:rPr>
              <w:t xml:space="preserve"> vai sniedzot viedokli klātienē.</w:t>
            </w:r>
          </w:p>
        </w:tc>
      </w:tr>
      <w:tr w:rsidR="00BF3649" w:rsidRPr="00C2761A" w:rsidTr="001629C3">
        <w:tc>
          <w:tcPr>
            <w:tcW w:w="486" w:type="dxa"/>
            <w:tcBorders>
              <w:top w:val="outset" w:sz="6" w:space="0" w:color="000000"/>
              <w:left w:val="outset" w:sz="6" w:space="0" w:color="000000"/>
              <w:bottom w:val="outset" w:sz="6" w:space="0" w:color="000000"/>
              <w:right w:val="outset" w:sz="6" w:space="0" w:color="000000"/>
            </w:tcBorders>
          </w:tcPr>
          <w:p w:rsidR="00BF3649" w:rsidRPr="00C2761A" w:rsidRDefault="00BF3649" w:rsidP="00016659">
            <w:pPr>
              <w:spacing w:before="100" w:beforeAutospacing="1" w:after="100" w:afterAutospacing="1"/>
              <w:jc w:val="center"/>
            </w:pPr>
            <w:r w:rsidRPr="00C2761A">
              <w:t>3.</w:t>
            </w:r>
          </w:p>
        </w:tc>
        <w:tc>
          <w:tcPr>
            <w:tcW w:w="2793" w:type="dxa"/>
            <w:tcBorders>
              <w:top w:val="outset" w:sz="6" w:space="0" w:color="000000"/>
              <w:left w:val="outset" w:sz="6" w:space="0" w:color="000000"/>
              <w:bottom w:val="outset" w:sz="6" w:space="0" w:color="000000"/>
              <w:right w:val="outset" w:sz="6" w:space="0" w:color="000000"/>
            </w:tcBorders>
          </w:tcPr>
          <w:p w:rsidR="00BF3649" w:rsidRPr="00C2761A" w:rsidRDefault="007D27E5" w:rsidP="00016659">
            <w:pPr>
              <w:spacing w:before="100" w:beforeAutospacing="1" w:after="100" w:afterAutospacing="1"/>
            </w:pPr>
            <w:r w:rsidRPr="00C2761A">
              <w:t>Sabiedrības līdzdalības rezultāti</w:t>
            </w:r>
          </w:p>
        </w:tc>
        <w:tc>
          <w:tcPr>
            <w:tcW w:w="5652" w:type="dxa"/>
            <w:tcBorders>
              <w:top w:val="outset" w:sz="6" w:space="0" w:color="000000"/>
              <w:left w:val="outset" w:sz="6" w:space="0" w:color="000000"/>
              <w:bottom w:val="outset" w:sz="6" w:space="0" w:color="000000"/>
              <w:right w:val="outset" w:sz="6" w:space="0" w:color="000000"/>
            </w:tcBorders>
          </w:tcPr>
          <w:p w:rsidR="00BF3649" w:rsidRPr="00C858D8" w:rsidRDefault="00973D2B" w:rsidP="00666F6B">
            <w:pPr>
              <w:jc w:val="both"/>
            </w:pPr>
            <w:r w:rsidRPr="00965251">
              <w:t>Partneru un ieinteresēto organizāciju izteiktie iebildumi un priekšlikumi, tik</w:t>
            </w:r>
            <w:r>
              <w:t>s</w:t>
            </w:r>
            <w:r w:rsidRPr="00965251">
              <w:t xml:space="preserve"> analizēti un iestrādāti noteikumu projektā.</w:t>
            </w:r>
          </w:p>
        </w:tc>
      </w:tr>
      <w:tr w:rsidR="00BF3649" w:rsidRPr="00460736" w:rsidTr="001629C3">
        <w:tc>
          <w:tcPr>
            <w:tcW w:w="486" w:type="dxa"/>
            <w:tcBorders>
              <w:top w:val="outset" w:sz="6" w:space="0" w:color="000000"/>
              <w:left w:val="outset" w:sz="6" w:space="0" w:color="000000"/>
              <w:bottom w:val="outset" w:sz="6" w:space="0" w:color="000000"/>
              <w:right w:val="outset" w:sz="6" w:space="0" w:color="000000"/>
            </w:tcBorders>
          </w:tcPr>
          <w:p w:rsidR="00BF3649" w:rsidRPr="00C2761A" w:rsidRDefault="00BF3649" w:rsidP="00016659">
            <w:pPr>
              <w:spacing w:before="100" w:beforeAutospacing="1" w:after="100" w:afterAutospacing="1"/>
              <w:jc w:val="center"/>
            </w:pPr>
            <w:r w:rsidRPr="00C2761A">
              <w:t>4.</w:t>
            </w:r>
          </w:p>
        </w:tc>
        <w:tc>
          <w:tcPr>
            <w:tcW w:w="2793" w:type="dxa"/>
            <w:tcBorders>
              <w:top w:val="outset" w:sz="6" w:space="0" w:color="000000"/>
              <w:left w:val="outset" w:sz="6" w:space="0" w:color="000000"/>
              <w:bottom w:val="outset" w:sz="6" w:space="0" w:color="000000"/>
              <w:right w:val="outset" w:sz="6" w:space="0" w:color="000000"/>
            </w:tcBorders>
          </w:tcPr>
          <w:p w:rsidR="00BF3649" w:rsidRPr="00C2761A" w:rsidRDefault="00BF3649" w:rsidP="00016659">
            <w:pPr>
              <w:spacing w:before="100" w:beforeAutospacing="1" w:after="100" w:afterAutospacing="1"/>
            </w:pPr>
            <w:r w:rsidRPr="00C2761A">
              <w:t>Cita informācija</w:t>
            </w:r>
          </w:p>
        </w:tc>
        <w:tc>
          <w:tcPr>
            <w:tcW w:w="5652" w:type="dxa"/>
            <w:tcBorders>
              <w:top w:val="outset" w:sz="6" w:space="0" w:color="000000"/>
              <w:left w:val="outset" w:sz="6" w:space="0" w:color="000000"/>
              <w:bottom w:val="outset" w:sz="6" w:space="0" w:color="000000"/>
              <w:right w:val="outset" w:sz="6" w:space="0" w:color="000000"/>
            </w:tcBorders>
          </w:tcPr>
          <w:p w:rsidR="00BF3649" w:rsidRPr="00460736" w:rsidRDefault="00C24586" w:rsidP="00F964F4">
            <w:pPr>
              <w:spacing w:before="100" w:beforeAutospacing="1" w:after="100" w:afterAutospacing="1"/>
              <w:jc w:val="both"/>
              <w:rPr>
                <w:iCs/>
              </w:rPr>
            </w:pPr>
            <w:r w:rsidRPr="00460736">
              <w:t>Īstenojot projektu, finansējuma saņēmēji nodrošina informācijas un publicitātes pasākumus, atbilstoši  normatīvajiem aktiem par kārtību, kādā Eiropas Savienības struktūrfondu un Kohēzijas fonda ieviešanā 2014.–2020. gada plānošanas periodā nodrošināma komunikācijas un vizuālās identitātes prasību ievērošana.</w:t>
            </w:r>
          </w:p>
        </w:tc>
      </w:tr>
    </w:tbl>
    <w:p w:rsidR="00BF3649" w:rsidRPr="00C2761A" w:rsidRDefault="00BF3649"/>
    <w:tbl>
      <w:tblPr>
        <w:tblW w:w="5210"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63"/>
        <w:gridCol w:w="3484"/>
        <w:gridCol w:w="5047"/>
      </w:tblGrid>
      <w:tr w:rsidR="0063775D" w:rsidRPr="00C2761A" w:rsidTr="001629C3">
        <w:tc>
          <w:tcPr>
            <w:tcW w:w="5000" w:type="pct"/>
            <w:gridSpan w:val="3"/>
            <w:tcBorders>
              <w:top w:val="outset" w:sz="6" w:space="0" w:color="000000"/>
              <w:left w:val="outset" w:sz="6" w:space="0" w:color="000000"/>
              <w:bottom w:val="outset" w:sz="6" w:space="0" w:color="000000"/>
              <w:right w:val="outset" w:sz="6" w:space="0" w:color="000000"/>
            </w:tcBorders>
          </w:tcPr>
          <w:p w:rsidR="0063775D" w:rsidRPr="00C2761A" w:rsidRDefault="0063775D" w:rsidP="000A4631">
            <w:pPr>
              <w:pStyle w:val="NormalWeb"/>
              <w:jc w:val="both"/>
              <w:rPr>
                <w:b/>
                <w:bCs/>
              </w:rPr>
            </w:pPr>
            <w:r w:rsidRPr="00C2761A">
              <w:rPr>
                <w:b/>
                <w:bCs/>
              </w:rPr>
              <w:t xml:space="preserve">VII. </w:t>
            </w:r>
            <w:r w:rsidR="002358F8" w:rsidRPr="00C2761A">
              <w:rPr>
                <w:b/>
              </w:rPr>
              <w:t>Tiesību akta projekta izpildes nodrošināšana un tās ietekme uz institūcijām</w:t>
            </w:r>
          </w:p>
        </w:tc>
      </w:tr>
      <w:tr w:rsidR="0063775D" w:rsidRPr="00C2761A" w:rsidTr="001629C3">
        <w:tc>
          <w:tcPr>
            <w:tcW w:w="257" w:type="pct"/>
            <w:tcBorders>
              <w:top w:val="outset" w:sz="6" w:space="0" w:color="000000"/>
              <w:left w:val="outset" w:sz="6" w:space="0" w:color="000000"/>
              <w:bottom w:val="outset" w:sz="6" w:space="0" w:color="000000"/>
              <w:right w:val="outset" w:sz="6" w:space="0" w:color="000000"/>
            </w:tcBorders>
          </w:tcPr>
          <w:p w:rsidR="0063775D" w:rsidRPr="00C2761A" w:rsidRDefault="0063775D" w:rsidP="00691202">
            <w:pPr>
              <w:spacing w:before="100" w:beforeAutospacing="1" w:after="100" w:afterAutospacing="1"/>
              <w:jc w:val="center"/>
            </w:pPr>
            <w:r w:rsidRPr="00C2761A">
              <w:t>1.</w:t>
            </w:r>
          </w:p>
        </w:tc>
        <w:tc>
          <w:tcPr>
            <w:tcW w:w="1937" w:type="pct"/>
            <w:tcBorders>
              <w:top w:val="outset" w:sz="6" w:space="0" w:color="000000"/>
              <w:left w:val="outset" w:sz="6" w:space="0" w:color="000000"/>
              <w:bottom w:val="outset" w:sz="6" w:space="0" w:color="000000"/>
              <w:right w:val="outset" w:sz="6" w:space="0" w:color="000000"/>
            </w:tcBorders>
          </w:tcPr>
          <w:p w:rsidR="0063775D" w:rsidRPr="00C2761A" w:rsidRDefault="0063775D" w:rsidP="000A4631">
            <w:pPr>
              <w:spacing w:before="100" w:beforeAutospacing="1" w:after="100" w:afterAutospacing="1"/>
            </w:pPr>
            <w:r w:rsidRPr="00C2761A">
              <w:t>Projekta izpildē iesaistītās institūcijas</w:t>
            </w:r>
          </w:p>
        </w:tc>
        <w:tc>
          <w:tcPr>
            <w:tcW w:w="2806" w:type="pct"/>
            <w:tcBorders>
              <w:top w:val="outset" w:sz="6" w:space="0" w:color="000000"/>
              <w:left w:val="outset" w:sz="6" w:space="0" w:color="000000"/>
              <w:bottom w:val="outset" w:sz="6" w:space="0" w:color="000000"/>
              <w:right w:val="outset" w:sz="6" w:space="0" w:color="000000"/>
            </w:tcBorders>
          </w:tcPr>
          <w:p w:rsidR="0063775D" w:rsidRPr="00C2761A" w:rsidRDefault="002133BE" w:rsidP="00C45733">
            <w:pPr>
              <w:spacing w:before="100" w:beforeAutospacing="1" w:after="100" w:afterAutospacing="1"/>
              <w:jc w:val="both"/>
            </w:pPr>
            <w:r w:rsidRPr="00C2761A">
              <w:t xml:space="preserve">Atbildīgās iestādes funkcijas pilda </w:t>
            </w:r>
            <w:r w:rsidR="00417564">
              <w:t>Izglītības un zinātnes ministrija</w:t>
            </w:r>
            <w:r w:rsidRPr="00C2761A">
              <w:t xml:space="preserve">, sadarbības iestādes funkcijas – Centrālā finanšu un līgumu aģentūra. </w:t>
            </w:r>
            <w:r w:rsidR="00B829DC" w:rsidRPr="00C2761A">
              <w:t>Finansējuma saņēmēj</w:t>
            </w:r>
            <w:r w:rsidR="00956B3B">
              <w:t>i</w:t>
            </w:r>
            <w:r w:rsidR="00B829DC" w:rsidRPr="00C2761A">
              <w:rPr>
                <w:bCs/>
                <w:iCs/>
              </w:rPr>
              <w:t xml:space="preserve"> </w:t>
            </w:r>
            <w:r w:rsidR="00B829DC" w:rsidRPr="00C2761A">
              <w:t>ir</w:t>
            </w:r>
            <w:r w:rsidR="00B829DC" w:rsidRPr="00C2761A">
              <w:rPr>
                <w:bCs/>
                <w:iCs/>
              </w:rPr>
              <w:t xml:space="preserve"> </w:t>
            </w:r>
            <w:r w:rsidR="00C45733">
              <w:rPr>
                <w:bCs/>
                <w:iCs/>
              </w:rPr>
              <w:t>augstskolas</w:t>
            </w:r>
            <w:r w:rsidR="00956B3B">
              <w:rPr>
                <w:bCs/>
                <w:iCs/>
              </w:rPr>
              <w:t xml:space="preserve">. </w:t>
            </w:r>
          </w:p>
        </w:tc>
      </w:tr>
      <w:tr w:rsidR="0063775D" w:rsidRPr="00C2761A" w:rsidTr="001629C3">
        <w:tc>
          <w:tcPr>
            <w:tcW w:w="257" w:type="pct"/>
            <w:tcBorders>
              <w:top w:val="outset" w:sz="6" w:space="0" w:color="000000"/>
              <w:left w:val="outset" w:sz="6" w:space="0" w:color="000000"/>
              <w:bottom w:val="outset" w:sz="6" w:space="0" w:color="000000"/>
              <w:right w:val="outset" w:sz="6" w:space="0" w:color="000000"/>
            </w:tcBorders>
          </w:tcPr>
          <w:p w:rsidR="0063775D" w:rsidRPr="00C2761A" w:rsidRDefault="0063775D" w:rsidP="00691202">
            <w:pPr>
              <w:spacing w:before="100" w:beforeAutospacing="1" w:after="100" w:afterAutospacing="1"/>
              <w:jc w:val="center"/>
            </w:pPr>
            <w:r w:rsidRPr="00C2761A">
              <w:t>2.</w:t>
            </w:r>
          </w:p>
        </w:tc>
        <w:tc>
          <w:tcPr>
            <w:tcW w:w="1937" w:type="pct"/>
            <w:tcBorders>
              <w:top w:val="outset" w:sz="6" w:space="0" w:color="000000"/>
              <w:left w:val="outset" w:sz="6" w:space="0" w:color="000000"/>
              <w:bottom w:val="outset" w:sz="6" w:space="0" w:color="000000"/>
              <w:right w:val="outset" w:sz="6" w:space="0" w:color="000000"/>
            </w:tcBorders>
          </w:tcPr>
          <w:p w:rsidR="002358F8" w:rsidRPr="00C2761A" w:rsidRDefault="002358F8" w:rsidP="002358F8">
            <w:r w:rsidRPr="00C2761A">
              <w:t xml:space="preserve">Projekta izpildes ietekme uz pārvaldes funkcijām un institucionālo struktūru. </w:t>
            </w:r>
          </w:p>
          <w:p w:rsidR="0063775D" w:rsidRPr="00C2761A" w:rsidRDefault="002358F8" w:rsidP="000A4631">
            <w:pPr>
              <w:spacing w:before="100" w:beforeAutospacing="1" w:after="100" w:afterAutospacing="1"/>
            </w:pPr>
            <w:r w:rsidRPr="00C2761A">
              <w:t xml:space="preserve">Jaunu institūciju izveide, esošu institūciju likvidācija vai </w:t>
            </w:r>
            <w:r w:rsidRPr="00C2761A">
              <w:lastRenderedPageBreak/>
              <w:t>reorganizācija, to ietekme uz institūcijas cilvēkresursiem</w:t>
            </w:r>
          </w:p>
        </w:tc>
        <w:tc>
          <w:tcPr>
            <w:tcW w:w="2806" w:type="pct"/>
            <w:tcBorders>
              <w:top w:val="outset" w:sz="6" w:space="0" w:color="000000"/>
              <w:left w:val="outset" w:sz="6" w:space="0" w:color="000000"/>
              <w:bottom w:val="outset" w:sz="6" w:space="0" w:color="000000"/>
              <w:right w:val="outset" w:sz="6" w:space="0" w:color="000000"/>
            </w:tcBorders>
          </w:tcPr>
          <w:p w:rsidR="00091842" w:rsidRPr="00C858D8" w:rsidRDefault="00313BE8" w:rsidP="0029303E">
            <w:pPr>
              <w:jc w:val="both"/>
            </w:pPr>
            <w:r w:rsidRPr="00C858D8">
              <w:lastRenderedPageBreak/>
              <w:t>Noteikumu projekts tiks īstenots esošo institūciju un cilvēkresursu ietvaros.</w:t>
            </w:r>
          </w:p>
        </w:tc>
      </w:tr>
      <w:tr w:rsidR="0063775D" w:rsidRPr="00C2761A" w:rsidTr="001629C3">
        <w:tc>
          <w:tcPr>
            <w:tcW w:w="257" w:type="pct"/>
            <w:tcBorders>
              <w:top w:val="outset" w:sz="6" w:space="0" w:color="000000"/>
              <w:left w:val="outset" w:sz="6" w:space="0" w:color="000000"/>
              <w:bottom w:val="outset" w:sz="6" w:space="0" w:color="000000"/>
              <w:right w:val="outset" w:sz="6" w:space="0" w:color="000000"/>
            </w:tcBorders>
          </w:tcPr>
          <w:p w:rsidR="0063775D" w:rsidRPr="00C2761A" w:rsidRDefault="002358F8" w:rsidP="00691202">
            <w:pPr>
              <w:spacing w:before="100" w:beforeAutospacing="1" w:after="100" w:afterAutospacing="1"/>
              <w:jc w:val="center"/>
            </w:pPr>
            <w:r w:rsidRPr="00C2761A">
              <w:t>3</w:t>
            </w:r>
            <w:r w:rsidR="0063775D" w:rsidRPr="00C2761A">
              <w:t>.</w:t>
            </w:r>
          </w:p>
        </w:tc>
        <w:tc>
          <w:tcPr>
            <w:tcW w:w="1937" w:type="pct"/>
            <w:tcBorders>
              <w:top w:val="outset" w:sz="6" w:space="0" w:color="000000"/>
              <w:left w:val="outset" w:sz="6" w:space="0" w:color="000000"/>
              <w:bottom w:val="outset" w:sz="6" w:space="0" w:color="000000"/>
              <w:right w:val="outset" w:sz="6" w:space="0" w:color="000000"/>
            </w:tcBorders>
          </w:tcPr>
          <w:p w:rsidR="0063775D" w:rsidRPr="00C2761A" w:rsidRDefault="0063775D" w:rsidP="000A4631">
            <w:pPr>
              <w:spacing w:before="100" w:beforeAutospacing="1" w:after="100" w:afterAutospacing="1"/>
            </w:pPr>
            <w:r w:rsidRPr="00C2761A">
              <w:t>Cita informācija</w:t>
            </w:r>
          </w:p>
        </w:tc>
        <w:tc>
          <w:tcPr>
            <w:tcW w:w="2806" w:type="pct"/>
            <w:tcBorders>
              <w:top w:val="outset" w:sz="6" w:space="0" w:color="000000"/>
              <w:left w:val="outset" w:sz="6" w:space="0" w:color="000000"/>
              <w:bottom w:val="outset" w:sz="6" w:space="0" w:color="000000"/>
              <w:right w:val="outset" w:sz="6" w:space="0" w:color="000000"/>
            </w:tcBorders>
          </w:tcPr>
          <w:p w:rsidR="0063775D" w:rsidRPr="00C2761A" w:rsidRDefault="0063775D" w:rsidP="006C4515">
            <w:pPr>
              <w:spacing w:before="100" w:beforeAutospacing="1" w:after="100" w:afterAutospacing="1"/>
            </w:pPr>
            <w:r w:rsidRPr="00C2761A">
              <w:t>Nav</w:t>
            </w:r>
            <w:r w:rsidR="000A5BB7">
              <w:t>.</w:t>
            </w:r>
          </w:p>
        </w:tc>
      </w:tr>
    </w:tbl>
    <w:p w:rsidR="00A57AA7" w:rsidRPr="00C2761A" w:rsidRDefault="00A57AA7"/>
    <w:p w:rsidR="00013EF9" w:rsidRPr="00BA17C8" w:rsidRDefault="00BA17C8" w:rsidP="00013EF9">
      <w:pPr>
        <w:rPr>
          <w:b/>
        </w:rPr>
      </w:pPr>
      <w:r w:rsidRPr="00BA17C8">
        <w:rPr>
          <w:b/>
        </w:rPr>
        <w:t xml:space="preserve">Anotācijas </w:t>
      </w:r>
      <w:r>
        <w:rPr>
          <w:b/>
        </w:rPr>
        <w:t>IV</w:t>
      </w:r>
      <w:r w:rsidRPr="00BA17C8">
        <w:rPr>
          <w:b/>
        </w:rPr>
        <w:t xml:space="preserve"> sadaļa – projekts š</w:t>
      </w:r>
      <w:r w:rsidR="000F61E3">
        <w:rPr>
          <w:b/>
        </w:rPr>
        <w:t>o</w:t>
      </w:r>
      <w:r w:rsidRPr="00BA17C8">
        <w:rPr>
          <w:b/>
        </w:rPr>
        <w:t xml:space="preserve"> jom</w:t>
      </w:r>
      <w:r w:rsidR="000F61E3">
        <w:rPr>
          <w:b/>
        </w:rPr>
        <w:t>u</w:t>
      </w:r>
      <w:r w:rsidRPr="00BA17C8">
        <w:rPr>
          <w:b/>
        </w:rPr>
        <w:t xml:space="preserve"> neskar.</w:t>
      </w:r>
    </w:p>
    <w:p w:rsidR="00BA17C8" w:rsidRPr="00BA17C8" w:rsidRDefault="00BA17C8" w:rsidP="00013EF9">
      <w:pPr>
        <w:rPr>
          <w:b/>
        </w:rPr>
      </w:pPr>
    </w:p>
    <w:p w:rsidR="00BA17C8" w:rsidRPr="00C2761A" w:rsidRDefault="00BA17C8" w:rsidP="00013EF9"/>
    <w:p w:rsidR="00FD55F9" w:rsidRPr="00C2761A" w:rsidRDefault="00A37AAD" w:rsidP="00FD55F9">
      <w:pPr>
        <w:jc w:val="both"/>
      </w:pPr>
      <w:r w:rsidRPr="00C2761A">
        <w:t>Izglītības un zinātnes ministr</w:t>
      </w:r>
      <w:r w:rsidR="007C297E">
        <w:t>s</w:t>
      </w:r>
      <w:r w:rsidR="00FD55F9" w:rsidRPr="00C2761A">
        <w:t xml:space="preserve">                    </w:t>
      </w:r>
      <w:r w:rsidR="00AF031B" w:rsidRPr="00C2761A">
        <w:t xml:space="preserve">     </w:t>
      </w:r>
      <w:r w:rsidR="00A628B0" w:rsidRPr="00C2761A">
        <w:t xml:space="preserve">                             </w:t>
      </w:r>
      <w:r w:rsidR="00D11178" w:rsidRPr="00C2761A">
        <w:tab/>
      </w:r>
      <w:r w:rsidR="00956B3B">
        <w:tab/>
      </w:r>
      <w:r w:rsidR="007C297E">
        <w:t>K.Šadurskis</w:t>
      </w:r>
    </w:p>
    <w:p w:rsidR="00FD55F9" w:rsidRPr="00C2761A" w:rsidRDefault="00FD55F9" w:rsidP="00FD55F9">
      <w:pPr>
        <w:pStyle w:val="naiskr"/>
        <w:tabs>
          <w:tab w:val="left" w:pos="6870"/>
        </w:tabs>
        <w:spacing w:before="0" w:after="0"/>
      </w:pPr>
    </w:p>
    <w:p w:rsidR="00FD55F9" w:rsidRPr="00C2761A" w:rsidRDefault="00FD55F9" w:rsidP="00FD55F9">
      <w:pPr>
        <w:pStyle w:val="naiskr"/>
        <w:tabs>
          <w:tab w:val="left" w:pos="6870"/>
        </w:tabs>
        <w:spacing w:before="0" w:after="0"/>
      </w:pPr>
    </w:p>
    <w:p w:rsidR="0071698E" w:rsidRPr="00806BCE" w:rsidRDefault="00FD55F9" w:rsidP="00AE213A">
      <w:pPr>
        <w:autoSpaceDE w:val="0"/>
        <w:autoSpaceDN w:val="0"/>
        <w:adjustRightInd w:val="0"/>
      </w:pPr>
      <w:r w:rsidRPr="00806BCE">
        <w:t xml:space="preserve">Vīza: </w:t>
      </w:r>
    </w:p>
    <w:p w:rsidR="00C04905" w:rsidRPr="00C04905" w:rsidRDefault="00C04905" w:rsidP="00C04905">
      <w:pPr>
        <w:autoSpaceDE w:val="0"/>
        <w:autoSpaceDN w:val="0"/>
        <w:adjustRightInd w:val="0"/>
      </w:pPr>
      <w:r w:rsidRPr="00C04905">
        <w:t>Valsts sekretāra vietnieks,</w:t>
      </w:r>
    </w:p>
    <w:p w:rsidR="00C04905" w:rsidRPr="00C04905" w:rsidRDefault="00C04905" w:rsidP="00C04905">
      <w:pPr>
        <w:autoSpaceDE w:val="0"/>
        <w:autoSpaceDN w:val="0"/>
        <w:adjustRightInd w:val="0"/>
        <w:rPr>
          <w:color w:val="000000"/>
        </w:rPr>
      </w:pPr>
      <w:r w:rsidRPr="00C04905">
        <w:t>Nodrošinājuma un finanšu departamenta direktors</w:t>
      </w:r>
      <w:r w:rsidRPr="00C04905">
        <w:rPr>
          <w:color w:val="000000"/>
        </w:rPr>
        <w:t xml:space="preserve">, </w:t>
      </w:r>
    </w:p>
    <w:p w:rsidR="003521CD" w:rsidRPr="00C04905" w:rsidRDefault="00C04905" w:rsidP="00C04905">
      <w:pPr>
        <w:pStyle w:val="Header"/>
        <w:tabs>
          <w:tab w:val="left" w:pos="2340"/>
        </w:tabs>
      </w:pPr>
      <w:r w:rsidRPr="00C04905">
        <w:rPr>
          <w:color w:val="000000"/>
        </w:rPr>
        <w:t>valsts sekretāra pienākumu izpildītājs                          </w:t>
      </w:r>
      <w:r w:rsidRPr="00C04905">
        <w:rPr>
          <w:color w:val="000000"/>
        </w:rPr>
        <w:tab/>
      </w:r>
      <w:proofErr w:type="spellStart"/>
      <w:r w:rsidRPr="00C04905">
        <w:rPr>
          <w:color w:val="000000"/>
        </w:rPr>
        <w:t>E.Martinsons</w:t>
      </w:r>
      <w:proofErr w:type="spellEnd"/>
    </w:p>
    <w:p w:rsidR="00677FEA" w:rsidRPr="00C04905" w:rsidRDefault="00677FEA" w:rsidP="00782A57">
      <w:pPr>
        <w:pStyle w:val="Header"/>
        <w:tabs>
          <w:tab w:val="left" w:pos="2340"/>
        </w:tabs>
      </w:pPr>
    </w:p>
    <w:p w:rsidR="00677FEA" w:rsidRDefault="00677FEA" w:rsidP="00782A57">
      <w:pPr>
        <w:pStyle w:val="Header"/>
        <w:tabs>
          <w:tab w:val="left" w:pos="2340"/>
        </w:tabs>
        <w:rPr>
          <w:sz w:val="20"/>
          <w:szCs w:val="20"/>
        </w:rPr>
      </w:pPr>
    </w:p>
    <w:p w:rsidR="00C04905" w:rsidRDefault="00C04905" w:rsidP="00782A57">
      <w:pPr>
        <w:pStyle w:val="Header"/>
        <w:tabs>
          <w:tab w:val="left" w:pos="2340"/>
        </w:tabs>
        <w:rPr>
          <w:sz w:val="20"/>
          <w:szCs w:val="20"/>
        </w:rPr>
      </w:pPr>
    </w:p>
    <w:p w:rsidR="00C04905" w:rsidRDefault="00C04905" w:rsidP="00782A57">
      <w:pPr>
        <w:pStyle w:val="Header"/>
        <w:tabs>
          <w:tab w:val="left" w:pos="2340"/>
        </w:tabs>
        <w:rPr>
          <w:sz w:val="20"/>
          <w:szCs w:val="20"/>
        </w:rPr>
      </w:pPr>
    </w:p>
    <w:p w:rsidR="00C04905" w:rsidRDefault="00C04905" w:rsidP="00782A57">
      <w:pPr>
        <w:pStyle w:val="Header"/>
        <w:tabs>
          <w:tab w:val="left" w:pos="2340"/>
        </w:tabs>
        <w:rPr>
          <w:sz w:val="20"/>
          <w:szCs w:val="20"/>
        </w:rPr>
      </w:pPr>
    </w:p>
    <w:p w:rsidR="00C04905" w:rsidRDefault="00C04905" w:rsidP="00782A57">
      <w:pPr>
        <w:pStyle w:val="Header"/>
        <w:tabs>
          <w:tab w:val="left" w:pos="2340"/>
        </w:tabs>
        <w:rPr>
          <w:sz w:val="20"/>
          <w:szCs w:val="20"/>
        </w:rPr>
      </w:pPr>
    </w:p>
    <w:p w:rsidR="00C04905" w:rsidRDefault="00C04905" w:rsidP="00782A57">
      <w:pPr>
        <w:pStyle w:val="Header"/>
        <w:tabs>
          <w:tab w:val="left" w:pos="2340"/>
        </w:tabs>
        <w:rPr>
          <w:sz w:val="20"/>
          <w:szCs w:val="20"/>
        </w:rPr>
      </w:pPr>
    </w:p>
    <w:p w:rsidR="00BD2D16" w:rsidRDefault="00313EBC" w:rsidP="00BD2D16">
      <w:pPr>
        <w:pStyle w:val="Header"/>
        <w:tabs>
          <w:tab w:val="left" w:pos="2340"/>
        </w:tabs>
        <w:rPr>
          <w:sz w:val="20"/>
          <w:szCs w:val="20"/>
        </w:rPr>
      </w:pPr>
      <w:r>
        <w:fldChar w:fldCharType="begin"/>
      </w:r>
      <w:r>
        <w:instrText xml:space="preserve"> SAVEDATE   \* MERGEFORMAT </w:instrText>
      </w:r>
      <w:r>
        <w:fldChar w:fldCharType="separate"/>
      </w:r>
      <w:r w:rsidR="00C14613" w:rsidRPr="00C14613">
        <w:rPr>
          <w:noProof/>
          <w:sz w:val="20"/>
          <w:szCs w:val="20"/>
        </w:rPr>
        <w:t>11.08.2016 1</w:t>
      </w:r>
      <w:r>
        <w:rPr>
          <w:noProof/>
          <w:sz w:val="20"/>
          <w:szCs w:val="20"/>
        </w:rPr>
        <w:t>6</w:t>
      </w:r>
      <w:r w:rsidR="00C14613" w:rsidRPr="00C14613">
        <w:rPr>
          <w:noProof/>
          <w:sz w:val="20"/>
          <w:szCs w:val="20"/>
        </w:rPr>
        <w:t>:23:00</w:t>
      </w:r>
      <w:r>
        <w:rPr>
          <w:noProof/>
          <w:sz w:val="20"/>
          <w:szCs w:val="20"/>
        </w:rPr>
        <w:fldChar w:fldCharType="end"/>
      </w:r>
    </w:p>
    <w:p w:rsidR="00646375" w:rsidRDefault="00326C00" w:rsidP="00BD2D16">
      <w:pPr>
        <w:pStyle w:val="Header"/>
        <w:tabs>
          <w:tab w:val="left" w:pos="2340"/>
        </w:tabs>
        <w:rPr>
          <w:sz w:val="20"/>
          <w:szCs w:val="20"/>
        </w:rPr>
      </w:pPr>
      <w:r>
        <w:rPr>
          <w:sz w:val="20"/>
          <w:szCs w:val="20"/>
        </w:rPr>
        <w:t>42</w:t>
      </w:r>
      <w:r w:rsidR="006B54AC">
        <w:rPr>
          <w:sz w:val="20"/>
          <w:szCs w:val="20"/>
        </w:rPr>
        <w:t>6</w:t>
      </w:r>
      <w:r w:rsidR="00EE612C">
        <w:rPr>
          <w:sz w:val="20"/>
          <w:szCs w:val="20"/>
        </w:rPr>
        <w:t>0</w:t>
      </w:r>
      <w:bookmarkStart w:id="0" w:name="_GoBack"/>
      <w:bookmarkEnd w:id="0"/>
    </w:p>
    <w:p w:rsidR="00956B3B" w:rsidRPr="005B1820" w:rsidRDefault="00956B3B" w:rsidP="00956B3B">
      <w:pPr>
        <w:jc w:val="both"/>
        <w:rPr>
          <w:sz w:val="20"/>
          <w:szCs w:val="20"/>
        </w:rPr>
      </w:pPr>
      <w:proofErr w:type="spellStart"/>
      <w:r w:rsidRPr="005B1820">
        <w:rPr>
          <w:sz w:val="20"/>
          <w:szCs w:val="20"/>
        </w:rPr>
        <w:t>V.Abizāre-Vagre</w:t>
      </w:r>
      <w:proofErr w:type="spellEnd"/>
    </w:p>
    <w:p w:rsidR="00956B3B" w:rsidRPr="005B1820" w:rsidRDefault="00956B3B" w:rsidP="00956B3B">
      <w:pPr>
        <w:jc w:val="both"/>
        <w:rPr>
          <w:sz w:val="20"/>
          <w:szCs w:val="20"/>
        </w:rPr>
      </w:pPr>
      <w:r w:rsidRPr="005B1820">
        <w:rPr>
          <w:sz w:val="20"/>
          <w:szCs w:val="20"/>
        </w:rPr>
        <w:t>Izglītības un zinātnes ministrijas</w:t>
      </w:r>
    </w:p>
    <w:p w:rsidR="00956B3B" w:rsidRPr="005B1820" w:rsidRDefault="00956B3B" w:rsidP="00956B3B">
      <w:pPr>
        <w:jc w:val="both"/>
        <w:rPr>
          <w:sz w:val="20"/>
          <w:szCs w:val="20"/>
        </w:rPr>
      </w:pPr>
      <w:r w:rsidRPr="005B1820">
        <w:rPr>
          <w:sz w:val="20"/>
          <w:szCs w:val="20"/>
        </w:rPr>
        <w:t>Struktūrfondu departamenta</w:t>
      </w:r>
      <w:r w:rsidR="000C3BB3">
        <w:rPr>
          <w:sz w:val="20"/>
          <w:szCs w:val="20"/>
        </w:rPr>
        <w:t xml:space="preserve"> </w:t>
      </w:r>
      <w:r w:rsidRPr="005B1820">
        <w:rPr>
          <w:sz w:val="20"/>
          <w:szCs w:val="20"/>
        </w:rPr>
        <w:t>vecākā referente</w:t>
      </w:r>
    </w:p>
    <w:p w:rsidR="00956B3B" w:rsidRDefault="00956B3B" w:rsidP="00956B3B">
      <w:pPr>
        <w:pStyle w:val="PlainText"/>
        <w:jc w:val="both"/>
        <w:rPr>
          <w:rFonts w:ascii="Times New Roman" w:hAnsi="Times New Roman" w:cs="Times New Roman"/>
        </w:rPr>
      </w:pPr>
      <w:r w:rsidRPr="00956B3B">
        <w:rPr>
          <w:rFonts w:ascii="Times New Roman" w:hAnsi="Times New Roman" w:cs="Times New Roman"/>
        </w:rPr>
        <w:t>67047864, vesma.abizare</w:t>
      </w:r>
      <w:r w:rsidR="00692DB5">
        <w:rPr>
          <w:rFonts w:ascii="Times New Roman" w:hAnsi="Times New Roman" w:cs="Times New Roman"/>
        </w:rPr>
        <w:t>-vagre</w:t>
      </w:r>
      <w:r w:rsidRPr="00956B3B">
        <w:rPr>
          <w:rFonts w:ascii="Times New Roman" w:hAnsi="Times New Roman" w:cs="Times New Roman"/>
        </w:rPr>
        <w:t>@izm.gov.lv</w:t>
      </w:r>
    </w:p>
    <w:sectPr w:rsidR="00956B3B" w:rsidSect="002D5FF1">
      <w:headerReference w:type="even" r:id="rId12"/>
      <w:headerReference w:type="default" r:id="rId13"/>
      <w:footerReference w:type="default" r:id="rId14"/>
      <w:footerReference w:type="first" r:id="rId15"/>
      <w:pgSz w:w="11906" w:h="16838"/>
      <w:pgMar w:top="1418" w:right="1416" w:bottom="1134" w:left="1843" w:header="709"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EF0" w:rsidRDefault="005F3EF0">
      <w:r>
        <w:separator/>
      </w:r>
    </w:p>
  </w:endnote>
  <w:endnote w:type="continuationSeparator" w:id="0">
    <w:p w:rsidR="005F3EF0" w:rsidRDefault="005F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F0" w:rsidRPr="00A37AAD" w:rsidRDefault="005F3EF0" w:rsidP="007B10CE">
    <w:pPr>
      <w:jc w:val="both"/>
      <w:rPr>
        <w:sz w:val="20"/>
        <w:szCs w:val="20"/>
      </w:rPr>
    </w:pPr>
    <w:r>
      <w:rPr>
        <w:sz w:val="20"/>
        <w:szCs w:val="20"/>
      </w:rPr>
      <w:t>IZM</w:t>
    </w:r>
    <w:r w:rsidRPr="00737586">
      <w:rPr>
        <w:sz w:val="20"/>
        <w:szCs w:val="20"/>
      </w:rPr>
      <w:t>Anot_</w:t>
    </w:r>
    <w:r>
      <w:rPr>
        <w:sz w:val="20"/>
        <w:szCs w:val="20"/>
      </w:rPr>
      <w:t>811_SAM_</w:t>
    </w:r>
    <w:r w:rsidR="00326C00">
      <w:rPr>
        <w:sz w:val="20"/>
        <w:szCs w:val="20"/>
      </w:rPr>
      <w:t>1</w:t>
    </w:r>
    <w:r w:rsidR="00CD3632">
      <w:rPr>
        <w:sz w:val="20"/>
        <w:szCs w:val="20"/>
      </w:rPr>
      <w:t>1</w:t>
    </w:r>
    <w:r>
      <w:rPr>
        <w:sz w:val="20"/>
        <w:szCs w:val="20"/>
      </w:rPr>
      <w:t>08</w:t>
    </w:r>
    <w:r w:rsidR="0072092A">
      <w:rPr>
        <w:sz w:val="20"/>
        <w:szCs w:val="20"/>
      </w:rPr>
      <w:t>20</w:t>
    </w:r>
    <w:r>
      <w:rPr>
        <w:sz w:val="20"/>
        <w:szCs w:val="20"/>
      </w:rPr>
      <w:t xml:space="preserve">16; </w:t>
    </w:r>
    <w:r w:rsidRPr="00A37AAD">
      <w:rPr>
        <w:sz w:val="20"/>
        <w:szCs w:val="20"/>
      </w:rPr>
      <w:t>Ministru kabineta noteikumu projekt</w:t>
    </w:r>
    <w:r>
      <w:rPr>
        <w:sz w:val="20"/>
        <w:szCs w:val="20"/>
      </w:rPr>
      <w:t>a</w:t>
    </w:r>
    <w:r w:rsidRPr="00A37AAD">
      <w:rPr>
        <w:sz w:val="20"/>
        <w:szCs w:val="20"/>
      </w:rPr>
      <w:t xml:space="preserve"> „</w:t>
    </w:r>
    <w:r w:rsidRPr="00954D9A">
      <w:rPr>
        <w:sz w:val="20"/>
        <w:szCs w:val="20"/>
      </w:rPr>
      <w:t>Darbības programmas „Izaugsme un nodarbinātība” 8.1.</w:t>
    </w:r>
    <w:r>
      <w:rPr>
        <w:sz w:val="20"/>
        <w:szCs w:val="20"/>
      </w:rPr>
      <w:t>1</w:t>
    </w:r>
    <w:r w:rsidRPr="00954D9A">
      <w:rPr>
        <w:sz w:val="20"/>
        <w:szCs w:val="20"/>
      </w:rPr>
      <w:t>. specifiskā atbalsta mērķa „</w:t>
    </w:r>
    <w:r>
      <w:rPr>
        <w:sz w:val="20"/>
        <w:szCs w:val="20"/>
      </w:rPr>
      <w:t>Palielināt modernizēto</w:t>
    </w:r>
    <w:r w:rsidRPr="00954D9A">
      <w:rPr>
        <w:sz w:val="20"/>
        <w:szCs w:val="20"/>
      </w:rPr>
      <w:t xml:space="preserve"> STEM, tajā skaitā medicīnas un radošās industrijas, studiju </w:t>
    </w:r>
    <w:r>
      <w:rPr>
        <w:sz w:val="20"/>
        <w:szCs w:val="20"/>
      </w:rPr>
      <w:t>programmu skaitu</w:t>
    </w:r>
    <w:r w:rsidRPr="00954D9A">
      <w:rPr>
        <w:sz w:val="20"/>
        <w:szCs w:val="20"/>
      </w:rPr>
      <w:t>” īstenošanas noteikumi</w:t>
    </w:r>
    <w:r w:rsidRPr="00A37AAD">
      <w:rPr>
        <w:sz w:val="20"/>
        <w:szCs w:val="20"/>
      </w:rPr>
      <w:t>”</w:t>
    </w:r>
    <w:r>
      <w:rPr>
        <w:sz w:val="20"/>
        <w:szCs w:val="20"/>
      </w:rPr>
      <w:t xml:space="preserve"> </w:t>
    </w:r>
    <w:r w:rsidRPr="0007450A">
      <w:rPr>
        <w:sz w:val="20"/>
        <w:szCs w:val="20"/>
      </w:rPr>
      <w:t>sākotnējās ietekmes novērtējuma ziņojums (anotācija)</w:t>
    </w:r>
  </w:p>
  <w:p w:rsidR="005F3EF0" w:rsidRPr="007B10CE" w:rsidRDefault="005F3EF0" w:rsidP="007B1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F0" w:rsidRPr="00A37AAD" w:rsidRDefault="005F3EF0" w:rsidP="00737586">
    <w:pPr>
      <w:jc w:val="both"/>
      <w:rPr>
        <w:sz w:val="20"/>
        <w:szCs w:val="20"/>
      </w:rPr>
    </w:pPr>
    <w:r>
      <w:rPr>
        <w:sz w:val="20"/>
        <w:szCs w:val="20"/>
      </w:rPr>
      <w:t>IZM</w:t>
    </w:r>
    <w:r w:rsidRPr="00737586">
      <w:rPr>
        <w:sz w:val="20"/>
        <w:szCs w:val="20"/>
      </w:rPr>
      <w:t>Anot_</w:t>
    </w:r>
    <w:r>
      <w:rPr>
        <w:sz w:val="20"/>
        <w:szCs w:val="20"/>
      </w:rPr>
      <w:t xml:space="preserve">811_SAM </w:t>
    </w:r>
    <w:r w:rsidR="00326C00">
      <w:rPr>
        <w:sz w:val="20"/>
        <w:szCs w:val="20"/>
      </w:rPr>
      <w:t>1</w:t>
    </w:r>
    <w:r w:rsidR="00CD3632">
      <w:rPr>
        <w:sz w:val="20"/>
        <w:szCs w:val="20"/>
      </w:rPr>
      <w:t>1</w:t>
    </w:r>
    <w:r>
      <w:rPr>
        <w:sz w:val="20"/>
        <w:szCs w:val="20"/>
      </w:rPr>
      <w:t>08</w:t>
    </w:r>
    <w:r w:rsidR="0072092A">
      <w:rPr>
        <w:sz w:val="20"/>
        <w:szCs w:val="20"/>
      </w:rPr>
      <w:t>20</w:t>
    </w:r>
    <w:r>
      <w:rPr>
        <w:sz w:val="20"/>
        <w:szCs w:val="20"/>
      </w:rPr>
      <w:t xml:space="preserve">16; </w:t>
    </w:r>
    <w:r w:rsidRPr="00A37AAD">
      <w:rPr>
        <w:sz w:val="20"/>
        <w:szCs w:val="20"/>
      </w:rPr>
      <w:t>Ministru kabineta noteikumu projekt</w:t>
    </w:r>
    <w:r>
      <w:rPr>
        <w:sz w:val="20"/>
        <w:szCs w:val="20"/>
      </w:rPr>
      <w:t>a</w:t>
    </w:r>
    <w:r w:rsidRPr="00A37AAD">
      <w:rPr>
        <w:sz w:val="20"/>
        <w:szCs w:val="20"/>
      </w:rPr>
      <w:t xml:space="preserve"> „</w:t>
    </w:r>
    <w:r w:rsidRPr="00954D9A">
      <w:rPr>
        <w:sz w:val="20"/>
        <w:szCs w:val="20"/>
      </w:rPr>
      <w:t>Darbības programmas „Izaugsme un nodarbinātība” 8.1.</w:t>
    </w:r>
    <w:r>
      <w:rPr>
        <w:sz w:val="20"/>
        <w:szCs w:val="20"/>
      </w:rPr>
      <w:t>1</w:t>
    </w:r>
    <w:r w:rsidRPr="00954D9A">
      <w:rPr>
        <w:sz w:val="20"/>
        <w:szCs w:val="20"/>
      </w:rPr>
      <w:t>. specifiskā atbalsta mērķa „</w:t>
    </w:r>
    <w:r>
      <w:rPr>
        <w:sz w:val="20"/>
        <w:szCs w:val="20"/>
      </w:rPr>
      <w:t>Palielināt modernizēto</w:t>
    </w:r>
    <w:r w:rsidRPr="00954D9A">
      <w:rPr>
        <w:sz w:val="20"/>
        <w:szCs w:val="20"/>
      </w:rPr>
      <w:t xml:space="preserve"> STEM, tajā skaitā medicīnas un radošās industrijas, studiju </w:t>
    </w:r>
    <w:r>
      <w:rPr>
        <w:sz w:val="20"/>
        <w:szCs w:val="20"/>
      </w:rPr>
      <w:t>programmu skaitu</w:t>
    </w:r>
    <w:r w:rsidRPr="00954D9A">
      <w:rPr>
        <w:sz w:val="20"/>
        <w:szCs w:val="20"/>
      </w:rPr>
      <w:t>” īstenošanas noteikumi</w:t>
    </w:r>
    <w:r w:rsidRPr="00A37AAD">
      <w:rPr>
        <w:sz w:val="20"/>
        <w:szCs w:val="20"/>
      </w:rPr>
      <w:t>”</w:t>
    </w:r>
    <w:r>
      <w:rPr>
        <w:sz w:val="20"/>
        <w:szCs w:val="20"/>
      </w:rPr>
      <w:t xml:space="preserve"> </w:t>
    </w:r>
    <w:r w:rsidRPr="0007450A">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EF0" w:rsidRDefault="005F3EF0">
      <w:r>
        <w:separator/>
      </w:r>
    </w:p>
  </w:footnote>
  <w:footnote w:type="continuationSeparator" w:id="0">
    <w:p w:rsidR="005F3EF0" w:rsidRDefault="005F3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F0" w:rsidRDefault="005F3EF0"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3EF0" w:rsidRDefault="005F3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F0" w:rsidRDefault="005F3EF0"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3EBC">
      <w:rPr>
        <w:rStyle w:val="PageNumber"/>
        <w:noProof/>
      </w:rPr>
      <w:t>15</w:t>
    </w:r>
    <w:r>
      <w:rPr>
        <w:rStyle w:val="PageNumber"/>
      </w:rPr>
      <w:fldChar w:fldCharType="end"/>
    </w:r>
  </w:p>
  <w:p w:rsidR="005F3EF0" w:rsidRDefault="005F3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480"/>
    <w:multiLevelType w:val="hybridMultilevel"/>
    <w:tmpl w:val="470E633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2A51D8F"/>
    <w:multiLevelType w:val="hybridMultilevel"/>
    <w:tmpl w:val="67B89BB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D956D2"/>
    <w:multiLevelType w:val="hybridMultilevel"/>
    <w:tmpl w:val="54C46A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C9378D"/>
    <w:multiLevelType w:val="hybridMultilevel"/>
    <w:tmpl w:val="A63AA9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FB41FF"/>
    <w:multiLevelType w:val="hybridMultilevel"/>
    <w:tmpl w:val="49A49D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4607A9"/>
    <w:multiLevelType w:val="hybridMultilevel"/>
    <w:tmpl w:val="713A3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634F89"/>
    <w:multiLevelType w:val="hybridMultilevel"/>
    <w:tmpl w:val="110C76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AA6B3E"/>
    <w:multiLevelType w:val="hybridMultilevel"/>
    <w:tmpl w:val="E58A8A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144BC8"/>
    <w:multiLevelType w:val="hybridMultilevel"/>
    <w:tmpl w:val="F640AF9C"/>
    <w:lvl w:ilvl="0" w:tplc="94C25572">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801779"/>
    <w:multiLevelType w:val="hybridMultilevel"/>
    <w:tmpl w:val="3EB63218"/>
    <w:lvl w:ilvl="0" w:tplc="A4640F1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C43D3E"/>
    <w:multiLevelType w:val="hybridMultilevel"/>
    <w:tmpl w:val="4E22F358"/>
    <w:lvl w:ilvl="0" w:tplc="04260017">
      <w:start w:val="1"/>
      <w:numFmt w:val="lowerLetter"/>
      <w:lvlText w:val="%1)"/>
      <w:lvlJc w:val="left"/>
      <w:pPr>
        <w:ind w:left="1440" w:hanging="360"/>
      </w:pPr>
      <w:rPr>
        <w:rFonts w:hint="default"/>
        <w:color w:val="auto"/>
        <w:sz w:val="23"/>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D3061D6"/>
    <w:multiLevelType w:val="multilevel"/>
    <w:tmpl w:val="D81423EE"/>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F786F44"/>
    <w:multiLevelType w:val="hybridMultilevel"/>
    <w:tmpl w:val="97FC18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097279"/>
    <w:multiLevelType w:val="hybridMultilevel"/>
    <w:tmpl w:val="0A5A7BFC"/>
    <w:lvl w:ilvl="0" w:tplc="D5944BDA">
      <w:start w:val="1"/>
      <w:numFmt w:val="decimal"/>
      <w:lvlText w:val="%1)"/>
      <w:lvlJc w:val="left"/>
      <w:pPr>
        <w:ind w:left="1434" w:hanging="360"/>
      </w:pPr>
      <w:rPr>
        <w:rFonts w:ascii="Times New Roman" w:hAnsi="Times New Roman" w:cs="Times New Roman" w:hint="default"/>
      </w:r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15" w15:restartNumberingAfterBreak="0">
    <w:nsid w:val="245631AE"/>
    <w:multiLevelType w:val="hybridMultilevel"/>
    <w:tmpl w:val="4B102E6E"/>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6025024"/>
    <w:multiLevelType w:val="hybridMultilevel"/>
    <w:tmpl w:val="99D635C8"/>
    <w:lvl w:ilvl="0" w:tplc="A784092A">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3E1DA3"/>
    <w:multiLevelType w:val="hybridMultilevel"/>
    <w:tmpl w:val="F210EA40"/>
    <w:lvl w:ilvl="0" w:tplc="A1FCD460">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8A32AE4"/>
    <w:multiLevelType w:val="multilevel"/>
    <w:tmpl w:val="5E9286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290A20DD"/>
    <w:multiLevelType w:val="hybridMultilevel"/>
    <w:tmpl w:val="122440E0"/>
    <w:lvl w:ilvl="0" w:tplc="94C25572">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1EE28FC"/>
    <w:multiLevelType w:val="hybridMultilevel"/>
    <w:tmpl w:val="60668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4E3D22"/>
    <w:multiLevelType w:val="hybridMultilevel"/>
    <w:tmpl w:val="E8827656"/>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9DA28ED"/>
    <w:multiLevelType w:val="hybridMultilevel"/>
    <w:tmpl w:val="A6E2D1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9FC3664"/>
    <w:multiLevelType w:val="hybridMultilevel"/>
    <w:tmpl w:val="92F43BA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3B8C395D"/>
    <w:multiLevelType w:val="multilevel"/>
    <w:tmpl w:val="09DCBC5A"/>
    <w:lvl w:ilvl="0">
      <w:start w:val="1"/>
      <w:numFmt w:val="decimal"/>
      <w:lvlText w:val="%1."/>
      <w:lvlJc w:val="left"/>
      <w:pPr>
        <w:ind w:left="3479" w:hanging="360"/>
      </w:pPr>
      <w:rPr>
        <w:rFonts w:hint="default"/>
      </w:rPr>
    </w:lvl>
    <w:lvl w:ilvl="1">
      <w:start w:val="1"/>
      <w:numFmt w:val="decimal"/>
      <w:lvlText w:val="%1.%2."/>
      <w:lvlJc w:val="left"/>
      <w:pPr>
        <w:ind w:left="3126" w:hanging="432"/>
      </w:pPr>
      <w:rPr>
        <w:rFonts w:hint="default"/>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D6050E1"/>
    <w:multiLevelType w:val="multilevel"/>
    <w:tmpl w:val="33A6E182"/>
    <w:lvl w:ilvl="0">
      <w:start w:val="455"/>
      <w:numFmt w:val="decimal"/>
      <w:lvlText w:val="%1."/>
      <w:lvlJc w:val="left"/>
      <w:pPr>
        <w:tabs>
          <w:tab w:val="num" w:pos="540"/>
        </w:tabs>
        <w:ind w:left="54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0250152"/>
    <w:multiLevelType w:val="multilevel"/>
    <w:tmpl w:val="4E56C16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0D4566A"/>
    <w:multiLevelType w:val="hybridMultilevel"/>
    <w:tmpl w:val="27A69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0E70D05"/>
    <w:multiLevelType w:val="hybridMultilevel"/>
    <w:tmpl w:val="397E14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3C801BA"/>
    <w:multiLevelType w:val="hybridMultilevel"/>
    <w:tmpl w:val="CC54722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A2B055A"/>
    <w:multiLevelType w:val="hybridMultilevel"/>
    <w:tmpl w:val="E5EC09D6"/>
    <w:lvl w:ilvl="0" w:tplc="94C25572">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E8C0ABB"/>
    <w:multiLevelType w:val="hybridMultilevel"/>
    <w:tmpl w:val="5B2E7590"/>
    <w:lvl w:ilvl="0" w:tplc="13E46CA4">
      <w:start w:val="1"/>
      <w:numFmt w:val="decimal"/>
      <w:lvlText w:val="%1)"/>
      <w:lvlJc w:val="left"/>
      <w:pPr>
        <w:ind w:left="1557" w:hanging="48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32" w15:restartNumberingAfterBreak="0">
    <w:nsid w:val="59100538"/>
    <w:multiLevelType w:val="hybridMultilevel"/>
    <w:tmpl w:val="B16E381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60462525"/>
    <w:multiLevelType w:val="hybridMultilevel"/>
    <w:tmpl w:val="70000C1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D5036B"/>
    <w:multiLevelType w:val="hybridMultilevel"/>
    <w:tmpl w:val="BFAE19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A079A3"/>
    <w:multiLevelType w:val="hybridMultilevel"/>
    <w:tmpl w:val="7C7AF6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1702C8"/>
    <w:multiLevelType w:val="hybridMultilevel"/>
    <w:tmpl w:val="8DBC02E6"/>
    <w:lvl w:ilvl="0" w:tplc="43FCA474">
      <w:start w:val="1"/>
      <w:numFmt w:val="decimal"/>
      <w:lvlText w:val="%1&gt;"/>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2B178B"/>
    <w:multiLevelType w:val="hybridMultilevel"/>
    <w:tmpl w:val="E0D28A56"/>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E24072"/>
    <w:multiLevelType w:val="hybridMultilevel"/>
    <w:tmpl w:val="50A8B194"/>
    <w:lvl w:ilvl="0" w:tplc="049C2780">
      <w:numFmt w:val="bullet"/>
      <w:lvlText w:val="-"/>
      <w:lvlJc w:val="left"/>
      <w:pPr>
        <w:ind w:left="720" w:hanging="360"/>
      </w:pPr>
      <w:rPr>
        <w:rFonts w:ascii="Times New Roman" w:hAnsi="Times New Roman" w:cs="Times New Roman" w:hint="default"/>
        <w:color w:val="auto"/>
        <w:sz w:val="23"/>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64C1A82"/>
    <w:multiLevelType w:val="hybridMultilevel"/>
    <w:tmpl w:val="56BCE1A4"/>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0" w15:restartNumberingAfterBreak="0">
    <w:nsid w:val="77071823"/>
    <w:multiLevelType w:val="hybridMultilevel"/>
    <w:tmpl w:val="4AAAAFC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C761724"/>
    <w:multiLevelType w:val="hybridMultilevel"/>
    <w:tmpl w:val="FEE2A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9635F1"/>
    <w:multiLevelType w:val="hybridMultilevel"/>
    <w:tmpl w:val="491059C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F8F6AA8"/>
    <w:multiLevelType w:val="hybridMultilevel"/>
    <w:tmpl w:val="DD0832A6"/>
    <w:lvl w:ilvl="0" w:tplc="90DE2F9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1"/>
  </w:num>
  <w:num w:numId="3">
    <w:abstractNumId w:val="18"/>
  </w:num>
  <w:num w:numId="4">
    <w:abstractNumId w:val="25"/>
  </w:num>
  <w:num w:numId="5">
    <w:abstractNumId w:val="41"/>
  </w:num>
  <w:num w:numId="6">
    <w:abstractNumId w:val="2"/>
  </w:num>
  <w:num w:numId="7">
    <w:abstractNumId w:val="43"/>
  </w:num>
  <w:num w:numId="8">
    <w:abstractNumId w:val="17"/>
  </w:num>
  <w:num w:numId="9">
    <w:abstractNumId w:val="12"/>
  </w:num>
  <w:num w:numId="10">
    <w:abstractNumId w:val="9"/>
  </w:num>
  <w:num w:numId="11">
    <w:abstractNumId w:val="35"/>
  </w:num>
  <w:num w:numId="12">
    <w:abstractNumId w:val="5"/>
  </w:num>
  <w:num w:numId="13">
    <w:abstractNumId w:val="6"/>
  </w:num>
  <w:num w:numId="14">
    <w:abstractNumId w:val="4"/>
  </w:num>
  <w:num w:numId="15">
    <w:abstractNumId w:val="23"/>
  </w:num>
  <w:num w:numId="16">
    <w:abstractNumId w:val="32"/>
  </w:num>
  <w:num w:numId="17">
    <w:abstractNumId w:val="22"/>
  </w:num>
  <w:num w:numId="18">
    <w:abstractNumId w:val="15"/>
  </w:num>
  <w:num w:numId="19">
    <w:abstractNumId w:val="21"/>
  </w:num>
  <w:num w:numId="20">
    <w:abstractNumId w:val="1"/>
  </w:num>
  <w:num w:numId="21">
    <w:abstractNumId w:val="36"/>
  </w:num>
  <w:num w:numId="22">
    <w:abstractNumId w:val="27"/>
  </w:num>
  <w:num w:numId="23">
    <w:abstractNumId w:val="16"/>
  </w:num>
  <w:num w:numId="24">
    <w:abstractNumId w:val="29"/>
  </w:num>
  <w:num w:numId="25">
    <w:abstractNumId w:val="19"/>
  </w:num>
  <w:num w:numId="26">
    <w:abstractNumId w:val="8"/>
  </w:num>
  <w:num w:numId="27">
    <w:abstractNumId w:val="30"/>
  </w:num>
  <w:num w:numId="28">
    <w:abstractNumId w:val="26"/>
  </w:num>
  <w:num w:numId="29">
    <w:abstractNumId w:val="0"/>
  </w:num>
  <w:num w:numId="30">
    <w:abstractNumId w:val="37"/>
  </w:num>
  <w:num w:numId="31">
    <w:abstractNumId w:val="40"/>
  </w:num>
  <w:num w:numId="32">
    <w:abstractNumId w:val="42"/>
  </w:num>
  <w:num w:numId="33">
    <w:abstractNumId w:val="33"/>
  </w:num>
  <w:num w:numId="34">
    <w:abstractNumId w:val="28"/>
  </w:num>
  <w:num w:numId="35">
    <w:abstractNumId w:val="39"/>
  </w:num>
  <w:num w:numId="36">
    <w:abstractNumId w:val="24"/>
  </w:num>
  <w:num w:numId="37">
    <w:abstractNumId w:val="3"/>
  </w:num>
  <w:num w:numId="38">
    <w:abstractNumId w:val="38"/>
  </w:num>
  <w:num w:numId="39">
    <w:abstractNumId w:val="10"/>
  </w:num>
  <w:num w:numId="40">
    <w:abstractNumId w:val="34"/>
  </w:num>
  <w:num w:numId="41">
    <w:abstractNumId w:val="20"/>
  </w:num>
  <w:num w:numId="42">
    <w:abstractNumId w:val="14"/>
  </w:num>
  <w:num w:numId="43">
    <w:abstractNumId w:val="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0CE"/>
    <w:rsid w:val="00000E9F"/>
    <w:rsid w:val="00003293"/>
    <w:rsid w:val="000040A9"/>
    <w:rsid w:val="00005DFA"/>
    <w:rsid w:val="00011FC3"/>
    <w:rsid w:val="00013EF9"/>
    <w:rsid w:val="00015BE4"/>
    <w:rsid w:val="000164A1"/>
    <w:rsid w:val="00016659"/>
    <w:rsid w:val="00016FEA"/>
    <w:rsid w:val="00017078"/>
    <w:rsid w:val="00020155"/>
    <w:rsid w:val="000205A7"/>
    <w:rsid w:val="0002158B"/>
    <w:rsid w:val="000219BD"/>
    <w:rsid w:val="00023887"/>
    <w:rsid w:val="00030A52"/>
    <w:rsid w:val="00031039"/>
    <w:rsid w:val="000326BA"/>
    <w:rsid w:val="0003431E"/>
    <w:rsid w:val="00034605"/>
    <w:rsid w:val="00035450"/>
    <w:rsid w:val="00035F21"/>
    <w:rsid w:val="0003628A"/>
    <w:rsid w:val="00040488"/>
    <w:rsid w:val="000411EA"/>
    <w:rsid w:val="0004202D"/>
    <w:rsid w:val="000460B9"/>
    <w:rsid w:val="00046D03"/>
    <w:rsid w:val="000473CC"/>
    <w:rsid w:val="0005006A"/>
    <w:rsid w:val="00052408"/>
    <w:rsid w:val="00053101"/>
    <w:rsid w:val="00054C02"/>
    <w:rsid w:val="00055E6C"/>
    <w:rsid w:val="00057A45"/>
    <w:rsid w:val="00061756"/>
    <w:rsid w:val="000629DD"/>
    <w:rsid w:val="000637F3"/>
    <w:rsid w:val="000650EE"/>
    <w:rsid w:val="00067040"/>
    <w:rsid w:val="00071DE1"/>
    <w:rsid w:val="00072619"/>
    <w:rsid w:val="0007335D"/>
    <w:rsid w:val="0007450A"/>
    <w:rsid w:val="000745B5"/>
    <w:rsid w:val="0007504C"/>
    <w:rsid w:val="00075C69"/>
    <w:rsid w:val="00076EF5"/>
    <w:rsid w:val="000773A0"/>
    <w:rsid w:val="00080965"/>
    <w:rsid w:val="000844D3"/>
    <w:rsid w:val="00084F09"/>
    <w:rsid w:val="0008516D"/>
    <w:rsid w:val="000875FE"/>
    <w:rsid w:val="000903F3"/>
    <w:rsid w:val="00091842"/>
    <w:rsid w:val="0009238F"/>
    <w:rsid w:val="00093CE0"/>
    <w:rsid w:val="000947C0"/>
    <w:rsid w:val="00094944"/>
    <w:rsid w:val="00095D3A"/>
    <w:rsid w:val="0009620B"/>
    <w:rsid w:val="0009645B"/>
    <w:rsid w:val="00097499"/>
    <w:rsid w:val="000A00D8"/>
    <w:rsid w:val="000A03CC"/>
    <w:rsid w:val="000A2E3E"/>
    <w:rsid w:val="000A3A79"/>
    <w:rsid w:val="000A4631"/>
    <w:rsid w:val="000A4B58"/>
    <w:rsid w:val="000A51C8"/>
    <w:rsid w:val="000A5BB7"/>
    <w:rsid w:val="000B664E"/>
    <w:rsid w:val="000B772F"/>
    <w:rsid w:val="000C0381"/>
    <w:rsid w:val="000C0D48"/>
    <w:rsid w:val="000C35CA"/>
    <w:rsid w:val="000C3BB3"/>
    <w:rsid w:val="000C444F"/>
    <w:rsid w:val="000C6113"/>
    <w:rsid w:val="000C740C"/>
    <w:rsid w:val="000D1C1F"/>
    <w:rsid w:val="000D32BA"/>
    <w:rsid w:val="000D5011"/>
    <w:rsid w:val="000D54C5"/>
    <w:rsid w:val="000D5B46"/>
    <w:rsid w:val="000E32B9"/>
    <w:rsid w:val="000E52AF"/>
    <w:rsid w:val="000E581B"/>
    <w:rsid w:val="000E59B9"/>
    <w:rsid w:val="000E5F49"/>
    <w:rsid w:val="000E60C5"/>
    <w:rsid w:val="000E705D"/>
    <w:rsid w:val="000F1E99"/>
    <w:rsid w:val="000F3D49"/>
    <w:rsid w:val="000F61E3"/>
    <w:rsid w:val="001007C0"/>
    <w:rsid w:val="00100ED8"/>
    <w:rsid w:val="00100F56"/>
    <w:rsid w:val="0010189D"/>
    <w:rsid w:val="0010194C"/>
    <w:rsid w:val="00101A77"/>
    <w:rsid w:val="00102296"/>
    <w:rsid w:val="00103B43"/>
    <w:rsid w:val="00104BA2"/>
    <w:rsid w:val="00106273"/>
    <w:rsid w:val="00107CE4"/>
    <w:rsid w:val="001116A8"/>
    <w:rsid w:val="00116660"/>
    <w:rsid w:val="001210A7"/>
    <w:rsid w:val="00123489"/>
    <w:rsid w:val="001256C9"/>
    <w:rsid w:val="00126108"/>
    <w:rsid w:val="00135B78"/>
    <w:rsid w:val="00142C8F"/>
    <w:rsid w:val="00143D40"/>
    <w:rsid w:val="00143DB4"/>
    <w:rsid w:val="00144FB8"/>
    <w:rsid w:val="001454CE"/>
    <w:rsid w:val="00146622"/>
    <w:rsid w:val="00147B95"/>
    <w:rsid w:val="00147D34"/>
    <w:rsid w:val="00151D4E"/>
    <w:rsid w:val="001538A9"/>
    <w:rsid w:val="001554D2"/>
    <w:rsid w:val="001564E4"/>
    <w:rsid w:val="00160C6C"/>
    <w:rsid w:val="00160F31"/>
    <w:rsid w:val="001629C3"/>
    <w:rsid w:val="001645EB"/>
    <w:rsid w:val="001676C1"/>
    <w:rsid w:val="00167B6E"/>
    <w:rsid w:val="00172FC8"/>
    <w:rsid w:val="00173197"/>
    <w:rsid w:val="00175FE2"/>
    <w:rsid w:val="00177452"/>
    <w:rsid w:val="0018044A"/>
    <w:rsid w:val="001833F9"/>
    <w:rsid w:val="00186DDC"/>
    <w:rsid w:val="001903DC"/>
    <w:rsid w:val="0019050A"/>
    <w:rsid w:val="001966C0"/>
    <w:rsid w:val="00197710"/>
    <w:rsid w:val="001A3B2F"/>
    <w:rsid w:val="001A495C"/>
    <w:rsid w:val="001A4C78"/>
    <w:rsid w:val="001B25AF"/>
    <w:rsid w:val="001B264B"/>
    <w:rsid w:val="001B2754"/>
    <w:rsid w:val="001C2768"/>
    <w:rsid w:val="001C2FA3"/>
    <w:rsid w:val="001C3481"/>
    <w:rsid w:val="001C391D"/>
    <w:rsid w:val="001C3946"/>
    <w:rsid w:val="001C489E"/>
    <w:rsid w:val="001D11D4"/>
    <w:rsid w:val="001D1E27"/>
    <w:rsid w:val="001D3BEE"/>
    <w:rsid w:val="001D3ECA"/>
    <w:rsid w:val="001D47A9"/>
    <w:rsid w:val="001D4EDF"/>
    <w:rsid w:val="001D6E35"/>
    <w:rsid w:val="001E0386"/>
    <w:rsid w:val="001E21C4"/>
    <w:rsid w:val="001F201E"/>
    <w:rsid w:val="001F427E"/>
    <w:rsid w:val="001F4D68"/>
    <w:rsid w:val="001F77D1"/>
    <w:rsid w:val="001F7DD0"/>
    <w:rsid w:val="001F7E4A"/>
    <w:rsid w:val="00200F66"/>
    <w:rsid w:val="002018F0"/>
    <w:rsid w:val="00201CB9"/>
    <w:rsid w:val="00204944"/>
    <w:rsid w:val="002061A6"/>
    <w:rsid w:val="002120B6"/>
    <w:rsid w:val="00212CB3"/>
    <w:rsid w:val="002133BE"/>
    <w:rsid w:val="00214299"/>
    <w:rsid w:val="00214C14"/>
    <w:rsid w:val="00215247"/>
    <w:rsid w:val="00216346"/>
    <w:rsid w:val="00221ADE"/>
    <w:rsid w:val="002222D9"/>
    <w:rsid w:val="00222714"/>
    <w:rsid w:val="002267D6"/>
    <w:rsid w:val="00227DB7"/>
    <w:rsid w:val="00231118"/>
    <w:rsid w:val="00231C2B"/>
    <w:rsid w:val="00233CF7"/>
    <w:rsid w:val="00234582"/>
    <w:rsid w:val="00234CA7"/>
    <w:rsid w:val="002358F8"/>
    <w:rsid w:val="0024327C"/>
    <w:rsid w:val="002434D6"/>
    <w:rsid w:val="002444D7"/>
    <w:rsid w:val="00244BB9"/>
    <w:rsid w:val="002465D6"/>
    <w:rsid w:val="00246C24"/>
    <w:rsid w:val="00247039"/>
    <w:rsid w:val="0024771D"/>
    <w:rsid w:val="00252757"/>
    <w:rsid w:val="00253B7F"/>
    <w:rsid w:val="00254075"/>
    <w:rsid w:val="00254EB8"/>
    <w:rsid w:val="00257617"/>
    <w:rsid w:val="00262B13"/>
    <w:rsid w:val="0026330D"/>
    <w:rsid w:val="00264888"/>
    <w:rsid w:val="002655BA"/>
    <w:rsid w:val="0026684F"/>
    <w:rsid w:val="00267539"/>
    <w:rsid w:val="00270EEA"/>
    <w:rsid w:val="002764B8"/>
    <w:rsid w:val="00277020"/>
    <w:rsid w:val="00281DD1"/>
    <w:rsid w:val="0028258A"/>
    <w:rsid w:val="00282D42"/>
    <w:rsid w:val="00284A74"/>
    <w:rsid w:val="0028541D"/>
    <w:rsid w:val="00286C33"/>
    <w:rsid w:val="002872A4"/>
    <w:rsid w:val="00287335"/>
    <w:rsid w:val="00287B3F"/>
    <w:rsid w:val="00290CD6"/>
    <w:rsid w:val="00292174"/>
    <w:rsid w:val="0029303E"/>
    <w:rsid w:val="002934AC"/>
    <w:rsid w:val="002935F0"/>
    <w:rsid w:val="00295590"/>
    <w:rsid w:val="00296B9D"/>
    <w:rsid w:val="0029714A"/>
    <w:rsid w:val="00297635"/>
    <w:rsid w:val="00297F53"/>
    <w:rsid w:val="002A06CC"/>
    <w:rsid w:val="002A0BDF"/>
    <w:rsid w:val="002A179C"/>
    <w:rsid w:val="002A249E"/>
    <w:rsid w:val="002A2A18"/>
    <w:rsid w:val="002A3936"/>
    <w:rsid w:val="002A3B30"/>
    <w:rsid w:val="002A3CA8"/>
    <w:rsid w:val="002A7D63"/>
    <w:rsid w:val="002B0E2F"/>
    <w:rsid w:val="002B1874"/>
    <w:rsid w:val="002B5960"/>
    <w:rsid w:val="002B65FF"/>
    <w:rsid w:val="002B67E7"/>
    <w:rsid w:val="002B6BAD"/>
    <w:rsid w:val="002B7380"/>
    <w:rsid w:val="002C0DBF"/>
    <w:rsid w:val="002C0FE8"/>
    <w:rsid w:val="002C2C45"/>
    <w:rsid w:val="002C2F91"/>
    <w:rsid w:val="002C3D37"/>
    <w:rsid w:val="002C458D"/>
    <w:rsid w:val="002C483D"/>
    <w:rsid w:val="002C5CE6"/>
    <w:rsid w:val="002C6C0C"/>
    <w:rsid w:val="002C70CB"/>
    <w:rsid w:val="002D0A38"/>
    <w:rsid w:val="002D2047"/>
    <w:rsid w:val="002D28B7"/>
    <w:rsid w:val="002D30A2"/>
    <w:rsid w:val="002D4C10"/>
    <w:rsid w:val="002D537F"/>
    <w:rsid w:val="002D583A"/>
    <w:rsid w:val="002D5FF1"/>
    <w:rsid w:val="002D758C"/>
    <w:rsid w:val="002E0EEE"/>
    <w:rsid w:val="002E2EF1"/>
    <w:rsid w:val="002E36DB"/>
    <w:rsid w:val="002E7C61"/>
    <w:rsid w:val="00300F58"/>
    <w:rsid w:val="00301E40"/>
    <w:rsid w:val="00302DF2"/>
    <w:rsid w:val="00305AEE"/>
    <w:rsid w:val="00310936"/>
    <w:rsid w:val="0031173B"/>
    <w:rsid w:val="00313BE8"/>
    <w:rsid w:val="00313EBC"/>
    <w:rsid w:val="003145F8"/>
    <w:rsid w:val="003160A2"/>
    <w:rsid w:val="0031744E"/>
    <w:rsid w:val="00321929"/>
    <w:rsid w:val="00321969"/>
    <w:rsid w:val="003222AA"/>
    <w:rsid w:val="003229E3"/>
    <w:rsid w:val="00322F02"/>
    <w:rsid w:val="00323752"/>
    <w:rsid w:val="00323BBA"/>
    <w:rsid w:val="00325B3E"/>
    <w:rsid w:val="00326C00"/>
    <w:rsid w:val="0033121E"/>
    <w:rsid w:val="0033346D"/>
    <w:rsid w:val="003348E1"/>
    <w:rsid w:val="003355BE"/>
    <w:rsid w:val="00335BF2"/>
    <w:rsid w:val="003366B8"/>
    <w:rsid w:val="003368B0"/>
    <w:rsid w:val="00337EFC"/>
    <w:rsid w:val="00341998"/>
    <w:rsid w:val="00342412"/>
    <w:rsid w:val="00343007"/>
    <w:rsid w:val="00345053"/>
    <w:rsid w:val="003472FC"/>
    <w:rsid w:val="00347BB0"/>
    <w:rsid w:val="003521CD"/>
    <w:rsid w:val="00352CB6"/>
    <w:rsid w:val="00353E34"/>
    <w:rsid w:val="00354795"/>
    <w:rsid w:val="00355359"/>
    <w:rsid w:val="0035678C"/>
    <w:rsid w:val="0035690D"/>
    <w:rsid w:val="003606AD"/>
    <w:rsid w:val="0036246B"/>
    <w:rsid w:val="00362B79"/>
    <w:rsid w:val="003630A9"/>
    <w:rsid w:val="00371EAD"/>
    <w:rsid w:val="003723BB"/>
    <w:rsid w:val="003726E1"/>
    <w:rsid w:val="0037305E"/>
    <w:rsid w:val="003747BF"/>
    <w:rsid w:val="00376D80"/>
    <w:rsid w:val="0038024C"/>
    <w:rsid w:val="00381039"/>
    <w:rsid w:val="00382DF4"/>
    <w:rsid w:val="00383A20"/>
    <w:rsid w:val="003866B2"/>
    <w:rsid w:val="00386D54"/>
    <w:rsid w:val="0038714B"/>
    <w:rsid w:val="00390D20"/>
    <w:rsid w:val="003915F9"/>
    <w:rsid w:val="00391A41"/>
    <w:rsid w:val="0039373A"/>
    <w:rsid w:val="00396683"/>
    <w:rsid w:val="003A1B1A"/>
    <w:rsid w:val="003A3AD4"/>
    <w:rsid w:val="003A5266"/>
    <w:rsid w:val="003A77BD"/>
    <w:rsid w:val="003B07AA"/>
    <w:rsid w:val="003B0A8C"/>
    <w:rsid w:val="003B1174"/>
    <w:rsid w:val="003B11DD"/>
    <w:rsid w:val="003B2F6C"/>
    <w:rsid w:val="003B3004"/>
    <w:rsid w:val="003B5F9A"/>
    <w:rsid w:val="003C1451"/>
    <w:rsid w:val="003C25D4"/>
    <w:rsid w:val="003C2CC1"/>
    <w:rsid w:val="003C4140"/>
    <w:rsid w:val="003C446F"/>
    <w:rsid w:val="003C763C"/>
    <w:rsid w:val="003C7C85"/>
    <w:rsid w:val="003D076C"/>
    <w:rsid w:val="003D3583"/>
    <w:rsid w:val="003D4B4C"/>
    <w:rsid w:val="003E0241"/>
    <w:rsid w:val="003E15A7"/>
    <w:rsid w:val="003E2D58"/>
    <w:rsid w:val="003E6042"/>
    <w:rsid w:val="003E657B"/>
    <w:rsid w:val="003E79DE"/>
    <w:rsid w:val="003F2B8E"/>
    <w:rsid w:val="003F3652"/>
    <w:rsid w:val="00410C9C"/>
    <w:rsid w:val="0041100B"/>
    <w:rsid w:val="00411ECA"/>
    <w:rsid w:val="00417564"/>
    <w:rsid w:val="004221DF"/>
    <w:rsid w:val="004238D5"/>
    <w:rsid w:val="00423CA2"/>
    <w:rsid w:val="00426858"/>
    <w:rsid w:val="00426C42"/>
    <w:rsid w:val="00426CAA"/>
    <w:rsid w:val="0042733E"/>
    <w:rsid w:val="004276F2"/>
    <w:rsid w:val="00430D0C"/>
    <w:rsid w:val="00436450"/>
    <w:rsid w:val="00436CD1"/>
    <w:rsid w:val="00440079"/>
    <w:rsid w:val="004429C5"/>
    <w:rsid w:val="0044472C"/>
    <w:rsid w:val="00445CA8"/>
    <w:rsid w:val="00446240"/>
    <w:rsid w:val="00450064"/>
    <w:rsid w:val="00450CFD"/>
    <w:rsid w:val="00451F5F"/>
    <w:rsid w:val="0045427B"/>
    <w:rsid w:val="004574F0"/>
    <w:rsid w:val="00457A1C"/>
    <w:rsid w:val="00460736"/>
    <w:rsid w:val="00462731"/>
    <w:rsid w:val="00462DBD"/>
    <w:rsid w:val="00466AC2"/>
    <w:rsid w:val="00467465"/>
    <w:rsid w:val="00467CDC"/>
    <w:rsid w:val="00467F17"/>
    <w:rsid w:val="00472F1C"/>
    <w:rsid w:val="00474379"/>
    <w:rsid w:val="00474D3C"/>
    <w:rsid w:val="004771C0"/>
    <w:rsid w:val="00482B5D"/>
    <w:rsid w:val="00484987"/>
    <w:rsid w:val="00484A60"/>
    <w:rsid w:val="004870F1"/>
    <w:rsid w:val="00491E6B"/>
    <w:rsid w:val="00491F95"/>
    <w:rsid w:val="00492FF8"/>
    <w:rsid w:val="00493F81"/>
    <w:rsid w:val="004967CD"/>
    <w:rsid w:val="004A00FE"/>
    <w:rsid w:val="004A01EE"/>
    <w:rsid w:val="004A024F"/>
    <w:rsid w:val="004A06BE"/>
    <w:rsid w:val="004A0B1A"/>
    <w:rsid w:val="004A0EAF"/>
    <w:rsid w:val="004A145F"/>
    <w:rsid w:val="004A290E"/>
    <w:rsid w:val="004A2BD0"/>
    <w:rsid w:val="004A4C00"/>
    <w:rsid w:val="004A5A62"/>
    <w:rsid w:val="004B0E40"/>
    <w:rsid w:val="004B10D4"/>
    <w:rsid w:val="004B130C"/>
    <w:rsid w:val="004B16AB"/>
    <w:rsid w:val="004B3BAE"/>
    <w:rsid w:val="004B4CF4"/>
    <w:rsid w:val="004B515D"/>
    <w:rsid w:val="004B7ED6"/>
    <w:rsid w:val="004C061E"/>
    <w:rsid w:val="004C18E9"/>
    <w:rsid w:val="004C4BCE"/>
    <w:rsid w:val="004C5D29"/>
    <w:rsid w:val="004C6ED2"/>
    <w:rsid w:val="004C77F0"/>
    <w:rsid w:val="004C794F"/>
    <w:rsid w:val="004D0540"/>
    <w:rsid w:val="004D3106"/>
    <w:rsid w:val="004D35DE"/>
    <w:rsid w:val="004D6057"/>
    <w:rsid w:val="004E07A7"/>
    <w:rsid w:val="004E1373"/>
    <w:rsid w:val="004E550F"/>
    <w:rsid w:val="004E5809"/>
    <w:rsid w:val="004F0B9B"/>
    <w:rsid w:val="004F3141"/>
    <w:rsid w:val="004F3DBD"/>
    <w:rsid w:val="004F53AF"/>
    <w:rsid w:val="004F5A60"/>
    <w:rsid w:val="004F60F5"/>
    <w:rsid w:val="00502401"/>
    <w:rsid w:val="005026CF"/>
    <w:rsid w:val="00503FA0"/>
    <w:rsid w:val="0051049B"/>
    <w:rsid w:val="00511D8F"/>
    <w:rsid w:val="005128AE"/>
    <w:rsid w:val="00514D1B"/>
    <w:rsid w:val="00514DCE"/>
    <w:rsid w:val="00515BB7"/>
    <w:rsid w:val="00521B2E"/>
    <w:rsid w:val="00521B66"/>
    <w:rsid w:val="005236E8"/>
    <w:rsid w:val="00523EAC"/>
    <w:rsid w:val="005256A8"/>
    <w:rsid w:val="005256F3"/>
    <w:rsid w:val="00526C0F"/>
    <w:rsid w:val="00530505"/>
    <w:rsid w:val="00530BE6"/>
    <w:rsid w:val="00532181"/>
    <w:rsid w:val="005333D0"/>
    <w:rsid w:val="0053406C"/>
    <w:rsid w:val="00534946"/>
    <w:rsid w:val="005349D2"/>
    <w:rsid w:val="00534F9F"/>
    <w:rsid w:val="00537635"/>
    <w:rsid w:val="005422C6"/>
    <w:rsid w:val="00544402"/>
    <w:rsid w:val="005454DA"/>
    <w:rsid w:val="005458FD"/>
    <w:rsid w:val="00545937"/>
    <w:rsid w:val="00547057"/>
    <w:rsid w:val="00550C4E"/>
    <w:rsid w:val="00561C3C"/>
    <w:rsid w:val="00561DBD"/>
    <w:rsid w:val="0056208F"/>
    <w:rsid w:val="005621A7"/>
    <w:rsid w:val="00572EFA"/>
    <w:rsid w:val="00575F25"/>
    <w:rsid w:val="00576736"/>
    <w:rsid w:val="00576E3C"/>
    <w:rsid w:val="0058195C"/>
    <w:rsid w:val="00582FA1"/>
    <w:rsid w:val="005846E1"/>
    <w:rsid w:val="00584858"/>
    <w:rsid w:val="005911C4"/>
    <w:rsid w:val="005918CC"/>
    <w:rsid w:val="00596A99"/>
    <w:rsid w:val="005A355D"/>
    <w:rsid w:val="005A6EE9"/>
    <w:rsid w:val="005A726F"/>
    <w:rsid w:val="005B098C"/>
    <w:rsid w:val="005B16C5"/>
    <w:rsid w:val="005B255F"/>
    <w:rsid w:val="005B2D87"/>
    <w:rsid w:val="005B31B9"/>
    <w:rsid w:val="005B443E"/>
    <w:rsid w:val="005B48CC"/>
    <w:rsid w:val="005B58FB"/>
    <w:rsid w:val="005B6259"/>
    <w:rsid w:val="005B64B7"/>
    <w:rsid w:val="005B6D49"/>
    <w:rsid w:val="005B7093"/>
    <w:rsid w:val="005C1B7D"/>
    <w:rsid w:val="005C1F28"/>
    <w:rsid w:val="005C3484"/>
    <w:rsid w:val="005C444B"/>
    <w:rsid w:val="005C4840"/>
    <w:rsid w:val="005C4B52"/>
    <w:rsid w:val="005C5780"/>
    <w:rsid w:val="005D2969"/>
    <w:rsid w:val="005D2B28"/>
    <w:rsid w:val="005D349B"/>
    <w:rsid w:val="005E1655"/>
    <w:rsid w:val="005E3276"/>
    <w:rsid w:val="005E3EA3"/>
    <w:rsid w:val="005E5199"/>
    <w:rsid w:val="005F1AA1"/>
    <w:rsid w:val="005F1FE1"/>
    <w:rsid w:val="005F2B9E"/>
    <w:rsid w:val="005F2F99"/>
    <w:rsid w:val="005F3EF0"/>
    <w:rsid w:val="005F50D8"/>
    <w:rsid w:val="005F5E9E"/>
    <w:rsid w:val="006006AF"/>
    <w:rsid w:val="00602090"/>
    <w:rsid w:val="00604FC1"/>
    <w:rsid w:val="006103B7"/>
    <w:rsid w:val="00610A65"/>
    <w:rsid w:val="00611614"/>
    <w:rsid w:val="00612FAD"/>
    <w:rsid w:val="00613D82"/>
    <w:rsid w:val="00617064"/>
    <w:rsid w:val="00617251"/>
    <w:rsid w:val="00617BA4"/>
    <w:rsid w:val="00623724"/>
    <w:rsid w:val="006248F0"/>
    <w:rsid w:val="00624B30"/>
    <w:rsid w:val="00626B4C"/>
    <w:rsid w:val="00626F77"/>
    <w:rsid w:val="00627322"/>
    <w:rsid w:val="0063175C"/>
    <w:rsid w:val="00631FCB"/>
    <w:rsid w:val="00632550"/>
    <w:rsid w:val="006330A8"/>
    <w:rsid w:val="00634B8D"/>
    <w:rsid w:val="00636163"/>
    <w:rsid w:val="0063744D"/>
    <w:rsid w:val="0063775D"/>
    <w:rsid w:val="00640C17"/>
    <w:rsid w:val="00641CD0"/>
    <w:rsid w:val="006430C6"/>
    <w:rsid w:val="006454F5"/>
    <w:rsid w:val="00645D0B"/>
    <w:rsid w:val="00646375"/>
    <w:rsid w:val="0064665D"/>
    <w:rsid w:val="006549F3"/>
    <w:rsid w:val="00656F13"/>
    <w:rsid w:val="00657209"/>
    <w:rsid w:val="00657809"/>
    <w:rsid w:val="00663CEA"/>
    <w:rsid w:val="00664063"/>
    <w:rsid w:val="00665941"/>
    <w:rsid w:val="00666F6B"/>
    <w:rsid w:val="00671614"/>
    <w:rsid w:val="00671D41"/>
    <w:rsid w:val="0067509B"/>
    <w:rsid w:val="00677278"/>
    <w:rsid w:val="00677AF3"/>
    <w:rsid w:val="00677CE4"/>
    <w:rsid w:val="00677FEA"/>
    <w:rsid w:val="0068284C"/>
    <w:rsid w:val="006836F3"/>
    <w:rsid w:val="00685D78"/>
    <w:rsid w:val="00686085"/>
    <w:rsid w:val="00687723"/>
    <w:rsid w:val="00687DB4"/>
    <w:rsid w:val="00690A88"/>
    <w:rsid w:val="00690AA7"/>
    <w:rsid w:val="00690DFD"/>
    <w:rsid w:val="00690F81"/>
    <w:rsid w:val="00691202"/>
    <w:rsid w:val="00692DB5"/>
    <w:rsid w:val="0069791F"/>
    <w:rsid w:val="006A00C7"/>
    <w:rsid w:val="006A052E"/>
    <w:rsid w:val="006A20B8"/>
    <w:rsid w:val="006A36CC"/>
    <w:rsid w:val="006A6118"/>
    <w:rsid w:val="006A647E"/>
    <w:rsid w:val="006A7ABC"/>
    <w:rsid w:val="006A7B71"/>
    <w:rsid w:val="006B2D21"/>
    <w:rsid w:val="006B54AC"/>
    <w:rsid w:val="006B6F1A"/>
    <w:rsid w:val="006B7621"/>
    <w:rsid w:val="006C0F84"/>
    <w:rsid w:val="006C268C"/>
    <w:rsid w:val="006C4120"/>
    <w:rsid w:val="006C418C"/>
    <w:rsid w:val="006C4515"/>
    <w:rsid w:val="006C45DD"/>
    <w:rsid w:val="006C48A7"/>
    <w:rsid w:val="006C5847"/>
    <w:rsid w:val="006C6038"/>
    <w:rsid w:val="006C73B3"/>
    <w:rsid w:val="006C78CD"/>
    <w:rsid w:val="006D119F"/>
    <w:rsid w:val="006D1582"/>
    <w:rsid w:val="006D215B"/>
    <w:rsid w:val="006D298D"/>
    <w:rsid w:val="006D53CE"/>
    <w:rsid w:val="006D5575"/>
    <w:rsid w:val="006E1301"/>
    <w:rsid w:val="006E19B8"/>
    <w:rsid w:val="006E31A1"/>
    <w:rsid w:val="006F19ED"/>
    <w:rsid w:val="006F27C9"/>
    <w:rsid w:val="006F450C"/>
    <w:rsid w:val="006F5586"/>
    <w:rsid w:val="006F5F14"/>
    <w:rsid w:val="006F60A1"/>
    <w:rsid w:val="006F7D3F"/>
    <w:rsid w:val="006F7D70"/>
    <w:rsid w:val="006F7E14"/>
    <w:rsid w:val="00700DD7"/>
    <w:rsid w:val="00704912"/>
    <w:rsid w:val="007051E3"/>
    <w:rsid w:val="00705FFB"/>
    <w:rsid w:val="007116C5"/>
    <w:rsid w:val="0071302D"/>
    <w:rsid w:val="00713776"/>
    <w:rsid w:val="007147A6"/>
    <w:rsid w:val="00715333"/>
    <w:rsid w:val="00715E63"/>
    <w:rsid w:val="0071698E"/>
    <w:rsid w:val="00716A01"/>
    <w:rsid w:val="00717104"/>
    <w:rsid w:val="00720368"/>
    <w:rsid w:val="0072092A"/>
    <w:rsid w:val="00720F8B"/>
    <w:rsid w:val="00721508"/>
    <w:rsid w:val="00721929"/>
    <w:rsid w:val="00722119"/>
    <w:rsid w:val="00722553"/>
    <w:rsid w:val="00722685"/>
    <w:rsid w:val="00723653"/>
    <w:rsid w:val="0072420E"/>
    <w:rsid w:val="0072604C"/>
    <w:rsid w:val="00727203"/>
    <w:rsid w:val="00732323"/>
    <w:rsid w:val="00732C06"/>
    <w:rsid w:val="00732E99"/>
    <w:rsid w:val="007358F4"/>
    <w:rsid w:val="00736543"/>
    <w:rsid w:val="00737586"/>
    <w:rsid w:val="007376A3"/>
    <w:rsid w:val="00740AE0"/>
    <w:rsid w:val="00740DAA"/>
    <w:rsid w:val="00741FC8"/>
    <w:rsid w:val="00744AC4"/>
    <w:rsid w:val="00746D3D"/>
    <w:rsid w:val="00750429"/>
    <w:rsid w:val="007528B3"/>
    <w:rsid w:val="0075335E"/>
    <w:rsid w:val="007545EF"/>
    <w:rsid w:val="007546E7"/>
    <w:rsid w:val="00755FFA"/>
    <w:rsid w:val="0075695E"/>
    <w:rsid w:val="00757037"/>
    <w:rsid w:val="007576E7"/>
    <w:rsid w:val="00757D2B"/>
    <w:rsid w:val="007601AB"/>
    <w:rsid w:val="00762636"/>
    <w:rsid w:val="00762FCE"/>
    <w:rsid w:val="007658D5"/>
    <w:rsid w:val="007665B5"/>
    <w:rsid w:val="00771B77"/>
    <w:rsid w:val="007725D1"/>
    <w:rsid w:val="0077295E"/>
    <w:rsid w:val="007734CA"/>
    <w:rsid w:val="00774C6E"/>
    <w:rsid w:val="00775D3D"/>
    <w:rsid w:val="0077757C"/>
    <w:rsid w:val="00782018"/>
    <w:rsid w:val="00782A57"/>
    <w:rsid w:val="00782F77"/>
    <w:rsid w:val="00783428"/>
    <w:rsid w:val="00784919"/>
    <w:rsid w:val="0078779A"/>
    <w:rsid w:val="007917BC"/>
    <w:rsid w:val="00791A6C"/>
    <w:rsid w:val="00792483"/>
    <w:rsid w:val="007929F2"/>
    <w:rsid w:val="00793179"/>
    <w:rsid w:val="0079601D"/>
    <w:rsid w:val="00797E17"/>
    <w:rsid w:val="007A0F64"/>
    <w:rsid w:val="007A1164"/>
    <w:rsid w:val="007A1448"/>
    <w:rsid w:val="007A1990"/>
    <w:rsid w:val="007A2DEC"/>
    <w:rsid w:val="007A35D5"/>
    <w:rsid w:val="007A5BDA"/>
    <w:rsid w:val="007A7C02"/>
    <w:rsid w:val="007B01C3"/>
    <w:rsid w:val="007B0BB9"/>
    <w:rsid w:val="007B10CE"/>
    <w:rsid w:val="007B2CCC"/>
    <w:rsid w:val="007B37AE"/>
    <w:rsid w:val="007B6C75"/>
    <w:rsid w:val="007B766C"/>
    <w:rsid w:val="007B7E40"/>
    <w:rsid w:val="007C232A"/>
    <w:rsid w:val="007C297E"/>
    <w:rsid w:val="007C524D"/>
    <w:rsid w:val="007C62D8"/>
    <w:rsid w:val="007C763C"/>
    <w:rsid w:val="007D27E5"/>
    <w:rsid w:val="007D46AC"/>
    <w:rsid w:val="007D4EB2"/>
    <w:rsid w:val="007D5AA1"/>
    <w:rsid w:val="007D6A9E"/>
    <w:rsid w:val="007E0B03"/>
    <w:rsid w:val="007E24B1"/>
    <w:rsid w:val="007E604C"/>
    <w:rsid w:val="007E69C2"/>
    <w:rsid w:val="007F01EA"/>
    <w:rsid w:val="007F2D02"/>
    <w:rsid w:val="007F2ED7"/>
    <w:rsid w:val="007F3F31"/>
    <w:rsid w:val="007F7480"/>
    <w:rsid w:val="007F7BC7"/>
    <w:rsid w:val="00802288"/>
    <w:rsid w:val="008065AD"/>
    <w:rsid w:val="00806BCE"/>
    <w:rsid w:val="00807416"/>
    <w:rsid w:val="00812231"/>
    <w:rsid w:val="00813E4D"/>
    <w:rsid w:val="00821142"/>
    <w:rsid w:val="00821B25"/>
    <w:rsid w:val="008229F3"/>
    <w:rsid w:val="00824744"/>
    <w:rsid w:val="0082500A"/>
    <w:rsid w:val="008250A3"/>
    <w:rsid w:val="00831FDA"/>
    <w:rsid w:val="00834DED"/>
    <w:rsid w:val="00836C42"/>
    <w:rsid w:val="00836F56"/>
    <w:rsid w:val="00841159"/>
    <w:rsid w:val="00841C52"/>
    <w:rsid w:val="00843BCD"/>
    <w:rsid w:val="00844783"/>
    <w:rsid w:val="00847B31"/>
    <w:rsid w:val="00853F9F"/>
    <w:rsid w:val="00854D93"/>
    <w:rsid w:val="008552EF"/>
    <w:rsid w:val="00855934"/>
    <w:rsid w:val="00856CB1"/>
    <w:rsid w:val="00857092"/>
    <w:rsid w:val="0086158F"/>
    <w:rsid w:val="00866FED"/>
    <w:rsid w:val="008670DF"/>
    <w:rsid w:val="00867A1C"/>
    <w:rsid w:val="00871A91"/>
    <w:rsid w:val="00872B61"/>
    <w:rsid w:val="00873F27"/>
    <w:rsid w:val="0087467A"/>
    <w:rsid w:val="00875606"/>
    <w:rsid w:val="00877A11"/>
    <w:rsid w:val="00880765"/>
    <w:rsid w:val="00883457"/>
    <w:rsid w:val="008834D1"/>
    <w:rsid w:val="00884B11"/>
    <w:rsid w:val="00886C16"/>
    <w:rsid w:val="00886DB4"/>
    <w:rsid w:val="008874A5"/>
    <w:rsid w:val="00887BE0"/>
    <w:rsid w:val="00891350"/>
    <w:rsid w:val="0089342E"/>
    <w:rsid w:val="008A0F49"/>
    <w:rsid w:val="008A3165"/>
    <w:rsid w:val="008A556A"/>
    <w:rsid w:val="008A619A"/>
    <w:rsid w:val="008B0FBE"/>
    <w:rsid w:val="008B149A"/>
    <w:rsid w:val="008B1E9C"/>
    <w:rsid w:val="008B30E7"/>
    <w:rsid w:val="008B3106"/>
    <w:rsid w:val="008B4D46"/>
    <w:rsid w:val="008B5F8C"/>
    <w:rsid w:val="008B63B8"/>
    <w:rsid w:val="008C3607"/>
    <w:rsid w:val="008C4309"/>
    <w:rsid w:val="008C4650"/>
    <w:rsid w:val="008C782C"/>
    <w:rsid w:val="008D0724"/>
    <w:rsid w:val="008D35FC"/>
    <w:rsid w:val="008D563C"/>
    <w:rsid w:val="008D62AE"/>
    <w:rsid w:val="008D68EE"/>
    <w:rsid w:val="008D730D"/>
    <w:rsid w:val="008D7852"/>
    <w:rsid w:val="008D7962"/>
    <w:rsid w:val="008E0BB9"/>
    <w:rsid w:val="008E5441"/>
    <w:rsid w:val="008E5FAC"/>
    <w:rsid w:val="008F0484"/>
    <w:rsid w:val="008F068B"/>
    <w:rsid w:val="008F193A"/>
    <w:rsid w:val="008F25E9"/>
    <w:rsid w:val="008F3517"/>
    <w:rsid w:val="008F44AD"/>
    <w:rsid w:val="009032FA"/>
    <w:rsid w:val="009058F1"/>
    <w:rsid w:val="009077DF"/>
    <w:rsid w:val="00910608"/>
    <w:rsid w:val="00910645"/>
    <w:rsid w:val="009111B0"/>
    <w:rsid w:val="00911685"/>
    <w:rsid w:val="00911DAB"/>
    <w:rsid w:val="0091265B"/>
    <w:rsid w:val="0091273E"/>
    <w:rsid w:val="009169B2"/>
    <w:rsid w:val="00916D86"/>
    <w:rsid w:val="009170B8"/>
    <w:rsid w:val="009178A9"/>
    <w:rsid w:val="00920922"/>
    <w:rsid w:val="00920D0B"/>
    <w:rsid w:val="00921766"/>
    <w:rsid w:val="00921D4F"/>
    <w:rsid w:val="009244A7"/>
    <w:rsid w:val="009250BB"/>
    <w:rsid w:val="009314F6"/>
    <w:rsid w:val="00931687"/>
    <w:rsid w:val="0093455F"/>
    <w:rsid w:val="00942CBC"/>
    <w:rsid w:val="00943216"/>
    <w:rsid w:val="00944018"/>
    <w:rsid w:val="00947511"/>
    <w:rsid w:val="00947995"/>
    <w:rsid w:val="0095130B"/>
    <w:rsid w:val="00951965"/>
    <w:rsid w:val="00951CB7"/>
    <w:rsid w:val="00954D9A"/>
    <w:rsid w:val="009551A8"/>
    <w:rsid w:val="009563DD"/>
    <w:rsid w:val="00956B3B"/>
    <w:rsid w:val="00960BDA"/>
    <w:rsid w:val="00962C0C"/>
    <w:rsid w:val="00962F39"/>
    <w:rsid w:val="009633D8"/>
    <w:rsid w:val="00964D08"/>
    <w:rsid w:val="00964F4C"/>
    <w:rsid w:val="00966F8A"/>
    <w:rsid w:val="00967A64"/>
    <w:rsid w:val="00967C83"/>
    <w:rsid w:val="00973916"/>
    <w:rsid w:val="00973D2B"/>
    <w:rsid w:val="009756E1"/>
    <w:rsid w:val="00977526"/>
    <w:rsid w:val="00977E74"/>
    <w:rsid w:val="00984A74"/>
    <w:rsid w:val="00984B4C"/>
    <w:rsid w:val="00985838"/>
    <w:rsid w:val="009868C1"/>
    <w:rsid w:val="0099255C"/>
    <w:rsid w:val="00995202"/>
    <w:rsid w:val="00995831"/>
    <w:rsid w:val="0099629F"/>
    <w:rsid w:val="00996E1E"/>
    <w:rsid w:val="00997B78"/>
    <w:rsid w:val="009A2420"/>
    <w:rsid w:val="009A2D01"/>
    <w:rsid w:val="009A32EF"/>
    <w:rsid w:val="009A5066"/>
    <w:rsid w:val="009A552F"/>
    <w:rsid w:val="009A663E"/>
    <w:rsid w:val="009A6EAC"/>
    <w:rsid w:val="009A7D7C"/>
    <w:rsid w:val="009B0119"/>
    <w:rsid w:val="009B214E"/>
    <w:rsid w:val="009B34D7"/>
    <w:rsid w:val="009B3F1C"/>
    <w:rsid w:val="009C0AB2"/>
    <w:rsid w:val="009C1FF4"/>
    <w:rsid w:val="009C25AF"/>
    <w:rsid w:val="009C2F20"/>
    <w:rsid w:val="009C4000"/>
    <w:rsid w:val="009C4DF5"/>
    <w:rsid w:val="009C5B69"/>
    <w:rsid w:val="009C77C6"/>
    <w:rsid w:val="009D5C7F"/>
    <w:rsid w:val="009E1C13"/>
    <w:rsid w:val="009E5A5C"/>
    <w:rsid w:val="009E6704"/>
    <w:rsid w:val="009E7E16"/>
    <w:rsid w:val="009F155A"/>
    <w:rsid w:val="009F5C5E"/>
    <w:rsid w:val="009F703C"/>
    <w:rsid w:val="009F716E"/>
    <w:rsid w:val="009F7786"/>
    <w:rsid w:val="00A00CF8"/>
    <w:rsid w:val="00A01ED6"/>
    <w:rsid w:val="00A02D86"/>
    <w:rsid w:val="00A04138"/>
    <w:rsid w:val="00A050F3"/>
    <w:rsid w:val="00A06749"/>
    <w:rsid w:val="00A1129E"/>
    <w:rsid w:val="00A20426"/>
    <w:rsid w:val="00A20996"/>
    <w:rsid w:val="00A20B44"/>
    <w:rsid w:val="00A23EBF"/>
    <w:rsid w:val="00A248EB"/>
    <w:rsid w:val="00A257D1"/>
    <w:rsid w:val="00A265EB"/>
    <w:rsid w:val="00A27954"/>
    <w:rsid w:val="00A32B15"/>
    <w:rsid w:val="00A34456"/>
    <w:rsid w:val="00A34DD2"/>
    <w:rsid w:val="00A357F5"/>
    <w:rsid w:val="00A3796C"/>
    <w:rsid w:val="00A37AAD"/>
    <w:rsid w:val="00A37FF2"/>
    <w:rsid w:val="00A40C50"/>
    <w:rsid w:val="00A4239D"/>
    <w:rsid w:val="00A43892"/>
    <w:rsid w:val="00A43A0C"/>
    <w:rsid w:val="00A44A09"/>
    <w:rsid w:val="00A50281"/>
    <w:rsid w:val="00A512DF"/>
    <w:rsid w:val="00A532E7"/>
    <w:rsid w:val="00A5372F"/>
    <w:rsid w:val="00A549A7"/>
    <w:rsid w:val="00A5747C"/>
    <w:rsid w:val="00A57AA7"/>
    <w:rsid w:val="00A60C12"/>
    <w:rsid w:val="00A628B0"/>
    <w:rsid w:val="00A62F73"/>
    <w:rsid w:val="00A642C2"/>
    <w:rsid w:val="00A65BF5"/>
    <w:rsid w:val="00A66C4C"/>
    <w:rsid w:val="00A671BB"/>
    <w:rsid w:val="00A709E2"/>
    <w:rsid w:val="00A70A30"/>
    <w:rsid w:val="00A72845"/>
    <w:rsid w:val="00A763F4"/>
    <w:rsid w:val="00A806B7"/>
    <w:rsid w:val="00A81550"/>
    <w:rsid w:val="00A82FD8"/>
    <w:rsid w:val="00A87F63"/>
    <w:rsid w:val="00A9466D"/>
    <w:rsid w:val="00A94D5A"/>
    <w:rsid w:val="00A95F5D"/>
    <w:rsid w:val="00A963D4"/>
    <w:rsid w:val="00A96657"/>
    <w:rsid w:val="00AA0631"/>
    <w:rsid w:val="00AA0C78"/>
    <w:rsid w:val="00AA1A0B"/>
    <w:rsid w:val="00AA2179"/>
    <w:rsid w:val="00AA418C"/>
    <w:rsid w:val="00AA4285"/>
    <w:rsid w:val="00AA472F"/>
    <w:rsid w:val="00AA47D0"/>
    <w:rsid w:val="00AA65A9"/>
    <w:rsid w:val="00AA71A6"/>
    <w:rsid w:val="00AB00F9"/>
    <w:rsid w:val="00AB2C02"/>
    <w:rsid w:val="00AB3D02"/>
    <w:rsid w:val="00AB55B9"/>
    <w:rsid w:val="00AB5BF0"/>
    <w:rsid w:val="00AC041A"/>
    <w:rsid w:val="00AC171D"/>
    <w:rsid w:val="00AC21F3"/>
    <w:rsid w:val="00AC2697"/>
    <w:rsid w:val="00AC3B6B"/>
    <w:rsid w:val="00AC527E"/>
    <w:rsid w:val="00AC6357"/>
    <w:rsid w:val="00AC662E"/>
    <w:rsid w:val="00AD2D73"/>
    <w:rsid w:val="00AD4A69"/>
    <w:rsid w:val="00AD523D"/>
    <w:rsid w:val="00AD657F"/>
    <w:rsid w:val="00AE213A"/>
    <w:rsid w:val="00AE2ED5"/>
    <w:rsid w:val="00AE4276"/>
    <w:rsid w:val="00AE4B1D"/>
    <w:rsid w:val="00AE52E7"/>
    <w:rsid w:val="00AF031B"/>
    <w:rsid w:val="00AF35B4"/>
    <w:rsid w:val="00AF4753"/>
    <w:rsid w:val="00AF6C5F"/>
    <w:rsid w:val="00AF7124"/>
    <w:rsid w:val="00B007E3"/>
    <w:rsid w:val="00B0093E"/>
    <w:rsid w:val="00B04808"/>
    <w:rsid w:val="00B04B78"/>
    <w:rsid w:val="00B05E25"/>
    <w:rsid w:val="00B078F4"/>
    <w:rsid w:val="00B11316"/>
    <w:rsid w:val="00B116F8"/>
    <w:rsid w:val="00B124F6"/>
    <w:rsid w:val="00B132DB"/>
    <w:rsid w:val="00B14583"/>
    <w:rsid w:val="00B150A4"/>
    <w:rsid w:val="00B15FE2"/>
    <w:rsid w:val="00B17B4B"/>
    <w:rsid w:val="00B17C08"/>
    <w:rsid w:val="00B2148C"/>
    <w:rsid w:val="00B224BC"/>
    <w:rsid w:val="00B22C96"/>
    <w:rsid w:val="00B264B7"/>
    <w:rsid w:val="00B27D98"/>
    <w:rsid w:val="00B301FB"/>
    <w:rsid w:val="00B309A3"/>
    <w:rsid w:val="00B31EBD"/>
    <w:rsid w:val="00B336A1"/>
    <w:rsid w:val="00B342EB"/>
    <w:rsid w:val="00B34807"/>
    <w:rsid w:val="00B35333"/>
    <w:rsid w:val="00B35C6A"/>
    <w:rsid w:val="00B367AB"/>
    <w:rsid w:val="00B40520"/>
    <w:rsid w:val="00B436BE"/>
    <w:rsid w:val="00B46597"/>
    <w:rsid w:val="00B46E55"/>
    <w:rsid w:val="00B47190"/>
    <w:rsid w:val="00B51F5C"/>
    <w:rsid w:val="00B5294A"/>
    <w:rsid w:val="00B5578A"/>
    <w:rsid w:val="00B55C24"/>
    <w:rsid w:val="00B57E38"/>
    <w:rsid w:val="00B600B9"/>
    <w:rsid w:val="00B602EE"/>
    <w:rsid w:val="00B61851"/>
    <w:rsid w:val="00B61DF1"/>
    <w:rsid w:val="00B62927"/>
    <w:rsid w:val="00B62F42"/>
    <w:rsid w:val="00B63B8C"/>
    <w:rsid w:val="00B6427D"/>
    <w:rsid w:val="00B658AC"/>
    <w:rsid w:val="00B66E72"/>
    <w:rsid w:val="00B6794D"/>
    <w:rsid w:val="00B70A9B"/>
    <w:rsid w:val="00B7219C"/>
    <w:rsid w:val="00B72FE7"/>
    <w:rsid w:val="00B747E4"/>
    <w:rsid w:val="00B7638E"/>
    <w:rsid w:val="00B77A29"/>
    <w:rsid w:val="00B77F92"/>
    <w:rsid w:val="00B817AC"/>
    <w:rsid w:val="00B829DC"/>
    <w:rsid w:val="00B867E3"/>
    <w:rsid w:val="00B901F8"/>
    <w:rsid w:val="00B94487"/>
    <w:rsid w:val="00B96190"/>
    <w:rsid w:val="00B969D7"/>
    <w:rsid w:val="00BA0328"/>
    <w:rsid w:val="00BA17C8"/>
    <w:rsid w:val="00BA1D5B"/>
    <w:rsid w:val="00BA2E3D"/>
    <w:rsid w:val="00BA4EBF"/>
    <w:rsid w:val="00BA776F"/>
    <w:rsid w:val="00BA7E37"/>
    <w:rsid w:val="00BB201A"/>
    <w:rsid w:val="00BB28B5"/>
    <w:rsid w:val="00BB387B"/>
    <w:rsid w:val="00BB3D53"/>
    <w:rsid w:val="00BC1328"/>
    <w:rsid w:val="00BC1D6E"/>
    <w:rsid w:val="00BC3512"/>
    <w:rsid w:val="00BC51D3"/>
    <w:rsid w:val="00BC5D2A"/>
    <w:rsid w:val="00BC7585"/>
    <w:rsid w:val="00BD0F10"/>
    <w:rsid w:val="00BD1727"/>
    <w:rsid w:val="00BD1A46"/>
    <w:rsid w:val="00BD2D16"/>
    <w:rsid w:val="00BD3548"/>
    <w:rsid w:val="00BD4BFE"/>
    <w:rsid w:val="00BD521A"/>
    <w:rsid w:val="00BD5E34"/>
    <w:rsid w:val="00BE005F"/>
    <w:rsid w:val="00BE04B4"/>
    <w:rsid w:val="00BE16A2"/>
    <w:rsid w:val="00BE257F"/>
    <w:rsid w:val="00BE39ED"/>
    <w:rsid w:val="00BE3DD9"/>
    <w:rsid w:val="00BE60CB"/>
    <w:rsid w:val="00BE70DD"/>
    <w:rsid w:val="00BE7FE2"/>
    <w:rsid w:val="00BF0B60"/>
    <w:rsid w:val="00BF21EA"/>
    <w:rsid w:val="00BF3649"/>
    <w:rsid w:val="00BF3BD2"/>
    <w:rsid w:val="00BF59F5"/>
    <w:rsid w:val="00BF65A1"/>
    <w:rsid w:val="00BF771B"/>
    <w:rsid w:val="00C04905"/>
    <w:rsid w:val="00C06009"/>
    <w:rsid w:val="00C06CB4"/>
    <w:rsid w:val="00C07E60"/>
    <w:rsid w:val="00C100BB"/>
    <w:rsid w:val="00C10111"/>
    <w:rsid w:val="00C122FD"/>
    <w:rsid w:val="00C13E6B"/>
    <w:rsid w:val="00C14613"/>
    <w:rsid w:val="00C14A85"/>
    <w:rsid w:val="00C1517F"/>
    <w:rsid w:val="00C1700A"/>
    <w:rsid w:val="00C1773E"/>
    <w:rsid w:val="00C2121E"/>
    <w:rsid w:val="00C22286"/>
    <w:rsid w:val="00C24586"/>
    <w:rsid w:val="00C2601D"/>
    <w:rsid w:val="00C2761A"/>
    <w:rsid w:val="00C30928"/>
    <w:rsid w:val="00C33062"/>
    <w:rsid w:val="00C349CD"/>
    <w:rsid w:val="00C34C41"/>
    <w:rsid w:val="00C350A3"/>
    <w:rsid w:val="00C420C5"/>
    <w:rsid w:val="00C42345"/>
    <w:rsid w:val="00C443F9"/>
    <w:rsid w:val="00C45733"/>
    <w:rsid w:val="00C45BF3"/>
    <w:rsid w:val="00C52140"/>
    <w:rsid w:val="00C52368"/>
    <w:rsid w:val="00C55A90"/>
    <w:rsid w:val="00C55DC5"/>
    <w:rsid w:val="00C60BB5"/>
    <w:rsid w:val="00C610FD"/>
    <w:rsid w:val="00C611CF"/>
    <w:rsid w:val="00C614B8"/>
    <w:rsid w:val="00C6231E"/>
    <w:rsid w:val="00C62E4D"/>
    <w:rsid w:val="00C63AC6"/>
    <w:rsid w:val="00C6430F"/>
    <w:rsid w:val="00C66E59"/>
    <w:rsid w:val="00C7699B"/>
    <w:rsid w:val="00C807AC"/>
    <w:rsid w:val="00C817DE"/>
    <w:rsid w:val="00C82731"/>
    <w:rsid w:val="00C82F4B"/>
    <w:rsid w:val="00C85409"/>
    <w:rsid w:val="00C858D8"/>
    <w:rsid w:val="00C9073D"/>
    <w:rsid w:val="00C90E35"/>
    <w:rsid w:val="00C9138C"/>
    <w:rsid w:val="00C93E1B"/>
    <w:rsid w:val="00C94D60"/>
    <w:rsid w:val="00C94E1C"/>
    <w:rsid w:val="00C95167"/>
    <w:rsid w:val="00C95694"/>
    <w:rsid w:val="00C9636E"/>
    <w:rsid w:val="00CA0A6B"/>
    <w:rsid w:val="00CA5CED"/>
    <w:rsid w:val="00CA6E5C"/>
    <w:rsid w:val="00CA76AB"/>
    <w:rsid w:val="00CA7A26"/>
    <w:rsid w:val="00CB1182"/>
    <w:rsid w:val="00CB1236"/>
    <w:rsid w:val="00CB1C6C"/>
    <w:rsid w:val="00CB214E"/>
    <w:rsid w:val="00CB2377"/>
    <w:rsid w:val="00CB27A1"/>
    <w:rsid w:val="00CB2B40"/>
    <w:rsid w:val="00CB38B9"/>
    <w:rsid w:val="00CB5F0C"/>
    <w:rsid w:val="00CB6A96"/>
    <w:rsid w:val="00CC1ED7"/>
    <w:rsid w:val="00CC3A53"/>
    <w:rsid w:val="00CC5568"/>
    <w:rsid w:val="00CC5F38"/>
    <w:rsid w:val="00CC6611"/>
    <w:rsid w:val="00CD0FA2"/>
    <w:rsid w:val="00CD3632"/>
    <w:rsid w:val="00CD6705"/>
    <w:rsid w:val="00CE0E91"/>
    <w:rsid w:val="00CE1146"/>
    <w:rsid w:val="00CE333F"/>
    <w:rsid w:val="00CE4056"/>
    <w:rsid w:val="00CE4365"/>
    <w:rsid w:val="00CE4A7F"/>
    <w:rsid w:val="00CE524F"/>
    <w:rsid w:val="00CE6F3A"/>
    <w:rsid w:val="00CE76DB"/>
    <w:rsid w:val="00CF2D7A"/>
    <w:rsid w:val="00D01A70"/>
    <w:rsid w:val="00D029C2"/>
    <w:rsid w:val="00D02FF8"/>
    <w:rsid w:val="00D032FE"/>
    <w:rsid w:val="00D03AE8"/>
    <w:rsid w:val="00D04615"/>
    <w:rsid w:val="00D057A8"/>
    <w:rsid w:val="00D07097"/>
    <w:rsid w:val="00D070A8"/>
    <w:rsid w:val="00D07EBA"/>
    <w:rsid w:val="00D1073B"/>
    <w:rsid w:val="00D11178"/>
    <w:rsid w:val="00D14905"/>
    <w:rsid w:val="00D17780"/>
    <w:rsid w:val="00D178C4"/>
    <w:rsid w:val="00D242E7"/>
    <w:rsid w:val="00D26283"/>
    <w:rsid w:val="00D2750E"/>
    <w:rsid w:val="00D325FE"/>
    <w:rsid w:val="00D44E08"/>
    <w:rsid w:val="00D45175"/>
    <w:rsid w:val="00D46C2D"/>
    <w:rsid w:val="00D50B30"/>
    <w:rsid w:val="00D5219F"/>
    <w:rsid w:val="00D53E42"/>
    <w:rsid w:val="00D55D73"/>
    <w:rsid w:val="00D605F6"/>
    <w:rsid w:val="00D63695"/>
    <w:rsid w:val="00D64A76"/>
    <w:rsid w:val="00D67F5E"/>
    <w:rsid w:val="00D71246"/>
    <w:rsid w:val="00D73044"/>
    <w:rsid w:val="00D76DE8"/>
    <w:rsid w:val="00D80B23"/>
    <w:rsid w:val="00D855A0"/>
    <w:rsid w:val="00D868BC"/>
    <w:rsid w:val="00D87FD1"/>
    <w:rsid w:val="00D9013E"/>
    <w:rsid w:val="00D91CD8"/>
    <w:rsid w:val="00D957AC"/>
    <w:rsid w:val="00D963F1"/>
    <w:rsid w:val="00D96E9D"/>
    <w:rsid w:val="00DA4C9D"/>
    <w:rsid w:val="00DA5B0B"/>
    <w:rsid w:val="00DA636D"/>
    <w:rsid w:val="00DB1825"/>
    <w:rsid w:val="00DB40E4"/>
    <w:rsid w:val="00DB6086"/>
    <w:rsid w:val="00DB6C17"/>
    <w:rsid w:val="00DC49CE"/>
    <w:rsid w:val="00DC5D53"/>
    <w:rsid w:val="00DD0753"/>
    <w:rsid w:val="00DD0EC4"/>
    <w:rsid w:val="00DD1DEF"/>
    <w:rsid w:val="00DD1E1A"/>
    <w:rsid w:val="00DD3174"/>
    <w:rsid w:val="00DD32B2"/>
    <w:rsid w:val="00DD42AE"/>
    <w:rsid w:val="00DD6BC2"/>
    <w:rsid w:val="00DD6C8F"/>
    <w:rsid w:val="00DD731B"/>
    <w:rsid w:val="00DD7DFD"/>
    <w:rsid w:val="00DD7FB7"/>
    <w:rsid w:val="00DE0C0E"/>
    <w:rsid w:val="00DE158A"/>
    <w:rsid w:val="00DE24E9"/>
    <w:rsid w:val="00DE4771"/>
    <w:rsid w:val="00DE4FAB"/>
    <w:rsid w:val="00DF0C9C"/>
    <w:rsid w:val="00DF0EF6"/>
    <w:rsid w:val="00DF2EE1"/>
    <w:rsid w:val="00DF31AC"/>
    <w:rsid w:val="00DF60D0"/>
    <w:rsid w:val="00DF6413"/>
    <w:rsid w:val="00DF7EBE"/>
    <w:rsid w:val="00E02C2D"/>
    <w:rsid w:val="00E04AEF"/>
    <w:rsid w:val="00E05A92"/>
    <w:rsid w:val="00E07C14"/>
    <w:rsid w:val="00E07FE4"/>
    <w:rsid w:val="00E108AB"/>
    <w:rsid w:val="00E10A77"/>
    <w:rsid w:val="00E10E57"/>
    <w:rsid w:val="00E110D1"/>
    <w:rsid w:val="00E128F3"/>
    <w:rsid w:val="00E131EA"/>
    <w:rsid w:val="00E1386A"/>
    <w:rsid w:val="00E14D94"/>
    <w:rsid w:val="00E14FDA"/>
    <w:rsid w:val="00E17042"/>
    <w:rsid w:val="00E20981"/>
    <w:rsid w:val="00E20BB7"/>
    <w:rsid w:val="00E21F3E"/>
    <w:rsid w:val="00E2321B"/>
    <w:rsid w:val="00E27DB5"/>
    <w:rsid w:val="00E30C7B"/>
    <w:rsid w:val="00E3213D"/>
    <w:rsid w:val="00E3241F"/>
    <w:rsid w:val="00E32DB5"/>
    <w:rsid w:val="00E337D5"/>
    <w:rsid w:val="00E33A9D"/>
    <w:rsid w:val="00E33CDA"/>
    <w:rsid w:val="00E33D24"/>
    <w:rsid w:val="00E34463"/>
    <w:rsid w:val="00E34F18"/>
    <w:rsid w:val="00E35FFA"/>
    <w:rsid w:val="00E4065C"/>
    <w:rsid w:val="00E40A92"/>
    <w:rsid w:val="00E42D13"/>
    <w:rsid w:val="00E44CD2"/>
    <w:rsid w:val="00E45737"/>
    <w:rsid w:val="00E46B9E"/>
    <w:rsid w:val="00E47057"/>
    <w:rsid w:val="00E508DF"/>
    <w:rsid w:val="00E50EEC"/>
    <w:rsid w:val="00E50F88"/>
    <w:rsid w:val="00E510E3"/>
    <w:rsid w:val="00E51764"/>
    <w:rsid w:val="00E53B42"/>
    <w:rsid w:val="00E53DB2"/>
    <w:rsid w:val="00E557E4"/>
    <w:rsid w:val="00E60166"/>
    <w:rsid w:val="00E60781"/>
    <w:rsid w:val="00E60A0F"/>
    <w:rsid w:val="00E60D96"/>
    <w:rsid w:val="00E61B60"/>
    <w:rsid w:val="00E61BBC"/>
    <w:rsid w:val="00E61C89"/>
    <w:rsid w:val="00E65185"/>
    <w:rsid w:val="00E6640D"/>
    <w:rsid w:val="00E6670C"/>
    <w:rsid w:val="00E67824"/>
    <w:rsid w:val="00E711A2"/>
    <w:rsid w:val="00E71563"/>
    <w:rsid w:val="00E7367F"/>
    <w:rsid w:val="00E75A85"/>
    <w:rsid w:val="00E76667"/>
    <w:rsid w:val="00E772EC"/>
    <w:rsid w:val="00E80CBA"/>
    <w:rsid w:val="00E81087"/>
    <w:rsid w:val="00E81A55"/>
    <w:rsid w:val="00E82232"/>
    <w:rsid w:val="00E8256B"/>
    <w:rsid w:val="00E8371C"/>
    <w:rsid w:val="00E847E5"/>
    <w:rsid w:val="00E84A74"/>
    <w:rsid w:val="00E85CA7"/>
    <w:rsid w:val="00E87E65"/>
    <w:rsid w:val="00E87ED4"/>
    <w:rsid w:val="00E910FF"/>
    <w:rsid w:val="00E931C1"/>
    <w:rsid w:val="00E95C3B"/>
    <w:rsid w:val="00E960D6"/>
    <w:rsid w:val="00E96954"/>
    <w:rsid w:val="00EA1337"/>
    <w:rsid w:val="00EA39F5"/>
    <w:rsid w:val="00EA65FD"/>
    <w:rsid w:val="00EA6B96"/>
    <w:rsid w:val="00EB22F0"/>
    <w:rsid w:val="00EB2452"/>
    <w:rsid w:val="00EB327C"/>
    <w:rsid w:val="00EB5B64"/>
    <w:rsid w:val="00EB6067"/>
    <w:rsid w:val="00EB6D76"/>
    <w:rsid w:val="00EC2D4A"/>
    <w:rsid w:val="00EC7729"/>
    <w:rsid w:val="00ED2D4F"/>
    <w:rsid w:val="00ED47C6"/>
    <w:rsid w:val="00ED4AA9"/>
    <w:rsid w:val="00ED4CAF"/>
    <w:rsid w:val="00ED5A0D"/>
    <w:rsid w:val="00ED677B"/>
    <w:rsid w:val="00ED745D"/>
    <w:rsid w:val="00ED7553"/>
    <w:rsid w:val="00EE1D47"/>
    <w:rsid w:val="00EE29E3"/>
    <w:rsid w:val="00EE3497"/>
    <w:rsid w:val="00EE3EF9"/>
    <w:rsid w:val="00EE5510"/>
    <w:rsid w:val="00EE612C"/>
    <w:rsid w:val="00EF287C"/>
    <w:rsid w:val="00EF394B"/>
    <w:rsid w:val="00EF42D0"/>
    <w:rsid w:val="00EF5A62"/>
    <w:rsid w:val="00EF664D"/>
    <w:rsid w:val="00F02D3C"/>
    <w:rsid w:val="00F03F3B"/>
    <w:rsid w:val="00F04BC9"/>
    <w:rsid w:val="00F0609D"/>
    <w:rsid w:val="00F0685E"/>
    <w:rsid w:val="00F06E98"/>
    <w:rsid w:val="00F072DA"/>
    <w:rsid w:val="00F075EC"/>
    <w:rsid w:val="00F125D3"/>
    <w:rsid w:val="00F126C8"/>
    <w:rsid w:val="00F1288A"/>
    <w:rsid w:val="00F13C5D"/>
    <w:rsid w:val="00F14D0D"/>
    <w:rsid w:val="00F15DF8"/>
    <w:rsid w:val="00F16368"/>
    <w:rsid w:val="00F25B61"/>
    <w:rsid w:val="00F2729A"/>
    <w:rsid w:val="00F27E56"/>
    <w:rsid w:val="00F31ECC"/>
    <w:rsid w:val="00F31F7E"/>
    <w:rsid w:val="00F32A96"/>
    <w:rsid w:val="00F32C53"/>
    <w:rsid w:val="00F333A7"/>
    <w:rsid w:val="00F33A00"/>
    <w:rsid w:val="00F35D08"/>
    <w:rsid w:val="00F400F8"/>
    <w:rsid w:val="00F41B55"/>
    <w:rsid w:val="00F44A3B"/>
    <w:rsid w:val="00F452D2"/>
    <w:rsid w:val="00F469BB"/>
    <w:rsid w:val="00F47E01"/>
    <w:rsid w:val="00F5042E"/>
    <w:rsid w:val="00F55522"/>
    <w:rsid w:val="00F6212D"/>
    <w:rsid w:val="00F62C69"/>
    <w:rsid w:val="00F62EBA"/>
    <w:rsid w:val="00F70ACA"/>
    <w:rsid w:val="00F7216E"/>
    <w:rsid w:val="00F72D25"/>
    <w:rsid w:val="00F73C69"/>
    <w:rsid w:val="00F73F7E"/>
    <w:rsid w:val="00F740AD"/>
    <w:rsid w:val="00F7459D"/>
    <w:rsid w:val="00F75F36"/>
    <w:rsid w:val="00F76107"/>
    <w:rsid w:val="00F76627"/>
    <w:rsid w:val="00F778D3"/>
    <w:rsid w:val="00F80103"/>
    <w:rsid w:val="00F8285A"/>
    <w:rsid w:val="00F828E7"/>
    <w:rsid w:val="00F834F6"/>
    <w:rsid w:val="00F8678F"/>
    <w:rsid w:val="00F86A25"/>
    <w:rsid w:val="00F876D9"/>
    <w:rsid w:val="00F928E9"/>
    <w:rsid w:val="00F92993"/>
    <w:rsid w:val="00F94810"/>
    <w:rsid w:val="00F95411"/>
    <w:rsid w:val="00F95CEB"/>
    <w:rsid w:val="00F964F4"/>
    <w:rsid w:val="00F96509"/>
    <w:rsid w:val="00F96D3A"/>
    <w:rsid w:val="00F96D92"/>
    <w:rsid w:val="00FA15B7"/>
    <w:rsid w:val="00FA1619"/>
    <w:rsid w:val="00FA25BA"/>
    <w:rsid w:val="00FA508F"/>
    <w:rsid w:val="00FA567A"/>
    <w:rsid w:val="00FA593C"/>
    <w:rsid w:val="00FB09DB"/>
    <w:rsid w:val="00FB0A96"/>
    <w:rsid w:val="00FB0F08"/>
    <w:rsid w:val="00FB19CA"/>
    <w:rsid w:val="00FB4188"/>
    <w:rsid w:val="00FC120B"/>
    <w:rsid w:val="00FC1F7B"/>
    <w:rsid w:val="00FC54B9"/>
    <w:rsid w:val="00FD1183"/>
    <w:rsid w:val="00FD1DB6"/>
    <w:rsid w:val="00FD55F9"/>
    <w:rsid w:val="00FD6020"/>
    <w:rsid w:val="00FD62CD"/>
    <w:rsid w:val="00FE1AA4"/>
    <w:rsid w:val="00FE2556"/>
    <w:rsid w:val="00FE3D0E"/>
    <w:rsid w:val="00FE63AE"/>
    <w:rsid w:val="00FE7564"/>
    <w:rsid w:val="00FE7709"/>
    <w:rsid w:val="00FF04D6"/>
    <w:rsid w:val="00FF2558"/>
    <w:rsid w:val="00FF3B69"/>
    <w:rsid w:val="00FF46FB"/>
    <w:rsid w:val="00FF510D"/>
    <w:rsid w:val="00FF52D2"/>
    <w:rsid w:val="00FF5604"/>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5:docId w15:val="{6B25A2B3-85F6-409A-83D1-3E707D4A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A9"/>
    <w:rPr>
      <w:sz w:val="24"/>
      <w:szCs w:val="24"/>
    </w:rPr>
  </w:style>
  <w:style w:type="paragraph" w:styleId="Heading1">
    <w:name w:val="heading 1"/>
    <w:basedOn w:val="Normal"/>
    <w:next w:val="Normal"/>
    <w:link w:val="Heading1Char"/>
    <w:uiPriority w:val="9"/>
    <w:qFormat/>
    <w:rsid w:val="00C049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3F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uiPriority w:val="99"/>
    <w:rsid w:val="00A00CF8"/>
    <w:rPr>
      <w:sz w:val="16"/>
      <w:szCs w:val="16"/>
    </w:rPr>
  </w:style>
  <w:style w:type="paragraph" w:styleId="CommentText">
    <w:name w:val="annotation text"/>
    <w:basedOn w:val="Normal"/>
    <w:link w:val="CommentTextChar"/>
    <w:uiPriority w:val="99"/>
    <w:rsid w:val="00A00CF8"/>
    <w:rPr>
      <w:sz w:val="20"/>
      <w:szCs w:val="20"/>
    </w:rPr>
  </w:style>
  <w:style w:type="paragraph" w:styleId="CommentSubject">
    <w:name w:val="annotation subject"/>
    <w:basedOn w:val="CommentText"/>
    <w:next w:val="CommentText"/>
    <w:link w:val="CommentSubjectChar"/>
    <w:uiPriority w:val="99"/>
    <w:semiHidden/>
    <w:rsid w:val="00A00CF8"/>
    <w:rPr>
      <w:b/>
      <w:bCs/>
    </w:rPr>
  </w:style>
  <w:style w:type="character" w:styleId="Strong">
    <w:name w:val="Strong"/>
    <w:uiPriority w:val="22"/>
    <w:qFormat/>
    <w:rsid w:val="00254EB8"/>
    <w:rPr>
      <w:b/>
      <w:bCs/>
    </w:rPr>
  </w:style>
  <w:style w:type="character" w:styleId="Emphasis">
    <w:name w:val="Emphasis"/>
    <w:uiPriority w:val="20"/>
    <w:qFormat/>
    <w:rsid w:val="00F73C69"/>
    <w:rPr>
      <w:i/>
      <w:iCs/>
    </w:rPr>
  </w:style>
  <w:style w:type="character" w:customStyle="1" w:styleId="ParagraphChar">
    <w:name w:val="Paragraph Char"/>
    <w:link w:val="Paragraph"/>
    <w:locked/>
    <w:rsid w:val="0071302D"/>
    <w:rPr>
      <w:rFonts w:ascii="Arial" w:hAnsi="Arial" w:cs="Arial"/>
      <w:lang w:val="en-GB" w:eastAsia="fr-FR"/>
    </w:rPr>
  </w:style>
  <w:style w:type="paragraph" w:customStyle="1" w:styleId="Paragraph">
    <w:name w:val="Paragraph"/>
    <w:basedOn w:val="Normal"/>
    <w:link w:val="ParagraphChar"/>
    <w:rsid w:val="0071302D"/>
    <w:pPr>
      <w:spacing w:before="120" w:after="120"/>
      <w:ind w:left="1418" w:hanging="1418"/>
      <w:jc w:val="both"/>
    </w:pPr>
    <w:rPr>
      <w:rFonts w:ascii="Arial" w:hAnsi="Arial"/>
      <w:sz w:val="20"/>
      <w:szCs w:val="20"/>
      <w:lang w:val="en-GB" w:eastAsia="fr-FR"/>
    </w:rPr>
  </w:style>
  <w:style w:type="paragraph" w:customStyle="1" w:styleId="tvhtml">
    <w:name w:val="tv_html"/>
    <w:basedOn w:val="Normal"/>
    <w:rsid w:val="004C4BCE"/>
    <w:pPr>
      <w:spacing w:before="100" w:beforeAutospacing="1" w:after="100" w:afterAutospacing="1"/>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B17C08"/>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B17C08"/>
    <w:rPr>
      <w:lang w:eastAsia="en-US"/>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link w:val="CharCharCharChar"/>
    <w:uiPriority w:val="99"/>
    <w:rsid w:val="00B17C08"/>
    <w:rPr>
      <w:rFonts w:ascii="Times New Roman" w:hAnsi="Times New Roman"/>
      <w:vertAlign w:val="superscript"/>
    </w:rPr>
  </w:style>
  <w:style w:type="paragraph" w:styleId="ListParagraph">
    <w:name w:val="List Paragraph"/>
    <w:aliases w:val="H&amp;P List Paragraph,2,Strip,Colorful List - Accent 12"/>
    <w:basedOn w:val="Normal"/>
    <w:link w:val="ListParagraphChar"/>
    <w:uiPriority w:val="34"/>
    <w:qFormat/>
    <w:rsid w:val="00B17C08"/>
    <w:pPr>
      <w:ind w:left="720"/>
      <w:contextualSpacing/>
      <w:jc w:val="both"/>
    </w:pPr>
    <w:rPr>
      <w:szCs w:val="20"/>
      <w:lang w:eastAsia="en-US"/>
    </w:rPr>
  </w:style>
  <w:style w:type="character" w:customStyle="1" w:styleId="ListParagraphChar">
    <w:name w:val="List Paragraph Char"/>
    <w:aliases w:val="H&amp;P List Paragraph Char,2 Char,Strip Char,Colorful List - Accent 12 Char"/>
    <w:link w:val="ListParagraph"/>
    <w:uiPriority w:val="34"/>
    <w:qFormat/>
    <w:locked/>
    <w:rsid w:val="00B17C08"/>
    <w:rPr>
      <w:sz w:val="24"/>
      <w:lang w:eastAsia="en-US"/>
    </w:rPr>
  </w:style>
  <w:style w:type="paragraph" w:customStyle="1" w:styleId="Default">
    <w:name w:val="Default"/>
    <w:rsid w:val="00B17C08"/>
    <w:pPr>
      <w:autoSpaceDE w:val="0"/>
      <w:autoSpaceDN w:val="0"/>
      <w:adjustRightInd w:val="0"/>
    </w:pPr>
    <w:rPr>
      <w:rFonts w:eastAsia="Calibri"/>
      <w:color w:val="000000"/>
      <w:sz w:val="24"/>
      <w:szCs w:val="24"/>
      <w:lang w:eastAsia="en-US"/>
    </w:rPr>
  </w:style>
  <w:style w:type="character" w:customStyle="1" w:styleId="CommentSubjectChar">
    <w:name w:val="Comment Subject Char"/>
    <w:link w:val="CommentSubject"/>
    <w:uiPriority w:val="99"/>
    <w:semiHidden/>
    <w:rsid w:val="00474D3C"/>
    <w:rPr>
      <w:b/>
      <w:bCs/>
    </w:rPr>
  </w:style>
  <w:style w:type="paragraph" w:customStyle="1" w:styleId="CharCharCharChar">
    <w:name w:val="Char Char Char Char"/>
    <w:aliases w:val="Char2"/>
    <w:basedOn w:val="Normal"/>
    <w:next w:val="Normal"/>
    <w:link w:val="FootnoteReference"/>
    <w:uiPriority w:val="99"/>
    <w:rsid w:val="00474D3C"/>
    <w:pPr>
      <w:spacing w:after="160" w:line="240" w:lineRule="exact"/>
      <w:jc w:val="both"/>
      <w:textAlignment w:val="baseline"/>
    </w:pPr>
    <w:rPr>
      <w:sz w:val="20"/>
      <w:szCs w:val="20"/>
      <w:vertAlign w:val="superscript"/>
    </w:rPr>
  </w:style>
  <w:style w:type="paragraph" w:customStyle="1" w:styleId="H2">
    <w:name w:val="H2"/>
    <w:basedOn w:val="Heading2"/>
    <w:qFormat/>
    <w:rsid w:val="00503FA0"/>
    <w:pPr>
      <w:keepLines w:val="0"/>
      <w:spacing w:before="480" w:after="240"/>
      <w:ind w:left="284" w:right="-29"/>
      <w:jc w:val="center"/>
    </w:pPr>
    <w:rPr>
      <w:rFonts w:ascii="Cambria" w:eastAsia="Times New Roman" w:hAnsi="Cambria" w:cs="Times New Roman"/>
      <w:iCs/>
      <w:color w:val="auto"/>
      <w:sz w:val="28"/>
      <w:szCs w:val="28"/>
    </w:rPr>
  </w:style>
  <w:style w:type="character" w:customStyle="1" w:styleId="Heading2Char">
    <w:name w:val="Heading 2 Char"/>
    <w:basedOn w:val="DefaultParagraphFont"/>
    <w:link w:val="Heading2"/>
    <w:uiPriority w:val="9"/>
    <w:semiHidden/>
    <w:rsid w:val="00503FA0"/>
    <w:rPr>
      <w:rFonts w:asciiTheme="majorHAnsi" w:eastAsiaTheme="majorEastAsia" w:hAnsiTheme="majorHAnsi" w:cstheme="majorBidi"/>
      <w:b/>
      <w:bCs/>
      <w:color w:val="4F81BD" w:themeColor="accent1"/>
      <w:sz w:val="26"/>
      <w:szCs w:val="26"/>
    </w:rPr>
  </w:style>
  <w:style w:type="paragraph" w:customStyle="1" w:styleId="tv213">
    <w:name w:val="tv213"/>
    <w:basedOn w:val="Normal"/>
    <w:rsid w:val="00782A57"/>
    <w:pPr>
      <w:spacing w:before="100" w:beforeAutospacing="1" w:after="100" w:afterAutospacing="1"/>
    </w:pPr>
  </w:style>
  <w:style w:type="character" w:customStyle="1" w:styleId="HeaderChar">
    <w:name w:val="Header Char"/>
    <w:basedOn w:val="DefaultParagraphFont"/>
    <w:link w:val="Header"/>
    <w:uiPriority w:val="99"/>
    <w:rsid w:val="00782A57"/>
    <w:rPr>
      <w:sz w:val="24"/>
      <w:szCs w:val="24"/>
    </w:rPr>
  </w:style>
  <w:style w:type="character" w:customStyle="1" w:styleId="CommentTextChar">
    <w:name w:val="Comment Text Char"/>
    <w:basedOn w:val="DefaultParagraphFont"/>
    <w:link w:val="CommentText"/>
    <w:uiPriority w:val="99"/>
    <w:rsid w:val="000875FE"/>
  </w:style>
  <w:style w:type="character" w:customStyle="1" w:styleId="c5">
    <w:name w:val="c5"/>
    <w:basedOn w:val="DefaultParagraphFont"/>
    <w:rsid w:val="00313BE8"/>
  </w:style>
  <w:style w:type="character" w:styleId="FollowedHyperlink">
    <w:name w:val="FollowedHyperlink"/>
    <w:basedOn w:val="DefaultParagraphFont"/>
    <w:uiPriority w:val="99"/>
    <w:semiHidden/>
    <w:unhideWhenUsed/>
    <w:rsid w:val="00D04615"/>
    <w:rPr>
      <w:color w:val="800080" w:themeColor="followedHyperlink"/>
      <w:u w:val="single"/>
    </w:rPr>
  </w:style>
  <w:style w:type="paragraph" w:styleId="Revision">
    <w:name w:val="Revision"/>
    <w:hidden/>
    <w:uiPriority w:val="99"/>
    <w:semiHidden/>
    <w:rsid w:val="00B078F4"/>
    <w:rPr>
      <w:sz w:val="24"/>
      <w:szCs w:val="24"/>
    </w:rPr>
  </w:style>
  <w:style w:type="paragraph" w:customStyle="1" w:styleId="Normal1">
    <w:name w:val="Normal1"/>
    <w:rsid w:val="006C6038"/>
    <w:rPr>
      <w:rFonts w:ascii="Calibri" w:hAnsi="Calibri" w:cs="Calibri"/>
      <w:color w:val="000000"/>
      <w:sz w:val="22"/>
      <w:szCs w:val="22"/>
    </w:rPr>
  </w:style>
  <w:style w:type="character" w:customStyle="1" w:styleId="st">
    <w:name w:val="st"/>
    <w:rsid w:val="003B11DD"/>
  </w:style>
  <w:style w:type="paragraph" w:styleId="BodyText">
    <w:name w:val="Body Text"/>
    <w:basedOn w:val="Normal"/>
    <w:link w:val="BodyTextChar"/>
    <w:unhideWhenUsed/>
    <w:rsid w:val="00D9013E"/>
    <w:pPr>
      <w:spacing w:after="120"/>
      <w:jc w:val="both"/>
    </w:pPr>
    <w:rPr>
      <w:szCs w:val="20"/>
      <w:lang w:eastAsia="en-US"/>
    </w:rPr>
  </w:style>
  <w:style w:type="character" w:customStyle="1" w:styleId="BodyTextChar">
    <w:name w:val="Body Text Char"/>
    <w:basedOn w:val="DefaultParagraphFont"/>
    <w:link w:val="BodyText"/>
    <w:rsid w:val="00D9013E"/>
    <w:rPr>
      <w:sz w:val="24"/>
      <w:lang w:eastAsia="en-US"/>
    </w:rPr>
  </w:style>
  <w:style w:type="paragraph" w:styleId="NoSpacing">
    <w:name w:val="No Spacing"/>
    <w:uiPriority w:val="1"/>
    <w:qFormat/>
    <w:rsid w:val="00C349CD"/>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C049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64676">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13433474">
      <w:bodyDiv w:val="1"/>
      <w:marLeft w:val="0"/>
      <w:marRight w:val="0"/>
      <w:marTop w:val="0"/>
      <w:marBottom w:val="0"/>
      <w:divBdr>
        <w:top w:val="none" w:sz="0" w:space="0" w:color="auto"/>
        <w:left w:val="none" w:sz="0" w:space="0" w:color="auto"/>
        <w:bottom w:val="none" w:sz="0" w:space="0" w:color="auto"/>
        <w:right w:val="none" w:sz="0" w:space="0" w:color="auto"/>
      </w:divBdr>
    </w:div>
    <w:div w:id="748649599">
      <w:bodyDiv w:val="1"/>
      <w:marLeft w:val="0"/>
      <w:marRight w:val="0"/>
      <w:marTop w:val="0"/>
      <w:marBottom w:val="0"/>
      <w:divBdr>
        <w:top w:val="none" w:sz="0" w:space="0" w:color="auto"/>
        <w:left w:val="none" w:sz="0" w:space="0" w:color="auto"/>
        <w:bottom w:val="none" w:sz="0" w:space="0" w:color="auto"/>
        <w:right w:val="none" w:sz="0" w:space="0" w:color="auto"/>
      </w:divBdr>
    </w:div>
    <w:div w:id="762189627">
      <w:bodyDiv w:val="1"/>
      <w:marLeft w:val="0"/>
      <w:marRight w:val="0"/>
      <w:marTop w:val="0"/>
      <w:marBottom w:val="0"/>
      <w:divBdr>
        <w:top w:val="none" w:sz="0" w:space="0" w:color="auto"/>
        <w:left w:val="none" w:sz="0" w:space="0" w:color="auto"/>
        <w:bottom w:val="none" w:sz="0" w:space="0" w:color="auto"/>
        <w:right w:val="none" w:sz="0" w:space="0" w:color="auto"/>
      </w:divBdr>
    </w:div>
    <w:div w:id="1047145661">
      <w:bodyDiv w:val="1"/>
      <w:marLeft w:val="0"/>
      <w:marRight w:val="0"/>
      <w:marTop w:val="0"/>
      <w:marBottom w:val="0"/>
      <w:divBdr>
        <w:top w:val="none" w:sz="0" w:space="0" w:color="auto"/>
        <w:left w:val="none" w:sz="0" w:space="0" w:color="auto"/>
        <w:bottom w:val="none" w:sz="0" w:space="0" w:color="auto"/>
        <w:right w:val="none" w:sz="0" w:space="0" w:color="auto"/>
      </w:divBdr>
    </w:div>
    <w:div w:id="1056734305">
      <w:bodyDiv w:val="1"/>
      <w:marLeft w:val="0"/>
      <w:marRight w:val="0"/>
      <w:marTop w:val="0"/>
      <w:marBottom w:val="0"/>
      <w:divBdr>
        <w:top w:val="none" w:sz="0" w:space="0" w:color="auto"/>
        <w:left w:val="none" w:sz="0" w:space="0" w:color="auto"/>
        <w:bottom w:val="none" w:sz="0" w:space="0" w:color="auto"/>
        <w:right w:val="none" w:sz="0" w:space="0" w:color="auto"/>
      </w:divBdr>
    </w:div>
    <w:div w:id="1225530915">
      <w:bodyDiv w:val="1"/>
      <w:marLeft w:val="0"/>
      <w:marRight w:val="0"/>
      <w:marTop w:val="0"/>
      <w:marBottom w:val="0"/>
      <w:divBdr>
        <w:top w:val="none" w:sz="0" w:space="0" w:color="auto"/>
        <w:left w:val="none" w:sz="0" w:space="0" w:color="auto"/>
        <w:bottom w:val="none" w:sz="0" w:space="0" w:color="auto"/>
        <w:right w:val="none" w:sz="0" w:space="0" w:color="auto"/>
      </w:divBdr>
    </w:div>
    <w:div w:id="1264386401">
      <w:bodyDiv w:val="1"/>
      <w:marLeft w:val="0"/>
      <w:marRight w:val="0"/>
      <w:marTop w:val="0"/>
      <w:marBottom w:val="0"/>
      <w:divBdr>
        <w:top w:val="none" w:sz="0" w:space="0" w:color="auto"/>
        <w:left w:val="none" w:sz="0" w:space="0" w:color="auto"/>
        <w:bottom w:val="none" w:sz="0" w:space="0" w:color="auto"/>
        <w:right w:val="none" w:sz="0" w:space="0" w:color="auto"/>
      </w:divBdr>
    </w:div>
    <w:div w:id="1543596905">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9238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statistikas-temas/darba-samaksa-galvenie-raditaji-30270.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41B57-76A3-499B-9F95-E0DE0383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4260</Words>
  <Characters>30558</Characters>
  <Application>Microsoft Office Word</Application>
  <DocSecurity>0</DocSecurity>
  <Lines>254</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Darbības programmas „Izaugsme un nodarbinātība” 8.1.1. specifiskā atbalsta mērķa „Palielināt modernizēto STEM, tajā skaitā medicīnas un radošas industrijas, studiju programmu skaitu" īstenošanas noteikumi</vt:lpstr>
      <vt:lpstr>Ministru kabineta noteikumu projekts "Dzelzceļa tehniskās ekspluatācijas noteikumi"</vt:lpstr>
    </vt:vector>
  </TitlesOfParts>
  <Company>IZM</Company>
  <LinksUpToDate>false</LinksUpToDate>
  <CharactersWithSpaces>34749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8.1.1. specifiskā atbalsta mērķa „Palielināt modernizēto STEM, tajā skaitā medicīnas un radošas industrijas, studiju programmu skaitu" īstenošanas noteikumi</dc:title>
  <dc:subject>Anotācija</dc:subject>
  <dc:creator>V.Abizāre - Vagre</dc:creator>
  <cp:keywords>IZM</cp:keywords>
  <dc:description/>
  <cp:lastModifiedBy>Vēsma Abizāre-Vagre</cp:lastModifiedBy>
  <cp:revision>13</cp:revision>
  <cp:lastPrinted>2016-08-10T06:24:00Z</cp:lastPrinted>
  <dcterms:created xsi:type="dcterms:W3CDTF">2016-08-11T07:07:00Z</dcterms:created>
  <dcterms:modified xsi:type="dcterms:W3CDTF">2016-08-11T13:08:00Z</dcterms:modified>
</cp:coreProperties>
</file>