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AE06" w14:textId="79B91B61" w:rsidR="007C5781" w:rsidRPr="00683D55" w:rsidRDefault="00C05444" w:rsidP="00683D55">
      <w:pPr>
        <w:spacing w:after="0" w:line="240" w:lineRule="auto"/>
        <w:ind w:firstLine="720"/>
        <w:jc w:val="center"/>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r w:rsidRPr="00683D55">
        <w:rPr>
          <w:rFonts w:ascii="Times New Roman" w:eastAsia="Times New Roman" w:hAnsi="Times New Roman"/>
          <w:b/>
          <w:bCs/>
          <w:sz w:val="26"/>
          <w:szCs w:val="26"/>
          <w:lang w:eastAsia="lv-LV"/>
        </w:rPr>
        <w:t xml:space="preserve">Ministru kabineta noteikumu projekta </w:t>
      </w:r>
      <w:r w:rsidR="00E21B52" w:rsidRPr="00683D55">
        <w:rPr>
          <w:rFonts w:ascii="Times New Roman" w:hAnsi="Times New Roman"/>
          <w:b/>
          <w:sz w:val="26"/>
          <w:szCs w:val="26"/>
        </w:rPr>
        <w:t>„</w:t>
      </w:r>
      <w:bookmarkEnd w:id="0"/>
      <w:bookmarkEnd w:id="1"/>
      <w:r w:rsidR="00683D55" w:rsidRPr="00683D55">
        <w:rPr>
          <w:rFonts w:ascii="Times New Roman" w:hAnsi="Times New Roman"/>
          <w:b/>
          <w:sz w:val="26"/>
          <w:szCs w:val="26"/>
        </w:rPr>
        <w:t>Informācijas apmaiņas un uzraudzības kārtība Iekšējā tirgus informācijas sistēmas ietvaros, informācijas apmaiņā iesaistīto iestāžu atbildība un Eiropas profesionālās kartes izdošanas un anulēšanas kārtība</w:t>
      </w:r>
      <w:r w:rsidR="00F30FEF" w:rsidRPr="00683D55">
        <w:rPr>
          <w:rFonts w:ascii="Times New Roman" w:hAnsi="Times New Roman"/>
          <w:b/>
          <w:sz w:val="26"/>
          <w:szCs w:val="26"/>
        </w:rPr>
        <w:t>””</w:t>
      </w:r>
      <w:r w:rsidRPr="00683D55">
        <w:rPr>
          <w:rFonts w:ascii="Times New Roman" w:hAnsi="Times New Roman"/>
          <w:b/>
          <w:sz w:val="26"/>
          <w:szCs w:val="26"/>
        </w:rPr>
        <w:t xml:space="preserve"> sākotnējās ietekmes novērtējuma ziņojums (anotācija)</w:t>
      </w:r>
      <w:bookmarkEnd w:id="2"/>
      <w:bookmarkEnd w:id="3"/>
    </w:p>
    <w:p w14:paraId="527F531C" w14:textId="77777777" w:rsidR="005C42B1" w:rsidRPr="00823CB3" w:rsidRDefault="005C42B1" w:rsidP="005C42B1">
      <w:pPr>
        <w:spacing w:after="0" w:line="240" w:lineRule="auto"/>
        <w:jc w:val="center"/>
        <w:outlineLvl w:val="3"/>
        <w:rPr>
          <w:rFonts w:ascii="Times New Roman" w:eastAsia="Times New Roman" w:hAnsi="Times New Roman"/>
          <w:b/>
          <w:bCs/>
          <w:sz w:val="26"/>
          <w:szCs w:val="26"/>
          <w:lang w:eastAsia="lv-LV"/>
        </w:rPr>
      </w:pPr>
    </w:p>
    <w:tbl>
      <w:tblPr>
        <w:tblW w:w="470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9"/>
        <w:gridCol w:w="1554"/>
        <w:gridCol w:w="6818"/>
      </w:tblGrid>
      <w:tr w:rsidR="00812271" w:rsidRPr="00823CB3" w14:paraId="2E5C4833" w14:textId="77777777" w:rsidTr="00746D7A">
        <w:trPr>
          <w:tblCellSpacing w:w="15" w:type="dxa"/>
        </w:trPr>
        <w:tc>
          <w:tcPr>
            <w:tcW w:w="4966" w:type="pct"/>
            <w:gridSpan w:val="3"/>
            <w:tcBorders>
              <w:top w:val="single" w:sz="6" w:space="0" w:color="auto"/>
              <w:left w:val="single" w:sz="6" w:space="0" w:color="auto"/>
              <w:bottom w:val="outset" w:sz="6" w:space="0" w:color="auto"/>
              <w:right w:val="single" w:sz="6" w:space="0" w:color="auto"/>
            </w:tcBorders>
            <w:vAlign w:val="center"/>
            <w:hideMark/>
          </w:tcPr>
          <w:p w14:paraId="79A4479D" w14:textId="77777777" w:rsidR="00392D00" w:rsidRPr="00823CB3" w:rsidRDefault="00392D00" w:rsidP="005C42B1">
            <w:pPr>
              <w:spacing w:after="0" w:line="240" w:lineRule="auto"/>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I. Tiesību akta projekta izstrādes nepieciešamība</w:t>
            </w:r>
          </w:p>
        </w:tc>
      </w:tr>
      <w:tr w:rsidR="00812271" w:rsidRPr="00823CB3" w14:paraId="48059241" w14:textId="77777777" w:rsidTr="00FB7C51">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254A913D" w14:textId="77777777" w:rsidR="00392D00" w:rsidRPr="00823CB3" w:rsidRDefault="00392D00"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874" w:type="pct"/>
            <w:tcBorders>
              <w:top w:val="outset" w:sz="6" w:space="0" w:color="auto"/>
              <w:left w:val="outset" w:sz="6" w:space="0" w:color="auto"/>
              <w:bottom w:val="outset" w:sz="6" w:space="0" w:color="auto"/>
              <w:right w:val="outset" w:sz="6" w:space="0" w:color="auto"/>
            </w:tcBorders>
            <w:hideMark/>
          </w:tcPr>
          <w:p w14:paraId="38B29A4A" w14:textId="77777777" w:rsidR="00392D00" w:rsidRPr="00823CB3" w:rsidRDefault="00392D00"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Pamatojums</w:t>
            </w:r>
          </w:p>
        </w:tc>
        <w:tc>
          <w:tcPr>
            <w:tcW w:w="3849" w:type="pct"/>
            <w:tcBorders>
              <w:top w:val="outset" w:sz="6" w:space="0" w:color="auto"/>
              <w:left w:val="outset" w:sz="6" w:space="0" w:color="auto"/>
              <w:bottom w:val="outset" w:sz="6" w:space="0" w:color="auto"/>
              <w:right w:val="outset" w:sz="6" w:space="0" w:color="auto"/>
            </w:tcBorders>
            <w:hideMark/>
          </w:tcPr>
          <w:p w14:paraId="6DE2C0A4" w14:textId="37DB4E90" w:rsidR="009403B2" w:rsidRPr="005949A8" w:rsidRDefault="00EC772C" w:rsidP="00A503F4">
            <w:pPr>
              <w:spacing w:after="0" w:line="240" w:lineRule="auto"/>
              <w:jc w:val="both"/>
              <w:rPr>
                <w:rFonts w:ascii="Times New Roman" w:hAnsi="Times New Roman"/>
                <w:sz w:val="26"/>
                <w:szCs w:val="26"/>
              </w:rPr>
            </w:pPr>
            <w:r w:rsidRPr="005949A8">
              <w:rPr>
                <w:rFonts w:ascii="Times New Roman" w:hAnsi="Times New Roman"/>
                <w:sz w:val="26"/>
                <w:szCs w:val="26"/>
              </w:rPr>
              <w:t xml:space="preserve">   </w:t>
            </w:r>
            <w:r w:rsidR="009403B2" w:rsidRPr="00BD40BC">
              <w:rPr>
                <w:rFonts w:ascii="Times New Roman" w:hAnsi="Times New Roman"/>
                <w:sz w:val="26"/>
                <w:szCs w:val="26"/>
              </w:rPr>
              <w:t>Minist</w:t>
            </w:r>
            <w:r w:rsidR="00E21B52" w:rsidRPr="00BD40BC">
              <w:rPr>
                <w:rFonts w:ascii="Times New Roman" w:hAnsi="Times New Roman"/>
                <w:sz w:val="26"/>
                <w:szCs w:val="26"/>
              </w:rPr>
              <w:t>ru kabineta noteikumu projekts „</w:t>
            </w:r>
            <w:r w:rsidR="00BD40BC" w:rsidRPr="00BD40BC">
              <w:rPr>
                <w:rFonts w:ascii="Times New Roman" w:hAnsi="Times New Roman"/>
                <w:sz w:val="26"/>
                <w:szCs w:val="26"/>
              </w:rPr>
              <w:t>Informācijas apmaiņas un uzraudzības kārtība Iekšējā tirgus informācijas sistēmas ietvaros, informācijas apmaiņā iesaistīto iestāžu atbildība un Eiropas profesionālās kartes izdošanas un anulēšanas kārtība</w:t>
            </w:r>
            <w:r w:rsidR="009403B2" w:rsidRPr="00BD40BC">
              <w:rPr>
                <w:rFonts w:ascii="Times New Roman" w:hAnsi="Times New Roman"/>
                <w:sz w:val="26"/>
                <w:szCs w:val="26"/>
              </w:rPr>
              <w:t xml:space="preserve">” </w:t>
            </w:r>
            <w:r w:rsidRPr="00BD40BC">
              <w:rPr>
                <w:rFonts w:ascii="Times New Roman" w:hAnsi="Times New Roman"/>
                <w:sz w:val="26"/>
                <w:szCs w:val="26"/>
              </w:rPr>
              <w:t xml:space="preserve"> </w:t>
            </w:r>
            <w:r w:rsidR="009403B2" w:rsidRPr="00BD40BC">
              <w:rPr>
                <w:rFonts w:ascii="Times New Roman" w:hAnsi="Times New Roman"/>
                <w:sz w:val="26"/>
                <w:szCs w:val="26"/>
              </w:rPr>
              <w:t>(turpmāk</w:t>
            </w:r>
            <w:r w:rsidR="009403B2" w:rsidRPr="005949A8">
              <w:rPr>
                <w:rFonts w:ascii="Times New Roman" w:hAnsi="Times New Roman"/>
                <w:sz w:val="26"/>
                <w:szCs w:val="26"/>
              </w:rPr>
              <w:t xml:space="preserve"> – projekts)</w:t>
            </w:r>
            <w:r w:rsidR="009403B2" w:rsidRPr="005949A8">
              <w:rPr>
                <w:rFonts w:ascii="Times New Roman" w:hAnsi="Times New Roman"/>
              </w:rPr>
              <w:t xml:space="preserve"> </w:t>
            </w:r>
            <w:r w:rsidR="009403B2" w:rsidRPr="005949A8">
              <w:rPr>
                <w:rFonts w:ascii="Times New Roman" w:hAnsi="Times New Roman"/>
                <w:sz w:val="26"/>
                <w:szCs w:val="26"/>
              </w:rPr>
              <w:t xml:space="preserve">izstrādāts, pamatojoties uz: </w:t>
            </w:r>
            <w:r w:rsidRPr="005949A8">
              <w:rPr>
                <w:rFonts w:ascii="Times New Roman" w:hAnsi="Times New Roman"/>
                <w:sz w:val="26"/>
                <w:szCs w:val="26"/>
              </w:rPr>
              <w:t xml:space="preserve"> </w:t>
            </w:r>
          </w:p>
          <w:p w14:paraId="02940938" w14:textId="7812CD57" w:rsidR="009403B2" w:rsidRPr="005949A8" w:rsidRDefault="00667151" w:rsidP="005949A8">
            <w:pPr>
              <w:pStyle w:val="ListParagraph"/>
              <w:numPr>
                <w:ilvl w:val="0"/>
                <w:numId w:val="9"/>
              </w:numPr>
              <w:spacing w:after="0" w:line="240" w:lineRule="auto"/>
              <w:jc w:val="both"/>
              <w:rPr>
                <w:rFonts w:ascii="Times New Roman" w:hAnsi="Times New Roman"/>
                <w:sz w:val="26"/>
                <w:szCs w:val="26"/>
              </w:rPr>
            </w:pPr>
            <w:r w:rsidRPr="005949A8">
              <w:rPr>
                <w:rFonts w:ascii="Times New Roman" w:hAnsi="Times New Roman"/>
                <w:sz w:val="26"/>
                <w:szCs w:val="26"/>
              </w:rPr>
              <w:t>L</w:t>
            </w:r>
            <w:r w:rsidR="00E21B52">
              <w:rPr>
                <w:rFonts w:ascii="Times New Roman" w:hAnsi="Times New Roman"/>
                <w:sz w:val="26"/>
                <w:szCs w:val="26"/>
              </w:rPr>
              <w:t xml:space="preserve">ikuma </w:t>
            </w:r>
            <w:r w:rsidR="00E21B52">
              <w:rPr>
                <w:rFonts w:ascii="Times New Roman" w:hAnsi="Times New Roman"/>
                <w:sz w:val="26"/>
                <w:szCs w:val="26"/>
                <w:lang w:val="lv-LV"/>
              </w:rPr>
              <w:t>„</w:t>
            </w:r>
            <w:r w:rsidR="00853DF2" w:rsidRPr="005949A8">
              <w:rPr>
                <w:rFonts w:ascii="Times New Roman" w:hAnsi="Times New Roman"/>
                <w:sz w:val="26"/>
                <w:szCs w:val="26"/>
              </w:rPr>
              <w:t>Par reglamentētajām profesijām un profesionālās kvalifikācijas atzīšanu”</w:t>
            </w:r>
            <w:r w:rsidR="00B80C92" w:rsidRPr="005949A8">
              <w:rPr>
                <w:rFonts w:ascii="Times New Roman" w:hAnsi="Times New Roman"/>
                <w:sz w:val="26"/>
                <w:szCs w:val="26"/>
              </w:rPr>
              <w:t xml:space="preserve"> (turpmāk – </w:t>
            </w:r>
            <w:r w:rsidR="003D087A">
              <w:rPr>
                <w:rFonts w:ascii="Times New Roman" w:hAnsi="Times New Roman"/>
                <w:sz w:val="26"/>
                <w:szCs w:val="26"/>
                <w:lang w:val="lv-LV"/>
              </w:rPr>
              <w:t xml:space="preserve">kvalifikācijas atzīšanas </w:t>
            </w:r>
            <w:r w:rsidR="00B80C92" w:rsidRPr="005949A8">
              <w:rPr>
                <w:rFonts w:ascii="Times New Roman" w:hAnsi="Times New Roman"/>
                <w:sz w:val="26"/>
                <w:szCs w:val="26"/>
              </w:rPr>
              <w:t>likums)</w:t>
            </w:r>
            <w:r w:rsidR="00853DF2" w:rsidRPr="005949A8">
              <w:rPr>
                <w:rFonts w:ascii="Times New Roman" w:hAnsi="Times New Roman"/>
                <w:sz w:val="26"/>
                <w:szCs w:val="26"/>
              </w:rPr>
              <w:t xml:space="preserve"> 56.panta pirmās daļas 2., 3., 4., 5. </w:t>
            </w:r>
            <w:r w:rsidR="008376B0">
              <w:rPr>
                <w:rFonts w:ascii="Times New Roman" w:hAnsi="Times New Roman"/>
                <w:sz w:val="26"/>
                <w:szCs w:val="26"/>
              </w:rPr>
              <w:t>p</w:t>
            </w:r>
            <w:r w:rsidR="008376B0" w:rsidRPr="005949A8">
              <w:rPr>
                <w:rFonts w:ascii="Times New Roman" w:hAnsi="Times New Roman"/>
                <w:sz w:val="26"/>
                <w:szCs w:val="26"/>
              </w:rPr>
              <w:t>unkt</w:t>
            </w:r>
            <w:r w:rsidR="008376B0" w:rsidRPr="005949A8">
              <w:rPr>
                <w:rFonts w:ascii="Times New Roman" w:hAnsi="Times New Roman"/>
                <w:sz w:val="26"/>
                <w:szCs w:val="26"/>
                <w:lang w:val="lv-LV"/>
              </w:rPr>
              <w:t>u</w:t>
            </w:r>
            <w:r w:rsidR="00455455">
              <w:rPr>
                <w:rFonts w:ascii="Times New Roman" w:hAnsi="Times New Roman"/>
                <w:sz w:val="26"/>
                <w:szCs w:val="26"/>
                <w:lang w:val="lv-LV"/>
              </w:rPr>
              <w:t>;</w:t>
            </w:r>
          </w:p>
          <w:p w14:paraId="36D5ED83" w14:textId="0E9F743A" w:rsidR="004D2E81" w:rsidRPr="0002384C" w:rsidRDefault="00A43C78" w:rsidP="00991E49">
            <w:pPr>
              <w:pStyle w:val="ListParagraph"/>
              <w:numPr>
                <w:ilvl w:val="0"/>
                <w:numId w:val="9"/>
              </w:numPr>
              <w:spacing w:after="0" w:line="240" w:lineRule="auto"/>
              <w:jc w:val="both"/>
              <w:rPr>
                <w:rFonts w:ascii="Times New Roman" w:hAnsi="Times New Roman"/>
                <w:bCs/>
                <w:sz w:val="26"/>
                <w:szCs w:val="26"/>
              </w:rPr>
            </w:pPr>
            <w:r w:rsidRPr="005949A8">
              <w:rPr>
                <w:rFonts w:ascii="Times New Roman" w:hAnsi="Times New Roman"/>
                <w:sz w:val="26"/>
                <w:szCs w:val="26"/>
              </w:rPr>
              <w:t xml:space="preserve">Eiropas Parlamenta un Padomes </w:t>
            </w:r>
            <w:r w:rsidRPr="005949A8">
              <w:rPr>
                <w:rFonts w:ascii="Times New Roman" w:hAnsi="Times New Roman"/>
                <w:bCs/>
                <w:sz w:val="26"/>
                <w:szCs w:val="26"/>
              </w:rPr>
              <w:t>2013.gada 20.novembra</w:t>
            </w:r>
            <w:r w:rsidR="00667151" w:rsidRPr="005949A8">
              <w:rPr>
                <w:rFonts w:ascii="Times New Roman" w:hAnsi="Times New Roman"/>
                <w:sz w:val="26"/>
                <w:szCs w:val="26"/>
              </w:rPr>
              <w:t xml:space="preserve"> </w:t>
            </w:r>
            <w:r w:rsidR="00EC772C" w:rsidRPr="005949A8">
              <w:rPr>
                <w:rFonts w:ascii="Times New Roman" w:hAnsi="Times New Roman"/>
                <w:sz w:val="26"/>
                <w:szCs w:val="26"/>
              </w:rPr>
              <w:t xml:space="preserve">     </w:t>
            </w:r>
            <w:r w:rsidR="00667151" w:rsidRPr="005949A8">
              <w:rPr>
                <w:rFonts w:ascii="Times New Roman" w:hAnsi="Times New Roman"/>
                <w:sz w:val="26"/>
                <w:szCs w:val="26"/>
              </w:rPr>
              <w:t>Direktīv</w:t>
            </w:r>
            <w:r w:rsidR="00455455">
              <w:rPr>
                <w:rFonts w:ascii="Times New Roman" w:hAnsi="Times New Roman"/>
                <w:sz w:val="26"/>
                <w:szCs w:val="26"/>
                <w:lang w:val="lv-LV"/>
              </w:rPr>
              <w:t>u</w:t>
            </w:r>
            <w:r w:rsidRPr="005949A8">
              <w:rPr>
                <w:rFonts w:ascii="Times New Roman" w:hAnsi="Times New Roman"/>
                <w:sz w:val="26"/>
                <w:szCs w:val="26"/>
              </w:rPr>
              <w:t xml:space="preserve"> Nr.</w:t>
            </w:r>
            <w:r w:rsidRPr="005949A8">
              <w:rPr>
                <w:rFonts w:ascii="Times New Roman" w:hAnsi="Times New Roman"/>
                <w:bCs/>
                <w:sz w:val="26"/>
                <w:szCs w:val="26"/>
              </w:rPr>
              <w:t xml:space="preserve">2013/55/ES, ar ko groza Direktīvu 2005/36/EK par profesionālo kvalifikāciju atzīšanu un Regulu (ES) Nr.1024/2012 par administratīvo sadarbību, izmantojot Iekšējā tirgus informācijas sistēmu (IMI regulu) (dokuments attiecas uz EEZ) (turpmāk – </w:t>
            </w:r>
            <w:r w:rsidR="00991E49" w:rsidRPr="005949A8">
              <w:rPr>
                <w:rFonts w:ascii="Times New Roman" w:hAnsi="Times New Roman"/>
                <w:bCs/>
                <w:sz w:val="26"/>
                <w:szCs w:val="26"/>
              </w:rPr>
              <w:t xml:space="preserve">grozījumu </w:t>
            </w:r>
            <w:r w:rsidRPr="005949A8">
              <w:rPr>
                <w:rFonts w:ascii="Times New Roman" w:hAnsi="Times New Roman"/>
                <w:bCs/>
                <w:sz w:val="26"/>
                <w:szCs w:val="26"/>
              </w:rPr>
              <w:t xml:space="preserve">direktīva) un </w:t>
            </w:r>
            <w:r w:rsidR="00455455">
              <w:rPr>
                <w:rFonts w:ascii="Times New Roman" w:hAnsi="Times New Roman"/>
                <w:bCs/>
                <w:sz w:val="26"/>
                <w:szCs w:val="26"/>
                <w:lang w:val="lv-LV"/>
              </w:rPr>
              <w:t xml:space="preserve">Eiropas </w:t>
            </w:r>
            <w:r w:rsidRPr="005949A8">
              <w:rPr>
                <w:rFonts w:ascii="Times New Roman" w:hAnsi="Times New Roman"/>
                <w:bCs/>
                <w:sz w:val="26"/>
                <w:szCs w:val="26"/>
              </w:rPr>
              <w:t xml:space="preserve">Komisijas </w:t>
            </w:r>
            <w:r w:rsidR="00455455">
              <w:rPr>
                <w:rFonts w:ascii="Times New Roman" w:hAnsi="Times New Roman"/>
                <w:bCs/>
                <w:sz w:val="26"/>
                <w:szCs w:val="26"/>
              </w:rPr>
              <w:t>2015. gada 24. jūnija</w:t>
            </w:r>
            <w:r w:rsidR="00455455" w:rsidRPr="005949A8">
              <w:rPr>
                <w:rFonts w:ascii="Times New Roman" w:hAnsi="Times New Roman"/>
                <w:bCs/>
                <w:sz w:val="26"/>
                <w:szCs w:val="26"/>
              </w:rPr>
              <w:t xml:space="preserve"> </w:t>
            </w:r>
            <w:r w:rsidRPr="005949A8">
              <w:rPr>
                <w:rFonts w:ascii="Times New Roman" w:hAnsi="Times New Roman"/>
                <w:bCs/>
                <w:sz w:val="26"/>
                <w:szCs w:val="26"/>
              </w:rPr>
              <w:t>Īstenošanas regul</w:t>
            </w:r>
            <w:r w:rsidR="00455455">
              <w:rPr>
                <w:rFonts w:ascii="Times New Roman" w:hAnsi="Times New Roman"/>
                <w:bCs/>
                <w:sz w:val="26"/>
                <w:szCs w:val="26"/>
                <w:lang w:val="lv-LV"/>
              </w:rPr>
              <w:t>u Nr.</w:t>
            </w:r>
            <w:r w:rsidR="00205354">
              <w:rPr>
                <w:rFonts w:ascii="Times New Roman" w:hAnsi="Times New Roman"/>
                <w:bCs/>
                <w:sz w:val="26"/>
                <w:szCs w:val="26"/>
              </w:rPr>
              <w:t>2015/983</w:t>
            </w:r>
            <w:r w:rsidRPr="005949A8">
              <w:rPr>
                <w:rFonts w:ascii="Times New Roman" w:hAnsi="Times New Roman"/>
                <w:bCs/>
                <w:sz w:val="26"/>
                <w:szCs w:val="26"/>
              </w:rPr>
              <w:t xml:space="preserve"> </w:t>
            </w:r>
            <w:r w:rsidR="00205354">
              <w:rPr>
                <w:rFonts w:ascii="Times New Roman" w:hAnsi="Times New Roman"/>
                <w:bCs/>
                <w:sz w:val="26"/>
                <w:szCs w:val="26"/>
                <w:lang w:val="lv-LV"/>
              </w:rPr>
              <w:t>p</w:t>
            </w:r>
            <w:r w:rsidRPr="005949A8">
              <w:rPr>
                <w:rFonts w:ascii="Times New Roman" w:hAnsi="Times New Roman"/>
                <w:bCs/>
                <w:sz w:val="26"/>
                <w:szCs w:val="26"/>
              </w:rPr>
              <w:t>ar Eiropas profesionālās kartes izdošanu un brīdināšanas mehānisma piemērošanu saskaņā ar Eiropas Parlamenta un Padomes Direktīvu 2005/36/EK (turpmāk – regula</w:t>
            </w:r>
            <w:r w:rsidR="002D52C0">
              <w:rPr>
                <w:rFonts w:ascii="Times New Roman" w:hAnsi="Times New Roman"/>
                <w:bCs/>
                <w:sz w:val="26"/>
                <w:szCs w:val="26"/>
                <w:lang w:val="lv-LV"/>
              </w:rPr>
              <w:t xml:space="preserve"> Nr.</w:t>
            </w:r>
            <w:r w:rsidR="002D52C0">
              <w:rPr>
                <w:rFonts w:ascii="Times New Roman" w:hAnsi="Times New Roman"/>
                <w:bCs/>
                <w:sz w:val="26"/>
                <w:szCs w:val="26"/>
              </w:rPr>
              <w:t>2015/983</w:t>
            </w:r>
            <w:r w:rsidRPr="005949A8">
              <w:rPr>
                <w:rFonts w:ascii="Times New Roman" w:hAnsi="Times New Roman"/>
                <w:bCs/>
                <w:sz w:val="26"/>
                <w:szCs w:val="26"/>
              </w:rPr>
              <w:t xml:space="preserve">). </w:t>
            </w:r>
          </w:p>
        </w:tc>
      </w:tr>
      <w:tr w:rsidR="00812271" w:rsidRPr="00823CB3" w14:paraId="47891B61" w14:textId="77777777" w:rsidTr="00FB7C51">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18C8B563" w14:textId="04325B40" w:rsidR="00392D00" w:rsidRPr="00823CB3" w:rsidRDefault="00392D00"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874" w:type="pct"/>
            <w:tcBorders>
              <w:top w:val="outset" w:sz="6" w:space="0" w:color="auto"/>
              <w:left w:val="outset" w:sz="6" w:space="0" w:color="auto"/>
              <w:bottom w:val="outset" w:sz="6" w:space="0" w:color="auto"/>
              <w:right w:val="outset" w:sz="6" w:space="0" w:color="auto"/>
            </w:tcBorders>
            <w:hideMark/>
          </w:tcPr>
          <w:p w14:paraId="66E34E69" w14:textId="77777777" w:rsidR="00B72734" w:rsidRPr="00823CB3" w:rsidRDefault="00812271" w:rsidP="00322FF1">
            <w:pPr>
              <w:spacing w:after="0" w:line="240" w:lineRule="auto"/>
              <w:jc w:val="both"/>
              <w:rPr>
                <w:rFonts w:ascii="Times New Roman" w:eastAsia="Times New Roman" w:hAnsi="Times New Roman"/>
                <w:sz w:val="26"/>
                <w:szCs w:val="26"/>
                <w:lang w:eastAsia="lv-LV"/>
              </w:rPr>
            </w:pPr>
            <w:r w:rsidRPr="00823CB3">
              <w:rPr>
                <w:rFonts w:ascii="Times New Roman" w:hAnsi="Times New Roman"/>
                <w:sz w:val="26"/>
                <w:szCs w:val="26"/>
              </w:rPr>
              <w:t>Pašreizējā situācija un problēmas, kuru risināšanai tiesību akta projekts izstrādāts, tiesiskā regulējuma mērķis un būtība</w:t>
            </w:r>
          </w:p>
          <w:p w14:paraId="3943FBDE" w14:textId="77777777" w:rsidR="00B72734" w:rsidRPr="00823CB3" w:rsidRDefault="00B72734" w:rsidP="00B72734">
            <w:pPr>
              <w:rPr>
                <w:rFonts w:ascii="Times New Roman" w:eastAsia="Times New Roman" w:hAnsi="Times New Roman"/>
                <w:sz w:val="26"/>
                <w:szCs w:val="26"/>
                <w:lang w:eastAsia="lv-LV"/>
              </w:rPr>
            </w:pPr>
          </w:p>
          <w:p w14:paraId="002258CE" w14:textId="77777777" w:rsidR="00B72734" w:rsidRPr="00823CB3" w:rsidRDefault="00B72734" w:rsidP="00B72734">
            <w:pPr>
              <w:rPr>
                <w:rFonts w:ascii="Times New Roman" w:eastAsia="Times New Roman" w:hAnsi="Times New Roman"/>
                <w:sz w:val="26"/>
                <w:szCs w:val="26"/>
                <w:lang w:eastAsia="lv-LV"/>
              </w:rPr>
            </w:pPr>
          </w:p>
          <w:p w14:paraId="40B5928E" w14:textId="77777777" w:rsidR="00B72734" w:rsidRPr="00823CB3" w:rsidRDefault="00B72734" w:rsidP="00B72734">
            <w:pPr>
              <w:rPr>
                <w:rFonts w:ascii="Times New Roman" w:eastAsia="Times New Roman" w:hAnsi="Times New Roman"/>
                <w:sz w:val="26"/>
                <w:szCs w:val="26"/>
                <w:lang w:eastAsia="lv-LV"/>
              </w:rPr>
            </w:pPr>
          </w:p>
          <w:p w14:paraId="10C42283" w14:textId="77777777" w:rsidR="00B72734" w:rsidRPr="00823CB3" w:rsidRDefault="00B72734" w:rsidP="00B72734">
            <w:pPr>
              <w:rPr>
                <w:rFonts w:ascii="Times New Roman" w:eastAsia="Times New Roman" w:hAnsi="Times New Roman"/>
                <w:sz w:val="26"/>
                <w:szCs w:val="26"/>
                <w:lang w:eastAsia="lv-LV"/>
              </w:rPr>
            </w:pPr>
          </w:p>
          <w:p w14:paraId="4F6CC40B" w14:textId="77777777" w:rsidR="00B72734" w:rsidRPr="00823CB3" w:rsidRDefault="00B72734" w:rsidP="00B72734">
            <w:pPr>
              <w:rPr>
                <w:rFonts w:ascii="Times New Roman" w:eastAsia="Times New Roman" w:hAnsi="Times New Roman"/>
                <w:sz w:val="26"/>
                <w:szCs w:val="26"/>
                <w:lang w:eastAsia="lv-LV"/>
              </w:rPr>
            </w:pPr>
          </w:p>
          <w:p w14:paraId="1AA9CCA4" w14:textId="77777777" w:rsidR="00B72734" w:rsidRPr="00823CB3" w:rsidRDefault="00B72734" w:rsidP="00B72734">
            <w:pPr>
              <w:rPr>
                <w:rFonts w:ascii="Times New Roman" w:eastAsia="Times New Roman" w:hAnsi="Times New Roman"/>
                <w:sz w:val="26"/>
                <w:szCs w:val="26"/>
                <w:lang w:eastAsia="lv-LV"/>
              </w:rPr>
            </w:pPr>
          </w:p>
          <w:p w14:paraId="7F1C5F9B" w14:textId="77777777" w:rsidR="00392D00" w:rsidRPr="00823CB3" w:rsidRDefault="00392D00" w:rsidP="00B72734">
            <w:pPr>
              <w:jc w:val="center"/>
              <w:rPr>
                <w:rFonts w:ascii="Times New Roman" w:eastAsia="Times New Roman" w:hAnsi="Times New Roman"/>
                <w:sz w:val="26"/>
                <w:szCs w:val="26"/>
                <w:lang w:eastAsia="lv-LV"/>
              </w:rPr>
            </w:pPr>
          </w:p>
        </w:tc>
        <w:tc>
          <w:tcPr>
            <w:tcW w:w="3849" w:type="pct"/>
            <w:tcBorders>
              <w:top w:val="outset" w:sz="6" w:space="0" w:color="auto"/>
              <w:left w:val="outset" w:sz="6" w:space="0" w:color="auto"/>
              <w:bottom w:val="outset" w:sz="6" w:space="0" w:color="auto"/>
              <w:right w:val="outset" w:sz="6" w:space="0" w:color="auto"/>
            </w:tcBorders>
            <w:hideMark/>
          </w:tcPr>
          <w:p w14:paraId="7361C3A0" w14:textId="77777777" w:rsidR="00BD40BC" w:rsidRDefault="00DA18E5" w:rsidP="00C06F65">
            <w:pPr>
              <w:spacing w:after="0" w:line="240" w:lineRule="auto"/>
              <w:jc w:val="both"/>
              <w:rPr>
                <w:rFonts w:ascii="Times New Roman" w:hAnsi="Times New Roman"/>
                <w:sz w:val="26"/>
                <w:szCs w:val="26"/>
              </w:rPr>
            </w:pPr>
            <w:r>
              <w:rPr>
                <w:rFonts w:ascii="Times New Roman" w:eastAsia="Times New Roman" w:hAnsi="Times New Roman"/>
                <w:bCs/>
                <w:sz w:val="26"/>
                <w:szCs w:val="26"/>
                <w:lang w:eastAsia="lv-LV"/>
              </w:rPr>
              <w:lastRenderedPageBreak/>
              <w:t xml:space="preserve">     Projekta mērķis ir nodrošin</w:t>
            </w:r>
            <w:r w:rsidR="0050530A">
              <w:rPr>
                <w:rFonts w:ascii="Times New Roman" w:eastAsia="Times New Roman" w:hAnsi="Times New Roman"/>
                <w:bCs/>
                <w:sz w:val="26"/>
                <w:szCs w:val="26"/>
                <w:lang w:eastAsia="lv-LV"/>
              </w:rPr>
              <w:t>āt</w:t>
            </w:r>
            <w:r>
              <w:rPr>
                <w:rFonts w:ascii="Times New Roman" w:eastAsia="Times New Roman" w:hAnsi="Times New Roman"/>
                <w:bCs/>
                <w:sz w:val="26"/>
                <w:szCs w:val="26"/>
                <w:lang w:eastAsia="lv-LV"/>
              </w:rPr>
              <w:t xml:space="preserve"> </w:t>
            </w:r>
            <w:r w:rsidR="0050530A">
              <w:rPr>
                <w:rFonts w:ascii="Times New Roman" w:hAnsi="Times New Roman"/>
                <w:sz w:val="26"/>
                <w:szCs w:val="26"/>
              </w:rPr>
              <w:t xml:space="preserve">grozījumu </w:t>
            </w:r>
            <w:r w:rsidR="0050530A" w:rsidRPr="009E0212">
              <w:rPr>
                <w:rFonts w:ascii="Times New Roman" w:hAnsi="Times New Roman"/>
                <w:sz w:val="26"/>
                <w:szCs w:val="26"/>
              </w:rPr>
              <w:t>direktīvas un regulas</w:t>
            </w:r>
            <w:r w:rsidR="0050530A">
              <w:rPr>
                <w:rFonts w:ascii="Times New Roman" w:hAnsi="Times New Roman"/>
                <w:sz w:val="26"/>
                <w:szCs w:val="26"/>
              </w:rPr>
              <w:t xml:space="preserve"> </w:t>
            </w:r>
            <w:r w:rsidR="0050530A">
              <w:rPr>
                <w:rFonts w:ascii="Times New Roman" w:hAnsi="Times New Roman"/>
                <w:bCs/>
                <w:sz w:val="26"/>
                <w:szCs w:val="26"/>
              </w:rPr>
              <w:t>Nr.2015/983</w:t>
            </w:r>
            <w:r w:rsidR="0050530A" w:rsidRPr="005949A8">
              <w:rPr>
                <w:rFonts w:ascii="Times New Roman" w:hAnsi="Times New Roman"/>
                <w:bCs/>
                <w:sz w:val="26"/>
                <w:szCs w:val="26"/>
              </w:rPr>
              <w:t xml:space="preserve"> </w:t>
            </w:r>
            <w:r w:rsidR="0050530A" w:rsidRPr="009E0212">
              <w:rPr>
                <w:rFonts w:ascii="Times New Roman" w:hAnsi="Times New Roman"/>
                <w:sz w:val="26"/>
                <w:szCs w:val="26"/>
              </w:rPr>
              <w:t xml:space="preserve"> tiesību </w:t>
            </w:r>
            <w:r w:rsidR="009D27F7" w:rsidRPr="009E0212">
              <w:rPr>
                <w:rFonts w:ascii="Times New Roman" w:hAnsi="Times New Roman"/>
                <w:sz w:val="26"/>
                <w:szCs w:val="26"/>
              </w:rPr>
              <w:t>norm</w:t>
            </w:r>
            <w:r w:rsidR="009D27F7">
              <w:rPr>
                <w:rFonts w:ascii="Times New Roman" w:hAnsi="Times New Roman"/>
                <w:sz w:val="26"/>
                <w:szCs w:val="26"/>
              </w:rPr>
              <w:t>u</w:t>
            </w:r>
            <w:r w:rsidR="0050530A" w:rsidRPr="009E0212">
              <w:rPr>
                <w:rFonts w:ascii="Times New Roman" w:hAnsi="Times New Roman"/>
                <w:sz w:val="26"/>
                <w:szCs w:val="26"/>
              </w:rPr>
              <w:t xml:space="preserve">, kas paredz </w:t>
            </w:r>
            <w:r w:rsidR="0050530A" w:rsidRPr="009E0212">
              <w:rPr>
                <w:rFonts w:ascii="Times New Roman" w:hAnsi="Times New Roman"/>
                <w:bCs/>
                <w:sz w:val="26"/>
                <w:szCs w:val="26"/>
              </w:rPr>
              <w:t xml:space="preserve"> </w:t>
            </w:r>
            <w:r w:rsidR="0050530A">
              <w:rPr>
                <w:rFonts w:ascii="Times New Roman" w:hAnsi="Times New Roman"/>
                <w:bCs/>
                <w:sz w:val="26"/>
                <w:szCs w:val="26"/>
              </w:rPr>
              <w:t xml:space="preserve">Eiropas profesionālās kartes (turpmāk – </w:t>
            </w:r>
            <w:r w:rsidR="0050530A" w:rsidRPr="009E0212">
              <w:rPr>
                <w:rFonts w:ascii="Times New Roman" w:hAnsi="Times New Roman"/>
                <w:bCs/>
                <w:sz w:val="26"/>
                <w:szCs w:val="26"/>
              </w:rPr>
              <w:t>EPK</w:t>
            </w:r>
            <w:r w:rsidR="0050530A">
              <w:rPr>
                <w:rFonts w:ascii="Times New Roman" w:hAnsi="Times New Roman"/>
                <w:bCs/>
                <w:sz w:val="26"/>
                <w:szCs w:val="26"/>
              </w:rPr>
              <w:t>) izdošanu</w:t>
            </w:r>
            <w:r w:rsidR="0050530A" w:rsidRPr="009E0212">
              <w:rPr>
                <w:rFonts w:ascii="Times New Roman" w:hAnsi="Times New Roman"/>
                <w:sz w:val="26"/>
                <w:szCs w:val="26"/>
              </w:rPr>
              <w:t xml:space="preserve"> </w:t>
            </w:r>
            <w:r w:rsidR="0050530A" w:rsidRPr="009E0212">
              <w:rPr>
                <w:rFonts w:ascii="Times New Roman" w:hAnsi="Times New Roman"/>
                <w:bCs/>
                <w:sz w:val="26"/>
                <w:szCs w:val="26"/>
              </w:rPr>
              <w:t xml:space="preserve">un informācijas apmaiņu par personām ar profesionālo kvalifikāciju, kurām ir ierobežotas vai liegtas tiesības veikt profesionālo darbību reglamentētajās profesijās jeb t.s. </w:t>
            </w:r>
            <w:r w:rsidR="00E21B52">
              <w:rPr>
                <w:rFonts w:ascii="Times New Roman" w:hAnsi="Times New Roman"/>
                <w:bCs/>
                <w:sz w:val="26"/>
                <w:szCs w:val="26"/>
              </w:rPr>
              <w:t>„</w:t>
            </w:r>
            <w:r w:rsidR="0050530A" w:rsidRPr="00A26B41">
              <w:rPr>
                <w:rFonts w:ascii="Times New Roman" w:hAnsi="Times New Roman"/>
                <w:bCs/>
                <w:sz w:val="26"/>
                <w:szCs w:val="26"/>
              </w:rPr>
              <w:t xml:space="preserve">brīdinājuma mehānisms” </w:t>
            </w:r>
            <w:r w:rsidR="0050530A" w:rsidRPr="00A26B41">
              <w:rPr>
                <w:rFonts w:ascii="Times New Roman" w:hAnsi="Times New Roman"/>
                <w:bCs/>
                <w:i/>
                <w:sz w:val="26"/>
                <w:szCs w:val="26"/>
              </w:rPr>
              <w:t>(</w:t>
            </w:r>
            <w:proofErr w:type="spellStart"/>
            <w:r w:rsidR="0050530A" w:rsidRPr="00A26B41">
              <w:rPr>
                <w:rFonts w:ascii="Times New Roman" w:hAnsi="Times New Roman"/>
                <w:bCs/>
                <w:i/>
                <w:sz w:val="26"/>
                <w:szCs w:val="26"/>
              </w:rPr>
              <w:t>alert</w:t>
            </w:r>
            <w:proofErr w:type="spellEnd"/>
            <w:r w:rsidR="0050530A" w:rsidRPr="00A26B41">
              <w:rPr>
                <w:rFonts w:ascii="Times New Roman" w:hAnsi="Times New Roman"/>
                <w:bCs/>
                <w:i/>
                <w:sz w:val="26"/>
                <w:szCs w:val="26"/>
              </w:rPr>
              <w:t xml:space="preserve"> </w:t>
            </w:r>
            <w:proofErr w:type="spellStart"/>
            <w:r w:rsidR="0050530A" w:rsidRPr="00A26B41">
              <w:rPr>
                <w:rFonts w:ascii="Times New Roman" w:hAnsi="Times New Roman"/>
                <w:bCs/>
                <w:i/>
                <w:sz w:val="26"/>
                <w:szCs w:val="26"/>
              </w:rPr>
              <w:t>mechanism</w:t>
            </w:r>
            <w:proofErr w:type="spellEnd"/>
            <w:r w:rsidR="0050530A" w:rsidRPr="00A26B41">
              <w:rPr>
                <w:rFonts w:ascii="Times New Roman" w:hAnsi="Times New Roman"/>
                <w:bCs/>
                <w:i/>
                <w:sz w:val="26"/>
                <w:szCs w:val="26"/>
              </w:rPr>
              <w:t>)</w:t>
            </w:r>
            <w:r w:rsidR="009D27F7">
              <w:rPr>
                <w:rFonts w:ascii="Times New Roman" w:hAnsi="Times New Roman"/>
                <w:bCs/>
                <w:sz w:val="26"/>
                <w:szCs w:val="26"/>
              </w:rPr>
              <w:t>,</w:t>
            </w:r>
            <w:r>
              <w:rPr>
                <w:rFonts w:ascii="Times New Roman" w:eastAsia="Times New Roman" w:hAnsi="Times New Roman"/>
                <w:bCs/>
                <w:sz w:val="26"/>
                <w:szCs w:val="26"/>
                <w:lang w:eastAsia="lv-LV"/>
              </w:rPr>
              <w:t xml:space="preserve"> pārņemšanu Latvijā</w:t>
            </w:r>
            <w:r w:rsidR="0050530A">
              <w:rPr>
                <w:rFonts w:ascii="Times New Roman" w:eastAsia="Times New Roman" w:hAnsi="Times New Roman"/>
                <w:bCs/>
                <w:sz w:val="26"/>
                <w:szCs w:val="26"/>
                <w:lang w:eastAsia="lv-LV"/>
              </w:rPr>
              <w:t xml:space="preserve">. </w:t>
            </w:r>
            <w:r w:rsidR="00BE1995">
              <w:rPr>
                <w:rFonts w:ascii="Times New Roman" w:eastAsia="Times New Roman" w:hAnsi="Times New Roman"/>
                <w:bCs/>
                <w:sz w:val="26"/>
                <w:szCs w:val="26"/>
                <w:lang w:eastAsia="lv-LV"/>
              </w:rPr>
              <w:t>Gan EPK</w:t>
            </w:r>
            <w:r w:rsidR="00466FBC">
              <w:rPr>
                <w:rFonts w:ascii="Times New Roman" w:eastAsia="Times New Roman" w:hAnsi="Times New Roman"/>
                <w:bCs/>
                <w:sz w:val="26"/>
                <w:szCs w:val="26"/>
                <w:lang w:eastAsia="lv-LV"/>
              </w:rPr>
              <w:t xml:space="preserve"> izdošana, gan brīdinājumu nosūtīšana un saņemšana tiek veikta ar </w:t>
            </w:r>
            <w:r>
              <w:rPr>
                <w:rFonts w:ascii="Times New Roman" w:eastAsia="Times New Roman" w:hAnsi="Times New Roman"/>
                <w:bCs/>
                <w:sz w:val="26"/>
                <w:szCs w:val="26"/>
                <w:lang w:eastAsia="lv-LV"/>
              </w:rPr>
              <w:t xml:space="preserve"> </w:t>
            </w:r>
            <w:r w:rsidR="00466FBC" w:rsidRPr="009E0212">
              <w:rPr>
                <w:rFonts w:ascii="Times New Roman" w:hAnsi="Times New Roman"/>
                <w:sz w:val="26"/>
                <w:szCs w:val="26"/>
              </w:rPr>
              <w:t>Iekšējā tirgus informācijas sistēmas  (turpmāk – IMI sistēma)</w:t>
            </w:r>
            <w:r w:rsidR="004730CE">
              <w:rPr>
                <w:rFonts w:ascii="Times New Roman" w:hAnsi="Times New Roman"/>
                <w:sz w:val="26"/>
                <w:szCs w:val="26"/>
              </w:rPr>
              <w:t xml:space="preserve"> starpniecību un </w:t>
            </w:r>
            <w:r w:rsidR="008B6D5A">
              <w:rPr>
                <w:rFonts w:ascii="Times New Roman" w:hAnsi="Times New Roman"/>
                <w:sz w:val="26"/>
                <w:szCs w:val="26"/>
              </w:rPr>
              <w:t>praks</w:t>
            </w:r>
            <w:r w:rsidR="00E57428">
              <w:rPr>
                <w:rFonts w:ascii="Times New Roman" w:hAnsi="Times New Roman"/>
                <w:sz w:val="26"/>
                <w:szCs w:val="26"/>
              </w:rPr>
              <w:t xml:space="preserve">ē abi šie mehānismi darbosies kā </w:t>
            </w:r>
            <w:r w:rsidR="00F658B2">
              <w:rPr>
                <w:rFonts w:ascii="Times New Roman" w:hAnsi="Times New Roman"/>
                <w:sz w:val="26"/>
                <w:szCs w:val="26"/>
              </w:rPr>
              <w:t>papildus moduļi IMI sistēm</w:t>
            </w:r>
            <w:r w:rsidR="00BE1995">
              <w:rPr>
                <w:rFonts w:ascii="Times New Roman" w:hAnsi="Times New Roman"/>
                <w:sz w:val="26"/>
                <w:szCs w:val="26"/>
              </w:rPr>
              <w:t>ā</w:t>
            </w:r>
            <w:r w:rsidR="009D27F7">
              <w:rPr>
                <w:rFonts w:ascii="Times New Roman" w:hAnsi="Times New Roman"/>
                <w:sz w:val="26"/>
                <w:szCs w:val="26"/>
              </w:rPr>
              <w:t xml:space="preserve">. </w:t>
            </w:r>
          </w:p>
          <w:p w14:paraId="33947556" w14:textId="3C1AE521" w:rsidR="00BD40BC" w:rsidRDefault="00BD40BC" w:rsidP="00C06F65">
            <w:pPr>
              <w:spacing w:after="0" w:line="240" w:lineRule="auto"/>
              <w:jc w:val="both"/>
              <w:rPr>
                <w:rFonts w:ascii="Times New Roman" w:hAnsi="Times New Roman"/>
                <w:sz w:val="26"/>
                <w:szCs w:val="26"/>
              </w:rPr>
            </w:pPr>
            <w:r>
              <w:rPr>
                <w:rFonts w:ascii="Times New Roman" w:eastAsia="Times New Roman" w:hAnsi="Times New Roman"/>
                <w:bCs/>
                <w:sz w:val="26"/>
                <w:szCs w:val="26"/>
                <w:lang w:eastAsia="lv-LV"/>
              </w:rPr>
              <w:t xml:space="preserve">Spēkā ir </w:t>
            </w:r>
            <w:r w:rsidRPr="009403B2">
              <w:rPr>
                <w:rFonts w:ascii="Times New Roman" w:eastAsia="Times New Roman" w:hAnsi="Times New Roman"/>
                <w:bCs/>
                <w:sz w:val="26"/>
                <w:szCs w:val="26"/>
                <w:lang w:eastAsia="lv-LV"/>
              </w:rPr>
              <w:t xml:space="preserve">Ministru kabineta 2010.gada </w:t>
            </w:r>
            <w:r>
              <w:rPr>
                <w:rFonts w:ascii="Times New Roman" w:eastAsia="Times New Roman" w:hAnsi="Times New Roman"/>
                <w:bCs/>
                <w:sz w:val="26"/>
                <w:szCs w:val="26"/>
                <w:lang w:eastAsia="lv-LV"/>
              </w:rPr>
              <w:t>14.septembra noteikumi Nr.848 „</w:t>
            </w:r>
            <w:r w:rsidRPr="009403B2">
              <w:rPr>
                <w:rFonts w:ascii="Times New Roman" w:eastAsia="Times New Roman" w:hAnsi="Times New Roman"/>
                <w:bCs/>
                <w:sz w:val="26"/>
                <w:szCs w:val="26"/>
                <w:lang w:eastAsia="lv-LV"/>
              </w:rPr>
              <w:t>Noteikumi par informācijas apmaiņu iekšējā tirgus informācijas sistēmas ietvaros, informācijas apmaiņā iesaistīto iestāžu atbildību un informācijas apmaiņas uzraudzību”</w:t>
            </w:r>
            <w:r>
              <w:rPr>
                <w:rFonts w:ascii="Times New Roman" w:eastAsia="Times New Roman" w:hAnsi="Times New Roman"/>
                <w:bCs/>
                <w:sz w:val="26"/>
                <w:szCs w:val="26"/>
                <w:lang w:eastAsia="lv-LV"/>
              </w:rPr>
              <w:t xml:space="preserve"> </w:t>
            </w:r>
            <w:r>
              <w:rPr>
                <w:rFonts w:ascii="Times New Roman" w:hAnsi="Times New Roman"/>
                <w:sz w:val="26"/>
                <w:szCs w:val="26"/>
              </w:rPr>
              <w:t xml:space="preserve">(turpmāk – noteikumi Nr.848)  un EPK un brīdinājumu apmaiņas kārtību pamatoti būtu noteikt ar </w:t>
            </w:r>
            <w:r>
              <w:rPr>
                <w:rFonts w:ascii="Times New Roman" w:eastAsia="Times New Roman" w:hAnsi="Times New Roman"/>
                <w:bCs/>
                <w:sz w:val="26"/>
                <w:szCs w:val="26"/>
                <w:lang w:eastAsia="lv-LV"/>
              </w:rPr>
              <w:t xml:space="preserve">grozījumiem noteikumos Nr.848, tomēr, tā kā </w:t>
            </w:r>
            <w:r w:rsidR="00B241AB">
              <w:rPr>
                <w:rFonts w:ascii="Times New Roman" w:eastAsia="Times New Roman" w:hAnsi="Times New Roman"/>
                <w:bCs/>
                <w:sz w:val="26"/>
                <w:szCs w:val="26"/>
                <w:lang w:eastAsia="lv-LV"/>
              </w:rPr>
              <w:t xml:space="preserve">šajā gadījumā </w:t>
            </w:r>
            <w:r>
              <w:rPr>
                <w:rFonts w:ascii="Times New Roman" w:eastAsia="Times New Roman" w:hAnsi="Times New Roman"/>
                <w:bCs/>
                <w:sz w:val="26"/>
                <w:szCs w:val="26"/>
                <w:lang w:eastAsia="lv-LV"/>
              </w:rPr>
              <w:t xml:space="preserve">kopējais grozījumu apjoms pārsniegtu ½ no noteikumos Nr.848 ietvertajām normām, saskaņā ar Ministru kabineta 2009.gada 3.februāra noteikumu </w:t>
            </w:r>
            <w:r>
              <w:rPr>
                <w:rFonts w:ascii="Times New Roman" w:eastAsia="Times New Roman" w:hAnsi="Times New Roman"/>
                <w:bCs/>
                <w:sz w:val="26"/>
                <w:szCs w:val="26"/>
                <w:lang w:eastAsia="lv-LV"/>
              </w:rPr>
              <w:lastRenderedPageBreak/>
              <w:t xml:space="preserve">Nr. 108 „Normatīvo aktu projektu sagatavošanas noteikumi” 140.punktu, projekts </w:t>
            </w:r>
            <w:r w:rsidR="00DC3598">
              <w:rPr>
                <w:rFonts w:ascii="Times New Roman" w:eastAsia="Times New Roman" w:hAnsi="Times New Roman"/>
                <w:bCs/>
                <w:sz w:val="26"/>
                <w:szCs w:val="26"/>
                <w:lang w:eastAsia="lv-LV"/>
              </w:rPr>
              <w:t>ir sagatavots nevis kā grozījumi noteikumos Nr.848, bet jauns noteikumu projekts.</w:t>
            </w:r>
          </w:p>
          <w:p w14:paraId="3EBCCA25" w14:textId="2EA1AFA4" w:rsidR="00C06F65" w:rsidRPr="009E0212" w:rsidRDefault="003F1E4B" w:rsidP="00C06F65">
            <w:pPr>
              <w:spacing w:after="0" w:line="240" w:lineRule="auto"/>
              <w:jc w:val="both"/>
              <w:rPr>
                <w:rFonts w:ascii="Times New Roman" w:hAnsi="Times New Roman"/>
                <w:sz w:val="26"/>
                <w:szCs w:val="26"/>
              </w:rPr>
            </w:pPr>
            <w:r>
              <w:rPr>
                <w:rFonts w:ascii="Times New Roman" w:hAnsi="Times New Roman"/>
                <w:sz w:val="26"/>
                <w:szCs w:val="26"/>
              </w:rPr>
              <w:t xml:space="preserve">     </w:t>
            </w:r>
            <w:r w:rsidR="00A56609" w:rsidRPr="009E0212">
              <w:rPr>
                <w:rFonts w:ascii="Times New Roman" w:hAnsi="Times New Roman"/>
                <w:sz w:val="26"/>
                <w:szCs w:val="26"/>
              </w:rPr>
              <w:t xml:space="preserve">Brīvas pakalpojumu sniegšanas joma ir saistīta ar Eiropas Parlamenta un Padomes 2006.gada 12.decembra Direktīvu 2006/123/EK par pakalpojumiem iekšējā tirgū. Pašlaik spēkā ir normatīvie akti IMI sistēmas izmantošanai brīvas pakalpojumu sniegšanas jomā: Brīvas pakalpojumu sniegšanas likums un </w:t>
            </w:r>
            <w:r w:rsidR="00A56609">
              <w:rPr>
                <w:rFonts w:ascii="Times New Roman" w:hAnsi="Times New Roman"/>
                <w:sz w:val="26"/>
                <w:szCs w:val="26"/>
              </w:rPr>
              <w:t xml:space="preserve">noteikumi Nr.848. </w:t>
            </w:r>
            <w:r w:rsidR="00C77DDB" w:rsidRPr="009E0212">
              <w:rPr>
                <w:rFonts w:ascii="Times New Roman" w:hAnsi="Times New Roman"/>
                <w:sz w:val="26"/>
                <w:szCs w:val="26"/>
              </w:rPr>
              <w:t>Ar IMI sistēma</w:t>
            </w:r>
            <w:r w:rsidR="00466FBC">
              <w:rPr>
                <w:rFonts w:ascii="Times New Roman" w:hAnsi="Times New Roman"/>
                <w:sz w:val="26"/>
                <w:szCs w:val="26"/>
              </w:rPr>
              <w:t>s</w:t>
            </w:r>
            <w:r w:rsidR="00C77DDB" w:rsidRPr="009E0212">
              <w:rPr>
                <w:rFonts w:ascii="Times New Roman" w:hAnsi="Times New Roman"/>
                <w:sz w:val="26"/>
                <w:szCs w:val="26"/>
              </w:rPr>
              <w:t xml:space="preserve"> starpniecību tiek īstenota </w:t>
            </w:r>
            <w:r w:rsidR="0002384C">
              <w:rPr>
                <w:rFonts w:ascii="Times New Roman" w:hAnsi="Times New Roman"/>
                <w:sz w:val="26"/>
                <w:szCs w:val="26"/>
              </w:rPr>
              <w:t xml:space="preserve">dalībvalstu </w:t>
            </w:r>
            <w:r w:rsidR="00C77DDB" w:rsidRPr="009E0212">
              <w:rPr>
                <w:rFonts w:ascii="Times New Roman" w:hAnsi="Times New Roman"/>
                <w:sz w:val="26"/>
                <w:szCs w:val="26"/>
              </w:rPr>
              <w:t>atbildīgo iestāžu savstarpējā administratīvā sadarbība Eiropas Savienības iekšējo tirgu reglamentējošo Eiropas Savienības tiesību aktu īstenošanā un piemērošanā</w:t>
            </w:r>
            <w:r w:rsidR="009F1DA8" w:rsidRPr="009E0212">
              <w:rPr>
                <w:rFonts w:ascii="Times New Roman" w:hAnsi="Times New Roman"/>
                <w:sz w:val="26"/>
                <w:szCs w:val="26"/>
              </w:rPr>
              <w:t>,</w:t>
            </w:r>
            <w:r w:rsidR="00C77DDB" w:rsidRPr="009E0212">
              <w:rPr>
                <w:rFonts w:ascii="Times New Roman" w:hAnsi="Times New Roman"/>
                <w:sz w:val="26"/>
                <w:szCs w:val="26"/>
              </w:rPr>
              <w:t xml:space="preserve"> </w:t>
            </w:r>
            <w:r w:rsidR="009F1DA8" w:rsidRPr="009E0212">
              <w:rPr>
                <w:rFonts w:ascii="Times New Roman" w:hAnsi="Times New Roman"/>
                <w:sz w:val="26"/>
                <w:szCs w:val="26"/>
              </w:rPr>
              <w:t>l</w:t>
            </w:r>
            <w:r w:rsidR="009F1DA8" w:rsidRPr="009E0212">
              <w:rPr>
                <w:rFonts w:ascii="Times New Roman" w:eastAsia="Times New Roman" w:hAnsi="Times New Roman"/>
                <w:sz w:val="26"/>
                <w:szCs w:val="26"/>
                <w:lang w:eastAsia="lv-LV"/>
              </w:rPr>
              <w:t xml:space="preserve">ai nodrošinātu pakalpojumu sniedzēju un to sniegto pakalpojumu uzraudzību. </w:t>
            </w:r>
            <w:r w:rsidR="0079543A" w:rsidRPr="009E0212">
              <w:rPr>
                <w:rFonts w:ascii="Times New Roman" w:eastAsia="Times New Roman" w:hAnsi="Times New Roman"/>
                <w:sz w:val="26"/>
                <w:szCs w:val="26"/>
                <w:lang w:eastAsia="lv-LV"/>
              </w:rPr>
              <w:t xml:space="preserve">IMI sistēmā tiek īstenota arī informācijas apmaiņa starp dalībvalstu kompetentajām institūcijām profesionālās kvalifikācijas atzīšanas jomā. </w:t>
            </w:r>
            <w:r w:rsidR="00067084" w:rsidRPr="009E0212">
              <w:rPr>
                <w:rFonts w:ascii="Times New Roman" w:hAnsi="Times New Roman"/>
                <w:sz w:val="26"/>
                <w:szCs w:val="26"/>
              </w:rPr>
              <w:t>Eiropas Parlamenta un Padomes 200</w:t>
            </w:r>
            <w:r w:rsidR="00067084">
              <w:rPr>
                <w:rFonts w:ascii="Times New Roman" w:hAnsi="Times New Roman"/>
                <w:sz w:val="26"/>
                <w:szCs w:val="26"/>
              </w:rPr>
              <w:t>5.gada 7.sept</w:t>
            </w:r>
            <w:r w:rsidR="00067084" w:rsidRPr="009E0212">
              <w:rPr>
                <w:rFonts w:ascii="Times New Roman" w:hAnsi="Times New Roman"/>
                <w:sz w:val="26"/>
                <w:szCs w:val="26"/>
              </w:rPr>
              <w:t>embra</w:t>
            </w:r>
            <w:r w:rsidR="00067084" w:rsidRPr="009E0212">
              <w:rPr>
                <w:rFonts w:ascii="Times New Roman" w:hAnsi="Times New Roman"/>
                <w:bCs/>
                <w:sz w:val="26"/>
                <w:szCs w:val="26"/>
              </w:rPr>
              <w:t xml:space="preserve"> </w:t>
            </w:r>
            <w:r w:rsidR="00C06F65" w:rsidRPr="009E0212">
              <w:rPr>
                <w:rFonts w:ascii="Times New Roman" w:hAnsi="Times New Roman"/>
                <w:bCs/>
                <w:sz w:val="26"/>
                <w:szCs w:val="26"/>
              </w:rPr>
              <w:t>Direktīva 2005/</w:t>
            </w:r>
            <w:r w:rsidR="00384951" w:rsidRPr="009E0212">
              <w:rPr>
                <w:rFonts w:ascii="Times New Roman" w:hAnsi="Times New Roman"/>
                <w:bCs/>
                <w:sz w:val="26"/>
                <w:szCs w:val="26"/>
              </w:rPr>
              <w:t>3</w:t>
            </w:r>
            <w:r w:rsidR="006225CA">
              <w:rPr>
                <w:rFonts w:ascii="Times New Roman" w:hAnsi="Times New Roman"/>
                <w:bCs/>
                <w:sz w:val="26"/>
                <w:szCs w:val="26"/>
              </w:rPr>
              <w:t>6</w:t>
            </w:r>
            <w:r w:rsidR="00C06F65" w:rsidRPr="009E0212">
              <w:rPr>
                <w:rFonts w:ascii="Times New Roman" w:hAnsi="Times New Roman"/>
                <w:bCs/>
                <w:sz w:val="26"/>
                <w:szCs w:val="26"/>
              </w:rPr>
              <w:t>/EK par profesionālo kvalifikāciju atzīšanu (turpmāk – direktīva) jau iepriekš noteica pienākumu dalībvalstīm savstarpēji sadarboties un apmainīties ar informāciju, bet līdz ar grozījumu direktīvas pieņemšanu IMI sistēma</w:t>
            </w:r>
            <w:r w:rsidR="00AC0C4B">
              <w:rPr>
                <w:rFonts w:ascii="Times New Roman" w:hAnsi="Times New Roman"/>
                <w:bCs/>
                <w:sz w:val="26"/>
                <w:szCs w:val="26"/>
              </w:rPr>
              <w:t>s</w:t>
            </w:r>
            <w:r w:rsidR="00C06F65" w:rsidRPr="009E0212">
              <w:rPr>
                <w:rFonts w:ascii="Times New Roman" w:hAnsi="Times New Roman"/>
                <w:bCs/>
                <w:sz w:val="26"/>
                <w:szCs w:val="26"/>
              </w:rPr>
              <w:t xml:space="preserve"> kā i</w:t>
            </w:r>
            <w:r w:rsidR="00AC0C4B">
              <w:rPr>
                <w:rFonts w:ascii="Times New Roman" w:hAnsi="Times New Roman"/>
                <w:bCs/>
                <w:sz w:val="26"/>
                <w:szCs w:val="26"/>
              </w:rPr>
              <w:t>nformācijas apmaiņas rīka</w:t>
            </w:r>
            <w:r w:rsidR="002B530C">
              <w:rPr>
                <w:rFonts w:ascii="Times New Roman" w:hAnsi="Times New Roman"/>
                <w:bCs/>
                <w:sz w:val="26"/>
                <w:szCs w:val="26"/>
              </w:rPr>
              <w:t xml:space="preserve"> </w:t>
            </w:r>
            <w:r w:rsidR="00AC0C4B">
              <w:rPr>
                <w:rFonts w:ascii="Times New Roman" w:hAnsi="Times New Roman"/>
                <w:bCs/>
                <w:sz w:val="26"/>
                <w:szCs w:val="26"/>
              </w:rPr>
              <w:t>loma pieaug</w:t>
            </w:r>
            <w:r w:rsidR="00C06F65" w:rsidRPr="009E0212">
              <w:rPr>
                <w:rFonts w:ascii="Times New Roman" w:hAnsi="Times New Roman"/>
                <w:bCs/>
                <w:sz w:val="26"/>
                <w:szCs w:val="26"/>
              </w:rPr>
              <w:t>.</w:t>
            </w:r>
          </w:p>
          <w:p w14:paraId="44C10EDB" w14:textId="48F0E60A" w:rsidR="00C77DDB" w:rsidRPr="009E0212" w:rsidRDefault="00C77DDB" w:rsidP="00C77DDB">
            <w:pPr>
              <w:spacing w:after="0" w:line="240" w:lineRule="auto"/>
              <w:jc w:val="both"/>
              <w:rPr>
                <w:rFonts w:ascii="Times New Roman" w:hAnsi="Times New Roman"/>
                <w:sz w:val="26"/>
                <w:szCs w:val="26"/>
              </w:rPr>
            </w:pPr>
            <w:r w:rsidRPr="009E0212">
              <w:rPr>
                <w:rFonts w:ascii="Times New Roman" w:hAnsi="Times New Roman"/>
                <w:sz w:val="26"/>
                <w:szCs w:val="26"/>
              </w:rPr>
              <w:t xml:space="preserve">     </w:t>
            </w:r>
            <w:r w:rsidR="00590C97" w:rsidRPr="00452751">
              <w:rPr>
                <w:rFonts w:ascii="Times New Roman" w:hAnsi="Times New Roman"/>
                <w:bCs/>
                <w:sz w:val="26"/>
                <w:szCs w:val="26"/>
              </w:rPr>
              <w:t>N</w:t>
            </w:r>
            <w:r w:rsidR="00590C97" w:rsidRPr="00D03EBB">
              <w:rPr>
                <w:rFonts w:ascii="Times New Roman" w:hAnsi="Times New Roman"/>
                <w:bCs/>
                <w:sz w:val="26"/>
                <w:szCs w:val="26"/>
              </w:rPr>
              <w:t xml:space="preserve">oteikumu Nr.848 </w:t>
            </w:r>
            <w:r w:rsidR="00D72C48" w:rsidRPr="0068307F">
              <w:rPr>
                <w:rFonts w:ascii="Times New Roman" w:hAnsi="Times New Roman"/>
                <w:color w:val="0D0D0D"/>
                <w:sz w:val="26"/>
                <w:szCs w:val="26"/>
              </w:rPr>
              <w:t xml:space="preserve">2.punkts paredz atsauci uz </w:t>
            </w:r>
            <w:r w:rsidR="00590C97" w:rsidRPr="0068307F">
              <w:rPr>
                <w:rFonts w:ascii="Times New Roman" w:hAnsi="Times New Roman"/>
                <w:sz w:val="26"/>
                <w:szCs w:val="26"/>
              </w:rPr>
              <w:t xml:space="preserve">Eiropas Parlamenta un Padomes 2012. gada 25. oktobra Regulas (ES) Nr. 1024/2012 par administratīvo sadarbību, izmantojot Iekšējā tirgus informācijas sistēmu, un ar ko atceļ Komisijas Lēmumu 2008/49/EK (turpmāk – regula Nr.1024/2012) </w:t>
            </w:r>
            <w:r w:rsidR="00D72C48" w:rsidRPr="0068307F">
              <w:rPr>
                <w:rFonts w:ascii="Times New Roman" w:hAnsi="Times New Roman"/>
                <w:color w:val="0D0D0D"/>
                <w:sz w:val="26"/>
                <w:szCs w:val="26"/>
              </w:rPr>
              <w:t xml:space="preserve">pielikumu, kas tiešā veidā skar privātpersonas (datu subjekta) tiesības un tiesisko paļāvību, ka atbildīgās iestādes izmantos iekšējā tirgus informācijas sistēmu tikai </w:t>
            </w:r>
            <w:r w:rsidR="00373BF3" w:rsidRPr="0068307F">
              <w:rPr>
                <w:rFonts w:ascii="Times New Roman" w:hAnsi="Times New Roman"/>
                <w:color w:val="0D0D0D"/>
                <w:sz w:val="26"/>
                <w:szCs w:val="26"/>
              </w:rPr>
              <w:t>r</w:t>
            </w:r>
            <w:r w:rsidR="00D72C48" w:rsidRPr="0068307F">
              <w:rPr>
                <w:rFonts w:ascii="Times New Roman" w:hAnsi="Times New Roman"/>
                <w:color w:val="0D0D0D"/>
                <w:sz w:val="26"/>
                <w:szCs w:val="26"/>
              </w:rPr>
              <w:t xml:space="preserve">egulas Nr.1024/2012) pielikumā uzskaitīto ES tiesību aktu ietvaros. Turklāt MK noteikumu Nr.848 2.punktā ir norādīta atsauce uz </w:t>
            </w:r>
            <w:r w:rsidR="00373BF3" w:rsidRPr="0068307F">
              <w:rPr>
                <w:rFonts w:ascii="Times New Roman" w:hAnsi="Times New Roman"/>
                <w:color w:val="0D0D0D"/>
                <w:sz w:val="26"/>
                <w:szCs w:val="26"/>
              </w:rPr>
              <w:t>r</w:t>
            </w:r>
            <w:r w:rsidR="00D72C48" w:rsidRPr="0068307F">
              <w:rPr>
                <w:rFonts w:ascii="Times New Roman" w:hAnsi="Times New Roman"/>
                <w:color w:val="0D0D0D"/>
                <w:sz w:val="26"/>
                <w:szCs w:val="26"/>
              </w:rPr>
              <w:t>egulas Nr.1024/2012 pielikumu, kas ir uzskatāma par atsauci uz tieši piemērojamu tiesību aktu, nevis konkrētām Direktīvām.</w:t>
            </w:r>
            <w:r w:rsidR="00590C97" w:rsidRPr="0068307F">
              <w:rPr>
                <w:rFonts w:ascii="Times New Roman" w:hAnsi="Times New Roman"/>
                <w:color w:val="0D0D0D"/>
                <w:sz w:val="26"/>
                <w:szCs w:val="26"/>
              </w:rPr>
              <w:t xml:space="preserve"> </w:t>
            </w:r>
            <w:r w:rsidR="00D03EBB">
              <w:rPr>
                <w:rFonts w:ascii="Times New Roman" w:hAnsi="Times New Roman"/>
                <w:color w:val="0D0D0D"/>
                <w:sz w:val="26"/>
                <w:szCs w:val="26"/>
              </w:rPr>
              <w:t>Noteikumu nr.848 2.</w:t>
            </w:r>
            <w:r w:rsidR="00590C97" w:rsidRPr="0068307F">
              <w:rPr>
                <w:rFonts w:ascii="Times New Roman" w:hAnsi="Times New Roman"/>
                <w:color w:val="0D0D0D"/>
                <w:sz w:val="26"/>
                <w:szCs w:val="26"/>
              </w:rPr>
              <w:t xml:space="preserve">punkts tiek papildināts ar atsauci uz </w:t>
            </w:r>
            <w:r w:rsidR="00373BF3" w:rsidRPr="00452751">
              <w:rPr>
                <w:rFonts w:ascii="Times New Roman" w:hAnsi="Times New Roman"/>
                <w:sz w:val="26"/>
                <w:szCs w:val="26"/>
              </w:rPr>
              <w:t>regulu</w:t>
            </w:r>
            <w:r w:rsidR="00373BF3" w:rsidRPr="00D03EBB">
              <w:rPr>
                <w:rFonts w:ascii="Times New Roman" w:hAnsi="Times New Roman"/>
                <w:sz w:val="26"/>
                <w:szCs w:val="26"/>
              </w:rPr>
              <w:t xml:space="preserve"> </w:t>
            </w:r>
            <w:r w:rsidR="00373BF3" w:rsidRPr="00D03EBB">
              <w:rPr>
                <w:rFonts w:ascii="Times New Roman" w:hAnsi="Times New Roman"/>
                <w:bCs/>
                <w:sz w:val="26"/>
                <w:szCs w:val="26"/>
              </w:rPr>
              <w:t>Nr.2015/983.</w:t>
            </w:r>
          </w:p>
          <w:p w14:paraId="6EB4D23C" w14:textId="7FDB2049" w:rsidR="00835AEA" w:rsidRDefault="003A6684" w:rsidP="00B80C92">
            <w:pPr>
              <w:spacing w:after="0" w:line="240" w:lineRule="auto"/>
              <w:jc w:val="both"/>
              <w:rPr>
                <w:rFonts w:ascii="Times New Roman" w:hAnsi="Times New Roman"/>
                <w:sz w:val="26"/>
                <w:szCs w:val="26"/>
              </w:rPr>
            </w:pPr>
            <w:r w:rsidRPr="009E0212">
              <w:rPr>
                <w:rFonts w:ascii="Times New Roman" w:eastAsia="Times New Roman" w:hAnsi="Times New Roman"/>
                <w:bCs/>
                <w:sz w:val="26"/>
                <w:szCs w:val="26"/>
                <w:lang w:eastAsia="lv-LV"/>
              </w:rPr>
              <w:t xml:space="preserve">    </w:t>
            </w:r>
            <w:r w:rsidR="00B80C92" w:rsidRPr="009E0212">
              <w:rPr>
                <w:rFonts w:ascii="Times New Roman" w:hAnsi="Times New Roman"/>
                <w:bCs/>
                <w:sz w:val="26"/>
                <w:szCs w:val="26"/>
              </w:rPr>
              <w:t>EPK</w:t>
            </w:r>
            <w:r w:rsidR="006365D2" w:rsidRPr="009E0212">
              <w:rPr>
                <w:rFonts w:ascii="Times New Roman" w:hAnsi="Times New Roman"/>
                <w:bCs/>
                <w:sz w:val="26"/>
                <w:szCs w:val="26"/>
              </w:rPr>
              <w:t xml:space="preserve"> ir elektronisks sertifikāts, kas apliecina personas izglītību un profesionālo kvalifikāciju apliecinošo dokumentu atbilstību nosacījumiem, ar kādiem atzīstama pastāvīgai profesionālai darbībai vai īslaicīgu profesionālo pakalpojumu sniegšanai dalībvalstīs nepieciešamā profesionālā kvalifikācija. </w:t>
            </w:r>
            <w:r w:rsidR="00835AEA" w:rsidRPr="009E0212">
              <w:rPr>
                <w:rFonts w:ascii="Times New Roman" w:hAnsi="Times New Roman"/>
                <w:sz w:val="26"/>
                <w:szCs w:val="26"/>
              </w:rPr>
              <w:t xml:space="preserve">Lai arī EPK nebūs obligāta personai, ja tā izvēlēsies līdzšinējo profesionālo kvalifikāciju atzīšanas procedūru, </w:t>
            </w:r>
            <w:r w:rsidR="007A6052">
              <w:rPr>
                <w:rFonts w:ascii="Times New Roman" w:hAnsi="Times New Roman"/>
                <w:sz w:val="26"/>
                <w:szCs w:val="26"/>
              </w:rPr>
              <w:t xml:space="preserve">grozījumu </w:t>
            </w:r>
            <w:r w:rsidR="00835AEA" w:rsidRPr="009E0212">
              <w:rPr>
                <w:rFonts w:ascii="Times New Roman" w:hAnsi="Times New Roman"/>
                <w:sz w:val="26"/>
                <w:szCs w:val="26"/>
              </w:rPr>
              <w:t xml:space="preserve">direktīva uzliek pienākumu dalībvalstīm </w:t>
            </w:r>
            <w:r w:rsidR="0060021C">
              <w:rPr>
                <w:rFonts w:ascii="Times New Roman" w:hAnsi="Times New Roman"/>
                <w:sz w:val="26"/>
                <w:szCs w:val="26"/>
              </w:rPr>
              <w:t>izpildīt</w:t>
            </w:r>
            <w:r w:rsidR="00835AEA" w:rsidRPr="009E0212">
              <w:rPr>
                <w:rFonts w:ascii="Times New Roman" w:hAnsi="Times New Roman"/>
                <w:sz w:val="26"/>
                <w:szCs w:val="26"/>
              </w:rPr>
              <w:t xml:space="preserve"> priekšnoteikumus, lai personām būtu iespējams izmantot savas tiesības saņemt EPK. EPK izdošanu Latvijā paredzēts organizēt maksimāli racionāli, nosakot tikai vienu par EPK izdošanu atbildīgo institūciju, kaut arī regula</w:t>
            </w:r>
            <w:r w:rsidR="00ED1CDC">
              <w:rPr>
                <w:rFonts w:ascii="Times New Roman" w:hAnsi="Times New Roman"/>
                <w:sz w:val="26"/>
                <w:szCs w:val="26"/>
              </w:rPr>
              <w:t xml:space="preserve"> </w:t>
            </w:r>
            <w:r w:rsidR="00ED1CDC">
              <w:rPr>
                <w:rFonts w:ascii="Times New Roman" w:hAnsi="Times New Roman"/>
                <w:bCs/>
                <w:sz w:val="26"/>
                <w:szCs w:val="26"/>
              </w:rPr>
              <w:t>Nr.2015/983</w:t>
            </w:r>
            <w:r w:rsidR="00ED1CDC" w:rsidRPr="005949A8">
              <w:rPr>
                <w:rFonts w:ascii="Times New Roman" w:hAnsi="Times New Roman"/>
                <w:bCs/>
                <w:sz w:val="26"/>
                <w:szCs w:val="26"/>
              </w:rPr>
              <w:t xml:space="preserve"> </w:t>
            </w:r>
            <w:r w:rsidR="00835AEA" w:rsidRPr="009E0212">
              <w:rPr>
                <w:rFonts w:ascii="Times New Roman" w:hAnsi="Times New Roman"/>
                <w:sz w:val="26"/>
                <w:szCs w:val="26"/>
              </w:rPr>
              <w:t xml:space="preserve"> ļauj izvēlēties katrai profesijai savu </w:t>
            </w:r>
            <w:r w:rsidR="00835AEA" w:rsidRPr="009E0212">
              <w:rPr>
                <w:rFonts w:ascii="Times New Roman" w:hAnsi="Times New Roman"/>
                <w:sz w:val="26"/>
                <w:szCs w:val="26"/>
              </w:rPr>
              <w:lastRenderedPageBreak/>
              <w:t xml:space="preserve">institūciju. </w:t>
            </w:r>
            <w:r w:rsidR="003D087A">
              <w:rPr>
                <w:rFonts w:ascii="Times New Roman" w:hAnsi="Times New Roman"/>
                <w:sz w:val="26"/>
                <w:szCs w:val="26"/>
              </w:rPr>
              <w:t>Kvalifikācijas atzīšanas l</w:t>
            </w:r>
            <w:r w:rsidR="00B80C92" w:rsidRPr="009E0212">
              <w:rPr>
                <w:rFonts w:ascii="Times New Roman" w:hAnsi="Times New Roman"/>
                <w:sz w:val="26"/>
                <w:szCs w:val="26"/>
              </w:rPr>
              <w:t xml:space="preserve">ikuma 56. panta trešās daļas 4.punkts nosaka, ka </w:t>
            </w:r>
            <w:r w:rsidR="00835AEA" w:rsidRPr="009E0212">
              <w:rPr>
                <w:rFonts w:ascii="Times New Roman" w:hAnsi="Times New Roman"/>
                <w:sz w:val="26"/>
                <w:szCs w:val="26"/>
              </w:rPr>
              <w:t xml:space="preserve">Akadēmiskais informācijas centrs (turpmāk – AIC) ir </w:t>
            </w:r>
            <w:r w:rsidR="00B80C92" w:rsidRPr="009E0212">
              <w:rPr>
                <w:rFonts w:ascii="Times New Roman" w:hAnsi="Times New Roman"/>
                <w:sz w:val="26"/>
                <w:szCs w:val="26"/>
              </w:rPr>
              <w:t>institūcija, kas izdod un anulē EPK, kā arī  IMI sistēm</w:t>
            </w:r>
            <w:r w:rsidR="00534DC0">
              <w:rPr>
                <w:rFonts w:ascii="Times New Roman" w:hAnsi="Times New Roman"/>
                <w:sz w:val="26"/>
                <w:szCs w:val="26"/>
              </w:rPr>
              <w:t>ā</w:t>
            </w:r>
            <w:r w:rsidR="00B80C92" w:rsidRPr="009E0212">
              <w:rPr>
                <w:rFonts w:ascii="Times New Roman" w:hAnsi="Times New Roman"/>
                <w:sz w:val="26"/>
                <w:szCs w:val="26"/>
              </w:rPr>
              <w:t xml:space="preserve"> </w:t>
            </w:r>
            <w:r w:rsidR="000D1A6E" w:rsidRPr="00951AB5">
              <w:rPr>
                <w:rFonts w:ascii="Times New Roman" w:hAnsi="Times New Roman"/>
                <w:sz w:val="26"/>
                <w:szCs w:val="26"/>
              </w:rPr>
              <w:t>nodrošina visas ar EPK izdošanu saistītās informācijas apstrādi</w:t>
            </w:r>
            <w:r w:rsidR="00835AEA" w:rsidRPr="00951AB5">
              <w:rPr>
                <w:rFonts w:ascii="Times New Roman" w:hAnsi="Times New Roman"/>
                <w:sz w:val="26"/>
                <w:szCs w:val="26"/>
              </w:rPr>
              <w:t>.</w:t>
            </w:r>
            <w:r w:rsidR="00456BC5">
              <w:rPr>
                <w:rFonts w:ascii="Times New Roman" w:hAnsi="Times New Roman"/>
                <w:sz w:val="26"/>
                <w:szCs w:val="26"/>
              </w:rPr>
              <w:t xml:space="preserve"> </w:t>
            </w:r>
            <w:r w:rsidR="00951AB5" w:rsidRPr="0068307F">
              <w:rPr>
                <w:rFonts w:ascii="Times New Roman" w:eastAsia="Times New Roman" w:hAnsi="Times New Roman"/>
                <w:bCs/>
                <w:sz w:val="26"/>
                <w:szCs w:val="26"/>
                <w:lang w:eastAsia="lv-LV"/>
              </w:rPr>
              <w:t>Izglītības un zinātnes ministrija (turpmāk – ministrija)</w:t>
            </w:r>
            <w:r w:rsidR="00951AB5">
              <w:rPr>
                <w:rFonts w:ascii="Times New Roman" w:eastAsia="Times New Roman" w:hAnsi="Times New Roman"/>
                <w:bCs/>
                <w:sz w:val="26"/>
                <w:szCs w:val="26"/>
                <w:lang w:eastAsia="lv-LV"/>
              </w:rPr>
              <w:t xml:space="preserve"> kā viens no </w:t>
            </w:r>
            <w:r w:rsidR="00614F2B" w:rsidRPr="00951AB5">
              <w:rPr>
                <w:rFonts w:ascii="Times New Roman" w:hAnsi="Times New Roman"/>
                <w:sz w:val="26"/>
                <w:szCs w:val="26"/>
              </w:rPr>
              <w:t>AIC</w:t>
            </w:r>
            <w:r w:rsidR="00632D91" w:rsidRPr="00951AB5">
              <w:rPr>
                <w:rFonts w:ascii="Times New Roman" w:hAnsi="Times New Roman"/>
                <w:sz w:val="26"/>
                <w:szCs w:val="26"/>
              </w:rPr>
              <w:t xml:space="preserve"> dibin</w:t>
            </w:r>
            <w:r w:rsidR="00951AB5">
              <w:rPr>
                <w:rFonts w:ascii="Times New Roman" w:hAnsi="Times New Roman"/>
                <w:sz w:val="26"/>
                <w:szCs w:val="26"/>
              </w:rPr>
              <w:t>ātājiem</w:t>
            </w:r>
            <w:r w:rsidR="00632D91" w:rsidRPr="00951AB5">
              <w:rPr>
                <w:rFonts w:ascii="Times New Roman" w:hAnsi="Times New Roman"/>
                <w:sz w:val="26"/>
                <w:szCs w:val="26"/>
              </w:rPr>
              <w:t>,</w:t>
            </w:r>
            <w:r w:rsidR="00951AB5">
              <w:rPr>
                <w:rFonts w:ascii="Times New Roman" w:hAnsi="Times New Roman"/>
                <w:sz w:val="26"/>
                <w:szCs w:val="26"/>
              </w:rPr>
              <w:t xml:space="preserve"> </w:t>
            </w:r>
            <w:r w:rsidR="003330B4">
              <w:rPr>
                <w:rFonts w:ascii="Times New Roman" w:hAnsi="Times New Roman"/>
                <w:sz w:val="26"/>
                <w:szCs w:val="26"/>
              </w:rPr>
              <w:t>atbilstoši izglītības un profesionālo kvalifikāciju atzīšanas tendencēm Eiropā, kā arī īstenojot Latvijas kā Eiropas savienības dalībvalsts pienākumu</w:t>
            </w:r>
            <w:r w:rsidR="00F31FF4">
              <w:rPr>
                <w:rFonts w:ascii="Times New Roman" w:hAnsi="Times New Roman"/>
                <w:sz w:val="26"/>
                <w:szCs w:val="26"/>
              </w:rPr>
              <w:t>s</w:t>
            </w:r>
            <w:r w:rsidR="003330B4">
              <w:rPr>
                <w:rFonts w:ascii="Times New Roman" w:hAnsi="Times New Roman"/>
                <w:sz w:val="26"/>
                <w:szCs w:val="26"/>
              </w:rPr>
              <w:t xml:space="preserve">, </w:t>
            </w:r>
            <w:r w:rsidR="0033314E">
              <w:rPr>
                <w:rFonts w:ascii="Times New Roman" w:hAnsi="Times New Roman"/>
                <w:sz w:val="26"/>
                <w:szCs w:val="26"/>
              </w:rPr>
              <w:t>ir</w:t>
            </w:r>
            <w:r w:rsidR="00951AB5">
              <w:rPr>
                <w:rFonts w:ascii="Times New Roman" w:hAnsi="Times New Roman"/>
                <w:sz w:val="26"/>
                <w:szCs w:val="26"/>
              </w:rPr>
              <w:t xml:space="preserve"> </w:t>
            </w:r>
            <w:r w:rsidR="00045154">
              <w:rPr>
                <w:rFonts w:ascii="Times New Roman" w:hAnsi="Times New Roman"/>
                <w:sz w:val="26"/>
                <w:szCs w:val="26"/>
              </w:rPr>
              <w:t xml:space="preserve">paredzējusi šo institūciju veidot kā profesionālu </w:t>
            </w:r>
            <w:proofErr w:type="spellStart"/>
            <w:r w:rsidR="00045154">
              <w:rPr>
                <w:rFonts w:ascii="Times New Roman" w:hAnsi="Times New Roman"/>
                <w:sz w:val="26"/>
                <w:szCs w:val="26"/>
              </w:rPr>
              <w:t>diplomatzīšanas</w:t>
            </w:r>
            <w:proofErr w:type="spellEnd"/>
            <w:r w:rsidR="00045154">
              <w:rPr>
                <w:rFonts w:ascii="Times New Roman" w:hAnsi="Times New Roman"/>
                <w:sz w:val="26"/>
                <w:szCs w:val="26"/>
              </w:rPr>
              <w:t xml:space="preserve"> un</w:t>
            </w:r>
            <w:r w:rsidR="00AE1E14" w:rsidRPr="00951AB5">
              <w:rPr>
                <w:rFonts w:ascii="Times New Roman" w:hAnsi="Times New Roman"/>
                <w:sz w:val="26"/>
                <w:szCs w:val="26"/>
              </w:rPr>
              <w:t xml:space="preserve"> </w:t>
            </w:r>
            <w:r w:rsidR="002F328A" w:rsidRPr="00951AB5">
              <w:rPr>
                <w:rFonts w:ascii="Times New Roman" w:hAnsi="Times New Roman"/>
                <w:sz w:val="26"/>
                <w:szCs w:val="26"/>
              </w:rPr>
              <w:t>profesionālās kvalifikācijas atzīšanas</w:t>
            </w:r>
            <w:r w:rsidR="002F328A">
              <w:rPr>
                <w:rFonts w:ascii="Times New Roman" w:hAnsi="Times New Roman"/>
                <w:sz w:val="26"/>
                <w:szCs w:val="26"/>
              </w:rPr>
              <w:t xml:space="preserve"> </w:t>
            </w:r>
            <w:r w:rsidR="00045154">
              <w:rPr>
                <w:rFonts w:ascii="Times New Roman" w:hAnsi="Times New Roman"/>
                <w:sz w:val="26"/>
                <w:szCs w:val="26"/>
              </w:rPr>
              <w:t xml:space="preserve">centru Latvijā, </w:t>
            </w:r>
            <w:r w:rsidR="003D087A">
              <w:rPr>
                <w:rFonts w:ascii="Times New Roman" w:hAnsi="Times New Roman"/>
                <w:sz w:val="26"/>
                <w:szCs w:val="26"/>
              </w:rPr>
              <w:t>tā pastāvīgu uzdevumu veikšanu paredzot Izglītības likumā, Augstskolu likumā, kvalifikācijas atzīšanas likumā. AIC uzdevumi</w:t>
            </w:r>
            <w:r w:rsidR="00045154">
              <w:rPr>
                <w:rFonts w:ascii="Times New Roman" w:hAnsi="Times New Roman"/>
                <w:sz w:val="26"/>
                <w:szCs w:val="26"/>
              </w:rPr>
              <w:t xml:space="preserve"> laika gaitā kopš tā nodibināšanas </w:t>
            </w:r>
            <w:r w:rsidR="00456BC5" w:rsidRPr="0068307F">
              <w:rPr>
                <w:rFonts w:ascii="Times New Roman" w:hAnsi="Times New Roman"/>
                <w:sz w:val="26"/>
                <w:szCs w:val="26"/>
              </w:rPr>
              <w:t>1994.</w:t>
            </w:r>
            <w:r w:rsidR="00045154" w:rsidRPr="00303FE1">
              <w:rPr>
                <w:rFonts w:ascii="Times New Roman" w:hAnsi="Times New Roman"/>
                <w:sz w:val="26"/>
                <w:szCs w:val="26"/>
              </w:rPr>
              <w:t>gadā</w:t>
            </w:r>
            <w:r w:rsidR="00045154">
              <w:rPr>
                <w:rFonts w:ascii="Times New Roman" w:hAnsi="Times New Roman"/>
                <w:sz w:val="26"/>
                <w:szCs w:val="26"/>
              </w:rPr>
              <w:t xml:space="preserve"> ir</w:t>
            </w:r>
            <w:r w:rsidR="003D087A">
              <w:rPr>
                <w:rFonts w:ascii="Times New Roman" w:hAnsi="Times New Roman"/>
                <w:sz w:val="26"/>
                <w:szCs w:val="26"/>
              </w:rPr>
              <w:t xml:space="preserve"> paplašinājušies, tas ir</w:t>
            </w:r>
            <w:r w:rsidR="00045154">
              <w:rPr>
                <w:rFonts w:ascii="Times New Roman" w:hAnsi="Times New Roman"/>
                <w:sz w:val="26"/>
                <w:szCs w:val="26"/>
              </w:rPr>
              <w:t xml:space="preserve"> uzkrā</w:t>
            </w:r>
            <w:r w:rsidR="003D087A">
              <w:rPr>
                <w:rFonts w:ascii="Times New Roman" w:hAnsi="Times New Roman"/>
                <w:sz w:val="26"/>
                <w:szCs w:val="26"/>
              </w:rPr>
              <w:t>jis</w:t>
            </w:r>
            <w:r w:rsidR="00045154">
              <w:rPr>
                <w:rFonts w:ascii="Times New Roman" w:hAnsi="Times New Roman"/>
                <w:sz w:val="26"/>
                <w:szCs w:val="26"/>
              </w:rPr>
              <w:t xml:space="preserve"> pieredz</w:t>
            </w:r>
            <w:r w:rsidR="003D087A">
              <w:rPr>
                <w:rFonts w:ascii="Times New Roman" w:hAnsi="Times New Roman"/>
                <w:sz w:val="26"/>
                <w:szCs w:val="26"/>
              </w:rPr>
              <w:t>i</w:t>
            </w:r>
            <w:r w:rsidR="00045154">
              <w:rPr>
                <w:rFonts w:ascii="Times New Roman" w:hAnsi="Times New Roman"/>
                <w:sz w:val="26"/>
                <w:szCs w:val="26"/>
              </w:rPr>
              <w:t xml:space="preserve"> un kompetenc</w:t>
            </w:r>
            <w:r w:rsidR="003D087A">
              <w:rPr>
                <w:rFonts w:ascii="Times New Roman" w:hAnsi="Times New Roman"/>
                <w:sz w:val="26"/>
                <w:szCs w:val="26"/>
              </w:rPr>
              <w:t xml:space="preserve">i, kā arī ieguvis starptautisku atpazīstamību un labu reputāciju. Līdz ar to </w:t>
            </w:r>
            <w:r w:rsidR="00F31FF4">
              <w:rPr>
                <w:rFonts w:ascii="Times New Roman" w:hAnsi="Times New Roman"/>
                <w:sz w:val="26"/>
                <w:szCs w:val="26"/>
              </w:rPr>
              <w:t>ir racionāli</w:t>
            </w:r>
            <w:r w:rsidR="000C0DD0">
              <w:rPr>
                <w:rFonts w:ascii="Times New Roman" w:hAnsi="Times New Roman"/>
                <w:sz w:val="26"/>
                <w:szCs w:val="26"/>
              </w:rPr>
              <w:t xml:space="preserve"> un pamatoti profesionālās kvalifikācijas atzīšanai</w:t>
            </w:r>
            <w:r w:rsidR="00F31FF4">
              <w:rPr>
                <w:rFonts w:ascii="Times New Roman" w:hAnsi="Times New Roman"/>
                <w:sz w:val="26"/>
                <w:szCs w:val="26"/>
              </w:rPr>
              <w:t xml:space="preserve"> </w:t>
            </w:r>
            <w:r w:rsidR="000C0DD0">
              <w:rPr>
                <w:rFonts w:ascii="Times New Roman" w:hAnsi="Times New Roman"/>
                <w:sz w:val="26"/>
                <w:szCs w:val="26"/>
              </w:rPr>
              <w:t>saturiski radniecīgo EPK izdošanas funkciju</w:t>
            </w:r>
            <w:r w:rsidR="00614F2B">
              <w:rPr>
                <w:rFonts w:ascii="Times New Roman" w:hAnsi="Times New Roman"/>
                <w:sz w:val="26"/>
                <w:szCs w:val="26"/>
              </w:rPr>
              <w:t xml:space="preserve"> </w:t>
            </w:r>
            <w:r w:rsidR="000C0DD0">
              <w:rPr>
                <w:rFonts w:ascii="Times New Roman" w:hAnsi="Times New Roman"/>
                <w:sz w:val="26"/>
                <w:szCs w:val="26"/>
              </w:rPr>
              <w:t>īstenot tieši AIC.</w:t>
            </w:r>
            <w:r w:rsidR="00311BEB" w:rsidRPr="009E0212">
              <w:rPr>
                <w:rFonts w:ascii="Times New Roman" w:hAnsi="Times New Roman"/>
                <w:sz w:val="26"/>
                <w:szCs w:val="26"/>
              </w:rPr>
              <w:t xml:space="preserve">  </w:t>
            </w:r>
            <w:r w:rsidR="00FD46F6">
              <w:rPr>
                <w:rFonts w:ascii="Times New Roman" w:hAnsi="Times New Roman"/>
                <w:sz w:val="26"/>
                <w:szCs w:val="26"/>
              </w:rPr>
              <w:t xml:space="preserve">     </w:t>
            </w:r>
            <w:r w:rsidR="00311BEB" w:rsidRPr="009E0212">
              <w:rPr>
                <w:rFonts w:ascii="Times New Roman" w:hAnsi="Times New Roman"/>
                <w:sz w:val="26"/>
                <w:szCs w:val="26"/>
              </w:rPr>
              <w:t xml:space="preserve">EPK </w:t>
            </w:r>
            <w:r w:rsidR="00966306" w:rsidRPr="009E0212">
              <w:rPr>
                <w:rFonts w:ascii="Times New Roman" w:hAnsi="Times New Roman"/>
                <w:sz w:val="26"/>
                <w:szCs w:val="26"/>
              </w:rPr>
              <w:t xml:space="preserve">pieteikumu apstrāde un lēmumu pieņemšana par EPK izdošanu ir saistīta gan ar EPK pretendenta iesniegto dokumentu autentiskuma apliecināšanu, gan ar pārbaudi, vai šie dokumenti </w:t>
            </w:r>
            <w:r w:rsidR="003343AD" w:rsidRPr="009E0212">
              <w:rPr>
                <w:rFonts w:ascii="Times New Roman" w:hAnsi="Times New Roman"/>
                <w:sz w:val="26"/>
                <w:szCs w:val="26"/>
              </w:rPr>
              <w:t xml:space="preserve">apliecina personas izglītības un iegūtās profesionālās </w:t>
            </w:r>
            <w:r w:rsidR="003343AD" w:rsidRPr="0098180C">
              <w:rPr>
                <w:rFonts w:ascii="Times New Roman" w:hAnsi="Times New Roman"/>
                <w:sz w:val="26"/>
                <w:szCs w:val="26"/>
              </w:rPr>
              <w:t>kvalifikācijas atbilstību reglamentētajai profesijai izvirzītajām prasībām</w:t>
            </w:r>
            <w:r w:rsidR="00E90622" w:rsidRPr="0098180C">
              <w:rPr>
                <w:rFonts w:ascii="Times New Roman" w:hAnsi="Times New Roman"/>
                <w:sz w:val="26"/>
                <w:szCs w:val="26"/>
              </w:rPr>
              <w:t>. EPK pretendenta</w:t>
            </w:r>
            <w:r w:rsidR="005478B5" w:rsidRPr="00367870">
              <w:rPr>
                <w:rFonts w:ascii="Times New Roman" w:hAnsi="Times New Roman"/>
                <w:sz w:val="26"/>
                <w:szCs w:val="26"/>
              </w:rPr>
              <w:t xml:space="preserve">m IMI sistēmā izveidotajā pieteikumā ir </w:t>
            </w:r>
            <w:proofErr w:type="spellStart"/>
            <w:r w:rsidR="005478B5" w:rsidRPr="00367870">
              <w:rPr>
                <w:rFonts w:ascii="Times New Roman" w:hAnsi="Times New Roman"/>
                <w:sz w:val="26"/>
                <w:szCs w:val="26"/>
              </w:rPr>
              <w:t>augšupjāielādē</w:t>
            </w:r>
            <w:proofErr w:type="spellEnd"/>
            <w:r w:rsidR="00E90622" w:rsidRPr="008B7FD0">
              <w:rPr>
                <w:rFonts w:ascii="Times New Roman" w:hAnsi="Times New Roman"/>
                <w:sz w:val="26"/>
                <w:szCs w:val="26"/>
              </w:rPr>
              <w:t xml:space="preserve"> </w:t>
            </w:r>
            <w:r w:rsidR="005478B5" w:rsidRPr="008B7FD0">
              <w:rPr>
                <w:rFonts w:ascii="Times New Roman" w:hAnsi="Times New Roman"/>
                <w:sz w:val="26"/>
                <w:szCs w:val="26"/>
              </w:rPr>
              <w:t>tie</w:t>
            </w:r>
            <w:r w:rsidR="004C5FF9" w:rsidRPr="008B7FD0">
              <w:rPr>
                <w:rFonts w:ascii="Times New Roman" w:hAnsi="Times New Roman"/>
                <w:sz w:val="26"/>
                <w:szCs w:val="26"/>
              </w:rPr>
              <w:t xml:space="preserve"> dokumenti, kuri ir noteikti Regulas Nr.</w:t>
            </w:r>
            <w:r w:rsidR="000E369F" w:rsidRPr="0098180C">
              <w:rPr>
                <w:rFonts w:ascii="Times New Roman" w:hAnsi="Times New Roman"/>
                <w:sz w:val="26"/>
                <w:szCs w:val="26"/>
              </w:rPr>
              <w:t>2015/983 II pielikumā</w:t>
            </w:r>
            <w:r w:rsidR="0098180C">
              <w:rPr>
                <w:rFonts w:ascii="Times New Roman" w:hAnsi="Times New Roman"/>
                <w:sz w:val="26"/>
                <w:szCs w:val="26"/>
              </w:rPr>
              <w:t xml:space="preserve"> un AIC ir jāpārbauda šo dokumentu autentiskums</w:t>
            </w:r>
            <w:r w:rsidR="000670A7" w:rsidRPr="0098180C">
              <w:rPr>
                <w:rFonts w:ascii="Times New Roman" w:hAnsi="Times New Roman"/>
                <w:sz w:val="26"/>
                <w:szCs w:val="26"/>
              </w:rPr>
              <w:t xml:space="preserve">. </w:t>
            </w:r>
            <w:r w:rsidR="0098180C">
              <w:rPr>
                <w:rFonts w:ascii="Times New Roman" w:hAnsi="Times New Roman"/>
                <w:sz w:val="26"/>
                <w:szCs w:val="26"/>
              </w:rPr>
              <w:t xml:space="preserve">Tā kā Latvijā nav izveidots Diplomu reģistrs, visracionālākais veids, kā pārliecināties par izglītību apliecinošo dokumentu autentiskumu, ir izmantot tos reģistrus, kur šie dati jau ir uzkrāti, proti, </w:t>
            </w:r>
            <w:r w:rsidR="00934B83" w:rsidRPr="009E0212">
              <w:rPr>
                <w:rFonts w:ascii="Times New Roman" w:hAnsi="Times New Roman"/>
                <w:sz w:val="26"/>
                <w:szCs w:val="26"/>
              </w:rPr>
              <w:t xml:space="preserve">Ārstniecības personu </w:t>
            </w:r>
            <w:r w:rsidR="00934B83">
              <w:rPr>
                <w:rFonts w:ascii="Times New Roman" w:hAnsi="Times New Roman"/>
                <w:sz w:val="26"/>
                <w:szCs w:val="26"/>
              </w:rPr>
              <w:t xml:space="preserve">un ārstniecības atbalsta personu </w:t>
            </w:r>
            <w:r w:rsidR="00934B83" w:rsidRPr="009E0212">
              <w:rPr>
                <w:rFonts w:ascii="Times New Roman" w:hAnsi="Times New Roman"/>
                <w:sz w:val="26"/>
                <w:szCs w:val="26"/>
              </w:rPr>
              <w:t>un Farmaceitu un farmaceitu asistentu reģistriem</w:t>
            </w:r>
            <w:r w:rsidR="00934B83">
              <w:rPr>
                <w:rFonts w:ascii="Times New Roman" w:hAnsi="Times New Roman"/>
                <w:sz w:val="26"/>
                <w:szCs w:val="26"/>
              </w:rPr>
              <w:t>, bet personas identitāti apliecinošo dokumentu autentiskuma pārbaudi var veikt, izmantojot Iedzīvotāju reģistra datus. Tādēļ</w:t>
            </w:r>
            <w:r w:rsidR="003343AD" w:rsidRPr="0098180C">
              <w:rPr>
                <w:rFonts w:ascii="Times New Roman" w:hAnsi="Times New Roman"/>
                <w:sz w:val="26"/>
                <w:szCs w:val="26"/>
              </w:rPr>
              <w:t xml:space="preserve"> ir nepieciešams noteikt kārtību raitai informācijas apritei starp atbildīgajām institūcijām. Tādēļ ir </w:t>
            </w:r>
            <w:r w:rsidR="00456085" w:rsidRPr="0098180C">
              <w:rPr>
                <w:rFonts w:ascii="Times New Roman" w:hAnsi="Times New Roman"/>
                <w:sz w:val="26"/>
                <w:szCs w:val="26"/>
              </w:rPr>
              <w:t>jāparedz iespēja</w:t>
            </w:r>
            <w:r w:rsidR="00DD596F" w:rsidRPr="0098180C">
              <w:rPr>
                <w:rFonts w:ascii="Times New Roman" w:hAnsi="Times New Roman"/>
                <w:sz w:val="26"/>
                <w:szCs w:val="26"/>
              </w:rPr>
              <w:t xml:space="preserve"> AIC</w:t>
            </w:r>
            <w:r w:rsidR="00456085" w:rsidRPr="009E0212">
              <w:rPr>
                <w:rFonts w:ascii="Times New Roman" w:hAnsi="Times New Roman"/>
                <w:sz w:val="26"/>
                <w:szCs w:val="26"/>
              </w:rPr>
              <w:t xml:space="preserve"> savlaicīgi saņemt informāciju no </w:t>
            </w:r>
            <w:proofErr w:type="spellStart"/>
            <w:r w:rsidR="004A323C">
              <w:rPr>
                <w:rFonts w:ascii="Times New Roman" w:hAnsi="Times New Roman"/>
                <w:sz w:val="26"/>
                <w:szCs w:val="26"/>
              </w:rPr>
              <w:t>Iekšlietu</w:t>
            </w:r>
            <w:proofErr w:type="spellEnd"/>
            <w:r w:rsidR="004A323C">
              <w:rPr>
                <w:rFonts w:ascii="Times New Roman" w:hAnsi="Times New Roman"/>
                <w:sz w:val="26"/>
                <w:szCs w:val="26"/>
              </w:rPr>
              <w:t xml:space="preserve"> ministrijas Pilsonības un migrācijas lietu pārvaldes, kas pārzina </w:t>
            </w:r>
            <w:r w:rsidR="00456085" w:rsidRPr="009E0212">
              <w:rPr>
                <w:rFonts w:ascii="Times New Roman" w:hAnsi="Times New Roman"/>
                <w:sz w:val="26"/>
                <w:szCs w:val="26"/>
              </w:rPr>
              <w:t>Iedzīvotāju</w:t>
            </w:r>
            <w:r w:rsidR="004A323C">
              <w:rPr>
                <w:rFonts w:ascii="Times New Roman" w:hAnsi="Times New Roman"/>
                <w:sz w:val="26"/>
                <w:szCs w:val="26"/>
              </w:rPr>
              <w:t xml:space="preserve"> reģistru</w:t>
            </w:r>
            <w:r w:rsidR="00456085" w:rsidRPr="009E0212">
              <w:rPr>
                <w:rFonts w:ascii="Times New Roman" w:hAnsi="Times New Roman"/>
                <w:sz w:val="26"/>
                <w:szCs w:val="26"/>
              </w:rPr>
              <w:t xml:space="preserve">, </w:t>
            </w:r>
            <w:r w:rsidR="004A323C">
              <w:rPr>
                <w:rFonts w:ascii="Times New Roman" w:hAnsi="Times New Roman"/>
                <w:sz w:val="26"/>
                <w:szCs w:val="26"/>
              </w:rPr>
              <w:t xml:space="preserve">Veselības ministrijas Veselības inspekcijas, kas pārzina </w:t>
            </w:r>
            <w:r w:rsidR="00456085" w:rsidRPr="009E0212">
              <w:rPr>
                <w:rFonts w:ascii="Times New Roman" w:hAnsi="Times New Roman"/>
                <w:sz w:val="26"/>
                <w:szCs w:val="26"/>
              </w:rPr>
              <w:t xml:space="preserve">Ārstniecības personu </w:t>
            </w:r>
            <w:r w:rsidR="00934B83">
              <w:rPr>
                <w:rFonts w:ascii="Times New Roman" w:hAnsi="Times New Roman"/>
                <w:sz w:val="26"/>
                <w:szCs w:val="26"/>
              </w:rPr>
              <w:t xml:space="preserve">un ārstniecības atbalsta personu </w:t>
            </w:r>
            <w:r w:rsidR="00456085" w:rsidRPr="009E0212">
              <w:rPr>
                <w:rFonts w:ascii="Times New Roman" w:hAnsi="Times New Roman"/>
                <w:sz w:val="26"/>
                <w:szCs w:val="26"/>
              </w:rPr>
              <w:t xml:space="preserve">un </w:t>
            </w:r>
            <w:r w:rsidR="004A323C">
              <w:rPr>
                <w:rFonts w:ascii="Times New Roman" w:hAnsi="Times New Roman"/>
                <w:sz w:val="26"/>
                <w:szCs w:val="26"/>
              </w:rPr>
              <w:t xml:space="preserve">Latvijas Farmaceitu biedrības, kas pārzina </w:t>
            </w:r>
            <w:r w:rsidR="00456085" w:rsidRPr="009E0212">
              <w:rPr>
                <w:rFonts w:ascii="Times New Roman" w:hAnsi="Times New Roman"/>
                <w:sz w:val="26"/>
                <w:szCs w:val="26"/>
              </w:rPr>
              <w:t>Farmaceitu un farmaceitu asistentu reģistr</w:t>
            </w:r>
            <w:r w:rsidR="004A323C">
              <w:rPr>
                <w:rFonts w:ascii="Times New Roman" w:hAnsi="Times New Roman"/>
                <w:sz w:val="26"/>
                <w:szCs w:val="26"/>
              </w:rPr>
              <w:t>u</w:t>
            </w:r>
            <w:r w:rsidR="00456085" w:rsidRPr="009E0212">
              <w:rPr>
                <w:rFonts w:ascii="Times New Roman" w:hAnsi="Times New Roman"/>
                <w:sz w:val="26"/>
                <w:szCs w:val="26"/>
              </w:rPr>
              <w:t>, kā arī institūciju, kas izsniedz profesionālās kvalifikācijas atzīšanas apliecības reglamentētajās profesijās, sadarbību.</w:t>
            </w:r>
          </w:p>
          <w:p w14:paraId="3F8841E4" w14:textId="7F38DF4D" w:rsidR="00D91809" w:rsidRDefault="004B14D7" w:rsidP="0068307F">
            <w:pPr>
              <w:spacing w:after="0" w:line="240" w:lineRule="auto"/>
              <w:jc w:val="both"/>
              <w:rPr>
                <w:color w:val="1F4E79"/>
                <w:shd w:val="clear" w:color="auto" w:fill="FFFFFF"/>
              </w:rPr>
            </w:pPr>
            <w:r>
              <w:rPr>
                <w:rFonts w:ascii="Times New Roman" w:hAnsi="Times New Roman"/>
                <w:sz w:val="26"/>
                <w:szCs w:val="26"/>
              </w:rPr>
              <w:t xml:space="preserve">     </w:t>
            </w:r>
            <w:r w:rsidR="00A86BD3" w:rsidRPr="00A86BD3">
              <w:rPr>
                <w:rFonts w:ascii="Times New Roman" w:hAnsi="Times New Roman"/>
                <w:sz w:val="26"/>
                <w:szCs w:val="26"/>
              </w:rPr>
              <w:t>A</w:t>
            </w:r>
            <w:r w:rsidR="00A86BD3">
              <w:rPr>
                <w:rFonts w:ascii="Times New Roman" w:hAnsi="Times New Roman"/>
                <w:sz w:val="26"/>
                <w:szCs w:val="26"/>
              </w:rPr>
              <w:t>IC</w:t>
            </w:r>
            <w:r w:rsidR="00A86BD3" w:rsidRPr="00A86BD3">
              <w:rPr>
                <w:rFonts w:ascii="Times New Roman" w:hAnsi="Times New Roman"/>
                <w:sz w:val="26"/>
                <w:szCs w:val="26"/>
              </w:rPr>
              <w:t>, pārbaudot pretendenta</w:t>
            </w:r>
            <w:r w:rsidR="00A86BD3" w:rsidRPr="0068307F">
              <w:rPr>
                <w:rFonts w:ascii="Times New Roman" w:hAnsi="Times New Roman"/>
                <w:sz w:val="26"/>
                <w:szCs w:val="26"/>
              </w:rPr>
              <w:t xml:space="preserve"> iesniegtos dokumentus, veiks personas datu apstrādi, saņemot personas datus no trešajām personām</w:t>
            </w:r>
            <w:r w:rsidR="00A86BD3">
              <w:rPr>
                <w:rFonts w:ascii="Times New Roman" w:hAnsi="Times New Roman"/>
                <w:sz w:val="26"/>
                <w:szCs w:val="26"/>
              </w:rPr>
              <w:t xml:space="preserve">. </w:t>
            </w:r>
            <w:r w:rsidR="00A63820">
              <w:rPr>
                <w:rFonts w:ascii="Times New Roman" w:hAnsi="Times New Roman"/>
                <w:sz w:val="26"/>
                <w:szCs w:val="26"/>
              </w:rPr>
              <w:t xml:space="preserve">Kvalifikācijas atzīšanas likuma 56.panta trešās daļas 4.punktā ir noteikts, ka AIC „…nodrošina … ar pretendenta </w:t>
            </w:r>
            <w:r w:rsidR="00A63820">
              <w:rPr>
                <w:rFonts w:ascii="Times New Roman" w:hAnsi="Times New Roman"/>
                <w:sz w:val="26"/>
                <w:szCs w:val="26"/>
              </w:rPr>
              <w:lastRenderedPageBreak/>
              <w:t>personiskās lietas vešanu saistīto informāciju</w:t>
            </w:r>
            <w:r w:rsidR="00BE569B">
              <w:rPr>
                <w:rFonts w:ascii="Times New Roman" w:hAnsi="Times New Roman"/>
                <w:sz w:val="26"/>
                <w:szCs w:val="26"/>
              </w:rPr>
              <w:t>, tā</w:t>
            </w:r>
            <w:r w:rsidR="005437AC">
              <w:rPr>
                <w:rFonts w:ascii="Times New Roman" w:hAnsi="Times New Roman"/>
                <w:sz w:val="26"/>
                <w:szCs w:val="26"/>
              </w:rPr>
              <w:t>s</w:t>
            </w:r>
            <w:r w:rsidR="00BE569B">
              <w:rPr>
                <w:rFonts w:ascii="Times New Roman" w:hAnsi="Times New Roman"/>
                <w:sz w:val="26"/>
                <w:szCs w:val="26"/>
              </w:rPr>
              <w:t xml:space="preserve"> apstrādi un tālāku virzību</w:t>
            </w:r>
            <w:r w:rsidR="00A63820">
              <w:rPr>
                <w:rFonts w:ascii="Times New Roman" w:hAnsi="Times New Roman"/>
                <w:sz w:val="26"/>
                <w:szCs w:val="26"/>
              </w:rPr>
              <w:t xml:space="preserve">…”. </w:t>
            </w:r>
            <w:r w:rsidR="00D91809">
              <w:rPr>
                <w:rFonts w:ascii="Times New Roman" w:hAnsi="Times New Roman"/>
                <w:sz w:val="26"/>
                <w:szCs w:val="26"/>
              </w:rPr>
              <w:t xml:space="preserve">IMI sistēmas izmantošanā kopumā personas datu aizsardzība ir viens no galvenajiem mērķiem, tādēļ IMI sistēmā </w:t>
            </w:r>
            <w:r w:rsidR="005B284A">
              <w:rPr>
                <w:rFonts w:ascii="Times New Roman" w:hAnsi="Times New Roman"/>
                <w:sz w:val="26"/>
                <w:szCs w:val="26"/>
              </w:rPr>
              <w:t xml:space="preserve">pieeja datiem </w:t>
            </w:r>
            <w:r w:rsidR="00D91809">
              <w:rPr>
                <w:rFonts w:ascii="Times New Roman" w:hAnsi="Times New Roman"/>
                <w:sz w:val="26"/>
                <w:szCs w:val="26"/>
              </w:rPr>
              <w:t xml:space="preserve">ir ļoti ierobežota. IMI sistēma darbojas </w:t>
            </w:r>
            <w:r w:rsidR="005B284A">
              <w:rPr>
                <w:rFonts w:ascii="Times New Roman" w:hAnsi="Times New Roman"/>
                <w:sz w:val="26"/>
                <w:szCs w:val="26"/>
              </w:rPr>
              <w:t>saskaņā ar regul</w:t>
            </w:r>
            <w:r w:rsidR="00315A95">
              <w:rPr>
                <w:rFonts w:ascii="Times New Roman" w:hAnsi="Times New Roman"/>
                <w:sz w:val="26"/>
                <w:szCs w:val="26"/>
              </w:rPr>
              <w:t>u</w:t>
            </w:r>
            <w:r w:rsidR="005B284A" w:rsidRPr="00106649">
              <w:rPr>
                <w:rFonts w:ascii="Times New Roman" w:hAnsi="Times New Roman"/>
                <w:sz w:val="26"/>
                <w:szCs w:val="26"/>
              </w:rPr>
              <w:t xml:space="preserve"> Nr.1024/2012</w:t>
            </w:r>
            <w:r w:rsidR="00315A95">
              <w:rPr>
                <w:rFonts w:ascii="Times New Roman" w:hAnsi="Times New Roman"/>
                <w:sz w:val="26"/>
                <w:szCs w:val="26"/>
              </w:rPr>
              <w:t xml:space="preserve">, kura ievēro </w:t>
            </w:r>
            <w:r w:rsidR="00315A95" w:rsidRPr="009E0212">
              <w:rPr>
                <w:rFonts w:ascii="Times New Roman" w:hAnsi="Times New Roman"/>
                <w:sz w:val="26"/>
                <w:szCs w:val="26"/>
              </w:rPr>
              <w:t xml:space="preserve">Eiropas Parlamenta un Padomes </w:t>
            </w:r>
            <w:r w:rsidR="00315A95">
              <w:rPr>
                <w:rFonts w:ascii="Times New Roman" w:hAnsi="Times New Roman"/>
                <w:sz w:val="26"/>
                <w:szCs w:val="26"/>
              </w:rPr>
              <w:t>1995</w:t>
            </w:r>
            <w:r w:rsidR="00315A95" w:rsidRPr="009E0212">
              <w:rPr>
                <w:rFonts w:ascii="Times New Roman" w:hAnsi="Times New Roman"/>
                <w:sz w:val="26"/>
                <w:szCs w:val="26"/>
              </w:rPr>
              <w:t xml:space="preserve">.gada </w:t>
            </w:r>
            <w:r w:rsidR="00315A95">
              <w:rPr>
                <w:rFonts w:ascii="Times New Roman" w:hAnsi="Times New Roman"/>
                <w:sz w:val="26"/>
                <w:szCs w:val="26"/>
              </w:rPr>
              <w:t>24.oktobra</w:t>
            </w:r>
            <w:r w:rsidR="00315A95" w:rsidRPr="009E0212">
              <w:rPr>
                <w:rFonts w:ascii="Times New Roman" w:hAnsi="Times New Roman"/>
                <w:sz w:val="26"/>
                <w:szCs w:val="26"/>
              </w:rPr>
              <w:t xml:space="preserve"> Direktīvu </w:t>
            </w:r>
            <w:r w:rsidR="00315A95">
              <w:rPr>
                <w:rFonts w:ascii="Times New Roman" w:hAnsi="Times New Roman"/>
                <w:sz w:val="26"/>
                <w:szCs w:val="26"/>
              </w:rPr>
              <w:t>95/46</w:t>
            </w:r>
            <w:r w:rsidR="00315A95" w:rsidRPr="009E0212">
              <w:rPr>
                <w:rFonts w:ascii="Times New Roman" w:hAnsi="Times New Roman"/>
                <w:sz w:val="26"/>
                <w:szCs w:val="26"/>
              </w:rPr>
              <w:t>/EK</w:t>
            </w:r>
            <w:r w:rsidR="00315A95">
              <w:rPr>
                <w:rFonts w:ascii="Times New Roman" w:hAnsi="Times New Roman"/>
                <w:sz w:val="26"/>
                <w:szCs w:val="26"/>
              </w:rPr>
              <w:t xml:space="preserve"> par personu aizsardzību attiecībā uz personu datu apstrādi un šādu datu brīvu apriti, kā arī citiem Eiropas Savienības ties</w:t>
            </w:r>
            <w:r w:rsidR="004E4780">
              <w:rPr>
                <w:rFonts w:ascii="Times New Roman" w:hAnsi="Times New Roman"/>
                <w:sz w:val="26"/>
                <w:szCs w:val="26"/>
              </w:rPr>
              <w:t xml:space="preserve">ību aktiem. </w:t>
            </w:r>
          </w:p>
          <w:p w14:paraId="717E07FD" w14:textId="0E27F358" w:rsidR="00D91809" w:rsidRPr="00A86BD3" w:rsidRDefault="00D7462A" w:rsidP="00B80C92">
            <w:pPr>
              <w:spacing w:after="0" w:line="240" w:lineRule="auto"/>
              <w:jc w:val="both"/>
              <w:rPr>
                <w:rFonts w:ascii="Times New Roman" w:hAnsi="Times New Roman"/>
                <w:sz w:val="26"/>
                <w:szCs w:val="26"/>
              </w:rPr>
            </w:pPr>
            <w:r>
              <w:rPr>
                <w:rFonts w:ascii="Times New Roman" w:hAnsi="Times New Roman"/>
                <w:sz w:val="26"/>
                <w:szCs w:val="26"/>
              </w:rPr>
              <w:t xml:space="preserve">Noteikumi Nr.848 nosaka, ka personu datu apmaiņa un apstrāde notiek </w:t>
            </w:r>
            <w:r w:rsidR="001F7670">
              <w:rPr>
                <w:rFonts w:ascii="Times New Roman" w:hAnsi="Times New Roman"/>
                <w:sz w:val="26"/>
                <w:szCs w:val="26"/>
              </w:rPr>
              <w:t>saskaņā ar</w:t>
            </w:r>
            <w:r>
              <w:rPr>
                <w:rFonts w:ascii="Times New Roman" w:hAnsi="Times New Roman"/>
                <w:sz w:val="26"/>
                <w:szCs w:val="26"/>
              </w:rPr>
              <w:t xml:space="preserve"> regul</w:t>
            </w:r>
            <w:r w:rsidR="001F7670">
              <w:rPr>
                <w:rFonts w:ascii="Times New Roman" w:hAnsi="Times New Roman"/>
                <w:sz w:val="26"/>
                <w:szCs w:val="26"/>
              </w:rPr>
              <w:t>u</w:t>
            </w:r>
            <w:r>
              <w:rPr>
                <w:rFonts w:ascii="Times New Roman" w:hAnsi="Times New Roman"/>
                <w:sz w:val="26"/>
                <w:szCs w:val="26"/>
              </w:rPr>
              <w:t xml:space="preserve"> Nr. 1024/2012 un normat</w:t>
            </w:r>
            <w:r w:rsidR="001F7670">
              <w:rPr>
                <w:rFonts w:ascii="Times New Roman" w:hAnsi="Times New Roman"/>
                <w:sz w:val="26"/>
                <w:szCs w:val="26"/>
              </w:rPr>
              <w:t>īvajiem</w:t>
            </w:r>
            <w:r>
              <w:rPr>
                <w:rFonts w:ascii="Times New Roman" w:hAnsi="Times New Roman"/>
                <w:sz w:val="26"/>
                <w:szCs w:val="26"/>
              </w:rPr>
              <w:t xml:space="preserve"> akt</w:t>
            </w:r>
            <w:r w:rsidR="001F7670">
              <w:rPr>
                <w:rFonts w:ascii="Times New Roman" w:hAnsi="Times New Roman"/>
                <w:sz w:val="26"/>
                <w:szCs w:val="26"/>
              </w:rPr>
              <w:t>iem</w:t>
            </w:r>
            <w:r>
              <w:rPr>
                <w:rFonts w:ascii="Times New Roman" w:hAnsi="Times New Roman"/>
                <w:sz w:val="26"/>
                <w:szCs w:val="26"/>
              </w:rPr>
              <w:t xml:space="preserve"> datu aizsardzības jom</w:t>
            </w:r>
            <w:r w:rsidR="001F7670">
              <w:rPr>
                <w:rFonts w:ascii="Times New Roman" w:hAnsi="Times New Roman"/>
                <w:sz w:val="26"/>
                <w:szCs w:val="26"/>
              </w:rPr>
              <w:t>ā</w:t>
            </w:r>
            <w:r w:rsidR="00AC01F7">
              <w:rPr>
                <w:rFonts w:ascii="Times New Roman" w:hAnsi="Times New Roman"/>
                <w:sz w:val="26"/>
                <w:szCs w:val="26"/>
              </w:rPr>
              <w:t>.</w:t>
            </w:r>
          </w:p>
          <w:p w14:paraId="229289A5" w14:textId="479F98D5" w:rsidR="0046343F" w:rsidRDefault="0046343F" w:rsidP="00B80C92">
            <w:pPr>
              <w:spacing w:after="0" w:line="240" w:lineRule="auto"/>
              <w:jc w:val="both"/>
              <w:rPr>
                <w:rFonts w:ascii="Times New Roman" w:hAnsi="Times New Roman"/>
                <w:sz w:val="26"/>
                <w:szCs w:val="26"/>
              </w:rPr>
            </w:pPr>
            <w:r>
              <w:rPr>
                <w:rFonts w:ascii="Times New Roman" w:hAnsi="Times New Roman"/>
                <w:sz w:val="26"/>
                <w:szCs w:val="26"/>
              </w:rPr>
              <w:t xml:space="preserve">     Lēmumu par EPK izdošanu, atteikumu izdot vai pagarināt EPK derīguma termiņu ir jāpieņem viena mēneša laikā</w:t>
            </w:r>
            <w:r w:rsidR="00402242">
              <w:rPr>
                <w:rFonts w:ascii="Times New Roman" w:hAnsi="Times New Roman"/>
                <w:sz w:val="26"/>
                <w:szCs w:val="26"/>
              </w:rPr>
              <w:t xml:space="preserve">, </w:t>
            </w:r>
            <w:r w:rsidR="00850CD2">
              <w:rPr>
                <w:rFonts w:ascii="Times New Roman" w:hAnsi="Times New Roman"/>
                <w:sz w:val="26"/>
                <w:szCs w:val="26"/>
              </w:rPr>
              <w:t xml:space="preserve">tomēr gadījumos, kad </w:t>
            </w:r>
            <w:r w:rsidR="00DF3C77">
              <w:rPr>
                <w:rFonts w:ascii="Times New Roman" w:hAnsi="Times New Roman"/>
                <w:sz w:val="26"/>
                <w:szCs w:val="26"/>
              </w:rPr>
              <w:t xml:space="preserve">objektīvi </w:t>
            </w:r>
            <w:r w:rsidR="00850CD2">
              <w:rPr>
                <w:rFonts w:ascii="Times New Roman" w:hAnsi="Times New Roman"/>
                <w:sz w:val="26"/>
                <w:szCs w:val="26"/>
              </w:rPr>
              <w:t xml:space="preserve">nepieciešama papildus informācijas iegūšana vai pārbaude, ir iespējams lēmuma pieņemšanas termiņu pagarināt. </w:t>
            </w:r>
            <w:r w:rsidR="00DF3C77">
              <w:rPr>
                <w:rFonts w:ascii="Times New Roman" w:hAnsi="Times New Roman"/>
                <w:sz w:val="26"/>
                <w:szCs w:val="26"/>
              </w:rPr>
              <w:t xml:space="preserve">Grozījumu direktīvā atļautais </w:t>
            </w:r>
            <w:r w:rsidR="00911F01">
              <w:rPr>
                <w:rFonts w:ascii="Times New Roman" w:hAnsi="Times New Roman"/>
                <w:sz w:val="26"/>
                <w:szCs w:val="26"/>
              </w:rPr>
              <w:t>maksimālais termiņa, par kuru var pagarināt lēmuma par profesionālās kartes izdošanu pieņemšanu, pagarinājums ir īsāks nekā</w:t>
            </w:r>
            <w:r w:rsidR="00DF3C77">
              <w:rPr>
                <w:rFonts w:ascii="Times New Roman" w:hAnsi="Times New Roman"/>
                <w:sz w:val="26"/>
                <w:szCs w:val="26"/>
              </w:rPr>
              <w:t xml:space="preserve"> </w:t>
            </w:r>
            <w:r w:rsidR="00850CD2">
              <w:rPr>
                <w:rFonts w:ascii="Times New Roman" w:hAnsi="Times New Roman"/>
                <w:sz w:val="26"/>
                <w:szCs w:val="26"/>
              </w:rPr>
              <w:t>Administratīvā procesa liku</w:t>
            </w:r>
            <w:r w:rsidR="00911F01">
              <w:rPr>
                <w:rFonts w:ascii="Times New Roman" w:hAnsi="Times New Roman"/>
                <w:sz w:val="26"/>
                <w:szCs w:val="26"/>
              </w:rPr>
              <w:t>mā</w:t>
            </w:r>
            <w:r w:rsidR="00850CD2">
              <w:rPr>
                <w:rFonts w:ascii="Times New Roman" w:hAnsi="Times New Roman"/>
                <w:sz w:val="26"/>
                <w:szCs w:val="26"/>
              </w:rPr>
              <w:t xml:space="preserve"> pieļa</w:t>
            </w:r>
            <w:r w:rsidR="00911F01">
              <w:rPr>
                <w:rFonts w:ascii="Times New Roman" w:hAnsi="Times New Roman"/>
                <w:sz w:val="26"/>
                <w:szCs w:val="26"/>
              </w:rPr>
              <w:t>utais.</w:t>
            </w:r>
            <w:r w:rsidR="00850CD2">
              <w:rPr>
                <w:rFonts w:ascii="Times New Roman" w:hAnsi="Times New Roman"/>
                <w:sz w:val="26"/>
                <w:szCs w:val="26"/>
              </w:rPr>
              <w:t xml:space="preserve"> </w:t>
            </w:r>
            <w:r>
              <w:rPr>
                <w:rFonts w:ascii="Times New Roman" w:hAnsi="Times New Roman"/>
                <w:sz w:val="26"/>
                <w:szCs w:val="26"/>
              </w:rPr>
              <w:t xml:space="preserve"> </w:t>
            </w:r>
          </w:p>
          <w:p w14:paraId="0D8925BB" w14:textId="50B70AB4" w:rsidR="00367870" w:rsidRPr="009E0212" w:rsidRDefault="00367870" w:rsidP="00B80C92">
            <w:pPr>
              <w:spacing w:after="0" w:line="240" w:lineRule="auto"/>
              <w:jc w:val="both"/>
              <w:rPr>
                <w:rFonts w:ascii="Times New Roman" w:hAnsi="Times New Roman"/>
                <w:sz w:val="26"/>
                <w:szCs w:val="26"/>
              </w:rPr>
            </w:pPr>
            <w:r>
              <w:rPr>
                <w:rFonts w:ascii="Times New Roman" w:hAnsi="Times New Roman"/>
                <w:sz w:val="26"/>
                <w:szCs w:val="26"/>
              </w:rPr>
              <w:t xml:space="preserve">     </w:t>
            </w:r>
            <w:r w:rsidR="002D44DE" w:rsidRPr="00886405">
              <w:rPr>
                <w:rFonts w:ascii="Times New Roman" w:hAnsi="Times New Roman"/>
                <w:sz w:val="26"/>
                <w:szCs w:val="26"/>
              </w:rPr>
              <w:t>EPK izdošana ir maksas pakalpojums un samaksas apjoms ir noteikts Ministru kabineta 2015.gada 14.jūlija noteikumos Nr.409 „</w:t>
            </w:r>
            <w:r w:rsidR="002D44DE" w:rsidRPr="0068307F">
              <w:rPr>
                <w:rFonts w:ascii="Times New Roman" w:hAnsi="Times New Roman"/>
                <w:bCs/>
                <w:sz w:val="26"/>
                <w:szCs w:val="26"/>
              </w:rPr>
              <w:t>Nodibinājuma "Akadēmiskās informācijas centrs" maksas pakalpojumu cenrādis”</w:t>
            </w:r>
            <w:r w:rsidR="009962B7" w:rsidRPr="0068307F">
              <w:rPr>
                <w:rFonts w:ascii="Times New Roman" w:hAnsi="Times New Roman"/>
                <w:bCs/>
                <w:sz w:val="26"/>
                <w:szCs w:val="26"/>
              </w:rPr>
              <w:t xml:space="preserve"> (turpmāk – noteikumi Nr.409)</w:t>
            </w:r>
            <w:r w:rsidR="002D44DE" w:rsidRPr="0068307F">
              <w:rPr>
                <w:rFonts w:ascii="Times New Roman" w:hAnsi="Times New Roman"/>
                <w:bCs/>
                <w:sz w:val="26"/>
                <w:szCs w:val="26"/>
              </w:rPr>
              <w:t>, kura grozījumi izsludināti Valsts sekretāru sanāksmē 2016.gada 14.janvār</w:t>
            </w:r>
            <w:r w:rsidR="00B713FC" w:rsidRPr="0068307F">
              <w:rPr>
                <w:rFonts w:ascii="Times New Roman" w:hAnsi="Times New Roman"/>
                <w:bCs/>
                <w:sz w:val="26"/>
                <w:szCs w:val="26"/>
              </w:rPr>
              <w:t>ī (VSS-</w:t>
            </w:r>
            <w:r w:rsidR="002D44DE" w:rsidRPr="0068307F">
              <w:rPr>
                <w:rFonts w:ascii="Times New Roman" w:hAnsi="Times New Roman"/>
                <w:bCs/>
                <w:sz w:val="26"/>
                <w:szCs w:val="26"/>
              </w:rPr>
              <w:t xml:space="preserve">31). </w:t>
            </w:r>
            <w:r w:rsidR="009962B7" w:rsidRPr="0068307F">
              <w:rPr>
                <w:rFonts w:ascii="Times New Roman" w:hAnsi="Times New Roman"/>
                <w:bCs/>
                <w:sz w:val="26"/>
                <w:szCs w:val="26"/>
              </w:rPr>
              <w:t>Informācija par samaksas apjomu pretendentam būs pieejama IMI sistēm</w:t>
            </w:r>
            <w:r w:rsidR="00521F35" w:rsidRPr="0068307F">
              <w:rPr>
                <w:rFonts w:ascii="Times New Roman" w:hAnsi="Times New Roman"/>
                <w:bCs/>
                <w:sz w:val="26"/>
                <w:szCs w:val="26"/>
              </w:rPr>
              <w:t>ā saskaņā ar regulas Nr.2015/983 3.pantu,</w:t>
            </w:r>
            <w:r w:rsidR="009962B7" w:rsidRPr="0068307F">
              <w:rPr>
                <w:rFonts w:ascii="Times New Roman" w:hAnsi="Times New Roman"/>
                <w:bCs/>
                <w:sz w:val="26"/>
                <w:szCs w:val="26"/>
              </w:rPr>
              <w:t xml:space="preserve"> kur tā būs ievadīta nekavējoties pēc</w:t>
            </w:r>
            <w:r w:rsidR="002B1AC7">
              <w:rPr>
                <w:rFonts w:ascii="Times New Roman" w:hAnsi="Times New Roman"/>
                <w:bCs/>
                <w:sz w:val="26"/>
                <w:szCs w:val="26"/>
              </w:rPr>
              <w:t xml:space="preserve"> grozījumu</w:t>
            </w:r>
            <w:r w:rsidR="009962B7" w:rsidRPr="0068307F">
              <w:rPr>
                <w:rFonts w:ascii="Times New Roman" w:hAnsi="Times New Roman"/>
                <w:bCs/>
                <w:sz w:val="26"/>
                <w:szCs w:val="26"/>
              </w:rPr>
              <w:t xml:space="preserve"> noteikum</w:t>
            </w:r>
            <w:r w:rsidR="002B1AC7">
              <w:rPr>
                <w:rFonts w:ascii="Times New Roman" w:hAnsi="Times New Roman"/>
                <w:bCs/>
                <w:sz w:val="26"/>
                <w:szCs w:val="26"/>
              </w:rPr>
              <w:t>os</w:t>
            </w:r>
            <w:r w:rsidR="009962B7" w:rsidRPr="0068307F">
              <w:rPr>
                <w:rFonts w:ascii="Times New Roman" w:hAnsi="Times New Roman"/>
                <w:bCs/>
                <w:sz w:val="26"/>
                <w:szCs w:val="26"/>
              </w:rPr>
              <w:t xml:space="preserve"> Nr.409 stāšanās spēkā. </w:t>
            </w:r>
            <w:r w:rsidR="00521F35" w:rsidRPr="0068307F">
              <w:rPr>
                <w:rFonts w:ascii="Times New Roman" w:hAnsi="Times New Roman"/>
                <w:bCs/>
                <w:sz w:val="26"/>
                <w:szCs w:val="26"/>
              </w:rPr>
              <w:t>Apliecinājums par veikto samaksu ir viens no</w:t>
            </w:r>
            <w:r w:rsidR="00DF2B0D" w:rsidRPr="0068307F">
              <w:rPr>
                <w:rFonts w:ascii="Times New Roman" w:hAnsi="Times New Roman"/>
                <w:bCs/>
                <w:sz w:val="26"/>
                <w:szCs w:val="26"/>
              </w:rPr>
              <w:t xml:space="preserve"> pretendenta</w:t>
            </w:r>
            <w:r w:rsidR="00521F35" w:rsidRPr="0068307F">
              <w:rPr>
                <w:rFonts w:ascii="Times New Roman" w:hAnsi="Times New Roman"/>
                <w:bCs/>
                <w:sz w:val="26"/>
                <w:szCs w:val="26"/>
              </w:rPr>
              <w:t xml:space="preserve"> iesniedzamajiem dokumentiem, līdz ar to, ja pretendents samaksu neveic, </w:t>
            </w:r>
            <w:r w:rsidR="000E764E" w:rsidRPr="0068307F">
              <w:rPr>
                <w:rFonts w:ascii="Times New Roman" w:hAnsi="Times New Roman"/>
                <w:bCs/>
                <w:sz w:val="26"/>
                <w:szCs w:val="26"/>
              </w:rPr>
              <w:t>vienas nedēļas laikā pretendents tiek informēts, ka EPK saņemšanai iesniegto dokumentu kopa nav piln</w:t>
            </w:r>
            <w:r w:rsidR="00DF2B0D" w:rsidRPr="0068307F">
              <w:rPr>
                <w:rFonts w:ascii="Times New Roman" w:hAnsi="Times New Roman"/>
                <w:bCs/>
                <w:sz w:val="26"/>
                <w:szCs w:val="26"/>
              </w:rPr>
              <w:t xml:space="preserve">īga un tikai pēc visu dokumentu iesniegšanas tiek turpināta EPK pieteikuma izskatīšana. </w:t>
            </w:r>
          </w:p>
          <w:p w14:paraId="68A9A00E" w14:textId="77777777" w:rsidR="00932CA8" w:rsidRDefault="00ED2AE9" w:rsidP="00B80C92">
            <w:pPr>
              <w:spacing w:after="0" w:line="240" w:lineRule="auto"/>
              <w:jc w:val="both"/>
              <w:rPr>
                <w:rFonts w:ascii="Times New Roman" w:hAnsi="Times New Roman"/>
                <w:bCs/>
                <w:sz w:val="26"/>
                <w:szCs w:val="26"/>
              </w:rPr>
            </w:pPr>
            <w:r w:rsidRPr="009E0212">
              <w:rPr>
                <w:rFonts w:ascii="Times New Roman" w:hAnsi="Times New Roman"/>
                <w:bCs/>
                <w:sz w:val="26"/>
                <w:szCs w:val="26"/>
              </w:rPr>
              <w:t xml:space="preserve">     </w:t>
            </w:r>
            <w:r w:rsidR="00991E49" w:rsidRPr="009E0212">
              <w:rPr>
                <w:rFonts w:ascii="Times New Roman" w:hAnsi="Times New Roman"/>
                <w:bCs/>
                <w:sz w:val="26"/>
                <w:szCs w:val="26"/>
              </w:rPr>
              <w:t>Grozījumu d</w:t>
            </w:r>
            <w:r w:rsidR="00323B8C" w:rsidRPr="009E0212">
              <w:rPr>
                <w:rFonts w:ascii="Times New Roman" w:hAnsi="Times New Roman"/>
                <w:bCs/>
                <w:sz w:val="26"/>
                <w:szCs w:val="26"/>
              </w:rPr>
              <w:t xml:space="preserve">irektīva </w:t>
            </w:r>
            <w:r w:rsidR="00F5643D" w:rsidRPr="009E0212">
              <w:rPr>
                <w:rFonts w:ascii="Times New Roman" w:hAnsi="Times New Roman"/>
                <w:bCs/>
                <w:sz w:val="26"/>
                <w:szCs w:val="26"/>
              </w:rPr>
              <w:t xml:space="preserve">nosaka pienākumu ikvienai dalībvalstij nodrošināt </w:t>
            </w:r>
            <w:r w:rsidR="00FE08E8" w:rsidRPr="009E0212">
              <w:rPr>
                <w:rFonts w:ascii="Times New Roman" w:hAnsi="Times New Roman"/>
                <w:bCs/>
                <w:sz w:val="26"/>
                <w:szCs w:val="26"/>
              </w:rPr>
              <w:t>brīdinājumu izsūtīšanu</w:t>
            </w:r>
            <w:r w:rsidR="00F5643D" w:rsidRPr="009E0212">
              <w:rPr>
                <w:rFonts w:ascii="Times New Roman" w:hAnsi="Times New Roman"/>
                <w:bCs/>
                <w:sz w:val="26"/>
                <w:szCs w:val="26"/>
              </w:rPr>
              <w:t xml:space="preserve">, t.i., </w:t>
            </w:r>
            <w:proofErr w:type="spellStart"/>
            <w:r w:rsidR="00F5643D" w:rsidRPr="009E0212">
              <w:rPr>
                <w:rFonts w:ascii="Times New Roman" w:hAnsi="Times New Roman"/>
                <w:bCs/>
                <w:sz w:val="26"/>
                <w:szCs w:val="26"/>
              </w:rPr>
              <w:t>proaktīvi</w:t>
            </w:r>
            <w:proofErr w:type="spellEnd"/>
            <w:r w:rsidR="00F5643D" w:rsidRPr="009E0212">
              <w:rPr>
                <w:rFonts w:ascii="Times New Roman" w:hAnsi="Times New Roman"/>
                <w:bCs/>
                <w:sz w:val="26"/>
                <w:szCs w:val="26"/>
              </w:rPr>
              <w:t xml:space="preserve"> brīdināt citas dalībvalstis par to, ka personai ar profesionālo kvalifikāciju reglamentētajā profesijā, kas skar sabiedrības veselību vai </w:t>
            </w:r>
            <w:r w:rsidR="00D72808" w:rsidRPr="009E0212">
              <w:rPr>
                <w:rFonts w:ascii="Times New Roman" w:hAnsi="Times New Roman"/>
                <w:bCs/>
                <w:sz w:val="26"/>
                <w:szCs w:val="26"/>
              </w:rPr>
              <w:t>veterinārmedicīnu, vai</w:t>
            </w:r>
            <w:r w:rsidR="00F5643D" w:rsidRPr="009E0212">
              <w:rPr>
                <w:rFonts w:ascii="Times New Roman" w:hAnsi="Times New Roman"/>
                <w:bCs/>
                <w:sz w:val="26"/>
                <w:szCs w:val="26"/>
              </w:rPr>
              <w:t xml:space="preserve"> kurā profesionālā darbība ir saistīta ar b</w:t>
            </w:r>
            <w:r w:rsidR="00D72808" w:rsidRPr="009E0212">
              <w:rPr>
                <w:rFonts w:ascii="Times New Roman" w:hAnsi="Times New Roman"/>
                <w:bCs/>
                <w:sz w:val="26"/>
                <w:szCs w:val="26"/>
              </w:rPr>
              <w:t>ērniem</w:t>
            </w:r>
            <w:r w:rsidR="00F5643D" w:rsidRPr="009E0212">
              <w:rPr>
                <w:rFonts w:ascii="Times New Roman" w:hAnsi="Times New Roman"/>
                <w:bCs/>
                <w:sz w:val="26"/>
                <w:szCs w:val="26"/>
              </w:rPr>
              <w:t xml:space="preserve">, ir ierobežotas vai liegtas tiesības strādāt profesijā. </w:t>
            </w:r>
            <w:r w:rsidR="00FE08E8" w:rsidRPr="009E0212">
              <w:rPr>
                <w:rFonts w:ascii="Times New Roman" w:hAnsi="Times New Roman"/>
                <w:bCs/>
                <w:sz w:val="26"/>
                <w:szCs w:val="26"/>
              </w:rPr>
              <w:t xml:space="preserve">Brīdinājums ir </w:t>
            </w:r>
            <w:proofErr w:type="spellStart"/>
            <w:r w:rsidR="00FE08E8" w:rsidRPr="009E0212">
              <w:rPr>
                <w:rFonts w:ascii="Times New Roman" w:hAnsi="Times New Roman"/>
                <w:bCs/>
                <w:sz w:val="26"/>
                <w:szCs w:val="26"/>
              </w:rPr>
              <w:t>jānosūta</w:t>
            </w:r>
            <w:proofErr w:type="spellEnd"/>
            <w:r w:rsidR="00FE08E8" w:rsidRPr="009E0212">
              <w:rPr>
                <w:rFonts w:ascii="Times New Roman" w:hAnsi="Times New Roman"/>
                <w:bCs/>
                <w:sz w:val="26"/>
                <w:szCs w:val="26"/>
              </w:rPr>
              <w:t xml:space="preserve"> neatkarīgi no tā, vai persona, uz kuru tas attiecas, ir izmantojis kādas tiesības saskaņā ar direktīvu 2005/36</w:t>
            </w:r>
            <w:r w:rsidR="00FE08E8" w:rsidRPr="00DF3B26">
              <w:rPr>
                <w:rFonts w:ascii="Times New Roman" w:hAnsi="Times New Roman"/>
                <w:bCs/>
                <w:sz w:val="26"/>
                <w:szCs w:val="26"/>
              </w:rPr>
              <w:t xml:space="preserve">/EK vai pieteicies savas profesionālās kvalifikācijas atzīšanai. </w:t>
            </w:r>
            <w:r w:rsidR="00840E0E" w:rsidRPr="00DF3B26">
              <w:rPr>
                <w:rFonts w:ascii="Times New Roman" w:hAnsi="Times New Roman"/>
                <w:bCs/>
                <w:sz w:val="26"/>
                <w:szCs w:val="26"/>
              </w:rPr>
              <w:t>Projekts nosaka, ka tiesa</w:t>
            </w:r>
            <w:r w:rsidR="00F55426" w:rsidRPr="00DF3B26">
              <w:rPr>
                <w:rFonts w:ascii="Times New Roman" w:hAnsi="Times New Roman"/>
                <w:bCs/>
                <w:sz w:val="26"/>
                <w:szCs w:val="26"/>
              </w:rPr>
              <w:t xml:space="preserve"> vai institūcijas, kas sertificē personas ar profesionālo kvalifikāciju vai izsniedz profesionālās kvalifikācijas atzīšanas apliecības</w:t>
            </w:r>
            <w:r w:rsidR="00840E0E" w:rsidRPr="00DF3B26">
              <w:rPr>
                <w:rFonts w:ascii="Times New Roman" w:hAnsi="Times New Roman"/>
                <w:bCs/>
                <w:sz w:val="26"/>
                <w:szCs w:val="26"/>
              </w:rPr>
              <w:t xml:space="preserve"> </w:t>
            </w:r>
            <w:r w:rsidR="00F55426" w:rsidRPr="00DF3B26">
              <w:rPr>
                <w:rFonts w:ascii="Times New Roman" w:hAnsi="Times New Roman"/>
                <w:bCs/>
                <w:sz w:val="26"/>
                <w:szCs w:val="26"/>
              </w:rPr>
              <w:t xml:space="preserve">reglamentētajās profesijās, </w:t>
            </w:r>
            <w:r w:rsidR="00840E0E" w:rsidRPr="00DF3B26">
              <w:rPr>
                <w:rFonts w:ascii="Times New Roman" w:hAnsi="Times New Roman"/>
                <w:bCs/>
                <w:sz w:val="26"/>
                <w:szCs w:val="26"/>
              </w:rPr>
              <w:lastRenderedPageBreak/>
              <w:t>elektroniski paziņo</w:t>
            </w:r>
            <w:r w:rsidR="00A26B41">
              <w:rPr>
                <w:rFonts w:ascii="Times New Roman" w:hAnsi="Times New Roman"/>
                <w:bCs/>
                <w:sz w:val="26"/>
                <w:szCs w:val="26"/>
              </w:rPr>
              <w:t xml:space="preserve"> attiecīgo</w:t>
            </w:r>
            <w:r w:rsidR="00840E0E" w:rsidRPr="00DF3B26">
              <w:rPr>
                <w:rFonts w:ascii="Times New Roman" w:hAnsi="Times New Roman"/>
                <w:bCs/>
                <w:sz w:val="26"/>
                <w:szCs w:val="26"/>
              </w:rPr>
              <w:t xml:space="preserve"> nolēmumu</w:t>
            </w:r>
            <w:r w:rsidR="00A26B41">
              <w:rPr>
                <w:rFonts w:ascii="Times New Roman" w:hAnsi="Times New Roman"/>
                <w:bCs/>
                <w:sz w:val="26"/>
                <w:szCs w:val="26"/>
              </w:rPr>
              <w:t xml:space="preserve">, ar kuru personai </w:t>
            </w:r>
            <w:r w:rsidR="00A26B41" w:rsidRPr="009E0212">
              <w:rPr>
                <w:rFonts w:ascii="Times New Roman" w:hAnsi="Times New Roman"/>
                <w:bCs/>
                <w:sz w:val="26"/>
                <w:szCs w:val="26"/>
              </w:rPr>
              <w:t>ierobežotas vai liegtas tiesības strādāt profesijā</w:t>
            </w:r>
            <w:r w:rsidR="00A26B41">
              <w:rPr>
                <w:rFonts w:ascii="Times New Roman" w:hAnsi="Times New Roman"/>
                <w:bCs/>
                <w:sz w:val="26"/>
                <w:szCs w:val="26"/>
              </w:rPr>
              <w:t>,</w:t>
            </w:r>
            <w:r w:rsidR="00840E0E" w:rsidRPr="00DF3B26">
              <w:rPr>
                <w:rFonts w:ascii="Times New Roman" w:hAnsi="Times New Roman"/>
                <w:bCs/>
                <w:sz w:val="26"/>
                <w:szCs w:val="26"/>
              </w:rPr>
              <w:t xml:space="preserve"> AIC, kas to ievietos IMI</w:t>
            </w:r>
            <w:r w:rsidR="00746B70">
              <w:rPr>
                <w:rFonts w:ascii="Times New Roman" w:hAnsi="Times New Roman"/>
                <w:bCs/>
                <w:sz w:val="26"/>
                <w:szCs w:val="26"/>
              </w:rPr>
              <w:t xml:space="preserve"> sistēmā</w:t>
            </w:r>
            <w:r w:rsidR="00840E0E" w:rsidRPr="00DF3B26">
              <w:rPr>
                <w:rFonts w:ascii="Times New Roman" w:hAnsi="Times New Roman"/>
                <w:bCs/>
                <w:sz w:val="26"/>
                <w:szCs w:val="26"/>
              </w:rPr>
              <w:t>.</w:t>
            </w:r>
            <w:r w:rsidR="00D01F29" w:rsidRPr="00DF3B26">
              <w:rPr>
                <w:rFonts w:ascii="Times New Roman" w:hAnsi="Times New Roman"/>
                <w:bCs/>
                <w:sz w:val="26"/>
                <w:szCs w:val="26"/>
              </w:rPr>
              <w:t xml:space="preserve"> </w:t>
            </w:r>
          </w:p>
          <w:p w14:paraId="73F7D04E" w14:textId="6363B955" w:rsidR="00932CA8" w:rsidRDefault="00932CA8" w:rsidP="00B80C92">
            <w:pPr>
              <w:spacing w:after="0" w:line="240" w:lineRule="auto"/>
              <w:jc w:val="both"/>
              <w:rPr>
                <w:rFonts w:ascii="Times New Roman" w:hAnsi="Times New Roman"/>
                <w:bCs/>
                <w:sz w:val="26"/>
                <w:szCs w:val="26"/>
              </w:rPr>
            </w:pPr>
            <w:r>
              <w:rPr>
                <w:rFonts w:ascii="Times New Roman" w:hAnsi="Times New Roman"/>
                <w:bCs/>
                <w:sz w:val="26"/>
                <w:szCs w:val="26"/>
              </w:rPr>
              <w:t xml:space="preserve">     Ziņas par tiesu nolēmumiem un prokuroru priekšrakstiem par sodu, ar kuriem personām tiek aizliegts veikt noteiktas profesionālas darbības</w:t>
            </w:r>
            <w:r w:rsidR="00046740">
              <w:rPr>
                <w:rFonts w:ascii="Times New Roman" w:hAnsi="Times New Roman"/>
                <w:bCs/>
                <w:sz w:val="26"/>
                <w:szCs w:val="26"/>
              </w:rPr>
              <w:t>,</w:t>
            </w:r>
            <w:r>
              <w:rPr>
                <w:rFonts w:ascii="Times New Roman" w:hAnsi="Times New Roman"/>
                <w:bCs/>
                <w:sz w:val="26"/>
                <w:szCs w:val="26"/>
              </w:rPr>
              <w:t xml:space="preserve"> tiek uzkrātas Sodu reģistrā. Minētās ziņas Sodu reģistrs saņem no Tiesu informācijas sistēmas, kuras pārzinis ir Tieslietu ministrija, un Kriminālprocesa informācijas sistēmas, kuras pārzinis ir </w:t>
            </w:r>
            <w:proofErr w:type="spellStart"/>
            <w:r>
              <w:rPr>
                <w:rFonts w:ascii="Times New Roman" w:hAnsi="Times New Roman"/>
                <w:bCs/>
                <w:sz w:val="26"/>
                <w:szCs w:val="26"/>
              </w:rPr>
              <w:t>Iekšlietu</w:t>
            </w:r>
            <w:proofErr w:type="spellEnd"/>
            <w:r>
              <w:rPr>
                <w:rFonts w:ascii="Times New Roman" w:hAnsi="Times New Roman"/>
                <w:bCs/>
                <w:sz w:val="26"/>
                <w:szCs w:val="26"/>
              </w:rPr>
              <w:t xml:space="preserve"> ministrijas Informācijas centrs, bet tajos norādītie profesijas veidi šobrīd nav kodificēti, un to automātiska apstrāde – saņemšana no Tiesu informācijas sistēmas  un Kriminālprocesa informācijas sistēmas un nodošana AIC nav iespējama. Tāpēc nepieciešams veikt izmaiņas Tiesu informācijas sistēmā, Kriminālprocesa informācijas sistēmā un Sodu reģistrā paredzot, ka norādītās informācijas sistēmas tiek papildinātas, lai sniedzot ziņas par aizliegumu veikt noteiktas profesionālas darbības ziņas par  profesionālo darbības veidu tiktu ņemtas no kodifikatora, kurā būtu iekļauti profesionālo darbības veidu nosaukumi. Vienlaikus, lai nodrošinātu AIC nepieciešamo ziņu saņemšanu, Sodu reģistra pusē nepieciešams arī izveidot </w:t>
            </w:r>
            <w:proofErr w:type="spellStart"/>
            <w:r>
              <w:rPr>
                <w:rFonts w:ascii="Times New Roman" w:hAnsi="Times New Roman"/>
                <w:bCs/>
                <w:sz w:val="26"/>
                <w:szCs w:val="26"/>
              </w:rPr>
              <w:t>saskarni</w:t>
            </w:r>
            <w:proofErr w:type="spellEnd"/>
            <w:r>
              <w:rPr>
                <w:rFonts w:ascii="Times New Roman" w:hAnsi="Times New Roman"/>
                <w:bCs/>
                <w:sz w:val="26"/>
                <w:szCs w:val="26"/>
              </w:rPr>
              <w:t xml:space="preserve"> AIC lietotājiem, ar kuras palīdzību tie tiktu informēti par aizlieguma piemērošanu, un varētu iegūt ziņas, kuras </w:t>
            </w:r>
            <w:r w:rsidRPr="00B11480">
              <w:rPr>
                <w:rFonts w:ascii="Times New Roman" w:hAnsi="Times New Roman"/>
                <w:bCs/>
                <w:sz w:val="26"/>
                <w:szCs w:val="26"/>
              </w:rPr>
              <w:t>noteiktas projekta</w:t>
            </w:r>
            <w:r w:rsidR="002B1AC7" w:rsidRPr="00B11480">
              <w:rPr>
                <w:rFonts w:ascii="Times New Roman" w:hAnsi="Times New Roman"/>
                <w:bCs/>
                <w:sz w:val="26"/>
                <w:szCs w:val="26"/>
              </w:rPr>
              <w:t xml:space="preserve"> 6.punktā par noteikumu </w:t>
            </w:r>
            <w:r w:rsidR="00011005" w:rsidRPr="00B11480">
              <w:rPr>
                <w:rFonts w:ascii="Times New Roman" w:hAnsi="Times New Roman"/>
                <w:bCs/>
                <w:sz w:val="26"/>
                <w:szCs w:val="26"/>
              </w:rPr>
              <w:t>N</w:t>
            </w:r>
            <w:r w:rsidR="002B1AC7" w:rsidRPr="00B11480">
              <w:rPr>
                <w:rFonts w:ascii="Times New Roman" w:hAnsi="Times New Roman"/>
                <w:bCs/>
                <w:sz w:val="26"/>
                <w:szCs w:val="26"/>
              </w:rPr>
              <w:t>r.848</w:t>
            </w:r>
            <w:r w:rsidRPr="00B11480">
              <w:rPr>
                <w:rFonts w:ascii="Times New Roman" w:hAnsi="Times New Roman"/>
                <w:bCs/>
                <w:sz w:val="26"/>
                <w:szCs w:val="26"/>
              </w:rPr>
              <w:t xml:space="preserve"> 33.</w:t>
            </w:r>
            <w:r w:rsidR="00B11480" w:rsidRPr="00B11480">
              <w:rPr>
                <w:rFonts w:ascii="Times New Roman" w:hAnsi="Times New Roman"/>
                <w:bCs/>
                <w:sz w:val="26"/>
                <w:szCs w:val="26"/>
                <w:vertAlign w:val="superscript"/>
              </w:rPr>
              <w:t>2</w:t>
            </w:r>
            <w:r w:rsidRPr="00B11480">
              <w:rPr>
                <w:rFonts w:ascii="Times New Roman" w:hAnsi="Times New Roman"/>
                <w:bCs/>
                <w:sz w:val="26"/>
                <w:szCs w:val="26"/>
              </w:rPr>
              <w:t xml:space="preserve"> </w:t>
            </w:r>
            <w:r w:rsidR="002B1AC7" w:rsidRPr="00B11480">
              <w:rPr>
                <w:rFonts w:ascii="Times New Roman" w:hAnsi="Times New Roman"/>
                <w:bCs/>
                <w:sz w:val="26"/>
                <w:szCs w:val="26"/>
              </w:rPr>
              <w:t>punktu</w:t>
            </w:r>
            <w:r w:rsidRPr="00B11480">
              <w:rPr>
                <w:rFonts w:ascii="Times New Roman" w:hAnsi="Times New Roman"/>
                <w:bCs/>
                <w:sz w:val="26"/>
                <w:szCs w:val="26"/>
              </w:rPr>
              <w:t>.</w:t>
            </w:r>
          </w:p>
          <w:p w14:paraId="5DEA666C" w14:textId="5FA64CB5" w:rsidR="00ED2AE9" w:rsidRDefault="0060021C" w:rsidP="00B80C92">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000433FA">
              <w:rPr>
                <w:rFonts w:ascii="Times New Roman" w:hAnsi="Times New Roman"/>
                <w:bCs/>
                <w:sz w:val="26"/>
                <w:szCs w:val="26"/>
              </w:rPr>
              <w:t>Līdz 2017.gada 30.jūnijam</w:t>
            </w:r>
            <w:r w:rsidR="00CA546B" w:rsidRPr="00DF3B26">
              <w:rPr>
                <w:rFonts w:ascii="Times New Roman" w:hAnsi="Times New Roman"/>
                <w:bCs/>
                <w:sz w:val="26"/>
                <w:szCs w:val="26"/>
              </w:rPr>
              <w:t xml:space="preserve"> datu apmaiņa notiks manuālā režīmā, bet s</w:t>
            </w:r>
            <w:r w:rsidR="009F57BA" w:rsidRPr="00DF3B26">
              <w:rPr>
                <w:rFonts w:ascii="Times New Roman" w:hAnsi="Times New Roman"/>
                <w:bCs/>
                <w:sz w:val="26"/>
                <w:szCs w:val="26"/>
              </w:rPr>
              <w:t>ākot no 2017.gada</w:t>
            </w:r>
            <w:r w:rsidR="008F3BB9">
              <w:rPr>
                <w:rFonts w:ascii="Times New Roman" w:hAnsi="Times New Roman"/>
                <w:bCs/>
                <w:sz w:val="26"/>
                <w:szCs w:val="26"/>
              </w:rPr>
              <w:t xml:space="preserve"> 1.jūlija</w:t>
            </w:r>
            <w:r w:rsidR="009F57BA" w:rsidRPr="00DF3B26">
              <w:rPr>
                <w:rFonts w:ascii="Times New Roman" w:hAnsi="Times New Roman"/>
                <w:bCs/>
                <w:sz w:val="26"/>
                <w:szCs w:val="26"/>
              </w:rPr>
              <w:t>, informācijas apmaiņai starp Tiesu informācijas sistēmu un Sodu reģistru ir jānotiek tiešsai</w:t>
            </w:r>
            <w:r w:rsidR="00384951">
              <w:rPr>
                <w:rFonts w:ascii="Times New Roman" w:hAnsi="Times New Roman"/>
                <w:bCs/>
                <w:sz w:val="26"/>
                <w:szCs w:val="26"/>
              </w:rPr>
              <w:t>s</w:t>
            </w:r>
            <w:r w:rsidR="009F57BA" w:rsidRPr="00DF3B26">
              <w:rPr>
                <w:rFonts w:ascii="Times New Roman" w:hAnsi="Times New Roman"/>
                <w:bCs/>
                <w:sz w:val="26"/>
                <w:szCs w:val="26"/>
              </w:rPr>
              <w:t>tes datu apmaiņas režīmā.</w:t>
            </w:r>
            <w:r w:rsidR="00840E0E" w:rsidRPr="00DF3B26">
              <w:rPr>
                <w:rFonts w:ascii="Times New Roman" w:hAnsi="Times New Roman"/>
                <w:bCs/>
                <w:sz w:val="26"/>
                <w:szCs w:val="26"/>
              </w:rPr>
              <w:t xml:space="preserve">  </w:t>
            </w:r>
            <w:r w:rsidR="006A5651" w:rsidRPr="00DF3B26">
              <w:rPr>
                <w:rFonts w:ascii="Times New Roman" w:hAnsi="Times New Roman"/>
                <w:bCs/>
                <w:sz w:val="26"/>
                <w:szCs w:val="26"/>
              </w:rPr>
              <w:t xml:space="preserve">Saņemot brīdinājumu no citām dalībvalstīm, AIC to pārsūtīs institūcijai, kas izsniedz profesionālās kvalifikācijas atzīšanas apliecības reglamentētajās profesijās. </w:t>
            </w:r>
          </w:p>
          <w:p w14:paraId="73C1D2D3" w14:textId="77777777" w:rsidR="006D7855" w:rsidRPr="0068307F" w:rsidRDefault="006D7855" w:rsidP="0068307F">
            <w:pPr>
              <w:spacing w:after="0" w:line="240" w:lineRule="auto"/>
              <w:ind w:right="142"/>
              <w:rPr>
                <w:rFonts w:ascii="Times New Roman" w:hAnsi="Times New Roman"/>
                <w:sz w:val="26"/>
                <w:szCs w:val="26"/>
                <w:shd w:val="clear" w:color="auto" w:fill="FFFFFF"/>
              </w:rPr>
            </w:pPr>
            <w:r>
              <w:rPr>
                <w:rFonts w:ascii="Times New Roman" w:hAnsi="Times New Roman"/>
                <w:bCs/>
                <w:sz w:val="26"/>
                <w:szCs w:val="26"/>
              </w:rPr>
              <w:t xml:space="preserve">     </w:t>
            </w:r>
            <w:r w:rsidRPr="0068307F">
              <w:rPr>
                <w:rFonts w:ascii="Times New Roman" w:hAnsi="Times New Roman"/>
                <w:sz w:val="26"/>
                <w:szCs w:val="26"/>
                <w:shd w:val="clear" w:color="auto" w:fill="FFFFFF"/>
              </w:rPr>
              <w:t xml:space="preserve">IMI sistēmas vidē pašlaik ir iespējami četru veidu atbildīgo iestāžu uzdevumi: </w:t>
            </w:r>
          </w:p>
          <w:p w14:paraId="6DC1EA5A" w14:textId="4BC11834" w:rsidR="006D7855" w:rsidRPr="0068307F" w:rsidRDefault="006D7855" w:rsidP="0068307F">
            <w:pPr>
              <w:pStyle w:val="ListParagraph"/>
              <w:widowControl w:val="0"/>
              <w:numPr>
                <w:ilvl w:val="0"/>
                <w:numId w:val="19"/>
              </w:numPr>
              <w:spacing w:after="0" w:line="240" w:lineRule="auto"/>
              <w:ind w:right="142"/>
              <w:jc w:val="both"/>
              <w:rPr>
                <w:rFonts w:ascii="Times New Roman" w:hAnsi="Times New Roman"/>
                <w:sz w:val="26"/>
                <w:szCs w:val="26"/>
                <w:shd w:val="clear" w:color="auto" w:fill="FFFFFF"/>
                <w:lang w:val="lv-LV"/>
              </w:rPr>
            </w:pPr>
            <w:r w:rsidRPr="001A0278">
              <w:rPr>
                <w:rFonts w:ascii="Times New Roman" w:hAnsi="Times New Roman"/>
                <w:bCs/>
                <w:sz w:val="26"/>
                <w:szCs w:val="26"/>
                <w:u w:val="single"/>
                <w:lang w:val="lv-LV"/>
              </w:rPr>
              <w:t>Nacionālais IMI sistēmas koordinators</w:t>
            </w:r>
            <w:r w:rsidRPr="0068307F">
              <w:rPr>
                <w:rFonts w:ascii="Times New Roman" w:hAnsi="Times New Roman"/>
                <w:bCs/>
                <w:sz w:val="26"/>
                <w:szCs w:val="26"/>
                <w:lang w:val="lv-LV"/>
              </w:rPr>
              <w:t xml:space="preserve"> </w:t>
            </w:r>
            <w:r w:rsidRPr="0068307F">
              <w:rPr>
                <w:rFonts w:ascii="Times New Roman" w:hAnsi="Times New Roman"/>
                <w:sz w:val="26"/>
                <w:szCs w:val="26"/>
                <w:lang w:val="lv-LV"/>
              </w:rPr>
              <w:t>(</w:t>
            </w:r>
            <w:r w:rsidRPr="0068307F">
              <w:rPr>
                <w:rFonts w:ascii="Times New Roman" w:hAnsi="Times New Roman"/>
                <w:bCs/>
                <w:i/>
                <w:sz w:val="26"/>
                <w:szCs w:val="26"/>
                <w:lang w:val="lv-LV"/>
              </w:rPr>
              <w:t xml:space="preserve">National IMI </w:t>
            </w:r>
            <w:proofErr w:type="spellStart"/>
            <w:r w:rsidRPr="0068307F">
              <w:rPr>
                <w:rFonts w:ascii="Times New Roman" w:hAnsi="Times New Roman"/>
                <w:bCs/>
                <w:i/>
                <w:sz w:val="26"/>
                <w:szCs w:val="26"/>
                <w:lang w:val="lv-LV"/>
              </w:rPr>
              <w:t>Coordinator</w:t>
            </w:r>
            <w:proofErr w:type="spellEnd"/>
            <w:r w:rsidRPr="0068307F">
              <w:rPr>
                <w:rFonts w:ascii="Times New Roman" w:hAnsi="Times New Roman"/>
                <w:sz w:val="26"/>
                <w:szCs w:val="26"/>
                <w:lang w:val="lv-LV"/>
              </w:rPr>
              <w:t xml:space="preserve">) </w:t>
            </w:r>
            <w:r w:rsidRPr="0068307F">
              <w:rPr>
                <w:rFonts w:ascii="Times New Roman" w:hAnsi="Times New Roman"/>
                <w:bCs/>
                <w:sz w:val="26"/>
                <w:szCs w:val="26"/>
                <w:lang w:val="lv-LV"/>
              </w:rPr>
              <w:t>jeb NIMIC</w:t>
            </w:r>
            <w:r w:rsidRPr="0068307F">
              <w:rPr>
                <w:rFonts w:ascii="Times New Roman" w:hAnsi="Times New Roman"/>
                <w:sz w:val="26"/>
                <w:szCs w:val="26"/>
                <w:lang w:val="lv-LV"/>
              </w:rPr>
              <w:t xml:space="preserve">, kas atbild par to, lai IMI </w:t>
            </w:r>
            <w:r w:rsidR="0051417E">
              <w:rPr>
                <w:rFonts w:ascii="Times New Roman" w:hAnsi="Times New Roman"/>
                <w:sz w:val="26"/>
                <w:szCs w:val="26"/>
                <w:lang w:val="lv-LV"/>
              </w:rPr>
              <w:t xml:space="preserve">sistēmā </w:t>
            </w:r>
            <w:r w:rsidRPr="0068307F">
              <w:rPr>
                <w:rFonts w:ascii="Times New Roman" w:hAnsi="Times New Roman"/>
                <w:sz w:val="26"/>
                <w:szCs w:val="26"/>
                <w:lang w:val="lv-LV"/>
              </w:rPr>
              <w:t>būtu reģistrētas vajadzīgās iestādes un lai tām būtu pieejami savai kompetences jomai atbilstoši darbplūsmu moduļi, atbalsta lietotājus un nodrošinot IMI sistēmas efektīvu darbību;</w:t>
            </w:r>
          </w:p>
          <w:p w14:paraId="434868B8" w14:textId="1CF2A87B" w:rsidR="006D7855" w:rsidRPr="0068307F" w:rsidRDefault="001A0278" w:rsidP="0068307F">
            <w:pPr>
              <w:pStyle w:val="ListParagraph"/>
              <w:widowControl w:val="0"/>
              <w:numPr>
                <w:ilvl w:val="0"/>
                <w:numId w:val="19"/>
              </w:numPr>
              <w:spacing w:after="0" w:line="240" w:lineRule="auto"/>
              <w:ind w:right="142"/>
              <w:jc w:val="both"/>
              <w:rPr>
                <w:rFonts w:ascii="Times New Roman" w:hAnsi="Times New Roman"/>
                <w:sz w:val="26"/>
                <w:szCs w:val="26"/>
                <w:shd w:val="clear" w:color="auto" w:fill="FFFFFF"/>
                <w:lang w:val="lv-LV"/>
              </w:rPr>
            </w:pPr>
            <w:r w:rsidRPr="001A0278">
              <w:rPr>
                <w:rFonts w:ascii="Times New Roman" w:hAnsi="Times New Roman"/>
                <w:sz w:val="26"/>
                <w:szCs w:val="26"/>
                <w:u w:val="single"/>
                <w:shd w:val="clear" w:color="auto" w:fill="FFFFFF"/>
                <w:lang w:val="lv-LV"/>
              </w:rPr>
              <w:t>piekļuves pārvaldnieks</w:t>
            </w:r>
            <w:r w:rsidR="006D7855" w:rsidRPr="0068307F">
              <w:rPr>
                <w:rFonts w:ascii="Times New Roman" w:hAnsi="Times New Roman"/>
                <w:sz w:val="26"/>
                <w:szCs w:val="26"/>
                <w:shd w:val="clear" w:color="auto" w:fill="FFFFFF"/>
                <w:lang w:val="lv-LV"/>
              </w:rPr>
              <w:t xml:space="preserve"> </w:t>
            </w:r>
            <w:r w:rsidR="006D7855" w:rsidRPr="0068307F">
              <w:rPr>
                <w:rFonts w:ascii="Times New Roman" w:hAnsi="Times New Roman"/>
                <w:i/>
                <w:sz w:val="26"/>
                <w:szCs w:val="26"/>
                <w:shd w:val="clear" w:color="auto" w:fill="FFFFFF"/>
                <w:lang w:val="lv-LV"/>
              </w:rPr>
              <w:t xml:space="preserve">(Access </w:t>
            </w:r>
            <w:proofErr w:type="spellStart"/>
            <w:r w:rsidR="006D7855" w:rsidRPr="0068307F">
              <w:rPr>
                <w:rFonts w:ascii="Times New Roman" w:hAnsi="Times New Roman"/>
                <w:i/>
                <w:sz w:val="26"/>
                <w:szCs w:val="26"/>
                <w:shd w:val="clear" w:color="auto" w:fill="FFFFFF"/>
                <w:lang w:val="lv-LV"/>
              </w:rPr>
              <w:t>manager</w:t>
            </w:r>
            <w:proofErr w:type="spellEnd"/>
            <w:r w:rsidR="006D7855" w:rsidRPr="0068307F">
              <w:rPr>
                <w:rFonts w:ascii="Times New Roman" w:hAnsi="Times New Roman"/>
                <w:i/>
                <w:sz w:val="26"/>
                <w:szCs w:val="26"/>
                <w:shd w:val="clear" w:color="auto" w:fill="FFFFFF"/>
                <w:lang w:val="lv-LV"/>
              </w:rPr>
              <w:t>)</w:t>
            </w:r>
            <w:r w:rsidR="006D7855" w:rsidRPr="0068307F">
              <w:rPr>
                <w:rFonts w:ascii="Times New Roman" w:hAnsi="Times New Roman"/>
                <w:sz w:val="26"/>
                <w:szCs w:val="26"/>
                <w:shd w:val="clear" w:color="auto" w:fill="FFFFFF"/>
                <w:lang w:val="lv-LV"/>
              </w:rPr>
              <w:t xml:space="preserve">, kuriem ir tiesības </w:t>
            </w:r>
            <w:r w:rsidR="006D7855" w:rsidRPr="0068307F">
              <w:rPr>
                <w:rFonts w:ascii="Times New Roman" w:hAnsi="Times New Roman"/>
                <w:sz w:val="26"/>
                <w:szCs w:val="26"/>
                <w:lang w:val="lv-LV"/>
              </w:rPr>
              <w:t xml:space="preserve">reģistrēt jaunas iestādes un lietotājus, piešķirt piekļuvi konkrētiem IMI </w:t>
            </w:r>
            <w:r w:rsidR="0051417E">
              <w:rPr>
                <w:rFonts w:ascii="Times New Roman" w:hAnsi="Times New Roman"/>
                <w:sz w:val="26"/>
                <w:szCs w:val="26"/>
                <w:lang w:val="lv-LV"/>
              </w:rPr>
              <w:t xml:space="preserve">sistēmas </w:t>
            </w:r>
            <w:r w:rsidR="006D7855" w:rsidRPr="0068307F">
              <w:rPr>
                <w:rFonts w:ascii="Times New Roman" w:hAnsi="Times New Roman"/>
                <w:sz w:val="26"/>
                <w:szCs w:val="26"/>
                <w:lang w:val="lv-LV"/>
              </w:rPr>
              <w:t>moduļiem un tās nodrošina, ka dati par iestādēm ir aktuāli;</w:t>
            </w:r>
          </w:p>
          <w:p w14:paraId="355583B7" w14:textId="77777777" w:rsidR="00796FAC" w:rsidRPr="00796FAC" w:rsidRDefault="00DF0644" w:rsidP="00796FAC">
            <w:pPr>
              <w:pStyle w:val="ListParagraph"/>
              <w:widowControl w:val="0"/>
              <w:numPr>
                <w:ilvl w:val="0"/>
                <w:numId w:val="19"/>
              </w:numPr>
              <w:spacing w:after="0" w:line="240" w:lineRule="auto"/>
              <w:ind w:right="142"/>
              <w:jc w:val="both"/>
              <w:rPr>
                <w:rFonts w:ascii="Times New Roman" w:hAnsi="Times New Roman"/>
                <w:sz w:val="26"/>
                <w:szCs w:val="26"/>
                <w:shd w:val="clear" w:color="auto" w:fill="FFFFFF"/>
                <w:lang w:val="lv-LV"/>
              </w:rPr>
            </w:pPr>
            <w:r w:rsidRPr="00DF0644">
              <w:rPr>
                <w:rFonts w:ascii="Times New Roman" w:hAnsi="Times New Roman"/>
                <w:sz w:val="26"/>
                <w:szCs w:val="26"/>
                <w:u w:val="single"/>
                <w:lang w:val="lv-LV"/>
              </w:rPr>
              <w:t>koordinators</w:t>
            </w:r>
            <w:r w:rsidR="006D7855" w:rsidRPr="0068307F">
              <w:rPr>
                <w:rFonts w:ascii="Times New Roman" w:hAnsi="Times New Roman"/>
                <w:sz w:val="26"/>
                <w:szCs w:val="26"/>
                <w:lang w:val="lv-LV"/>
              </w:rPr>
              <w:t xml:space="preserve"> (</w:t>
            </w:r>
            <w:proofErr w:type="spellStart"/>
            <w:r w:rsidR="006D7855" w:rsidRPr="0068307F">
              <w:rPr>
                <w:rFonts w:ascii="Times New Roman" w:hAnsi="Times New Roman"/>
                <w:i/>
                <w:sz w:val="26"/>
                <w:szCs w:val="26"/>
                <w:lang w:val="lv-LV"/>
              </w:rPr>
              <w:t>Coordinator</w:t>
            </w:r>
            <w:proofErr w:type="spellEnd"/>
            <w:r w:rsidR="006D7855" w:rsidRPr="0068307F">
              <w:rPr>
                <w:rFonts w:ascii="Times New Roman" w:hAnsi="Times New Roman"/>
                <w:sz w:val="26"/>
                <w:szCs w:val="26"/>
                <w:lang w:val="lv-LV"/>
              </w:rPr>
              <w:t xml:space="preserve">), kas noteiktā modulī var pārraudzīt informācijas apmaiņu un, iespējams, apstiprināt izejošos pieprasījumus, atbildes, paziņojumus vai </w:t>
            </w:r>
            <w:r w:rsidR="006D7855" w:rsidRPr="0068307F">
              <w:rPr>
                <w:rFonts w:ascii="Times New Roman" w:hAnsi="Times New Roman"/>
                <w:sz w:val="26"/>
                <w:szCs w:val="26"/>
                <w:lang w:val="lv-LV"/>
              </w:rPr>
              <w:lastRenderedPageBreak/>
              <w:t>brīdinājumus, ko sagatavojušas tās iestādes, kurām koordinators ir piesaistīts;</w:t>
            </w:r>
          </w:p>
          <w:p w14:paraId="59A26DB1" w14:textId="2CAAE56A" w:rsidR="006D7855" w:rsidRPr="00796FAC" w:rsidRDefault="006D7855" w:rsidP="00796FAC">
            <w:pPr>
              <w:pStyle w:val="ListParagraph"/>
              <w:widowControl w:val="0"/>
              <w:numPr>
                <w:ilvl w:val="0"/>
                <w:numId w:val="19"/>
              </w:numPr>
              <w:spacing w:after="0" w:line="240" w:lineRule="auto"/>
              <w:ind w:right="142"/>
              <w:jc w:val="both"/>
              <w:rPr>
                <w:rFonts w:ascii="Times New Roman" w:hAnsi="Times New Roman"/>
                <w:sz w:val="26"/>
                <w:szCs w:val="26"/>
                <w:shd w:val="clear" w:color="auto" w:fill="FFFFFF"/>
                <w:lang w:val="lv-LV"/>
              </w:rPr>
            </w:pPr>
            <w:r w:rsidRPr="00796FAC">
              <w:rPr>
                <w:rFonts w:ascii="Times New Roman" w:hAnsi="Times New Roman"/>
                <w:sz w:val="26"/>
                <w:szCs w:val="26"/>
                <w:u w:val="single"/>
                <w:shd w:val="clear" w:color="auto" w:fill="FFFFFF"/>
              </w:rPr>
              <w:t>iestāde</w:t>
            </w:r>
            <w:r w:rsidRPr="00796FAC">
              <w:rPr>
                <w:rFonts w:ascii="Times New Roman" w:hAnsi="Times New Roman"/>
                <w:sz w:val="26"/>
                <w:szCs w:val="26"/>
                <w:shd w:val="clear" w:color="auto" w:fill="FFFFFF"/>
              </w:rPr>
              <w:t xml:space="preserve"> </w:t>
            </w:r>
            <w:r w:rsidRPr="00796FAC">
              <w:rPr>
                <w:rFonts w:ascii="Times New Roman" w:hAnsi="Times New Roman"/>
                <w:i/>
                <w:sz w:val="26"/>
                <w:szCs w:val="26"/>
                <w:shd w:val="clear" w:color="auto" w:fill="FFFFFF"/>
              </w:rPr>
              <w:t>(</w:t>
            </w:r>
            <w:proofErr w:type="spellStart"/>
            <w:r w:rsidRPr="00796FAC">
              <w:rPr>
                <w:rFonts w:ascii="Times New Roman" w:hAnsi="Times New Roman"/>
                <w:i/>
                <w:sz w:val="26"/>
                <w:szCs w:val="26"/>
                <w:shd w:val="clear" w:color="auto" w:fill="FFFFFF"/>
                <w:lang w:val="en-GB"/>
              </w:rPr>
              <w:t>Authority</w:t>
            </w:r>
            <w:proofErr w:type="spellEnd"/>
            <w:r w:rsidRPr="00796FAC">
              <w:rPr>
                <w:rFonts w:ascii="Times New Roman" w:hAnsi="Times New Roman"/>
                <w:i/>
                <w:sz w:val="26"/>
                <w:szCs w:val="26"/>
                <w:shd w:val="clear" w:color="auto" w:fill="FFFFFF"/>
              </w:rPr>
              <w:t>)</w:t>
            </w:r>
            <w:r w:rsidRPr="00796FAC">
              <w:rPr>
                <w:rFonts w:ascii="Times New Roman" w:hAnsi="Times New Roman"/>
                <w:sz w:val="26"/>
                <w:szCs w:val="26"/>
                <w:shd w:val="clear" w:color="auto" w:fill="FFFFFF"/>
              </w:rPr>
              <w:t xml:space="preserve"> - jebkura iestāde reģistrēta IMI sistēmā;</w:t>
            </w:r>
          </w:p>
          <w:p w14:paraId="475713F7" w14:textId="57A5174F" w:rsidR="006D7855" w:rsidRPr="0068307F" w:rsidRDefault="00796FAC" w:rsidP="0068307F">
            <w:pPr>
              <w:spacing w:after="0" w:line="240" w:lineRule="auto"/>
              <w:ind w:right="142"/>
              <w:jc w:val="both"/>
              <w:rPr>
                <w:rFonts w:ascii="Times New Roman" w:hAnsi="Times New Roman"/>
                <w:sz w:val="26"/>
                <w:szCs w:val="26"/>
              </w:rPr>
            </w:pPr>
            <w:r>
              <w:rPr>
                <w:rFonts w:ascii="Times New Roman" w:hAnsi="Times New Roman"/>
                <w:sz w:val="26"/>
                <w:szCs w:val="26"/>
              </w:rPr>
              <w:t xml:space="preserve">        </w:t>
            </w:r>
            <w:r w:rsidR="006D7855" w:rsidRPr="0068307F">
              <w:rPr>
                <w:rFonts w:ascii="Times New Roman" w:hAnsi="Times New Roman"/>
                <w:sz w:val="26"/>
                <w:szCs w:val="26"/>
              </w:rPr>
              <w:t xml:space="preserve">IMI sistēmai paplašinoties un nākot klāt jaunām jomām, kurās valsts iestādes var apmainīties ar informāciju, </w:t>
            </w:r>
            <w:r w:rsidR="0060021C">
              <w:rPr>
                <w:rFonts w:ascii="Times New Roman" w:hAnsi="Times New Roman"/>
                <w:sz w:val="26"/>
                <w:szCs w:val="26"/>
              </w:rPr>
              <w:t>aktualizējusies</w:t>
            </w:r>
            <w:r w:rsidR="006D7855" w:rsidRPr="0068307F">
              <w:rPr>
                <w:rFonts w:ascii="Times New Roman" w:hAnsi="Times New Roman"/>
                <w:sz w:val="26"/>
                <w:szCs w:val="26"/>
              </w:rPr>
              <w:t xml:space="preserve"> nepieciešamība arī katram no IMI </w:t>
            </w:r>
            <w:r w:rsidR="0051417E">
              <w:rPr>
                <w:rFonts w:ascii="Times New Roman" w:hAnsi="Times New Roman"/>
                <w:sz w:val="26"/>
                <w:szCs w:val="26"/>
              </w:rPr>
              <w:t xml:space="preserve">sistēmas </w:t>
            </w:r>
            <w:r w:rsidR="006D7855" w:rsidRPr="0068307F">
              <w:rPr>
                <w:rFonts w:ascii="Times New Roman" w:hAnsi="Times New Roman"/>
                <w:sz w:val="26"/>
                <w:szCs w:val="26"/>
              </w:rPr>
              <w:t>moduļiem piesaistīt klāt vienu vai vairākas ko</w:t>
            </w:r>
            <w:r>
              <w:rPr>
                <w:rFonts w:ascii="Times New Roman" w:hAnsi="Times New Roman"/>
                <w:sz w:val="26"/>
                <w:szCs w:val="26"/>
              </w:rPr>
              <w:t>mpetentās iestādes jeb „</w:t>
            </w:r>
            <w:r w:rsidR="006D7855" w:rsidRPr="0068307F">
              <w:rPr>
                <w:rFonts w:ascii="Times New Roman" w:hAnsi="Times New Roman"/>
                <w:sz w:val="26"/>
                <w:szCs w:val="26"/>
              </w:rPr>
              <w:t xml:space="preserve">koordinatorus” (piemēram, kultūras priekšmetu atgriešanas modulī – </w:t>
            </w:r>
            <w:r w:rsidR="006D7855" w:rsidRPr="0068307F">
              <w:rPr>
                <w:rFonts w:ascii="Times New Roman" w:hAnsi="Times New Roman"/>
                <w:sz w:val="26"/>
                <w:szCs w:val="26"/>
                <w:shd w:val="clear" w:color="auto" w:fill="FFFFFF"/>
              </w:rPr>
              <w:t xml:space="preserve">Valsts kultūras pieminekļu aizsardzības inspekcija </w:t>
            </w:r>
            <w:r w:rsidR="006D7855" w:rsidRPr="0068307F">
              <w:rPr>
                <w:rFonts w:ascii="Times New Roman" w:hAnsi="Times New Roman"/>
                <w:sz w:val="26"/>
                <w:szCs w:val="26"/>
              </w:rPr>
              <w:t>vai EPK modulī – Akadēmiskās informācijas centrs). Lai nosaukumi nedublētos un būtu skaidri atšķirama katras iestādes loma un uzde</w:t>
            </w:r>
            <w:r>
              <w:rPr>
                <w:rFonts w:ascii="Times New Roman" w:hAnsi="Times New Roman"/>
                <w:sz w:val="26"/>
                <w:szCs w:val="26"/>
              </w:rPr>
              <w:t>vumi, iepriekšējais apzīmējums „</w:t>
            </w:r>
            <w:r w:rsidR="006D7855" w:rsidRPr="0068307F">
              <w:rPr>
                <w:rFonts w:ascii="Times New Roman" w:hAnsi="Times New Roman"/>
                <w:sz w:val="26"/>
                <w:szCs w:val="26"/>
              </w:rPr>
              <w:t>deleģētais IMI sistēmas koordinators</w:t>
            </w:r>
            <w:r>
              <w:rPr>
                <w:rFonts w:ascii="Times New Roman" w:hAnsi="Times New Roman"/>
                <w:sz w:val="26"/>
                <w:szCs w:val="26"/>
              </w:rPr>
              <w:t>” IMI sistēmā tika aizstāts ar „</w:t>
            </w:r>
            <w:r w:rsidR="006D7855" w:rsidRPr="0068307F">
              <w:rPr>
                <w:rFonts w:ascii="Times New Roman" w:hAnsi="Times New Roman"/>
                <w:sz w:val="26"/>
                <w:szCs w:val="26"/>
              </w:rPr>
              <w:t>piekļuves pārvaldnieks”. Šī brīža noteikumu Nr.848 redakcijā jopr</w:t>
            </w:r>
            <w:r>
              <w:rPr>
                <w:rFonts w:ascii="Times New Roman" w:hAnsi="Times New Roman"/>
                <w:sz w:val="26"/>
                <w:szCs w:val="26"/>
              </w:rPr>
              <w:t>ojām ir saglabājies apzīmējums „</w:t>
            </w:r>
            <w:r w:rsidR="006D7855" w:rsidRPr="0068307F">
              <w:rPr>
                <w:rFonts w:ascii="Times New Roman" w:hAnsi="Times New Roman"/>
                <w:sz w:val="26"/>
                <w:szCs w:val="26"/>
              </w:rPr>
              <w:t>deleģētais IMI sistēmas koordinators”, ko ir nepieciešams mainīt atbilstoši izmaiņām IMI sistēmā.</w:t>
            </w:r>
          </w:p>
          <w:p w14:paraId="5652C88A" w14:textId="741E5E84" w:rsidR="00152DB0" w:rsidRPr="0068307F" w:rsidRDefault="00002622" w:rsidP="006A35BD">
            <w:pPr>
              <w:spacing w:after="0" w:line="240" w:lineRule="auto"/>
              <w:ind w:right="142"/>
              <w:jc w:val="both"/>
              <w:rPr>
                <w:rFonts w:ascii="Times New Roman" w:hAnsi="Times New Roman"/>
                <w:sz w:val="26"/>
                <w:szCs w:val="26"/>
              </w:rPr>
            </w:pPr>
            <w:r>
              <w:rPr>
                <w:rFonts w:ascii="Times New Roman" w:hAnsi="Times New Roman"/>
                <w:sz w:val="26"/>
                <w:szCs w:val="26"/>
              </w:rPr>
              <w:t xml:space="preserve">     </w:t>
            </w:r>
            <w:r w:rsidRPr="0068307F">
              <w:rPr>
                <w:rFonts w:ascii="Times New Roman" w:hAnsi="Times New Roman"/>
                <w:sz w:val="26"/>
                <w:szCs w:val="26"/>
              </w:rPr>
              <w:t xml:space="preserve">Noteikumu projekts paredz precizēt noteikumu Nr.848 44.punktu, nosakot kārtību, kādā redakcijā pašvaldības dome iesniedz saistošos noteikumus saskaņošanai Eiropas Komisijai un citām dalībvalstīm. Šī brīža noteikumu Nr. 848 44.punkta redakcija paredz, ka saistošie noteikumi, kas izstrādāti saskaņā ar Brīvas pakalpojumu sniegšanas likuma 15.panta septītajā daļā un noteikumu Nr.848 43.punktā noteikto, kā tehniskie noteikumi ir jāpaziņo Eiropas Komisijai un citām dalībvalstīm redakcijā, kādā tie tiek iesniegti pēc saskaņošanas Ministru kabinetā. Ņemot vērā, ka pašvaldību dome saistošos noteikumus neiesniedz Ministru kabinetā, tiek paredzēti grozījumi, kas precizē un paredz, ka pašvaldību dome saistošos noteikumus paziņo Eiropas Komisijai un citām dalībvalstīm tādā redakcijā, kādā saistošie noteikumi ir sagatavoti pēc Brīvas pakalpojumu sniegšanas likuma 14.panta </w:t>
            </w:r>
            <w:r w:rsidR="0051417E">
              <w:rPr>
                <w:rFonts w:ascii="Times New Roman" w:hAnsi="Times New Roman"/>
                <w:sz w:val="26"/>
                <w:szCs w:val="26"/>
              </w:rPr>
              <w:t>2.</w:t>
            </w:r>
            <w:r w:rsidR="0051417E" w:rsidRPr="004B43D5">
              <w:rPr>
                <w:rFonts w:ascii="Times New Roman" w:hAnsi="Times New Roman"/>
                <w:sz w:val="26"/>
                <w:szCs w:val="26"/>
                <w:vertAlign w:val="superscript"/>
              </w:rPr>
              <w:t>1</w:t>
            </w:r>
            <w:r w:rsidRPr="0068307F">
              <w:rPr>
                <w:rFonts w:ascii="Times New Roman" w:hAnsi="Times New Roman"/>
                <w:sz w:val="26"/>
                <w:szCs w:val="26"/>
              </w:rPr>
              <w:t xml:space="preserve"> daļā, 15.panta sestajā daļā un </w:t>
            </w:r>
            <w:r w:rsidR="0051417E">
              <w:rPr>
                <w:rFonts w:ascii="Times New Roman" w:hAnsi="Times New Roman"/>
                <w:sz w:val="26"/>
                <w:szCs w:val="26"/>
              </w:rPr>
              <w:t>l</w:t>
            </w:r>
            <w:r w:rsidRPr="0068307F">
              <w:rPr>
                <w:rFonts w:ascii="Times New Roman" w:hAnsi="Times New Roman"/>
                <w:sz w:val="26"/>
                <w:szCs w:val="26"/>
              </w:rPr>
              <w:t xml:space="preserve">ikuma </w:t>
            </w:r>
            <w:r w:rsidR="0051417E">
              <w:rPr>
                <w:rFonts w:ascii="Times New Roman" w:hAnsi="Times New Roman"/>
                <w:sz w:val="26"/>
                <w:szCs w:val="26"/>
              </w:rPr>
              <w:t>“P</w:t>
            </w:r>
            <w:r w:rsidRPr="0068307F">
              <w:rPr>
                <w:rFonts w:ascii="Times New Roman" w:hAnsi="Times New Roman"/>
                <w:sz w:val="26"/>
                <w:szCs w:val="26"/>
              </w:rPr>
              <w:t>ar pašvaldībām</w:t>
            </w:r>
            <w:r w:rsidR="0051417E">
              <w:rPr>
                <w:rFonts w:ascii="Times New Roman" w:hAnsi="Times New Roman"/>
                <w:sz w:val="26"/>
                <w:szCs w:val="26"/>
              </w:rPr>
              <w:t>”</w:t>
            </w:r>
            <w:r w:rsidRPr="0068307F">
              <w:rPr>
                <w:rFonts w:ascii="Times New Roman" w:hAnsi="Times New Roman"/>
                <w:sz w:val="26"/>
                <w:szCs w:val="26"/>
              </w:rPr>
              <w:t xml:space="preserve"> 45.pantā noteiktās saskaņošanas ar Vides aizsardzības un reģionālās attīstības ministriju un Ekonomikas ministriju.</w:t>
            </w:r>
            <w:r w:rsidR="00152DB0" w:rsidRPr="00152DB0">
              <w:rPr>
                <w:rFonts w:ascii="Times New Roman" w:hAnsi="Times New Roman"/>
                <w:sz w:val="26"/>
                <w:szCs w:val="26"/>
              </w:rPr>
              <w:t xml:space="preserve"> </w:t>
            </w:r>
            <w:r w:rsidR="00152DB0" w:rsidRPr="0068307F">
              <w:rPr>
                <w:rFonts w:ascii="Times New Roman" w:hAnsi="Times New Roman"/>
                <w:sz w:val="26"/>
                <w:szCs w:val="26"/>
              </w:rPr>
              <w:t>Jebkura pašvaldība var nepieciešamības gadījumā reģistrēties IMI sistēmā, sazinoties ar Nacionālo IMI koordinatoru (Ekonomikas ministriju), kam ir tiesības piešķirt piekļuvi sistēmai. Pašvaldība var izmantot IMI sistēmas piedāvāto paziņošanas procedūru par tehnisko noteikumu projektiem pakalpojumu jomā, kā arī citas iespējas (piemēram, informācijas pieprasījumus publisko iepirkumu modulī).</w:t>
            </w:r>
          </w:p>
          <w:p w14:paraId="137D433C" w14:textId="37C4FE98" w:rsidR="00605858" w:rsidRPr="009E0212" w:rsidRDefault="00A45207" w:rsidP="00D21BAD">
            <w:pPr>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68307F">
              <w:rPr>
                <w:rFonts w:ascii="Times New Roman" w:hAnsi="Times New Roman"/>
                <w:sz w:val="26"/>
                <w:szCs w:val="26"/>
              </w:rPr>
              <w:t xml:space="preserve">Noteikumi Nr. 848 47.punkts šobrīd paredz, ka atbildīgās iestādes var komentēt citu dalībvalstu sagatavotos tehnisko noteikumu projektus pakalpojumu jomā, izmantojot IMI sistēmā pieejamo paziņošanas procedūru, bet nav noteikta kārtība, kādā </w:t>
            </w:r>
            <w:r w:rsidRPr="0068307F">
              <w:rPr>
                <w:rFonts w:ascii="Times New Roman" w:hAnsi="Times New Roman"/>
                <w:sz w:val="26"/>
                <w:szCs w:val="26"/>
              </w:rPr>
              <w:lastRenderedPageBreak/>
              <w:t>atbildīgās iestādes sniedz atbildes uz šiem komentāriem. Komentārus var sniegt arī Eiropas Komisija. Tādēļ ir nepieciešams papildināt noteikumu</w:t>
            </w:r>
            <w:r w:rsidR="0051417E">
              <w:rPr>
                <w:rFonts w:ascii="Times New Roman" w:hAnsi="Times New Roman"/>
                <w:sz w:val="26"/>
                <w:szCs w:val="26"/>
              </w:rPr>
              <w:t>s</w:t>
            </w:r>
            <w:r w:rsidRPr="0068307F">
              <w:rPr>
                <w:rFonts w:ascii="Times New Roman" w:hAnsi="Times New Roman"/>
                <w:sz w:val="26"/>
                <w:szCs w:val="26"/>
              </w:rPr>
              <w:t xml:space="preserve"> </w:t>
            </w:r>
            <w:r w:rsidR="0051417E">
              <w:rPr>
                <w:rFonts w:ascii="Times New Roman" w:hAnsi="Times New Roman"/>
                <w:sz w:val="26"/>
                <w:szCs w:val="26"/>
              </w:rPr>
              <w:t>Nr.848</w:t>
            </w:r>
            <w:r w:rsidRPr="0068307F">
              <w:rPr>
                <w:rFonts w:ascii="Times New Roman" w:hAnsi="Times New Roman"/>
                <w:sz w:val="26"/>
                <w:szCs w:val="26"/>
              </w:rPr>
              <w:t xml:space="preserve">, nosakot </w:t>
            </w:r>
            <w:r>
              <w:rPr>
                <w:rFonts w:ascii="Times New Roman" w:hAnsi="Times New Roman"/>
                <w:sz w:val="26"/>
                <w:szCs w:val="26"/>
              </w:rPr>
              <w:t>pienākumu</w:t>
            </w:r>
            <w:r w:rsidRPr="0068307F">
              <w:rPr>
                <w:rFonts w:ascii="Times New Roman" w:hAnsi="Times New Roman"/>
                <w:sz w:val="26"/>
                <w:szCs w:val="26"/>
              </w:rPr>
              <w:t xml:space="preserve"> atbildēt uz sniegtajiem komentāriem viena mēneša laikā, izmantojot IMI sistēmu.</w:t>
            </w:r>
          </w:p>
        </w:tc>
      </w:tr>
      <w:tr w:rsidR="00812271" w:rsidRPr="00823CB3" w14:paraId="7F7EC0F0" w14:textId="77777777" w:rsidTr="00FB7C51">
        <w:trPr>
          <w:tblCellSpacing w:w="15" w:type="dxa"/>
        </w:trPr>
        <w:tc>
          <w:tcPr>
            <w:tcW w:w="209" w:type="pct"/>
            <w:tcBorders>
              <w:top w:val="outset" w:sz="6" w:space="0" w:color="auto"/>
              <w:left w:val="outset" w:sz="6" w:space="0" w:color="auto"/>
              <w:bottom w:val="outset" w:sz="6" w:space="0" w:color="auto"/>
              <w:right w:val="outset" w:sz="6" w:space="0" w:color="auto"/>
            </w:tcBorders>
          </w:tcPr>
          <w:p w14:paraId="71EC361F" w14:textId="0B056EF9"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lastRenderedPageBreak/>
              <w:t>3.</w:t>
            </w:r>
          </w:p>
        </w:tc>
        <w:tc>
          <w:tcPr>
            <w:tcW w:w="874" w:type="pct"/>
            <w:tcBorders>
              <w:top w:val="outset" w:sz="6" w:space="0" w:color="auto"/>
              <w:left w:val="outset" w:sz="6" w:space="0" w:color="auto"/>
              <w:bottom w:val="outset" w:sz="6" w:space="0" w:color="auto"/>
              <w:right w:val="outset" w:sz="6" w:space="0" w:color="auto"/>
            </w:tcBorders>
          </w:tcPr>
          <w:p w14:paraId="0DE533F5"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izstrādē iesaistītās institūcijas</w:t>
            </w:r>
          </w:p>
        </w:tc>
        <w:tc>
          <w:tcPr>
            <w:tcW w:w="3849" w:type="pct"/>
            <w:tcBorders>
              <w:top w:val="outset" w:sz="6" w:space="0" w:color="auto"/>
              <w:left w:val="outset" w:sz="6" w:space="0" w:color="auto"/>
              <w:bottom w:val="outset" w:sz="6" w:space="0" w:color="auto"/>
              <w:right w:val="outset" w:sz="6" w:space="0" w:color="auto"/>
            </w:tcBorders>
          </w:tcPr>
          <w:p w14:paraId="2D06F8AD" w14:textId="1193B24F" w:rsidR="00392D00" w:rsidRPr="0068307F" w:rsidRDefault="00796FAC" w:rsidP="00796FAC">
            <w:pPr>
              <w:spacing w:after="0" w:line="240" w:lineRule="auto"/>
              <w:rPr>
                <w:rFonts w:ascii="Times New Roman" w:eastAsia="Times New Roman" w:hAnsi="Times New Roman"/>
                <w:sz w:val="26"/>
                <w:szCs w:val="26"/>
                <w:highlight w:val="green"/>
                <w:lang w:eastAsia="lv-LV"/>
              </w:rPr>
            </w:pPr>
            <w:r>
              <w:rPr>
                <w:rFonts w:ascii="Times New Roman" w:eastAsia="Times New Roman" w:hAnsi="Times New Roman"/>
                <w:bCs/>
                <w:sz w:val="26"/>
                <w:szCs w:val="26"/>
                <w:lang w:eastAsia="lv-LV"/>
              </w:rPr>
              <w:t>M</w:t>
            </w:r>
            <w:r w:rsidR="00711F3E" w:rsidRPr="00BE1995">
              <w:rPr>
                <w:rFonts w:ascii="Times New Roman" w:eastAsia="Times New Roman" w:hAnsi="Times New Roman"/>
                <w:bCs/>
                <w:sz w:val="26"/>
                <w:szCs w:val="26"/>
                <w:lang w:eastAsia="lv-LV"/>
              </w:rPr>
              <w:t xml:space="preserve">inistrija, </w:t>
            </w:r>
            <w:r w:rsidR="0051041A" w:rsidRPr="00BE1995">
              <w:rPr>
                <w:rFonts w:ascii="Times New Roman" w:eastAsia="Times New Roman" w:hAnsi="Times New Roman"/>
                <w:bCs/>
                <w:sz w:val="26"/>
                <w:szCs w:val="26"/>
                <w:lang w:eastAsia="lv-LV"/>
              </w:rPr>
              <w:t>AIC</w:t>
            </w:r>
            <w:r w:rsidR="00BE1995">
              <w:rPr>
                <w:rFonts w:ascii="Times New Roman" w:eastAsia="Times New Roman" w:hAnsi="Times New Roman"/>
                <w:bCs/>
                <w:sz w:val="26"/>
                <w:szCs w:val="26"/>
                <w:lang w:eastAsia="lv-LV"/>
              </w:rPr>
              <w:t xml:space="preserve">, Tiesu administrācija, </w:t>
            </w:r>
            <w:proofErr w:type="spellStart"/>
            <w:r w:rsidR="00BE1995">
              <w:rPr>
                <w:rFonts w:ascii="Times New Roman" w:eastAsia="Times New Roman" w:hAnsi="Times New Roman"/>
                <w:bCs/>
                <w:sz w:val="26"/>
                <w:szCs w:val="26"/>
                <w:lang w:eastAsia="lv-LV"/>
              </w:rPr>
              <w:t>Iekšlietu</w:t>
            </w:r>
            <w:proofErr w:type="spellEnd"/>
            <w:r w:rsidR="00BE1995">
              <w:rPr>
                <w:rFonts w:ascii="Times New Roman" w:eastAsia="Times New Roman" w:hAnsi="Times New Roman"/>
                <w:bCs/>
                <w:sz w:val="26"/>
                <w:szCs w:val="26"/>
                <w:lang w:eastAsia="lv-LV"/>
              </w:rPr>
              <w:t xml:space="preserve"> ministrijas Informācijas centrs. </w:t>
            </w:r>
          </w:p>
        </w:tc>
      </w:tr>
      <w:tr w:rsidR="00812271" w:rsidRPr="00823CB3" w14:paraId="175958CA" w14:textId="77777777" w:rsidTr="00FB7C51">
        <w:trPr>
          <w:tblCellSpacing w:w="15" w:type="dxa"/>
        </w:trPr>
        <w:tc>
          <w:tcPr>
            <w:tcW w:w="209" w:type="pct"/>
            <w:tcBorders>
              <w:top w:val="outset" w:sz="6" w:space="0" w:color="auto"/>
              <w:left w:val="outset" w:sz="6" w:space="0" w:color="auto"/>
              <w:bottom w:val="outset" w:sz="6" w:space="0" w:color="auto"/>
              <w:right w:val="outset" w:sz="6" w:space="0" w:color="auto"/>
            </w:tcBorders>
          </w:tcPr>
          <w:p w14:paraId="3CBCAAF4"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4.</w:t>
            </w:r>
          </w:p>
        </w:tc>
        <w:tc>
          <w:tcPr>
            <w:tcW w:w="874" w:type="pct"/>
            <w:tcBorders>
              <w:top w:val="outset" w:sz="6" w:space="0" w:color="auto"/>
              <w:left w:val="outset" w:sz="6" w:space="0" w:color="auto"/>
              <w:bottom w:val="outset" w:sz="6" w:space="0" w:color="auto"/>
              <w:right w:val="outset" w:sz="6" w:space="0" w:color="auto"/>
            </w:tcBorders>
          </w:tcPr>
          <w:p w14:paraId="2CF71E8B" w14:textId="77777777" w:rsidR="00392D00" w:rsidRPr="00823CB3" w:rsidRDefault="00812271" w:rsidP="005C42B1">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3849" w:type="pct"/>
            <w:tcBorders>
              <w:top w:val="outset" w:sz="6" w:space="0" w:color="auto"/>
              <w:left w:val="outset" w:sz="6" w:space="0" w:color="auto"/>
              <w:bottom w:val="outset" w:sz="6" w:space="0" w:color="auto"/>
              <w:right w:val="outset" w:sz="6" w:space="0" w:color="auto"/>
            </w:tcBorders>
          </w:tcPr>
          <w:p w14:paraId="1F5B946A" w14:textId="65AA767B" w:rsidR="00577216" w:rsidRPr="00823CB3" w:rsidRDefault="00D95671" w:rsidP="00985459">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Nav </w:t>
            </w:r>
          </w:p>
        </w:tc>
      </w:tr>
    </w:tbl>
    <w:p w14:paraId="3EF7D496" w14:textId="77777777" w:rsidR="004A505F" w:rsidRPr="00823CB3" w:rsidRDefault="004A505F" w:rsidP="004A505F">
      <w:pPr>
        <w:spacing w:after="0" w:line="360" w:lineRule="auto"/>
        <w:rPr>
          <w:rFonts w:ascii="Times New Roman" w:hAnsi="Times New Roman"/>
          <w:i/>
          <w:sz w:val="26"/>
          <w:szCs w:val="26"/>
        </w:rPr>
      </w:pPr>
    </w:p>
    <w:tbl>
      <w:tblPr>
        <w:tblW w:w="522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434"/>
        <w:gridCol w:w="1789"/>
        <w:gridCol w:w="7489"/>
      </w:tblGrid>
      <w:tr w:rsidR="003460E1" w:rsidRPr="00823CB3" w14:paraId="653FAB39" w14:textId="77777777" w:rsidTr="001919B5">
        <w:trPr>
          <w:trHeight w:val="555"/>
          <w:tblCellSpacing w:w="15" w:type="dxa"/>
        </w:trPr>
        <w:tc>
          <w:tcPr>
            <w:tcW w:w="4969" w:type="pct"/>
            <w:gridSpan w:val="4"/>
            <w:tcBorders>
              <w:top w:val="single" w:sz="4" w:space="0" w:color="auto"/>
              <w:left w:val="single" w:sz="4" w:space="0" w:color="auto"/>
              <w:bottom w:val="single" w:sz="4" w:space="0" w:color="auto"/>
              <w:right w:val="single" w:sz="4" w:space="0" w:color="auto"/>
            </w:tcBorders>
            <w:vAlign w:val="center"/>
            <w:hideMark/>
          </w:tcPr>
          <w:p w14:paraId="4D58DDBE" w14:textId="77777777" w:rsidR="003460E1" w:rsidRPr="00823CB3" w:rsidRDefault="003460E1" w:rsidP="0005162F">
            <w:pPr>
              <w:spacing w:after="0" w:line="240" w:lineRule="auto"/>
              <w:ind w:firstLine="300"/>
              <w:jc w:val="both"/>
              <w:rPr>
                <w:rFonts w:ascii="Times New Roman" w:hAnsi="Times New Roman"/>
                <w:b/>
                <w:bCs/>
                <w:sz w:val="26"/>
                <w:szCs w:val="26"/>
                <w:lang w:eastAsia="lv-LV"/>
              </w:rPr>
            </w:pPr>
            <w:r w:rsidRPr="00823CB3">
              <w:rPr>
                <w:rFonts w:ascii="Times New Roman" w:hAnsi="Times New Roman"/>
                <w:b/>
                <w:bCs/>
                <w:sz w:val="26"/>
                <w:szCs w:val="26"/>
                <w:lang w:eastAsia="lv-LV"/>
              </w:rPr>
              <w:t>II. Tiesību akta projekta ietekme uz sabiedrību, tautsaimniecības attīstību un administratīvo slogu</w:t>
            </w:r>
          </w:p>
        </w:tc>
      </w:tr>
      <w:tr w:rsidR="003460E1" w:rsidRPr="00823CB3" w14:paraId="3BC746F8" w14:textId="77777777" w:rsidTr="001919B5">
        <w:trPr>
          <w:trHeight w:val="465"/>
          <w:tblCellSpacing w:w="15" w:type="dxa"/>
        </w:trPr>
        <w:tc>
          <w:tcPr>
            <w:tcW w:w="212" w:type="pct"/>
            <w:gridSpan w:val="2"/>
            <w:tcBorders>
              <w:top w:val="single" w:sz="4" w:space="0" w:color="auto"/>
              <w:left w:val="single" w:sz="4" w:space="0" w:color="auto"/>
              <w:bottom w:val="single" w:sz="4" w:space="0" w:color="auto"/>
              <w:right w:val="single" w:sz="4" w:space="0" w:color="auto"/>
            </w:tcBorders>
            <w:hideMark/>
          </w:tcPr>
          <w:p w14:paraId="56988472" w14:textId="77777777" w:rsidR="003460E1" w:rsidRPr="00823CB3" w:rsidRDefault="003460E1" w:rsidP="0005162F">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1.</w:t>
            </w:r>
          </w:p>
        </w:tc>
        <w:tc>
          <w:tcPr>
            <w:tcW w:w="909" w:type="pct"/>
            <w:tcBorders>
              <w:top w:val="single" w:sz="4" w:space="0" w:color="auto"/>
              <w:left w:val="single" w:sz="4" w:space="0" w:color="auto"/>
              <w:bottom w:val="single" w:sz="4" w:space="0" w:color="auto"/>
              <w:right w:val="single" w:sz="4" w:space="0" w:color="auto"/>
            </w:tcBorders>
            <w:hideMark/>
          </w:tcPr>
          <w:p w14:paraId="341DE1FB" w14:textId="77777777" w:rsidR="003460E1" w:rsidRPr="00823CB3" w:rsidRDefault="003460E1" w:rsidP="0005162F">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 xml:space="preserve">Sabiedrības </w:t>
            </w:r>
            <w:proofErr w:type="spellStart"/>
            <w:r w:rsidRPr="00823CB3">
              <w:rPr>
                <w:rFonts w:ascii="Times New Roman" w:hAnsi="Times New Roman"/>
                <w:sz w:val="26"/>
                <w:szCs w:val="26"/>
                <w:lang w:eastAsia="lv-LV"/>
              </w:rPr>
              <w:t>mērķgrupas</w:t>
            </w:r>
            <w:proofErr w:type="spellEnd"/>
            <w:r w:rsidRPr="00823CB3">
              <w:rPr>
                <w:rFonts w:ascii="Times New Roman" w:hAnsi="Times New Roman"/>
                <w:sz w:val="26"/>
                <w:szCs w:val="26"/>
                <w:lang w:eastAsia="lv-LV"/>
              </w:rPr>
              <w:t>, kuras tiesiskais regulējums ietekmē vai varētu ietekmēt</w:t>
            </w:r>
          </w:p>
        </w:tc>
        <w:tc>
          <w:tcPr>
            <w:tcW w:w="3818" w:type="pct"/>
            <w:tcBorders>
              <w:top w:val="single" w:sz="4" w:space="0" w:color="auto"/>
              <w:left w:val="single" w:sz="4" w:space="0" w:color="auto"/>
              <w:bottom w:val="single" w:sz="4" w:space="0" w:color="auto"/>
              <w:right w:val="single" w:sz="4" w:space="0" w:color="auto"/>
            </w:tcBorders>
            <w:hideMark/>
          </w:tcPr>
          <w:p w14:paraId="7973287B" w14:textId="3F0B731E" w:rsidR="003460E1" w:rsidRPr="006D4569" w:rsidRDefault="00144071" w:rsidP="0005162F">
            <w:pPr>
              <w:pStyle w:val="ListParagraph"/>
              <w:tabs>
                <w:tab w:val="left" w:pos="220"/>
              </w:tabs>
              <w:spacing w:after="0" w:line="240" w:lineRule="auto"/>
              <w:ind w:left="0"/>
              <w:jc w:val="both"/>
              <w:rPr>
                <w:rFonts w:ascii="Times New Roman" w:hAnsi="Times New Roman"/>
                <w:sz w:val="26"/>
                <w:szCs w:val="26"/>
                <w:lang w:val="lv-LV" w:eastAsia="en-US"/>
              </w:rPr>
            </w:pPr>
            <w:r>
              <w:rPr>
                <w:rFonts w:ascii="Times New Roman" w:hAnsi="Times New Roman"/>
                <w:sz w:val="26"/>
                <w:szCs w:val="26"/>
                <w:lang w:val="lv-LV" w:eastAsia="en-US"/>
              </w:rPr>
              <w:t xml:space="preserve">     </w:t>
            </w:r>
            <w:r w:rsidR="00F80C33" w:rsidRPr="006D4569">
              <w:rPr>
                <w:rFonts w:ascii="Times New Roman" w:hAnsi="Times New Roman"/>
                <w:sz w:val="26"/>
                <w:szCs w:val="26"/>
                <w:lang w:val="lv-LV" w:eastAsia="en-US"/>
              </w:rPr>
              <w:t xml:space="preserve">Projektā </w:t>
            </w:r>
            <w:r w:rsidR="003460E1" w:rsidRPr="006D4569">
              <w:rPr>
                <w:rFonts w:ascii="Times New Roman" w:hAnsi="Times New Roman"/>
                <w:sz w:val="26"/>
                <w:szCs w:val="26"/>
                <w:lang w:val="lv-LV" w:eastAsia="en-US"/>
              </w:rPr>
              <w:t xml:space="preserve">noteiktais attieksies uz: </w:t>
            </w:r>
          </w:p>
          <w:p w14:paraId="4785AA65" w14:textId="27A2AB3F" w:rsidR="001A226A" w:rsidRPr="006D4569" w:rsidRDefault="002F12C1" w:rsidP="0005162F">
            <w:pPr>
              <w:pStyle w:val="ListParagraph"/>
              <w:tabs>
                <w:tab w:val="left" w:pos="220"/>
              </w:tabs>
              <w:spacing w:after="0" w:line="240" w:lineRule="auto"/>
              <w:ind w:left="0"/>
              <w:jc w:val="both"/>
              <w:rPr>
                <w:rFonts w:ascii="Times New Roman" w:hAnsi="Times New Roman"/>
                <w:sz w:val="26"/>
                <w:szCs w:val="26"/>
                <w:lang w:val="lv-LV" w:eastAsia="en-US"/>
              </w:rPr>
            </w:pPr>
            <w:r w:rsidRPr="006D4569">
              <w:rPr>
                <w:rFonts w:ascii="Times New Roman" w:hAnsi="Times New Roman"/>
                <w:sz w:val="26"/>
                <w:szCs w:val="26"/>
                <w:lang w:val="lv-LV" w:eastAsia="en-US"/>
              </w:rPr>
              <w:t>1</w:t>
            </w:r>
            <w:r w:rsidR="003460E1" w:rsidRPr="006D4569">
              <w:rPr>
                <w:rFonts w:ascii="Times New Roman" w:hAnsi="Times New Roman"/>
                <w:sz w:val="26"/>
                <w:szCs w:val="26"/>
                <w:lang w:val="lv-LV" w:eastAsia="en-US"/>
              </w:rPr>
              <w:t xml:space="preserve">) </w:t>
            </w:r>
            <w:r w:rsidR="001A226A" w:rsidRPr="006D4569">
              <w:rPr>
                <w:rFonts w:ascii="Times New Roman" w:hAnsi="Times New Roman"/>
                <w:color w:val="000000"/>
                <w:sz w:val="26"/>
                <w:szCs w:val="26"/>
              </w:rPr>
              <w:t>p</w:t>
            </w:r>
            <w:r w:rsidR="001A226A" w:rsidRPr="006D4569">
              <w:rPr>
                <w:rFonts w:ascii="Times New Roman" w:hAnsi="Times New Roman"/>
                <w:sz w:val="26"/>
                <w:szCs w:val="26"/>
              </w:rPr>
              <w:t>erson</w:t>
            </w:r>
            <w:r w:rsidR="001A226A" w:rsidRPr="006D4569">
              <w:rPr>
                <w:rFonts w:ascii="Times New Roman" w:hAnsi="Times New Roman"/>
                <w:sz w:val="26"/>
                <w:szCs w:val="26"/>
                <w:lang w:val="lv-LV"/>
              </w:rPr>
              <w:t>ām</w:t>
            </w:r>
            <w:r w:rsidR="001A226A" w:rsidRPr="006D4569">
              <w:rPr>
                <w:rFonts w:ascii="Times New Roman" w:hAnsi="Times New Roman"/>
                <w:sz w:val="26"/>
                <w:szCs w:val="26"/>
              </w:rPr>
              <w:t>, kas izglītību un profesionālo kvalifikāciju ieguvu</w:t>
            </w:r>
            <w:r w:rsidR="00E53EB4">
              <w:rPr>
                <w:rFonts w:ascii="Times New Roman" w:hAnsi="Times New Roman"/>
                <w:sz w:val="26"/>
                <w:szCs w:val="26"/>
                <w:lang w:val="lv-LV"/>
              </w:rPr>
              <w:t>šas</w:t>
            </w:r>
            <w:r w:rsidR="001A226A" w:rsidRPr="006D4569">
              <w:rPr>
                <w:rFonts w:ascii="Times New Roman" w:hAnsi="Times New Roman"/>
                <w:sz w:val="26"/>
                <w:szCs w:val="26"/>
              </w:rPr>
              <w:t xml:space="preserve"> Latvijas Republikā, kā arī </w:t>
            </w:r>
            <w:r w:rsidR="00E53EB4">
              <w:rPr>
                <w:rFonts w:ascii="Times New Roman" w:hAnsi="Times New Roman"/>
                <w:sz w:val="26"/>
                <w:szCs w:val="26"/>
                <w:lang w:val="lv-LV"/>
              </w:rPr>
              <w:t>uz</w:t>
            </w:r>
            <w:r w:rsidR="00E53EB4" w:rsidRPr="006D4569">
              <w:rPr>
                <w:rFonts w:ascii="Times New Roman" w:hAnsi="Times New Roman"/>
                <w:sz w:val="26"/>
                <w:szCs w:val="26"/>
              </w:rPr>
              <w:t xml:space="preserve"> </w:t>
            </w:r>
            <w:r w:rsidR="001A226A" w:rsidRPr="006D4569">
              <w:rPr>
                <w:rFonts w:ascii="Times New Roman" w:hAnsi="Times New Roman"/>
                <w:sz w:val="26"/>
                <w:szCs w:val="26"/>
              </w:rPr>
              <w:t>person</w:t>
            </w:r>
            <w:r w:rsidR="00E53EB4">
              <w:rPr>
                <w:rFonts w:ascii="Times New Roman" w:hAnsi="Times New Roman"/>
                <w:sz w:val="26"/>
                <w:szCs w:val="26"/>
                <w:lang w:val="lv-LV"/>
              </w:rPr>
              <w:t>ām</w:t>
            </w:r>
            <w:r w:rsidR="001A226A" w:rsidRPr="006D4569">
              <w:rPr>
                <w:rFonts w:ascii="Times New Roman" w:hAnsi="Times New Roman"/>
                <w:sz w:val="26"/>
                <w:szCs w:val="26"/>
              </w:rPr>
              <w:t xml:space="preserve">, kam ir tiesības strādāt reglamentētajā profesijā Latvijā, un kas pretendē uz </w:t>
            </w:r>
            <w:r w:rsidR="00D4496B">
              <w:rPr>
                <w:rFonts w:ascii="Times New Roman" w:hAnsi="Times New Roman"/>
                <w:sz w:val="26"/>
                <w:szCs w:val="26"/>
                <w:lang w:val="lv-LV"/>
              </w:rPr>
              <w:t>EPK</w:t>
            </w:r>
            <w:r w:rsidR="001A226A" w:rsidRPr="006D4569">
              <w:rPr>
                <w:rFonts w:ascii="Times New Roman" w:hAnsi="Times New Roman"/>
                <w:sz w:val="26"/>
                <w:szCs w:val="26"/>
              </w:rPr>
              <w:t xml:space="preserve"> saņemšanu profesionālajai darbībai </w:t>
            </w:r>
            <w:r w:rsidR="00D13E9C">
              <w:rPr>
                <w:rFonts w:ascii="Times New Roman" w:hAnsi="Times New Roman"/>
                <w:sz w:val="26"/>
                <w:szCs w:val="26"/>
              </w:rPr>
              <w:t>citā dalībvalstī</w:t>
            </w:r>
            <w:r w:rsidR="00D13E9C">
              <w:rPr>
                <w:rFonts w:ascii="Times New Roman" w:hAnsi="Times New Roman"/>
                <w:sz w:val="26"/>
                <w:szCs w:val="26"/>
                <w:lang w:val="lv-LV"/>
              </w:rPr>
              <w:t xml:space="preserve"> </w:t>
            </w:r>
            <w:r w:rsidR="00D71AAE">
              <w:rPr>
                <w:rFonts w:ascii="Times New Roman" w:hAnsi="Times New Roman"/>
                <w:sz w:val="26"/>
                <w:szCs w:val="26"/>
                <w:lang w:val="lv-LV"/>
              </w:rPr>
              <w:t>māsas, fizioterapeita, farmaceita, nekustamo īpašumu aģenta vai kalnu gida</w:t>
            </w:r>
            <w:r w:rsidR="001A226A" w:rsidRPr="006D4569">
              <w:rPr>
                <w:rFonts w:ascii="Times New Roman" w:hAnsi="Times New Roman"/>
                <w:sz w:val="26"/>
                <w:szCs w:val="26"/>
              </w:rPr>
              <w:t xml:space="preserve"> </w:t>
            </w:r>
            <w:r w:rsidR="00D71AAE" w:rsidRPr="006D4569">
              <w:rPr>
                <w:rFonts w:ascii="Times New Roman" w:hAnsi="Times New Roman"/>
                <w:sz w:val="26"/>
                <w:szCs w:val="26"/>
              </w:rPr>
              <w:t>reglamentētajā profesijā</w:t>
            </w:r>
            <w:r w:rsidR="001A226A" w:rsidRPr="006D4569">
              <w:rPr>
                <w:rFonts w:ascii="Times New Roman" w:hAnsi="Times New Roman"/>
                <w:sz w:val="26"/>
                <w:szCs w:val="26"/>
                <w:lang w:val="lv-LV"/>
              </w:rPr>
              <w:t>;</w:t>
            </w:r>
          </w:p>
          <w:p w14:paraId="56CF206C" w14:textId="0D2BF8E1" w:rsidR="003460E1" w:rsidRPr="006D4569" w:rsidRDefault="001A226A" w:rsidP="0005162F">
            <w:pPr>
              <w:pStyle w:val="ListParagraph"/>
              <w:tabs>
                <w:tab w:val="left" w:pos="220"/>
              </w:tabs>
              <w:spacing w:after="0" w:line="240" w:lineRule="auto"/>
              <w:ind w:left="0"/>
              <w:jc w:val="both"/>
              <w:rPr>
                <w:rFonts w:ascii="Times New Roman" w:hAnsi="Times New Roman"/>
                <w:iCs/>
                <w:sz w:val="26"/>
                <w:szCs w:val="26"/>
                <w:lang w:val="lv-LV" w:eastAsia="en-US"/>
              </w:rPr>
            </w:pPr>
            <w:r w:rsidRPr="006D4569">
              <w:rPr>
                <w:rFonts w:ascii="Times New Roman" w:hAnsi="Times New Roman"/>
                <w:sz w:val="26"/>
                <w:szCs w:val="26"/>
                <w:lang w:val="lv-LV" w:eastAsia="en-US"/>
              </w:rPr>
              <w:t xml:space="preserve">2) </w:t>
            </w:r>
            <w:r w:rsidR="00556473" w:rsidRPr="006D4569">
              <w:rPr>
                <w:rFonts w:ascii="Times New Roman" w:hAnsi="Times New Roman"/>
                <w:color w:val="000000"/>
                <w:sz w:val="26"/>
                <w:szCs w:val="26"/>
              </w:rPr>
              <w:t>p</w:t>
            </w:r>
            <w:r w:rsidR="00556473" w:rsidRPr="006D4569">
              <w:rPr>
                <w:rFonts w:ascii="Times New Roman" w:hAnsi="Times New Roman"/>
                <w:sz w:val="26"/>
                <w:szCs w:val="26"/>
              </w:rPr>
              <w:t>erson</w:t>
            </w:r>
            <w:r w:rsidR="00556473" w:rsidRPr="006D4569">
              <w:rPr>
                <w:rFonts w:ascii="Times New Roman" w:hAnsi="Times New Roman"/>
                <w:sz w:val="26"/>
                <w:szCs w:val="26"/>
                <w:lang w:val="lv-LV"/>
              </w:rPr>
              <w:t>ām</w:t>
            </w:r>
            <w:r w:rsidR="00556473" w:rsidRPr="006D4569">
              <w:rPr>
                <w:rFonts w:ascii="Times New Roman" w:hAnsi="Times New Roman"/>
                <w:sz w:val="26"/>
                <w:szCs w:val="26"/>
              </w:rPr>
              <w:t>, kas izglītību un profesionālo kvalifikāciju ieguvu</w:t>
            </w:r>
            <w:r w:rsidR="000D6DB4">
              <w:rPr>
                <w:rFonts w:ascii="Times New Roman" w:hAnsi="Times New Roman"/>
                <w:sz w:val="26"/>
                <w:szCs w:val="26"/>
                <w:lang w:val="lv-LV"/>
              </w:rPr>
              <w:t>šas</w:t>
            </w:r>
            <w:r w:rsidR="00556473" w:rsidRPr="006D4569">
              <w:rPr>
                <w:rFonts w:ascii="Times New Roman" w:hAnsi="Times New Roman"/>
                <w:sz w:val="26"/>
                <w:szCs w:val="26"/>
              </w:rPr>
              <w:t xml:space="preserve"> citā dalībvalstī un pretendē uz </w:t>
            </w:r>
            <w:r w:rsidR="00D4496B">
              <w:rPr>
                <w:rFonts w:ascii="Times New Roman" w:hAnsi="Times New Roman"/>
                <w:sz w:val="26"/>
                <w:szCs w:val="26"/>
                <w:lang w:val="lv-LV"/>
              </w:rPr>
              <w:t>EPK</w:t>
            </w:r>
            <w:r w:rsidR="00556473" w:rsidRPr="006D4569">
              <w:rPr>
                <w:rFonts w:ascii="Times New Roman" w:hAnsi="Times New Roman"/>
                <w:sz w:val="26"/>
                <w:szCs w:val="26"/>
              </w:rPr>
              <w:t xml:space="preserve"> saņemšanu pastāvīgai profesionālajai darbībai reglamentētajā profesijā vai īslaicīgu profesionālo pakalpojumu sniegšanai</w:t>
            </w:r>
            <w:r w:rsidR="00556473" w:rsidRPr="006D4569" w:rsidDel="00031FAE">
              <w:rPr>
                <w:rFonts w:ascii="Times New Roman" w:hAnsi="Times New Roman"/>
                <w:sz w:val="26"/>
                <w:szCs w:val="26"/>
              </w:rPr>
              <w:t xml:space="preserve"> </w:t>
            </w:r>
            <w:r w:rsidR="00556473" w:rsidRPr="006D4569">
              <w:rPr>
                <w:rFonts w:ascii="Times New Roman" w:hAnsi="Times New Roman"/>
                <w:sz w:val="26"/>
                <w:szCs w:val="26"/>
              </w:rPr>
              <w:t xml:space="preserve">Latvijas Republikā </w:t>
            </w:r>
            <w:r w:rsidR="000D6DB4">
              <w:rPr>
                <w:rFonts w:ascii="Times New Roman" w:hAnsi="Times New Roman"/>
                <w:sz w:val="26"/>
                <w:szCs w:val="26"/>
                <w:lang w:val="lv-LV"/>
              </w:rPr>
              <w:t>māsas, fizioterapeita vai farmaceita</w:t>
            </w:r>
            <w:r w:rsidR="000D6DB4" w:rsidRPr="006D4569">
              <w:rPr>
                <w:rFonts w:ascii="Times New Roman" w:hAnsi="Times New Roman"/>
                <w:sz w:val="26"/>
                <w:szCs w:val="26"/>
              </w:rPr>
              <w:t xml:space="preserve"> </w:t>
            </w:r>
            <w:r w:rsidR="00556473" w:rsidRPr="006D4569">
              <w:rPr>
                <w:rFonts w:ascii="Times New Roman" w:hAnsi="Times New Roman"/>
                <w:sz w:val="26"/>
                <w:szCs w:val="26"/>
              </w:rPr>
              <w:t>profesijā</w:t>
            </w:r>
            <w:r w:rsidR="003460E1" w:rsidRPr="006D4569">
              <w:rPr>
                <w:rFonts w:ascii="Times New Roman" w:hAnsi="Times New Roman"/>
                <w:iCs/>
                <w:sz w:val="26"/>
                <w:szCs w:val="26"/>
                <w:lang w:val="lv-LV" w:eastAsia="en-US"/>
              </w:rPr>
              <w:t>;</w:t>
            </w:r>
          </w:p>
          <w:p w14:paraId="527A001C" w14:textId="4D5517E3" w:rsidR="00D72808" w:rsidRPr="006D4569" w:rsidRDefault="00D72808" w:rsidP="0005162F">
            <w:pPr>
              <w:pStyle w:val="ListParagraph"/>
              <w:tabs>
                <w:tab w:val="left" w:pos="220"/>
              </w:tabs>
              <w:spacing w:after="0" w:line="240" w:lineRule="auto"/>
              <w:ind w:left="0"/>
              <w:jc w:val="both"/>
              <w:rPr>
                <w:rFonts w:ascii="Times New Roman" w:hAnsi="Times New Roman"/>
                <w:sz w:val="26"/>
                <w:szCs w:val="26"/>
                <w:lang w:val="lv-LV" w:eastAsia="en-US"/>
              </w:rPr>
            </w:pPr>
            <w:r w:rsidRPr="006D4569">
              <w:rPr>
                <w:rFonts w:ascii="Times New Roman" w:hAnsi="Times New Roman"/>
                <w:iCs/>
                <w:sz w:val="26"/>
                <w:szCs w:val="26"/>
                <w:lang w:val="lv-LV" w:eastAsia="en-US"/>
              </w:rPr>
              <w:t xml:space="preserve">3) personām ar profesionālo kvalifikāciju reglamentētajās </w:t>
            </w:r>
            <w:r w:rsidRPr="006D4569">
              <w:rPr>
                <w:rFonts w:ascii="Times New Roman" w:hAnsi="Times New Roman"/>
                <w:bCs/>
                <w:sz w:val="26"/>
                <w:szCs w:val="26"/>
              </w:rPr>
              <w:t>profesijā, kas skar sabiedrības veselību vai veterinārmedicīnu, vai kurā profesionālā darbība ir saistīta ar bērniem</w:t>
            </w:r>
            <w:r w:rsidR="00523105" w:rsidRPr="006D4569">
              <w:rPr>
                <w:rFonts w:ascii="Times New Roman" w:hAnsi="Times New Roman"/>
                <w:bCs/>
                <w:sz w:val="26"/>
                <w:szCs w:val="26"/>
                <w:lang w:val="lv-LV"/>
              </w:rPr>
              <w:t>;</w:t>
            </w:r>
            <w:r w:rsidRPr="006D4569">
              <w:rPr>
                <w:rFonts w:ascii="Times New Roman" w:hAnsi="Times New Roman"/>
                <w:sz w:val="26"/>
                <w:szCs w:val="26"/>
                <w:lang w:val="lv-LV" w:eastAsia="en-US"/>
              </w:rPr>
              <w:t xml:space="preserve"> </w:t>
            </w:r>
          </w:p>
          <w:p w14:paraId="0458E28C" w14:textId="77777777" w:rsidR="00D4496B" w:rsidRDefault="00D72808" w:rsidP="0005162F">
            <w:pPr>
              <w:pStyle w:val="ListParagraph"/>
              <w:tabs>
                <w:tab w:val="left" w:pos="220"/>
              </w:tabs>
              <w:spacing w:after="0" w:line="240" w:lineRule="auto"/>
              <w:ind w:left="0"/>
              <w:jc w:val="both"/>
              <w:rPr>
                <w:rFonts w:ascii="Times New Roman" w:hAnsi="Times New Roman"/>
                <w:sz w:val="26"/>
                <w:szCs w:val="26"/>
                <w:lang w:val="lv-LV" w:eastAsia="en-US"/>
              </w:rPr>
            </w:pPr>
            <w:r w:rsidRPr="006D4569">
              <w:rPr>
                <w:rFonts w:ascii="Times New Roman" w:hAnsi="Times New Roman"/>
                <w:sz w:val="26"/>
                <w:szCs w:val="26"/>
                <w:lang w:val="lv-LV" w:eastAsia="en-US"/>
              </w:rPr>
              <w:t>4</w:t>
            </w:r>
            <w:r w:rsidR="003460E1" w:rsidRPr="006D4569">
              <w:rPr>
                <w:rFonts w:ascii="Times New Roman" w:hAnsi="Times New Roman"/>
                <w:sz w:val="26"/>
                <w:szCs w:val="26"/>
                <w:lang w:val="lv-LV" w:eastAsia="en-US"/>
              </w:rPr>
              <w:t xml:space="preserve">) </w:t>
            </w:r>
            <w:r w:rsidR="003409A7" w:rsidRPr="006D4569">
              <w:rPr>
                <w:rFonts w:ascii="Times New Roman" w:hAnsi="Times New Roman"/>
                <w:sz w:val="26"/>
                <w:szCs w:val="26"/>
                <w:lang w:val="lv-LV" w:eastAsia="en-US"/>
              </w:rPr>
              <w:t>institūcijām, kas izsniedz profesionālās kvalifikācijas atzīšanas apliecības</w:t>
            </w:r>
            <w:r w:rsidR="00004B8E" w:rsidRPr="006D4569">
              <w:rPr>
                <w:rFonts w:ascii="Times New Roman" w:hAnsi="Times New Roman"/>
                <w:sz w:val="26"/>
                <w:szCs w:val="26"/>
                <w:lang w:val="lv-LV" w:eastAsia="en-US"/>
              </w:rPr>
              <w:t xml:space="preserve"> reglamentētajās profesijās</w:t>
            </w:r>
            <w:r w:rsidR="00D4496B">
              <w:rPr>
                <w:rFonts w:ascii="Times New Roman" w:hAnsi="Times New Roman"/>
                <w:sz w:val="26"/>
                <w:szCs w:val="26"/>
                <w:lang w:val="lv-LV" w:eastAsia="en-US"/>
              </w:rPr>
              <w:t>;</w:t>
            </w:r>
          </w:p>
          <w:p w14:paraId="2300E927" w14:textId="68AB1B32" w:rsidR="0030186F" w:rsidRPr="00CC6F49" w:rsidRDefault="00D4496B" w:rsidP="00144071">
            <w:pPr>
              <w:pStyle w:val="ListParagraph"/>
              <w:tabs>
                <w:tab w:val="left" w:pos="220"/>
              </w:tabs>
              <w:spacing w:after="0" w:line="240" w:lineRule="auto"/>
              <w:ind w:left="0"/>
              <w:jc w:val="both"/>
              <w:rPr>
                <w:rFonts w:ascii="Times New Roman" w:hAnsi="Times New Roman"/>
                <w:bCs/>
                <w:sz w:val="26"/>
                <w:szCs w:val="26"/>
                <w:lang w:val="lv-LV"/>
              </w:rPr>
            </w:pPr>
            <w:r>
              <w:rPr>
                <w:rFonts w:ascii="Times New Roman" w:hAnsi="Times New Roman"/>
                <w:sz w:val="26"/>
                <w:szCs w:val="26"/>
                <w:lang w:val="lv-LV" w:eastAsia="en-US"/>
              </w:rPr>
              <w:t xml:space="preserve">5) institūcijām, kas izsniedz sertifikātus, kas dod tiesības strādāt reglamentētajās profesijās, kas </w:t>
            </w:r>
            <w:r w:rsidRPr="009E0212">
              <w:rPr>
                <w:rFonts w:ascii="Times New Roman" w:hAnsi="Times New Roman"/>
                <w:bCs/>
                <w:sz w:val="26"/>
                <w:szCs w:val="26"/>
              </w:rPr>
              <w:t>skar sabiedrības veselību vai veterinārmedicīnu, vai kurā profesionālā darbība ir saistīta ar bērniem</w:t>
            </w:r>
            <w:r w:rsidR="000C3E41">
              <w:rPr>
                <w:rFonts w:ascii="Times New Roman" w:hAnsi="Times New Roman"/>
                <w:bCs/>
                <w:sz w:val="26"/>
                <w:szCs w:val="26"/>
                <w:lang w:val="lv-LV"/>
              </w:rPr>
              <w:t>.</w:t>
            </w:r>
          </w:p>
          <w:p w14:paraId="384EA2C6" w14:textId="6AF78A08" w:rsidR="003460E1" w:rsidRPr="00144071" w:rsidRDefault="003460E1" w:rsidP="00144071">
            <w:pPr>
              <w:pStyle w:val="ListParagraph"/>
              <w:tabs>
                <w:tab w:val="left" w:pos="220"/>
              </w:tabs>
              <w:spacing w:after="0" w:line="240" w:lineRule="auto"/>
              <w:ind w:left="0"/>
              <w:jc w:val="both"/>
              <w:rPr>
                <w:rFonts w:ascii="Times New Roman" w:hAnsi="Times New Roman"/>
                <w:sz w:val="26"/>
                <w:szCs w:val="26"/>
                <w:lang w:val="lv-LV" w:eastAsia="en-US"/>
              </w:rPr>
            </w:pPr>
            <w:r w:rsidRPr="006D4569">
              <w:rPr>
                <w:rFonts w:ascii="Times New Roman" w:hAnsi="Times New Roman"/>
                <w:sz w:val="26"/>
                <w:szCs w:val="26"/>
                <w:lang w:val="lv-LV" w:eastAsia="en-US"/>
              </w:rPr>
              <w:t xml:space="preserve"> </w:t>
            </w:r>
          </w:p>
        </w:tc>
      </w:tr>
      <w:tr w:rsidR="003460E1" w:rsidRPr="00823CB3" w14:paraId="199FFF5C" w14:textId="77777777" w:rsidTr="001919B5">
        <w:trPr>
          <w:trHeight w:val="510"/>
          <w:tblCellSpacing w:w="15" w:type="dxa"/>
        </w:trPr>
        <w:tc>
          <w:tcPr>
            <w:tcW w:w="212" w:type="pct"/>
            <w:gridSpan w:val="2"/>
            <w:tcBorders>
              <w:top w:val="single" w:sz="4" w:space="0" w:color="auto"/>
              <w:left w:val="single" w:sz="4" w:space="0" w:color="auto"/>
              <w:bottom w:val="single" w:sz="4" w:space="0" w:color="auto"/>
              <w:right w:val="single" w:sz="4" w:space="0" w:color="auto"/>
            </w:tcBorders>
            <w:hideMark/>
          </w:tcPr>
          <w:p w14:paraId="66FA650B" w14:textId="6BCBD37F" w:rsidR="003460E1" w:rsidRPr="00823CB3" w:rsidRDefault="003460E1" w:rsidP="0005162F">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2.</w:t>
            </w:r>
          </w:p>
        </w:tc>
        <w:tc>
          <w:tcPr>
            <w:tcW w:w="909" w:type="pct"/>
            <w:tcBorders>
              <w:top w:val="single" w:sz="4" w:space="0" w:color="auto"/>
              <w:left w:val="single" w:sz="4" w:space="0" w:color="auto"/>
              <w:bottom w:val="single" w:sz="4" w:space="0" w:color="auto"/>
              <w:right w:val="single" w:sz="4" w:space="0" w:color="auto"/>
            </w:tcBorders>
            <w:hideMark/>
          </w:tcPr>
          <w:p w14:paraId="2F0345BE" w14:textId="77777777" w:rsidR="003460E1" w:rsidRPr="00823CB3" w:rsidRDefault="003460E1" w:rsidP="00937CF5">
            <w:pPr>
              <w:spacing w:after="0" w:line="240" w:lineRule="auto"/>
              <w:rPr>
                <w:rFonts w:ascii="Times New Roman" w:hAnsi="Times New Roman"/>
                <w:sz w:val="26"/>
                <w:szCs w:val="26"/>
                <w:lang w:eastAsia="lv-LV"/>
              </w:rPr>
            </w:pPr>
            <w:r w:rsidRPr="00823CB3">
              <w:rPr>
                <w:rFonts w:ascii="Times New Roman" w:hAnsi="Times New Roman"/>
                <w:sz w:val="26"/>
                <w:szCs w:val="26"/>
                <w:lang w:eastAsia="lv-LV"/>
              </w:rPr>
              <w:t>Tiesiskā regulējuma ietekme uz tautsaimniecību un administratīvo slogu</w:t>
            </w:r>
          </w:p>
        </w:tc>
        <w:tc>
          <w:tcPr>
            <w:tcW w:w="3818" w:type="pct"/>
            <w:tcBorders>
              <w:top w:val="single" w:sz="4" w:space="0" w:color="auto"/>
              <w:left w:val="single" w:sz="4" w:space="0" w:color="auto"/>
              <w:bottom w:val="single" w:sz="4" w:space="0" w:color="auto"/>
              <w:right w:val="single" w:sz="4" w:space="0" w:color="auto"/>
            </w:tcBorders>
          </w:tcPr>
          <w:p w14:paraId="1C18BC6E" w14:textId="091E8552" w:rsidR="003460E1" w:rsidRDefault="00C719A4" w:rsidP="00275EC3">
            <w:pPr>
              <w:tabs>
                <w:tab w:val="left" w:pos="7371"/>
              </w:tabs>
              <w:spacing w:after="0" w:line="240" w:lineRule="auto"/>
              <w:jc w:val="both"/>
              <w:rPr>
                <w:rFonts w:ascii="Times New Roman" w:hAnsi="Times New Roman"/>
                <w:sz w:val="26"/>
                <w:szCs w:val="26"/>
              </w:rPr>
            </w:pPr>
            <w:r>
              <w:rPr>
                <w:rFonts w:ascii="Times New Roman" w:hAnsi="Times New Roman"/>
                <w:sz w:val="26"/>
                <w:szCs w:val="26"/>
              </w:rPr>
              <w:t>Ņemot vērā jaunu normu ieviešanu</w:t>
            </w:r>
            <w:r w:rsidR="00233FBE">
              <w:rPr>
                <w:rFonts w:ascii="Times New Roman" w:hAnsi="Times New Roman"/>
                <w:sz w:val="26"/>
                <w:szCs w:val="26"/>
              </w:rPr>
              <w:t>, p</w:t>
            </w:r>
            <w:r w:rsidR="00F53D7F">
              <w:rPr>
                <w:rFonts w:ascii="Times New Roman" w:hAnsi="Times New Roman"/>
                <w:sz w:val="26"/>
                <w:szCs w:val="26"/>
              </w:rPr>
              <w:t xml:space="preserve">apildus pienākumi būs </w:t>
            </w:r>
            <w:r w:rsidR="00144071">
              <w:rPr>
                <w:rFonts w:ascii="Times New Roman" w:hAnsi="Times New Roman"/>
                <w:bCs/>
                <w:sz w:val="26"/>
                <w:szCs w:val="26"/>
              </w:rPr>
              <w:t>tiesām</w:t>
            </w:r>
            <w:r w:rsidR="0041704C">
              <w:rPr>
                <w:rFonts w:ascii="Times New Roman" w:hAnsi="Times New Roman"/>
                <w:bCs/>
                <w:sz w:val="26"/>
                <w:szCs w:val="26"/>
              </w:rPr>
              <w:t xml:space="preserve"> un prokuratūras struktūrvienībām</w:t>
            </w:r>
            <w:r w:rsidR="00144071">
              <w:rPr>
                <w:rFonts w:ascii="Times New Roman" w:hAnsi="Times New Roman"/>
                <w:bCs/>
                <w:sz w:val="26"/>
                <w:szCs w:val="26"/>
              </w:rPr>
              <w:t xml:space="preserve"> </w:t>
            </w:r>
            <w:r w:rsidR="0041704C">
              <w:rPr>
                <w:rFonts w:ascii="Times New Roman" w:hAnsi="Times New Roman"/>
                <w:bCs/>
                <w:sz w:val="26"/>
                <w:szCs w:val="26"/>
              </w:rPr>
              <w:t xml:space="preserve">un </w:t>
            </w:r>
            <w:r w:rsidR="00144071">
              <w:rPr>
                <w:rFonts w:ascii="Times New Roman" w:hAnsi="Times New Roman"/>
                <w:bCs/>
                <w:sz w:val="26"/>
                <w:szCs w:val="26"/>
              </w:rPr>
              <w:t>institūcijām</w:t>
            </w:r>
            <w:r w:rsidR="00144071" w:rsidRPr="00DF3B26">
              <w:rPr>
                <w:rFonts w:ascii="Times New Roman" w:hAnsi="Times New Roman"/>
                <w:bCs/>
                <w:sz w:val="26"/>
                <w:szCs w:val="26"/>
              </w:rPr>
              <w:t>, kas sertificē personas ar profesionālo kvalifikāciju vai izsniedz profesionālās kvalifikācijas atzīšanas apliecības reglamentētajās profesijās</w:t>
            </w:r>
            <w:r w:rsidR="00F53D7F">
              <w:rPr>
                <w:rFonts w:ascii="Times New Roman" w:hAnsi="Times New Roman"/>
                <w:sz w:val="26"/>
                <w:szCs w:val="26"/>
              </w:rPr>
              <w:t xml:space="preserve"> </w:t>
            </w:r>
            <w:r w:rsidR="00144071">
              <w:rPr>
                <w:rFonts w:ascii="Times New Roman" w:hAnsi="Times New Roman"/>
                <w:sz w:val="26"/>
                <w:szCs w:val="26"/>
              </w:rPr>
              <w:t>(elektroniski nosūtīt</w:t>
            </w:r>
            <w:r w:rsidR="00F53D7F">
              <w:rPr>
                <w:rFonts w:ascii="Times New Roman" w:hAnsi="Times New Roman"/>
                <w:sz w:val="26"/>
                <w:szCs w:val="26"/>
              </w:rPr>
              <w:t xml:space="preserve"> nolēmumus</w:t>
            </w:r>
            <w:r w:rsidR="000D2157">
              <w:rPr>
                <w:rFonts w:ascii="Times New Roman" w:hAnsi="Times New Roman"/>
                <w:sz w:val="26"/>
                <w:szCs w:val="26"/>
              </w:rPr>
              <w:t xml:space="preserve">, par kuriem ir </w:t>
            </w:r>
            <w:proofErr w:type="spellStart"/>
            <w:r w:rsidR="000D2157">
              <w:rPr>
                <w:rFonts w:ascii="Times New Roman" w:hAnsi="Times New Roman"/>
                <w:sz w:val="26"/>
                <w:szCs w:val="26"/>
              </w:rPr>
              <w:t>jāizsūta</w:t>
            </w:r>
            <w:proofErr w:type="spellEnd"/>
            <w:r w:rsidR="000D2157">
              <w:rPr>
                <w:rFonts w:ascii="Times New Roman" w:hAnsi="Times New Roman"/>
                <w:sz w:val="26"/>
                <w:szCs w:val="26"/>
              </w:rPr>
              <w:t xml:space="preserve"> brīdinājumi</w:t>
            </w:r>
            <w:r w:rsidR="00F53D7F">
              <w:rPr>
                <w:rFonts w:ascii="Times New Roman" w:hAnsi="Times New Roman"/>
                <w:sz w:val="26"/>
                <w:szCs w:val="26"/>
              </w:rPr>
              <w:t xml:space="preserve">). Tā kā nav prognozējams šādu gadījumu skaits, nav iespējams aprēķināt radušos administratīvo slogu. </w:t>
            </w:r>
            <w:r w:rsidR="00424155">
              <w:rPr>
                <w:rFonts w:ascii="Times New Roman" w:hAnsi="Times New Roman"/>
                <w:sz w:val="26"/>
                <w:szCs w:val="26"/>
              </w:rPr>
              <w:t xml:space="preserve"> Precīzi dati par to, cik daudzos gadījumos tiesa ir ierobežojusi vai liegusi veikt profesionālo darbību noteiktā profesijā, nav pieejami, tomēr</w:t>
            </w:r>
            <w:r w:rsidR="00275EC3">
              <w:rPr>
                <w:rFonts w:ascii="Times New Roman" w:hAnsi="Times New Roman"/>
                <w:sz w:val="26"/>
                <w:szCs w:val="26"/>
              </w:rPr>
              <w:t xml:space="preserve"> nav pamata uzskatīt par šādu nodarījumu skaita </w:t>
            </w:r>
            <w:r w:rsidR="00275EC3">
              <w:rPr>
                <w:rFonts w:ascii="Times New Roman" w:hAnsi="Times New Roman"/>
                <w:sz w:val="26"/>
                <w:szCs w:val="26"/>
              </w:rPr>
              <w:lastRenderedPageBreak/>
              <w:t xml:space="preserve">iespējamu pieaugumu. </w:t>
            </w:r>
            <w:r w:rsidR="00991E49">
              <w:rPr>
                <w:rFonts w:ascii="Times New Roman" w:hAnsi="Times New Roman"/>
                <w:sz w:val="26"/>
                <w:szCs w:val="26"/>
              </w:rPr>
              <w:t>Ņemot vērā, ka</w:t>
            </w:r>
            <w:r w:rsidR="00424155">
              <w:rPr>
                <w:rFonts w:ascii="Times New Roman" w:hAnsi="Times New Roman"/>
                <w:sz w:val="26"/>
                <w:szCs w:val="26"/>
              </w:rPr>
              <w:t>, vadoties pēc līdzšinējās prakses, šādi gadījumi ir ļoti reti un</w:t>
            </w:r>
            <w:r w:rsidR="00991E49">
              <w:rPr>
                <w:rFonts w:ascii="Times New Roman" w:hAnsi="Times New Roman"/>
                <w:sz w:val="26"/>
                <w:szCs w:val="26"/>
              </w:rPr>
              <w:t xml:space="preserve"> nav</w:t>
            </w:r>
            <w:r w:rsidR="00424155">
              <w:rPr>
                <w:rFonts w:ascii="Times New Roman" w:hAnsi="Times New Roman"/>
                <w:sz w:val="26"/>
                <w:szCs w:val="26"/>
              </w:rPr>
              <w:t xml:space="preserve"> </w:t>
            </w:r>
            <w:r w:rsidR="00275EC3">
              <w:rPr>
                <w:rFonts w:ascii="Times New Roman" w:hAnsi="Times New Roman"/>
                <w:sz w:val="26"/>
                <w:szCs w:val="26"/>
              </w:rPr>
              <w:t>prognozējams, ka tie arī turpmāk</w:t>
            </w:r>
            <w:r w:rsidR="00424155">
              <w:rPr>
                <w:rFonts w:ascii="Times New Roman" w:hAnsi="Times New Roman"/>
                <w:sz w:val="26"/>
                <w:szCs w:val="26"/>
              </w:rPr>
              <w:t xml:space="preserve"> radīs</w:t>
            </w:r>
            <w:r w:rsidR="00275EC3">
              <w:rPr>
                <w:rFonts w:ascii="Times New Roman" w:hAnsi="Times New Roman"/>
                <w:sz w:val="26"/>
                <w:szCs w:val="26"/>
              </w:rPr>
              <w:t xml:space="preserve"> tiesām</w:t>
            </w:r>
            <w:r w:rsidR="006A541D">
              <w:rPr>
                <w:rFonts w:ascii="Times New Roman" w:hAnsi="Times New Roman"/>
                <w:sz w:val="26"/>
                <w:szCs w:val="26"/>
              </w:rPr>
              <w:t xml:space="preserve"> vai citām minētajām institūcijām</w:t>
            </w:r>
            <w:r w:rsidR="00424155">
              <w:rPr>
                <w:rFonts w:ascii="Times New Roman" w:hAnsi="Times New Roman"/>
                <w:sz w:val="26"/>
                <w:szCs w:val="26"/>
              </w:rPr>
              <w:t xml:space="preserve"> administratīvo slogu tādā apjomā, kas apgrūtinātu iestādes darbu</w:t>
            </w:r>
            <w:r w:rsidR="00991E49">
              <w:rPr>
                <w:rFonts w:ascii="Times New Roman" w:hAnsi="Times New Roman"/>
                <w:sz w:val="26"/>
                <w:szCs w:val="26"/>
              </w:rPr>
              <w:t>, šīs normas radītais administratīvais slogs ir nenoz</w:t>
            </w:r>
            <w:r w:rsidR="009522D5">
              <w:rPr>
                <w:rFonts w:ascii="Times New Roman" w:hAnsi="Times New Roman"/>
                <w:sz w:val="26"/>
                <w:szCs w:val="26"/>
              </w:rPr>
              <w:t>īmī</w:t>
            </w:r>
            <w:r w:rsidR="00991E49">
              <w:rPr>
                <w:rFonts w:ascii="Times New Roman" w:hAnsi="Times New Roman"/>
                <w:sz w:val="26"/>
                <w:szCs w:val="26"/>
              </w:rPr>
              <w:t>gs</w:t>
            </w:r>
            <w:r w:rsidR="00424155">
              <w:rPr>
                <w:rFonts w:ascii="Times New Roman" w:hAnsi="Times New Roman"/>
                <w:sz w:val="26"/>
                <w:szCs w:val="26"/>
              </w:rPr>
              <w:t>.</w:t>
            </w:r>
          </w:p>
          <w:p w14:paraId="5FB27EF7" w14:textId="2F3B10D1" w:rsidR="003D31F7" w:rsidRDefault="003D31F7" w:rsidP="00275EC3">
            <w:pPr>
              <w:tabs>
                <w:tab w:val="left" w:pos="7371"/>
              </w:tabs>
              <w:spacing w:after="0" w:line="240" w:lineRule="auto"/>
              <w:jc w:val="both"/>
              <w:rPr>
                <w:rFonts w:ascii="Times New Roman" w:hAnsi="Times New Roman"/>
                <w:sz w:val="26"/>
                <w:szCs w:val="26"/>
              </w:rPr>
            </w:pPr>
            <w:proofErr w:type="spellStart"/>
            <w:r>
              <w:rPr>
                <w:rFonts w:ascii="Times New Roman" w:hAnsi="Times New Roman"/>
                <w:sz w:val="26"/>
                <w:szCs w:val="26"/>
              </w:rPr>
              <w:t>Iekšlietu</w:t>
            </w:r>
            <w:proofErr w:type="spellEnd"/>
            <w:r>
              <w:rPr>
                <w:rFonts w:ascii="Times New Roman" w:hAnsi="Times New Roman"/>
                <w:sz w:val="26"/>
                <w:szCs w:val="26"/>
              </w:rPr>
              <w:t xml:space="preserve"> ministrijas Informācijas centrs, kas administrē Sodu reģistru, </w:t>
            </w:r>
            <w:r w:rsidR="00AB171C">
              <w:rPr>
                <w:rFonts w:ascii="Times New Roman" w:hAnsi="Times New Roman"/>
                <w:sz w:val="26"/>
                <w:szCs w:val="26"/>
              </w:rPr>
              <w:t xml:space="preserve">nodrošinās informācijas par personām noteiktā soda izpildes un tiesību ierobežojumu kontroli nosūtīšanu </w:t>
            </w:r>
            <w:r w:rsidR="0051041A">
              <w:rPr>
                <w:rFonts w:ascii="Times New Roman" w:hAnsi="Times New Roman"/>
                <w:sz w:val="26"/>
                <w:szCs w:val="26"/>
              </w:rPr>
              <w:t>AIC</w:t>
            </w:r>
            <w:r w:rsidR="00AB171C">
              <w:rPr>
                <w:rFonts w:ascii="Times New Roman" w:hAnsi="Times New Roman"/>
                <w:sz w:val="26"/>
                <w:szCs w:val="26"/>
              </w:rPr>
              <w:t>, kas būs manuāls darbs un radīs administratīvo slogu. Tā kā nav iespējams prognozēt</w:t>
            </w:r>
            <w:r w:rsidR="004E6D78">
              <w:rPr>
                <w:rFonts w:ascii="Times New Roman" w:hAnsi="Times New Roman"/>
                <w:sz w:val="26"/>
                <w:szCs w:val="26"/>
              </w:rPr>
              <w:t xml:space="preserve"> šādu gadījumu skaitu, nav iespējams aprēķināt radušos administratīvo slogu. </w:t>
            </w:r>
          </w:p>
          <w:p w14:paraId="24AB5F55" w14:textId="77777777" w:rsidR="00456082" w:rsidRDefault="00456082" w:rsidP="00275EC3">
            <w:pPr>
              <w:tabs>
                <w:tab w:val="left" w:pos="7371"/>
              </w:tabs>
              <w:spacing w:after="0" w:line="240" w:lineRule="auto"/>
              <w:jc w:val="both"/>
              <w:rPr>
                <w:rFonts w:ascii="Times New Roman" w:hAnsi="Times New Roman"/>
                <w:sz w:val="26"/>
                <w:szCs w:val="26"/>
              </w:rPr>
            </w:pPr>
            <w:r>
              <w:rPr>
                <w:rFonts w:ascii="Times New Roman" w:hAnsi="Times New Roman"/>
                <w:sz w:val="26"/>
                <w:szCs w:val="26"/>
              </w:rPr>
              <w:t>EPK pieteikumu virzības procesā institūcijām, kas izsniedz profesionālās kvalifikācijas atzīšanas apliecības reglamentētajās profesij</w:t>
            </w:r>
            <w:r w:rsidR="0098624E">
              <w:rPr>
                <w:rFonts w:ascii="Times New Roman" w:hAnsi="Times New Roman"/>
                <w:sz w:val="26"/>
                <w:szCs w:val="26"/>
              </w:rPr>
              <w:t xml:space="preserve">ās, administratīvais slogs samazināsies, jo dokumentu aprite notiks IMI sistēmā elektroniski. </w:t>
            </w:r>
          </w:p>
          <w:p w14:paraId="1FF1C85B" w14:textId="34F29C21" w:rsidR="008467A7" w:rsidRPr="00A33851" w:rsidRDefault="008467A7" w:rsidP="00275EC3">
            <w:pPr>
              <w:tabs>
                <w:tab w:val="left" w:pos="7371"/>
              </w:tabs>
              <w:spacing w:after="0" w:line="240" w:lineRule="auto"/>
              <w:jc w:val="both"/>
              <w:rPr>
                <w:rFonts w:ascii="Times New Roman" w:hAnsi="Times New Roman"/>
                <w:sz w:val="26"/>
                <w:szCs w:val="26"/>
              </w:rPr>
            </w:pPr>
            <w:r>
              <w:rPr>
                <w:rFonts w:ascii="Times New Roman" w:hAnsi="Times New Roman"/>
                <w:sz w:val="26"/>
                <w:szCs w:val="26"/>
              </w:rPr>
              <w:t xml:space="preserve">Projekts paredz, ka personām, kas pretendēs uz EPK saņemšanu, </w:t>
            </w:r>
            <w:r w:rsidR="00EB55B9">
              <w:rPr>
                <w:rFonts w:ascii="Times New Roman" w:hAnsi="Times New Roman"/>
                <w:sz w:val="26"/>
                <w:szCs w:val="26"/>
              </w:rPr>
              <w:t>pieteikuma un tam pievienoto dokumentu iesniegšana notiks elektroniski, bet papīra formāta dokuments būs jāpievieno tikai atsevišķos gadījumos, līdz ar to administratīvais slogs būs minimāls.</w:t>
            </w:r>
          </w:p>
        </w:tc>
      </w:tr>
      <w:tr w:rsidR="003460E1" w:rsidRPr="00823CB3" w14:paraId="3F89A8EA" w14:textId="77777777" w:rsidTr="001919B5">
        <w:trPr>
          <w:gridBefore w:val="1"/>
          <w:wBefore w:w="3" w:type="pct"/>
          <w:trHeight w:val="510"/>
          <w:tblCellSpacing w:w="15" w:type="dxa"/>
        </w:trPr>
        <w:tc>
          <w:tcPr>
            <w:tcW w:w="194" w:type="pct"/>
            <w:tcBorders>
              <w:top w:val="single" w:sz="4" w:space="0" w:color="auto"/>
              <w:left w:val="single" w:sz="4" w:space="0" w:color="auto"/>
              <w:bottom w:val="single" w:sz="4" w:space="0" w:color="auto"/>
              <w:right w:val="single" w:sz="4" w:space="0" w:color="auto"/>
            </w:tcBorders>
            <w:hideMark/>
          </w:tcPr>
          <w:p w14:paraId="2A143E05" w14:textId="77777777" w:rsidR="003460E1" w:rsidRPr="00823CB3" w:rsidRDefault="003460E1" w:rsidP="0005162F">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lastRenderedPageBreak/>
              <w:t>3.</w:t>
            </w:r>
          </w:p>
        </w:tc>
        <w:tc>
          <w:tcPr>
            <w:tcW w:w="909" w:type="pct"/>
            <w:tcBorders>
              <w:top w:val="single" w:sz="4" w:space="0" w:color="auto"/>
              <w:left w:val="single" w:sz="4" w:space="0" w:color="auto"/>
              <w:bottom w:val="single" w:sz="4" w:space="0" w:color="auto"/>
              <w:right w:val="single" w:sz="4" w:space="0" w:color="auto"/>
            </w:tcBorders>
            <w:hideMark/>
          </w:tcPr>
          <w:p w14:paraId="659C183C" w14:textId="77777777" w:rsidR="003460E1" w:rsidRPr="00823CB3" w:rsidRDefault="003460E1" w:rsidP="0005162F">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Administratīvo izmaksu monetārs novērtējums</w:t>
            </w:r>
          </w:p>
        </w:tc>
        <w:tc>
          <w:tcPr>
            <w:tcW w:w="3818" w:type="pct"/>
            <w:tcBorders>
              <w:top w:val="single" w:sz="4" w:space="0" w:color="auto"/>
              <w:left w:val="single" w:sz="4" w:space="0" w:color="auto"/>
              <w:bottom w:val="single" w:sz="4" w:space="0" w:color="auto"/>
              <w:right w:val="single" w:sz="4" w:space="0" w:color="auto"/>
            </w:tcBorders>
          </w:tcPr>
          <w:p w14:paraId="11E955B5" w14:textId="4F5419D0" w:rsidR="003460E1" w:rsidRPr="00823CB3" w:rsidRDefault="00DB59E6" w:rsidP="00F80C33">
            <w:pPr>
              <w:spacing w:after="0" w:line="240" w:lineRule="auto"/>
              <w:jc w:val="both"/>
              <w:rPr>
                <w:rFonts w:ascii="Times New Roman" w:hAnsi="Times New Roman"/>
                <w:color w:val="215868" w:themeColor="accent5" w:themeShade="80"/>
                <w:sz w:val="26"/>
                <w:szCs w:val="26"/>
                <w:lang w:eastAsia="lv-LV"/>
              </w:rPr>
            </w:pPr>
            <w:r w:rsidRPr="00EF6DB9">
              <w:rPr>
                <w:rFonts w:ascii="Times New Roman" w:hAnsi="Times New Roman"/>
                <w:sz w:val="26"/>
                <w:szCs w:val="26"/>
                <w:lang w:eastAsia="lv-LV"/>
              </w:rPr>
              <w:t>Projekts šo jomu neskar.</w:t>
            </w:r>
          </w:p>
        </w:tc>
      </w:tr>
      <w:tr w:rsidR="003460E1" w:rsidRPr="00823CB3" w14:paraId="3E65A493" w14:textId="77777777" w:rsidTr="001919B5">
        <w:trPr>
          <w:gridBefore w:val="1"/>
          <w:wBefore w:w="3" w:type="pct"/>
          <w:trHeight w:val="345"/>
          <w:tblCellSpacing w:w="15" w:type="dxa"/>
        </w:trPr>
        <w:tc>
          <w:tcPr>
            <w:tcW w:w="194" w:type="pct"/>
            <w:tcBorders>
              <w:top w:val="single" w:sz="4" w:space="0" w:color="auto"/>
              <w:left w:val="single" w:sz="4" w:space="0" w:color="auto"/>
              <w:bottom w:val="single" w:sz="4" w:space="0" w:color="auto"/>
              <w:right w:val="single" w:sz="4" w:space="0" w:color="auto"/>
            </w:tcBorders>
            <w:hideMark/>
          </w:tcPr>
          <w:p w14:paraId="1F2200A3" w14:textId="77777777" w:rsidR="003460E1" w:rsidRPr="00823CB3" w:rsidRDefault="003460E1" w:rsidP="0005162F">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4.</w:t>
            </w:r>
          </w:p>
        </w:tc>
        <w:tc>
          <w:tcPr>
            <w:tcW w:w="909" w:type="pct"/>
            <w:tcBorders>
              <w:top w:val="single" w:sz="4" w:space="0" w:color="auto"/>
              <w:left w:val="single" w:sz="4" w:space="0" w:color="auto"/>
              <w:bottom w:val="single" w:sz="4" w:space="0" w:color="auto"/>
              <w:right w:val="single" w:sz="4" w:space="0" w:color="auto"/>
            </w:tcBorders>
            <w:hideMark/>
          </w:tcPr>
          <w:p w14:paraId="767F28B4" w14:textId="77777777" w:rsidR="003460E1" w:rsidRPr="00823CB3" w:rsidRDefault="003460E1" w:rsidP="0005162F">
            <w:pPr>
              <w:spacing w:after="0" w:line="240" w:lineRule="auto"/>
              <w:jc w:val="both"/>
              <w:rPr>
                <w:rFonts w:ascii="Times New Roman" w:hAnsi="Times New Roman"/>
                <w:sz w:val="26"/>
                <w:szCs w:val="26"/>
                <w:lang w:eastAsia="lv-LV"/>
              </w:rPr>
            </w:pPr>
            <w:r w:rsidRPr="00823CB3">
              <w:rPr>
                <w:rFonts w:ascii="Times New Roman" w:hAnsi="Times New Roman"/>
                <w:sz w:val="26"/>
                <w:szCs w:val="26"/>
                <w:lang w:eastAsia="lv-LV"/>
              </w:rPr>
              <w:t>Cita informācija</w:t>
            </w:r>
          </w:p>
        </w:tc>
        <w:tc>
          <w:tcPr>
            <w:tcW w:w="3818" w:type="pct"/>
            <w:tcBorders>
              <w:top w:val="single" w:sz="4" w:space="0" w:color="auto"/>
              <w:left w:val="single" w:sz="4" w:space="0" w:color="auto"/>
              <w:bottom w:val="single" w:sz="4" w:space="0" w:color="auto"/>
              <w:right w:val="single" w:sz="4" w:space="0" w:color="auto"/>
            </w:tcBorders>
          </w:tcPr>
          <w:p w14:paraId="16FE8CA0" w14:textId="09A64BD4" w:rsidR="003460E1" w:rsidRPr="00823CB3" w:rsidRDefault="004E6D78" w:rsidP="0005162F">
            <w:pPr>
              <w:spacing w:after="0" w:line="240" w:lineRule="auto"/>
              <w:jc w:val="both"/>
              <w:rPr>
                <w:rFonts w:ascii="Times New Roman" w:hAnsi="Times New Roman"/>
                <w:color w:val="215868" w:themeColor="accent5" w:themeShade="80"/>
                <w:sz w:val="26"/>
                <w:szCs w:val="26"/>
              </w:rPr>
            </w:pPr>
            <w:r>
              <w:rPr>
                <w:rFonts w:ascii="Times New Roman" w:hAnsi="Times New Roman"/>
                <w:sz w:val="26"/>
                <w:szCs w:val="26"/>
              </w:rPr>
              <w:t xml:space="preserve">Administratīvo slogu, kas </w:t>
            </w:r>
            <w:r w:rsidR="00271631">
              <w:rPr>
                <w:rFonts w:ascii="Times New Roman" w:hAnsi="Times New Roman"/>
                <w:sz w:val="26"/>
                <w:szCs w:val="26"/>
              </w:rPr>
              <w:t xml:space="preserve">rodas tiesām un </w:t>
            </w:r>
            <w:proofErr w:type="spellStart"/>
            <w:r w:rsidR="00271631">
              <w:rPr>
                <w:rFonts w:ascii="Times New Roman" w:hAnsi="Times New Roman"/>
                <w:sz w:val="26"/>
                <w:szCs w:val="26"/>
              </w:rPr>
              <w:t>Iekšlietu</w:t>
            </w:r>
            <w:proofErr w:type="spellEnd"/>
            <w:r w:rsidR="00271631">
              <w:rPr>
                <w:rFonts w:ascii="Times New Roman" w:hAnsi="Times New Roman"/>
                <w:sz w:val="26"/>
                <w:szCs w:val="26"/>
              </w:rPr>
              <w:t xml:space="preserve"> ministrijas Informācijas centram, minimizēs automātiskais savienojums</w:t>
            </w:r>
            <w:r w:rsidR="00EF6DB9" w:rsidRPr="00EF6DB9">
              <w:rPr>
                <w:rFonts w:ascii="Times New Roman" w:hAnsi="Times New Roman"/>
                <w:sz w:val="26"/>
                <w:szCs w:val="26"/>
              </w:rPr>
              <w:t xml:space="preserve"> </w:t>
            </w:r>
            <w:r w:rsidR="00271631">
              <w:rPr>
                <w:rFonts w:ascii="Times New Roman" w:hAnsi="Times New Roman"/>
                <w:sz w:val="26"/>
                <w:szCs w:val="26"/>
              </w:rPr>
              <w:t>starp Tiesu informācijas sistēmu</w:t>
            </w:r>
            <w:r w:rsidR="008C7D0A">
              <w:rPr>
                <w:rFonts w:ascii="Times New Roman" w:hAnsi="Times New Roman"/>
                <w:sz w:val="26"/>
                <w:szCs w:val="26"/>
              </w:rPr>
              <w:t xml:space="preserve">, </w:t>
            </w:r>
            <w:r w:rsidR="008C7D0A" w:rsidRPr="008C7D0A">
              <w:rPr>
                <w:rFonts w:ascii="Times New Roman" w:hAnsi="Times New Roman"/>
                <w:sz w:val="26"/>
                <w:szCs w:val="26"/>
              </w:rPr>
              <w:t>Kriminālprocesa informācijas sistēmu</w:t>
            </w:r>
            <w:r w:rsidR="00271631" w:rsidRPr="008C7D0A">
              <w:rPr>
                <w:rFonts w:ascii="Times New Roman" w:hAnsi="Times New Roman"/>
                <w:sz w:val="26"/>
                <w:szCs w:val="26"/>
              </w:rPr>
              <w:t xml:space="preserve"> un Sodu reģistru</w:t>
            </w:r>
            <w:r w:rsidR="00454A36" w:rsidRPr="008C7D0A">
              <w:rPr>
                <w:rFonts w:ascii="Times New Roman" w:hAnsi="Times New Roman"/>
                <w:sz w:val="26"/>
                <w:szCs w:val="26"/>
              </w:rPr>
              <w:t>, kuru paredzēt izveidot no 2017.gada 1.jūlija.</w:t>
            </w:r>
          </w:p>
        </w:tc>
      </w:tr>
    </w:tbl>
    <w:p w14:paraId="0CA1CF34" w14:textId="77777777" w:rsidR="003460E1" w:rsidRDefault="003460E1" w:rsidP="004A505F">
      <w:pPr>
        <w:spacing w:after="0" w:line="360" w:lineRule="auto"/>
        <w:rPr>
          <w:rFonts w:ascii="Times New Roman" w:hAnsi="Times New Roman"/>
          <w:i/>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28"/>
        <w:gridCol w:w="1071"/>
        <w:gridCol w:w="1558"/>
        <w:gridCol w:w="1167"/>
        <w:gridCol w:w="1656"/>
        <w:gridCol w:w="2766"/>
      </w:tblGrid>
      <w:tr w:rsidR="00660C44" w14:paraId="4255D5FD" w14:textId="77777777" w:rsidTr="0068307F">
        <w:trPr>
          <w:trHeight w:val="450"/>
          <w:tblCellSpacing w:w="15" w:type="dxa"/>
          <w:jc w:val="center"/>
        </w:trPr>
        <w:tc>
          <w:tcPr>
            <w:tcW w:w="4968" w:type="pct"/>
            <w:gridSpan w:val="6"/>
            <w:tcBorders>
              <w:top w:val="single" w:sz="4" w:space="0" w:color="auto"/>
              <w:left w:val="single" w:sz="4" w:space="0" w:color="auto"/>
              <w:bottom w:val="single" w:sz="4" w:space="0" w:color="auto"/>
              <w:right w:val="single" w:sz="4" w:space="0" w:color="auto"/>
            </w:tcBorders>
            <w:vAlign w:val="center"/>
            <w:hideMark/>
          </w:tcPr>
          <w:p w14:paraId="6DB7E194" w14:textId="77777777" w:rsidR="00660C44" w:rsidRDefault="00660C44" w:rsidP="00660C44">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III. Tiesību akta projekta ietekme uz valsts budžetu un pašvaldību budžetiem</w:t>
            </w:r>
          </w:p>
        </w:tc>
      </w:tr>
      <w:tr w:rsidR="00454A36" w14:paraId="38696BCB" w14:textId="77777777" w:rsidTr="00A42B2D">
        <w:trPr>
          <w:tblCellSpacing w:w="15" w:type="dxa"/>
          <w:jc w:val="center"/>
        </w:trPr>
        <w:tc>
          <w:tcPr>
            <w:tcW w:w="589" w:type="pct"/>
            <w:vMerge w:val="restart"/>
            <w:tcBorders>
              <w:top w:val="single" w:sz="4" w:space="0" w:color="auto"/>
              <w:left w:val="single" w:sz="4" w:space="0" w:color="auto"/>
              <w:bottom w:val="single" w:sz="4" w:space="0" w:color="auto"/>
              <w:right w:val="single" w:sz="4" w:space="0" w:color="auto"/>
            </w:tcBorders>
            <w:vAlign w:val="center"/>
            <w:hideMark/>
          </w:tcPr>
          <w:p w14:paraId="71FF220D" w14:textId="77777777" w:rsidR="00660C44" w:rsidRDefault="00660C44" w:rsidP="0005162F">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Rādītāji</w:t>
            </w:r>
          </w:p>
        </w:tc>
        <w:tc>
          <w:tcPr>
            <w:tcW w:w="139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3CA3013" w14:textId="1F8D1C35" w:rsidR="00660C44" w:rsidRDefault="00660C44" w:rsidP="00454A36">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w:t>
            </w:r>
            <w:r w:rsidR="00454A36">
              <w:rPr>
                <w:rFonts w:ascii="Times New Roman" w:hAnsi="Times New Roman"/>
                <w:b/>
                <w:bCs/>
                <w:sz w:val="24"/>
                <w:szCs w:val="24"/>
                <w:lang w:eastAsia="lv-LV"/>
              </w:rPr>
              <w:t>6</w:t>
            </w:r>
            <w:r>
              <w:rPr>
                <w:rFonts w:ascii="Times New Roman" w:hAnsi="Times New Roman"/>
                <w:b/>
                <w:bCs/>
                <w:sz w:val="24"/>
                <w:szCs w:val="24"/>
                <w:lang w:eastAsia="lv-LV"/>
              </w:rPr>
              <w:t>. gads</w:t>
            </w:r>
          </w:p>
        </w:tc>
        <w:tc>
          <w:tcPr>
            <w:tcW w:w="2948" w:type="pct"/>
            <w:gridSpan w:val="3"/>
            <w:tcBorders>
              <w:top w:val="single" w:sz="4" w:space="0" w:color="auto"/>
              <w:left w:val="single" w:sz="4" w:space="0" w:color="auto"/>
              <w:bottom w:val="single" w:sz="4" w:space="0" w:color="auto"/>
              <w:right w:val="single" w:sz="4" w:space="0" w:color="auto"/>
            </w:tcBorders>
            <w:vAlign w:val="center"/>
            <w:hideMark/>
          </w:tcPr>
          <w:p w14:paraId="5EA343B5"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Turpmākie trīs gadi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w:t>
            </w:r>
          </w:p>
        </w:tc>
      </w:tr>
      <w:tr w:rsidR="000A5334" w14:paraId="45019EE6" w14:textId="77777777" w:rsidTr="00A42B2D">
        <w:trPr>
          <w:tblCellSpacing w:w="15" w:type="dxa"/>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14:paraId="3F5919F2" w14:textId="77777777" w:rsidR="00660C44" w:rsidRDefault="00660C44" w:rsidP="0005162F">
            <w:pPr>
              <w:spacing w:after="0" w:line="240" w:lineRule="auto"/>
              <w:rPr>
                <w:rFonts w:ascii="Times New Roman" w:hAnsi="Times New Roman"/>
                <w:b/>
                <w:bCs/>
                <w:sz w:val="24"/>
                <w:szCs w:val="24"/>
                <w:lang w:eastAsia="lv-LV"/>
              </w:rPr>
            </w:pPr>
          </w:p>
        </w:tc>
        <w:tc>
          <w:tcPr>
            <w:tcW w:w="1398" w:type="pct"/>
            <w:gridSpan w:val="2"/>
            <w:vMerge/>
            <w:tcBorders>
              <w:top w:val="single" w:sz="4" w:space="0" w:color="auto"/>
              <w:left w:val="single" w:sz="4" w:space="0" w:color="auto"/>
              <w:bottom w:val="single" w:sz="4" w:space="0" w:color="auto"/>
              <w:right w:val="single" w:sz="4" w:space="0" w:color="auto"/>
            </w:tcBorders>
            <w:vAlign w:val="center"/>
            <w:hideMark/>
          </w:tcPr>
          <w:p w14:paraId="58453287" w14:textId="77777777" w:rsidR="00660C44" w:rsidRDefault="00660C44" w:rsidP="0005162F">
            <w:pPr>
              <w:spacing w:after="0" w:line="240" w:lineRule="auto"/>
              <w:rPr>
                <w:rFonts w:ascii="Times New Roman" w:hAnsi="Times New Roman"/>
                <w:b/>
                <w:bCs/>
                <w:sz w:val="24"/>
                <w:szCs w:val="24"/>
                <w:lang w:eastAsia="lv-LV"/>
              </w:rPr>
            </w:pPr>
          </w:p>
        </w:tc>
        <w:tc>
          <w:tcPr>
            <w:tcW w:w="618" w:type="pct"/>
            <w:tcBorders>
              <w:top w:val="single" w:sz="4" w:space="0" w:color="auto"/>
              <w:left w:val="single" w:sz="4" w:space="0" w:color="auto"/>
              <w:bottom w:val="single" w:sz="4" w:space="0" w:color="auto"/>
              <w:right w:val="single" w:sz="4" w:space="0" w:color="auto"/>
            </w:tcBorders>
            <w:vAlign w:val="center"/>
            <w:hideMark/>
          </w:tcPr>
          <w:p w14:paraId="71B0482C" w14:textId="1B0CE101" w:rsidR="00660C44" w:rsidRDefault="00660C44" w:rsidP="00A42B2D">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201</w:t>
            </w:r>
            <w:r w:rsidR="00454A36">
              <w:rPr>
                <w:rFonts w:ascii="Times New Roman" w:hAnsi="Times New Roman"/>
                <w:b/>
                <w:bCs/>
                <w:sz w:val="24"/>
                <w:szCs w:val="24"/>
                <w:lang w:eastAsia="lv-LV"/>
              </w:rPr>
              <w:t>7</w:t>
            </w:r>
            <w:r>
              <w:rPr>
                <w:rFonts w:ascii="Times New Roman" w:hAnsi="Times New Roman"/>
                <w:b/>
                <w:bCs/>
                <w:sz w:val="24"/>
                <w:szCs w:val="24"/>
                <w:lang w:eastAsia="lv-LV"/>
              </w:rPr>
              <w:t>.gads</w:t>
            </w:r>
          </w:p>
        </w:tc>
        <w:tc>
          <w:tcPr>
            <w:tcW w:w="884" w:type="pct"/>
            <w:tcBorders>
              <w:top w:val="single" w:sz="4" w:space="0" w:color="auto"/>
              <w:left w:val="single" w:sz="4" w:space="0" w:color="auto"/>
              <w:bottom w:val="single" w:sz="4" w:space="0" w:color="auto"/>
              <w:right w:val="single" w:sz="4" w:space="0" w:color="auto"/>
            </w:tcBorders>
            <w:vAlign w:val="center"/>
            <w:hideMark/>
          </w:tcPr>
          <w:p w14:paraId="12CDA5BD" w14:textId="3F5590AC" w:rsidR="00660C44" w:rsidRDefault="00660C44" w:rsidP="00A42B2D">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201</w:t>
            </w:r>
            <w:r w:rsidR="00454A36">
              <w:rPr>
                <w:rFonts w:ascii="Times New Roman" w:hAnsi="Times New Roman"/>
                <w:b/>
                <w:bCs/>
                <w:sz w:val="24"/>
                <w:szCs w:val="24"/>
                <w:lang w:eastAsia="lv-LV"/>
              </w:rPr>
              <w:t>8</w:t>
            </w:r>
            <w:r>
              <w:rPr>
                <w:rFonts w:ascii="Times New Roman" w:hAnsi="Times New Roman"/>
                <w:b/>
                <w:bCs/>
                <w:sz w:val="24"/>
                <w:szCs w:val="24"/>
                <w:lang w:eastAsia="lv-LV"/>
              </w:rPr>
              <w:t>.gads</w:t>
            </w:r>
          </w:p>
        </w:tc>
        <w:tc>
          <w:tcPr>
            <w:tcW w:w="1414" w:type="pct"/>
            <w:tcBorders>
              <w:top w:val="single" w:sz="4" w:space="0" w:color="auto"/>
              <w:left w:val="single" w:sz="4" w:space="0" w:color="auto"/>
              <w:bottom w:val="single" w:sz="4" w:space="0" w:color="auto"/>
              <w:right w:val="single" w:sz="4" w:space="0" w:color="auto"/>
            </w:tcBorders>
            <w:vAlign w:val="center"/>
            <w:hideMark/>
          </w:tcPr>
          <w:p w14:paraId="765C10E9" w14:textId="0A3CC7DF" w:rsidR="00660C44" w:rsidRDefault="00660C44" w:rsidP="00A42B2D">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201</w:t>
            </w:r>
            <w:r w:rsidR="00454A36">
              <w:rPr>
                <w:rFonts w:ascii="Times New Roman" w:hAnsi="Times New Roman"/>
                <w:b/>
                <w:bCs/>
                <w:sz w:val="24"/>
                <w:szCs w:val="24"/>
                <w:lang w:eastAsia="lv-LV"/>
              </w:rPr>
              <w:t>9</w:t>
            </w:r>
            <w:r>
              <w:rPr>
                <w:rFonts w:ascii="Times New Roman" w:hAnsi="Times New Roman"/>
                <w:b/>
                <w:bCs/>
                <w:sz w:val="24"/>
                <w:szCs w:val="24"/>
                <w:lang w:eastAsia="lv-LV"/>
              </w:rPr>
              <w:t>.gads</w:t>
            </w:r>
          </w:p>
        </w:tc>
      </w:tr>
      <w:tr w:rsidR="000A5334" w14:paraId="51900432" w14:textId="77777777" w:rsidTr="00A42B2D">
        <w:trPr>
          <w:tblCellSpacing w:w="15" w:type="dxa"/>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14:paraId="6A39B8E4" w14:textId="77777777" w:rsidR="00660C44" w:rsidRDefault="00660C44" w:rsidP="0005162F">
            <w:pPr>
              <w:spacing w:after="0" w:line="240" w:lineRule="auto"/>
              <w:rPr>
                <w:rFonts w:ascii="Times New Roman" w:hAnsi="Times New Roman"/>
                <w:b/>
                <w:bCs/>
                <w:sz w:val="24"/>
                <w:szCs w:val="24"/>
                <w:lang w:eastAsia="lv-LV"/>
              </w:rPr>
            </w:pPr>
          </w:p>
        </w:tc>
        <w:tc>
          <w:tcPr>
            <w:tcW w:w="566" w:type="pct"/>
            <w:tcBorders>
              <w:top w:val="single" w:sz="4" w:space="0" w:color="auto"/>
              <w:left w:val="single" w:sz="4" w:space="0" w:color="auto"/>
              <w:bottom w:val="single" w:sz="4" w:space="0" w:color="auto"/>
              <w:right w:val="single" w:sz="4" w:space="0" w:color="auto"/>
            </w:tcBorders>
            <w:vAlign w:val="center"/>
            <w:hideMark/>
          </w:tcPr>
          <w:p w14:paraId="4376ECC7"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saskaņā ar valsts budžetu kārtējam gadam</w:t>
            </w:r>
          </w:p>
        </w:tc>
        <w:tc>
          <w:tcPr>
            <w:tcW w:w="816" w:type="pct"/>
            <w:tcBorders>
              <w:top w:val="single" w:sz="4" w:space="0" w:color="auto"/>
              <w:left w:val="single" w:sz="4" w:space="0" w:color="auto"/>
              <w:bottom w:val="single" w:sz="4" w:space="0" w:color="auto"/>
              <w:right w:val="single" w:sz="4" w:space="0" w:color="auto"/>
            </w:tcBorders>
            <w:vAlign w:val="center"/>
            <w:hideMark/>
          </w:tcPr>
          <w:p w14:paraId="446661FD"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kārtējā gadā, salīdzinot ar valsts budžetu kārtējam gadam</w:t>
            </w:r>
          </w:p>
        </w:tc>
        <w:tc>
          <w:tcPr>
            <w:tcW w:w="618" w:type="pct"/>
            <w:tcBorders>
              <w:top w:val="single" w:sz="4" w:space="0" w:color="auto"/>
              <w:left w:val="single" w:sz="4" w:space="0" w:color="auto"/>
              <w:bottom w:val="single" w:sz="4" w:space="0" w:color="auto"/>
              <w:right w:val="single" w:sz="4" w:space="0" w:color="auto"/>
            </w:tcBorders>
            <w:vAlign w:val="center"/>
            <w:hideMark/>
          </w:tcPr>
          <w:p w14:paraId="26C9FCA1"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884" w:type="pct"/>
            <w:tcBorders>
              <w:top w:val="single" w:sz="4" w:space="0" w:color="auto"/>
              <w:left w:val="single" w:sz="4" w:space="0" w:color="auto"/>
              <w:bottom w:val="single" w:sz="4" w:space="0" w:color="auto"/>
              <w:right w:val="single" w:sz="4" w:space="0" w:color="auto"/>
            </w:tcBorders>
            <w:vAlign w:val="center"/>
            <w:hideMark/>
          </w:tcPr>
          <w:p w14:paraId="2DED7E89"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1414" w:type="pct"/>
            <w:tcBorders>
              <w:top w:val="single" w:sz="4" w:space="0" w:color="auto"/>
              <w:left w:val="single" w:sz="4" w:space="0" w:color="auto"/>
              <w:bottom w:val="single" w:sz="4" w:space="0" w:color="auto"/>
              <w:right w:val="single" w:sz="4" w:space="0" w:color="auto"/>
            </w:tcBorders>
            <w:vAlign w:val="center"/>
            <w:hideMark/>
          </w:tcPr>
          <w:p w14:paraId="0B1C23A4"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r>
      <w:tr w:rsidR="000A5334" w14:paraId="4A2BBA40"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vAlign w:val="center"/>
            <w:hideMark/>
          </w:tcPr>
          <w:p w14:paraId="1CFDE628"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1</w:t>
            </w:r>
          </w:p>
        </w:tc>
        <w:tc>
          <w:tcPr>
            <w:tcW w:w="566" w:type="pct"/>
            <w:tcBorders>
              <w:top w:val="single" w:sz="4" w:space="0" w:color="auto"/>
              <w:left w:val="single" w:sz="4" w:space="0" w:color="auto"/>
              <w:bottom w:val="single" w:sz="4" w:space="0" w:color="auto"/>
              <w:right w:val="single" w:sz="4" w:space="0" w:color="auto"/>
            </w:tcBorders>
            <w:vAlign w:val="center"/>
            <w:hideMark/>
          </w:tcPr>
          <w:p w14:paraId="537346E6"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2</w:t>
            </w:r>
          </w:p>
        </w:tc>
        <w:tc>
          <w:tcPr>
            <w:tcW w:w="816" w:type="pct"/>
            <w:tcBorders>
              <w:top w:val="single" w:sz="4" w:space="0" w:color="auto"/>
              <w:left w:val="single" w:sz="4" w:space="0" w:color="auto"/>
              <w:bottom w:val="single" w:sz="4" w:space="0" w:color="auto"/>
              <w:right w:val="single" w:sz="4" w:space="0" w:color="auto"/>
            </w:tcBorders>
            <w:vAlign w:val="center"/>
            <w:hideMark/>
          </w:tcPr>
          <w:p w14:paraId="0873D281"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3</w:t>
            </w:r>
          </w:p>
        </w:tc>
        <w:tc>
          <w:tcPr>
            <w:tcW w:w="618" w:type="pct"/>
            <w:tcBorders>
              <w:top w:val="single" w:sz="4" w:space="0" w:color="auto"/>
              <w:left w:val="single" w:sz="4" w:space="0" w:color="auto"/>
              <w:bottom w:val="single" w:sz="4" w:space="0" w:color="auto"/>
              <w:right w:val="single" w:sz="4" w:space="0" w:color="auto"/>
            </w:tcBorders>
            <w:vAlign w:val="center"/>
            <w:hideMark/>
          </w:tcPr>
          <w:p w14:paraId="5E5F5662"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4</w:t>
            </w:r>
          </w:p>
        </w:tc>
        <w:tc>
          <w:tcPr>
            <w:tcW w:w="884" w:type="pct"/>
            <w:tcBorders>
              <w:top w:val="single" w:sz="4" w:space="0" w:color="auto"/>
              <w:left w:val="single" w:sz="4" w:space="0" w:color="auto"/>
              <w:bottom w:val="single" w:sz="4" w:space="0" w:color="auto"/>
              <w:right w:val="single" w:sz="4" w:space="0" w:color="auto"/>
            </w:tcBorders>
            <w:vAlign w:val="center"/>
            <w:hideMark/>
          </w:tcPr>
          <w:p w14:paraId="0A81DE4C"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5</w:t>
            </w:r>
          </w:p>
        </w:tc>
        <w:tc>
          <w:tcPr>
            <w:tcW w:w="1414" w:type="pct"/>
            <w:tcBorders>
              <w:top w:val="single" w:sz="4" w:space="0" w:color="auto"/>
              <w:left w:val="single" w:sz="4" w:space="0" w:color="auto"/>
              <w:bottom w:val="single" w:sz="4" w:space="0" w:color="auto"/>
              <w:right w:val="single" w:sz="4" w:space="0" w:color="auto"/>
            </w:tcBorders>
            <w:vAlign w:val="center"/>
            <w:hideMark/>
          </w:tcPr>
          <w:p w14:paraId="3339C448" w14:textId="77777777" w:rsidR="00660C44" w:rsidRDefault="00660C44" w:rsidP="0005162F">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6</w:t>
            </w:r>
          </w:p>
        </w:tc>
      </w:tr>
      <w:tr w:rsidR="000A5334" w14:paraId="66644BB9"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0A94F6A8"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 Budžeta ieņēmumi:</w:t>
            </w:r>
          </w:p>
        </w:tc>
        <w:tc>
          <w:tcPr>
            <w:tcW w:w="566" w:type="pct"/>
            <w:tcBorders>
              <w:top w:val="single" w:sz="4" w:space="0" w:color="auto"/>
              <w:left w:val="single" w:sz="4" w:space="0" w:color="auto"/>
              <w:bottom w:val="single" w:sz="4" w:space="0" w:color="auto"/>
              <w:right w:val="single" w:sz="4" w:space="0" w:color="auto"/>
            </w:tcBorders>
            <w:hideMark/>
          </w:tcPr>
          <w:p w14:paraId="0FC73080" w14:textId="35773AE2" w:rsidR="00660C44" w:rsidRPr="0068307F" w:rsidRDefault="00660C44" w:rsidP="0068307F">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 </w:t>
            </w:r>
            <w:r w:rsidR="004769A7" w:rsidRPr="0068307F">
              <w:rPr>
                <w:rFonts w:ascii="Times New Roman" w:hAnsi="Times New Roman"/>
                <w:sz w:val="24"/>
                <w:szCs w:val="24"/>
                <w:lang w:eastAsia="lv-LV"/>
              </w:rPr>
              <w:t>+</w:t>
            </w:r>
            <w:r w:rsidR="00FB0685" w:rsidRPr="0068307F">
              <w:rPr>
                <w:rFonts w:ascii="Times New Roman" w:hAnsi="Times New Roman"/>
                <w:sz w:val="24"/>
                <w:szCs w:val="24"/>
                <w:lang w:eastAsia="lv-LV"/>
              </w:rPr>
              <w:t>165544</w:t>
            </w:r>
          </w:p>
        </w:tc>
        <w:tc>
          <w:tcPr>
            <w:tcW w:w="816" w:type="pct"/>
            <w:tcBorders>
              <w:top w:val="single" w:sz="4" w:space="0" w:color="auto"/>
              <w:left w:val="single" w:sz="4" w:space="0" w:color="auto"/>
              <w:bottom w:val="single" w:sz="4" w:space="0" w:color="auto"/>
              <w:right w:val="single" w:sz="4" w:space="0" w:color="auto"/>
            </w:tcBorders>
            <w:hideMark/>
          </w:tcPr>
          <w:p w14:paraId="679C4B15" w14:textId="4F766B91" w:rsidR="00660C44" w:rsidRDefault="00674662"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+15815</w:t>
            </w:r>
          </w:p>
        </w:tc>
        <w:tc>
          <w:tcPr>
            <w:tcW w:w="618" w:type="pct"/>
            <w:tcBorders>
              <w:top w:val="single" w:sz="4" w:space="0" w:color="auto"/>
              <w:left w:val="single" w:sz="4" w:space="0" w:color="auto"/>
              <w:bottom w:val="single" w:sz="4" w:space="0" w:color="auto"/>
              <w:right w:val="single" w:sz="4" w:space="0" w:color="auto"/>
            </w:tcBorders>
            <w:hideMark/>
          </w:tcPr>
          <w:p w14:paraId="71F94163" w14:textId="722CAC8D" w:rsidR="00660C44" w:rsidRDefault="00660C44" w:rsidP="0050654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506548">
              <w:rPr>
                <w:rFonts w:ascii="Times New Roman" w:hAnsi="Times New Roman"/>
                <w:sz w:val="24"/>
                <w:szCs w:val="24"/>
                <w:lang w:eastAsia="lv-LV"/>
              </w:rPr>
              <w:t>+17404</w:t>
            </w:r>
          </w:p>
        </w:tc>
        <w:tc>
          <w:tcPr>
            <w:tcW w:w="884" w:type="pct"/>
            <w:tcBorders>
              <w:top w:val="single" w:sz="4" w:space="0" w:color="auto"/>
              <w:left w:val="single" w:sz="4" w:space="0" w:color="auto"/>
              <w:bottom w:val="single" w:sz="4" w:space="0" w:color="auto"/>
              <w:right w:val="single" w:sz="4" w:space="0" w:color="auto"/>
            </w:tcBorders>
            <w:hideMark/>
          </w:tcPr>
          <w:p w14:paraId="024E6E3A" w14:textId="36E48AD8" w:rsidR="00660C44" w:rsidRDefault="00660C44" w:rsidP="0050654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506548">
              <w:rPr>
                <w:rFonts w:ascii="Times New Roman" w:hAnsi="Times New Roman"/>
                <w:sz w:val="24"/>
                <w:szCs w:val="24"/>
                <w:lang w:eastAsia="lv-LV"/>
              </w:rPr>
              <w:t>+</w:t>
            </w:r>
            <w:r w:rsidR="00EC0F95">
              <w:rPr>
                <w:rFonts w:ascii="Times New Roman" w:hAnsi="Times New Roman"/>
                <w:sz w:val="24"/>
                <w:szCs w:val="24"/>
                <w:lang w:eastAsia="lv-LV"/>
              </w:rPr>
              <w:t>1</w:t>
            </w:r>
            <w:r w:rsidR="00506548">
              <w:rPr>
                <w:rFonts w:ascii="Times New Roman" w:hAnsi="Times New Roman"/>
                <w:sz w:val="24"/>
                <w:szCs w:val="24"/>
                <w:lang w:eastAsia="lv-LV"/>
              </w:rPr>
              <w:t>7404</w:t>
            </w:r>
          </w:p>
        </w:tc>
        <w:tc>
          <w:tcPr>
            <w:tcW w:w="1414" w:type="pct"/>
            <w:tcBorders>
              <w:top w:val="single" w:sz="4" w:space="0" w:color="auto"/>
              <w:left w:val="single" w:sz="4" w:space="0" w:color="auto"/>
              <w:bottom w:val="single" w:sz="4" w:space="0" w:color="auto"/>
              <w:right w:val="single" w:sz="4" w:space="0" w:color="auto"/>
            </w:tcBorders>
            <w:hideMark/>
          </w:tcPr>
          <w:p w14:paraId="15E752E8" w14:textId="78AF506A"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506548">
              <w:rPr>
                <w:rFonts w:ascii="Times New Roman" w:hAnsi="Times New Roman"/>
                <w:sz w:val="24"/>
                <w:szCs w:val="24"/>
                <w:lang w:eastAsia="lv-LV"/>
              </w:rPr>
              <w:t>+17404</w:t>
            </w:r>
          </w:p>
        </w:tc>
      </w:tr>
      <w:tr w:rsidR="00506548" w14:paraId="3C7BB683"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30B9E6F4" w14:textId="77777777" w:rsidR="00506548" w:rsidRDefault="00506548" w:rsidP="0050654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1.1. valsts pamatbud</w:t>
            </w:r>
            <w:r>
              <w:rPr>
                <w:rFonts w:ascii="Times New Roman" w:hAnsi="Times New Roman"/>
                <w:sz w:val="24"/>
                <w:szCs w:val="24"/>
                <w:lang w:eastAsia="lv-LV"/>
              </w:rPr>
              <w:lastRenderedPageBreak/>
              <w:t>žets, tai skaitā ieņēmumi no maksas pakalpojumiem un citi pašu ieņēmumi</w:t>
            </w:r>
          </w:p>
        </w:tc>
        <w:tc>
          <w:tcPr>
            <w:tcW w:w="566" w:type="pct"/>
            <w:tcBorders>
              <w:top w:val="single" w:sz="4" w:space="0" w:color="auto"/>
              <w:left w:val="single" w:sz="4" w:space="0" w:color="auto"/>
              <w:bottom w:val="single" w:sz="4" w:space="0" w:color="auto"/>
              <w:right w:val="single" w:sz="4" w:space="0" w:color="auto"/>
            </w:tcBorders>
            <w:hideMark/>
          </w:tcPr>
          <w:p w14:paraId="66DDE3F2" w14:textId="3A1AD22F" w:rsidR="00506548" w:rsidRPr="0068307F" w:rsidRDefault="00506548" w:rsidP="00506548">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lastRenderedPageBreak/>
              <w:t>+165544</w:t>
            </w:r>
          </w:p>
        </w:tc>
        <w:tc>
          <w:tcPr>
            <w:tcW w:w="816" w:type="pct"/>
            <w:tcBorders>
              <w:top w:val="single" w:sz="4" w:space="0" w:color="auto"/>
              <w:left w:val="single" w:sz="4" w:space="0" w:color="auto"/>
              <w:bottom w:val="single" w:sz="4" w:space="0" w:color="auto"/>
              <w:right w:val="single" w:sz="4" w:space="0" w:color="auto"/>
            </w:tcBorders>
            <w:hideMark/>
          </w:tcPr>
          <w:p w14:paraId="697EBBCA" w14:textId="0D0972D8" w:rsidR="00506548" w:rsidRDefault="00506548" w:rsidP="0050654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+15815</w:t>
            </w:r>
          </w:p>
        </w:tc>
        <w:tc>
          <w:tcPr>
            <w:tcW w:w="618" w:type="pct"/>
            <w:tcBorders>
              <w:top w:val="single" w:sz="4" w:space="0" w:color="auto"/>
              <w:left w:val="single" w:sz="4" w:space="0" w:color="auto"/>
              <w:bottom w:val="single" w:sz="4" w:space="0" w:color="auto"/>
              <w:right w:val="single" w:sz="4" w:space="0" w:color="auto"/>
            </w:tcBorders>
            <w:hideMark/>
          </w:tcPr>
          <w:p w14:paraId="3DF71E68" w14:textId="78ACEB70" w:rsidR="00506548" w:rsidRDefault="00506548" w:rsidP="0050654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+17404</w:t>
            </w:r>
          </w:p>
        </w:tc>
        <w:tc>
          <w:tcPr>
            <w:tcW w:w="884" w:type="pct"/>
            <w:tcBorders>
              <w:top w:val="single" w:sz="4" w:space="0" w:color="auto"/>
              <w:left w:val="single" w:sz="4" w:space="0" w:color="auto"/>
              <w:bottom w:val="single" w:sz="4" w:space="0" w:color="auto"/>
              <w:right w:val="single" w:sz="4" w:space="0" w:color="auto"/>
            </w:tcBorders>
            <w:hideMark/>
          </w:tcPr>
          <w:p w14:paraId="4C565672" w14:textId="1CD12E7C" w:rsidR="00506548" w:rsidRDefault="00506548" w:rsidP="0050654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EC0F95">
              <w:rPr>
                <w:rFonts w:ascii="Times New Roman" w:hAnsi="Times New Roman"/>
                <w:sz w:val="24"/>
                <w:szCs w:val="24"/>
                <w:lang w:eastAsia="lv-LV"/>
              </w:rPr>
              <w:t>1</w:t>
            </w:r>
            <w:r>
              <w:rPr>
                <w:rFonts w:ascii="Times New Roman" w:hAnsi="Times New Roman"/>
                <w:sz w:val="24"/>
                <w:szCs w:val="24"/>
                <w:lang w:eastAsia="lv-LV"/>
              </w:rPr>
              <w:t>7404</w:t>
            </w:r>
          </w:p>
        </w:tc>
        <w:tc>
          <w:tcPr>
            <w:tcW w:w="1414" w:type="pct"/>
            <w:tcBorders>
              <w:top w:val="single" w:sz="4" w:space="0" w:color="auto"/>
              <w:left w:val="single" w:sz="4" w:space="0" w:color="auto"/>
              <w:bottom w:val="single" w:sz="4" w:space="0" w:color="auto"/>
              <w:right w:val="single" w:sz="4" w:space="0" w:color="auto"/>
            </w:tcBorders>
            <w:hideMark/>
          </w:tcPr>
          <w:p w14:paraId="273F2503" w14:textId="1FF11C32" w:rsidR="00506548" w:rsidRDefault="00506548" w:rsidP="0050654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+17404</w:t>
            </w:r>
          </w:p>
        </w:tc>
      </w:tr>
      <w:tr w:rsidR="000A5334" w14:paraId="1AE50348"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711591EF"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1.2. valsts speciālais budžets</w:t>
            </w:r>
          </w:p>
        </w:tc>
        <w:tc>
          <w:tcPr>
            <w:tcW w:w="566" w:type="pct"/>
            <w:tcBorders>
              <w:top w:val="single" w:sz="4" w:space="0" w:color="auto"/>
              <w:left w:val="single" w:sz="4" w:space="0" w:color="auto"/>
              <w:bottom w:val="single" w:sz="4" w:space="0" w:color="auto"/>
              <w:right w:val="single" w:sz="4" w:space="0" w:color="auto"/>
            </w:tcBorders>
            <w:hideMark/>
          </w:tcPr>
          <w:p w14:paraId="638C6F90" w14:textId="77777777" w:rsidR="00660C44" w:rsidRPr="0068307F" w:rsidRDefault="00660C44" w:rsidP="0005162F">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 0</w:t>
            </w:r>
          </w:p>
        </w:tc>
        <w:tc>
          <w:tcPr>
            <w:tcW w:w="816" w:type="pct"/>
            <w:tcBorders>
              <w:top w:val="single" w:sz="4" w:space="0" w:color="auto"/>
              <w:left w:val="single" w:sz="4" w:space="0" w:color="auto"/>
              <w:bottom w:val="single" w:sz="4" w:space="0" w:color="auto"/>
              <w:right w:val="single" w:sz="4" w:space="0" w:color="auto"/>
            </w:tcBorders>
            <w:hideMark/>
          </w:tcPr>
          <w:p w14:paraId="1DA0DD54"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3F579637"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1E2A8663"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6072459A"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0A5334" w14:paraId="54CC0C2C"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5EBBAEEE"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1.3. pašvaldību budžets</w:t>
            </w:r>
          </w:p>
        </w:tc>
        <w:tc>
          <w:tcPr>
            <w:tcW w:w="566" w:type="pct"/>
            <w:tcBorders>
              <w:top w:val="single" w:sz="4" w:space="0" w:color="auto"/>
              <w:left w:val="single" w:sz="4" w:space="0" w:color="auto"/>
              <w:bottom w:val="single" w:sz="4" w:space="0" w:color="auto"/>
              <w:right w:val="single" w:sz="4" w:space="0" w:color="auto"/>
            </w:tcBorders>
            <w:hideMark/>
          </w:tcPr>
          <w:p w14:paraId="6132CF21" w14:textId="77777777" w:rsidR="00660C44" w:rsidRPr="0068307F" w:rsidRDefault="00660C44" w:rsidP="0005162F">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 0</w:t>
            </w:r>
          </w:p>
        </w:tc>
        <w:tc>
          <w:tcPr>
            <w:tcW w:w="816" w:type="pct"/>
            <w:tcBorders>
              <w:top w:val="single" w:sz="4" w:space="0" w:color="auto"/>
              <w:left w:val="single" w:sz="4" w:space="0" w:color="auto"/>
              <w:bottom w:val="single" w:sz="4" w:space="0" w:color="auto"/>
              <w:right w:val="single" w:sz="4" w:space="0" w:color="auto"/>
            </w:tcBorders>
            <w:hideMark/>
          </w:tcPr>
          <w:p w14:paraId="754109B0"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5B1DA9EF"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1C0D1F8D"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3E802303" w14:textId="77777777" w:rsidR="00660C44" w:rsidRDefault="00660C44" w:rsidP="000516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983BBB" w:rsidRPr="0055748A" w14:paraId="30D9FD30"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72E07AC5" w14:textId="77777777" w:rsidR="00983BBB" w:rsidRPr="006F4A97" w:rsidRDefault="00983BBB" w:rsidP="00983BBB">
            <w:pPr>
              <w:spacing w:after="0" w:line="240" w:lineRule="auto"/>
              <w:jc w:val="both"/>
              <w:rPr>
                <w:rFonts w:ascii="Times New Roman" w:hAnsi="Times New Roman"/>
                <w:sz w:val="24"/>
                <w:szCs w:val="24"/>
                <w:lang w:eastAsia="lv-LV"/>
              </w:rPr>
            </w:pPr>
            <w:r w:rsidRPr="006F4A97">
              <w:rPr>
                <w:rFonts w:ascii="Times New Roman" w:hAnsi="Times New Roman"/>
                <w:sz w:val="24"/>
                <w:szCs w:val="24"/>
                <w:lang w:eastAsia="lv-LV"/>
              </w:rPr>
              <w:t>2. Budžeta izdevumi:</w:t>
            </w:r>
          </w:p>
        </w:tc>
        <w:tc>
          <w:tcPr>
            <w:tcW w:w="566" w:type="pct"/>
            <w:tcBorders>
              <w:top w:val="single" w:sz="4" w:space="0" w:color="auto"/>
              <w:left w:val="single" w:sz="4" w:space="0" w:color="auto"/>
              <w:bottom w:val="single" w:sz="4" w:space="0" w:color="auto"/>
              <w:right w:val="single" w:sz="4" w:space="0" w:color="auto"/>
            </w:tcBorders>
          </w:tcPr>
          <w:p w14:paraId="28D2CBB5" w14:textId="77777777" w:rsidR="00983BBB" w:rsidRPr="0068307F" w:rsidRDefault="00983BBB" w:rsidP="00983BBB">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+165544</w:t>
            </w:r>
          </w:p>
        </w:tc>
        <w:tc>
          <w:tcPr>
            <w:tcW w:w="816" w:type="pct"/>
            <w:tcBorders>
              <w:top w:val="single" w:sz="4" w:space="0" w:color="auto"/>
              <w:left w:val="single" w:sz="4" w:space="0" w:color="auto"/>
              <w:bottom w:val="single" w:sz="4" w:space="0" w:color="auto"/>
              <w:right w:val="single" w:sz="4" w:space="0" w:color="auto"/>
            </w:tcBorders>
          </w:tcPr>
          <w:p w14:paraId="39DDA736" w14:textId="77777777" w:rsidR="00983BBB" w:rsidRPr="006F4A97" w:rsidRDefault="00983BBB"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+15815</w:t>
            </w:r>
          </w:p>
        </w:tc>
        <w:tc>
          <w:tcPr>
            <w:tcW w:w="618" w:type="pct"/>
            <w:tcBorders>
              <w:top w:val="single" w:sz="4" w:space="0" w:color="auto"/>
              <w:left w:val="single" w:sz="4" w:space="0" w:color="auto"/>
              <w:bottom w:val="single" w:sz="4" w:space="0" w:color="auto"/>
              <w:right w:val="single" w:sz="4" w:space="0" w:color="auto"/>
            </w:tcBorders>
          </w:tcPr>
          <w:p w14:paraId="07648EE6" w14:textId="42F09F57" w:rsidR="00983BBB" w:rsidRPr="006F4A97" w:rsidRDefault="00924110"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983BBB">
              <w:rPr>
                <w:rFonts w:ascii="Times New Roman" w:hAnsi="Times New Roman"/>
                <w:sz w:val="24"/>
                <w:szCs w:val="24"/>
                <w:lang w:eastAsia="lv-LV"/>
              </w:rPr>
              <w:t>97886</w:t>
            </w:r>
            <w:r w:rsidR="00983BBB" w:rsidRPr="00274E47">
              <w:rPr>
                <w:rFonts w:ascii="Times New Roman" w:hAnsi="Times New Roman"/>
                <w:sz w:val="24"/>
                <w:szCs w:val="24"/>
              </w:rPr>
              <w:t xml:space="preserve"> </w:t>
            </w:r>
          </w:p>
        </w:tc>
        <w:tc>
          <w:tcPr>
            <w:tcW w:w="884" w:type="pct"/>
            <w:tcBorders>
              <w:top w:val="single" w:sz="4" w:space="0" w:color="auto"/>
              <w:left w:val="single" w:sz="4" w:space="0" w:color="auto"/>
              <w:bottom w:val="single" w:sz="4" w:space="0" w:color="auto"/>
              <w:right w:val="single" w:sz="4" w:space="0" w:color="auto"/>
            </w:tcBorders>
          </w:tcPr>
          <w:p w14:paraId="37CABD96" w14:textId="241DA27A" w:rsidR="00983BBB" w:rsidRPr="006F4A97" w:rsidRDefault="00924110"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983BBB">
              <w:rPr>
                <w:rFonts w:ascii="Times New Roman" w:hAnsi="Times New Roman"/>
                <w:sz w:val="24"/>
                <w:szCs w:val="24"/>
                <w:lang w:eastAsia="lv-LV"/>
              </w:rPr>
              <w:t>17404</w:t>
            </w:r>
          </w:p>
        </w:tc>
        <w:tc>
          <w:tcPr>
            <w:tcW w:w="1414" w:type="pct"/>
            <w:tcBorders>
              <w:top w:val="single" w:sz="4" w:space="0" w:color="auto"/>
              <w:left w:val="single" w:sz="4" w:space="0" w:color="auto"/>
              <w:bottom w:val="single" w:sz="4" w:space="0" w:color="auto"/>
              <w:right w:val="single" w:sz="4" w:space="0" w:color="auto"/>
            </w:tcBorders>
          </w:tcPr>
          <w:p w14:paraId="77D7E786" w14:textId="29787A2E" w:rsidR="00983BBB" w:rsidRPr="0055748A" w:rsidRDefault="00983BBB" w:rsidP="00924110">
            <w:pPr>
              <w:spacing w:after="0" w:line="240" w:lineRule="auto"/>
              <w:jc w:val="both"/>
              <w:rPr>
                <w:rFonts w:ascii="Times New Roman" w:hAnsi="Times New Roman"/>
                <w:sz w:val="24"/>
                <w:szCs w:val="24"/>
                <w:lang w:eastAsia="lv-LV"/>
              </w:rPr>
            </w:pPr>
            <w:r w:rsidRPr="006F4A97">
              <w:rPr>
                <w:rFonts w:ascii="Times New Roman" w:hAnsi="Times New Roman"/>
                <w:sz w:val="24"/>
                <w:szCs w:val="24"/>
                <w:lang w:eastAsia="lv-LV"/>
              </w:rPr>
              <w:t> </w:t>
            </w:r>
            <w:r w:rsidR="00924110">
              <w:rPr>
                <w:rFonts w:ascii="Times New Roman" w:hAnsi="Times New Roman"/>
                <w:sz w:val="24"/>
                <w:szCs w:val="24"/>
                <w:lang w:eastAsia="lv-LV"/>
              </w:rPr>
              <w:t>+</w:t>
            </w:r>
            <w:r>
              <w:rPr>
                <w:rFonts w:ascii="Times New Roman" w:hAnsi="Times New Roman"/>
                <w:sz w:val="24"/>
                <w:szCs w:val="24"/>
                <w:lang w:eastAsia="lv-LV"/>
              </w:rPr>
              <w:t>17404</w:t>
            </w:r>
          </w:p>
        </w:tc>
      </w:tr>
      <w:tr w:rsidR="00983BBB" w:rsidRPr="0055748A" w14:paraId="34F5A812"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35D2D781" w14:textId="77777777" w:rsidR="00983BBB" w:rsidRPr="0055748A" w:rsidRDefault="00983BBB" w:rsidP="00983BB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2.1. valsts pamatbudžets</w:t>
            </w:r>
          </w:p>
        </w:tc>
        <w:tc>
          <w:tcPr>
            <w:tcW w:w="566" w:type="pct"/>
            <w:tcBorders>
              <w:top w:val="single" w:sz="4" w:space="0" w:color="auto"/>
              <w:left w:val="single" w:sz="4" w:space="0" w:color="auto"/>
              <w:bottom w:val="single" w:sz="4" w:space="0" w:color="auto"/>
              <w:right w:val="single" w:sz="4" w:space="0" w:color="auto"/>
            </w:tcBorders>
          </w:tcPr>
          <w:p w14:paraId="74A24B20" w14:textId="77777777" w:rsidR="00983BBB" w:rsidRPr="0068307F" w:rsidRDefault="00983BBB" w:rsidP="00983BBB">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+165544</w:t>
            </w:r>
          </w:p>
        </w:tc>
        <w:tc>
          <w:tcPr>
            <w:tcW w:w="816" w:type="pct"/>
            <w:tcBorders>
              <w:top w:val="single" w:sz="4" w:space="0" w:color="auto"/>
              <w:left w:val="single" w:sz="4" w:space="0" w:color="auto"/>
              <w:bottom w:val="single" w:sz="4" w:space="0" w:color="auto"/>
              <w:right w:val="single" w:sz="4" w:space="0" w:color="auto"/>
            </w:tcBorders>
          </w:tcPr>
          <w:p w14:paraId="1128ED9C" w14:textId="77777777" w:rsidR="00983BBB" w:rsidRPr="0055748A" w:rsidRDefault="00983BBB"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+15815</w:t>
            </w:r>
          </w:p>
        </w:tc>
        <w:tc>
          <w:tcPr>
            <w:tcW w:w="618" w:type="pct"/>
            <w:tcBorders>
              <w:top w:val="single" w:sz="4" w:space="0" w:color="auto"/>
              <w:left w:val="single" w:sz="4" w:space="0" w:color="auto"/>
              <w:bottom w:val="single" w:sz="4" w:space="0" w:color="auto"/>
              <w:right w:val="single" w:sz="4" w:space="0" w:color="auto"/>
            </w:tcBorders>
          </w:tcPr>
          <w:p w14:paraId="6A302B32" w14:textId="62747936" w:rsidR="00983BBB" w:rsidRPr="0005162F" w:rsidRDefault="00924110" w:rsidP="00983BBB">
            <w:pPr>
              <w:spacing w:after="0" w:line="240" w:lineRule="auto"/>
              <w:jc w:val="both"/>
              <w:rPr>
                <w:rFonts w:ascii="Times New Roman" w:hAnsi="Times New Roman"/>
                <w:sz w:val="24"/>
                <w:szCs w:val="24"/>
                <w:highlight w:val="yellow"/>
                <w:lang w:eastAsia="lv-LV"/>
              </w:rPr>
            </w:pPr>
            <w:r>
              <w:rPr>
                <w:rFonts w:ascii="Times New Roman" w:hAnsi="Times New Roman"/>
                <w:sz w:val="24"/>
                <w:szCs w:val="24"/>
                <w:lang w:eastAsia="lv-LV"/>
              </w:rPr>
              <w:t>+</w:t>
            </w:r>
            <w:r w:rsidR="00983BBB">
              <w:rPr>
                <w:rFonts w:ascii="Times New Roman" w:hAnsi="Times New Roman"/>
                <w:sz w:val="24"/>
                <w:szCs w:val="24"/>
                <w:lang w:eastAsia="lv-LV"/>
              </w:rPr>
              <w:t>97886</w:t>
            </w:r>
            <w:r w:rsidR="00983BBB" w:rsidRPr="00274E47">
              <w:rPr>
                <w:rFonts w:ascii="Times New Roman" w:hAnsi="Times New Roman"/>
                <w:sz w:val="24"/>
                <w:szCs w:val="24"/>
              </w:rPr>
              <w:t xml:space="preserve"> </w:t>
            </w:r>
          </w:p>
        </w:tc>
        <w:tc>
          <w:tcPr>
            <w:tcW w:w="884" w:type="pct"/>
            <w:tcBorders>
              <w:top w:val="single" w:sz="4" w:space="0" w:color="auto"/>
              <w:left w:val="single" w:sz="4" w:space="0" w:color="auto"/>
              <w:bottom w:val="single" w:sz="4" w:space="0" w:color="auto"/>
              <w:right w:val="single" w:sz="4" w:space="0" w:color="auto"/>
            </w:tcBorders>
          </w:tcPr>
          <w:p w14:paraId="54F61FD7" w14:textId="295AEA81" w:rsidR="00983BBB" w:rsidRPr="0055748A" w:rsidRDefault="00924110"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983BBB">
              <w:rPr>
                <w:rFonts w:ascii="Times New Roman" w:hAnsi="Times New Roman"/>
                <w:sz w:val="24"/>
                <w:szCs w:val="24"/>
                <w:lang w:eastAsia="lv-LV"/>
              </w:rPr>
              <w:t>17404</w:t>
            </w:r>
          </w:p>
        </w:tc>
        <w:tc>
          <w:tcPr>
            <w:tcW w:w="1414" w:type="pct"/>
            <w:tcBorders>
              <w:top w:val="single" w:sz="4" w:space="0" w:color="auto"/>
              <w:left w:val="single" w:sz="4" w:space="0" w:color="auto"/>
              <w:bottom w:val="single" w:sz="4" w:space="0" w:color="auto"/>
              <w:right w:val="single" w:sz="4" w:space="0" w:color="auto"/>
            </w:tcBorders>
          </w:tcPr>
          <w:p w14:paraId="01304C8F" w14:textId="677D35D5" w:rsidR="00983BBB" w:rsidRPr="0055748A" w:rsidRDefault="00924110"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w:t>
            </w:r>
            <w:r w:rsidR="00983BBB">
              <w:rPr>
                <w:rFonts w:ascii="Times New Roman" w:hAnsi="Times New Roman"/>
                <w:sz w:val="24"/>
                <w:szCs w:val="24"/>
                <w:lang w:eastAsia="lv-LV"/>
              </w:rPr>
              <w:t>17404</w:t>
            </w:r>
          </w:p>
        </w:tc>
      </w:tr>
      <w:tr w:rsidR="000A5334" w:rsidRPr="0055748A" w14:paraId="472E3EC7"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51EEDD3A"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2.2. valsts speciālais budžets</w:t>
            </w:r>
          </w:p>
        </w:tc>
        <w:tc>
          <w:tcPr>
            <w:tcW w:w="566" w:type="pct"/>
            <w:tcBorders>
              <w:top w:val="single" w:sz="4" w:space="0" w:color="auto"/>
              <w:left w:val="single" w:sz="4" w:space="0" w:color="auto"/>
              <w:bottom w:val="single" w:sz="4" w:space="0" w:color="auto"/>
              <w:right w:val="single" w:sz="4" w:space="0" w:color="auto"/>
            </w:tcBorders>
            <w:hideMark/>
          </w:tcPr>
          <w:p w14:paraId="53A9EE49" w14:textId="77777777" w:rsidR="00454A36" w:rsidRPr="0068307F" w:rsidRDefault="00454A36" w:rsidP="00454A36">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 0</w:t>
            </w:r>
          </w:p>
        </w:tc>
        <w:tc>
          <w:tcPr>
            <w:tcW w:w="816" w:type="pct"/>
            <w:tcBorders>
              <w:top w:val="single" w:sz="4" w:space="0" w:color="auto"/>
              <w:left w:val="single" w:sz="4" w:space="0" w:color="auto"/>
              <w:bottom w:val="single" w:sz="4" w:space="0" w:color="auto"/>
              <w:right w:val="single" w:sz="4" w:space="0" w:color="auto"/>
            </w:tcBorders>
            <w:hideMark/>
          </w:tcPr>
          <w:p w14:paraId="392735CB"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30478D54"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4405AE86"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290530CF"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r>
      <w:tr w:rsidR="000A5334" w:rsidRPr="0055748A" w14:paraId="79D72AE9"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542B405E"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2.3. pašvaldību budžets</w:t>
            </w:r>
          </w:p>
        </w:tc>
        <w:tc>
          <w:tcPr>
            <w:tcW w:w="566" w:type="pct"/>
            <w:tcBorders>
              <w:top w:val="single" w:sz="4" w:space="0" w:color="auto"/>
              <w:left w:val="single" w:sz="4" w:space="0" w:color="auto"/>
              <w:bottom w:val="single" w:sz="4" w:space="0" w:color="auto"/>
              <w:right w:val="single" w:sz="4" w:space="0" w:color="auto"/>
            </w:tcBorders>
            <w:hideMark/>
          </w:tcPr>
          <w:p w14:paraId="1A513B74" w14:textId="77777777" w:rsidR="00454A36" w:rsidRPr="0068307F" w:rsidRDefault="00454A36" w:rsidP="00454A36">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 0</w:t>
            </w:r>
          </w:p>
        </w:tc>
        <w:tc>
          <w:tcPr>
            <w:tcW w:w="816" w:type="pct"/>
            <w:tcBorders>
              <w:top w:val="single" w:sz="4" w:space="0" w:color="auto"/>
              <w:left w:val="single" w:sz="4" w:space="0" w:color="auto"/>
              <w:bottom w:val="single" w:sz="4" w:space="0" w:color="auto"/>
              <w:right w:val="single" w:sz="4" w:space="0" w:color="auto"/>
            </w:tcBorders>
            <w:hideMark/>
          </w:tcPr>
          <w:p w14:paraId="39629ACC"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16D94CCB"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2963C291"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732BFEB4" w14:textId="77777777" w:rsidR="00454A36" w:rsidRPr="0055748A" w:rsidRDefault="00454A36" w:rsidP="00454A36">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 0</w:t>
            </w:r>
          </w:p>
        </w:tc>
      </w:tr>
      <w:tr w:rsidR="00983BBB" w:rsidRPr="0055748A" w14:paraId="466B414E"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4E961FA9" w14:textId="77777777" w:rsidR="00983BBB" w:rsidRPr="0055748A" w:rsidRDefault="00983BBB" w:rsidP="00983BB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3. Finansiālā ietekme:</w:t>
            </w:r>
          </w:p>
        </w:tc>
        <w:tc>
          <w:tcPr>
            <w:tcW w:w="566" w:type="pct"/>
            <w:tcBorders>
              <w:top w:val="single" w:sz="4" w:space="0" w:color="auto"/>
              <w:left w:val="single" w:sz="4" w:space="0" w:color="auto"/>
              <w:bottom w:val="single" w:sz="4" w:space="0" w:color="auto"/>
              <w:right w:val="single" w:sz="4" w:space="0" w:color="auto"/>
            </w:tcBorders>
          </w:tcPr>
          <w:p w14:paraId="70496956" w14:textId="58697C0B" w:rsidR="00983BBB" w:rsidRPr="0068307F" w:rsidRDefault="00983BBB" w:rsidP="00983BBB">
            <w:pPr>
              <w:spacing w:after="0" w:line="240" w:lineRule="auto"/>
              <w:jc w:val="both"/>
              <w:rPr>
                <w:rFonts w:ascii="Times New Roman" w:hAnsi="Times New Roman"/>
                <w:sz w:val="24"/>
                <w:szCs w:val="24"/>
                <w:lang w:eastAsia="lv-LV"/>
              </w:rPr>
            </w:pPr>
          </w:p>
        </w:tc>
        <w:tc>
          <w:tcPr>
            <w:tcW w:w="816" w:type="pct"/>
            <w:tcBorders>
              <w:top w:val="single" w:sz="4" w:space="0" w:color="auto"/>
              <w:left w:val="single" w:sz="4" w:space="0" w:color="auto"/>
              <w:bottom w:val="single" w:sz="4" w:space="0" w:color="auto"/>
              <w:right w:val="single" w:sz="4" w:space="0" w:color="auto"/>
            </w:tcBorders>
          </w:tcPr>
          <w:p w14:paraId="4B5B0B5E" w14:textId="3E8781CA" w:rsidR="00983BBB" w:rsidRPr="0055748A" w:rsidRDefault="00674662"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18" w:type="pct"/>
            <w:tcBorders>
              <w:top w:val="single" w:sz="4" w:space="0" w:color="auto"/>
              <w:left w:val="single" w:sz="4" w:space="0" w:color="auto"/>
              <w:bottom w:val="single" w:sz="4" w:space="0" w:color="auto"/>
              <w:right w:val="single" w:sz="4" w:space="0" w:color="auto"/>
            </w:tcBorders>
          </w:tcPr>
          <w:p w14:paraId="7ECFEA30" w14:textId="6EDB1EC9" w:rsidR="00983BBB" w:rsidRPr="0005162F" w:rsidRDefault="00983BBB" w:rsidP="002D67D2">
            <w:pPr>
              <w:spacing w:after="0" w:line="240" w:lineRule="auto"/>
              <w:jc w:val="both"/>
              <w:rPr>
                <w:rFonts w:ascii="Times New Roman" w:hAnsi="Times New Roman"/>
                <w:sz w:val="24"/>
                <w:szCs w:val="24"/>
                <w:highlight w:val="yellow"/>
                <w:lang w:eastAsia="lv-LV"/>
              </w:rPr>
            </w:pPr>
            <w:r w:rsidRPr="00274E47">
              <w:rPr>
                <w:rFonts w:ascii="Times New Roman" w:hAnsi="Times New Roman"/>
                <w:sz w:val="24"/>
                <w:szCs w:val="24"/>
                <w:lang w:eastAsia="lv-LV"/>
              </w:rPr>
              <w:t>-</w:t>
            </w:r>
            <w:r w:rsidR="002D67D2">
              <w:rPr>
                <w:rFonts w:ascii="Times New Roman" w:hAnsi="Times New Roman"/>
                <w:sz w:val="24"/>
                <w:szCs w:val="24"/>
                <w:lang w:eastAsia="lv-LV"/>
              </w:rPr>
              <w:t>80482</w:t>
            </w:r>
          </w:p>
        </w:tc>
        <w:tc>
          <w:tcPr>
            <w:tcW w:w="884" w:type="pct"/>
            <w:tcBorders>
              <w:top w:val="single" w:sz="4" w:space="0" w:color="auto"/>
              <w:left w:val="single" w:sz="4" w:space="0" w:color="auto"/>
              <w:bottom w:val="single" w:sz="4" w:space="0" w:color="auto"/>
              <w:right w:val="single" w:sz="4" w:space="0" w:color="auto"/>
            </w:tcBorders>
          </w:tcPr>
          <w:p w14:paraId="095839DD" w14:textId="6738F496" w:rsidR="00983BBB" w:rsidRPr="00CE2B7F" w:rsidRDefault="002D67D2" w:rsidP="00983BBB">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1414" w:type="pct"/>
            <w:tcBorders>
              <w:top w:val="single" w:sz="4" w:space="0" w:color="auto"/>
              <w:left w:val="single" w:sz="4" w:space="0" w:color="auto"/>
              <w:bottom w:val="single" w:sz="4" w:space="0" w:color="auto"/>
              <w:right w:val="single" w:sz="4" w:space="0" w:color="auto"/>
            </w:tcBorders>
          </w:tcPr>
          <w:p w14:paraId="18B081AB" w14:textId="0F0C0A2B" w:rsidR="00983BBB" w:rsidRPr="005E700C" w:rsidRDefault="00983BBB" w:rsidP="002D67D2">
            <w:pPr>
              <w:spacing w:after="0" w:line="240" w:lineRule="auto"/>
              <w:jc w:val="both"/>
              <w:rPr>
                <w:rFonts w:ascii="Times New Roman" w:hAnsi="Times New Roman"/>
                <w:sz w:val="24"/>
                <w:szCs w:val="24"/>
                <w:lang w:eastAsia="lv-LV"/>
              </w:rPr>
            </w:pPr>
            <w:r w:rsidRPr="006F4A97">
              <w:rPr>
                <w:rFonts w:ascii="Times New Roman" w:hAnsi="Times New Roman"/>
                <w:sz w:val="24"/>
                <w:szCs w:val="24"/>
                <w:lang w:eastAsia="lv-LV"/>
              </w:rPr>
              <w:t> </w:t>
            </w:r>
            <w:r w:rsidR="002D67D2">
              <w:rPr>
                <w:rFonts w:ascii="Times New Roman" w:hAnsi="Times New Roman"/>
                <w:sz w:val="24"/>
                <w:szCs w:val="24"/>
                <w:lang w:eastAsia="lv-LV"/>
              </w:rPr>
              <w:t>0</w:t>
            </w:r>
          </w:p>
        </w:tc>
      </w:tr>
      <w:tr w:rsidR="00983BBB" w14:paraId="64E202CF"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1BB5326B" w14:textId="77777777" w:rsidR="00983BBB" w:rsidRPr="0055748A" w:rsidRDefault="00983BBB" w:rsidP="00983BBB">
            <w:pPr>
              <w:spacing w:after="0" w:line="240" w:lineRule="auto"/>
              <w:jc w:val="both"/>
              <w:rPr>
                <w:rFonts w:ascii="Times New Roman" w:hAnsi="Times New Roman"/>
                <w:sz w:val="24"/>
                <w:szCs w:val="24"/>
                <w:lang w:eastAsia="lv-LV"/>
              </w:rPr>
            </w:pPr>
            <w:r w:rsidRPr="0055748A">
              <w:rPr>
                <w:rFonts w:ascii="Times New Roman" w:hAnsi="Times New Roman"/>
                <w:sz w:val="24"/>
                <w:szCs w:val="24"/>
                <w:lang w:eastAsia="lv-LV"/>
              </w:rPr>
              <w:t>3.1. valsts pamatbudžets</w:t>
            </w:r>
          </w:p>
        </w:tc>
        <w:tc>
          <w:tcPr>
            <w:tcW w:w="566" w:type="pct"/>
            <w:tcBorders>
              <w:top w:val="single" w:sz="4" w:space="0" w:color="auto"/>
              <w:left w:val="single" w:sz="4" w:space="0" w:color="auto"/>
              <w:bottom w:val="single" w:sz="4" w:space="0" w:color="auto"/>
              <w:right w:val="single" w:sz="4" w:space="0" w:color="auto"/>
            </w:tcBorders>
          </w:tcPr>
          <w:p w14:paraId="115BE7A0" w14:textId="61C88AB6" w:rsidR="00983BBB" w:rsidRPr="0068307F" w:rsidRDefault="00983BBB" w:rsidP="00983BBB">
            <w:pPr>
              <w:spacing w:after="0" w:line="240" w:lineRule="auto"/>
              <w:jc w:val="both"/>
              <w:rPr>
                <w:rFonts w:ascii="Times New Roman" w:hAnsi="Times New Roman"/>
                <w:sz w:val="24"/>
                <w:szCs w:val="24"/>
                <w:lang w:eastAsia="lv-LV"/>
              </w:rPr>
            </w:pPr>
          </w:p>
        </w:tc>
        <w:tc>
          <w:tcPr>
            <w:tcW w:w="816" w:type="pct"/>
            <w:tcBorders>
              <w:top w:val="single" w:sz="4" w:space="0" w:color="auto"/>
              <w:left w:val="single" w:sz="4" w:space="0" w:color="auto"/>
              <w:bottom w:val="single" w:sz="4" w:space="0" w:color="auto"/>
              <w:right w:val="single" w:sz="4" w:space="0" w:color="auto"/>
            </w:tcBorders>
          </w:tcPr>
          <w:p w14:paraId="0DD193CF" w14:textId="6F8AFA7F" w:rsidR="00983BBB" w:rsidRPr="0055748A" w:rsidRDefault="00674662"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18" w:type="pct"/>
            <w:tcBorders>
              <w:top w:val="single" w:sz="4" w:space="0" w:color="auto"/>
              <w:left w:val="single" w:sz="4" w:space="0" w:color="auto"/>
              <w:bottom w:val="single" w:sz="4" w:space="0" w:color="auto"/>
              <w:right w:val="single" w:sz="4" w:space="0" w:color="auto"/>
            </w:tcBorders>
          </w:tcPr>
          <w:p w14:paraId="3C2025E5" w14:textId="7272BA96" w:rsidR="00983BBB" w:rsidRPr="0005162F" w:rsidRDefault="00983BBB" w:rsidP="002D67D2">
            <w:pPr>
              <w:spacing w:after="0" w:line="240" w:lineRule="auto"/>
              <w:jc w:val="both"/>
              <w:rPr>
                <w:rFonts w:ascii="Times New Roman" w:hAnsi="Times New Roman"/>
                <w:sz w:val="24"/>
                <w:szCs w:val="24"/>
                <w:highlight w:val="yellow"/>
                <w:lang w:eastAsia="lv-LV"/>
              </w:rPr>
            </w:pPr>
            <w:r w:rsidRPr="00274E47">
              <w:rPr>
                <w:rFonts w:ascii="Times New Roman" w:hAnsi="Times New Roman"/>
                <w:sz w:val="24"/>
                <w:szCs w:val="24"/>
                <w:lang w:eastAsia="lv-LV"/>
              </w:rPr>
              <w:t>-</w:t>
            </w:r>
            <w:r w:rsidR="002D67D2">
              <w:rPr>
                <w:rFonts w:ascii="Times New Roman" w:hAnsi="Times New Roman"/>
                <w:sz w:val="24"/>
                <w:szCs w:val="24"/>
                <w:lang w:eastAsia="lv-LV"/>
              </w:rPr>
              <w:t>80482</w:t>
            </w:r>
          </w:p>
        </w:tc>
        <w:tc>
          <w:tcPr>
            <w:tcW w:w="884" w:type="pct"/>
            <w:tcBorders>
              <w:top w:val="single" w:sz="4" w:space="0" w:color="auto"/>
              <w:left w:val="single" w:sz="4" w:space="0" w:color="auto"/>
              <w:bottom w:val="single" w:sz="4" w:space="0" w:color="auto"/>
              <w:right w:val="single" w:sz="4" w:space="0" w:color="auto"/>
            </w:tcBorders>
          </w:tcPr>
          <w:p w14:paraId="385A96C9" w14:textId="366D0D85" w:rsidR="00983BBB" w:rsidRPr="0055748A" w:rsidRDefault="002D67D2"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414" w:type="pct"/>
            <w:tcBorders>
              <w:top w:val="single" w:sz="4" w:space="0" w:color="auto"/>
              <w:left w:val="single" w:sz="4" w:space="0" w:color="auto"/>
              <w:bottom w:val="single" w:sz="4" w:space="0" w:color="auto"/>
              <w:right w:val="single" w:sz="4" w:space="0" w:color="auto"/>
            </w:tcBorders>
          </w:tcPr>
          <w:p w14:paraId="065779A2" w14:textId="43AD3B2C" w:rsidR="00983BBB" w:rsidRPr="005E700C" w:rsidRDefault="002D67D2" w:rsidP="00983BB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0A5334" w14:paraId="333F5B4E"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4D929990"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3.2. speciālais budžets</w:t>
            </w:r>
          </w:p>
        </w:tc>
        <w:tc>
          <w:tcPr>
            <w:tcW w:w="566" w:type="pct"/>
            <w:tcBorders>
              <w:top w:val="single" w:sz="4" w:space="0" w:color="auto"/>
              <w:left w:val="single" w:sz="4" w:space="0" w:color="auto"/>
              <w:bottom w:val="single" w:sz="4" w:space="0" w:color="auto"/>
              <w:right w:val="single" w:sz="4" w:space="0" w:color="auto"/>
            </w:tcBorders>
            <w:hideMark/>
          </w:tcPr>
          <w:p w14:paraId="0C1A0567" w14:textId="77777777" w:rsidR="00454A36" w:rsidRPr="0068307F" w:rsidRDefault="00454A36" w:rsidP="00454A36">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 0</w:t>
            </w:r>
          </w:p>
        </w:tc>
        <w:tc>
          <w:tcPr>
            <w:tcW w:w="816" w:type="pct"/>
            <w:tcBorders>
              <w:top w:val="single" w:sz="4" w:space="0" w:color="auto"/>
              <w:left w:val="single" w:sz="4" w:space="0" w:color="auto"/>
              <w:bottom w:val="single" w:sz="4" w:space="0" w:color="auto"/>
              <w:right w:val="single" w:sz="4" w:space="0" w:color="auto"/>
            </w:tcBorders>
            <w:hideMark/>
          </w:tcPr>
          <w:p w14:paraId="5D4DFCF5" w14:textId="77777777" w:rsidR="00454A36" w:rsidRPr="006F6BE5"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13EE3A38" w14:textId="77777777" w:rsidR="00454A36" w:rsidRPr="006F6BE5"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353C2972" w14:textId="77777777" w:rsidR="00454A36" w:rsidRPr="006F6BE5"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600ECF9B" w14:textId="77777777" w:rsidR="00454A36" w:rsidRPr="006F6BE5"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0A5334" w14:paraId="20DAC20B"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209E8BB1" w14:textId="77777777" w:rsidR="00CC750E" w:rsidRDefault="00CC750E" w:rsidP="00CC75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pašvaldību budžets</w:t>
            </w:r>
          </w:p>
        </w:tc>
        <w:tc>
          <w:tcPr>
            <w:tcW w:w="566" w:type="pct"/>
            <w:tcBorders>
              <w:top w:val="single" w:sz="4" w:space="0" w:color="auto"/>
              <w:left w:val="single" w:sz="4" w:space="0" w:color="auto"/>
              <w:bottom w:val="single" w:sz="4" w:space="0" w:color="auto"/>
              <w:right w:val="single" w:sz="4" w:space="0" w:color="auto"/>
            </w:tcBorders>
            <w:hideMark/>
          </w:tcPr>
          <w:p w14:paraId="7D61BC4B" w14:textId="77777777" w:rsidR="00CC750E" w:rsidRPr="0068307F" w:rsidRDefault="00CC750E" w:rsidP="00CC750E">
            <w:pPr>
              <w:spacing w:after="0" w:line="240" w:lineRule="auto"/>
              <w:jc w:val="both"/>
              <w:rPr>
                <w:rFonts w:ascii="Times New Roman" w:hAnsi="Times New Roman"/>
                <w:sz w:val="24"/>
                <w:szCs w:val="24"/>
                <w:lang w:eastAsia="lv-LV"/>
              </w:rPr>
            </w:pPr>
            <w:r w:rsidRPr="0068307F">
              <w:rPr>
                <w:rFonts w:ascii="Times New Roman" w:hAnsi="Times New Roman"/>
                <w:sz w:val="24"/>
                <w:szCs w:val="24"/>
                <w:lang w:eastAsia="lv-LV"/>
              </w:rPr>
              <w:t> 0</w:t>
            </w:r>
          </w:p>
        </w:tc>
        <w:tc>
          <w:tcPr>
            <w:tcW w:w="816" w:type="pct"/>
            <w:tcBorders>
              <w:top w:val="single" w:sz="4" w:space="0" w:color="auto"/>
              <w:left w:val="single" w:sz="4" w:space="0" w:color="auto"/>
              <w:bottom w:val="single" w:sz="4" w:space="0" w:color="auto"/>
              <w:right w:val="single" w:sz="4" w:space="0" w:color="auto"/>
            </w:tcBorders>
            <w:hideMark/>
          </w:tcPr>
          <w:p w14:paraId="298195E3" w14:textId="7A4CE0C6" w:rsidR="00CC750E" w:rsidRPr="006F6BE5" w:rsidRDefault="00CC750E" w:rsidP="00CC75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6B5FFD0E" w14:textId="3571D623" w:rsidR="00CC750E" w:rsidRPr="006F6BE5" w:rsidRDefault="00CC750E" w:rsidP="00CC75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5C7BE8E3" w14:textId="48B878E2" w:rsidR="00CC750E" w:rsidRPr="006F6BE5" w:rsidRDefault="00CC750E" w:rsidP="00CC75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18A22E66" w14:textId="3B4EA765" w:rsidR="00CC750E" w:rsidRPr="006F6BE5" w:rsidRDefault="00CC750E" w:rsidP="00CC75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0A5334" w14:paraId="3B29CBE5" w14:textId="77777777" w:rsidTr="00A42B2D">
        <w:trPr>
          <w:tblCellSpacing w:w="15" w:type="dxa"/>
          <w:jc w:val="center"/>
        </w:trPr>
        <w:tc>
          <w:tcPr>
            <w:tcW w:w="589" w:type="pct"/>
            <w:vMerge w:val="restart"/>
            <w:tcBorders>
              <w:top w:val="single" w:sz="4" w:space="0" w:color="auto"/>
              <w:left w:val="single" w:sz="4" w:space="0" w:color="auto"/>
              <w:bottom w:val="single" w:sz="4" w:space="0" w:color="auto"/>
              <w:right w:val="single" w:sz="4" w:space="0" w:color="auto"/>
            </w:tcBorders>
            <w:hideMark/>
          </w:tcPr>
          <w:p w14:paraId="0352E250" w14:textId="77777777" w:rsidR="00CC750E" w:rsidRDefault="00CC750E" w:rsidP="00CC75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 Finanšu līdzekļi papildu izdevumu finansēšanai (kompensējošu </w:t>
            </w:r>
            <w:r>
              <w:rPr>
                <w:rFonts w:ascii="Times New Roman" w:hAnsi="Times New Roman"/>
                <w:sz w:val="24"/>
                <w:szCs w:val="24"/>
                <w:lang w:eastAsia="lv-LV"/>
              </w:rPr>
              <w:lastRenderedPageBreak/>
              <w:t>izdevumu samazinājumu norāda ar "+" zīmi)</w:t>
            </w:r>
          </w:p>
        </w:tc>
        <w:tc>
          <w:tcPr>
            <w:tcW w:w="566" w:type="pct"/>
            <w:vMerge w:val="restart"/>
            <w:tcBorders>
              <w:top w:val="single" w:sz="4" w:space="0" w:color="auto"/>
              <w:left w:val="single" w:sz="4" w:space="0" w:color="auto"/>
              <w:bottom w:val="single" w:sz="4" w:space="0" w:color="auto"/>
              <w:right w:val="single" w:sz="4" w:space="0" w:color="auto"/>
            </w:tcBorders>
            <w:hideMark/>
          </w:tcPr>
          <w:p w14:paraId="1DC0C106" w14:textId="77777777" w:rsidR="00CC750E" w:rsidRPr="0068307F" w:rsidRDefault="00CC750E" w:rsidP="00CC750E">
            <w:pPr>
              <w:spacing w:after="0" w:line="240" w:lineRule="auto"/>
              <w:ind w:firstLine="300"/>
              <w:jc w:val="both"/>
              <w:rPr>
                <w:rFonts w:ascii="Times New Roman" w:hAnsi="Times New Roman"/>
                <w:sz w:val="24"/>
                <w:szCs w:val="24"/>
                <w:lang w:eastAsia="lv-LV"/>
              </w:rPr>
            </w:pPr>
            <w:r w:rsidRPr="0068307F">
              <w:rPr>
                <w:rFonts w:ascii="Times New Roman" w:hAnsi="Times New Roman"/>
                <w:sz w:val="24"/>
                <w:szCs w:val="24"/>
                <w:lang w:eastAsia="lv-LV"/>
              </w:rPr>
              <w:lastRenderedPageBreak/>
              <w:t>X</w:t>
            </w:r>
          </w:p>
        </w:tc>
        <w:tc>
          <w:tcPr>
            <w:tcW w:w="816" w:type="pct"/>
            <w:tcBorders>
              <w:top w:val="single" w:sz="4" w:space="0" w:color="auto"/>
              <w:left w:val="single" w:sz="4" w:space="0" w:color="auto"/>
              <w:bottom w:val="single" w:sz="4" w:space="0" w:color="auto"/>
              <w:right w:val="single" w:sz="4" w:space="0" w:color="auto"/>
            </w:tcBorders>
          </w:tcPr>
          <w:p w14:paraId="06B9D23C" w14:textId="48B4645D" w:rsidR="00CC750E" w:rsidRPr="00D74DB0" w:rsidRDefault="00665B3B" w:rsidP="00CC75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18" w:type="pct"/>
            <w:tcBorders>
              <w:top w:val="single" w:sz="4" w:space="0" w:color="auto"/>
              <w:left w:val="single" w:sz="4" w:space="0" w:color="auto"/>
              <w:bottom w:val="single" w:sz="4" w:space="0" w:color="auto"/>
              <w:right w:val="single" w:sz="4" w:space="0" w:color="auto"/>
            </w:tcBorders>
          </w:tcPr>
          <w:p w14:paraId="21C3041E" w14:textId="4B7B1575" w:rsidR="00CC750E" w:rsidRPr="00D74DB0" w:rsidRDefault="00CC750E" w:rsidP="00665B3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665B3B">
              <w:rPr>
                <w:rFonts w:ascii="Times New Roman" w:hAnsi="Times New Roman"/>
                <w:sz w:val="24"/>
                <w:szCs w:val="24"/>
                <w:lang w:eastAsia="lv-LV"/>
              </w:rPr>
              <w:t>0</w:t>
            </w:r>
          </w:p>
        </w:tc>
        <w:tc>
          <w:tcPr>
            <w:tcW w:w="884" w:type="pct"/>
            <w:tcBorders>
              <w:top w:val="single" w:sz="4" w:space="0" w:color="auto"/>
              <w:left w:val="single" w:sz="4" w:space="0" w:color="auto"/>
              <w:bottom w:val="single" w:sz="4" w:space="0" w:color="auto"/>
              <w:right w:val="single" w:sz="4" w:space="0" w:color="auto"/>
            </w:tcBorders>
          </w:tcPr>
          <w:p w14:paraId="5181AED7" w14:textId="4BF302E5" w:rsidR="00CC750E" w:rsidRPr="00D74DB0" w:rsidRDefault="00CC750E" w:rsidP="00665B3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665B3B">
              <w:rPr>
                <w:rFonts w:ascii="Times New Roman" w:hAnsi="Times New Roman"/>
                <w:sz w:val="24"/>
                <w:szCs w:val="24"/>
                <w:lang w:eastAsia="lv-LV"/>
              </w:rPr>
              <w:t>0</w:t>
            </w:r>
          </w:p>
        </w:tc>
        <w:tc>
          <w:tcPr>
            <w:tcW w:w="1414" w:type="pct"/>
            <w:tcBorders>
              <w:top w:val="single" w:sz="4" w:space="0" w:color="auto"/>
              <w:left w:val="single" w:sz="4" w:space="0" w:color="auto"/>
              <w:bottom w:val="single" w:sz="4" w:space="0" w:color="auto"/>
              <w:right w:val="single" w:sz="4" w:space="0" w:color="auto"/>
            </w:tcBorders>
          </w:tcPr>
          <w:p w14:paraId="771D53EE" w14:textId="44C2D96B" w:rsidR="00CC750E" w:rsidRPr="00D74DB0" w:rsidRDefault="00665B3B" w:rsidP="00CC750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0A5334" w14:paraId="0D845396" w14:textId="77777777" w:rsidTr="00A42B2D">
        <w:trPr>
          <w:tblCellSpacing w:w="15" w:type="dxa"/>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14:paraId="4D7FE289" w14:textId="77777777" w:rsidR="00454A36" w:rsidRDefault="00454A36" w:rsidP="00454A36">
            <w:pPr>
              <w:spacing w:after="0" w:line="240" w:lineRule="auto"/>
              <w:rPr>
                <w:rFonts w:ascii="Times New Roman" w:hAnsi="Times New Roman"/>
                <w:sz w:val="24"/>
                <w:szCs w:val="24"/>
                <w:lang w:eastAsia="lv-LV"/>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3E229383" w14:textId="77777777" w:rsidR="00454A36" w:rsidRPr="0068307F" w:rsidRDefault="00454A36" w:rsidP="00454A36">
            <w:pPr>
              <w:spacing w:after="0" w:line="240" w:lineRule="auto"/>
              <w:rPr>
                <w:rFonts w:ascii="Times New Roman" w:hAnsi="Times New Roman"/>
                <w:sz w:val="24"/>
                <w:szCs w:val="24"/>
                <w:lang w:eastAsia="lv-LV"/>
              </w:rPr>
            </w:pPr>
          </w:p>
        </w:tc>
        <w:tc>
          <w:tcPr>
            <w:tcW w:w="816" w:type="pct"/>
            <w:tcBorders>
              <w:top w:val="single" w:sz="4" w:space="0" w:color="auto"/>
              <w:left w:val="single" w:sz="4" w:space="0" w:color="auto"/>
              <w:bottom w:val="single" w:sz="4" w:space="0" w:color="auto"/>
              <w:right w:val="single" w:sz="4" w:space="0" w:color="auto"/>
            </w:tcBorders>
            <w:hideMark/>
          </w:tcPr>
          <w:p w14:paraId="4F81D817" w14:textId="41B8CB5B" w:rsidR="00454A36" w:rsidRDefault="00454A36" w:rsidP="0067466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w:t>
            </w:r>
            <w:r w:rsidR="00674662">
              <w:rPr>
                <w:rFonts w:ascii="Times New Roman" w:hAnsi="Times New Roman"/>
                <w:sz w:val="24"/>
                <w:szCs w:val="24"/>
                <w:lang w:eastAsia="lv-LV"/>
              </w:rPr>
              <w:t>0</w:t>
            </w:r>
          </w:p>
        </w:tc>
        <w:tc>
          <w:tcPr>
            <w:tcW w:w="618" w:type="pct"/>
            <w:tcBorders>
              <w:top w:val="single" w:sz="4" w:space="0" w:color="auto"/>
              <w:left w:val="single" w:sz="4" w:space="0" w:color="auto"/>
              <w:bottom w:val="single" w:sz="4" w:space="0" w:color="auto"/>
              <w:right w:val="single" w:sz="4" w:space="0" w:color="auto"/>
            </w:tcBorders>
            <w:hideMark/>
          </w:tcPr>
          <w:p w14:paraId="434BB97B"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4B177654"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5E235BC4"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0A5334" w14:paraId="37F38178" w14:textId="77777777" w:rsidTr="00A42B2D">
        <w:trPr>
          <w:tblCellSpacing w:w="15" w:type="dxa"/>
          <w:jc w:val="center"/>
        </w:trPr>
        <w:tc>
          <w:tcPr>
            <w:tcW w:w="589" w:type="pct"/>
            <w:vMerge/>
            <w:tcBorders>
              <w:top w:val="single" w:sz="4" w:space="0" w:color="auto"/>
              <w:left w:val="single" w:sz="4" w:space="0" w:color="auto"/>
              <w:bottom w:val="single" w:sz="4" w:space="0" w:color="auto"/>
              <w:right w:val="single" w:sz="4" w:space="0" w:color="auto"/>
            </w:tcBorders>
            <w:vAlign w:val="center"/>
            <w:hideMark/>
          </w:tcPr>
          <w:p w14:paraId="28874BC1" w14:textId="77777777" w:rsidR="00454A36" w:rsidRDefault="00454A36" w:rsidP="00454A36">
            <w:pPr>
              <w:spacing w:after="0" w:line="240" w:lineRule="auto"/>
              <w:rPr>
                <w:rFonts w:ascii="Times New Roman" w:hAnsi="Times New Roman"/>
                <w:sz w:val="24"/>
                <w:szCs w:val="24"/>
                <w:lang w:eastAsia="lv-LV"/>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6971EFAC" w14:textId="77777777" w:rsidR="00454A36" w:rsidRPr="0068307F" w:rsidRDefault="00454A36" w:rsidP="00454A36">
            <w:pPr>
              <w:spacing w:after="0" w:line="240" w:lineRule="auto"/>
              <w:rPr>
                <w:rFonts w:ascii="Times New Roman" w:hAnsi="Times New Roman"/>
                <w:sz w:val="24"/>
                <w:szCs w:val="24"/>
                <w:lang w:eastAsia="lv-LV"/>
              </w:rPr>
            </w:pPr>
          </w:p>
        </w:tc>
        <w:tc>
          <w:tcPr>
            <w:tcW w:w="816" w:type="pct"/>
            <w:tcBorders>
              <w:top w:val="single" w:sz="4" w:space="0" w:color="auto"/>
              <w:left w:val="single" w:sz="4" w:space="0" w:color="auto"/>
              <w:bottom w:val="single" w:sz="4" w:space="0" w:color="auto"/>
              <w:right w:val="single" w:sz="4" w:space="0" w:color="auto"/>
            </w:tcBorders>
            <w:hideMark/>
          </w:tcPr>
          <w:p w14:paraId="53047B0A"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6DF11B80"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55B8FAC7"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3479991B"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0A5334" w14:paraId="2EA13F3B"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13BA9836" w14:textId="77777777" w:rsidR="000A5334" w:rsidRDefault="000A5334" w:rsidP="000A53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5. Precizēta finansiālā ietekme:</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86E0B42" w14:textId="77777777" w:rsidR="000A5334" w:rsidRPr="0068307F" w:rsidRDefault="000A5334" w:rsidP="000A5334">
            <w:pPr>
              <w:spacing w:after="0" w:line="240" w:lineRule="auto"/>
              <w:ind w:firstLine="300"/>
              <w:jc w:val="both"/>
              <w:rPr>
                <w:rFonts w:ascii="Times New Roman" w:hAnsi="Times New Roman"/>
                <w:sz w:val="24"/>
                <w:szCs w:val="24"/>
                <w:lang w:eastAsia="lv-LV"/>
              </w:rPr>
            </w:pPr>
            <w:r w:rsidRPr="0068307F">
              <w:rPr>
                <w:rFonts w:ascii="Times New Roman" w:hAnsi="Times New Roman"/>
                <w:sz w:val="24"/>
                <w:szCs w:val="24"/>
                <w:lang w:eastAsia="lv-LV"/>
              </w:rPr>
              <w:t>X</w:t>
            </w:r>
          </w:p>
        </w:tc>
        <w:tc>
          <w:tcPr>
            <w:tcW w:w="816" w:type="pct"/>
            <w:tcBorders>
              <w:top w:val="single" w:sz="4" w:space="0" w:color="auto"/>
              <w:left w:val="single" w:sz="4" w:space="0" w:color="auto"/>
              <w:bottom w:val="single" w:sz="4" w:space="0" w:color="auto"/>
              <w:right w:val="single" w:sz="4" w:space="0" w:color="auto"/>
            </w:tcBorders>
          </w:tcPr>
          <w:p w14:paraId="30B2D34C" w14:textId="7EA14EEB" w:rsidR="000A5334" w:rsidRDefault="000A5334" w:rsidP="000A53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18" w:type="pct"/>
            <w:tcBorders>
              <w:top w:val="single" w:sz="4" w:space="0" w:color="auto"/>
              <w:left w:val="single" w:sz="4" w:space="0" w:color="auto"/>
              <w:bottom w:val="single" w:sz="4" w:space="0" w:color="auto"/>
              <w:right w:val="single" w:sz="4" w:space="0" w:color="auto"/>
            </w:tcBorders>
          </w:tcPr>
          <w:p w14:paraId="5760C8E0" w14:textId="5E392B7B" w:rsidR="000A5334" w:rsidRPr="00274E47" w:rsidRDefault="000A5334" w:rsidP="00A62E70">
            <w:pPr>
              <w:spacing w:after="0" w:line="240" w:lineRule="auto"/>
              <w:jc w:val="both"/>
              <w:rPr>
                <w:rFonts w:ascii="Times New Roman" w:hAnsi="Times New Roman"/>
                <w:sz w:val="24"/>
                <w:szCs w:val="24"/>
                <w:highlight w:val="yellow"/>
                <w:lang w:eastAsia="lv-LV"/>
              </w:rPr>
            </w:pPr>
            <w:r w:rsidRPr="00274E47">
              <w:rPr>
                <w:rFonts w:ascii="Times New Roman" w:hAnsi="Times New Roman"/>
                <w:sz w:val="24"/>
                <w:szCs w:val="24"/>
                <w:lang w:eastAsia="lv-LV"/>
              </w:rPr>
              <w:t>-</w:t>
            </w:r>
            <w:r w:rsidR="00A62E70">
              <w:rPr>
                <w:rFonts w:ascii="Times New Roman" w:hAnsi="Times New Roman"/>
                <w:sz w:val="24"/>
                <w:szCs w:val="24"/>
                <w:lang w:eastAsia="lv-LV"/>
              </w:rPr>
              <w:t>80482</w:t>
            </w:r>
            <w:r w:rsidR="00A62E70" w:rsidRPr="00274E47">
              <w:rPr>
                <w:rFonts w:ascii="Times New Roman" w:hAnsi="Times New Roman"/>
                <w:sz w:val="24"/>
                <w:szCs w:val="24"/>
              </w:rPr>
              <w:t xml:space="preserve"> </w:t>
            </w:r>
          </w:p>
        </w:tc>
        <w:tc>
          <w:tcPr>
            <w:tcW w:w="884" w:type="pct"/>
            <w:tcBorders>
              <w:top w:val="single" w:sz="4" w:space="0" w:color="auto"/>
              <w:left w:val="single" w:sz="4" w:space="0" w:color="auto"/>
              <w:bottom w:val="single" w:sz="4" w:space="0" w:color="auto"/>
              <w:right w:val="single" w:sz="4" w:space="0" w:color="auto"/>
            </w:tcBorders>
          </w:tcPr>
          <w:p w14:paraId="3707110B" w14:textId="5245FC80" w:rsidR="000A5334" w:rsidRDefault="00A62E70" w:rsidP="000A53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414" w:type="pct"/>
            <w:tcBorders>
              <w:top w:val="single" w:sz="4" w:space="0" w:color="auto"/>
              <w:left w:val="single" w:sz="4" w:space="0" w:color="auto"/>
              <w:bottom w:val="single" w:sz="4" w:space="0" w:color="auto"/>
              <w:right w:val="single" w:sz="4" w:space="0" w:color="auto"/>
            </w:tcBorders>
          </w:tcPr>
          <w:p w14:paraId="25259A68" w14:textId="61F4AD23" w:rsidR="000A5334" w:rsidRDefault="000A5334" w:rsidP="00A62E70">
            <w:pPr>
              <w:spacing w:after="0" w:line="240" w:lineRule="auto"/>
              <w:jc w:val="both"/>
              <w:rPr>
                <w:rFonts w:ascii="Times New Roman" w:hAnsi="Times New Roman"/>
                <w:sz w:val="24"/>
                <w:szCs w:val="24"/>
                <w:lang w:eastAsia="lv-LV"/>
              </w:rPr>
            </w:pPr>
            <w:r w:rsidRPr="006F4A97">
              <w:rPr>
                <w:rFonts w:ascii="Times New Roman" w:hAnsi="Times New Roman"/>
                <w:sz w:val="24"/>
                <w:szCs w:val="24"/>
                <w:lang w:eastAsia="lv-LV"/>
              </w:rPr>
              <w:t> </w:t>
            </w:r>
            <w:r w:rsidR="00A62E70">
              <w:rPr>
                <w:rFonts w:ascii="Times New Roman" w:hAnsi="Times New Roman"/>
                <w:sz w:val="24"/>
                <w:szCs w:val="24"/>
                <w:lang w:eastAsia="lv-LV"/>
              </w:rPr>
              <w:t>0</w:t>
            </w:r>
          </w:p>
        </w:tc>
      </w:tr>
      <w:tr w:rsidR="000A5334" w14:paraId="38F3E37C"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7B037DCA" w14:textId="77777777" w:rsidR="000A5334" w:rsidRDefault="000A5334" w:rsidP="000A53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5.1. valsts pamatbudžets</w:t>
            </w: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4FFDB9E6" w14:textId="77777777" w:rsidR="000A5334" w:rsidRDefault="000A5334" w:rsidP="000A5334">
            <w:pPr>
              <w:spacing w:after="0" w:line="240" w:lineRule="auto"/>
              <w:rPr>
                <w:rFonts w:ascii="Times New Roman" w:hAnsi="Times New Roman"/>
                <w:sz w:val="24"/>
                <w:szCs w:val="24"/>
                <w:lang w:eastAsia="lv-LV"/>
              </w:rPr>
            </w:pPr>
          </w:p>
        </w:tc>
        <w:tc>
          <w:tcPr>
            <w:tcW w:w="816" w:type="pct"/>
            <w:tcBorders>
              <w:top w:val="single" w:sz="4" w:space="0" w:color="auto"/>
              <w:left w:val="single" w:sz="4" w:space="0" w:color="auto"/>
              <w:bottom w:val="single" w:sz="4" w:space="0" w:color="auto"/>
              <w:right w:val="single" w:sz="4" w:space="0" w:color="auto"/>
            </w:tcBorders>
          </w:tcPr>
          <w:p w14:paraId="53D18EC9" w14:textId="5B1B1A8E" w:rsidR="000A5334" w:rsidRDefault="000A5334" w:rsidP="000A53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18" w:type="pct"/>
            <w:tcBorders>
              <w:top w:val="single" w:sz="4" w:space="0" w:color="auto"/>
              <w:left w:val="single" w:sz="4" w:space="0" w:color="auto"/>
              <w:bottom w:val="single" w:sz="4" w:space="0" w:color="auto"/>
              <w:right w:val="single" w:sz="4" w:space="0" w:color="auto"/>
            </w:tcBorders>
          </w:tcPr>
          <w:p w14:paraId="295F93E1" w14:textId="455529FE" w:rsidR="000A5334" w:rsidRPr="00274E47" w:rsidRDefault="000A5334" w:rsidP="00A62E70">
            <w:pPr>
              <w:spacing w:after="0" w:line="240" w:lineRule="auto"/>
              <w:jc w:val="both"/>
              <w:rPr>
                <w:rFonts w:ascii="Times New Roman" w:hAnsi="Times New Roman"/>
                <w:sz w:val="24"/>
                <w:szCs w:val="24"/>
                <w:highlight w:val="yellow"/>
                <w:lang w:eastAsia="lv-LV"/>
              </w:rPr>
            </w:pPr>
            <w:r w:rsidRPr="00274E47">
              <w:rPr>
                <w:rFonts w:ascii="Times New Roman" w:hAnsi="Times New Roman"/>
                <w:sz w:val="24"/>
                <w:szCs w:val="24"/>
                <w:lang w:eastAsia="lv-LV"/>
              </w:rPr>
              <w:t>-</w:t>
            </w:r>
            <w:r w:rsidR="00A62E70">
              <w:rPr>
                <w:rFonts w:ascii="Times New Roman" w:hAnsi="Times New Roman"/>
                <w:sz w:val="24"/>
                <w:szCs w:val="24"/>
                <w:lang w:eastAsia="lv-LV"/>
              </w:rPr>
              <w:t>80482</w:t>
            </w:r>
            <w:r w:rsidR="00A62E70" w:rsidRPr="00274E47">
              <w:rPr>
                <w:rFonts w:ascii="Times New Roman" w:hAnsi="Times New Roman"/>
                <w:sz w:val="24"/>
                <w:szCs w:val="24"/>
              </w:rPr>
              <w:t xml:space="preserve"> </w:t>
            </w:r>
          </w:p>
        </w:tc>
        <w:tc>
          <w:tcPr>
            <w:tcW w:w="884" w:type="pct"/>
            <w:tcBorders>
              <w:top w:val="single" w:sz="4" w:space="0" w:color="auto"/>
              <w:left w:val="single" w:sz="4" w:space="0" w:color="auto"/>
              <w:bottom w:val="single" w:sz="4" w:space="0" w:color="auto"/>
              <w:right w:val="single" w:sz="4" w:space="0" w:color="auto"/>
            </w:tcBorders>
          </w:tcPr>
          <w:p w14:paraId="52B8F6EE" w14:textId="6F38CC6A" w:rsidR="000A5334" w:rsidRDefault="00A62E70" w:rsidP="000A53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414" w:type="pct"/>
            <w:tcBorders>
              <w:top w:val="single" w:sz="4" w:space="0" w:color="auto"/>
              <w:left w:val="single" w:sz="4" w:space="0" w:color="auto"/>
              <w:bottom w:val="single" w:sz="4" w:space="0" w:color="auto"/>
              <w:right w:val="single" w:sz="4" w:space="0" w:color="auto"/>
            </w:tcBorders>
          </w:tcPr>
          <w:p w14:paraId="1CE5DA49" w14:textId="7106F8DD" w:rsidR="000A5334" w:rsidRDefault="000A5334" w:rsidP="00A62E70">
            <w:pPr>
              <w:spacing w:after="0" w:line="240" w:lineRule="auto"/>
              <w:jc w:val="both"/>
              <w:rPr>
                <w:rFonts w:ascii="Times New Roman" w:hAnsi="Times New Roman"/>
                <w:sz w:val="24"/>
                <w:szCs w:val="24"/>
                <w:lang w:eastAsia="lv-LV"/>
              </w:rPr>
            </w:pPr>
            <w:r w:rsidRPr="006F4A97">
              <w:rPr>
                <w:rFonts w:ascii="Times New Roman" w:hAnsi="Times New Roman"/>
                <w:sz w:val="24"/>
                <w:szCs w:val="24"/>
                <w:lang w:eastAsia="lv-LV"/>
              </w:rPr>
              <w:t> </w:t>
            </w:r>
            <w:r w:rsidR="00A62E70">
              <w:rPr>
                <w:rFonts w:ascii="Times New Roman" w:hAnsi="Times New Roman"/>
                <w:sz w:val="24"/>
                <w:szCs w:val="24"/>
                <w:lang w:eastAsia="lv-LV"/>
              </w:rPr>
              <w:t>0</w:t>
            </w:r>
          </w:p>
        </w:tc>
      </w:tr>
      <w:tr w:rsidR="000A5334" w14:paraId="6920D9D9"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7F6AD207"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5.2. speciālais budžets</w:t>
            </w: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40084969" w14:textId="77777777" w:rsidR="00454A36" w:rsidRDefault="00454A36" w:rsidP="00454A36">
            <w:pPr>
              <w:spacing w:after="0" w:line="240" w:lineRule="auto"/>
              <w:rPr>
                <w:rFonts w:ascii="Times New Roman" w:hAnsi="Times New Roman"/>
                <w:sz w:val="24"/>
                <w:szCs w:val="24"/>
                <w:lang w:eastAsia="lv-LV"/>
              </w:rPr>
            </w:pPr>
          </w:p>
        </w:tc>
        <w:tc>
          <w:tcPr>
            <w:tcW w:w="816" w:type="pct"/>
            <w:tcBorders>
              <w:top w:val="single" w:sz="4" w:space="0" w:color="auto"/>
              <w:left w:val="single" w:sz="4" w:space="0" w:color="auto"/>
              <w:bottom w:val="single" w:sz="4" w:space="0" w:color="auto"/>
              <w:right w:val="single" w:sz="4" w:space="0" w:color="auto"/>
            </w:tcBorders>
            <w:hideMark/>
          </w:tcPr>
          <w:p w14:paraId="18F50628"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0AF9EB2D"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30BFCB21"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48E08A27"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0A5334" w14:paraId="536D800D"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2C525850"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5.3. pašvaldību budžets</w:t>
            </w: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6E12BFEA" w14:textId="77777777" w:rsidR="00454A36" w:rsidRDefault="00454A36" w:rsidP="00454A36">
            <w:pPr>
              <w:spacing w:after="0" w:line="240" w:lineRule="auto"/>
              <w:rPr>
                <w:rFonts w:ascii="Times New Roman" w:hAnsi="Times New Roman"/>
                <w:sz w:val="24"/>
                <w:szCs w:val="24"/>
                <w:lang w:eastAsia="lv-LV"/>
              </w:rPr>
            </w:pPr>
          </w:p>
        </w:tc>
        <w:tc>
          <w:tcPr>
            <w:tcW w:w="816" w:type="pct"/>
            <w:tcBorders>
              <w:top w:val="single" w:sz="4" w:space="0" w:color="auto"/>
              <w:left w:val="single" w:sz="4" w:space="0" w:color="auto"/>
              <w:bottom w:val="single" w:sz="4" w:space="0" w:color="auto"/>
              <w:right w:val="single" w:sz="4" w:space="0" w:color="auto"/>
            </w:tcBorders>
            <w:hideMark/>
          </w:tcPr>
          <w:p w14:paraId="60595F74"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618" w:type="pct"/>
            <w:tcBorders>
              <w:top w:val="single" w:sz="4" w:space="0" w:color="auto"/>
              <w:left w:val="single" w:sz="4" w:space="0" w:color="auto"/>
              <w:bottom w:val="single" w:sz="4" w:space="0" w:color="auto"/>
              <w:right w:val="single" w:sz="4" w:space="0" w:color="auto"/>
            </w:tcBorders>
            <w:hideMark/>
          </w:tcPr>
          <w:p w14:paraId="5FAFD143"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884" w:type="pct"/>
            <w:tcBorders>
              <w:top w:val="single" w:sz="4" w:space="0" w:color="auto"/>
              <w:left w:val="single" w:sz="4" w:space="0" w:color="auto"/>
              <w:bottom w:val="single" w:sz="4" w:space="0" w:color="auto"/>
              <w:right w:val="single" w:sz="4" w:space="0" w:color="auto"/>
            </w:tcBorders>
            <w:hideMark/>
          </w:tcPr>
          <w:p w14:paraId="76FBD54C"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c>
          <w:tcPr>
            <w:tcW w:w="1414" w:type="pct"/>
            <w:tcBorders>
              <w:top w:val="single" w:sz="4" w:space="0" w:color="auto"/>
              <w:left w:val="single" w:sz="4" w:space="0" w:color="auto"/>
              <w:bottom w:val="single" w:sz="4" w:space="0" w:color="auto"/>
              <w:right w:val="single" w:sz="4" w:space="0" w:color="auto"/>
            </w:tcBorders>
            <w:hideMark/>
          </w:tcPr>
          <w:p w14:paraId="3632BC45"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0</w:t>
            </w:r>
          </w:p>
        </w:tc>
      </w:tr>
      <w:tr w:rsidR="0005162F" w14:paraId="07483F09"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2AD65C86"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4363" w:type="pct"/>
            <w:gridSpan w:val="5"/>
            <w:vMerge w:val="restart"/>
            <w:tcBorders>
              <w:top w:val="single" w:sz="4" w:space="0" w:color="auto"/>
              <w:left w:val="single" w:sz="4" w:space="0" w:color="auto"/>
              <w:bottom w:val="single" w:sz="4" w:space="0" w:color="auto"/>
              <w:right w:val="single" w:sz="4" w:space="0" w:color="auto"/>
            </w:tcBorders>
          </w:tcPr>
          <w:p w14:paraId="0B0D220F" w14:textId="2B27C143" w:rsidR="00A87DD8" w:rsidRDefault="00A87DD8" w:rsidP="00454A3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Projekta īstenošanai ir nepieciešams finansējums Tiesu informācijas sistēmas papildinājuma un </w:t>
            </w:r>
            <w:r w:rsidRPr="008D3D53">
              <w:rPr>
                <w:rFonts w:ascii="Times New Roman" w:hAnsi="Times New Roman"/>
                <w:sz w:val="24"/>
                <w:szCs w:val="24"/>
              </w:rPr>
              <w:t>Kriminālprocesa informācijas sistēma</w:t>
            </w:r>
            <w:r>
              <w:rPr>
                <w:rFonts w:ascii="Times New Roman" w:hAnsi="Times New Roman"/>
                <w:sz w:val="24"/>
                <w:szCs w:val="24"/>
              </w:rPr>
              <w:t>s un Sodu reģistra papildinājuma</w:t>
            </w:r>
            <w:r w:rsidRPr="008D3D53" w:rsidDel="00775455">
              <w:rPr>
                <w:rFonts w:ascii="Times New Roman" w:hAnsi="Times New Roman"/>
                <w:b/>
                <w:sz w:val="24"/>
                <w:szCs w:val="24"/>
                <w:lang w:eastAsia="lv-LV"/>
              </w:rPr>
              <w:t xml:space="preserve"> </w:t>
            </w:r>
            <w:r>
              <w:rPr>
                <w:rFonts w:ascii="Times New Roman" w:hAnsi="Times New Roman"/>
                <w:sz w:val="24"/>
                <w:szCs w:val="24"/>
                <w:lang w:eastAsia="lv-LV"/>
              </w:rPr>
              <w:t>izstrādei</w:t>
            </w:r>
            <w:r w:rsidR="001E5EAD">
              <w:rPr>
                <w:rFonts w:ascii="Times New Roman" w:hAnsi="Times New Roman"/>
                <w:sz w:val="24"/>
                <w:szCs w:val="24"/>
                <w:lang w:eastAsia="lv-LV"/>
              </w:rPr>
              <w:t xml:space="preserve"> (1)</w:t>
            </w:r>
            <w:r>
              <w:rPr>
                <w:rFonts w:ascii="Times New Roman" w:hAnsi="Times New Roman"/>
                <w:sz w:val="24"/>
                <w:szCs w:val="24"/>
                <w:lang w:eastAsia="lv-LV"/>
              </w:rPr>
              <w:t xml:space="preserve"> (finansējuma avots – papildus finansējums Jauno politikas iniciatīvu atbalsta 2017.gadā ietvaros) un vecākā eksperta amata vietas izveidei AIC</w:t>
            </w:r>
            <w:r w:rsidR="001E5EAD">
              <w:rPr>
                <w:rFonts w:ascii="Times New Roman" w:hAnsi="Times New Roman"/>
                <w:sz w:val="24"/>
                <w:szCs w:val="24"/>
                <w:lang w:eastAsia="lv-LV"/>
              </w:rPr>
              <w:t xml:space="preserve"> (2)</w:t>
            </w:r>
            <w:r>
              <w:rPr>
                <w:rFonts w:ascii="Times New Roman" w:hAnsi="Times New Roman"/>
                <w:sz w:val="24"/>
                <w:szCs w:val="24"/>
                <w:lang w:eastAsia="lv-LV"/>
              </w:rPr>
              <w:t xml:space="preserve"> (finansējuma avots - ministrijas budžets).</w:t>
            </w:r>
          </w:p>
          <w:p w14:paraId="11E054B8" w14:textId="77777777" w:rsidR="00A87DD8" w:rsidRDefault="00A87DD8" w:rsidP="00454A36">
            <w:pPr>
              <w:spacing w:after="0" w:line="240" w:lineRule="auto"/>
              <w:rPr>
                <w:rFonts w:ascii="Times New Roman" w:hAnsi="Times New Roman"/>
                <w:sz w:val="24"/>
                <w:szCs w:val="24"/>
                <w:lang w:eastAsia="lv-LV"/>
              </w:rPr>
            </w:pPr>
          </w:p>
          <w:p w14:paraId="7CA8466F" w14:textId="2B336994" w:rsidR="00454A36" w:rsidRPr="00265AB1" w:rsidRDefault="004226E8" w:rsidP="00454A36">
            <w:pPr>
              <w:spacing w:after="0" w:line="240" w:lineRule="auto"/>
              <w:rPr>
                <w:rFonts w:ascii="Times New Roman" w:hAnsi="Times New Roman"/>
                <w:b/>
                <w:sz w:val="24"/>
                <w:szCs w:val="24"/>
                <w:lang w:eastAsia="lv-LV"/>
              </w:rPr>
            </w:pPr>
            <w:r>
              <w:rPr>
                <w:rFonts w:ascii="Times New Roman" w:hAnsi="Times New Roman"/>
                <w:sz w:val="24"/>
                <w:szCs w:val="24"/>
                <w:lang w:eastAsia="lv-LV"/>
              </w:rPr>
              <w:t>1.tabula</w:t>
            </w:r>
            <w:r w:rsidRPr="00265AB1">
              <w:rPr>
                <w:rFonts w:ascii="Times New Roman" w:hAnsi="Times New Roman"/>
                <w:b/>
                <w:sz w:val="24"/>
                <w:szCs w:val="24"/>
                <w:lang w:eastAsia="lv-LV"/>
              </w:rPr>
              <w:t xml:space="preserve"> </w:t>
            </w:r>
            <w:r w:rsidR="00454A36" w:rsidRPr="00265AB1">
              <w:rPr>
                <w:rFonts w:ascii="Times New Roman" w:hAnsi="Times New Roman"/>
                <w:b/>
                <w:sz w:val="24"/>
                <w:szCs w:val="24"/>
                <w:lang w:eastAsia="lv-LV"/>
              </w:rPr>
              <w:t>Kopsavilkums par papildus nepieciešamo finansējumu:</w:t>
            </w:r>
          </w:p>
          <w:p w14:paraId="5EA314A5" w14:textId="42DB10BA" w:rsidR="00454A36" w:rsidRDefault="00454A36" w:rsidP="00DF3B26">
            <w:pPr>
              <w:spacing w:after="0" w:line="240" w:lineRule="auto"/>
              <w:jc w:val="right"/>
              <w:rPr>
                <w:rFonts w:ascii="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3673"/>
              <w:gridCol w:w="940"/>
              <w:gridCol w:w="940"/>
              <w:gridCol w:w="940"/>
              <w:gridCol w:w="941"/>
            </w:tblGrid>
            <w:tr w:rsidR="00454A36" w14:paraId="01BDC6DF" w14:textId="77777777" w:rsidTr="0068307F">
              <w:tc>
                <w:tcPr>
                  <w:tcW w:w="3673" w:type="dxa"/>
                </w:tcPr>
                <w:p w14:paraId="315BF5C1" w14:textId="77777777" w:rsidR="00454A36" w:rsidRPr="00265AB1" w:rsidRDefault="00454A36" w:rsidP="00454A36">
                  <w:pPr>
                    <w:spacing w:line="240" w:lineRule="auto"/>
                    <w:rPr>
                      <w:rFonts w:ascii="Times New Roman" w:hAnsi="Times New Roman"/>
                      <w:i/>
                      <w:sz w:val="24"/>
                      <w:szCs w:val="24"/>
                      <w:lang w:eastAsia="lv-LV"/>
                    </w:rPr>
                  </w:pPr>
                  <w:r w:rsidRPr="00265AB1">
                    <w:rPr>
                      <w:rFonts w:ascii="Times New Roman" w:hAnsi="Times New Roman"/>
                      <w:i/>
                      <w:sz w:val="24"/>
                      <w:szCs w:val="24"/>
                      <w:lang w:eastAsia="lv-LV"/>
                    </w:rPr>
                    <w:t xml:space="preserve">Mērķis, saņēmējs </w:t>
                  </w:r>
                </w:p>
              </w:tc>
              <w:tc>
                <w:tcPr>
                  <w:tcW w:w="940" w:type="dxa"/>
                  <w:vAlign w:val="center"/>
                </w:tcPr>
                <w:p w14:paraId="2FEFB199" w14:textId="640895DD" w:rsidR="00454A36" w:rsidRDefault="00454A36" w:rsidP="006A7B3E">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2016.</w:t>
                  </w:r>
                </w:p>
                <w:p w14:paraId="197D152C" w14:textId="77777777" w:rsidR="00454A36" w:rsidRPr="00265AB1" w:rsidRDefault="00454A36" w:rsidP="006A7B3E">
                  <w:pPr>
                    <w:spacing w:after="0" w:line="240" w:lineRule="auto"/>
                    <w:jc w:val="center"/>
                    <w:rPr>
                      <w:rFonts w:ascii="Times New Roman" w:hAnsi="Times New Roman"/>
                      <w:i/>
                      <w:sz w:val="24"/>
                      <w:szCs w:val="24"/>
                      <w:lang w:eastAsia="lv-LV"/>
                    </w:rPr>
                  </w:pPr>
                  <w:proofErr w:type="spellStart"/>
                  <w:r>
                    <w:rPr>
                      <w:rFonts w:ascii="Times New Roman" w:hAnsi="Times New Roman"/>
                      <w:i/>
                      <w:sz w:val="24"/>
                      <w:szCs w:val="24"/>
                      <w:lang w:eastAsia="lv-LV"/>
                    </w:rPr>
                    <w:t>euro</w:t>
                  </w:r>
                  <w:proofErr w:type="spellEnd"/>
                </w:p>
              </w:tc>
              <w:tc>
                <w:tcPr>
                  <w:tcW w:w="940" w:type="dxa"/>
                  <w:vAlign w:val="center"/>
                </w:tcPr>
                <w:p w14:paraId="6EA2039C" w14:textId="5A75053C" w:rsidR="00454A36" w:rsidRDefault="00454A36" w:rsidP="006A7B3E">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2017.</w:t>
                  </w:r>
                </w:p>
                <w:p w14:paraId="58717494" w14:textId="77777777" w:rsidR="00454A36" w:rsidRDefault="00454A36" w:rsidP="006A7B3E">
                  <w:pPr>
                    <w:spacing w:after="0" w:line="240" w:lineRule="auto"/>
                    <w:jc w:val="center"/>
                    <w:rPr>
                      <w:rFonts w:ascii="Times New Roman" w:hAnsi="Times New Roman"/>
                      <w:sz w:val="24"/>
                      <w:szCs w:val="24"/>
                      <w:lang w:eastAsia="lv-LV"/>
                    </w:rPr>
                  </w:pPr>
                  <w:proofErr w:type="spellStart"/>
                  <w:r>
                    <w:rPr>
                      <w:rFonts w:ascii="Times New Roman" w:hAnsi="Times New Roman"/>
                      <w:i/>
                      <w:sz w:val="24"/>
                      <w:szCs w:val="24"/>
                      <w:lang w:eastAsia="lv-LV"/>
                    </w:rPr>
                    <w:t>euro</w:t>
                  </w:r>
                  <w:proofErr w:type="spellEnd"/>
                </w:p>
              </w:tc>
              <w:tc>
                <w:tcPr>
                  <w:tcW w:w="940" w:type="dxa"/>
                  <w:vAlign w:val="center"/>
                </w:tcPr>
                <w:p w14:paraId="139223D1" w14:textId="565C5DB4" w:rsidR="00454A36" w:rsidRDefault="00454A36" w:rsidP="006A7B3E">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1018.</w:t>
                  </w:r>
                </w:p>
                <w:p w14:paraId="6874B86E" w14:textId="77777777" w:rsidR="00454A36" w:rsidRDefault="00454A36" w:rsidP="006A7B3E">
                  <w:pPr>
                    <w:spacing w:after="0" w:line="240" w:lineRule="auto"/>
                    <w:jc w:val="center"/>
                    <w:rPr>
                      <w:rFonts w:ascii="Times New Roman" w:hAnsi="Times New Roman"/>
                      <w:sz w:val="24"/>
                      <w:szCs w:val="24"/>
                      <w:lang w:eastAsia="lv-LV"/>
                    </w:rPr>
                  </w:pPr>
                  <w:proofErr w:type="spellStart"/>
                  <w:r>
                    <w:rPr>
                      <w:rFonts w:ascii="Times New Roman" w:hAnsi="Times New Roman"/>
                      <w:i/>
                      <w:sz w:val="24"/>
                      <w:szCs w:val="24"/>
                      <w:lang w:eastAsia="lv-LV"/>
                    </w:rPr>
                    <w:t>euro</w:t>
                  </w:r>
                  <w:proofErr w:type="spellEnd"/>
                </w:p>
              </w:tc>
              <w:tc>
                <w:tcPr>
                  <w:tcW w:w="941" w:type="dxa"/>
                  <w:vAlign w:val="center"/>
                </w:tcPr>
                <w:p w14:paraId="60D433F1" w14:textId="46211D2E" w:rsidR="00454A36" w:rsidRDefault="00454A36" w:rsidP="006A7B3E">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2019.</w:t>
                  </w:r>
                </w:p>
                <w:p w14:paraId="47D9988A" w14:textId="77777777" w:rsidR="00454A36" w:rsidRDefault="00454A36" w:rsidP="006A7B3E">
                  <w:pPr>
                    <w:spacing w:after="0" w:line="240" w:lineRule="auto"/>
                    <w:jc w:val="center"/>
                    <w:rPr>
                      <w:rFonts w:ascii="Times New Roman" w:hAnsi="Times New Roman"/>
                      <w:sz w:val="24"/>
                      <w:szCs w:val="24"/>
                      <w:lang w:eastAsia="lv-LV"/>
                    </w:rPr>
                  </w:pPr>
                  <w:proofErr w:type="spellStart"/>
                  <w:r>
                    <w:rPr>
                      <w:rFonts w:ascii="Times New Roman" w:hAnsi="Times New Roman"/>
                      <w:i/>
                      <w:sz w:val="24"/>
                      <w:szCs w:val="24"/>
                      <w:lang w:eastAsia="lv-LV"/>
                    </w:rPr>
                    <w:t>euro</w:t>
                  </w:r>
                  <w:proofErr w:type="spellEnd"/>
                </w:p>
              </w:tc>
            </w:tr>
            <w:tr w:rsidR="00454A36" w14:paraId="5BAB5405" w14:textId="77777777" w:rsidTr="0068307F">
              <w:tc>
                <w:tcPr>
                  <w:tcW w:w="3673" w:type="dxa"/>
                </w:tcPr>
                <w:p w14:paraId="6882F93B" w14:textId="77777777" w:rsidR="00454A36" w:rsidRDefault="00454A36" w:rsidP="00454A36">
                  <w:pPr>
                    <w:spacing w:line="240" w:lineRule="auto"/>
                    <w:rPr>
                      <w:rFonts w:ascii="Times New Roman" w:hAnsi="Times New Roman"/>
                      <w:sz w:val="24"/>
                      <w:szCs w:val="24"/>
                      <w:lang w:eastAsia="lv-LV"/>
                    </w:rPr>
                  </w:pPr>
                  <w:r>
                    <w:rPr>
                      <w:rFonts w:ascii="Times New Roman" w:hAnsi="Times New Roman"/>
                      <w:sz w:val="24"/>
                      <w:szCs w:val="24"/>
                      <w:lang w:eastAsia="lv-LV"/>
                    </w:rPr>
                    <w:t>Tiesu informācijas sistēmas papildinājuma izstrāde, Tieslietu ministrija</w:t>
                  </w:r>
                </w:p>
              </w:tc>
              <w:tc>
                <w:tcPr>
                  <w:tcW w:w="940" w:type="dxa"/>
                  <w:vAlign w:val="center"/>
                </w:tcPr>
                <w:p w14:paraId="03A02A53" w14:textId="15399C2C" w:rsidR="00454A36" w:rsidRDefault="00454A36" w:rsidP="00454A36">
                  <w:pPr>
                    <w:spacing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940" w:type="dxa"/>
                  <w:vAlign w:val="center"/>
                </w:tcPr>
                <w:p w14:paraId="32846D1F" w14:textId="7D7BE629" w:rsidR="00454A36" w:rsidRDefault="00454A36" w:rsidP="00454A36">
                  <w:pPr>
                    <w:spacing w:line="240" w:lineRule="auto"/>
                    <w:jc w:val="center"/>
                    <w:rPr>
                      <w:rFonts w:ascii="Times New Roman" w:hAnsi="Times New Roman"/>
                      <w:sz w:val="24"/>
                      <w:szCs w:val="24"/>
                      <w:lang w:eastAsia="lv-LV"/>
                    </w:rPr>
                  </w:pPr>
                  <w:r w:rsidRPr="00E04812">
                    <w:rPr>
                      <w:rFonts w:ascii="Times New Roman" w:hAnsi="Times New Roman"/>
                      <w:sz w:val="24"/>
                      <w:szCs w:val="24"/>
                      <w:lang w:eastAsia="lv-LV"/>
                    </w:rPr>
                    <w:t>68517</w:t>
                  </w:r>
                </w:p>
              </w:tc>
              <w:tc>
                <w:tcPr>
                  <w:tcW w:w="940" w:type="dxa"/>
                  <w:vAlign w:val="center"/>
                </w:tcPr>
                <w:p w14:paraId="1D5B163B" w14:textId="77777777" w:rsidR="00454A36" w:rsidRDefault="00454A36" w:rsidP="00454A36">
                  <w:pPr>
                    <w:spacing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941" w:type="dxa"/>
                  <w:vAlign w:val="center"/>
                </w:tcPr>
                <w:p w14:paraId="4A70925A" w14:textId="77777777" w:rsidR="00454A36" w:rsidRDefault="00454A36" w:rsidP="00454A36">
                  <w:pPr>
                    <w:spacing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A87DD8" w14:paraId="66A26BD4" w14:textId="77777777" w:rsidTr="00EC518E">
              <w:tc>
                <w:tcPr>
                  <w:tcW w:w="3673" w:type="dxa"/>
                </w:tcPr>
                <w:p w14:paraId="56C32F0A" w14:textId="6D5C22DB" w:rsidR="00A87DD8" w:rsidRDefault="00A87DD8" w:rsidP="00A87DD8">
                  <w:pPr>
                    <w:spacing w:line="240" w:lineRule="auto"/>
                    <w:rPr>
                      <w:rFonts w:ascii="Times New Roman" w:hAnsi="Times New Roman"/>
                      <w:sz w:val="24"/>
                      <w:szCs w:val="24"/>
                      <w:lang w:eastAsia="lv-LV"/>
                    </w:rPr>
                  </w:pPr>
                  <w:r w:rsidRPr="008D3D53">
                    <w:rPr>
                      <w:rFonts w:ascii="Times New Roman" w:hAnsi="Times New Roman"/>
                      <w:sz w:val="24"/>
                      <w:szCs w:val="24"/>
                    </w:rPr>
                    <w:t>Kriminālprocesa informācijas sistēmas un Sodu reģistra papildinājums</w:t>
                  </w:r>
                  <w:r>
                    <w:rPr>
                      <w:rFonts w:ascii="Times New Roman" w:hAnsi="Times New Roman"/>
                      <w:sz w:val="24"/>
                      <w:szCs w:val="24"/>
                    </w:rPr>
                    <w:t xml:space="preserve">,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w:t>
                  </w:r>
                  <w:r w:rsidRPr="008D3D53" w:rsidDel="00775455">
                    <w:rPr>
                      <w:rFonts w:ascii="Times New Roman" w:hAnsi="Times New Roman"/>
                      <w:b/>
                      <w:sz w:val="24"/>
                      <w:szCs w:val="24"/>
                      <w:lang w:eastAsia="lv-LV"/>
                    </w:rPr>
                    <w:t xml:space="preserve"> </w:t>
                  </w:r>
                </w:p>
              </w:tc>
              <w:tc>
                <w:tcPr>
                  <w:tcW w:w="940" w:type="dxa"/>
                </w:tcPr>
                <w:p w14:paraId="18F069B4" w14:textId="5391A5CC" w:rsidR="00A87DD8" w:rsidRPr="0005162F" w:rsidRDefault="00A87DD8" w:rsidP="00A87DD8">
                  <w:pPr>
                    <w:spacing w:line="240" w:lineRule="auto"/>
                    <w:jc w:val="center"/>
                    <w:rPr>
                      <w:rFonts w:ascii="Times New Roman" w:hAnsi="Times New Roman"/>
                      <w:sz w:val="24"/>
                      <w:szCs w:val="24"/>
                      <w:highlight w:val="yellow"/>
                      <w:lang w:eastAsia="lv-LV"/>
                    </w:rPr>
                  </w:pPr>
                  <w:r w:rsidRPr="008D3D53">
                    <w:rPr>
                      <w:rFonts w:ascii="Times New Roman" w:hAnsi="Times New Roman"/>
                      <w:sz w:val="24"/>
                      <w:szCs w:val="24"/>
                      <w:lang w:eastAsia="lv-LV"/>
                    </w:rPr>
                    <w:t>0</w:t>
                  </w:r>
                </w:p>
              </w:tc>
              <w:tc>
                <w:tcPr>
                  <w:tcW w:w="940" w:type="dxa"/>
                </w:tcPr>
                <w:p w14:paraId="5A13D46A" w14:textId="15926558" w:rsidR="00A87DD8" w:rsidRPr="0005162F" w:rsidRDefault="00A87DD8" w:rsidP="00A87DD8">
                  <w:pPr>
                    <w:spacing w:line="240" w:lineRule="auto"/>
                    <w:jc w:val="center"/>
                    <w:rPr>
                      <w:rFonts w:ascii="Times New Roman" w:hAnsi="Times New Roman"/>
                      <w:sz w:val="24"/>
                      <w:szCs w:val="24"/>
                      <w:highlight w:val="yellow"/>
                      <w:lang w:eastAsia="lv-LV"/>
                    </w:rPr>
                  </w:pPr>
                  <w:r>
                    <w:rPr>
                      <w:rFonts w:ascii="Times New Roman" w:hAnsi="Times New Roman"/>
                      <w:sz w:val="24"/>
                      <w:szCs w:val="24"/>
                    </w:rPr>
                    <w:t>11965</w:t>
                  </w:r>
                </w:p>
              </w:tc>
              <w:tc>
                <w:tcPr>
                  <w:tcW w:w="940" w:type="dxa"/>
                </w:tcPr>
                <w:p w14:paraId="45C8BEEC" w14:textId="65D69698" w:rsidR="00A87DD8" w:rsidRPr="0005162F" w:rsidRDefault="00A87DD8" w:rsidP="00A87DD8">
                  <w:pPr>
                    <w:spacing w:line="240" w:lineRule="auto"/>
                    <w:jc w:val="center"/>
                    <w:rPr>
                      <w:rFonts w:ascii="Times New Roman" w:hAnsi="Times New Roman"/>
                      <w:sz w:val="24"/>
                      <w:szCs w:val="24"/>
                      <w:highlight w:val="yellow"/>
                      <w:lang w:eastAsia="lv-LV"/>
                    </w:rPr>
                  </w:pPr>
                </w:p>
              </w:tc>
              <w:tc>
                <w:tcPr>
                  <w:tcW w:w="941" w:type="dxa"/>
                </w:tcPr>
                <w:p w14:paraId="41514A76" w14:textId="745C305D" w:rsidR="00A87DD8" w:rsidRPr="0005162F" w:rsidRDefault="00A87DD8" w:rsidP="00A87DD8">
                  <w:pPr>
                    <w:spacing w:line="240" w:lineRule="auto"/>
                    <w:jc w:val="center"/>
                    <w:rPr>
                      <w:rFonts w:ascii="Times New Roman" w:hAnsi="Times New Roman"/>
                      <w:sz w:val="24"/>
                      <w:szCs w:val="24"/>
                      <w:highlight w:val="yellow"/>
                      <w:lang w:eastAsia="lv-LV"/>
                    </w:rPr>
                  </w:pPr>
                </w:p>
              </w:tc>
            </w:tr>
            <w:tr w:rsidR="00A87DD8" w14:paraId="5EF8783A" w14:textId="77777777" w:rsidTr="0068307F">
              <w:tc>
                <w:tcPr>
                  <w:tcW w:w="3673" w:type="dxa"/>
                </w:tcPr>
                <w:p w14:paraId="000F917D" w14:textId="2C469977" w:rsidR="00A87DD8" w:rsidRPr="008D3D53" w:rsidRDefault="00A87DD8" w:rsidP="00A87DD8">
                  <w:pPr>
                    <w:spacing w:line="240" w:lineRule="auto"/>
                    <w:rPr>
                      <w:rFonts w:ascii="Times New Roman" w:hAnsi="Times New Roman"/>
                      <w:b/>
                      <w:sz w:val="24"/>
                      <w:szCs w:val="24"/>
                      <w:lang w:eastAsia="lv-LV"/>
                    </w:rPr>
                  </w:pPr>
                  <w:r w:rsidRPr="00F461BC">
                    <w:rPr>
                      <w:rFonts w:ascii="Times New Roman" w:hAnsi="Times New Roman"/>
                      <w:b/>
                      <w:sz w:val="24"/>
                      <w:szCs w:val="24"/>
                      <w:lang w:eastAsia="lv-LV"/>
                    </w:rPr>
                    <w:t>kopā</w:t>
                  </w:r>
                </w:p>
              </w:tc>
              <w:tc>
                <w:tcPr>
                  <w:tcW w:w="940" w:type="dxa"/>
                  <w:shd w:val="clear" w:color="auto" w:fill="auto"/>
                </w:tcPr>
                <w:p w14:paraId="704D2A58" w14:textId="2B7A426C" w:rsidR="00A87DD8" w:rsidRPr="008D3D53" w:rsidRDefault="00A87DD8" w:rsidP="00A87DD8">
                  <w:pPr>
                    <w:spacing w:line="240" w:lineRule="auto"/>
                    <w:jc w:val="center"/>
                    <w:rPr>
                      <w:rFonts w:ascii="Times New Roman" w:hAnsi="Times New Roman"/>
                      <w:sz w:val="24"/>
                      <w:szCs w:val="24"/>
                      <w:lang w:eastAsia="lv-LV"/>
                    </w:rPr>
                  </w:pPr>
                  <w:r>
                    <w:rPr>
                      <w:rFonts w:ascii="Times New Roman" w:hAnsi="Times New Roman"/>
                      <w:b/>
                      <w:sz w:val="24"/>
                      <w:szCs w:val="24"/>
                      <w:lang w:eastAsia="lv-LV"/>
                    </w:rPr>
                    <w:t>0</w:t>
                  </w:r>
                </w:p>
              </w:tc>
              <w:tc>
                <w:tcPr>
                  <w:tcW w:w="940" w:type="dxa"/>
                  <w:shd w:val="clear" w:color="auto" w:fill="auto"/>
                </w:tcPr>
                <w:p w14:paraId="5B5E6C2D" w14:textId="0C52FB0F" w:rsidR="00A87DD8" w:rsidRPr="008D3D53" w:rsidRDefault="00A87DD8" w:rsidP="00A87DD8">
                  <w:pPr>
                    <w:spacing w:line="240" w:lineRule="auto"/>
                    <w:jc w:val="center"/>
                    <w:rPr>
                      <w:rFonts w:ascii="Times New Roman" w:hAnsi="Times New Roman"/>
                      <w:sz w:val="24"/>
                      <w:szCs w:val="24"/>
                      <w:lang w:eastAsia="lv-LV"/>
                    </w:rPr>
                  </w:pPr>
                  <w:r>
                    <w:rPr>
                      <w:rFonts w:ascii="Times New Roman" w:hAnsi="Times New Roman"/>
                      <w:b/>
                      <w:sz w:val="24"/>
                      <w:szCs w:val="24"/>
                      <w:lang w:eastAsia="lv-LV"/>
                    </w:rPr>
                    <w:t>80482</w:t>
                  </w:r>
                </w:p>
              </w:tc>
              <w:tc>
                <w:tcPr>
                  <w:tcW w:w="940" w:type="dxa"/>
                  <w:shd w:val="clear" w:color="auto" w:fill="auto"/>
                </w:tcPr>
                <w:p w14:paraId="5068EBB7" w14:textId="66762F69" w:rsidR="00A87DD8" w:rsidRPr="008D3D53" w:rsidRDefault="00A87DD8" w:rsidP="00A87DD8">
                  <w:pPr>
                    <w:spacing w:line="240" w:lineRule="auto"/>
                    <w:jc w:val="center"/>
                    <w:rPr>
                      <w:rFonts w:ascii="Times New Roman" w:hAnsi="Times New Roman"/>
                      <w:sz w:val="24"/>
                      <w:szCs w:val="24"/>
                      <w:lang w:eastAsia="lv-LV"/>
                    </w:rPr>
                  </w:pPr>
                  <w:r>
                    <w:rPr>
                      <w:rFonts w:ascii="Times New Roman" w:hAnsi="Times New Roman"/>
                      <w:b/>
                      <w:sz w:val="24"/>
                      <w:szCs w:val="24"/>
                      <w:lang w:eastAsia="lv-LV"/>
                    </w:rPr>
                    <w:t>0</w:t>
                  </w:r>
                </w:p>
              </w:tc>
              <w:tc>
                <w:tcPr>
                  <w:tcW w:w="941" w:type="dxa"/>
                  <w:shd w:val="clear" w:color="auto" w:fill="auto"/>
                </w:tcPr>
                <w:p w14:paraId="64279E80" w14:textId="5F05BB7D" w:rsidR="00A87DD8" w:rsidRPr="008D3D53" w:rsidRDefault="00A87DD8" w:rsidP="00A87DD8">
                  <w:pPr>
                    <w:spacing w:line="240" w:lineRule="auto"/>
                    <w:jc w:val="center"/>
                    <w:rPr>
                      <w:rFonts w:ascii="Times New Roman" w:hAnsi="Times New Roman"/>
                      <w:sz w:val="24"/>
                      <w:szCs w:val="24"/>
                      <w:lang w:eastAsia="lv-LV"/>
                    </w:rPr>
                  </w:pPr>
                  <w:r>
                    <w:rPr>
                      <w:rFonts w:ascii="Times New Roman" w:hAnsi="Times New Roman"/>
                      <w:b/>
                      <w:sz w:val="24"/>
                      <w:szCs w:val="24"/>
                      <w:lang w:eastAsia="lv-LV"/>
                    </w:rPr>
                    <w:t>04</w:t>
                  </w:r>
                </w:p>
              </w:tc>
            </w:tr>
          </w:tbl>
          <w:p w14:paraId="50118379" w14:textId="77777777" w:rsidR="00454A36" w:rsidRDefault="00454A36" w:rsidP="00454A36">
            <w:pPr>
              <w:spacing w:after="0" w:line="240" w:lineRule="auto"/>
              <w:jc w:val="both"/>
              <w:rPr>
                <w:rFonts w:ascii="Times New Roman" w:hAnsi="Times New Roman"/>
                <w:sz w:val="24"/>
                <w:szCs w:val="24"/>
                <w:lang w:eastAsia="lv-LV"/>
              </w:rPr>
            </w:pPr>
          </w:p>
          <w:p w14:paraId="7C7B3C07" w14:textId="77777777" w:rsidR="00F37807" w:rsidRPr="00781628" w:rsidRDefault="00454A36" w:rsidP="00F37807">
            <w:pPr>
              <w:spacing w:after="0" w:line="240" w:lineRule="auto"/>
              <w:jc w:val="both"/>
              <w:rPr>
                <w:rFonts w:ascii="Times New Roman" w:hAnsi="Times New Roman"/>
                <w:b/>
                <w:sz w:val="24"/>
                <w:szCs w:val="24"/>
                <w:lang w:eastAsia="lv-LV"/>
              </w:rPr>
            </w:pPr>
            <w:r w:rsidRPr="002F294B">
              <w:rPr>
                <w:rFonts w:ascii="Times New Roman" w:hAnsi="Times New Roman"/>
                <w:sz w:val="24"/>
                <w:szCs w:val="24"/>
                <w:lang w:eastAsia="lv-LV"/>
              </w:rPr>
              <w:t xml:space="preserve"> 1.</w:t>
            </w:r>
            <w:r w:rsidRPr="009E4814">
              <w:rPr>
                <w:rFonts w:ascii="Times New Roman" w:hAnsi="Times New Roman"/>
                <w:sz w:val="24"/>
                <w:szCs w:val="24"/>
                <w:lang w:eastAsia="lv-LV"/>
              </w:rPr>
              <w:t xml:space="preserve"> </w:t>
            </w:r>
            <w:r w:rsidR="00F37807" w:rsidRPr="00781628">
              <w:rPr>
                <w:rFonts w:ascii="Times New Roman" w:hAnsi="Times New Roman"/>
                <w:b/>
                <w:sz w:val="24"/>
                <w:szCs w:val="24"/>
                <w:lang w:eastAsia="lv-LV"/>
              </w:rPr>
              <w:t xml:space="preserve">2017.gadā ir nepieciešami līdzekļi, lai varētu izveidot efektīvu sistēmu automātiskai datu apmaiņai tiešsaistes režīmā starp Tiesu informācijas sistēmu un Sodu reģistru, tādējādi mazinot tiesas un </w:t>
            </w:r>
            <w:proofErr w:type="spellStart"/>
            <w:r w:rsidR="00F37807" w:rsidRPr="00781628">
              <w:rPr>
                <w:rFonts w:ascii="Times New Roman" w:hAnsi="Times New Roman"/>
                <w:b/>
                <w:sz w:val="24"/>
                <w:szCs w:val="24"/>
                <w:lang w:eastAsia="lv-LV"/>
              </w:rPr>
              <w:t>Iekšlietu</w:t>
            </w:r>
            <w:proofErr w:type="spellEnd"/>
            <w:r w:rsidR="00F37807" w:rsidRPr="00781628">
              <w:rPr>
                <w:rFonts w:ascii="Times New Roman" w:hAnsi="Times New Roman"/>
                <w:b/>
                <w:sz w:val="24"/>
                <w:szCs w:val="24"/>
                <w:lang w:eastAsia="lv-LV"/>
              </w:rPr>
              <w:t xml:space="preserve"> ministrijas Informācijas centra administratīvo noslodzi un minimizējot iespējamos kļūdu riskus, kādi pastāv manuālas datu apmaiņas kārtībā.</w:t>
            </w:r>
          </w:p>
          <w:p w14:paraId="1EBAC292" w14:textId="77777777" w:rsidR="00F37807" w:rsidRDefault="00F37807" w:rsidP="00454A36">
            <w:pPr>
              <w:spacing w:after="0" w:line="240" w:lineRule="auto"/>
              <w:jc w:val="both"/>
              <w:rPr>
                <w:rFonts w:ascii="Times New Roman" w:hAnsi="Times New Roman"/>
                <w:sz w:val="24"/>
                <w:szCs w:val="24"/>
                <w:u w:val="single"/>
              </w:rPr>
            </w:pPr>
          </w:p>
          <w:p w14:paraId="51D22604" w14:textId="58A72E12" w:rsidR="00454A36" w:rsidRPr="0068307F" w:rsidRDefault="00454A36" w:rsidP="0068307F">
            <w:pPr>
              <w:pStyle w:val="ListParagraph"/>
              <w:numPr>
                <w:ilvl w:val="1"/>
                <w:numId w:val="20"/>
              </w:numPr>
              <w:spacing w:after="0" w:line="240" w:lineRule="auto"/>
              <w:jc w:val="both"/>
              <w:rPr>
                <w:rFonts w:ascii="Times New Roman" w:hAnsi="Times New Roman"/>
                <w:sz w:val="24"/>
                <w:szCs w:val="24"/>
                <w:lang w:eastAsia="lv-LV"/>
              </w:rPr>
            </w:pPr>
            <w:r w:rsidRPr="0068307F">
              <w:rPr>
                <w:rFonts w:ascii="Times New Roman" w:hAnsi="Times New Roman"/>
                <w:sz w:val="24"/>
                <w:szCs w:val="24"/>
                <w:u w:val="single"/>
              </w:rPr>
              <w:t>Finansējums tiesu informācijas sistēmas papildinājumu izstrādāšanai savietojamības ar Sodu reģistru</w:t>
            </w:r>
            <w:r w:rsidRPr="0068307F">
              <w:rPr>
                <w:rFonts w:ascii="Times New Roman" w:hAnsi="Times New Roman"/>
                <w:sz w:val="24"/>
                <w:szCs w:val="24"/>
              </w:rPr>
              <w:t xml:space="preserve"> nodrošināšanai nepieciešams, lai pārņemtu modernizētās direktīvas prasības attiecībā uz </w:t>
            </w:r>
            <w:r w:rsidR="005C3F96" w:rsidRPr="0068307F">
              <w:rPr>
                <w:rFonts w:ascii="Times New Roman" w:hAnsi="Times New Roman"/>
                <w:sz w:val="24"/>
                <w:szCs w:val="24"/>
              </w:rPr>
              <w:t>brīdinājumu izsūtīšanas un saņemšanas</w:t>
            </w:r>
            <w:r w:rsidRPr="0068307F">
              <w:rPr>
                <w:rFonts w:ascii="Times New Roman" w:hAnsi="Times New Roman"/>
                <w:sz w:val="24"/>
                <w:szCs w:val="24"/>
              </w:rPr>
              <w:t xml:space="preserve"> nosacījumiem. </w:t>
            </w:r>
            <w:r w:rsidRPr="0068307F">
              <w:rPr>
                <w:rFonts w:ascii="Times New Roman" w:hAnsi="Times New Roman"/>
                <w:sz w:val="24"/>
                <w:szCs w:val="24"/>
                <w:lang w:eastAsia="lv-LV"/>
              </w:rPr>
              <w:t xml:space="preserve"> Lai būtu iespējams īstenot grozījumu direktīvas </w:t>
            </w:r>
            <w:r w:rsidR="0059400B" w:rsidRPr="0068307F">
              <w:rPr>
                <w:rFonts w:ascii="Times New Roman" w:hAnsi="Times New Roman"/>
                <w:sz w:val="24"/>
                <w:szCs w:val="24"/>
                <w:lang w:eastAsia="lv-LV"/>
              </w:rPr>
              <w:lastRenderedPageBreak/>
              <w:t xml:space="preserve">1.panta </w:t>
            </w:r>
            <w:r w:rsidRPr="0068307F">
              <w:rPr>
                <w:rFonts w:ascii="Times New Roman" w:hAnsi="Times New Roman"/>
                <w:sz w:val="24"/>
                <w:szCs w:val="24"/>
                <w:lang w:eastAsia="lv-LV"/>
              </w:rPr>
              <w:t>45.</w:t>
            </w:r>
            <w:r w:rsidR="0059400B" w:rsidRPr="0068307F">
              <w:rPr>
                <w:rFonts w:ascii="Times New Roman" w:hAnsi="Times New Roman"/>
                <w:sz w:val="24"/>
                <w:szCs w:val="24"/>
                <w:lang w:eastAsia="lv-LV"/>
              </w:rPr>
              <w:t>daļu</w:t>
            </w:r>
            <w:r w:rsidRPr="0068307F">
              <w:rPr>
                <w:rFonts w:ascii="Times New Roman" w:hAnsi="Times New Roman"/>
                <w:sz w:val="24"/>
                <w:szCs w:val="24"/>
                <w:lang w:eastAsia="lv-LV"/>
              </w:rPr>
              <w:t xml:space="preserve">, ar kuru tiek izveidots brīdinājuma mehānisms, ir nepieciešams izveidot sistēmu, kas trīs dienu laikā no Tiesu informācijas sistēmas nosūtīs automātiskus paziņojumus Sodu reģistra informācijas sistēmai par tiem profesionāļiem, kam ar tiesas lēmumu pilnībā vai daļēji ierobežots vai liegts veikt profesionālās darbības pavisam vai uz laiku veselības aprūpes jomā un izglītības darbiniekiem, kas saistīti ar nepilngadīgu personu izglītību, kā arī </w:t>
            </w:r>
            <w:proofErr w:type="spellStart"/>
            <w:r w:rsidRPr="0068307F">
              <w:rPr>
                <w:rFonts w:ascii="Times New Roman" w:hAnsi="Times New Roman"/>
                <w:sz w:val="24"/>
                <w:szCs w:val="24"/>
                <w:lang w:eastAsia="lv-LV"/>
              </w:rPr>
              <w:t>veterinārmediķiem</w:t>
            </w:r>
            <w:proofErr w:type="spellEnd"/>
            <w:r w:rsidRPr="0068307F">
              <w:rPr>
                <w:rFonts w:ascii="Times New Roman" w:hAnsi="Times New Roman"/>
                <w:sz w:val="24"/>
                <w:szCs w:val="24"/>
                <w:lang w:eastAsia="lv-LV"/>
              </w:rPr>
              <w:t xml:space="preserve">. Saskaņā ar Tieslietu ministrijas sniegto aprēķinu, šāda Tiesu informācijas sistēmas papildinājuma un abu sistēmu sasaistes izstrādāšanas kopējā darbietilpība ir 250 cilvēkdienas, kuras kopumā sastāda sešu atšķirīgu specialitāšu darbinieku (programmētājs, vadošais eksperts, sistēmu analītiķis, dokumentētājs, testētājs, projekta vadītājs) atšķirīga apjoma noslodzi, kas atspoguļota 2.tabulā un kuras izmaksas saskaņā ar šobrīd spēkā esošo uzturēšanas līgumu ir </w:t>
            </w:r>
            <w:r w:rsidRPr="0068307F">
              <w:rPr>
                <w:rFonts w:ascii="Times New Roman" w:hAnsi="Times New Roman"/>
                <w:sz w:val="24"/>
                <w:szCs w:val="24"/>
              </w:rPr>
              <w:t xml:space="preserve">68517 </w:t>
            </w:r>
            <w:proofErr w:type="spellStart"/>
            <w:r w:rsidRPr="0068307F">
              <w:rPr>
                <w:rFonts w:ascii="Times New Roman" w:hAnsi="Times New Roman"/>
                <w:i/>
                <w:sz w:val="24"/>
                <w:szCs w:val="24"/>
              </w:rPr>
              <w:t>euro</w:t>
            </w:r>
            <w:proofErr w:type="spellEnd"/>
            <w:r w:rsidRPr="0068307F">
              <w:rPr>
                <w:rFonts w:ascii="Times New Roman" w:hAnsi="Times New Roman"/>
                <w:sz w:val="24"/>
                <w:szCs w:val="24"/>
              </w:rPr>
              <w:t>, ieskaitot pievienotās vērtības nodokli</w:t>
            </w:r>
            <w:r w:rsidRPr="0068307F">
              <w:rPr>
                <w:rFonts w:ascii="Times New Roman" w:hAnsi="Times New Roman"/>
                <w:sz w:val="24"/>
                <w:szCs w:val="24"/>
                <w:lang w:eastAsia="lv-LV"/>
              </w:rPr>
              <w:t xml:space="preserve">.  </w:t>
            </w:r>
          </w:p>
          <w:p w14:paraId="0609421F" w14:textId="77777777" w:rsidR="00454A36" w:rsidRDefault="00454A36" w:rsidP="00454A36">
            <w:pPr>
              <w:spacing w:after="0" w:line="240" w:lineRule="auto"/>
              <w:jc w:val="both"/>
              <w:rPr>
                <w:rFonts w:ascii="Times New Roman" w:hAnsi="Times New Roman"/>
                <w:sz w:val="24"/>
                <w:szCs w:val="24"/>
                <w:lang w:eastAsia="lv-LV"/>
              </w:rPr>
            </w:pPr>
          </w:p>
          <w:p w14:paraId="2C3A4A7F" w14:textId="0038697C"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Tiesu informācijas sistēmas savienojuma izveidei ar </w:t>
            </w:r>
            <w:r w:rsidR="00927FC9">
              <w:rPr>
                <w:rFonts w:ascii="Times New Roman" w:hAnsi="Times New Roman"/>
                <w:sz w:val="24"/>
                <w:szCs w:val="24"/>
                <w:lang w:eastAsia="lv-LV"/>
              </w:rPr>
              <w:t>Sodu reģistru</w:t>
            </w:r>
            <w:r w:rsidR="00B755DC">
              <w:rPr>
                <w:rFonts w:ascii="Times New Roman" w:hAnsi="Times New Roman"/>
                <w:sz w:val="24"/>
                <w:szCs w:val="24"/>
                <w:lang w:eastAsia="lv-LV"/>
              </w:rPr>
              <w:t xml:space="preserve"> </w:t>
            </w:r>
            <w:r>
              <w:rPr>
                <w:rFonts w:ascii="Times New Roman" w:hAnsi="Times New Roman"/>
                <w:sz w:val="24"/>
                <w:szCs w:val="24"/>
                <w:lang w:eastAsia="lv-LV"/>
              </w:rPr>
              <w:t>veicamie uzdevumi:</w:t>
            </w:r>
          </w:p>
          <w:p w14:paraId="4D3CA87B" w14:textId="77777777" w:rsidR="00476AF8" w:rsidRDefault="00454A36" w:rsidP="00476AF8">
            <w:pPr>
              <w:pStyle w:val="ListParagraph"/>
              <w:numPr>
                <w:ilvl w:val="0"/>
                <w:numId w:val="16"/>
              </w:numPr>
              <w:spacing w:after="0" w:line="240" w:lineRule="auto"/>
              <w:rPr>
                <w:rFonts w:ascii="Times New Roman" w:hAnsi="Times New Roman"/>
                <w:sz w:val="24"/>
                <w:szCs w:val="24"/>
              </w:rPr>
            </w:pPr>
            <w:r w:rsidRPr="00265AB1">
              <w:rPr>
                <w:rFonts w:ascii="Times New Roman" w:hAnsi="Times New Roman"/>
                <w:sz w:val="24"/>
                <w:szCs w:val="24"/>
              </w:rPr>
              <w:t>Profesiju klasifikatora ieviešana Tiesu informācijas sistēmā un personas profesijas  ieviešana noteiktiem lietas dalībnieku veidiem (jauns datu ievades lauks ar iespēju ievadīt un nodot datus par vienu vai vairākām profesijām vienlaicīgi)</w:t>
            </w:r>
          </w:p>
          <w:p w14:paraId="104D5786" w14:textId="77777777" w:rsidR="00476AF8" w:rsidRDefault="00454A36" w:rsidP="00476AF8">
            <w:pPr>
              <w:pStyle w:val="ListParagraph"/>
              <w:numPr>
                <w:ilvl w:val="0"/>
                <w:numId w:val="16"/>
              </w:numPr>
              <w:spacing w:after="0" w:line="240" w:lineRule="auto"/>
              <w:rPr>
                <w:rFonts w:ascii="Times New Roman" w:hAnsi="Times New Roman"/>
                <w:sz w:val="24"/>
                <w:szCs w:val="24"/>
              </w:rPr>
            </w:pPr>
            <w:r w:rsidRPr="00265AB1">
              <w:rPr>
                <w:rFonts w:ascii="Times New Roman" w:hAnsi="Times New Roman"/>
                <w:sz w:val="24"/>
                <w:szCs w:val="24"/>
              </w:rPr>
              <w:t>Ierobežojuma vai aizlieguma joma /  Ierobežojuma laika posms.</w:t>
            </w:r>
          </w:p>
          <w:p w14:paraId="15F6B008" w14:textId="46DAF276" w:rsidR="00476AF8" w:rsidRDefault="00454A36" w:rsidP="00476AF8">
            <w:pPr>
              <w:pStyle w:val="ListParagraph"/>
              <w:numPr>
                <w:ilvl w:val="0"/>
                <w:numId w:val="16"/>
              </w:numPr>
              <w:spacing w:after="0" w:line="240" w:lineRule="auto"/>
              <w:rPr>
                <w:rFonts w:ascii="Times New Roman" w:hAnsi="Times New Roman"/>
                <w:sz w:val="24"/>
                <w:szCs w:val="24"/>
              </w:rPr>
            </w:pPr>
            <w:r w:rsidRPr="00265AB1">
              <w:rPr>
                <w:rFonts w:ascii="Times New Roman" w:hAnsi="Times New Roman"/>
                <w:sz w:val="24"/>
                <w:szCs w:val="24"/>
              </w:rPr>
              <w:t xml:space="preserve">Tīmekļa </w:t>
            </w:r>
            <w:proofErr w:type="spellStart"/>
            <w:r w:rsidRPr="00265AB1">
              <w:rPr>
                <w:rFonts w:ascii="Times New Roman" w:hAnsi="Times New Roman"/>
                <w:sz w:val="24"/>
                <w:szCs w:val="24"/>
              </w:rPr>
              <w:t>pakalpes</w:t>
            </w:r>
            <w:proofErr w:type="spellEnd"/>
            <w:r w:rsidRPr="00265AB1">
              <w:rPr>
                <w:rFonts w:ascii="Times New Roman" w:hAnsi="Times New Roman"/>
                <w:sz w:val="24"/>
                <w:szCs w:val="24"/>
              </w:rPr>
              <w:t xml:space="preserve"> izstrāde datu nodošanai </w:t>
            </w:r>
            <w:r w:rsidR="00927FC9">
              <w:rPr>
                <w:rFonts w:ascii="Times New Roman" w:hAnsi="Times New Roman"/>
                <w:sz w:val="24"/>
                <w:szCs w:val="24"/>
                <w:lang w:val="lv-LV"/>
              </w:rPr>
              <w:t>Sodu reģistram</w:t>
            </w:r>
            <w:r w:rsidRPr="00265AB1">
              <w:rPr>
                <w:rFonts w:ascii="Times New Roman" w:hAnsi="Times New Roman"/>
                <w:sz w:val="24"/>
                <w:szCs w:val="24"/>
              </w:rPr>
              <w:t xml:space="preserve">. </w:t>
            </w:r>
            <w:r w:rsidRPr="00476AF8">
              <w:rPr>
                <w:rFonts w:ascii="Times New Roman" w:hAnsi="Times New Roman"/>
                <w:sz w:val="24"/>
                <w:szCs w:val="24"/>
              </w:rPr>
              <w:t xml:space="preserve">TIS pusē tiks izstrādāts konkrētās tīmekļa </w:t>
            </w:r>
            <w:proofErr w:type="spellStart"/>
            <w:r w:rsidRPr="00476AF8">
              <w:rPr>
                <w:rFonts w:ascii="Times New Roman" w:hAnsi="Times New Roman"/>
                <w:sz w:val="24"/>
                <w:szCs w:val="24"/>
              </w:rPr>
              <w:t>pakalpes</w:t>
            </w:r>
            <w:proofErr w:type="spellEnd"/>
            <w:r w:rsidRPr="00476AF8">
              <w:rPr>
                <w:rFonts w:ascii="Times New Roman" w:hAnsi="Times New Roman"/>
                <w:sz w:val="24"/>
                <w:szCs w:val="24"/>
              </w:rPr>
              <w:t xml:space="preserve"> klients, lai sagatavotu datus nodošanai atbilstoši </w:t>
            </w:r>
            <w:r w:rsidR="00927FC9">
              <w:rPr>
                <w:rFonts w:ascii="Times New Roman" w:hAnsi="Times New Roman"/>
                <w:sz w:val="24"/>
                <w:szCs w:val="24"/>
              </w:rPr>
              <w:t>Sodu reģistra</w:t>
            </w:r>
            <w:r w:rsidRPr="00476AF8">
              <w:rPr>
                <w:rFonts w:ascii="Times New Roman" w:hAnsi="Times New Roman"/>
                <w:sz w:val="24"/>
                <w:szCs w:val="24"/>
                <w:lang w:val="lv-LV"/>
              </w:rPr>
              <w:t xml:space="preserve"> </w:t>
            </w:r>
            <w:r w:rsidRPr="00476AF8">
              <w:rPr>
                <w:rFonts w:ascii="Times New Roman" w:hAnsi="Times New Roman"/>
                <w:sz w:val="24"/>
                <w:szCs w:val="24"/>
              </w:rPr>
              <w:t>datu struktūrai.</w:t>
            </w:r>
          </w:p>
          <w:p w14:paraId="5348BC8F" w14:textId="356FC212" w:rsidR="00454A36" w:rsidRPr="0068307F" w:rsidRDefault="00454A36" w:rsidP="00476AF8">
            <w:pPr>
              <w:pStyle w:val="ListParagraph"/>
              <w:numPr>
                <w:ilvl w:val="0"/>
                <w:numId w:val="16"/>
              </w:numPr>
              <w:spacing w:after="0" w:line="240" w:lineRule="auto"/>
              <w:rPr>
                <w:rFonts w:ascii="Times New Roman" w:hAnsi="Times New Roman"/>
                <w:sz w:val="24"/>
                <w:szCs w:val="24"/>
              </w:rPr>
            </w:pPr>
            <w:r w:rsidRPr="00476AF8">
              <w:rPr>
                <w:rFonts w:ascii="Times New Roman" w:hAnsi="Times New Roman"/>
                <w:sz w:val="24"/>
                <w:szCs w:val="24"/>
              </w:rPr>
              <w:t>Nosūtīt</w:t>
            </w:r>
            <w:r w:rsidRPr="0068307F">
              <w:rPr>
                <w:rFonts w:ascii="Times New Roman" w:hAnsi="Times New Roman"/>
                <w:sz w:val="24"/>
                <w:szCs w:val="24"/>
              </w:rPr>
              <w:t>/nodot elektroniski nolēmumu datnes.</w:t>
            </w:r>
          </w:p>
          <w:p w14:paraId="28768C4C" w14:textId="77777777" w:rsidR="00454A36" w:rsidRDefault="00454A36" w:rsidP="00454A36">
            <w:pPr>
              <w:pStyle w:val="ListParagraph"/>
              <w:spacing w:after="0" w:line="240" w:lineRule="auto"/>
              <w:rPr>
                <w:rFonts w:ascii="Times New Roman" w:hAnsi="Times New Roman"/>
                <w:sz w:val="24"/>
                <w:szCs w:val="24"/>
              </w:rPr>
            </w:pPr>
          </w:p>
          <w:p w14:paraId="66F10AFC" w14:textId="5001B272" w:rsidR="00454A36" w:rsidRPr="00A62359" w:rsidRDefault="00454A36" w:rsidP="00454A36">
            <w:pPr>
              <w:pStyle w:val="ListParagraph"/>
              <w:spacing w:after="240"/>
              <w:jc w:val="center"/>
              <w:rPr>
                <w:rFonts w:ascii="Times New Roman" w:hAnsi="Times New Roman"/>
                <w:sz w:val="24"/>
                <w:szCs w:val="24"/>
              </w:rPr>
            </w:pPr>
            <w:r>
              <w:rPr>
                <w:rFonts w:ascii="Times New Roman" w:hAnsi="Times New Roman"/>
                <w:sz w:val="24"/>
                <w:szCs w:val="24"/>
                <w:lang w:val="lv-LV"/>
              </w:rPr>
              <w:t xml:space="preserve">2.tabula. </w:t>
            </w:r>
            <w:r w:rsidRPr="004226E8">
              <w:rPr>
                <w:rFonts w:ascii="Times New Roman" w:hAnsi="Times New Roman"/>
                <w:b/>
                <w:sz w:val="24"/>
                <w:szCs w:val="24"/>
                <w:lang w:eastAsia="lv-LV"/>
              </w:rPr>
              <w:t xml:space="preserve">Tiesu informācijas sistēmas savienojuma izveides ar </w:t>
            </w:r>
            <w:r w:rsidR="0065771A">
              <w:rPr>
                <w:rFonts w:ascii="Times New Roman" w:hAnsi="Times New Roman"/>
                <w:b/>
                <w:sz w:val="24"/>
                <w:szCs w:val="24"/>
                <w:lang w:eastAsia="lv-LV"/>
              </w:rPr>
              <w:t>Sodu re</w:t>
            </w:r>
            <w:r w:rsidR="0065771A">
              <w:rPr>
                <w:rFonts w:ascii="Times New Roman" w:hAnsi="Times New Roman"/>
                <w:b/>
                <w:sz w:val="24"/>
                <w:szCs w:val="24"/>
                <w:lang w:val="lv-LV" w:eastAsia="lv-LV"/>
              </w:rPr>
              <w:t>ģistru</w:t>
            </w:r>
            <w:r w:rsidRPr="004226E8">
              <w:rPr>
                <w:rFonts w:ascii="Times New Roman" w:hAnsi="Times New Roman"/>
                <w:b/>
                <w:sz w:val="24"/>
                <w:szCs w:val="24"/>
                <w:lang w:val="lv-LV" w:eastAsia="lv-LV"/>
              </w:rPr>
              <w:t xml:space="preserve"> </w:t>
            </w:r>
            <w:r w:rsidRPr="004226E8">
              <w:rPr>
                <w:rFonts w:ascii="Times New Roman" w:hAnsi="Times New Roman"/>
                <w:b/>
                <w:sz w:val="24"/>
                <w:szCs w:val="24"/>
                <w:lang w:eastAsia="lv-LV"/>
              </w:rPr>
              <w:t>izdevumi</w:t>
            </w:r>
          </w:p>
          <w:tbl>
            <w:tblPr>
              <w:tblStyle w:val="TableGrid"/>
              <w:tblW w:w="0" w:type="auto"/>
              <w:tblInd w:w="720" w:type="dxa"/>
              <w:tblLayout w:type="fixed"/>
              <w:tblLook w:val="04A0" w:firstRow="1" w:lastRow="0" w:firstColumn="1" w:lastColumn="0" w:noHBand="0" w:noVBand="1"/>
            </w:tblPr>
            <w:tblGrid>
              <w:gridCol w:w="1455"/>
              <w:gridCol w:w="1122"/>
              <w:gridCol w:w="1083"/>
              <w:gridCol w:w="886"/>
              <w:gridCol w:w="1004"/>
              <w:gridCol w:w="1083"/>
            </w:tblGrid>
            <w:tr w:rsidR="00454A36" w:rsidRPr="0025401A" w14:paraId="404062AE" w14:textId="77777777" w:rsidTr="0068307F">
              <w:tc>
                <w:tcPr>
                  <w:tcW w:w="1455" w:type="dxa"/>
                </w:tcPr>
                <w:p w14:paraId="483F5B69" w14:textId="77777777" w:rsidR="00454A36" w:rsidRPr="0068307F" w:rsidRDefault="00454A36" w:rsidP="00454A36">
                  <w:pPr>
                    <w:pStyle w:val="ListParagraph"/>
                    <w:spacing w:after="0" w:line="240" w:lineRule="auto"/>
                    <w:ind w:left="0"/>
                    <w:rPr>
                      <w:rFonts w:ascii="Times New Roman" w:hAnsi="Times New Roman" w:cs="Times New Roman"/>
                      <w:sz w:val="22"/>
                      <w:szCs w:val="22"/>
                      <w:lang w:val="lv-LV"/>
                    </w:rPr>
                  </w:pPr>
                  <w:r w:rsidRPr="0068307F">
                    <w:rPr>
                      <w:rFonts w:ascii="Times New Roman" w:hAnsi="Times New Roman"/>
                      <w:sz w:val="22"/>
                      <w:szCs w:val="22"/>
                      <w:lang w:val="lv-LV"/>
                    </w:rPr>
                    <w:t>Speciālists</w:t>
                  </w:r>
                </w:p>
              </w:tc>
              <w:tc>
                <w:tcPr>
                  <w:tcW w:w="1122" w:type="dxa"/>
                </w:tcPr>
                <w:p w14:paraId="41A29A45" w14:textId="77777777" w:rsidR="00454A36" w:rsidRPr="0068307F" w:rsidRDefault="00454A36" w:rsidP="00454A36">
                  <w:pPr>
                    <w:pStyle w:val="ListParagraph"/>
                    <w:spacing w:after="0" w:line="240" w:lineRule="auto"/>
                    <w:ind w:left="0"/>
                    <w:rPr>
                      <w:rFonts w:ascii="Times New Roman" w:hAnsi="Times New Roman" w:cs="Times New Roman"/>
                      <w:sz w:val="22"/>
                      <w:szCs w:val="22"/>
                      <w:lang w:val="lv-LV"/>
                    </w:rPr>
                  </w:pPr>
                  <w:r w:rsidRPr="0068307F">
                    <w:rPr>
                      <w:rFonts w:ascii="Times New Roman" w:hAnsi="Times New Roman"/>
                      <w:sz w:val="22"/>
                      <w:szCs w:val="22"/>
                      <w:lang w:val="lv-LV"/>
                    </w:rPr>
                    <w:t>Cilvēk-dienu skaits</w:t>
                  </w:r>
                </w:p>
              </w:tc>
              <w:tc>
                <w:tcPr>
                  <w:tcW w:w="1083" w:type="dxa"/>
                </w:tcPr>
                <w:p w14:paraId="16051BB7" w14:textId="77777777" w:rsidR="00454A36" w:rsidRPr="0068307F" w:rsidRDefault="00454A36" w:rsidP="00454A36">
                  <w:pPr>
                    <w:pStyle w:val="ListParagraph"/>
                    <w:spacing w:after="0" w:line="240" w:lineRule="auto"/>
                    <w:ind w:left="0"/>
                    <w:rPr>
                      <w:rFonts w:ascii="Times New Roman" w:hAnsi="Times New Roman" w:cs="Times New Roman"/>
                      <w:sz w:val="22"/>
                      <w:szCs w:val="22"/>
                      <w:lang w:val="lv-LV"/>
                    </w:rPr>
                  </w:pPr>
                  <w:r w:rsidRPr="0068307F">
                    <w:rPr>
                      <w:rFonts w:ascii="Times New Roman" w:hAnsi="Times New Roman"/>
                      <w:sz w:val="22"/>
                      <w:szCs w:val="22"/>
                      <w:lang w:val="lv-LV"/>
                    </w:rPr>
                    <w:t>1 cilvēk-dienas pakal-</w:t>
                  </w:r>
                  <w:proofErr w:type="spellStart"/>
                  <w:r w:rsidRPr="0068307F">
                    <w:rPr>
                      <w:rFonts w:ascii="Times New Roman" w:hAnsi="Times New Roman"/>
                      <w:sz w:val="22"/>
                      <w:szCs w:val="22"/>
                      <w:lang w:val="lv-LV"/>
                    </w:rPr>
                    <w:t>pojuma</w:t>
                  </w:r>
                  <w:proofErr w:type="spellEnd"/>
                  <w:r w:rsidRPr="0068307F">
                    <w:rPr>
                      <w:rFonts w:ascii="Times New Roman" w:hAnsi="Times New Roman"/>
                      <w:sz w:val="22"/>
                      <w:szCs w:val="22"/>
                      <w:lang w:val="lv-LV"/>
                    </w:rPr>
                    <w:t xml:space="preserve"> izmaksas (</w:t>
                  </w:r>
                  <w:proofErr w:type="spellStart"/>
                  <w:r w:rsidRPr="0068307F">
                    <w:rPr>
                      <w:rFonts w:ascii="Times New Roman" w:hAnsi="Times New Roman"/>
                      <w:i/>
                      <w:sz w:val="22"/>
                      <w:szCs w:val="22"/>
                      <w:lang w:val="lv-LV"/>
                    </w:rPr>
                    <w:t>euro</w:t>
                  </w:r>
                  <w:proofErr w:type="spellEnd"/>
                  <w:r w:rsidRPr="0068307F">
                    <w:rPr>
                      <w:rFonts w:ascii="Times New Roman" w:hAnsi="Times New Roman"/>
                      <w:sz w:val="22"/>
                      <w:szCs w:val="22"/>
                      <w:lang w:val="lv-LV"/>
                    </w:rPr>
                    <w:t>)</w:t>
                  </w:r>
                </w:p>
              </w:tc>
              <w:tc>
                <w:tcPr>
                  <w:tcW w:w="886" w:type="dxa"/>
                </w:tcPr>
                <w:p w14:paraId="5D04FC5E" w14:textId="77777777" w:rsidR="00454A36" w:rsidRPr="0068307F" w:rsidRDefault="00454A36" w:rsidP="00454A36">
                  <w:pPr>
                    <w:pStyle w:val="ListParagraph"/>
                    <w:spacing w:after="0" w:line="240" w:lineRule="auto"/>
                    <w:ind w:left="0"/>
                    <w:rPr>
                      <w:rFonts w:ascii="Times New Roman" w:hAnsi="Times New Roman" w:cs="Times New Roman"/>
                      <w:sz w:val="22"/>
                      <w:szCs w:val="22"/>
                      <w:lang w:val="lv-LV"/>
                    </w:rPr>
                  </w:pPr>
                  <w:r w:rsidRPr="0068307F">
                    <w:rPr>
                      <w:rFonts w:ascii="Times New Roman" w:hAnsi="Times New Roman"/>
                      <w:sz w:val="22"/>
                      <w:szCs w:val="22"/>
                      <w:lang w:val="lv-LV"/>
                    </w:rPr>
                    <w:t>Kopējās izmaksas bez PVN 0%</w:t>
                  </w:r>
                  <w:r w:rsidRPr="0068307F">
                    <w:rPr>
                      <w:rFonts w:ascii="Times New Roman" w:hAnsi="Times New Roman"/>
                      <w:i/>
                      <w:sz w:val="22"/>
                      <w:szCs w:val="22"/>
                      <w:lang w:val="lv-LV"/>
                    </w:rPr>
                    <w:t xml:space="preserve"> (</w:t>
                  </w:r>
                  <w:proofErr w:type="spellStart"/>
                  <w:r w:rsidRPr="0068307F">
                    <w:rPr>
                      <w:rFonts w:ascii="Times New Roman" w:hAnsi="Times New Roman"/>
                      <w:i/>
                      <w:sz w:val="22"/>
                      <w:szCs w:val="22"/>
                      <w:lang w:val="lv-LV"/>
                    </w:rPr>
                    <w:t>euro</w:t>
                  </w:r>
                  <w:proofErr w:type="spellEnd"/>
                  <w:r w:rsidRPr="0068307F">
                    <w:rPr>
                      <w:rFonts w:ascii="Times New Roman" w:hAnsi="Times New Roman"/>
                      <w:i/>
                      <w:sz w:val="22"/>
                      <w:szCs w:val="22"/>
                      <w:lang w:val="lv-LV"/>
                    </w:rPr>
                    <w:t>)</w:t>
                  </w:r>
                </w:p>
              </w:tc>
              <w:tc>
                <w:tcPr>
                  <w:tcW w:w="1004" w:type="dxa"/>
                </w:tcPr>
                <w:p w14:paraId="23528787" w14:textId="77777777" w:rsidR="00454A36" w:rsidRPr="0068307F" w:rsidRDefault="00454A36" w:rsidP="00454A36">
                  <w:pPr>
                    <w:pStyle w:val="ListParagraph"/>
                    <w:spacing w:after="0" w:line="240" w:lineRule="auto"/>
                    <w:ind w:left="0"/>
                    <w:rPr>
                      <w:rFonts w:ascii="Times New Roman" w:hAnsi="Times New Roman" w:cs="Times New Roman"/>
                      <w:sz w:val="22"/>
                      <w:szCs w:val="22"/>
                      <w:lang w:val="lv-LV"/>
                    </w:rPr>
                  </w:pPr>
                  <w:r w:rsidRPr="0068307F">
                    <w:rPr>
                      <w:rFonts w:ascii="Times New Roman" w:hAnsi="Times New Roman"/>
                      <w:sz w:val="22"/>
                      <w:szCs w:val="22"/>
                      <w:lang w:val="lv-LV"/>
                    </w:rPr>
                    <w:t>PVN 21%</w:t>
                  </w:r>
                </w:p>
              </w:tc>
              <w:tc>
                <w:tcPr>
                  <w:tcW w:w="1083" w:type="dxa"/>
                </w:tcPr>
                <w:p w14:paraId="302616AB" w14:textId="6FB9B92F" w:rsidR="00454A36" w:rsidRPr="0068307F" w:rsidRDefault="00591043" w:rsidP="00454A36">
                  <w:pPr>
                    <w:pStyle w:val="ListParagraph"/>
                    <w:spacing w:after="0" w:line="240" w:lineRule="auto"/>
                    <w:ind w:left="0"/>
                    <w:rPr>
                      <w:rFonts w:ascii="Times New Roman" w:hAnsi="Times New Roman" w:cs="Times New Roman"/>
                      <w:sz w:val="22"/>
                      <w:szCs w:val="22"/>
                      <w:lang w:val="lv-LV"/>
                    </w:rPr>
                  </w:pPr>
                  <w:r w:rsidRPr="0068307F">
                    <w:rPr>
                      <w:rFonts w:ascii="Times New Roman" w:hAnsi="Times New Roman"/>
                      <w:sz w:val="22"/>
                      <w:szCs w:val="22"/>
                    </w:rPr>
                    <w:t>Kopējās izmaksas ar PVN (</w:t>
                  </w:r>
                  <w:proofErr w:type="spellStart"/>
                  <w:r w:rsidRPr="0068307F">
                    <w:rPr>
                      <w:rFonts w:ascii="Times New Roman" w:hAnsi="Times New Roman"/>
                      <w:i/>
                      <w:sz w:val="22"/>
                      <w:szCs w:val="22"/>
                    </w:rPr>
                    <w:t>euro</w:t>
                  </w:r>
                  <w:proofErr w:type="spellEnd"/>
                  <w:r w:rsidRPr="0068307F">
                    <w:rPr>
                      <w:rFonts w:ascii="Times New Roman" w:hAnsi="Times New Roman"/>
                      <w:sz w:val="22"/>
                      <w:szCs w:val="22"/>
                    </w:rPr>
                    <w:t>)</w:t>
                  </w:r>
                </w:p>
              </w:tc>
            </w:tr>
            <w:tr w:rsidR="00454A36" w14:paraId="18770773" w14:textId="77777777" w:rsidTr="0068307F">
              <w:tc>
                <w:tcPr>
                  <w:tcW w:w="1455" w:type="dxa"/>
                </w:tcPr>
                <w:p w14:paraId="01168EC6" w14:textId="77777777" w:rsidR="00454A36" w:rsidRDefault="00454A36" w:rsidP="00454A36">
                  <w:pPr>
                    <w:pStyle w:val="ListParagraph"/>
                    <w:spacing w:after="240"/>
                    <w:ind w:left="0"/>
                    <w:rPr>
                      <w:rFonts w:ascii="Times New Roman" w:hAnsi="Times New Roman"/>
                      <w:sz w:val="24"/>
                      <w:szCs w:val="24"/>
                      <w:lang w:val="lv-LV"/>
                    </w:rPr>
                  </w:pPr>
                  <w:proofErr w:type="spellStart"/>
                  <w:r>
                    <w:rPr>
                      <w:rFonts w:ascii="Times New Roman" w:hAnsi="Times New Roman"/>
                      <w:sz w:val="24"/>
                      <w:szCs w:val="24"/>
                      <w:lang w:val="lv-LV"/>
                    </w:rPr>
                    <w:t>Program-mētājs</w:t>
                  </w:r>
                  <w:proofErr w:type="spellEnd"/>
                </w:p>
              </w:tc>
              <w:tc>
                <w:tcPr>
                  <w:tcW w:w="1122" w:type="dxa"/>
                </w:tcPr>
                <w:p w14:paraId="596FE213"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120</w:t>
                  </w:r>
                </w:p>
              </w:tc>
              <w:tc>
                <w:tcPr>
                  <w:tcW w:w="1083" w:type="dxa"/>
                </w:tcPr>
                <w:p w14:paraId="3440C9D2"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230</w:t>
                  </w:r>
                </w:p>
              </w:tc>
              <w:tc>
                <w:tcPr>
                  <w:tcW w:w="886" w:type="dxa"/>
                </w:tcPr>
                <w:p w14:paraId="348B5734"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27600</w:t>
                  </w:r>
                </w:p>
              </w:tc>
              <w:tc>
                <w:tcPr>
                  <w:tcW w:w="1004" w:type="dxa"/>
                </w:tcPr>
                <w:p w14:paraId="609D3E87"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5796</w:t>
                  </w:r>
                </w:p>
              </w:tc>
              <w:tc>
                <w:tcPr>
                  <w:tcW w:w="1083" w:type="dxa"/>
                </w:tcPr>
                <w:p w14:paraId="0B74BCAE"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33396</w:t>
                  </w:r>
                </w:p>
              </w:tc>
            </w:tr>
            <w:tr w:rsidR="00454A36" w14:paraId="2749B374" w14:textId="77777777" w:rsidTr="0068307F">
              <w:tc>
                <w:tcPr>
                  <w:tcW w:w="1455" w:type="dxa"/>
                </w:tcPr>
                <w:p w14:paraId="29658F03"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Vadošais eksperts</w:t>
                  </w:r>
                </w:p>
              </w:tc>
              <w:tc>
                <w:tcPr>
                  <w:tcW w:w="1122" w:type="dxa"/>
                </w:tcPr>
                <w:p w14:paraId="382C1D76"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25</w:t>
                  </w:r>
                </w:p>
              </w:tc>
              <w:tc>
                <w:tcPr>
                  <w:tcW w:w="1083" w:type="dxa"/>
                </w:tcPr>
                <w:p w14:paraId="0F731AA0"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255</w:t>
                  </w:r>
                </w:p>
              </w:tc>
              <w:tc>
                <w:tcPr>
                  <w:tcW w:w="886" w:type="dxa"/>
                </w:tcPr>
                <w:p w14:paraId="4DD12F09"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6375</w:t>
                  </w:r>
                </w:p>
              </w:tc>
              <w:tc>
                <w:tcPr>
                  <w:tcW w:w="1004" w:type="dxa"/>
                </w:tcPr>
                <w:p w14:paraId="6D064DF9"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1339</w:t>
                  </w:r>
                </w:p>
              </w:tc>
              <w:tc>
                <w:tcPr>
                  <w:tcW w:w="1083" w:type="dxa"/>
                </w:tcPr>
                <w:p w14:paraId="25EA4444"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7714</w:t>
                  </w:r>
                </w:p>
              </w:tc>
            </w:tr>
            <w:tr w:rsidR="00454A36" w14:paraId="7839BB30" w14:textId="77777777" w:rsidTr="0068307F">
              <w:tc>
                <w:tcPr>
                  <w:tcW w:w="1455" w:type="dxa"/>
                </w:tcPr>
                <w:p w14:paraId="51763F4F"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Sistēmu analītiķis</w:t>
                  </w:r>
                </w:p>
              </w:tc>
              <w:tc>
                <w:tcPr>
                  <w:tcW w:w="1122" w:type="dxa"/>
                </w:tcPr>
                <w:p w14:paraId="40678F31"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25</w:t>
                  </w:r>
                </w:p>
              </w:tc>
              <w:tc>
                <w:tcPr>
                  <w:tcW w:w="1083" w:type="dxa"/>
                </w:tcPr>
                <w:p w14:paraId="5FED2E4E"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255</w:t>
                  </w:r>
                </w:p>
              </w:tc>
              <w:tc>
                <w:tcPr>
                  <w:tcW w:w="886" w:type="dxa"/>
                </w:tcPr>
                <w:p w14:paraId="29164892"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6375</w:t>
                  </w:r>
                </w:p>
              </w:tc>
              <w:tc>
                <w:tcPr>
                  <w:tcW w:w="1004" w:type="dxa"/>
                </w:tcPr>
                <w:p w14:paraId="56EAC189"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1339</w:t>
                  </w:r>
                </w:p>
              </w:tc>
              <w:tc>
                <w:tcPr>
                  <w:tcW w:w="1083" w:type="dxa"/>
                </w:tcPr>
                <w:p w14:paraId="070F7CF7"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7714</w:t>
                  </w:r>
                </w:p>
              </w:tc>
            </w:tr>
            <w:tr w:rsidR="00454A36" w14:paraId="10DC285F" w14:textId="77777777" w:rsidTr="0068307F">
              <w:tc>
                <w:tcPr>
                  <w:tcW w:w="1455" w:type="dxa"/>
                </w:tcPr>
                <w:p w14:paraId="59CF07C3" w14:textId="77777777" w:rsidR="00454A36" w:rsidRDefault="00454A36" w:rsidP="00454A36">
                  <w:pPr>
                    <w:pStyle w:val="ListParagraph"/>
                    <w:spacing w:after="240"/>
                    <w:ind w:left="0"/>
                    <w:rPr>
                      <w:rFonts w:ascii="Times New Roman" w:hAnsi="Times New Roman"/>
                      <w:sz w:val="24"/>
                      <w:szCs w:val="24"/>
                      <w:lang w:val="lv-LV"/>
                    </w:rPr>
                  </w:pPr>
                  <w:proofErr w:type="spellStart"/>
                  <w:r>
                    <w:rPr>
                      <w:rFonts w:ascii="Times New Roman" w:hAnsi="Times New Roman"/>
                      <w:sz w:val="24"/>
                      <w:szCs w:val="24"/>
                      <w:lang w:val="lv-LV"/>
                    </w:rPr>
                    <w:t>Dokumen-tētājs</w:t>
                  </w:r>
                  <w:proofErr w:type="spellEnd"/>
                </w:p>
              </w:tc>
              <w:tc>
                <w:tcPr>
                  <w:tcW w:w="1122" w:type="dxa"/>
                </w:tcPr>
                <w:p w14:paraId="7669B042"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25</w:t>
                  </w:r>
                </w:p>
              </w:tc>
              <w:tc>
                <w:tcPr>
                  <w:tcW w:w="1083" w:type="dxa"/>
                </w:tcPr>
                <w:p w14:paraId="4F9BCDCF"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180</w:t>
                  </w:r>
                </w:p>
              </w:tc>
              <w:tc>
                <w:tcPr>
                  <w:tcW w:w="886" w:type="dxa"/>
                </w:tcPr>
                <w:p w14:paraId="27336587"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4500</w:t>
                  </w:r>
                </w:p>
              </w:tc>
              <w:tc>
                <w:tcPr>
                  <w:tcW w:w="1004" w:type="dxa"/>
                </w:tcPr>
                <w:p w14:paraId="79CAB206"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945</w:t>
                  </w:r>
                </w:p>
              </w:tc>
              <w:tc>
                <w:tcPr>
                  <w:tcW w:w="1083" w:type="dxa"/>
                </w:tcPr>
                <w:p w14:paraId="701C830B"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5445</w:t>
                  </w:r>
                </w:p>
              </w:tc>
            </w:tr>
            <w:tr w:rsidR="00454A36" w14:paraId="6F72E71E" w14:textId="77777777" w:rsidTr="0068307F">
              <w:tc>
                <w:tcPr>
                  <w:tcW w:w="1455" w:type="dxa"/>
                </w:tcPr>
                <w:p w14:paraId="69058339"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Testētājs</w:t>
                  </w:r>
                </w:p>
              </w:tc>
              <w:tc>
                <w:tcPr>
                  <w:tcW w:w="1122" w:type="dxa"/>
                </w:tcPr>
                <w:p w14:paraId="13882330"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30</w:t>
                  </w:r>
                </w:p>
              </w:tc>
              <w:tc>
                <w:tcPr>
                  <w:tcW w:w="1083" w:type="dxa"/>
                </w:tcPr>
                <w:p w14:paraId="68BA971E"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180</w:t>
                  </w:r>
                </w:p>
              </w:tc>
              <w:tc>
                <w:tcPr>
                  <w:tcW w:w="886" w:type="dxa"/>
                </w:tcPr>
                <w:p w14:paraId="594439F5"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5400</w:t>
                  </w:r>
                </w:p>
              </w:tc>
              <w:tc>
                <w:tcPr>
                  <w:tcW w:w="1004" w:type="dxa"/>
                </w:tcPr>
                <w:p w14:paraId="2970409A"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1134</w:t>
                  </w:r>
                </w:p>
              </w:tc>
              <w:tc>
                <w:tcPr>
                  <w:tcW w:w="1083" w:type="dxa"/>
                </w:tcPr>
                <w:p w14:paraId="526B0A31"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6534</w:t>
                  </w:r>
                </w:p>
              </w:tc>
            </w:tr>
            <w:tr w:rsidR="00454A36" w14:paraId="50634BAE" w14:textId="77777777" w:rsidTr="0068307F">
              <w:tc>
                <w:tcPr>
                  <w:tcW w:w="1455" w:type="dxa"/>
                </w:tcPr>
                <w:p w14:paraId="26196AA1"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Projekta vadītājs</w:t>
                  </w:r>
                </w:p>
              </w:tc>
              <w:tc>
                <w:tcPr>
                  <w:tcW w:w="1122" w:type="dxa"/>
                </w:tcPr>
                <w:p w14:paraId="381C585D"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25</w:t>
                  </w:r>
                </w:p>
              </w:tc>
              <w:tc>
                <w:tcPr>
                  <w:tcW w:w="1083" w:type="dxa"/>
                </w:tcPr>
                <w:p w14:paraId="3276B244"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255</w:t>
                  </w:r>
                </w:p>
              </w:tc>
              <w:tc>
                <w:tcPr>
                  <w:tcW w:w="886" w:type="dxa"/>
                </w:tcPr>
                <w:p w14:paraId="0EA1A350"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6375</w:t>
                  </w:r>
                </w:p>
              </w:tc>
              <w:tc>
                <w:tcPr>
                  <w:tcW w:w="1004" w:type="dxa"/>
                </w:tcPr>
                <w:p w14:paraId="6A02E7E9"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1339</w:t>
                  </w:r>
                </w:p>
              </w:tc>
              <w:tc>
                <w:tcPr>
                  <w:tcW w:w="1083" w:type="dxa"/>
                </w:tcPr>
                <w:p w14:paraId="0C87CA29" w14:textId="77777777" w:rsidR="00454A36" w:rsidRDefault="00454A36" w:rsidP="00454A36">
                  <w:pPr>
                    <w:pStyle w:val="ListParagraph"/>
                    <w:spacing w:after="240"/>
                    <w:ind w:left="0"/>
                    <w:rPr>
                      <w:rFonts w:ascii="Times New Roman" w:hAnsi="Times New Roman"/>
                      <w:sz w:val="24"/>
                      <w:szCs w:val="24"/>
                      <w:lang w:val="lv-LV"/>
                    </w:rPr>
                  </w:pPr>
                  <w:r>
                    <w:rPr>
                      <w:rFonts w:ascii="Times New Roman" w:hAnsi="Times New Roman"/>
                      <w:sz w:val="24"/>
                      <w:szCs w:val="24"/>
                      <w:lang w:val="lv-LV"/>
                    </w:rPr>
                    <w:t>7714</w:t>
                  </w:r>
                </w:p>
              </w:tc>
            </w:tr>
            <w:tr w:rsidR="00454A36" w14:paraId="0F492538" w14:textId="77777777" w:rsidTr="0068307F">
              <w:tc>
                <w:tcPr>
                  <w:tcW w:w="1455" w:type="dxa"/>
                </w:tcPr>
                <w:p w14:paraId="0C5B2250" w14:textId="77777777" w:rsidR="00454A36" w:rsidRPr="00265AB1" w:rsidRDefault="00454A36" w:rsidP="00454A36">
                  <w:pPr>
                    <w:pStyle w:val="ListParagraph"/>
                    <w:spacing w:after="240"/>
                    <w:ind w:left="0"/>
                    <w:jc w:val="right"/>
                    <w:rPr>
                      <w:rFonts w:ascii="Times New Roman" w:hAnsi="Times New Roman"/>
                      <w:b/>
                      <w:sz w:val="24"/>
                      <w:szCs w:val="24"/>
                      <w:lang w:val="lv-LV"/>
                    </w:rPr>
                  </w:pPr>
                  <w:r w:rsidRPr="00265AB1">
                    <w:rPr>
                      <w:rFonts w:ascii="Times New Roman" w:hAnsi="Times New Roman"/>
                      <w:b/>
                      <w:sz w:val="24"/>
                      <w:szCs w:val="24"/>
                      <w:lang w:val="lv-LV"/>
                    </w:rPr>
                    <w:t>Kopā:</w:t>
                  </w:r>
                </w:p>
              </w:tc>
              <w:tc>
                <w:tcPr>
                  <w:tcW w:w="1122" w:type="dxa"/>
                </w:tcPr>
                <w:p w14:paraId="1F401136" w14:textId="77777777" w:rsidR="00454A36" w:rsidRPr="00265AB1" w:rsidRDefault="00454A36" w:rsidP="00454A36">
                  <w:pPr>
                    <w:pStyle w:val="ListParagraph"/>
                    <w:spacing w:after="240"/>
                    <w:ind w:left="0"/>
                    <w:rPr>
                      <w:rFonts w:ascii="Times New Roman" w:hAnsi="Times New Roman"/>
                      <w:b/>
                      <w:sz w:val="24"/>
                      <w:szCs w:val="24"/>
                      <w:lang w:val="lv-LV"/>
                    </w:rPr>
                  </w:pPr>
                  <w:r w:rsidRPr="00265AB1">
                    <w:rPr>
                      <w:rFonts w:ascii="Times New Roman" w:hAnsi="Times New Roman"/>
                      <w:b/>
                      <w:sz w:val="24"/>
                      <w:szCs w:val="24"/>
                      <w:lang w:val="lv-LV"/>
                    </w:rPr>
                    <w:t>250</w:t>
                  </w:r>
                </w:p>
              </w:tc>
              <w:tc>
                <w:tcPr>
                  <w:tcW w:w="1083" w:type="dxa"/>
                </w:tcPr>
                <w:p w14:paraId="77E0F64B" w14:textId="77777777" w:rsidR="00454A36" w:rsidRPr="00265AB1" w:rsidRDefault="00454A36" w:rsidP="00454A36">
                  <w:pPr>
                    <w:pStyle w:val="ListParagraph"/>
                    <w:spacing w:after="240"/>
                    <w:ind w:left="0"/>
                    <w:rPr>
                      <w:rFonts w:ascii="Times New Roman" w:hAnsi="Times New Roman"/>
                      <w:b/>
                      <w:sz w:val="24"/>
                      <w:szCs w:val="24"/>
                      <w:lang w:val="lv-LV"/>
                    </w:rPr>
                  </w:pPr>
                </w:p>
              </w:tc>
              <w:tc>
                <w:tcPr>
                  <w:tcW w:w="886" w:type="dxa"/>
                </w:tcPr>
                <w:p w14:paraId="0C55857F" w14:textId="77777777" w:rsidR="00454A36" w:rsidRPr="00265AB1" w:rsidRDefault="00454A36" w:rsidP="00454A36">
                  <w:pPr>
                    <w:pStyle w:val="ListParagraph"/>
                    <w:spacing w:after="240"/>
                    <w:ind w:left="0"/>
                    <w:rPr>
                      <w:rFonts w:ascii="Times New Roman" w:hAnsi="Times New Roman"/>
                      <w:b/>
                      <w:sz w:val="24"/>
                      <w:szCs w:val="24"/>
                      <w:lang w:val="lv-LV"/>
                    </w:rPr>
                  </w:pPr>
                  <w:r w:rsidRPr="00265AB1">
                    <w:rPr>
                      <w:rFonts w:ascii="Times New Roman" w:hAnsi="Times New Roman"/>
                      <w:b/>
                      <w:sz w:val="24"/>
                      <w:szCs w:val="24"/>
                      <w:lang w:val="lv-LV"/>
                    </w:rPr>
                    <w:t>56625</w:t>
                  </w:r>
                </w:p>
              </w:tc>
              <w:tc>
                <w:tcPr>
                  <w:tcW w:w="1004" w:type="dxa"/>
                </w:tcPr>
                <w:p w14:paraId="47EF227E" w14:textId="77777777" w:rsidR="00454A36" w:rsidRPr="00265AB1" w:rsidRDefault="00454A36" w:rsidP="00454A36">
                  <w:pPr>
                    <w:pStyle w:val="ListParagraph"/>
                    <w:spacing w:after="240"/>
                    <w:ind w:left="0"/>
                    <w:rPr>
                      <w:rFonts w:ascii="Times New Roman" w:hAnsi="Times New Roman"/>
                      <w:b/>
                      <w:sz w:val="24"/>
                      <w:szCs w:val="24"/>
                      <w:lang w:val="lv-LV"/>
                    </w:rPr>
                  </w:pPr>
                  <w:r w:rsidRPr="00265AB1">
                    <w:rPr>
                      <w:rFonts w:ascii="Times New Roman" w:hAnsi="Times New Roman"/>
                      <w:b/>
                      <w:sz w:val="24"/>
                      <w:szCs w:val="24"/>
                      <w:lang w:val="lv-LV"/>
                    </w:rPr>
                    <w:t>11892</w:t>
                  </w:r>
                </w:p>
              </w:tc>
              <w:tc>
                <w:tcPr>
                  <w:tcW w:w="1083" w:type="dxa"/>
                </w:tcPr>
                <w:p w14:paraId="3C0B0EF2" w14:textId="77777777" w:rsidR="00454A36" w:rsidRPr="00265AB1" w:rsidRDefault="00454A36" w:rsidP="00454A36">
                  <w:pPr>
                    <w:pStyle w:val="ListParagraph"/>
                    <w:spacing w:after="240"/>
                    <w:ind w:left="0"/>
                    <w:rPr>
                      <w:rFonts w:ascii="Times New Roman" w:hAnsi="Times New Roman"/>
                      <w:b/>
                      <w:sz w:val="24"/>
                      <w:szCs w:val="24"/>
                      <w:lang w:val="lv-LV"/>
                    </w:rPr>
                  </w:pPr>
                  <w:r w:rsidRPr="00265AB1">
                    <w:rPr>
                      <w:rFonts w:ascii="Times New Roman" w:hAnsi="Times New Roman"/>
                      <w:b/>
                      <w:sz w:val="24"/>
                      <w:szCs w:val="24"/>
                      <w:lang w:val="lv-LV"/>
                    </w:rPr>
                    <w:t>68517</w:t>
                  </w:r>
                </w:p>
              </w:tc>
            </w:tr>
          </w:tbl>
          <w:p w14:paraId="0285813C" w14:textId="77777777" w:rsidR="00454A36" w:rsidRPr="008D3D53" w:rsidRDefault="00454A36" w:rsidP="00814828">
            <w:pPr>
              <w:spacing w:after="0" w:line="240" w:lineRule="auto"/>
              <w:jc w:val="both"/>
              <w:rPr>
                <w:rFonts w:ascii="Times New Roman" w:hAnsi="Times New Roman"/>
                <w:i/>
                <w:sz w:val="26"/>
                <w:szCs w:val="26"/>
                <w:lang w:eastAsia="lv-LV"/>
              </w:rPr>
            </w:pPr>
          </w:p>
          <w:p w14:paraId="5C72A8B3" w14:textId="4F6D3432" w:rsidR="00881524" w:rsidRPr="00881524" w:rsidRDefault="00F37807" w:rsidP="00881524">
            <w:pPr>
              <w:spacing w:after="0" w:line="240" w:lineRule="auto"/>
              <w:jc w:val="both"/>
              <w:rPr>
                <w:rFonts w:ascii="Times New Roman" w:hAnsi="Times New Roman"/>
                <w:sz w:val="24"/>
                <w:szCs w:val="24"/>
              </w:rPr>
            </w:pPr>
            <w:r>
              <w:rPr>
                <w:rFonts w:ascii="Times New Roman" w:hAnsi="Times New Roman"/>
                <w:sz w:val="24"/>
                <w:szCs w:val="24"/>
              </w:rPr>
              <w:t>1.</w:t>
            </w:r>
            <w:r w:rsidR="00775455" w:rsidRPr="00814828">
              <w:rPr>
                <w:rFonts w:ascii="Times New Roman" w:hAnsi="Times New Roman"/>
                <w:sz w:val="24"/>
                <w:szCs w:val="24"/>
              </w:rPr>
              <w:t xml:space="preserve">2. </w:t>
            </w:r>
            <w:r w:rsidR="00775455" w:rsidRPr="00881524">
              <w:rPr>
                <w:rFonts w:ascii="Times New Roman" w:hAnsi="Times New Roman"/>
                <w:sz w:val="24"/>
                <w:szCs w:val="24"/>
              </w:rPr>
              <w:t xml:space="preserve">Kriminālprocesa informācijas sistēmas un Sodu </w:t>
            </w:r>
            <w:r w:rsidR="00775455" w:rsidRPr="00DA18E5">
              <w:rPr>
                <w:rFonts w:ascii="Times New Roman" w:hAnsi="Times New Roman"/>
                <w:sz w:val="24"/>
                <w:szCs w:val="24"/>
              </w:rPr>
              <w:t xml:space="preserve">reģistra papildinājums, </w:t>
            </w:r>
            <w:r w:rsidR="0084141A" w:rsidRPr="00881524">
              <w:rPr>
                <w:rFonts w:ascii="Times New Roman" w:hAnsi="Times New Roman"/>
                <w:sz w:val="24"/>
                <w:szCs w:val="24"/>
              </w:rPr>
              <w:t xml:space="preserve">paredzot </w:t>
            </w:r>
            <w:r w:rsidR="00775455" w:rsidRPr="00881524">
              <w:rPr>
                <w:rFonts w:ascii="Times New Roman" w:hAnsi="Times New Roman"/>
                <w:sz w:val="24"/>
                <w:szCs w:val="24"/>
              </w:rPr>
              <w:t>jaunu kodifikatoru</w:t>
            </w:r>
            <w:r w:rsidR="00B13EA6" w:rsidRPr="00881524">
              <w:rPr>
                <w:rFonts w:ascii="Times New Roman" w:hAnsi="Times New Roman"/>
                <w:sz w:val="24"/>
                <w:szCs w:val="24"/>
              </w:rPr>
              <w:t xml:space="preserve"> iekļaušanu, kurā tiks norā</w:t>
            </w:r>
            <w:r w:rsidR="00775455" w:rsidRPr="00881524">
              <w:rPr>
                <w:rFonts w:ascii="Times New Roman" w:hAnsi="Times New Roman"/>
                <w:sz w:val="24"/>
                <w:szCs w:val="24"/>
              </w:rPr>
              <w:t>dīt</w:t>
            </w:r>
            <w:r w:rsidR="00B13EA6" w:rsidRPr="00881524">
              <w:rPr>
                <w:rFonts w:ascii="Times New Roman" w:hAnsi="Times New Roman"/>
                <w:sz w:val="24"/>
                <w:szCs w:val="24"/>
              </w:rPr>
              <w:t>i</w:t>
            </w:r>
            <w:r w:rsidR="00775455" w:rsidRPr="00881524">
              <w:rPr>
                <w:rFonts w:ascii="Times New Roman" w:hAnsi="Times New Roman"/>
                <w:sz w:val="24"/>
                <w:szCs w:val="24"/>
              </w:rPr>
              <w:t xml:space="preserve"> profesionālās </w:t>
            </w:r>
            <w:r w:rsidR="00B13EA6" w:rsidRPr="00881524">
              <w:rPr>
                <w:rFonts w:ascii="Times New Roman" w:hAnsi="Times New Roman"/>
                <w:sz w:val="24"/>
                <w:szCs w:val="24"/>
              </w:rPr>
              <w:t>darbības veidi, ja personai ir</w:t>
            </w:r>
            <w:r w:rsidR="00775455" w:rsidRPr="00881524">
              <w:rPr>
                <w:rFonts w:ascii="Times New Roman" w:hAnsi="Times New Roman"/>
                <w:sz w:val="24"/>
                <w:szCs w:val="24"/>
              </w:rPr>
              <w:t xml:space="preserve"> piemērots papildsods “Aizliegums veikt noteiktas profesionālas darbības”</w:t>
            </w:r>
            <w:r w:rsidR="0084141A" w:rsidRPr="00881524">
              <w:rPr>
                <w:rFonts w:ascii="Times New Roman" w:hAnsi="Times New Roman"/>
                <w:sz w:val="24"/>
                <w:szCs w:val="24"/>
              </w:rPr>
              <w:t>, sasaistes izveidošan</w:t>
            </w:r>
            <w:r w:rsidR="002948FD">
              <w:rPr>
                <w:rFonts w:ascii="Times New Roman" w:hAnsi="Times New Roman"/>
                <w:sz w:val="24"/>
                <w:szCs w:val="24"/>
              </w:rPr>
              <w:t>a</w:t>
            </w:r>
            <w:r w:rsidR="0084141A" w:rsidRPr="00881524">
              <w:rPr>
                <w:rFonts w:ascii="Times New Roman" w:hAnsi="Times New Roman"/>
                <w:sz w:val="24"/>
                <w:szCs w:val="24"/>
              </w:rPr>
              <w:t xml:space="preserve"> starp T</w:t>
            </w:r>
            <w:r w:rsidR="00046740" w:rsidRPr="00881524">
              <w:rPr>
                <w:rFonts w:ascii="Times New Roman" w:hAnsi="Times New Roman"/>
                <w:sz w:val="24"/>
                <w:szCs w:val="24"/>
              </w:rPr>
              <w:t>iesu informācijas sistēmu</w:t>
            </w:r>
            <w:r w:rsidR="0084141A" w:rsidRPr="00881524">
              <w:rPr>
                <w:rFonts w:ascii="Times New Roman" w:hAnsi="Times New Roman"/>
                <w:sz w:val="24"/>
                <w:szCs w:val="24"/>
              </w:rPr>
              <w:t xml:space="preserve"> un Sodu reģistru, </w:t>
            </w:r>
            <w:r w:rsidR="002948FD">
              <w:rPr>
                <w:rFonts w:ascii="Times New Roman" w:hAnsi="Times New Roman"/>
                <w:sz w:val="24"/>
                <w:szCs w:val="24"/>
              </w:rPr>
              <w:t xml:space="preserve">kā arī </w:t>
            </w:r>
            <w:proofErr w:type="spellStart"/>
            <w:r w:rsidR="0084141A" w:rsidRPr="00881524">
              <w:rPr>
                <w:rFonts w:ascii="Times New Roman" w:hAnsi="Times New Roman"/>
                <w:sz w:val="24"/>
                <w:szCs w:val="24"/>
              </w:rPr>
              <w:t>saskarnes</w:t>
            </w:r>
            <w:proofErr w:type="spellEnd"/>
            <w:r w:rsidR="0084141A" w:rsidRPr="00881524">
              <w:rPr>
                <w:rFonts w:ascii="Times New Roman" w:hAnsi="Times New Roman"/>
                <w:sz w:val="24"/>
                <w:szCs w:val="24"/>
              </w:rPr>
              <w:t xml:space="preserve"> izveidošana, lai nodrošinātu AIC lietotājiem pieeju Sodu reģistram</w:t>
            </w:r>
            <w:r w:rsidR="00881524" w:rsidRPr="00881524">
              <w:rPr>
                <w:rFonts w:ascii="Times New Roman" w:hAnsi="Times New Roman"/>
                <w:sz w:val="24"/>
                <w:szCs w:val="24"/>
              </w:rPr>
              <w:t xml:space="preserve">. </w:t>
            </w:r>
            <w:proofErr w:type="spellStart"/>
            <w:r w:rsidR="00881524" w:rsidRPr="0068307F">
              <w:rPr>
                <w:rFonts w:ascii="Times New Roman" w:hAnsi="Times New Roman"/>
                <w:sz w:val="24"/>
                <w:szCs w:val="24"/>
              </w:rPr>
              <w:t>Iekšlietu</w:t>
            </w:r>
            <w:proofErr w:type="spellEnd"/>
            <w:r w:rsidR="00881524" w:rsidRPr="0068307F">
              <w:rPr>
                <w:rFonts w:ascii="Times New Roman" w:hAnsi="Times New Roman"/>
                <w:sz w:val="24"/>
                <w:szCs w:val="24"/>
              </w:rPr>
              <w:t xml:space="preserve"> ministrijai (</w:t>
            </w:r>
            <w:proofErr w:type="spellStart"/>
            <w:r w:rsidR="00881524" w:rsidRPr="0068307F">
              <w:rPr>
                <w:rFonts w:ascii="Times New Roman" w:hAnsi="Times New Roman"/>
                <w:sz w:val="24"/>
                <w:szCs w:val="24"/>
              </w:rPr>
              <w:t>Iekšlietu</w:t>
            </w:r>
            <w:proofErr w:type="spellEnd"/>
            <w:r w:rsidR="00881524" w:rsidRPr="0068307F">
              <w:rPr>
                <w:rFonts w:ascii="Times New Roman" w:hAnsi="Times New Roman"/>
                <w:sz w:val="24"/>
                <w:szCs w:val="24"/>
              </w:rPr>
              <w:t xml:space="preserve"> ministrijas Informācijas centram </w:t>
            </w:r>
            <w:r w:rsidR="00881524" w:rsidRPr="00881524">
              <w:rPr>
                <w:rFonts w:ascii="Times New Roman" w:hAnsi="Times New Roman"/>
                <w:sz w:val="24"/>
                <w:szCs w:val="24"/>
              </w:rPr>
              <w:t>kā Kriminālprocesa informācijas sistēmas  un Sodu reģistra pārzinim un t</w:t>
            </w:r>
            <w:r w:rsidR="00881524" w:rsidRPr="00DA18E5">
              <w:rPr>
                <w:rFonts w:ascii="Times New Roman" w:hAnsi="Times New Roman"/>
                <w:sz w:val="24"/>
                <w:szCs w:val="24"/>
              </w:rPr>
              <w:t>urētājam</w:t>
            </w:r>
            <w:r w:rsidR="00881524" w:rsidRPr="0068307F">
              <w:rPr>
                <w:rFonts w:ascii="Times New Roman" w:hAnsi="Times New Roman"/>
                <w:sz w:val="24"/>
                <w:szCs w:val="24"/>
              </w:rPr>
              <w:t xml:space="preserve">) budžeta apakšprogrammā 02.03.00 “Vienotās sakaru un informācijas sistēmas uzturēšana un vadība” 2017.gadam nepieciešams papildu finansējums 11 965 </w:t>
            </w:r>
            <w:proofErr w:type="spellStart"/>
            <w:r w:rsidR="00881524" w:rsidRPr="0068307F">
              <w:rPr>
                <w:rFonts w:ascii="Times New Roman" w:hAnsi="Times New Roman"/>
                <w:i/>
                <w:sz w:val="24"/>
                <w:szCs w:val="24"/>
              </w:rPr>
              <w:t>euro</w:t>
            </w:r>
            <w:proofErr w:type="spellEnd"/>
            <w:r w:rsidR="00881524" w:rsidRPr="0068307F">
              <w:rPr>
                <w:rFonts w:ascii="Times New Roman" w:hAnsi="Times New Roman"/>
                <w:sz w:val="24"/>
                <w:szCs w:val="24"/>
              </w:rPr>
              <w:t xml:space="preserve"> apmērā, vienlaikus norādot budžeta izdevumu klasifikācijas atbilstoši ekonomiskajām kategorijām kodu (EKK 5000 “Pamatkapitāla veidošana”).</w:t>
            </w:r>
          </w:p>
          <w:p w14:paraId="06BAE56A" w14:textId="3E2FC935" w:rsidR="00775455" w:rsidRPr="00881524" w:rsidRDefault="00775455" w:rsidP="00814828">
            <w:pPr>
              <w:spacing w:after="0" w:line="240" w:lineRule="auto"/>
              <w:jc w:val="both"/>
              <w:rPr>
                <w:rFonts w:ascii="Times New Roman" w:hAnsi="Times New Roman"/>
                <w:sz w:val="24"/>
                <w:szCs w:val="24"/>
              </w:rPr>
            </w:pPr>
            <w:r w:rsidRPr="00881524">
              <w:rPr>
                <w:rFonts w:ascii="Times New Roman" w:hAnsi="Times New Roman"/>
                <w:sz w:val="24"/>
                <w:szCs w:val="24"/>
              </w:rPr>
              <w:t>Prognozējamā darbietilpība pilnveidošanai ir 2</w:t>
            </w:r>
            <w:r w:rsidR="002D406A" w:rsidRPr="00881524">
              <w:rPr>
                <w:rFonts w:ascii="Times New Roman" w:hAnsi="Times New Roman"/>
                <w:sz w:val="24"/>
                <w:szCs w:val="24"/>
              </w:rPr>
              <w:t>4</w:t>
            </w:r>
            <w:r w:rsidRPr="00881524">
              <w:rPr>
                <w:rFonts w:ascii="Times New Roman" w:hAnsi="Times New Roman"/>
                <w:sz w:val="24"/>
                <w:szCs w:val="24"/>
              </w:rPr>
              <w:t xml:space="preserve"> cilvēkdienas un pieņemot, ka vienas cilvēkdienas vidējā likme ir 412 </w:t>
            </w:r>
            <w:proofErr w:type="spellStart"/>
            <w:r w:rsidRPr="00881524">
              <w:rPr>
                <w:rFonts w:ascii="Times New Roman" w:hAnsi="Times New Roman"/>
                <w:i/>
                <w:sz w:val="24"/>
                <w:szCs w:val="24"/>
              </w:rPr>
              <w:t>euro</w:t>
            </w:r>
            <w:proofErr w:type="spellEnd"/>
            <w:r w:rsidRPr="00881524">
              <w:rPr>
                <w:rFonts w:ascii="Times New Roman" w:hAnsi="Times New Roman"/>
                <w:sz w:val="24"/>
                <w:szCs w:val="24"/>
              </w:rPr>
              <w:t xml:space="preserve">, tehniskā risinājuma pilnveidei ir nepieciešami </w:t>
            </w:r>
            <w:r w:rsidR="002D406A" w:rsidRPr="00881524">
              <w:rPr>
                <w:rFonts w:ascii="Times New Roman" w:hAnsi="Times New Roman"/>
                <w:sz w:val="24"/>
                <w:szCs w:val="24"/>
              </w:rPr>
              <w:t>11965</w:t>
            </w:r>
            <w:r w:rsidRPr="00881524">
              <w:rPr>
                <w:rFonts w:ascii="Times New Roman" w:hAnsi="Times New Roman"/>
                <w:sz w:val="24"/>
                <w:szCs w:val="24"/>
              </w:rPr>
              <w:t xml:space="preserve"> </w:t>
            </w:r>
            <w:proofErr w:type="spellStart"/>
            <w:r w:rsidRPr="00881524">
              <w:rPr>
                <w:rFonts w:ascii="Times New Roman" w:hAnsi="Times New Roman"/>
                <w:i/>
                <w:sz w:val="24"/>
                <w:szCs w:val="24"/>
              </w:rPr>
              <w:t>euro</w:t>
            </w:r>
            <w:proofErr w:type="spellEnd"/>
            <w:r w:rsidR="00BC6C8B" w:rsidRPr="00881524">
              <w:rPr>
                <w:rFonts w:ascii="Times New Roman" w:hAnsi="Times New Roman"/>
                <w:sz w:val="24"/>
                <w:szCs w:val="24"/>
              </w:rPr>
              <w:t>, ieskaitot PVN 21%</w:t>
            </w:r>
            <w:r w:rsidRPr="00881524">
              <w:rPr>
                <w:rFonts w:ascii="Times New Roman" w:hAnsi="Times New Roman"/>
                <w:sz w:val="24"/>
                <w:szCs w:val="24"/>
              </w:rPr>
              <w:t>.</w:t>
            </w:r>
          </w:p>
          <w:p w14:paraId="26835247" w14:textId="6F66394A" w:rsidR="00A849C7" w:rsidRPr="00881524" w:rsidRDefault="00A849C7" w:rsidP="00814828">
            <w:pPr>
              <w:spacing w:after="0" w:line="240" w:lineRule="auto"/>
              <w:jc w:val="both"/>
              <w:rPr>
                <w:rFonts w:ascii="Times New Roman" w:hAnsi="Times New Roman"/>
                <w:sz w:val="24"/>
                <w:szCs w:val="24"/>
              </w:rPr>
            </w:pPr>
            <w:r w:rsidRPr="0068307F">
              <w:rPr>
                <w:rFonts w:ascii="Times New Roman" w:hAnsi="Times New Roman"/>
                <w:sz w:val="24"/>
                <w:szCs w:val="24"/>
              </w:rPr>
              <w:t xml:space="preserve">Izmaksu apjomu 412 </w:t>
            </w:r>
            <w:proofErr w:type="spellStart"/>
            <w:r w:rsidRPr="0068307F">
              <w:rPr>
                <w:rFonts w:ascii="Times New Roman" w:hAnsi="Times New Roman"/>
                <w:i/>
                <w:sz w:val="24"/>
                <w:szCs w:val="24"/>
              </w:rPr>
              <w:t>euro</w:t>
            </w:r>
            <w:proofErr w:type="spellEnd"/>
            <w:r w:rsidRPr="0068307F">
              <w:rPr>
                <w:rFonts w:ascii="Times New Roman" w:hAnsi="Times New Roman"/>
                <w:i/>
                <w:sz w:val="24"/>
                <w:szCs w:val="24"/>
              </w:rPr>
              <w:t xml:space="preserve"> </w:t>
            </w:r>
            <w:r w:rsidRPr="0068307F">
              <w:rPr>
                <w:rFonts w:ascii="Times New Roman" w:hAnsi="Times New Roman"/>
                <w:sz w:val="24"/>
                <w:szCs w:val="24"/>
              </w:rPr>
              <w:t xml:space="preserve">nosaka Vispārīgā vienošanās Nr. SL-2013/73 (iepirkuma identifikācijas numurs IeM NVA 2013/20), kas noslēgta 2013.gada 15.augustā starp </w:t>
            </w:r>
            <w:proofErr w:type="spellStart"/>
            <w:r w:rsidRPr="0068307F">
              <w:rPr>
                <w:rFonts w:ascii="Times New Roman" w:hAnsi="Times New Roman"/>
                <w:sz w:val="24"/>
                <w:szCs w:val="24"/>
              </w:rPr>
              <w:t>Iekšlietu</w:t>
            </w:r>
            <w:proofErr w:type="spellEnd"/>
            <w:r w:rsidRPr="0068307F">
              <w:rPr>
                <w:rFonts w:ascii="Times New Roman" w:hAnsi="Times New Roman"/>
                <w:sz w:val="24"/>
                <w:szCs w:val="24"/>
              </w:rPr>
              <w:t xml:space="preserve"> ministrijas Informācijas centru un SIA "ABC </w:t>
            </w:r>
            <w:proofErr w:type="spellStart"/>
            <w:r w:rsidRPr="0068307F">
              <w:rPr>
                <w:rFonts w:ascii="Times New Roman" w:hAnsi="Times New Roman"/>
                <w:sz w:val="24"/>
                <w:szCs w:val="24"/>
              </w:rPr>
              <w:t>software</w:t>
            </w:r>
            <w:proofErr w:type="spellEnd"/>
            <w:r w:rsidRPr="0068307F">
              <w:rPr>
                <w:rFonts w:ascii="Times New Roman" w:hAnsi="Times New Roman"/>
                <w:sz w:val="24"/>
                <w:szCs w:val="24"/>
              </w:rPr>
              <w:t xml:space="preserve">" par Informācijas centra "Nacionālās Šengenas informācijas sistēmās (N.SIS), </w:t>
            </w:r>
            <w:proofErr w:type="spellStart"/>
            <w:r w:rsidRPr="0068307F">
              <w:rPr>
                <w:rFonts w:ascii="Times New Roman" w:hAnsi="Times New Roman"/>
                <w:sz w:val="24"/>
                <w:szCs w:val="24"/>
              </w:rPr>
              <w:t>Iekšlietu</w:t>
            </w:r>
            <w:proofErr w:type="spellEnd"/>
            <w:r w:rsidRPr="0068307F">
              <w:rPr>
                <w:rFonts w:ascii="Times New Roman" w:hAnsi="Times New Roman"/>
                <w:sz w:val="24"/>
                <w:szCs w:val="24"/>
              </w:rPr>
              <w:t xml:space="preserve"> integrētās informācijas sistēmas (IIIS) reģistru un Kriminālprocesa informācijas sistēmas (KRASS) uzturēšanu".</w:t>
            </w:r>
          </w:p>
          <w:p w14:paraId="17CD5CEB" w14:textId="77777777" w:rsidR="00814828" w:rsidRPr="008D3D53" w:rsidRDefault="00814828" w:rsidP="00814828">
            <w:pPr>
              <w:spacing w:after="0" w:line="240" w:lineRule="auto"/>
              <w:jc w:val="both"/>
              <w:rPr>
                <w:rFonts w:ascii="Times New Roman" w:hAnsi="Times New Roman"/>
                <w:sz w:val="26"/>
                <w:szCs w:val="26"/>
              </w:rPr>
            </w:pPr>
          </w:p>
          <w:p w14:paraId="6DD036DC" w14:textId="77F84CF6" w:rsidR="00593CEC" w:rsidRDefault="007B7C89" w:rsidP="0068307F">
            <w:pPr>
              <w:spacing w:after="0" w:line="240" w:lineRule="auto"/>
              <w:jc w:val="both"/>
              <w:rPr>
                <w:rFonts w:ascii="Times New Roman" w:hAnsi="Times New Roman"/>
                <w:b/>
                <w:sz w:val="24"/>
                <w:szCs w:val="24"/>
              </w:rPr>
            </w:pPr>
            <w:r>
              <w:rPr>
                <w:rFonts w:ascii="Times New Roman" w:hAnsi="Times New Roman"/>
                <w:sz w:val="24"/>
                <w:szCs w:val="24"/>
              </w:rPr>
              <w:t xml:space="preserve">2. </w:t>
            </w:r>
            <w:r w:rsidR="00593CEC">
              <w:rPr>
                <w:rFonts w:ascii="Times New Roman" w:hAnsi="Times New Roman"/>
                <w:b/>
                <w:sz w:val="24"/>
                <w:szCs w:val="24"/>
              </w:rPr>
              <w:t xml:space="preserve">AIC, lai </w:t>
            </w:r>
            <w:r w:rsidR="00046649">
              <w:rPr>
                <w:rFonts w:ascii="Times New Roman" w:hAnsi="Times New Roman"/>
                <w:b/>
                <w:sz w:val="24"/>
                <w:szCs w:val="24"/>
              </w:rPr>
              <w:t>varētu nodrošināt grozījumu direktīvā noteikto EPK pieteikumu apstrādes, tajā skaitā izdošanas, un brīdinājumu nosūtīšanas un saņemšanas funkciju īstenošanu, ir nepieciešam</w:t>
            </w:r>
            <w:r w:rsidR="002A27BB">
              <w:rPr>
                <w:rFonts w:ascii="Times New Roman" w:hAnsi="Times New Roman"/>
                <w:b/>
                <w:sz w:val="24"/>
                <w:szCs w:val="24"/>
              </w:rPr>
              <w:t>a</w:t>
            </w:r>
            <w:r w:rsidR="00046649">
              <w:rPr>
                <w:rFonts w:ascii="Times New Roman" w:hAnsi="Times New Roman"/>
                <w:b/>
                <w:sz w:val="24"/>
                <w:szCs w:val="24"/>
              </w:rPr>
              <w:t xml:space="preserve"> papildus viena vecākā eksperta amata </w:t>
            </w:r>
            <w:proofErr w:type="spellStart"/>
            <w:r w:rsidR="00046649">
              <w:rPr>
                <w:rFonts w:ascii="Times New Roman" w:hAnsi="Times New Roman"/>
                <w:b/>
                <w:sz w:val="24"/>
                <w:szCs w:val="24"/>
              </w:rPr>
              <w:t>vieta</w:t>
            </w:r>
            <w:r w:rsidR="002A27BB">
              <w:rPr>
                <w:rFonts w:ascii="Times New Roman" w:hAnsi="Times New Roman"/>
                <w:b/>
                <w:sz w:val="24"/>
                <w:szCs w:val="24"/>
              </w:rPr>
              <w:t>a</w:t>
            </w:r>
            <w:proofErr w:type="spellEnd"/>
            <w:r w:rsidR="002A27BB">
              <w:rPr>
                <w:rFonts w:ascii="Times New Roman" w:hAnsi="Times New Roman"/>
                <w:b/>
                <w:sz w:val="24"/>
                <w:szCs w:val="24"/>
              </w:rPr>
              <w:t>.</w:t>
            </w:r>
          </w:p>
          <w:p w14:paraId="5D18AD82" w14:textId="531C1C11" w:rsidR="0007676B" w:rsidRDefault="0007676B" w:rsidP="0068307F">
            <w:pPr>
              <w:spacing w:after="0" w:line="240" w:lineRule="auto"/>
              <w:jc w:val="both"/>
              <w:rPr>
                <w:rFonts w:ascii="Times New Roman" w:hAnsi="Times New Roman"/>
                <w:b/>
                <w:sz w:val="24"/>
                <w:szCs w:val="24"/>
              </w:rPr>
            </w:pPr>
          </w:p>
          <w:p w14:paraId="16C546DF" w14:textId="002895D0" w:rsidR="0007676B" w:rsidRDefault="00051505" w:rsidP="0068307F">
            <w:pPr>
              <w:spacing w:after="0" w:line="240" w:lineRule="auto"/>
              <w:jc w:val="both"/>
              <w:rPr>
                <w:rFonts w:ascii="Times New Roman" w:hAnsi="Times New Roman"/>
                <w:b/>
                <w:sz w:val="24"/>
                <w:szCs w:val="24"/>
              </w:rPr>
            </w:pPr>
            <w:r>
              <w:rPr>
                <w:rFonts w:ascii="Times New Roman" w:hAnsi="Times New Roman"/>
                <w:b/>
                <w:sz w:val="24"/>
                <w:szCs w:val="24"/>
              </w:rPr>
              <w:t>Ir jāņem vērā riski, kas var īstenoties, j</w:t>
            </w:r>
            <w:r w:rsidR="0007676B">
              <w:rPr>
                <w:rFonts w:ascii="Times New Roman" w:hAnsi="Times New Roman"/>
                <w:b/>
                <w:sz w:val="24"/>
                <w:szCs w:val="24"/>
              </w:rPr>
              <w:t>a AIC netiks izveidota papildus amata vieta un tādēļ netiks nodrošināta grozījumu direktīvā noteikto EPK izdošanas termiņu ievērošana visiem EPK izdošanas procesā veicamajiem soļiem (piemēram, vienīgā ar EPK izdošanas funkcijām saistītā darbinieka slimības vai atvaļinājuma dēļ), IMI sistēma automātiski nosūtīs pozitīvus lēmumus pēc direktīvā noteiktā termiņa beigām. Līdz ar to AIC nepietiekama administratīvā kapacitātē var radīt draudus pacientu drošībai, proti, EPK var saņemt personas, kuru profesionālā kvalifikācija nav pienācīgi pārbaudīta.</w:t>
            </w:r>
          </w:p>
          <w:p w14:paraId="293C890B" w14:textId="3007EEE2" w:rsidR="0007676B" w:rsidRPr="0068307F" w:rsidRDefault="0007676B" w:rsidP="0068307F">
            <w:pPr>
              <w:spacing w:after="0" w:line="240" w:lineRule="auto"/>
              <w:jc w:val="both"/>
              <w:rPr>
                <w:rFonts w:ascii="Times New Roman" w:hAnsi="Times New Roman"/>
                <w:b/>
                <w:sz w:val="24"/>
                <w:szCs w:val="24"/>
              </w:rPr>
            </w:pPr>
          </w:p>
          <w:p w14:paraId="14C11977" w14:textId="38E6CCB3" w:rsidR="00D04E6C" w:rsidRPr="008D3D53" w:rsidRDefault="00D04E6C" w:rsidP="0068307F">
            <w:pPr>
              <w:spacing w:after="0" w:line="240" w:lineRule="auto"/>
              <w:jc w:val="both"/>
              <w:rPr>
                <w:rFonts w:ascii="Times New Roman" w:hAnsi="Times New Roman"/>
                <w:sz w:val="24"/>
                <w:szCs w:val="24"/>
              </w:rPr>
            </w:pPr>
            <w:r w:rsidRPr="008D3D53">
              <w:rPr>
                <w:rFonts w:ascii="Times New Roman" w:hAnsi="Times New Roman"/>
                <w:sz w:val="24"/>
                <w:szCs w:val="24"/>
              </w:rPr>
              <w:t>Lai AIC varētu īstenot EPK izdošanas un brīdinājum</w:t>
            </w:r>
            <w:r w:rsidR="00451CB3" w:rsidRPr="008D3D53">
              <w:rPr>
                <w:rFonts w:ascii="Times New Roman" w:hAnsi="Times New Roman"/>
                <w:sz w:val="24"/>
                <w:szCs w:val="24"/>
              </w:rPr>
              <w:t xml:space="preserve">u saņemšanas un izsūtīšanas </w:t>
            </w:r>
            <w:r w:rsidRPr="008D3D53">
              <w:rPr>
                <w:rFonts w:ascii="Times New Roman" w:hAnsi="Times New Roman"/>
                <w:sz w:val="24"/>
                <w:szCs w:val="24"/>
              </w:rPr>
              <w:t>nodrošināšanas funkcijas, kuras nosaka grozījumu direktīva, minimālais</w:t>
            </w:r>
            <w:r w:rsidR="004821F4">
              <w:rPr>
                <w:rFonts w:ascii="Times New Roman" w:hAnsi="Times New Roman"/>
                <w:sz w:val="24"/>
                <w:szCs w:val="24"/>
              </w:rPr>
              <w:t xml:space="preserve"> kopējais</w:t>
            </w:r>
            <w:r w:rsidRPr="008D3D53">
              <w:rPr>
                <w:rFonts w:ascii="Times New Roman" w:hAnsi="Times New Roman"/>
                <w:sz w:val="24"/>
                <w:szCs w:val="24"/>
              </w:rPr>
              <w:t xml:space="preserve"> darbinieku skaits ir divas eksperta līmeņa štata vietas. </w:t>
            </w:r>
          </w:p>
          <w:p w14:paraId="536156CF" w14:textId="1CE00095" w:rsidR="001049A9" w:rsidRDefault="001049A9" w:rsidP="00476AF8">
            <w:pPr>
              <w:spacing w:after="0" w:line="240" w:lineRule="auto"/>
              <w:jc w:val="both"/>
              <w:rPr>
                <w:rFonts w:ascii="Times New Roman" w:hAnsi="Times New Roman"/>
                <w:sz w:val="24"/>
                <w:szCs w:val="24"/>
                <w:lang w:eastAsia="lv-LV"/>
              </w:rPr>
            </w:pPr>
            <w:r w:rsidRPr="005176A1">
              <w:rPr>
                <w:rFonts w:ascii="Times New Roman" w:hAnsi="Times New Roman"/>
                <w:sz w:val="24"/>
                <w:szCs w:val="24"/>
                <w:lang w:eastAsia="lv-LV"/>
              </w:rPr>
              <w:t>Ir jāņem vērā, ka dažos gadījumos EPK izdod mītnes valsts kompetentā institūcija, bet citos – uzņemošās valsts kompetentā institūcija</w:t>
            </w:r>
            <w:r w:rsidR="000B0E92">
              <w:rPr>
                <w:rFonts w:ascii="Times New Roman" w:hAnsi="Times New Roman"/>
                <w:sz w:val="24"/>
                <w:szCs w:val="24"/>
                <w:lang w:eastAsia="lv-LV"/>
              </w:rPr>
              <w:t xml:space="preserve"> un līdz ar to dažos gadījumos AIC īsteno EPK pretendenta mītnes valsts kompetentās institūcijas pienākumus, bet citos – uzņemošās valsts kompetentās institūcijas pienākumus</w:t>
            </w:r>
            <w:r w:rsidRPr="005176A1">
              <w:rPr>
                <w:rFonts w:ascii="Times New Roman" w:hAnsi="Times New Roman"/>
                <w:sz w:val="24"/>
                <w:szCs w:val="24"/>
                <w:lang w:eastAsia="lv-LV"/>
              </w:rPr>
              <w:t xml:space="preserve">, bet katra gadījuma pārbaudīšana un virzība ir individuāla ar augstu intensitāti laika ziņā, proti, pieteikumu izskatīšana nedrīkst būt ilgāka kā direktīvā noteiktie termiņi. Līdz ar to ir svarīgi nodrošināt </w:t>
            </w:r>
            <w:r w:rsidRPr="0068307F">
              <w:rPr>
                <w:rFonts w:ascii="Times New Roman" w:hAnsi="Times New Roman"/>
                <w:b/>
                <w:sz w:val="24"/>
                <w:szCs w:val="24"/>
                <w:lang w:eastAsia="lv-LV"/>
              </w:rPr>
              <w:t>pastāvīgu darbinieku klātbūtni</w:t>
            </w:r>
            <w:r w:rsidR="001F3AEF">
              <w:rPr>
                <w:rFonts w:ascii="Times New Roman" w:hAnsi="Times New Roman"/>
                <w:sz w:val="24"/>
                <w:szCs w:val="24"/>
                <w:lang w:eastAsia="lv-LV"/>
              </w:rPr>
              <w:t xml:space="preserve"> </w:t>
            </w:r>
            <w:r w:rsidR="001F3AEF">
              <w:rPr>
                <w:rFonts w:ascii="Times New Roman" w:hAnsi="Times New Roman"/>
                <w:b/>
                <w:sz w:val="24"/>
                <w:szCs w:val="24"/>
                <w:lang w:eastAsia="lv-LV"/>
              </w:rPr>
              <w:t>un pieejamību</w:t>
            </w:r>
            <w:r w:rsidRPr="005176A1">
              <w:rPr>
                <w:rFonts w:ascii="Times New Roman" w:hAnsi="Times New Roman"/>
                <w:sz w:val="24"/>
                <w:szCs w:val="24"/>
                <w:lang w:eastAsia="lv-LV"/>
              </w:rPr>
              <w:t>, proti, lai būtu iespējami atvaļinājumi un citas prombūtnes, ir nepieciešami 2 pastāvīgi pilna laika darbinieki.</w:t>
            </w:r>
            <w:r w:rsidR="000B0E92">
              <w:rPr>
                <w:rFonts w:ascii="Times New Roman" w:hAnsi="Times New Roman"/>
                <w:sz w:val="24"/>
                <w:szCs w:val="24"/>
                <w:lang w:eastAsia="lv-LV"/>
              </w:rPr>
              <w:t xml:space="preserve"> EPK</w:t>
            </w:r>
            <w:r w:rsidR="00872F04">
              <w:rPr>
                <w:rFonts w:ascii="Times New Roman" w:hAnsi="Times New Roman"/>
                <w:sz w:val="24"/>
                <w:szCs w:val="24"/>
                <w:lang w:eastAsia="lv-LV"/>
              </w:rPr>
              <w:t xml:space="preserve"> izdošanas noteikumi, kas nosaka atbilstošas institucionāl</w:t>
            </w:r>
            <w:r w:rsidR="00FC04CF">
              <w:rPr>
                <w:rFonts w:ascii="Times New Roman" w:hAnsi="Times New Roman"/>
                <w:sz w:val="24"/>
                <w:szCs w:val="24"/>
                <w:lang w:eastAsia="lv-LV"/>
              </w:rPr>
              <w:t>as organizatoriskas struktūras izveidi ir vienādi visām dalībvalstīm neatkarīgi no prognozējamā EPK pieteikumu skaita.</w:t>
            </w:r>
            <w:r w:rsidR="000B0E92">
              <w:rPr>
                <w:rFonts w:ascii="Times New Roman" w:hAnsi="Times New Roman"/>
                <w:sz w:val="24"/>
                <w:szCs w:val="24"/>
                <w:lang w:eastAsia="lv-LV"/>
              </w:rPr>
              <w:t xml:space="preserve"> </w:t>
            </w:r>
            <w:r>
              <w:rPr>
                <w:rFonts w:ascii="Times New Roman" w:hAnsi="Times New Roman"/>
                <w:sz w:val="24"/>
                <w:szCs w:val="24"/>
                <w:lang w:eastAsia="lv-LV"/>
              </w:rPr>
              <w:t xml:space="preserve">Ņemot vērā, ka EPK izdošana un brīdinājumu </w:t>
            </w:r>
            <w:r>
              <w:rPr>
                <w:rFonts w:ascii="Times New Roman" w:hAnsi="Times New Roman"/>
                <w:sz w:val="24"/>
                <w:szCs w:val="24"/>
                <w:lang w:eastAsia="lv-LV"/>
              </w:rPr>
              <w:lastRenderedPageBreak/>
              <w:t xml:space="preserve">informācijas apstrāde nebūs vienīgais šo darbinieku pienākums, </w:t>
            </w:r>
            <w:r w:rsidRPr="00205354">
              <w:rPr>
                <w:rFonts w:ascii="Times New Roman" w:hAnsi="Times New Roman"/>
                <w:b/>
                <w:sz w:val="24"/>
                <w:szCs w:val="24"/>
                <w:lang w:eastAsia="lv-LV"/>
              </w:rPr>
              <w:t>tikai EPK izdošanas un brīdinājumu apstrādei nosacīti ir nepieciešama</w:t>
            </w:r>
            <w:r w:rsidR="007F53BF">
              <w:rPr>
                <w:rFonts w:ascii="Times New Roman" w:hAnsi="Times New Roman"/>
                <w:b/>
                <w:sz w:val="24"/>
                <w:szCs w:val="24"/>
                <w:lang w:eastAsia="lv-LV"/>
              </w:rPr>
              <w:t xml:space="preserve"> papildus</w:t>
            </w:r>
            <w:r w:rsidRPr="00205354">
              <w:rPr>
                <w:rFonts w:ascii="Times New Roman" w:hAnsi="Times New Roman"/>
                <w:b/>
                <w:sz w:val="24"/>
                <w:szCs w:val="24"/>
                <w:lang w:eastAsia="lv-LV"/>
              </w:rPr>
              <w:t xml:space="preserve"> </w:t>
            </w:r>
            <w:r w:rsidR="00AA3857">
              <w:rPr>
                <w:rFonts w:ascii="Times New Roman" w:hAnsi="Times New Roman"/>
                <w:b/>
                <w:sz w:val="24"/>
                <w:szCs w:val="24"/>
                <w:lang w:eastAsia="lv-LV"/>
              </w:rPr>
              <w:t xml:space="preserve">viena </w:t>
            </w:r>
            <w:r w:rsidRPr="00205354">
              <w:rPr>
                <w:rFonts w:ascii="Times New Roman" w:hAnsi="Times New Roman"/>
                <w:b/>
                <w:sz w:val="24"/>
                <w:szCs w:val="24"/>
                <w:lang w:eastAsia="lv-LV"/>
              </w:rPr>
              <w:t>pilna laika vecākā eksperta viena amata vieta</w:t>
            </w:r>
            <w:r w:rsidRPr="00CD3B0B">
              <w:rPr>
                <w:rFonts w:ascii="Times New Roman" w:hAnsi="Times New Roman"/>
                <w:sz w:val="24"/>
                <w:szCs w:val="24"/>
              </w:rPr>
              <w:t xml:space="preserve"> ar kvalifikācijas līmeni saskaņā ar </w:t>
            </w:r>
            <w:r w:rsidRPr="00CD3B0B">
              <w:rPr>
                <w:rFonts w:ascii="Times New Roman" w:hAnsi="Times New Roman"/>
                <w:sz w:val="24"/>
                <w:szCs w:val="24"/>
                <w:lang w:eastAsia="lv-LV"/>
              </w:rPr>
              <w:t>36.amatu saimes II līmeni, 9.mēnešalgu grupas 3.kategoriju</w:t>
            </w:r>
            <w:r>
              <w:rPr>
                <w:rFonts w:ascii="Times New Roman" w:hAnsi="Times New Roman"/>
                <w:sz w:val="24"/>
                <w:szCs w:val="24"/>
                <w:lang w:eastAsia="lv-LV"/>
              </w:rPr>
              <w:t>.</w:t>
            </w:r>
          </w:p>
          <w:p w14:paraId="00CE6B6E" w14:textId="588328A6" w:rsidR="00D04E6C" w:rsidRDefault="00D04E6C" w:rsidP="00D04E6C">
            <w:pPr>
              <w:spacing w:after="0" w:line="240" w:lineRule="auto"/>
              <w:jc w:val="both"/>
              <w:rPr>
                <w:rFonts w:ascii="Times New Roman" w:hAnsi="Times New Roman"/>
                <w:sz w:val="24"/>
                <w:szCs w:val="24"/>
              </w:rPr>
            </w:pPr>
          </w:p>
          <w:p w14:paraId="12180F19" w14:textId="41C21376" w:rsidR="00D04E6C" w:rsidRDefault="00D04E6C" w:rsidP="00D04E6C">
            <w:pPr>
              <w:spacing w:after="0" w:line="240" w:lineRule="auto"/>
              <w:jc w:val="both"/>
              <w:rPr>
                <w:rFonts w:ascii="Times New Roman" w:hAnsi="Times New Roman"/>
                <w:sz w:val="24"/>
                <w:szCs w:val="24"/>
              </w:rPr>
            </w:pPr>
            <w:r>
              <w:rPr>
                <w:rFonts w:ascii="Times New Roman" w:hAnsi="Times New Roman"/>
                <w:sz w:val="24"/>
                <w:szCs w:val="24"/>
              </w:rPr>
              <w:t>P</w:t>
            </w:r>
            <w:r w:rsidRPr="005176A1">
              <w:rPr>
                <w:rFonts w:ascii="Times New Roman" w:hAnsi="Times New Roman"/>
                <w:sz w:val="24"/>
                <w:szCs w:val="24"/>
              </w:rPr>
              <w:t>rofesionālās kvalifikācijas reglamentēto profesiju jom</w:t>
            </w:r>
            <w:r>
              <w:rPr>
                <w:rFonts w:ascii="Times New Roman" w:hAnsi="Times New Roman"/>
                <w:sz w:val="24"/>
                <w:szCs w:val="24"/>
              </w:rPr>
              <w:t>ā atzīšanas jautājumos AIC</w:t>
            </w:r>
            <w:r w:rsidRPr="005176A1">
              <w:rPr>
                <w:rFonts w:ascii="Times New Roman" w:hAnsi="Times New Roman"/>
                <w:sz w:val="24"/>
                <w:szCs w:val="24"/>
              </w:rPr>
              <w:t xml:space="preserve"> ir izveidota ½ slodzes eksperta amata vieta</w:t>
            </w:r>
            <w:r w:rsidR="00FF4B01">
              <w:rPr>
                <w:rFonts w:ascii="Times New Roman" w:hAnsi="Times New Roman"/>
                <w:sz w:val="24"/>
                <w:szCs w:val="24"/>
              </w:rPr>
              <w:t xml:space="preserve"> </w:t>
            </w:r>
            <w:r w:rsidR="00FF4B01" w:rsidRPr="00FF4B01">
              <w:rPr>
                <w:rFonts w:ascii="Times New Roman" w:hAnsi="Times New Roman"/>
                <w:sz w:val="24"/>
                <w:szCs w:val="24"/>
              </w:rPr>
              <w:t>(t</w:t>
            </w:r>
            <w:r w:rsidR="00FF4B01" w:rsidRPr="0091375A">
              <w:rPr>
                <w:rFonts w:ascii="Times New Roman" w:hAnsi="Times New Roman"/>
                <w:sz w:val="24"/>
                <w:szCs w:val="24"/>
              </w:rPr>
              <w:t>ā ir</w:t>
            </w:r>
            <w:r w:rsidR="0091375A">
              <w:rPr>
                <w:rFonts w:ascii="Times New Roman" w:hAnsi="Times New Roman"/>
                <w:sz w:val="24"/>
                <w:szCs w:val="24"/>
              </w:rPr>
              <w:t xml:space="preserve"> finansēta</w:t>
            </w:r>
            <w:r w:rsidR="00FF4B01" w:rsidRPr="0091375A">
              <w:rPr>
                <w:rFonts w:ascii="Times New Roman" w:hAnsi="Times New Roman"/>
                <w:sz w:val="24"/>
                <w:szCs w:val="24"/>
              </w:rPr>
              <w:t xml:space="preserve"> </w:t>
            </w:r>
            <w:r w:rsidR="00FF4B01" w:rsidRPr="005C4A6D">
              <w:rPr>
                <w:rFonts w:ascii="Times New Roman" w:hAnsi="Times New Roman"/>
                <w:sz w:val="24"/>
                <w:szCs w:val="24"/>
              </w:rPr>
              <w:t>no valsts budžeta progr</w:t>
            </w:r>
            <w:r w:rsidR="001E5EAD">
              <w:rPr>
                <w:rFonts w:ascii="Times New Roman" w:hAnsi="Times New Roman"/>
                <w:sz w:val="24"/>
                <w:szCs w:val="24"/>
              </w:rPr>
              <w:t>ammas 16.00.00.apakšprogrammas „</w:t>
            </w:r>
            <w:r w:rsidR="00FF4B01" w:rsidRPr="005C4A6D">
              <w:rPr>
                <w:rFonts w:ascii="Times New Roman" w:hAnsi="Times New Roman"/>
                <w:sz w:val="24"/>
                <w:szCs w:val="24"/>
              </w:rPr>
              <w:t>Eiropas Savienības lietas un starptautiskā sadarbība” EUR 165 544, veicamo uzdevumu aprakstu skat. Šīs sadaļas 7.punktā)</w:t>
            </w:r>
            <w:r>
              <w:rPr>
                <w:rFonts w:ascii="Times New Roman" w:hAnsi="Times New Roman"/>
                <w:sz w:val="24"/>
                <w:szCs w:val="24"/>
              </w:rPr>
              <w:t xml:space="preserve">, līdz ar to var pieņemt, ka ½ no vietas </w:t>
            </w:r>
            <w:r w:rsidRPr="00190A3A">
              <w:rPr>
                <w:rFonts w:ascii="Times New Roman" w:hAnsi="Times New Roman"/>
                <w:sz w:val="24"/>
                <w:szCs w:val="24"/>
              </w:rPr>
              <w:t xml:space="preserve">amata vietas jeb 7371 </w:t>
            </w:r>
            <w:proofErr w:type="spellStart"/>
            <w:r w:rsidRPr="00190A3A">
              <w:rPr>
                <w:rFonts w:ascii="Times New Roman" w:hAnsi="Times New Roman"/>
                <w:i/>
                <w:sz w:val="24"/>
                <w:szCs w:val="24"/>
              </w:rPr>
              <w:t>euro</w:t>
            </w:r>
            <w:proofErr w:type="spellEnd"/>
            <w:r w:rsidRPr="00190A3A">
              <w:rPr>
                <w:rFonts w:ascii="Times New Roman" w:hAnsi="Times New Roman"/>
                <w:sz w:val="24"/>
                <w:szCs w:val="24"/>
              </w:rPr>
              <w:t xml:space="preserve"> jau ir piešķirti esošā budžeta ietvaros</w:t>
            </w:r>
            <w:r w:rsidR="00272629" w:rsidRPr="00190A3A">
              <w:rPr>
                <w:rFonts w:ascii="Times New Roman" w:hAnsi="Times New Roman"/>
                <w:sz w:val="24"/>
                <w:szCs w:val="24"/>
              </w:rPr>
              <w:t xml:space="preserve">, bet iztrūkstošo finansējumu ½ slodzei AIC varēs gūt no ieņēmumiem no maksas pakalpojumiem, kuru plānots ir paaugstināt saskaņā ar </w:t>
            </w:r>
            <w:r w:rsidR="00E147E2" w:rsidRPr="00190A3A">
              <w:rPr>
                <w:rFonts w:ascii="Times New Roman" w:hAnsi="Times New Roman"/>
                <w:sz w:val="24"/>
                <w:szCs w:val="24"/>
              </w:rPr>
              <w:t xml:space="preserve">grozījumiem </w:t>
            </w:r>
            <w:r w:rsidR="00190A3A" w:rsidRPr="00205354">
              <w:rPr>
                <w:rFonts w:ascii="Times New Roman" w:eastAsia="Times New Roman" w:hAnsi="Times New Roman"/>
                <w:bCs/>
                <w:sz w:val="24"/>
                <w:szCs w:val="24"/>
                <w:lang w:eastAsia="lv-LV"/>
              </w:rPr>
              <w:t xml:space="preserve">Ministru kabineta noteikumu projektu </w:t>
            </w:r>
            <w:r w:rsidR="001E5EAD">
              <w:rPr>
                <w:rFonts w:ascii="Times New Roman" w:hAnsi="Times New Roman"/>
                <w:b/>
                <w:sz w:val="24"/>
                <w:szCs w:val="24"/>
              </w:rPr>
              <w:t>„</w:t>
            </w:r>
            <w:r w:rsidR="00190A3A" w:rsidRPr="00205354">
              <w:rPr>
                <w:rFonts w:ascii="Times New Roman" w:hAnsi="Times New Roman"/>
                <w:bCs/>
                <w:sz w:val="24"/>
                <w:szCs w:val="24"/>
              </w:rPr>
              <w:t xml:space="preserve">Grozījumi </w:t>
            </w:r>
            <w:r w:rsidR="00190A3A" w:rsidRPr="00205354">
              <w:rPr>
                <w:rFonts w:ascii="Times New Roman" w:hAnsi="Times New Roman"/>
                <w:sz w:val="24"/>
                <w:szCs w:val="24"/>
              </w:rPr>
              <w:t>Ministru kabineta 2003.ga</w:t>
            </w:r>
            <w:r w:rsidR="001E5EAD">
              <w:rPr>
                <w:rFonts w:ascii="Times New Roman" w:hAnsi="Times New Roman"/>
                <w:sz w:val="24"/>
                <w:szCs w:val="24"/>
              </w:rPr>
              <w:t>da 10.jūnija noteikumos Nr.298 „</w:t>
            </w:r>
            <w:r w:rsidR="00190A3A" w:rsidRPr="00205354">
              <w:rPr>
                <w:rFonts w:ascii="Times New Roman" w:hAnsi="Times New Roman"/>
                <w:sz w:val="24"/>
                <w:szCs w:val="24"/>
              </w:rPr>
              <w:t>Kārtība, kādā pretendents sedz izdevumus, kas saistīti ar personas profesionālās kvalifikācijas atzīšanu</w:t>
            </w:r>
            <w:r w:rsidR="00190A3A" w:rsidRPr="00205354">
              <w:rPr>
                <w:rFonts w:ascii="Times New Roman" w:hAnsi="Times New Roman"/>
                <w:b/>
                <w:sz w:val="24"/>
                <w:szCs w:val="24"/>
              </w:rPr>
              <w:t>””</w:t>
            </w:r>
            <w:r w:rsidR="00190A3A" w:rsidRPr="00205354">
              <w:rPr>
                <w:rFonts w:ascii="Times New Roman" w:hAnsi="Times New Roman"/>
                <w:sz w:val="24"/>
                <w:szCs w:val="24"/>
              </w:rPr>
              <w:t xml:space="preserve"> atbilstoši Ministru kabineta 2015.gada 18.augusta sēdē dotajam uzdevumam (prot.Nr.40, 30§, 5.punkts)</w:t>
            </w:r>
            <w:r w:rsidR="00190A3A">
              <w:rPr>
                <w:rFonts w:ascii="Times New Roman" w:hAnsi="Times New Roman"/>
                <w:sz w:val="24"/>
                <w:szCs w:val="24"/>
              </w:rPr>
              <w:t xml:space="preserve">, kas </w:t>
            </w:r>
            <w:r w:rsidR="00CF076F">
              <w:rPr>
                <w:rFonts w:ascii="Times New Roman" w:hAnsi="Times New Roman"/>
                <w:sz w:val="24"/>
                <w:szCs w:val="24"/>
              </w:rPr>
              <w:t>pieņemti Ministru kabineta 2016.gada 1.marta sēdē</w:t>
            </w:r>
            <w:r w:rsidR="00C502ED">
              <w:rPr>
                <w:rFonts w:ascii="Times New Roman" w:hAnsi="Times New Roman"/>
                <w:sz w:val="24"/>
                <w:szCs w:val="24"/>
              </w:rPr>
              <w:t xml:space="preserve">, kā arī </w:t>
            </w:r>
            <w:r w:rsidR="00C502ED" w:rsidRPr="0024350F">
              <w:rPr>
                <w:rFonts w:ascii="Times New Roman" w:hAnsi="Times New Roman"/>
                <w:sz w:val="24"/>
                <w:szCs w:val="24"/>
              </w:rPr>
              <w:t>AIC var g</w:t>
            </w:r>
            <w:r w:rsidR="00C502ED" w:rsidRPr="00621E1E">
              <w:rPr>
                <w:rFonts w:ascii="Times New Roman" w:hAnsi="Times New Roman"/>
                <w:sz w:val="24"/>
                <w:szCs w:val="24"/>
              </w:rPr>
              <w:t>ūt ieņēmumus no maksas pakalpojumiem saskaņā ar noteikumiem Nr.409, līdz ar to valsts budžeta dotācija var tikt daļēji izmantota EPK izdošanas un brīdinājuma mehānisma uzturēšanas funkcijai</w:t>
            </w:r>
            <w:r w:rsidR="00C502ED">
              <w:rPr>
                <w:rFonts w:ascii="Times New Roman" w:hAnsi="Times New Roman"/>
                <w:sz w:val="24"/>
                <w:szCs w:val="24"/>
              </w:rPr>
              <w:t>, ievērojot to, ka sākotnēji EPK pieteikumu un izsūtāmo un saņemamo brīdinājumu skaits būs neliels</w:t>
            </w:r>
            <w:r w:rsidR="00C502ED" w:rsidRPr="00070051">
              <w:rPr>
                <w:rFonts w:ascii="Times New Roman" w:hAnsi="Times New Roman"/>
                <w:sz w:val="24"/>
                <w:szCs w:val="24"/>
              </w:rPr>
              <w:t>.</w:t>
            </w:r>
          </w:p>
          <w:p w14:paraId="4007DA78" w14:textId="13D19414" w:rsidR="00D04E6C" w:rsidRPr="00E2448C" w:rsidRDefault="00373062" w:rsidP="00D04E6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w:t>
            </w:r>
            <w:r w:rsidR="009C69EC">
              <w:rPr>
                <w:rFonts w:ascii="Times New Roman" w:hAnsi="Times New Roman"/>
                <w:sz w:val="24"/>
                <w:szCs w:val="24"/>
                <w:lang w:eastAsia="lv-LV"/>
              </w:rPr>
              <w:t>īdzšinējā pieredze, kā arī</w:t>
            </w:r>
            <w:r w:rsidR="00D04E6C">
              <w:rPr>
                <w:rFonts w:ascii="Times New Roman" w:hAnsi="Times New Roman"/>
                <w:sz w:val="24"/>
                <w:szCs w:val="24"/>
                <w:lang w:eastAsia="lv-LV"/>
              </w:rPr>
              <w:t xml:space="preserve"> no profesionālām asociācijām, kuras pārstāv profesionālus darbiniekus profesijās, kurās </w:t>
            </w:r>
            <w:r w:rsidR="00D04E6C" w:rsidRPr="00E2448C">
              <w:rPr>
                <w:rFonts w:ascii="Times New Roman" w:hAnsi="Times New Roman"/>
                <w:sz w:val="24"/>
                <w:szCs w:val="24"/>
                <w:lang w:eastAsia="lv-LV"/>
              </w:rPr>
              <w:t>tiks izsniegta EPK, saņemtā informācija apliecina, ka nav pamata uzskatīt, ka pirmajos trīs gados EPK pieteikumu skaits būs tik laiks, lai pilnībā segtu vismaz vienas amata vietas uzturēšanas izdevumus.</w:t>
            </w:r>
            <w:r w:rsidR="00D04E6C">
              <w:rPr>
                <w:rFonts w:ascii="Times New Roman" w:hAnsi="Times New Roman"/>
                <w:sz w:val="24"/>
                <w:szCs w:val="24"/>
                <w:lang w:eastAsia="lv-LV"/>
              </w:rPr>
              <w:t xml:space="preserve"> Prognozes liecina, ka 2016.gadā AIC tiks saņemti 6 EPK pieteikumi (gan no Latvijas, gan ārzemēm kopā) un katru gadu to skaits pieaugs par 2 pieteikumiem.</w:t>
            </w:r>
          </w:p>
          <w:p w14:paraId="085503C4" w14:textId="21C720DD" w:rsidR="00D04E6C" w:rsidRPr="00E2448C" w:rsidRDefault="00D04E6C" w:rsidP="00D04E6C">
            <w:pPr>
              <w:spacing w:after="0" w:line="240" w:lineRule="auto"/>
              <w:jc w:val="both"/>
              <w:rPr>
                <w:rFonts w:ascii="Times New Roman" w:hAnsi="Times New Roman"/>
                <w:bCs/>
                <w:sz w:val="24"/>
                <w:szCs w:val="24"/>
              </w:rPr>
            </w:pPr>
            <w:r w:rsidRPr="00E2448C">
              <w:rPr>
                <w:rFonts w:ascii="Times New Roman" w:hAnsi="Times New Roman"/>
                <w:sz w:val="24"/>
                <w:szCs w:val="24"/>
                <w:lang w:eastAsia="lv-LV"/>
              </w:rPr>
              <w:t xml:space="preserve">Plānoto ieņēmumu no EPK izdošanas apmēru noteiks </w:t>
            </w:r>
            <w:bookmarkStart w:id="4" w:name="OLE_LINK3"/>
            <w:r w:rsidRPr="00E2448C">
              <w:rPr>
                <w:rFonts w:ascii="Times New Roman" w:hAnsi="Times New Roman"/>
                <w:sz w:val="24"/>
                <w:szCs w:val="24"/>
                <w:lang w:eastAsia="lv-LV"/>
              </w:rPr>
              <w:t>g</w:t>
            </w:r>
            <w:r w:rsidRPr="00E2448C">
              <w:rPr>
                <w:rFonts w:ascii="Times New Roman" w:hAnsi="Times New Roman"/>
                <w:bCs/>
                <w:sz w:val="24"/>
                <w:szCs w:val="24"/>
              </w:rPr>
              <w:t>rozījumi noteikumos Nr.409</w:t>
            </w:r>
            <w:r w:rsidR="002263EA">
              <w:rPr>
                <w:rFonts w:ascii="Times New Roman" w:hAnsi="Times New Roman"/>
                <w:bCs/>
                <w:sz w:val="24"/>
                <w:szCs w:val="24"/>
              </w:rPr>
              <w:t>.</w:t>
            </w:r>
            <w:r w:rsidRPr="00E2448C">
              <w:rPr>
                <w:rFonts w:ascii="Times New Roman" w:hAnsi="Times New Roman"/>
                <w:bCs/>
                <w:sz w:val="24"/>
                <w:szCs w:val="24"/>
              </w:rPr>
              <w:t xml:space="preserve"> </w:t>
            </w:r>
            <w:bookmarkEnd w:id="4"/>
            <w:r w:rsidRPr="00E2448C">
              <w:rPr>
                <w:rFonts w:ascii="Times New Roman" w:hAnsi="Times New Roman"/>
                <w:bCs/>
                <w:sz w:val="24"/>
                <w:szCs w:val="24"/>
              </w:rPr>
              <w:t xml:space="preserve">Atbilstoši veiktajiem aprēķiniem EPK pieteikuma </w:t>
            </w:r>
            <w:proofErr w:type="spellStart"/>
            <w:r w:rsidRPr="00E2448C">
              <w:rPr>
                <w:rFonts w:ascii="Times New Roman" w:hAnsi="Times New Roman"/>
                <w:bCs/>
                <w:sz w:val="24"/>
                <w:szCs w:val="24"/>
              </w:rPr>
              <w:t>izvērtējuma</w:t>
            </w:r>
            <w:proofErr w:type="spellEnd"/>
            <w:r w:rsidRPr="00E2448C">
              <w:rPr>
                <w:rFonts w:ascii="Times New Roman" w:hAnsi="Times New Roman"/>
                <w:bCs/>
                <w:sz w:val="24"/>
                <w:szCs w:val="24"/>
              </w:rPr>
              <w:t xml:space="preserve"> pašizmaksa ir 100 </w:t>
            </w:r>
            <w:proofErr w:type="spellStart"/>
            <w:r w:rsidRPr="00E2448C">
              <w:rPr>
                <w:rFonts w:ascii="Times New Roman" w:hAnsi="Times New Roman"/>
                <w:bCs/>
                <w:i/>
                <w:sz w:val="24"/>
                <w:szCs w:val="24"/>
              </w:rPr>
              <w:t>euro</w:t>
            </w:r>
            <w:proofErr w:type="spellEnd"/>
            <w:r w:rsidRPr="00E2448C">
              <w:rPr>
                <w:rFonts w:ascii="Times New Roman" w:hAnsi="Times New Roman"/>
                <w:bCs/>
                <w:i/>
                <w:sz w:val="24"/>
                <w:szCs w:val="24"/>
              </w:rPr>
              <w:t>.</w:t>
            </w:r>
            <w:r w:rsidRPr="00E2448C">
              <w:rPr>
                <w:rFonts w:ascii="Times New Roman" w:hAnsi="Times New Roman"/>
                <w:bCs/>
                <w:sz w:val="24"/>
                <w:szCs w:val="24"/>
              </w:rPr>
              <w:t xml:space="preserve"> </w:t>
            </w:r>
          </w:p>
          <w:p w14:paraId="407E2555" w14:textId="1E9D06C6" w:rsidR="00D04E6C" w:rsidRPr="00E2448C" w:rsidRDefault="00D04E6C" w:rsidP="00D04E6C">
            <w:pPr>
              <w:spacing w:after="0" w:line="240" w:lineRule="auto"/>
              <w:jc w:val="both"/>
              <w:rPr>
                <w:rFonts w:ascii="Times New Roman" w:hAnsi="Times New Roman"/>
                <w:sz w:val="24"/>
                <w:szCs w:val="24"/>
              </w:rPr>
            </w:pPr>
            <w:r w:rsidRPr="00E2448C">
              <w:rPr>
                <w:rFonts w:ascii="Times New Roman" w:hAnsi="Times New Roman"/>
                <w:sz w:val="24"/>
                <w:szCs w:val="24"/>
              </w:rPr>
              <w:t xml:space="preserve">EPK pretendentam samaksa par EPK pieteikuma apstrādi atšķirsies atkarībā no tā, vai EPK pretendenta mītnes zeme ir Latvija un vai profesija ietilpst to profesiju grupā, kas skar pakalpojuma saņēmēja drošību un veselību. Līdz ar to ir paredzēti šāds samaksas apmērs par AIC veikto EPK pieteikumu </w:t>
            </w:r>
            <w:proofErr w:type="spellStart"/>
            <w:r w:rsidRPr="00E2448C">
              <w:rPr>
                <w:rFonts w:ascii="Times New Roman" w:hAnsi="Times New Roman"/>
                <w:sz w:val="24"/>
                <w:szCs w:val="24"/>
              </w:rPr>
              <w:t>izvērtējumu</w:t>
            </w:r>
            <w:proofErr w:type="spellEnd"/>
            <w:r w:rsidRPr="00E2448C">
              <w:rPr>
                <w:rFonts w:ascii="Times New Roman" w:hAnsi="Times New Roman"/>
                <w:sz w:val="24"/>
                <w:szCs w:val="24"/>
              </w:rPr>
              <w:t>:</w:t>
            </w:r>
          </w:p>
          <w:p w14:paraId="426B1162" w14:textId="5DE1E3E0" w:rsidR="00D04E6C" w:rsidRPr="00E2448C" w:rsidRDefault="004935B9" w:rsidP="00D04E6C">
            <w:pPr>
              <w:spacing w:after="0" w:line="240" w:lineRule="auto"/>
              <w:jc w:val="both"/>
              <w:rPr>
                <w:rFonts w:ascii="Times New Roman" w:hAnsi="Times New Roman"/>
                <w:sz w:val="24"/>
                <w:szCs w:val="24"/>
              </w:rPr>
            </w:pPr>
            <w:r>
              <w:rPr>
                <w:rFonts w:ascii="Times New Roman" w:hAnsi="Times New Roman"/>
                <w:sz w:val="24"/>
                <w:szCs w:val="24"/>
              </w:rPr>
              <w:t>1)</w:t>
            </w:r>
            <w:r w:rsidR="00D04E6C" w:rsidRPr="00E2448C">
              <w:rPr>
                <w:rFonts w:ascii="Times New Roman" w:hAnsi="Times New Roman"/>
                <w:sz w:val="24"/>
                <w:szCs w:val="24"/>
              </w:rPr>
              <w:t xml:space="preserve"> Eiropas profesionālās kartes pieteikuma no personas, kas izglītību un profesionālo kvalifikāciju ieguvusi Latvijas Republikā, kā arī no personas, kam ir tiesības strādāt reglamentētajā profesijā Latvijā, un kas pretendē uz Eiropas profesionālās kartes saņemšanu profesionālajai darbībai reglamentētajā profesijā </w:t>
            </w:r>
            <w:r w:rsidR="00912E44">
              <w:rPr>
                <w:rFonts w:ascii="Times New Roman" w:hAnsi="Times New Roman"/>
                <w:sz w:val="24"/>
                <w:szCs w:val="24"/>
              </w:rPr>
              <w:t xml:space="preserve">citā </w:t>
            </w:r>
            <w:r w:rsidR="00F64887" w:rsidRPr="00205354">
              <w:rPr>
                <w:rFonts w:ascii="Times New Roman" w:hAnsi="Times New Roman"/>
                <w:sz w:val="24"/>
                <w:szCs w:val="24"/>
              </w:rPr>
              <w:t>dalībvalstī</w:t>
            </w:r>
            <w:r w:rsidR="00F64887">
              <w:rPr>
                <w:rFonts w:ascii="Times New Roman" w:hAnsi="Times New Roman"/>
                <w:sz w:val="24"/>
                <w:szCs w:val="24"/>
              </w:rPr>
              <w:t xml:space="preserve"> </w:t>
            </w:r>
            <w:r w:rsidR="00D04E6C" w:rsidRPr="00E2448C">
              <w:rPr>
                <w:rFonts w:ascii="Times New Roman" w:hAnsi="Times New Roman"/>
                <w:sz w:val="24"/>
                <w:szCs w:val="24"/>
              </w:rPr>
              <w:t xml:space="preserve">reglamentētajā profesijā, apstrāde  100 </w:t>
            </w:r>
            <w:proofErr w:type="spellStart"/>
            <w:r w:rsidR="00D04E6C" w:rsidRPr="00E2448C">
              <w:rPr>
                <w:rFonts w:ascii="Times New Roman" w:hAnsi="Times New Roman"/>
                <w:i/>
                <w:sz w:val="24"/>
                <w:szCs w:val="24"/>
              </w:rPr>
              <w:t>euro</w:t>
            </w:r>
            <w:proofErr w:type="spellEnd"/>
            <w:r w:rsidR="00D04E6C" w:rsidRPr="00E2448C">
              <w:rPr>
                <w:rFonts w:ascii="Times New Roman" w:hAnsi="Times New Roman"/>
                <w:i/>
                <w:sz w:val="24"/>
                <w:szCs w:val="24"/>
              </w:rPr>
              <w:t>.</w:t>
            </w:r>
          </w:p>
          <w:p w14:paraId="2086BED6" w14:textId="53DC70CF" w:rsidR="00D04E6C" w:rsidRPr="00E2448C" w:rsidRDefault="00D04E6C" w:rsidP="00D04E6C">
            <w:pPr>
              <w:spacing w:after="0" w:line="240" w:lineRule="auto"/>
              <w:jc w:val="both"/>
              <w:rPr>
                <w:rFonts w:ascii="Times New Roman" w:hAnsi="Times New Roman"/>
                <w:sz w:val="24"/>
                <w:szCs w:val="24"/>
                <w:lang w:eastAsia="lv-LV"/>
              </w:rPr>
            </w:pPr>
            <w:r w:rsidRPr="00E2448C">
              <w:rPr>
                <w:rFonts w:ascii="Times New Roman" w:hAnsi="Times New Roman"/>
                <w:sz w:val="24"/>
                <w:szCs w:val="24"/>
              </w:rPr>
              <w:t xml:space="preserve">2) Eiropas profesionālās kartes pieteikuma no personas, kas izglītību un profesionālo kvalifikāciju ieguvusi citā  dalībvalstī un pretendē uz Eiropas profesionālās kartes saņemšanu pastāvīgai profesionālajai darbībai vai īslaicīgu profesionālo pakalpojumu sniegšanai Latvijas Republikā reglamentētajā profesijā, kurā nekvalificēts īslaicīgu profesionālo pakalpojumu sniedzējs var apdraudēt pakalpojumu saņēmēja veselību un drošību, apstrāde 200 </w:t>
            </w:r>
            <w:proofErr w:type="spellStart"/>
            <w:r w:rsidRPr="00E2448C">
              <w:rPr>
                <w:rFonts w:ascii="Times New Roman" w:hAnsi="Times New Roman"/>
                <w:i/>
                <w:sz w:val="24"/>
                <w:szCs w:val="24"/>
              </w:rPr>
              <w:t>euro</w:t>
            </w:r>
            <w:proofErr w:type="spellEnd"/>
            <w:r w:rsidRPr="00E2448C">
              <w:rPr>
                <w:rFonts w:ascii="Times New Roman" w:hAnsi="Times New Roman"/>
                <w:sz w:val="24"/>
                <w:szCs w:val="24"/>
              </w:rPr>
              <w:t>, tomēr</w:t>
            </w:r>
            <w:r w:rsidR="00373062">
              <w:rPr>
                <w:rFonts w:ascii="Times New Roman" w:hAnsi="Times New Roman"/>
                <w:sz w:val="24"/>
                <w:szCs w:val="24"/>
              </w:rPr>
              <w:t xml:space="preserve"> ½ jeb</w:t>
            </w:r>
            <w:r w:rsidRPr="00E2448C">
              <w:rPr>
                <w:rFonts w:ascii="Times New Roman" w:hAnsi="Times New Roman"/>
                <w:sz w:val="24"/>
                <w:szCs w:val="24"/>
              </w:rPr>
              <w:t xml:space="preserve"> 100 </w:t>
            </w:r>
            <w:proofErr w:type="spellStart"/>
            <w:r w:rsidRPr="00E2448C">
              <w:rPr>
                <w:rFonts w:ascii="Times New Roman" w:hAnsi="Times New Roman"/>
                <w:i/>
                <w:sz w:val="24"/>
                <w:szCs w:val="24"/>
              </w:rPr>
              <w:t>euro</w:t>
            </w:r>
            <w:proofErr w:type="spellEnd"/>
            <w:r w:rsidRPr="00E2448C">
              <w:rPr>
                <w:rFonts w:ascii="Times New Roman" w:hAnsi="Times New Roman"/>
                <w:i/>
                <w:sz w:val="24"/>
                <w:szCs w:val="24"/>
              </w:rPr>
              <w:t xml:space="preserve"> </w:t>
            </w:r>
            <w:r w:rsidRPr="00E2448C">
              <w:rPr>
                <w:rFonts w:ascii="Times New Roman" w:hAnsi="Times New Roman"/>
                <w:sz w:val="24"/>
                <w:szCs w:val="24"/>
              </w:rPr>
              <w:t xml:space="preserve">no šīs summas saņems institūcija, kas izsniedz profesionālās kvalifikācijas atzīšanas apliecības reglamentētajās profesijās. </w:t>
            </w:r>
          </w:p>
          <w:p w14:paraId="6C53D03C" w14:textId="49EAAD6A" w:rsidR="00D04E6C" w:rsidRDefault="00D04E6C" w:rsidP="00D04E6C">
            <w:pPr>
              <w:spacing w:after="0" w:line="240" w:lineRule="auto"/>
              <w:jc w:val="both"/>
              <w:rPr>
                <w:rFonts w:ascii="Times New Roman" w:hAnsi="Times New Roman"/>
                <w:sz w:val="24"/>
                <w:szCs w:val="24"/>
                <w:lang w:eastAsia="lv-LV"/>
              </w:rPr>
            </w:pPr>
          </w:p>
          <w:p w14:paraId="66688C59" w14:textId="18F12C0A" w:rsidR="00D04E6C" w:rsidRPr="00E70EAD" w:rsidRDefault="00D04E6C" w:rsidP="00D04E6C">
            <w:pPr>
              <w:spacing w:after="0" w:line="240" w:lineRule="auto"/>
              <w:jc w:val="both"/>
              <w:rPr>
                <w:rFonts w:ascii="Times New Roman" w:hAnsi="Times New Roman"/>
                <w:sz w:val="24"/>
                <w:szCs w:val="24"/>
                <w:lang w:eastAsia="lv-LV"/>
              </w:rPr>
            </w:pPr>
            <w:r w:rsidRPr="00E70EAD">
              <w:rPr>
                <w:rFonts w:ascii="Times New Roman" w:hAnsi="Times New Roman"/>
                <w:sz w:val="24"/>
                <w:szCs w:val="24"/>
                <w:lang w:eastAsia="lv-LV"/>
              </w:rPr>
              <w:t>AIC kā EPK izdošanas infrastruktūrai un cilvēkresursiem nepieciešamais finansējums:</w:t>
            </w:r>
          </w:p>
          <w:p w14:paraId="53DD2A97" w14:textId="65DA9A97" w:rsidR="00D04E6C" w:rsidRPr="0068307F" w:rsidRDefault="00D04E6C" w:rsidP="00D04E6C">
            <w:pPr>
              <w:spacing w:after="0" w:line="240" w:lineRule="auto"/>
              <w:jc w:val="both"/>
              <w:rPr>
                <w:rFonts w:ascii="Times New Roman" w:hAnsi="Times New Roman"/>
                <w:sz w:val="24"/>
                <w:szCs w:val="24"/>
                <w:u w:val="single"/>
              </w:rPr>
            </w:pPr>
            <w:r w:rsidRPr="0068307F">
              <w:rPr>
                <w:rFonts w:ascii="Times New Roman" w:hAnsi="Times New Roman"/>
                <w:sz w:val="24"/>
                <w:szCs w:val="24"/>
                <w:u w:val="single"/>
              </w:rPr>
              <w:lastRenderedPageBreak/>
              <w:t xml:space="preserve">1) Biroja telpu uzturēšana </w:t>
            </w:r>
            <w:r w:rsidR="0071283C" w:rsidRPr="0068307F">
              <w:rPr>
                <w:rFonts w:ascii="Times New Roman" w:hAnsi="Times New Roman"/>
                <w:sz w:val="24"/>
                <w:szCs w:val="24"/>
                <w:u w:val="single"/>
              </w:rPr>
              <w:t xml:space="preserve">544 </w:t>
            </w:r>
            <w:proofErr w:type="spellStart"/>
            <w:r w:rsidRPr="0068307F">
              <w:rPr>
                <w:rFonts w:ascii="Times New Roman" w:hAnsi="Times New Roman"/>
                <w:i/>
                <w:sz w:val="24"/>
                <w:szCs w:val="24"/>
                <w:u w:val="single"/>
              </w:rPr>
              <w:t>euro</w:t>
            </w:r>
            <w:proofErr w:type="spellEnd"/>
            <w:r w:rsidRPr="0068307F">
              <w:rPr>
                <w:rFonts w:ascii="Times New Roman" w:hAnsi="Times New Roman"/>
                <w:i/>
                <w:sz w:val="24"/>
                <w:szCs w:val="24"/>
                <w:u w:val="single"/>
              </w:rPr>
              <w:t xml:space="preserve"> </w:t>
            </w:r>
            <w:r w:rsidRPr="0068307F">
              <w:rPr>
                <w:rFonts w:ascii="Times New Roman" w:hAnsi="Times New Roman"/>
                <w:sz w:val="24"/>
                <w:szCs w:val="24"/>
                <w:u w:val="single"/>
              </w:rPr>
              <w:t xml:space="preserve">2016.g., </w:t>
            </w:r>
            <w:r w:rsidR="0071283C" w:rsidRPr="0068307F">
              <w:rPr>
                <w:rFonts w:ascii="Times New Roman" w:hAnsi="Times New Roman"/>
                <w:sz w:val="24"/>
                <w:szCs w:val="24"/>
                <w:u w:val="single"/>
              </w:rPr>
              <w:t xml:space="preserve">726 </w:t>
            </w:r>
            <w:proofErr w:type="spellStart"/>
            <w:r w:rsidRPr="0068307F">
              <w:rPr>
                <w:rFonts w:ascii="Times New Roman" w:hAnsi="Times New Roman"/>
                <w:i/>
                <w:sz w:val="24"/>
                <w:szCs w:val="24"/>
                <w:u w:val="single"/>
              </w:rPr>
              <w:t>euro</w:t>
            </w:r>
            <w:proofErr w:type="spellEnd"/>
            <w:r w:rsidRPr="0068307F">
              <w:rPr>
                <w:rFonts w:ascii="Times New Roman" w:hAnsi="Times New Roman"/>
                <w:sz w:val="24"/>
                <w:szCs w:val="24"/>
                <w:u w:val="single"/>
              </w:rPr>
              <w:t xml:space="preserve"> 2017.,</w:t>
            </w:r>
            <w:r w:rsidR="00373062">
              <w:rPr>
                <w:rFonts w:ascii="Times New Roman" w:hAnsi="Times New Roman"/>
                <w:sz w:val="24"/>
                <w:szCs w:val="24"/>
                <w:u w:val="single"/>
              </w:rPr>
              <w:t xml:space="preserve"> </w:t>
            </w:r>
            <w:r w:rsidRPr="0068307F">
              <w:rPr>
                <w:rFonts w:ascii="Times New Roman" w:hAnsi="Times New Roman"/>
                <w:sz w:val="24"/>
                <w:szCs w:val="24"/>
                <w:u w:val="single"/>
              </w:rPr>
              <w:t>2018.</w:t>
            </w:r>
            <w:r w:rsidR="0071283C" w:rsidRPr="0068307F">
              <w:rPr>
                <w:rFonts w:ascii="Times New Roman" w:hAnsi="Times New Roman"/>
                <w:sz w:val="24"/>
                <w:szCs w:val="24"/>
                <w:u w:val="single"/>
              </w:rPr>
              <w:t>, 2019.</w:t>
            </w:r>
            <w:r w:rsidRPr="0068307F">
              <w:rPr>
                <w:rFonts w:ascii="Times New Roman" w:hAnsi="Times New Roman"/>
                <w:sz w:val="24"/>
                <w:szCs w:val="24"/>
                <w:u w:val="single"/>
              </w:rPr>
              <w:t xml:space="preserve">g.  </w:t>
            </w:r>
          </w:p>
          <w:p w14:paraId="7CAD92EB" w14:textId="2810ACC8" w:rsidR="005D6DBF" w:rsidRPr="0068307F" w:rsidRDefault="00D04E6C" w:rsidP="00D04E6C">
            <w:pPr>
              <w:pStyle w:val="ListParagraph"/>
              <w:numPr>
                <w:ilvl w:val="0"/>
                <w:numId w:val="13"/>
              </w:numPr>
              <w:spacing w:after="0" w:line="240" w:lineRule="auto"/>
              <w:jc w:val="both"/>
              <w:rPr>
                <w:rFonts w:ascii="Times New Roman" w:hAnsi="Times New Roman"/>
                <w:sz w:val="24"/>
                <w:szCs w:val="24"/>
              </w:rPr>
            </w:pPr>
            <w:r w:rsidRPr="00E70EAD">
              <w:rPr>
                <w:rFonts w:ascii="Times New Roman" w:hAnsi="Times New Roman"/>
                <w:sz w:val="24"/>
                <w:szCs w:val="24"/>
              </w:rPr>
              <w:t>Telpu uzturēšana</w:t>
            </w:r>
            <w:r w:rsidR="00092F04">
              <w:rPr>
                <w:rFonts w:ascii="Times New Roman" w:hAnsi="Times New Roman"/>
                <w:sz w:val="24"/>
                <w:szCs w:val="24"/>
                <w:lang w:val="lv-LV"/>
              </w:rPr>
              <w:t>s izdevumi ietver</w:t>
            </w:r>
            <w:r w:rsidRPr="00E70EAD">
              <w:rPr>
                <w:rFonts w:ascii="Times New Roman" w:hAnsi="Times New Roman"/>
                <w:sz w:val="24"/>
                <w:szCs w:val="24"/>
              </w:rPr>
              <w:t xml:space="preserve"> komunāl</w:t>
            </w:r>
            <w:r w:rsidR="00092F04">
              <w:rPr>
                <w:rFonts w:ascii="Times New Roman" w:hAnsi="Times New Roman"/>
                <w:sz w:val="24"/>
                <w:szCs w:val="24"/>
                <w:lang w:val="lv-LV"/>
              </w:rPr>
              <w:t>os</w:t>
            </w:r>
            <w:r w:rsidRPr="00E70EAD">
              <w:rPr>
                <w:rFonts w:ascii="Times New Roman" w:hAnsi="Times New Roman"/>
                <w:sz w:val="24"/>
                <w:szCs w:val="24"/>
              </w:rPr>
              <w:t xml:space="preserve"> pakalpojum</w:t>
            </w:r>
            <w:r w:rsidR="00092F04">
              <w:rPr>
                <w:rFonts w:ascii="Times New Roman" w:hAnsi="Times New Roman"/>
                <w:sz w:val="24"/>
                <w:szCs w:val="24"/>
                <w:lang w:val="lv-LV"/>
              </w:rPr>
              <w:t>us</w:t>
            </w:r>
            <w:r w:rsidRPr="00E70EAD">
              <w:rPr>
                <w:rFonts w:ascii="Times New Roman" w:hAnsi="Times New Roman"/>
                <w:sz w:val="24"/>
                <w:szCs w:val="24"/>
              </w:rPr>
              <w:t xml:space="preserve"> (centrālā apkure, aukstā un siltā ūdens piegāde, kanalizācijas sistēmas apkalpošana, elektrība, atkritumu izvešana</w:t>
            </w:r>
            <w:r w:rsidR="00092F04">
              <w:rPr>
                <w:rFonts w:ascii="Times New Roman" w:hAnsi="Times New Roman"/>
                <w:sz w:val="24"/>
                <w:szCs w:val="24"/>
                <w:lang w:val="lv-LV"/>
              </w:rPr>
              <w:t>) un</w:t>
            </w:r>
            <w:r w:rsidR="00092F04" w:rsidRPr="00E70EAD">
              <w:rPr>
                <w:rFonts w:ascii="Times New Roman" w:hAnsi="Times New Roman"/>
                <w:sz w:val="24"/>
                <w:szCs w:val="24"/>
              </w:rPr>
              <w:t xml:space="preserve"> biroja telpu uzkopšan</w:t>
            </w:r>
            <w:r w:rsidR="00092F04">
              <w:rPr>
                <w:rFonts w:ascii="Times New Roman" w:hAnsi="Times New Roman"/>
                <w:sz w:val="24"/>
                <w:szCs w:val="24"/>
              </w:rPr>
              <w:t>u</w:t>
            </w:r>
            <w:r w:rsidR="005D6DBF">
              <w:rPr>
                <w:rFonts w:ascii="Times New Roman" w:hAnsi="Times New Roman"/>
                <w:sz w:val="24"/>
                <w:szCs w:val="24"/>
                <w:lang w:val="lv-LV"/>
              </w:rPr>
              <w:t>.</w:t>
            </w:r>
          </w:p>
          <w:p w14:paraId="1821E885" w14:textId="68FC3D33" w:rsidR="00092F04" w:rsidRDefault="00D04E6C" w:rsidP="0068307F">
            <w:pPr>
              <w:pStyle w:val="ListParagraph"/>
              <w:spacing w:after="0" w:line="240" w:lineRule="auto"/>
              <w:ind w:left="360"/>
              <w:jc w:val="both"/>
              <w:rPr>
                <w:rFonts w:ascii="Times New Roman" w:hAnsi="Times New Roman"/>
                <w:sz w:val="24"/>
                <w:szCs w:val="24"/>
              </w:rPr>
            </w:pPr>
            <w:r w:rsidRPr="00E70EAD">
              <w:rPr>
                <w:rFonts w:ascii="Times New Roman" w:hAnsi="Times New Roman"/>
                <w:sz w:val="24"/>
                <w:szCs w:val="24"/>
              </w:rPr>
              <w:t xml:space="preserve"> </w:t>
            </w:r>
          </w:p>
          <w:p w14:paraId="60787EAE" w14:textId="0838163D" w:rsidR="00092F04" w:rsidRDefault="00092F04" w:rsidP="0068307F">
            <w:pPr>
              <w:pStyle w:val="ListParagraph"/>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1</w:t>
            </w:r>
            <w:r w:rsidRPr="00E70EAD">
              <w:rPr>
                <w:rFonts w:ascii="Times New Roman" w:hAnsi="Times New Roman"/>
                <w:sz w:val="24"/>
                <w:szCs w:val="24"/>
              </w:rPr>
              <w:t>0 m</w:t>
            </w:r>
            <w:r w:rsidRPr="00E70EAD">
              <w:rPr>
                <w:rFonts w:ascii="Times New Roman" w:hAnsi="Times New Roman"/>
                <w:sz w:val="24"/>
                <w:szCs w:val="24"/>
                <w:vertAlign w:val="superscript"/>
              </w:rPr>
              <w:t xml:space="preserve">2 </w:t>
            </w:r>
            <w:r w:rsidRPr="00E70EAD">
              <w:rPr>
                <w:rFonts w:ascii="Times New Roman" w:hAnsi="Times New Roman"/>
                <w:sz w:val="24"/>
                <w:szCs w:val="24"/>
              </w:rPr>
              <w:t xml:space="preserve">x 5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w:t>
            </w:r>
            <w:proofErr w:type="spellStart"/>
            <w:r w:rsidRPr="00E70EAD">
              <w:rPr>
                <w:rFonts w:ascii="Times New Roman" w:hAnsi="Times New Roman"/>
                <w:sz w:val="24"/>
                <w:szCs w:val="24"/>
              </w:rPr>
              <w:t>mēn</w:t>
            </w:r>
            <w:proofErr w:type="spellEnd"/>
            <w:r w:rsidRPr="00E70EAD">
              <w:rPr>
                <w:rFonts w:ascii="Times New Roman" w:hAnsi="Times New Roman"/>
                <w:sz w:val="24"/>
                <w:szCs w:val="24"/>
              </w:rPr>
              <w:t xml:space="preserve">. x 1,21 (PVN) x </w:t>
            </w:r>
            <w:r w:rsidRPr="00E70EAD">
              <w:rPr>
                <w:rFonts w:ascii="Times New Roman" w:hAnsi="Times New Roman"/>
                <w:sz w:val="24"/>
                <w:szCs w:val="24"/>
                <w:lang w:val="lv-LV"/>
              </w:rPr>
              <w:t xml:space="preserve">9 mēneši 2016.gadā vai </w:t>
            </w:r>
            <w:r w:rsidRPr="00E70EAD">
              <w:rPr>
                <w:rFonts w:ascii="Times New Roman" w:hAnsi="Times New Roman"/>
                <w:sz w:val="24"/>
                <w:szCs w:val="24"/>
              </w:rPr>
              <w:t>12 mēneši</w:t>
            </w:r>
            <w:r w:rsidRPr="00E70EAD">
              <w:rPr>
                <w:rFonts w:ascii="Times New Roman" w:hAnsi="Times New Roman"/>
                <w:sz w:val="24"/>
                <w:szCs w:val="24"/>
                <w:lang w:val="lv-LV"/>
              </w:rPr>
              <w:t xml:space="preserve"> 2017., 2018.</w:t>
            </w:r>
            <w:r>
              <w:rPr>
                <w:rFonts w:ascii="Times New Roman" w:hAnsi="Times New Roman"/>
                <w:sz w:val="24"/>
                <w:szCs w:val="24"/>
                <w:lang w:val="lv-LV"/>
              </w:rPr>
              <w:t>, 2019.</w:t>
            </w:r>
            <w:r w:rsidRPr="00E70EAD">
              <w:rPr>
                <w:rFonts w:ascii="Times New Roman" w:hAnsi="Times New Roman"/>
                <w:sz w:val="24"/>
                <w:szCs w:val="24"/>
                <w:lang w:val="lv-LV"/>
              </w:rPr>
              <w:t>gadā</w:t>
            </w:r>
          </w:p>
          <w:p w14:paraId="1C2FE726" w14:textId="6AB9DE7A" w:rsidR="005D6DBF" w:rsidRDefault="005D6DBF" w:rsidP="0068307F">
            <w:pPr>
              <w:pStyle w:val="ListParagraph"/>
              <w:spacing w:after="0" w:line="240" w:lineRule="auto"/>
              <w:ind w:left="360"/>
              <w:jc w:val="both"/>
              <w:rPr>
                <w:rFonts w:ascii="Times New Roman" w:hAnsi="Times New Roman"/>
                <w:sz w:val="24"/>
                <w:szCs w:val="24"/>
              </w:rPr>
            </w:pPr>
          </w:p>
          <w:p w14:paraId="4646826F" w14:textId="4111072C" w:rsidR="00D04E6C" w:rsidRPr="00E70EAD" w:rsidRDefault="00D04E6C" w:rsidP="00D04E6C">
            <w:pPr>
              <w:spacing w:after="0" w:line="240" w:lineRule="auto"/>
              <w:jc w:val="both"/>
              <w:rPr>
                <w:rFonts w:ascii="Times New Roman" w:hAnsi="Times New Roman"/>
                <w:sz w:val="24"/>
                <w:szCs w:val="24"/>
              </w:rPr>
            </w:pPr>
            <w:r w:rsidRPr="00E70EAD">
              <w:rPr>
                <w:rFonts w:ascii="Times New Roman" w:hAnsi="Times New Roman"/>
                <w:sz w:val="24"/>
                <w:szCs w:val="24"/>
              </w:rPr>
              <w:t>Izdevumi telpu uzturēšanai un nomai aprēķināti, piemērojot Ministru kabineta 2011.g</w:t>
            </w:r>
            <w:r w:rsidR="00E07130">
              <w:rPr>
                <w:rFonts w:ascii="Times New Roman" w:hAnsi="Times New Roman"/>
                <w:sz w:val="24"/>
                <w:szCs w:val="24"/>
              </w:rPr>
              <w:t>ada 18.janvāra ieteikumus Nr.1 „</w:t>
            </w:r>
            <w:r w:rsidRPr="00E70EAD">
              <w:rPr>
                <w:rFonts w:ascii="Times New Roman" w:hAnsi="Times New Roman"/>
                <w:sz w:val="24"/>
                <w:szCs w:val="24"/>
              </w:rPr>
              <w:t>Vienotās prasības v</w:t>
            </w:r>
            <w:r w:rsidR="00E07130">
              <w:rPr>
                <w:rFonts w:ascii="Times New Roman" w:hAnsi="Times New Roman"/>
                <w:sz w:val="24"/>
                <w:szCs w:val="24"/>
              </w:rPr>
              <w:t>alsts institūciju biroju telpām”</w:t>
            </w:r>
            <w:r w:rsidRPr="00E70EAD">
              <w:rPr>
                <w:rFonts w:ascii="Times New Roman" w:hAnsi="Times New Roman"/>
                <w:sz w:val="24"/>
                <w:szCs w:val="24"/>
              </w:rPr>
              <w:t xml:space="preserve"> nosacījumus, kā arī izmantojot telpu uzturēšanas pakalpojumu sniedzēju publiskotās reklāmas. Saskaņā ar minēto MK ieteikumu 1.pielikuma 2.2.1.apakšpunktu viena darbinieka nosacītās darba vietas vidējā aprēķinātā platība ir 10 m</w:t>
            </w:r>
            <w:r w:rsidRPr="00E70EAD">
              <w:rPr>
                <w:rFonts w:ascii="Times New Roman" w:hAnsi="Times New Roman"/>
                <w:sz w:val="24"/>
                <w:szCs w:val="24"/>
                <w:vertAlign w:val="superscript"/>
              </w:rPr>
              <w:t>2</w:t>
            </w:r>
            <w:r w:rsidRPr="00E70EAD">
              <w:rPr>
                <w:rFonts w:ascii="Times New Roman" w:hAnsi="Times New Roman"/>
                <w:sz w:val="24"/>
                <w:szCs w:val="24"/>
              </w:rPr>
              <w:t>.</w:t>
            </w:r>
          </w:p>
          <w:p w14:paraId="1A06A5D5" w14:textId="1F2876E1" w:rsidR="00D04E6C" w:rsidRPr="00E70EAD" w:rsidRDefault="00D04E6C" w:rsidP="00D04E6C">
            <w:pPr>
              <w:spacing w:after="0" w:line="240" w:lineRule="auto"/>
              <w:jc w:val="both"/>
              <w:rPr>
                <w:rFonts w:ascii="Times New Roman" w:hAnsi="Times New Roman"/>
                <w:sz w:val="24"/>
                <w:szCs w:val="24"/>
              </w:rPr>
            </w:pPr>
            <w:r w:rsidRPr="00E70EAD">
              <w:rPr>
                <w:rFonts w:ascii="Times New Roman" w:hAnsi="Times New Roman"/>
                <w:sz w:val="24"/>
                <w:szCs w:val="24"/>
              </w:rPr>
              <w:t xml:space="preserve">           2) Biroja darba telpu iekārtošana un aprīkojums  (izdevumi nepieciešami 2016.gadā): </w:t>
            </w:r>
            <w:r w:rsidR="001B0551">
              <w:rPr>
                <w:rFonts w:ascii="Times New Roman" w:hAnsi="Times New Roman"/>
                <w:sz w:val="24"/>
                <w:szCs w:val="24"/>
              </w:rPr>
              <w:t>1793</w:t>
            </w:r>
            <w:r w:rsidR="001B0551" w:rsidRPr="00E70EAD">
              <w:rPr>
                <w:rFonts w:ascii="Times New Roman" w:hAnsi="Times New Roman"/>
                <w:sz w:val="24"/>
                <w:szCs w:val="24"/>
              </w:rPr>
              <w:t xml:space="preserve">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w:t>
            </w:r>
          </w:p>
          <w:p w14:paraId="0C149720" w14:textId="6EE92291" w:rsidR="00D04E6C" w:rsidRPr="00E70EAD" w:rsidRDefault="00D04E6C" w:rsidP="00D04E6C">
            <w:pPr>
              <w:pStyle w:val="ListParagraph"/>
              <w:numPr>
                <w:ilvl w:val="0"/>
                <w:numId w:val="14"/>
              </w:numPr>
              <w:spacing w:after="0" w:line="240" w:lineRule="auto"/>
              <w:jc w:val="both"/>
              <w:rPr>
                <w:rFonts w:ascii="Times New Roman" w:hAnsi="Times New Roman"/>
                <w:sz w:val="24"/>
                <w:szCs w:val="24"/>
              </w:rPr>
            </w:pPr>
            <w:r w:rsidRPr="00E70EAD">
              <w:rPr>
                <w:rFonts w:ascii="Times New Roman" w:hAnsi="Times New Roman"/>
                <w:sz w:val="24"/>
                <w:szCs w:val="24"/>
              </w:rPr>
              <w:t xml:space="preserve">Darba vietas izveidošana 1 darbiniekiem: 1 x </w:t>
            </w:r>
            <w:r w:rsidR="001B0551">
              <w:rPr>
                <w:rFonts w:ascii="Times New Roman" w:hAnsi="Times New Roman"/>
                <w:sz w:val="24"/>
                <w:szCs w:val="24"/>
                <w:lang w:val="lv-LV"/>
              </w:rPr>
              <w:t xml:space="preserve">1793 </w:t>
            </w:r>
            <w:proofErr w:type="spellStart"/>
            <w:r w:rsidR="001B0551">
              <w:rPr>
                <w:rFonts w:ascii="Times New Roman" w:hAnsi="Times New Roman"/>
                <w:i/>
                <w:sz w:val="24"/>
                <w:szCs w:val="24"/>
                <w:lang w:val="lv-LV"/>
              </w:rPr>
              <w:t>euro</w:t>
            </w:r>
            <w:proofErr w:type="spellEnd"/>
            <w:r w:rsidR="001B0551" w:rsidRPr="00E70EAD">
              <w:rPr>
                <w:rFonts w:ascii="Times New Roman" w:hAnsi="Times New Roman"/>
                <w:sz w:val="24"/>
                <w:szCs w:val="24"/>
              </w:rPr>
              <w:t xml:space="preserve"> </w:t>
            </w:r>
            <w:r w:rsidRPr="00E70EAD">
              <w:rPr>
                <w:rFonts w:ascii="Times New Roman" w:hAnsi="Times New Roman"/>
                <w:sz w:val="24"/>
                <w:szCs w:val="24"/>
              </w:rPr>
              <w:t xml:space="preserve">Attālinātam darbam un komandējumiem nepieciešamais portatīvais dators </w:t>
            </w:r>
            <w:r w:rsidR="001B0551">
              <w:rPr>
                <w:rFonts w:ascii="Times New Roman" w:hAnsi="Times New Roman"/>
                <w:sz w:val="24"/>
                <w:szCs w:val="24"/>
                <w:lang w:val="lv-LV"/>
              </w:rPr>
              <w:t>1110</w:t>
            </w:r>
            <w:r w:rsidR="001B0551" w:rsidRPr="00E70EAD">
              <w:rPr>
                <w:rFonts w:ascii="Times New Roman" w:hAnsi="Times New Roman"/>
                <w:sz w:val="24"/>
                <w:szCs w:val="24"/>
              </w:rPr>
              <w:t xml:space="preserve">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w:t>
            </w:r>
            <w:r w:rsidR="001B0551">
              <w:rPr>
                <w:rFonts w:ascii="Times New Roman" w:hAnsi="Times New Roman"/>
                <w:sz w:val="24"/>
                <w:szCs w:val="24"/>
                <w:lang w:val="lv-LV"/>
              </w:rPr>
              <w:t xml:space="preserve">Biroja telpām – galds, 285 </w:t>
            </w:r>
            <w:proofErr w:type="spellStart"/>
            <w:r w:rsidR="001B0551" w:rsidRPr="0068307F">
              <w:rPr>
                <w:rFonts w:ascii="Times New Roman" w:hAnsi="Times New Roman"/>
                <w:i/>
                <w:sz w:val="24"/>
                <w:szCs w:val="24"/>
                <w:lang w:val="lv-LV"/>
              </w:rPr>
              <w:t>euro</w:t>
            </w:r>
            <w:proofErr w:type="spellEnd"/>
            <w:r w:rsidR="001B0551">
              <w:rPr>
                <w:rFonts w:ascii="Times New Roman" w:hAnsi="Times New Roman"/>
                <w:sz w:val="24"/>
                <w:szCs w:val="24"/>
                <w:lang w:val="lv-LV"/>
              </w:rPr>
              <w:t xml:space="preserve">, </w:t>
            </w:r>
            <w:r w:rsidR="001B0551" w:rsidRPr="0068307F">
              <w:rPr>
                <w:rFonts w:ascii="Times New Roman" w:hAnsi="Times New Roman"/>
                <w:sz w:val="24"/>
                <w:szCs w:val="24"/>
                <w:lang w:val="lv-LV"/>
              </w:rPr>
              <w:t xml:space="preserve">krēsls </w:t>
            </w:r>
            <w:r w:rsidR="001B0551">
              <w:rPr>
                <w:rFonts w:ascii="Times New Roman" w:hAnsi="Times New Roman"/>
                <w:i/>
                <w:sz w:val="24"/>
                <w:szCs w:val="24"/>
                <w:lang w:val="lv-LV"/>
              </w:rPr>
              <w:t xml:space="preserve">– </w:t>
            </w:r>
            <w:r w:rsidR="001B0551">
              <w:rPr>
                <w:rFonts w:ascii="Times New Roman" w:hAnsi="Times New Roman"/>
                <w:sz w:val="24"/>
                <w:szCs w:val="24"/>
                <w:lang w:val="lv-LV"/>
              </w:rPr>
              <w:t xml:space="preserve">185 </w:t>
            </w:r>
            <w:proofErr w:type="spellStart"/>
            <w:r w:rsidR="001B0551">
              <w:rPr>
                <w:rFonts w:ascii="Times New Roman" w:hAnsi="Times New Roman"/>
                <w:i/>
                <w:sz w:val="24"/>
                <w:szCs w:val="24"/>
                <w:lang w:val="lv-LV"/>
              </w:rPr>
              <w:t>euro</w:t>
            </w:r>
            <w:proofErr w:type="spellEnd"/>
            <w:r w:rsidR="001B0551">
              <w:rPr>
                <w:rFonts w:ascii="Times New Roman" w:hAnsi="Times New Roman"/>
                <w:i/>
                <w:sz w:val="24"/>
                <w:szCs w:val="24"/>
                <w:lang w:val="lv-LV"/>
              </w:rPr>
              <w:t xml:space="preserve">, </w:t>
            </w:r>
            <w:r w:rsidR="001B0551">
              <w:rPr>
                <w:rFonts w:ascii="Times New Roman" w:hAnsi="Times New Roman"/>
                <w:sz w:val="24"/>
                <w:szCs w:val="24"/>
                <w:lang w:val="lv-LV"/>
              </w:rPr>
              <w:t>telefons –</w:t>
            </w:r>
            <w:r w:rsidR="001B0551" w:rsidRPr="001B0551">
              <w:rPr>
                <w:rFonts w:ascii="Times New Roman" w:hAnsi="Times New Roman"/>
                <w:sz w:val="24"/>
                <w:szCs w:val="24"/>
                <w:lang w:val="lv-LV"/>
              </w:rPr>
              <w:t xml:space="preserve"> 213 </w:t>
            </w:r>
            <w:proofErr w:type="spellStart"/>
            <w:r w:rsidR="001B0551">
              <w:rPr>
                <w:rFonts w:ascii="Times New Roman" w:hAnsi="Times New Roman"/>
                <w:i/>
                <w:sz w:val="24"/>
                <w:szCs w:val="24"/>
                <w:lang w:val="lv-LV"/>
              </w:rPr>
              <w:t>euro</w:t>
            </w:r>
            <w:proofErr w:type="spellEnd"/>
            <w:r w:rsidR="001B0551">
              <w:rPr>
                <w:rFonts w:ascii="Times New Roman" w:hAnsi="Times New Roman"/>
                <w:i/>
                <w:sz w:val="24"/>
                <w:szCs w:val="24"/>
                <w:lang w:val="lv-LV"/>
              </w:rPr>
              <w:t>.</w:t>
            </w:r>
          </w:p>
          <w:p w14:paraId="64414E37" w14:textId="043F21A0" w:rsidR="00D04E6C" w:rsidRPr="00E70EAD" w:rsidRDefault="00D04E6C" w:rsidP="00D04E6C">
            <w:pPr>
              <w:spacing w:after="0" w:line="240" w:lineRule="auto"/>
              <w:jc w:val="both"/>
              <w:rPr>
                <w:rFonts w:ascii="Times New Roman" w:hAnsi="Times New Roman"/>
                <w:sz w:val="24"/>
                <w:szCs w:val="24"/>
              </w:rPr>
            </w:pPr>
            <w:r w:rsidRPr="00E70EAD">
              <w:rPr>
                <w:rFonts w:ascii="Times New Roman" w:hAnsi="Times New Roman"/>
                <w:sz w:val="24"/>
                <w:szCs w:val="24"/>
              </w:rPr>
              <w:t xml:space="preserve">            3) Darbam nepieciešamie izdevumi </w:t>
            </w:r>
            <w:r w:rsidR="00664707">
              <w:rPr>
                <w:rFonts w:ascii="Times New Roman" w:hAnsi="Times New Roman"/>
                <w:sz w:val="24"/>
                <w:szCs w:val="24"/>
              </w:rPr>
              <w:t>342</w:t>
            </w:r>
            <w:r w:rsidR="00664707" w:rsidRPr="00E70EAD">
              <w:rPr>
                <w:rFonts w:ascii="Times New Roman" w:hAnsi="Times New Roman"/>
                <w:sz w:val="24"/>
                <w:szCs w:val="24"/>
              </w:rPr>
              <w:t xml:space="preserve"> </w:t>
            </w:r>
            <w:proofErr w:type="spellStart"/>
            <w:r w:rsidRPr="00E70EAD">
              <w:rPr>
                <w:rFonts w:ascii="Times New Roman" w:hAnsi="Times New Roman"/>
                <w:i/>
                <w:sz w:val="24"/>
                <w:szCs w:val="24"/>
              </w:rPr>
              <w:t>euro</w:t>
            </w:r>
            <w:proofErr w:type="spellEnd"/>
            <w:r w:rsidRPr="00E70EAD">
              <w:rPr>
                <w:rFonts w:ascii="Times New Roman" w:hAnsi="Times New Roman"/>
                <w:i/>
                <w:sz w:val="24"/>
                <w:szCs w:val="24"/>
              </w:rPr>
              <w:t xml:space="preserve"> </w:t>
            </w:r>
            <w:r w:rsidRPr="00E70EAD">
              <w:rPr>
                <w:rFonts w:ascii="Times New Roman" w:hAnsi="Times New Roman"/>
                <w:sz w:val="24"/>
                <w:szCs w:val="24"/>
              </w:rPr>
              <w:t xml:space="preserve">2016.g. </w:t>
            </w:r>
            <w:r w:rsidR="00664707">
              <w:rPr>
                <w:rFonts w:ascii="Times New Roman" w:hAnsi="Times New Roman"/>
                <w:sz w:val="24"/>
                <w:szCs w:val="24"/>
              </w:rPr>
              <w:t>456</w:t>
            </w:r>
            <w:r w:rsidR="00664707" w:rsidRPr="00E70EAD">
              <w:rPr>
                <w:rFonts w:ascii="Times New Roman" w:hAnsi="Times New Roman"/>
                <w:sz w:val="24"/>
                <w:szCs w:val="24"/>
              </w:rPr>
              <w:t xml:space="preserve"> </w:t>
            </w:r>
            <w:proofErr w:type="spellStart"/>
            <w:r w:rsidRPr="00E70EAD">
              <w:rPr>
                <w:rFonts w:ascii="Times New Roman" w:hAnsi="Times New Roman"/>
                <w:i/>
                <w:sz w:val="24"/>
                <w:szCs w:val="24"/>
              </w:rPr>
              <w:t>euro</w:t>
            </w:r>
            <w:proofErr w:type="spellEnd"/>
            <w:r w:rsidRPr="00E70EAD">
              <w:rPr>
                <w:rFonts w:ascii="Times New Roman" w:hAnsi="Times New Roman"/>
                <w:i/>
                <w:sz w:val="24"/>
                <w:szCs w:val="24"/>
              </w:rPr>
              <w:t xml:space="preserve"> </w:t>
            </w:r>
            <w:r w:rsidRPr="00E70EAD">
              <w:rPr>
                <w:rFonts w:ascii="Times New Roman" w:hAnsi="Times New Roman"/>
                <w:sz w:val="24"/>
                <w:szCs w:val="24"/>
              </w:rPr>
              <w:t>2017., 2018.</w:t>
            </w:r>
            <w:r w:rsidR="00664707">
              <w:rPr>
                <w:rFonts w:ascii="Times New Roman" w:hAnsi="Times New Roman"/>
                <w:sz w:val="24"/>
                <w:szCs w:val="24"/>
              </w:rPr>
              <w:t>, 2019.</w:t>
            </w:r>
            <w:r w:rsidRPr="00E70EAD">
              <w:rPr>
                <w:rFonts w:ascii="Times New Roman" w:hAnsi="Times New Roman"/>
                <w:sz w:val="24"/>
                <w:szCs w:val="24"/>
              </w:rPr>
              <w:t xml:space="preserve">g. (2016. 9 mēneši, 2017., 2018.g.), aprēķins </w:t>
            </w:r>
            <w:r w:rsidR="0083003B">
              <w:rPr>
                <w:rFonts w:ascii="Times New Roman" w:hAnsi="Times New Roman"/>
                <w:sz w:val="24"/>
                <w:szCs w:val="24"/>
              </w:rPr>
              <w:t>38</w:t>
            </w:r>
            <w:r w:rsidR="0083003B" w:rsidRPr="00E70EAD">
              <w:rPr>
                <w:rFonts w:ascii="Times New Roman" w:hAnsi="Times New Roman"/>
                <w:sz w:val="24"/>
                <w:szCs w:val="24"/>
              </w:rPr>
              <w:t xml:space="preserve">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/mēnesī (kancelejas preces, sakari) x 9 mēneši 2016.g. vai 12 </w:t>
            </w:r>
            <w:proofErr w:type="spellStart"/>
            <w:r w:rsidRPr="00E70EAD">
              <w:rPr>
                <w:rFonts w:ascii="Times New Roman" w:hAnsi="Times New Roman"/>
                <w:sz w:val="24"/>
                <w:szCs w:val="24"/>
              </w:rPr>
              <w:t>mēn</w:t>
            </w:r>
            <w:proofErr w:type="spellEnd"/>
            <w:r w:rsidRPr="00E70EAD">
              <w:rPr>
                <w:rFonts w:ascii="Times New Roman" w:hAnsi="Times New Roman"/>
                <w:sz w:val="24"/>
                <w:szCs w:val="24"/>
              </w:rPr>
              <w:t>. 2017., 2018.</w:t>
            </w:r>
            <w:r w:rsidR="0083003B">
              <w:rPr>
                <w:rFonts w:ascii="Times New Roman" w:hAnsi="Times New Roman"/>
                <w:sz w:val="24"/>
                <w:szCs w:val="24"/>
              </w:rPr>
              <w:t>, 2019.</w:t>
            </w:r>
            <w:r w:rsidRPr="00E70EAD">
              <w:rPr>
                <w:rFonts w:ascii="Times New Roman" w:hAnsi="Times New Roman"/>
                <w:sz w:val="24"/>
                <w:szCs w:val="24"/>
              </w:rPr>
              <w:t xml:space="preserve">g.  </w:t>
            </w:r>
          </w:p>
          <w:p w14:paraId="3862868C" w14:textId="1A358690" w:rsidR="00D04E6C" w:rsidRPr="00E70EAD" w:rsidRDefault="00D04E6C" w:rsidP="00D04E6C">
            <w:pPr>
              <w:spacing w:after="0" w:line="240" w:lineRule="auto"/>
              <w:jc w:val="both"/>
              <w:rPr>
                <w:rFonts w:ascii="Times New Roman" w:hAnsi="Times New Roman"/>
                <w:sz w:val="24"/>
                <w:szCs w:val="24"/>
              </w:rPr>
            </w:pPr>
            <w:r w:rsidRPr="00E70EAD">
              <w:rPr>
                <w:rFonts w:ascii="Times New Roman" w:hAnsi="Times New Roman"/>
                <w:sz w:val="24"/>
                <w:szCs w:val="24"/>
              </w:rPr>
              <w:t xml:space="preserve">           4) Komandējumi 1480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(2016., 2017., 2018. g.)  uz ārzemēm nepieciešami 2 ārvalstu komandējumi gadā (dienas nauda, vidēji: 40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x 2 dienas x 2 braucieni = 160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naktsmītnes apmaksa, vidēji: 80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x 4 naktis=320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ceļa izdevumi, vidēji – 500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x 2 = 1000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w:t>
            </w:r>
          </w:p>
          <w:p w14:paraId="36D07849" w14:textId="24A54BFC" w:rsidR="00D04E6C" w:rsidRDefault="00D04E6C" w:rsidP="00F96780">
            <w:pPr>
              <w:spacing w:after="0" w:line="240" w:lineRule="auto"/>
              <w:rPr>
                <w:rFonts w:ascii="Times New Roman" w:hAnsi="Times New Roman"/>
                <w:sz w:val="24"/>
                <w:szCs w:val="24"/>
              </w:rPr>
            </w:pPr>
            <w:r w:rsidRPr="00E70EAD">
              <w:rPr>
                <w:rFonts w:ascii="Times New Roman" w:hAnsi="Times New Roman"/>
                <w:sz w:val="24"/>
                <w:szCs w:val="24"/>
              </w:rPr>
              <w:t xml:space="preserve">           5) Atlīdzība gadā 1 darbiniekam 11 056 </w:t>
            </w:r>
            <w:proofErr w:type="spellStart"/>
            <w:r w:rsidRPr="00E70EAD">
              <w:rPr>
                <w:rFonts w:ascii="Times New Roman" w:hAnsi="Times New Roman"/>
                <w:i/>
                <w:sz w:val="24"/>
                <w:szCs w:val="24"/>
              </w:rPr>
              <w:t>euro</w:t>
            </w:r>
            <w:proofErr w:type="spellEnd"/>
            <w:r w:rsidRPr="00E70EAD">
              <w:rPr>
                <w:rFonts w:ascii="Times New Roman" w:hAnsi="Times New Roman"/>
                <w:i/>
                <w:sz w:val="24"/>
                <w:szCs w:val="24"/>
              </w:rPr>
              <w:t xml:space="preserve"> </w:t>
            </w:r>
            <w:r w:rsidRPr="00E70EAD">
              <w:rPr>
                <w:rFonts w:ascii="Times New Roman" w:hAnsi="Times New Roman"/>
                <w:sz w:val="24"/>
                <w:szCs w:val="24"/>
              </w:rPr>
              <w:t xml:space="preserve">2016.g., 14742 </w:t>
            </w:r>
            <w:proofErr w:type="spellStart"/>
            <w:r w:rsidRPr="00E70EAD">
              <w:rPr>
                <w:rFonts w:ascii="Times New Roman" w:hAnsi="Times New Roman"/>
                <w:i/>
                <w:sz w:val="24"/>
                <w:szCs w:val="24"/>
              </w:rPr>
              <w:t>euro</w:t>
            </w:r>
            <w:proofErr w:type="spellEnd"/>
            <w:r w:rsidRPr="00E70EAD">
              <w:rPr>
                <w:rFonts w:ascii="Times New Roman" w:hAnsi="Times New Roman"/>
                <w:i/>
                <w:sz w:val="24"/>
                <w:szCs w:val="24"/>
              </w:rPr>
              <w:t xml:space="preserve"> </w:t>
            </w:r>
            <w:r w:rsidRPr="00E70EAD">
              <w:rPr>
                <w:rFonts w:ascii="Times New Roman" w:hAnsi="Times New Roman"/>
                <w:sz w:val="24"/>
                <w:szCs w:val="24"/>
              </w:rPr>
              <w:t>2017., 2018.</w:t>
            </w:r>
            <w:r w:rsidR="009F4C10">
              <w:rPr>
                <w:rFonts w:ascii="Times New Roman" w:hAnsi="Times New Roman"/>
                <w:sz w:val="24"/>
                <w:szCs w:val="24"/>
              </w:rPr>
              <w:t>, 2019.</w:t>
            </w:r>
            <w:r w:rsidRPr="00E70EAD">
              <w:rPr>
                <w:rFonts w:ascii="Times New Roman" w:hAnsi="Times New Roman"/>
                <w:sz w:val="24"/>
                <w:szCs w:val="24"/>
              </w:rPr>
              <w:t xml:space="preserve">g.: 994,00 </w:t>
            </w:r>
            <w:proofErr w:type="spellStart"/>
            <w:r w:rsidRPr="00E70EAD">
              <w:rPr>
                <w:rFonts w:ascii="Times New Roman" w:hAnsi="Times New Roman"/>
                <w:i/>
                <w:sz w:val="24"/>
                <w:szCs w:val="24"/>
              </w:rPr>
              <w:t>euro</w:t>
            </w:r>
            <w:proofErr w:type="spellEnd"/>
            <w:r w:rsidRPr="00E70EAD">
              <w:rPr>
                <w:rFonts w:ascii="Times New Roman" w:hAnsi="Times New Roman"/>
                <w:sz w:val="24"/>
                <w:szCs w:val="24"/>
              </w:rPr>
              <w:t xml:space="preserve"> /mēnesī x 1,2359 x 9 mēneši 2016.g. vai 12 mēneši 2017., 2018.</w:t>
            </w:r>
            <w:r w:rsidR="007001F5">
              <w:rPr>
                <w:rFonts w:ascii="Times New Roman" w:hAnsi="Times New Roman"/>
                <w:sz w:val="24"/>
                <w:szCs w:val="24"/>
              </w:rPr>
              <w:t>, 2019.</w:t>
            </w:r>
            <w:r w:rsidRPr="00E70EAD">
              <w:rPr>
                <w:rFonts w:ascii="Times New Roman" w:hAnsi="Times New Roman"/>
                <w:sz w:val="24"/>
                <w:szCs w:val="24"/>
              </w:rPr>
              <w:t xml:space="preserve">g., eksperta štata vieta ar kvalifikācijas līmeni saskaņā ar </w:t>
            </w:r>
            <w:r w:rsidRPr="00E70EAD">
              <w:rPr>
                <w:rFonts w:ascii="Times New Roman" w:hAnsi="Times New Roman"/>
                <w:sz w:val="24"/>
                <w:szCs w:val="24"/>
                <w:lang w:eastAsia="lv-LV"/>
              </w:rPr>
              <w:t>36.amatu saimes II līmeni, 9.mēnešalgu grupas 3.kategoriju.</w:t>
            </w:r>
            <w:r w:rsidRPr="00E70EAD">
              <w:rPr>
                <w:rFonts w:ascii="Times New Roman" w:hAnsi="Times New Roman"/>
                <w:sz w:val="24"/>
                <w:szCs w:val="24"/>
              </w:rPr>
              <w:t xml:space="preserve"> </w:t>
            </w:r>
          </w:p>
          <w:p w14:paraId="2FC66A3A" w14:textId="20E279F8" w:rsidR="000433FA" w:rsidRPr="00E70EAD" w:rsidRDefault="000433FA" w:rsidP="00F96780">
            <w:pPr>
              <w:spacing w:after="0" w:line="240" w:lineRule="auto"/>
              <w:jc w:val="both"/>
            </w:pPr>
            <w:r>
              <w:rPr>
                <w:rFonts w:ascii="Times New Roman" w:hAnsi="Times New Roman"/>
                <w:sz w:val="24"/>
                <w:szCs w:val="24"/>
              </w:rPr>
              <w:t xml:space="preserve">           6) Neparedzētie izdevumi ir plānoti, ņemot vērā, ka grozījumu direktīvas ieviešana notiek visās dalībvalstīs un daž</w:t>
            </w:r>
            <w:r w:rsidR="00861277">
              <w:rPr>
                <w:rFonts w:ascii="Times New Roman" w:hAnsi="Times New Roman"/>
                <w:sz w:val="24"/>
                <w:szCs w:val="24"/>
              </w:rPr>
              <w:t>ādus</w:t>
            </w:r>
            <w:r>
              <w:rPr>
                <w:rFonts w:ascii="Times New Roman" w:hAnsi="Times New Roman"/>
                <w:sz w:val="24"/>
                <w:szCs w:val="24"/>
              </w:rPr>
              <w:t xml:space="preserve"> pas</w:t>
            </w:r>
            <w:r w:rsidR="00861277">
              <w:rPr>
                <w:rFonts w:ascii="Times New Roman" w:hAnsi="Times New Roman"/>
                <w:sz w:val="24"/>
                <w:szCs w:val="24"/>
              </w:rPr>
              <w:t>ākumus</w:t>
            </w:r>
            <w:r>
              <w:rPr>
                <w:rFonts w:ascii="Times New Roman" w:hAnsi="Times New Roman"/>
                <w:sz w:val="24"/>
                <w:szCs w:val="24"/>
              </w:rPr>
              <w:t>, kā sanāksmes, semināri</w:t>
            </w:r>
            <w:r w:rsidR="00861277">
              <w:rPr>
                <w:rFonts w:ascii="Times New Roman" w:hAnsi="Times New Roman"/>
                <w:sz w:val="24"/>
                <w:szCs w:val="24"/>
              </w:rPr>
              <w:t>,</w:t>
            </w:r>
            <w:r>
              <w:rPr>
                <w:rFonts w:ascii="Times New Roman" w:hAnsi="Times New Roman"/>
                <w:sz w:val="24"/>
                <w:szCs w:val="24"/>
              </w:rPr>
              <w:t xml:space="preserve"> </w:t>
            </w:r>
            <w:r w:rsidR="00861277">
              <w:rPr>
                <w:rFonts w:ascii="Times New Roman" w:hAnsi="Times New Roman"/>
                <w:sz w:val="24"/>
                <w:szCs w:val="24"/>
              </w:rPr>
              <w:t xml:space="preserve">Eiropas Komisija var </w:t>
            </w:r>
            <w:r>
              <w:rPr>
                <w:rFonts w:ascii="Times New Roman" w:hAnsi="Times New Roman"/>
                <w:sz w:val="24"/>
                <w:szCs w:val="24"/>
              </w:rPr>
              <w:t>organiz</w:t>
            </w:r>
            <w:r w:rsidR="00861277">
              <w:rPr>
                <w:rFonts w:ascii="Times New Roman" w:hAnsi="Times New Roman"/>
                <w:sz w:val="24"/>
                <w:szCs w:val="24"/>
              </w:rPr>
              <w:t>ēt, par to informējot īsi pirms sanāksmes</w:t>
            </w:r>
            <w:r>
              <w:rPr>
                <w:rFonts w:ascii="Times New Roman" w:hAnsi="Times New Roman"/>
                <w:sz w:val="24"/>
                <w:szCs w:val="24"/>
              </w:rPr>
              <w:t xml:space="preserve"> un to </w:t>
            </w:r>
            <w:r w:rsidR="00861277">
              <w:rPr>
                <w:rFonts w:ascii="Times New Roman" w:hAnsi="Times New Roman"/>
                <w:sz w:val="24"/>
                <w:szCs w:val="24"/>
              </w:rPr>
              <w:t xml:space="preserve">norises laiku </w:t>
            </w:r>
            <w:r>
              <w:rPr>
                <w:rFonts w:ascii="Times New Roman" w:hAnsi="Times New Roman"/>
                <w:sz w:val="24"/>
                <w:szCs w:val="24"/>
              </w:rPr>
              <w:t>nav iespējams paredzēt</w:t>
            </w:r>
            <w:r w:rsidR="00861277">
              <w:rPr>
                <w:rFonts w:ascii="Times New Roman" w:hAnsi="Times New Roman"/>
                <w:sz w:val="24"/>
                <w:szCs w:val="24"/>
              </w:rPr>
              <w:t xml:space="preserve"> un ietekmēt, līdz ar to precīzi paredzēt budžetā.</w:t>
            </w:r>
          </w:p>
          <w:p w14:paraId="76A350AC" w14:textId="2B6DE0E2" w:rsidR="00D04E6C" w:rsidRPr="00E70EAD" w:rsidRDefault="00D04E6C" w:rsidP="00D04E6C">
            <w:pPr>
              <w:spacing w:after="0" w:line="240" w:lineRule="auto"/>
              <w:jc w:val="center"/>
              <w:rPr>
                <w:rFonts w:ascii="Times New Roman" w:hAnsi="Times New Roman"/>
                <w:sz w:val="24"/>
                <w:szCs w:val="24"/>
              </w:rPr>
            </w:pPr>
          </w:p>
          <w:p w14:paraId="725AD39D" w14:textId="0764E52A" w:rsidR="00D04E6C" w:rsidRPr="00205354" w:rsidRDefault="00F12AFC" w:rsidP="00D04E6C">
            <w:pPr>
              <w:spacing w:after="0" w:line="240" w:lineRule="auto"/>
              <w:jc w:val="center"/>
              <w:rPr>
                <w:rFonts w:ascii="Times New Roman" w:hAnsi="Times New Roman"/>
                <w:b/>
                <w:sz w:val="24"/>
                <w:szCs w:val="24"/>
              </w:rPr>
            </w:pPr>
            <w:r>
              <w:rPr>
                <w:rFonts w:ascii="Times New Roman" w:hAnsi="Times New Roman"/>
                <w:sz w:val="24"/>
                <w:szCs w:val="24"/>
              </w:rPr>
              <w:t>3</w:t>
            </w:r>
            <w:r w:rsidR="00D04E6C" w:rsidRPr="00E70EAD">
              <w:rPr>
                <w:rFonts w:ascii="Times New Roman" w:hAnsi="Times New Roman"/>
                <w:sz w:val="24"/>
                <w:szCs w:val="24"/>
              </w:rPr>
              <w:t xml:space="preserve">. tabula. </w:t>
            </w:r>
            <w:r w:rsidR="00D04E6C" w:rsidRPr="00205354">
              <w:rPr>
                <w:rFonts w:ascii="Times New Roman" w:hAnsi="Times New Roman"/>
                <w:b/>
                <w:sz w:val="24"/>
                <w:szCs w:val="24"/>
              </w:rPr>
              <w:t xml:space="preserve">Kopsavilkums par nepieciešamajiem izdevumiem </w:t>
            </w:r>
            <w:r w:rsidR="00C73B10" w:rsidRPr="00205354">
              <w:rPr>
                <w:rFonts w:ascii="Times New Roman" w:hAnsi="Times New Roman"/>
                <w:b/>
                <w:sz w:val="24"/>
                <w:szCs w:val="24"/>
              </w:rPr>
              <w:t>AIC, lai nodrošinātu EPK izdošanu un brīdinājum</w:t>
            </w:r>
            <w:r w:rsidR="00525780">
              <w:rPr>
                <w:rFonts w:ascii="Times New Roman" w:hAnsi="Times New Roman"/>
                <w:b/>
                <w:sz w:val="24"/>
                <w:szCs w:val="24"/>
              </w:rPr>
              <w:t>u</w:t>
            </w:r>
            <w:r w:rsidR="00C73B10" w:rsidRPr="00205354">
              <w:rPr>
                <w:rFonts w:ascii="Times New Roman" w:hAnsi="Times New Roman"/>
                <w:b/>
                <w:sz w:val="24"/>
                <w:szCs w:val="24"/>
              </w:rPr>
              <w:t xml:space="preserve"> </w:t>
            </w:r>
            <w:r w:rsidR="00525780">
              <w:rPr>
                <w:rFonts w:ascii="Times New Roman" w:hAnsi="Times New Roman"/>
                <w:b/>
                <w:sz w:val="24"/>
                <w:szCs w:val="24"/>
              </w:rPr>
              <w:t>saņemšanas un izsūtīšanas</w:t>
            </w:r>
            <w:r w:rsidR="00C73B10" w:rsidRPr="00205354">
              <w:rPr>
                <w:rFonts w:ascii="Times New Roman" w:hAnsi="Times New Roman"/>
                <w:b/>
                <w:sz w:val="24"/>
                <w:szCs w:val="24"/>
              </w:rPr>
              <w:t xml:space="preserve"> īstenošanu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469"/>
              <w:gridCol w:w="1469"/>
              <w:gridCol w:w="1469"/>
              <w:gridCol w:w="1255"/>
            </w:tblGrid>
            <w:tr w:rsidR="00E82750" w:rsidRPr="005176A1" w14:paraId="04EB3DB9" w14:textId="3AE7081F" w:rsidTr="0068307F">
              <w:tc>
                <w:tcPr>
                  <w:tcW w:w="1787" w:type="dxa"/>
                  <w:tcBorders>
                    <w:top w:val="single" w:sz="4" w:space="0" w:color="auto"/>
                    <w:left w:val="single" w:sz="4" w:space="0" w:color="auto"/>
                    <w:bottom w:val="single" w:sz="4" w:space="0" w:color="auto"/>
                    <w:right w:val="single" w:sz="4" w:space="0" w:color="auto"/>
                  </w:tcBorders>
                </w:tcPr>
                <w:p w14:paraId="21751510" w14:textId="44B8355B" w:rsidR="00E82750" w:rsidRPr="005176A1" w:rsidRDefault="00E82750" w:rsidP="00D04E6C">
                  <w:pPr>
                    <w:spacing w:after="0" w:line="240" w:lineRule="auto"/>
                    <w:jc w:val="both"/>
                    <w:rPr>
                      <w:rFonts w:ascii="Times New Roman" w:hAnsi="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14:paraId="23B5D75D" w14:textId="519A77A2"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 xml:space="preserve">2016. </w:t>
                  </w:r>
                  <w:r>
                    <w:rPr>
                      <w:rFonts w:ascii="Times New Roman" w:hAnsi="Times New Roman"/>
                      <w:i/>
                      <w:sz w:val="24"/>
                      <w:szCs w:val="24"/>
                    </w:rPr>
                    <w:t xml:space="preserve"> </w:t>
                  </w:r>
                  <w:proofErr w:type="spellStart"/>
                  <w:r>
                    <w:rPr>
                      <w:rFonts w:ascii="Times New Roman" w:hAnsi="Times New Roman"/>
                      <w:i/>
                      <w:sz w:val="24"/>
                      <w:szCs w:val="24"/>
                    </w:rPr>
                    <w:t>euro</w:t>
                  </w:r>
                  <w:proofErr w:type="spellEnd"/>
                </w:p>
              </w:tc>
              <w:tc>
                <w:tcPr>
                  <w:tcW w:w="1469" w:type="dxa"/>
                  <w:tcBorders>
                    <w:top w:val="single" w:sz="4" w:space="0" w:color="auto"/>
                    <w:left w:val="single" w:sz="4" w:space="0" w:color="auto"/>
                    <w:bottom w:val="single" w:sz="4" w:space="0" w:color="auto"/>
                    <w:right w:val="single" w:sz="4" w:space="0" w:color="auto"/>
                  </w:tcBorders>
                </w:tcPr>
                <w:p w14:paraId="1213C861" w14:textId="20FA4704"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 xml:space="preserve">2017.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p>
              </w:tc>
              <w:tc>
                <w:tcPr>
                  <w:tcW w:w="1469" w:type="dxa"/>
                  <w:tcBorders>
                    <w:top w:val="single" w:sz="4" w:space="0" w:color="auto"/>
                    <w:left w:val="single" w:sz="4" w:space="0" w:color="auto"/>
                    <w:bottom w:val="single" w:sz="4" w:space="0" w:color="auto"/>
                    <w:right w:val="single" w:sz="4" w:space="0" w:color="auto"/>
                  </w:tcBorders>
                </w:tcPr>
                <w:p w14:paraId="1BFAF08E" w14:textId="5119CB8E"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 xml:space="preserve">2018.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p>
              </w:tc>
              <w:tc>
                <w:tcPr>
                  <w:tcW w:w="1255" w:type="dxa"/>
                  <w:tcBorders>
                    <w:top w:val="single" w:sz="4" w:space="0" w:color="auto"/>
                    <w:left w:val="single" w:sz="4" w:space="0" w:color="auto"/>
                    <w:bottom w:val="single" w:sz="4" w:space="0" w:color="auto"/>
                    <w:right w:val="single" w:sz="4" w:space="0" w:color="auto"/>
                  </w:tcBorders>
                </w:tcPr>
                <w:p w14:paraId="3C032E5B" w14:textId="7B385377" w:rsidR="00E82750" w:rsidRPr="005176A1" w:rsidRDefault="00E82750" w:rsidP="00E82750">
                  <w:pPr>
                    <w:spacing w:after="0" w:line="240" w:lineRule="auto"/>
                    <w:jc w:val="both"/>
                    <w:rPr>
                      <w:rFonts w:ascii="Times New Roman" w:hAnsi="Times New Roman"/>
                      <w:sz w:val="24"/>
                      <w:szCs w:val="24"/>
                    </w:rPr>
                  </w:pPr>
                  <w:r w:rsidRPr="005176A1">
                    <w:rPr>
                      <w:rFonts w:ascii="Times New Roman" w:hAnsi="Times New Roman"/>
                      <w:sz w:val="24"/>
                      <w:szCs w:val="24"/>
                    </w:rPr>
                    <w:t>201</w:t>
                  </w:r>
                  <w:r>
                    <w:rPr>
                      <w:rFonts w:ascii="Times New Roman" w:hAnsi="Times New Roman"/>
                      <w:sz w:val="24"/>
                      <w:szCs w:val="24"/>
                    </w:rPr>
                    <w:t>9</w:t>
                  </w:r>
                  <w:r w:rsidRPr="005176A1">
                    <w:rPr>
                      <w:rFonts w:ascii="Times New Roman" w:hAnsi="Times New Roman"/>
                      <w:sz w:val="24"/>
                      <w:szCs w:val="24"/>
                    </w:rPr>
                    <w:t xml:space="preserve">. </w:t>
                  </w:r>
                  <w:proofErr w:type="spellStart"/>
                  <w:r>
                    <w:rPr>
                      <w:rFonts w:ascii="Times New Roman" w:hAnsi="Times New Roman"/>
                      <w:i/>
                      <w:sz w:val="24"/>
                      <w:szCs w:val="24"/>
                    </w:rPr>
                    <w:t>euro</w:t>
                  </w:r>
                  <w:proofErr w:type="spellEnd"/>
                </w:p>
              </w:tc>
            </w:tr>
            <w:tr w:rsidR="00E82750" w:rsidRPr="005176A1" w14:paraId="04B12B37" w14:textId="262B2B4B" w:rsidTr="0068307F">
              <w:tc>
                <w:tcPr>
                  <w:tcW w:w="7449" w:type="dxa"/>
                  <w:gridSpan w:val="5"/>
                  <w:tcBorders>
                    <w:top w:val="single" w:sz="4" w:space="0" w:color="auto"/>
                    <w:left w:val="single" w:sz="4" w:space="0" w:color="auto"/>
                    <w:bottom w:val="single" w:sz="4" w:space="0" w:color="auto"/>
                    <w:right w:val="single" w:sz="4" w:space="0" w:color="auto"/>
                  </w:tcBorders>
                </w:tcPr>
                <w:p w14:paraId="29F97DC2" w14:textId="524B19D7" w:rsidR="00E82750" w:rsidRPr="00852C36" w:rsidRDefault="00E82750" w:rsidP="00D04E6C">
                  <w:pPr>
                    <w:spacing w:after="0" w:line="240" w:lineRule="auto"/>
                    <w:jc w:val="both"/>
                    <w:rPr>
                      <w:rFonts w:ascii="Times New Roman" w:hAnsi="Times New Roman"/>
                      <w:b/>
                      <w:sz w:val="24"/>
                      <w:szCs w:val="24"/>
                    </w:rPr>
                  </w:pPr>
                  <w:r w:rsidRPr="00852C36">
                    <w:rPr>
                      <w:rFonts w:ascii="Times New Roman" w:hAnsi="Times New Roman"/>
                      <w:b/>
                      <w:sz w:val="24"/>
                      <w:szCs w:val="24"/>
                    </w:rPr>
                    <w:t>Kopējais nepieciešamais finansējums</w:t>
                  </w:r>
                </w:p>
              </w:tc>
            </w:tr>
            <w:tr w:rsidR="00E82750" w:rsidRPr="005176A1" w14:paraId="6DC3D792" w14:textId="20D750E2" w:rsidTr="0068307F">
              <w:tc>
                <w:tcPr>
                  <w:tcW w:w="1787" w:type="dxa"/>
                  <w:tcBorders>
                    <w:top w:val="single" w:sz="4" w:space="0" w:color="auto"/>
                    <w:left w:val="single" w:sz="4" w:space="0" w:color="auto"/>
                    <w:bottom w:val="single" w:sz="4" w:space="0" w:color="auto"/>
                    <w:right w:val="single" w:sz="4" w:space="0" w:color="auto"/>
                  </w:tcBorders>
                </w:tcPr>
                <w:p w14:paraId="1BD39567" w14:textId="6DF8C88A" w:rsidR="00E82750" w:rsidRPr="005176A1" w:rsidRDefault="00E82750" w:rsidP="004158AC">
                  <w:pPr>
                    <w:spacing w:after="0" w:line="240" w:lineRule="auto"/>
                    <w:jc w:val="both"/>
                    <w:rPr>
                      <w:rFonts w:ascii="Times New Roman" w:hAnsi="Times New Roman"/>
                      <w:sz w:val="24"/>
                      <w:szCs w:val="24"/>
                    </w:rPr>
                  </w:pPr>
                  <w:r w:rsidRPr="005176A1">
                    <w:rPr>
                      <w:rFonts w:ascii="Times New Roman" w:hAnsi="Times New Roman"/>
                      <w:sz w:val="24"/>
                      <w:szCs w:val="24"/>
                    </w:rPr>
                    <w:t xml:space="preserve">Biroja telpu uzturēšana </w:t>
                  </w:r>
                </w:p>
              </w:tc>
              <w:tc>
                <w:tcPr>
                  <w:tcW w:w="1469" w:type="dxa"/>
                  <w:tcBorders>
                    <w:top w:val="single" w:sz="4" w:space="0" w:color="auto"/>
                    <w:left w:val="single" w:sz="4" w:space="0" w:color="auto"/>
                    <w:bottom w:val="single" w:sz="4" w:space="0" w:color="auto"/>
                    <w:right w:val="single" w:sz="4" w:space="0" w:color="auto"/>
                  </w:tcBorders>
                </w:tcPr>
                <w:p w14:paraId="1F1761A4" w14:textId="2DEB43D2" w:rsidR="00E82750" w:rsidRPr="005176A1" w:rsidRDefault="004158AC" w:rsidP="00B011C3">
                  <w:pPr>
                    <w:spacing w:after="0" w:line="240" w:lineRule="auto"/>
                    <w:jc w:val="both"/>
                    <w:rPr>
                      <w:rFonts w:ascii="Times New Roman" w:hAnsi="Times New Roman"/>
                      <w:sz w:val="24"/>
                      <w:szCs w:val="24"/>
                    </w:rPr>
                  </w:pPr>
                  <w:r>
                    <w:rPr>
                      <w:rFonts w:ascii="Times New Roman" w:hAnsi="Times New Roman"/>
                      <w:sz w:val="24"/>
                      <w:szCs w:val="24"/>
                    </w:rPr>
                    <w:t>544</w:t>
                  </w:r>
                </w:p>
              </w:tc>
              <w:tc>
                <w:tcPr>
                  <w:tcW w:w="1469" w:type="dxa"/>
                  <w:tcBorders>
                    <w:top w:val="single" w:sz="4" w:space="0" w:color="auto"/>
                    <w:left w:val="single" w:sz="4" w:space="0" w:color="auto"/>
                    <w:bottom w:val="single" w:sz="4" w:space="0" w:color="auto"/>
                    <w:right w:val="single" w:sz="4" w:space="0" w:color="auto"/>
                  </w:tcBorders>
                </w:tcPr>
                <w:p w14:paraId="5F09A685" w14:textId="48ABB27D" w:rsidR="00E82750" w:rsidRPr="005176A1" w:rsidRDefault="004158AC" w:rsidP="00D04E6C">
                  <w:pPr>
                    <w:spacing w:after="0" w:line="240" w:lineRule="auto"/>
                    <w:jc w:val="both"/>
                    <w:rPr>
                      <w:rFonts w:ascii="Times New Roman" w:hAnsi="Times New Roman"/>
                      <w:sz w:val="24"/>
                      <w:szCs w:val="24"/>
                    </w:rPr>
                  </w:pPr>
                  <w:r>
                    <w:rPr>
                      <w:rFonts w:ascii="Times New Roman" w:hAnsi="Times New Roman"/>
                      <w:sz w:val="24"/>
                      <w:szCs w:val="24"/>
                    </w:rPr>
                    <w:t>726</w:t>
                  </w:r>
                </w:p>
              </w:tc>
              <w:tc>
                <w:tcPr>
                  <w:tcW w:w="1469" w:type="dxa"/>
                  <w:tcBorders>
                    <w:top w:val="single" w:sz="4" w:space="0" w:color="auto"/>
                    <w:left w:val="single" w:sz="4" w:space="0" w:color="auto"/>
                    <w:bottom w:val="single" w:sz="4" w:space="0" w:color="auto"/>
                    <w:right w:val="single" w:sz="4" w:space="0" w:color="auto"/>
                  </w:tcBorders>
                </w:tcPr>
                <w:p w14:paraId="10462345" w14:textId="45C681D6" w:rsidR="00E82750" w:rsidRPr="005176A1" w:rsidRDefault="004158AC" w:rsidP="00D04E6C">
                  <w:pPr>
                    <w:spacing w:after="0" w:line="240" w:lineRule="auto"/>
                    <w:jc w:val="both"/>
                    <w:rPr>
                      <w:rFonts w:ascii="Times New Roman" w:hAnsi="Times New Roman"/>
                      <w:sz w:val="24"/>
                      <w:szCs w:val="24"/>
                    </w:rPr>
                  </w:pPr>
                  <w:r>
                    <w:rPr>
                      <w:rFonts w:ascii="Times New Roman" w:hAnsi="Times New Roman"/>
                      <w:sz w:val="24"/>
                      <w:szCs w:val="24"/>
                    </w:rPr>
                    <w:t>726</w:t>
                  </w:r>
                </w:p>
              </w:tc>
              <w:tc>
                <w:tcPr>
                  <w:tcW w:w="1255" w:type="dxa"/>
                  <w:tcBorders>
                    <w:top w:val="single" w:sz="4" w:space="0" w:color="auto"/>
                    <w:left w:val="single" w:sz="4" w:space="0" w:color="auto"/>
                    <w:bottom w:val="single" w:sz="4" w:space="0" w:color="auto"/>
                    <w:right w:val="single" w:sz="4" w:space="0" w:color="auto"/>
                  </w:tcBorders>
                </w:tcPr>
                <w:p w14:paraId="1B5F97E9" w14:textId="382FE7AB" w:rsidR="00E82750" w:rsidRDefault="004158AC" w:rsidP="00D04E6C">
                  <w:pPr>
                    <w:spacing w:after="0" w:line="240" w:lineRule="auto"/>
                    <w:jc w:val="both"/>
                    <w:rPr>
                      <w:rFonts w:ascii="Times New Roman" w:hAnsi="Times New Roman"/>
                      <w:sz w:val="24"/>
                      <w:szCs w:val="24"/>
                    </w:rPr>
                  </w:pPr>
                  <w:r>
                    <w:rPr>
                      <w:rFonts w:ascii="Times New Roman" w:hAnsi="Times New Roman"/>
                      <w:sz w:val="24"/>
                      <w:szCs w:val="24"/>
                    </w:rPr>
                    <w:t>726</w:t>
                  </w:r>
                </w:p>
              </w:tc>
            </w:tr>
            <w:tr w:rsidR="00E82750" w:rsidRPr="005176A1" w14:paraId="3AA30D2F" w14:textId="5C42F18B" w:rsidTr="0068307F">
              <w:tc>
                <w:tcPr>
                  <w:tcW w:w="1787" w:type="dxa"/>
                  <w:tcBorders>
                    <w:top w:val="single" w:sz="4" w:space="0" w:color="auto"/>
                    <w:left w:val="single" w:sz="4" w:space="0" w:color="auto"/>
                    <w:bottom w:val="single" w:sz="4" w:space="0" w:color="auto"/>
                    <w:right w:val="single" w:sz="4" w:space="0" w:color="auto"/>
                  </w:tcBorders>
                </w:tcPr>
                <w:p w14:paraId="0D31DD26" w14:textId="544F9553"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Biroja telpu iekārtošana</w:t>
                  </w:r>
                </w:p>
              </w:tc>
              <w:tc>
                <w:tcPr>
                  <w:tcW w:w="1469" w:type="dxa"/>
                  <w:tcBorders>
                    <w:top w:val="single" w:sz="4" w:space="0" w:color="auto"/>
                    <w:left w:val="single" w:sz="4" w:space="0" w:color="auto"/>
                    <w:bottom w:val="single" w:sz="4" w:space="0" w:color="auto"/>
                    <w:right w:val="single" w:sz="4" w:space="0" w:color="auto"/>
                  </w:tcBorders>
                </w:tcPr>
                <w:p w14:paraId="4CFDBDDD" w14:textId="532E1E83" w:rsidR="00E82750" w:rsidRPr="005176A1" w:rsidRDefault="004158AC" w:rsidP="00D04E6C">
                  <w:pPr>
                    <w:spacing w:after="0" w:line="240" w:lineRule="auto"/>
                    <w:jc w:val="both"/>
                    <w:rPr>
                      <w:rFonts w:ascii="Times New Roman" w:hAnsi="Times New Roman"/>
                      <w:sz w:val="24"/>
                      <w:szCs w:val="24"/>
                    </w:rPr>
                  </w:pPr>
                  <w:r>
                    <w:rPr>
                      <w:rFonts w:ascii="Times New Roman" w:hAnsi="Times New Roman"/>
                      <w:sz w:val="24"/>
                      <w:szCs w:val="24"/>
                    </w:rPr>
                    <w:t>1793</w:t>
                  </w:r>
                </w:p>
              </w:tc>
              <w:tc>
                <w:tcPr>
                  <w:tcW w:w="1469" w:type="dxa"/>
                  <w:tcBorders>
                    <w:top w:val="single" w:sz="4" w:space="0" w:color="auto"/>
                    <w:left w:val="single" w:sz="4" w:space="0" w:color="auto"/>
                    <w:bottom w:val="single" w:sz="4" w:space="0" w:color="auto"/>
                    <w:right w:val="single" w:sz="4" w:space="0" w:color="auto"/>
                  </w:tcBorders>
                </w:tcPr>
                <w:p w14:paraId="3D69B6EE" w14:textId="0844EB15"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0</w:t>
                  </w:r>
                </w:p>
              </w:tc>
              <w:tc>
                <w:tcPr>
                  <w:tcW w:w="1469" w:type="dxa"/>
                  <w:tcBorders>
                    <w:top w:val="single" w:sz="4" w:space="0" w:color="auto"/>
                    <w:left w:val="single" w:sz="4" w:space="0" w:color="auto"/>
                    <w:bottom w:val="single" w:sz="4" w:space="0" w:color="auto"/>
                    <w:right w:val="single" w:sz="4" w:space="0" w:color="auto"/>
                  </w:tcBorders>
                </w:tcPr>
                <w:p w14:paraId="1B9B94AA" w14:textId="7D5C8438"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0</w:t>
                  </w:r>
                </w:p>
              </w:tc>
              <w:tc>
                <w:tcPr>
                  <w:tcW w:w="1255" w:type="dxa"/>
                  <w:tcBorders>
                    <w:top w:val="single" w:sz="4" w:space="0" w:color="auto"/>
                    <w:left w:val="single" w:sz="4" w:space="0" w:color="auto"/>
                    <w:bottom w:val="single" w:sz="4" w:space="0" w:color="auto"/>
                    <w:right w:val="single" w:sz="4" w:space="0" w:color="auto"/>
                  </w:tcBorders>
                </w:tcPr>
                <w:p w14:paraId="492ECB58" w14:textId="572FB516" w:rsidR="00E82750" w:rsidRPr="005176A1" w:rsidRDefault="00E82750" w:rsidP="00D04E6C">
                  <w:pPr>
                    <w:spacing w:after="0" w:line="240" w:lineRule="auto"/>
                    <w:jc w:val="both"/>
                    <w:rPr>
                      <w:rFonts w:ascii="Times New Roman" w:hAnsi="Times New Roman"/>
                      <w:sz w:val="24"/>
                      <w:szCs w:val="24"/>
                    </w:rPr>
                  </w:pPr>
                  <w:r>
                    <w:rPr>
                      <w:rFonts w:ascii="Times New Roman" w:hAnsi="Times New Roman"/>
                      <w:sz w:val="24"/>
                      <w:szCs w:val="24"/>
                    </w:rPr>
                    <w:t>0</w:t>
                  </w:r>
                </w:p>
              </w:tc>
            </w:tr>
            <w:tr w:rsidR="00E82750" w:rsidRPr="005176A1" w14:paraId="7F24E409" w14:textId="552EAC04" w:rsidTr="0068307F">
              <w:tc>
                <w:tcPr>
                  <w:tcW w:w="1787" w:type="dxa"/>
                  <w:tcBorders>
                    <w:top w:val="single" w:sz="4" w:space="0" w:color="auto"/>
                    <w:left w:val="single" w:sz="4" w:space="0" w:color="auto"/>
                    <w:bottom w:val="single" w:sz="4" w:space="0" w:color="auto"/>
                    <w:right w:val="single" w:sz="4" w:space="0" w:color="auto"/>
                  </w:tcBorders>
                </w:tcPr>
                <w:p w14:paraId="1C3D8C3C" w14:textId="2607317B"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Darbam nepieciešamie izdevumi</w:t>
                  </w:r>
                </w:p>
              </w:tc>
              <w:tc>
                <w:tcPr>
                  <w:tcW w:w="1469" w:type="dxa"/>
                  <w:tcBorders>
                    <w:top w:val="single" w:sz="4" w:space="0" w:color="auto"/>
                    <w:left w:val="single" w:sz="4" w:space="0" w:color="auto"/>
                    <w:bottom w:val="single" w:sz="4" w:space="0" w:color="auto"/>
                    <w:right w:val="single" w:sz="4" w:space="0" w:color="auto"/>
                  </w:tcBorders>
                </w:tcPr>
                <w:p w14:paraId="00398A34" w14:textId="4ECAC35C" w:rsidR="00E82750" w:rsidRPr="005176A1" w:rsidRDefault="004158AC" w:rsidP="00D04E6C">
                  <w:pPr>
                    <w:spacing w:after="0" w:line="240" w:lineRule="auto"/>
                    <w:jc w:val="both"/>
                    <w:rPr>
                      <w:rFonts w:ascii="Times New Roman" w:hAnsi="Times New Roman"/>
                      <w:sz w:val="24"/>
                      <w:szCs w:val="24"/>
                    </w:rPr>
                  </w:pPr>
                  <w:r>
                    <w:rPr>
                      <w:rFonts w:ascii="Times New Roman" w:hAnsi="Times New Roman"/>
                      <w:sz w:val="24"/>
                      <w:szCs w:val="24"/>
                    </w:rPr>
                    <w:t>342</w:t>
                  </w:r>
                </w:p>
              </w:tc>
              <w:tc>
                <w:tcPr>
                  <w:tcW w:w="1469" w:type="dxa"/>
                  <w:tcBorders>
                    <w:top w:val="single" w:sz="4" w:space="0" w:color="auto"/>
                    <w:left w:val="single" w:sz="4" w:space="0" w:color="auto"/>
                    <w:bottom w:val="single" w:sz="4" w:space="0" w:color="auto"/>
                    <w:right w:val="single" w:sz="4" w:space="0" w:color="auto"/>
                  </w:tcBorders>
                </w:tcPr>
                <w:p w14:paraId="3A77AD68" w14:textId="732EB8DF" w:rsidR="00E82750" w:rsidRPr="005176A1" w:rsidRDefault="004158AC" w:rsidP="00D04E6C">
                  <w:pPr>
                    <w:spacing w:after="0" w:line="240" w:lineRule="auto"/>
                    <w:jc w:val="both"/>
                    <w:rPr>
                      <w:rFonts w:ascii="Times New Roman" w:hAnsi="Times New Roman"/>
                      <w:sz w:val="24"/>
                      <w:szCs w:val="24"/>
                    </w:rPr>
                  </w:pPr>
                  <w:r>
                    <w:rPr>
                      <w:rFonts w:ascii="Times New Roman" w:hAnsi="Times New Roman"/>
                      <w:sz w:val="24"/>
                      <w:szCs w:val="24"/>
                    </w:rPr>
                    <w:t>456</w:t>
                  </w:r>
                </w:p>
              </w:tc>
              <w:tc>
                <w:tcPr>
                  <w:tcW w:w="1469" w:type="dxa"/>
                  <w:tcBorders>
                    <w:top w:val="single" w:sz="4" w:space="0" w:color="auto"/>
                    <w:left w:val="single" w:sz="4" w:space="0" w:color="auto"/>
                    <w:bottom w:val="single" w:sz="4" w:space="0" w:color="auto"/>
                    <w:right w:val="single" w:sz="4" w:space="0" w:color="auto"/>
                  </w:tcBorders>
                </w:tcPr>
                <w:p w14:paraId="1C443152" w14:textId="146BA5F4" w:rsidR="00E82750" w:rsidRPr="005176A1" w:rsidRDefault="004158AC" w:rsidP="00D04E6C">
                  <w:pPr>
                    <w:spacing w:after="0" w:line="240" w:lineRule="auto"/>
                    <w:jc w:val="both"/>
                    <w:rPr>
                      <w:rFonts w:ascii="Times New Roman" w:hAnsi="Times New Roman"/>
                      <w:sz w:val="24"/>
                      <w:szCs w:val="24"/>
                    </w:rPr>
                  </w:pPr>
                  <w:r>
                    <w:rPr>
                      <w:rFonts w:ascii="Times New Roman" w:hAnsi="Times New Roman"/>
                      <w:sz w:val="24"/>
                      <w:szCs w:val="24"/>
                    </w:rPr>
                    <w:t>456</w:t>
                  </w:r>
                </w:p>
              </w:tc>
              <w:tc>
                <w:tcPr>
                  <w:tcW w:w="1255" w:type="dxa"/>
                  <w:tcBorders>
                    <w:top w:val="single" w:sz="4" w:space="0" w:color="auto"/>
                    <w:left w:val="single" w:sz="4" w:space="0" w:color="auto"/>
                    <w:bottom w:val="single" w:sz="4" w:space="0" w:color="auto"/>
                    <w:right w:val="single" w:sz="4" w:space="0" w:color="auto"/>
                  </w:tcBorders>
                </w:tcPr>
                <w:p w14:paraId="471AC44D" w14:textId="6B69CEC7" w:rsidR="00E82750" w:rsidRPr="005176A1" w:rsidRDefault="004158AC" w:rsidP="00D04E6C">
                  <w:pPr>
                    <w:spacing w:after="0" w:line="240" w:lineRule="auto"/>
                    <w:jc w:val="both"/>
                    <w:rPr>
                      <w:rFonts w:ascii="Times New Roman" w:hAnsi="Times New Roman"/>
                      <w:sz w:val="24"/>
                      <w:szCs w:val="24"/>
                    </w:rPr>
                  </w:pPr>
                  <w:r>
                    <w:rPr>
                      <w:rFonts w:ascii="Times New Roman" w:hAnsi="Times New Roman"/>
                      <w:sz w:val="24"/>
                      <w:szCs w:val="24"/>
                    </w:rPr>
                    <w:t>456</w:t>
                  </w:r>
                </w:p>
              </w:tc>
            </w:tr>
            <w:tr w:rsidR="00E82750" w:rsidRPr="005176A1" w14:paraId="252FAE2E" w14:textId="6FCBAF28" w:rsidTr="0068307F">
              <w:tc>
                <w:tcPr>
                  <w:tcW w:w="1787" w:type="dxa"/>
                  <w:tcBorders>
                    <w:top w:val="single" w:sz="4" w:space="0" w:color="auto"/>
                    <w:left w:val="single" w:sz="4" w:space="0" w:color="auto"/>
                    <w:bottom w:val="single" w:sz="4" w:space="0" w:color="auto"/>
                    <w:right w:val="single" w:sz="4" w:space="0" w:color="auto"/>
                  </w:tcBorders>
                </w:tcPr>
                <w:p w14:paraId="454D37E3" w14:textId="1C45B889"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Komandējumi</w:t>
                  </w:r>
                </w:p>
              </w:tc>
              <w:tc>
                <w:tcPr>
                  <w:tcW w:w="1469" w:type="dxa"/>
                  <w:tcBorders>
                    <w:top w:val="single" w:sz="4" w:space="0" w:color="auto"/>
                    <w:left w:val="single" w:sz="4" w:space="0" w:color="auto"/>
                    <w:bottom w:val="single" w:sz="4" w:space="0" w:color="auto"/>
                    <w:right w:val="single" w:sz="4" w:space="0" w:color="auto"/>
                  </w:tcBorders>
                </w:tcPr>
                <w:p w14:paraId="3E65DACE" w14:textId="5C0C80B1"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1480</w:t>
                  </w:r>
                </w:p>
              </w:tc>
              <w:tc>
                <w:tcPr>
                  <w:tcW w:w="1469" w:type="dxa"/>
                  <w:tcBorders>
                    <w:top w:val="single" w:sz="4" w:space="0" w:color="auto"/>
                    <w:left w:val="single" w:sz="4" w:space="0" w:color="auto"/>
                    <w:bottom w:val="single" w:sz="4" w:space="0" w:color="auto"/>
                    <w:right w:val="single" w:sz="4" w:space="0" w:color="auto"/>
                  </w:tcBorders>
                </w:tcPr>
                <w:p w14:paraId="6487D46B" w14:textId="512FD3E7"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1480</w:t>
                  </w:r>
                </w:p>
              </w:tc>
              <w:tc>
                <w:tcPr>
                  <w:tcW w:w="1469" w:type="dxa"/>
                  <w:tcBorders>
                    <w:top w:val="single" w:sz="4" w:space="0" w:color="auto"/>
                    <w:left w:val="single" w:sz="4" w:space="0" w:color="auto"/>
                    <w:bottom w:val="single" w:sz="4" w:space="0" w:color="auto"/>
                    <w:right w:val="single" w:sz="4" w:space="0" w:color="auto"/>
                  </w:tcBorders>
                </w:tcPr>
                <w:p w14:paraId="49ED06EE" w14:textId="04FDA0C5"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1480</w:t>
                  </w:r>
                </w:p>
              </w:tc>
              <w:tc>
                <w:tcPr>
                  <w:tcW w:w="1255" w:type="dxa"/>
                  <w:tcBorders>
                    <w:top w:val="single" w:sz="4" w:space="0" w:color="auto"/>
                    <w:left w:val="single" w:sz="4" w:space="0" w:color="auto"/>
                    <w:bottom w:val="single" w:sz="4" w:space="0" w:color="auto"/>
                    <w:right w:val="single" w:sz="4" w:space="0" w:color="auto"/>
                  </w:tcBorders>
                </w:tcPr>
                <w:p w14:paraId="6751B720" w14:textId="45E4A646" w:rsidR="00E82750" w:rsidRPr="005176A1" w:rsidRDefault="00E82750" w:rsidP="00D04E6C">
                  <w:pPr>
                    <w:spacing w:after="0" w:line="240" w:lineRule="auto"/>
                    <w:jc w:val="both"/>
                    <w:rPr>
                      <w:rFonts w:ascii="Times New Roman" w:hAnsi="Times New Roman"/>
                      <w:sz w:val="24"/>
                      <w:szCs w:val="24"/>
                    </w:rPr>
                  </w:pPr>
                  <w:r>
                    <w:rPr>
                      <w:rFonts w:ascii="Times New Roman" w:hAnsi="Times New Roman"/>
                      <w:sz w:val="24"/>
                      <w:szCs w:val="24"/>
                    </w:rPr>
                    <w:t>1480</w:t>
                  </w:r>
                </w:p>
              </w:tc>
            </w:tr>
            <w:tr w:rsidR="00E82750" w:rsidRPr="005176A1" w14:paraId="00D23271" w14:textId="2BEA6ED3" w:rsidTr="0068307F">
              <w:tc>
                <w:tcPr>
                  <w:tcW w:w="1787" w:type="dxa"/>
                  <w:tcBorders>
                    <w:top w:val="single" w:sz="4" w:space="0" w:color="auto"/>
                    <w:left w:val="single" w:sz="4" w:space="0" w:color="auto"/>
                    <w:bottom w:val="single" w:sz="4" w:space="0" w:color="auto"/>
                    <w:right w:val="single" w:sz="4" w:space="0" w:color="auto"/>
                  </w:tcBorders>
                </w:tcPr>
                <w:p w14:paraId="3139ECC2" w14:textId="5FB3BF76" w:rsidR="00E82750" w:rsidRPr="005176A1" w:rsidRDefault="00E82750" w:rsidP="00D04E6C">
                  <w:pPr>
                    <w:spacing w:after="0" w:line="240" w:lineRule="auto"/>
                    <w:jc w:val="both"/>
                    <w:rPr>
                      <w:rFonts w:ascii="Times New Roman" w:hAnsi="Times New Roman"/>
                      <w:sz w:val="24"/>
                      <w:szCs w:val="24"/>
                    </w:rPr>
                  </w:pPr>
                  <w:r w:rsidRPr="005176A1">
                    <w:rPr>
                      <w:rFonts w:ascii="Times New Roman" w:hAnsi="Times New Roman"/>
                      <w:sz w:val="24"/>
                      <w:szCs w:val="24"/>
                    </w:rPr>
                    <w:t xml:space="preserve">Atlīdzība gadā </w:t>
                  </w:r>
                  <w:r>
                    <w:rPr>
                      <w:rFonts w:ascii="Times New Roman" w:hAnsi="Times New Roman"/>
                      <w:sz w:val="24"/>
                      <w:szCs w:val="24"/>
                    </w:rPr>
                    <w:t>1 darbinieka</w:t>
                  </w:r>
                  <w:r w:rsidRPr="005176A1">
                    <w:rPr>
                      <w:rFonts w:ascii="Times New Roman" w:hAnsi="Times New Roman"/>
                      <w:sz w:val="24"/>
                      <w:szCs w:val="24"/>
                    </w:rPr>
                    <w:t>m</w:t>
                  </w:r>
                </w:p>
              </w:tc>
              <w:tc>
                <w:tcPr>
                  <w:tcW w:w="1469" w:type="dxa"/>
                  <w:tcBorders>
                    <w:top w:val="single" w:sz="4" w:space="0" w:color="auto"/>
                    <w:left w:val="single" w:sz="4" w:space="0" w:color="auto"/>
                    <w:bottom w:val="single" w:sz="4" w:space="0" w:color="auto"/>
                    <w:right w:val="single" w:sz="4" w:space="0" w:color="auto"/>
                  </w:tcBorders>
                </w:tcPr>
                <w:p w14:paraId="163CA459" w14:textId="5B5EB934" w:rsidR="00E82750" w:rsidRPr="005176A1" w:rsidRDefault="00E82750" w:rsidP="00D04E6C">
                  <w:pPr>
                    <w:spacing w:after="0" w:line="240" w:lineRule="auto"/>
                    <w:jc w:val="both"/>
                    <w:rPr>
                      <w:rFonts w:ascii="Times New Roman" w:hAnsi="Times New Roman"/>
                      <w:sz w:val="24"/>
                      <w:szCs w:val="24"/>
                    </w:rPr>
                  </w:pPr>
                  <w:r>
                    <w:rPr>
                      <w:rFonts w:ascii="Times New Roman" w:hAnsi="Times New Roman"/>
                      <w:sz w:val="24"/>
                      <w:szCs w:val="24"/>
                    </w:rPr>
                    <w:t>11056</w:t>
                  </w:r>
                </w:p>
              </w:tc>
              <w:tc>
                <w:tcPr>
                  <w:tcW w:w="1469" w:type="dxa"/>
                  <w:tcBorders>
                    <w:top w:val="single" w:sz="4" w:space="0" w:color="auto"/>
                    <w:left w:val="single" w:sz="4" w:space="0" w:color="auto"/>
                    <w:bottom w:val="single" w:sz="4" w:space="0" w:color="auto"/>
                    <w:right w:val="single" w:sz="4" w:space="0" w:color="auto"/>
                  </w:tcBorders>
                </w:tcPr>
                <w:p w14:paraId="2F79A3F4" w14:textId="35A404B8" w:rsidR="00E82750" w:rsidRPr="005176A1" w:rsidRDefault="00E82750" w:rsidP="00D04E6C">
                  <w:pPr>
                    <w:spacing w:after="0" w:line="240" w:lineRule="auto"/>
                    <w:jc w:val="both"/>
                    <w:rPr>
                      <w:rFonts w:ascii="Times New Roman" w:hAnsi="Times New Roman"/>
                      <w:sz w:val="24"/>
                      <w:szCs w:val="24"/>
                    </w:rPr>
                  </w:pPr>
                  <w:r>
                    <w:rPr>
                      <w:rFonts w:ascii="Times New Roman" w:hAnsi="Times New Roman"/>
                      <w:sz w:val="24"/>
                      <w:szCs w:val="24"/>
                    </w:rPr>
                    <w:t>14742</w:t>
                  </w:r>
                </w:p>
              </w:tc>
              <w:tc>
                <w:tcPr>
                  <w:tcW w:w="1469" w:type="dxa"/>
                  <w:tcBorders>
                    <w:top w:val="single" w:sz="4" w:space="0" w:color="auto"/>
                    <w:left w:val="single" w:sz="4" w:space="0" w:color="auto"/>
                    <w:bottom w:val="single" w:sz="4" w:space="0" w:color="auto"/>
                    <w:right w:val="single" w:sz="4" w:space="0" w:color="auto"/>
                  </w:tcBorders>
                </w:tcPr>
                <w:p w14:paraId="68939544" w14:textId="265AB0A0" w:rsidR="00E82750" w:rsidRPr="005176A1" w:rsidRDefault="00E82750" w:rsidP="00D04E6C">
                  <w:pPr>
                    <w:spacing w:after="0" w:line="240" w:lineRule="auto"/>
                    <w:jc w:val="both"/>
                    <w:rPr>
                      <w:rFonts w:ascii="Times New Roman" w:hAnsi="Times New Roman"/>
                      <w:sz w:val="24"/>
                      <w:szCs w:val="24"/>
                    </w:rPr>
                  </w:pPr>
                  <w:r>
                    <w:rPr>
                      <w:rFonts w:ascii="Times New Roman" w:hAnsi="Times New Roman"/>
                      <w:sz w:val="24"/>
                      <w:szCs w:val="24"/>
                    </w:rPr>
                    <w:t>14742</w:t>
                  </w:r>
                </w:p>
              </w:tc>
              <w:tc>
                <w:tcPr>
                  <w:tcW w:w="1255" w:type="dxa"/>
                  <w:tcBorders>
                    <w:top w:val="single" w:sz="4" w:space="0" w:color="auto"/>
                    <w:left w:val="single" w:sz="4" w:space="0" w:color="auto"/>
                    <w:bottom w:val="single" w:sz="4" w:space="0" w:color="auto"/>
                    <w:right w:val="single" w:sz="4" w:space="0" w:color="auto"/>
                  </w:tcBorders>
                </w:tcPr>
                <w:p w14:paraId="0E17E693" w14:textId="4A7CAC4A" w:rsidR="00E82750" w:rsidRDefault="00E82750" w:rsidP="00D04E6C">
                  <w:pPr>
                    <w:spacing w:after="0" w:line="240" w:lineRule="auto"/>
                    <w:jc w:val="both"/>
                    <w:rPr>
                      <w:rFonts w:ascii="Times New Roman" w:hAnsi="Times New Roman"/>
                      <w:sz w:val="24"/>
                      <w:szCs w:val="24"/>
                    </w:rPr>
                  </w:pPr>
                  <w:r>
                    <w:rPr>
                      <w:rFonts w:ascii="Times New Roman" w:hAnsi="Times New Roman"/>
                      <w:sz w:val="24"/>
                      <w:szCs w:val="24"/>
                    </w:rPr>
                    <w:t>14742</w:t>
                  </w:r>
                </w:p>
              </w:tc>
            </w:tr>
            <w:tr w:rsidR="00E82750" w:rsidRPr="005176A1" w14:paraId="7F5C523B" w14:textId="7BA43DFB" w:rsidTr="0068307F">
              <w:tc>
                <w:tcPr>
                  <w:tcW w:w="1787" w:type="dxa"/>
                  <w:tcBorders>
                    <w:top w:val="single" w:sz="4" w:space="0" w:color="auto"/>
                    <w:left w:val="single" w:sz="4" w:space="0" w:color="auto"/>
                    <w:bottom w:val="single" w:sz="4" w:space="0" w:color="auto"/>
                    <w:right w:val="single" w:sz="4" w:space="0" w:color="auto"/>
                  </w:tcBorders>
                </w:tcPr>
                <w:p w14:paraId="1AE5B946" w14:textId="300AFB3D" w:rsidR="00E82750" w:rsidRPr="00D07845" w:rsidRDefault="00E82750" w:rsidP="00D04E6C">
                  <w:pPr>
                    <w:spacing w:after="0" w:line="240" w:lineRule="auto"/>
                    <w:jc w:val="both"/>
                    <w:rPr>
                      <w:rFonts w:ascii="Times New Roman" w:hAnsi="Times New Roman"/>
                      <w:sz w:val="24"/>
                      <w:szCs w:val="24"/>
                    </w:rPr>
                  </w:pPr>
                  <w:r w:rsidRPr="00D07845">
                    <w:rPr>
                      <w:rFonts w:ascii="Times New Roman" w:hAnsi="Times New Roman"/>
                      <w:sz w:val="24"/>
                      <w:szCs w:val="24"/>
                    </w:rPr>
                    <w:lastRenderedPageBreak/>
                    <w:t>Neparedzēti izdevumi</w:t>
                  </w:r>
                </w:p>
              </w:tc>
              <w:tc>
                <w:tcPr>
                  <w:tcW w:w="1469" w:type="dxa"/>
                  <w:tcBorders>
                    <w:top w:val="single" w:sz="4" w:space="0" w:color="auto"/>
                    <w:left w:val="single" w:sz="4" w:space="0" w:color="auto"/>
                    <w:bottom w:val="single" w:sz="4" w:space="0" w:color="auto"/>
                    <w:right w:val="single" w:sz="4" w:space="0" w:color="auto"/>
                  </w:tcBorders>
                </w:tcPr>
                <w:p w14:paraId="7A0169F3" w14:textId="4AE935FF" w:rsidR="00E82750" w:rsidRPr="00D07845" w:rsidRDefault="00E82750" w:rsidP="00D04E6C">
                  <w:pPr>
                    <w:spacing w:after="0" w:line="240" w:lineRule="auto"/>
                    <w:jc w:val="both"/>
                    <w:rPr>
                      <w:rFonts w:ascii="Times New Roman" w:hAnsi="Times New Roman"/>
                      <w:sz w:val="24"/>
                      <w:szCs w:val="24"/>
                    </w:rPr>
                  </w:pPr>
                  <w:r w:rsidRPr="00D07845">
                    <w:rPr>
                      <w:rFonts w:ascii="Times New Roman" w:hAnsi="Times New Roman"/>
                      <w:sz w:val="24"/>
                      <w:szCs w:val="24"/>
                    </w:rPr>
                    <w:t>600</w:t>
                  </w:r>
                </w:p>
              </w:tc>
              <w:tc>
                <w:tcPr>
                  <w:tcW w:w="1469" w:type="dxa"/>
                  <w:tcBorders>
                    <w:top w:val="single" w:sz="4" w:space="0" w:color="auto"/>
                    <w:left w:val="single" w:sz="4" w:space="0" w:color="auto"/>
                    <w:bottom w:val="single" w:sz="4" w:space="0" w:color="auto"/>
                    <w:right w:val="single" w:sz="4" w:space="0" w:color="auto"/>
                  </w:tcBorders>
                </w:tcPr>
                <w:p w14:paraId="234A8B79" w14:textId="192228AD" w:rsidR="00E82750" w:rsidRPr="00D07845" w:rsidRDefault="00E82750" w:rsidP="00D04E6C">
                  <w:pPr>
                    <w:spacing w:after="0" w:line="240" w:lineRule="auto"/>
                    <w:jc w:val="both"/>
                    <w:rPr>
                      <w:rFonts w:ascii="Times New Roman" w:hAnsi="Times New Roman"/>
                      <w:sz w:val="24"/>
                      <w:szCs w:val="24"/>
                    </w:rPr>
                  </w:pPr>
                  <w:r w:rsidRPr="00D07845">
                    <w:rPr>
                      <w:rFonts w:ascii="Times New Roman" w:hAnsi="Times New Roman"/>
                      <w:sz w:val="24"/>
                      <w:szCs w:val="24"/>
                    </w:rPr>
                    <w:t>800</w:t>
                  </w:r>
                </w:p>
              </w:tc>
              <w:tc>
                <w:tcPr>
                  <w:tcW w:w="1469" w:type="dxa"/>
                  <w:tcBorders>
                    <w:top w:val="single" w:sz="4" w:space="0" w:color="auto"/>
                    <w:left w:val="single" w:sz="4" w:space="0" w:color="auto"/>
                    <w:bottom w:val="single" w:sz="4" w:space="0" w:color="auto"/>
                    <w:right w:val="single" w:sz="4" w:space="0" w:color="auto"/>
                  </w:tcBorders>
                </w:tcPr>
                <w:p w14:paraId="7DD56A4F" w14:textId="0173F039" w:rsidR="00E82750" w:rsidRDefault="00E82750" w:rsidP="00D04E6C">
                  <w:pPr>
                    <w:spacing w:after="0" w:line="240" w:lineRule="auto"/>
                    <w:jc w:val="both"/>
                    <w:rPr>
                      <w:rFonts w:ascii="Times New Roman" w:hAnsi="Times New Roman"/>
                      <w:sz w:val="24"/>
                      <w:szCs w:val="24"/>
                    </w:rPr>
                  </w:pPr>
                  <w:r w:rsidRPr="00D07845">
                    <w:rPr>
                      <w:rFonts w:ascii="Times New Roman" w:hAnsi="Times New Roman"/>
                      <w:sz w:val="24"/>
                      <w:szCs w:val="24"/>
                    </w:rPr>
                    <w:t>1000</w:t>
                  </w:r>
                </w:p>
              </w:tc>
              <w:tc>
                <w:tcPr>
                  <w:tcW w:w="1255" w:type="dxa"/>
                  <w:tcBorders>
                    <w:top w:val="single" w:sz="4" w:space="0" w:color="auto"/>
                    <w:left w:val="single" w:sz="4" w:space="0" w:color="auto"/>
                    <w:bottom w:val="single" w:sz="4" w:space="0" w:color="auto"/>
                    <w:right w:val="single" w:sz="4" w:space="0" w:color="auto"/>
                  </w:tcBorders>
                </w:tcPr>
                <w:p w14:paraId="6EBD289D" w14:textId="6398E55E" w:rsidR="00E82750" w:rsidRPr="00D07845" w:rsidRDefault="00E82750" w:rsidP="00D04E6C">
                  <w:pPr>
                    <w:spacing w:after="0" w:line="240" w:lineRule="auto"/>
                    <w:jc w:val="both"/>
                    <w:rPr>
                      <w:rFonts w:ascii="Times New Roman" w:hAnsi="Times New Roman"/>
                      <w:sz w:val="24"/>
                      <w:szCs w:val="24"/>
                    </w:rPr>
                  </w:pPr>
                  <w:r>
                    <w:rPr>
                      <w:rFonts w:ascii="Times New Roman" w:hAnsi="Times New Roman"/>
                      <w:sz w:val="24"/>
                      <w:szCs w:val="24"/>
                    </w:rPr>
                    <w:t>1200</w:t>
                  </w:r>
                </w:p>
              </w:tc>
            </w:tr>
            <w:tr w:rsidR="00E82750" w:rsidRPr="005176A1" w14:paraId="1026A322" w14:textId="5383FFB2" w:rsidTr="0068307F">
              <w:tc>
                <w:tcPr>
                  <w:tcW w:w="1787" w:type="dxa"/>
                  <w:tcBorders>
                    <w:top w:val="single" w:sz="4" w:space="0" w:color="auto"/>
                    <w:left w:val="single" w:sz="4" w:space="0" w:color="auto"/>
                    <w:bottom w:val="single" w:sz="4" w:space="0" w:color="auto"/>
                    <w:right w:val="single" w:sz="4" w:space="0" w:color="auto"/>
                  </w:tcBorders>
                </w:tcPr>
                <w:p w14:paraId="13CB9341" w14:textId="58425047" w:rsidR="00E82750" w:rsidRPr="00852C36" w:rsidRDefault="00E82750" w:rsidP="00D04E6C">
                  <w:pPr>
                    <w:spacing w:after="0" w:line="240" w:lineRule="auto"/>
                    <w:jc w:val="right"/>
                    <w:rPr>
                      <w:rFonts w:ascii="Times New Roman" w:hAnsi="Times New Roman"/>
                      <w:b/>
                      <w:sz w:val="24"/>
                      <w:szCs w:val="24"/>
                    </w:rPr>
                  </w:pPr>
                  <w:r w:rsidRPr="00852C36">
                    <w:rPr>
                      <w:rFonts w:ascii="Times New Roman" w:hAnsi="Times New Roman"/>
                      <w:b/>
                      <w:sz w:val="24"/>
                      <w:szCs w:val="24"/>
                    </w:rPr>
                    <w:t>Kopā</w:t>
                  </w:r>
                </w:p>
              </w:tc>
              <w:tc>
                <w:tcPr>
                  <w:tcW w:w="1469" w:type="dxa"/>
                  <w:tcBorders>
                    <w:top w:val="single" w:sz="4" w:space="0" w:color="auto"/>
                    <w:left w:val="single" w:sz="4" w:space="0" w:color="auto"/>
                    <w:bottom w:val="single" w:sz="4" w:space="0" w:color="auto"/>
                    <w:right w:val="single" w:sz="4" w:space="0" w:color="auto"/>
                  </w:tcBorders>
                </w:tcPr>
                <w:p w14:paraId="03DCD4CC" w14:textId="642505F0" w:rsidR="00E82750" w:rsidRPr="00852C36" w:rsidRDefault="001A1C8D" w:rsidP="00B011C3">
                  <w:pPr>
                    <w:spacing w:after="0" w:line="240" w:lineRule="auto"/>
                    <w:jc w:val="both"/>
                    <w:rPr>
                      <w:rFonts w:ascii="Times New Roman" w:hAnsi="Times New Roman"/>
                      <w:b/>
                      <w:sz w:val="24"/>
                      <w:szCs w:val="24"/>
                    </w:rPr>
                  </w:pPr>
                  <w:r>
                    <w:rPr>
                      <w:rFonts w:ascii="Times New Roman" w:hAnsi="Times New Roman"/>
                      <w:b/>
                      <w:sz w:val="24"/>
                      <w:szCs w:val="24"/>
                    </w:rPr>
                    <w:t>15815</w:t>
                  </w:r>
                </w:p>
              </w:tc>
              <w:tc>
                <w:tcPr>
                  <w:tcW w:w="1469" w:type="dxa"/>
                  <w:tcBorders>
                    <w:top w:val="single" w:sz="4" w:space="0" w:color="auto"/>
                    <w:left w:val="single" w:sz="4" w:space="0" w:color="auto"/>
                    <w:bottom w:val="single" w:sz="4" w:space="0" w:color="auto"/>
                    <w:right w:val="single" w:sz="4" w:space="0" w:color="auto"/>
                  </w:tcBorders>
                </w:tcPr>
                <w:p w14:paraId="49DC41B8" w14:textId="70183B19" w:rsidR="00E82750" w:rsidRPr="00852C36" w:rsidRDefault="00C74EDD" w:rsidP="00D04E6C">
                  <w:pPr>
                    <w:spacing w:after="0" w:line="240" w:lineRule="auto"/>
                    <w:jc w:val="both"/>
                    <w:rPr>
                      <w:rFonts w:ascii="Times New Roman" w:hAnsi="Times New Roman"/>
                      <w:b/>
                      <w:sz w:val="24"/>
                      <w:szCs w:val="24"/>
                    </w:rPr>
                  </w:pPr>
                  <w:r>
                    <w:rPr>
                      <w:rFonts w:ascii="Times New Roman" w:hAnsi="Times New Roman"/>
                      <w:b/>
                      <w:sz w:val="24"/>
                      <w:szCs w:val="24"/>
                    </w:rPr>
                    <w:t>18204</w:t>
                  </w:r>
                </w:p>
              </w:tc>
              <w:tc>
                <w:tcPr>
                  <w:tcW w:w="1469" w:type="dxa"/>
                  <w:tcBorders>
                    <w:top w:val="single" w:sz="4" w:space="0" w:color="auto"/>
                    <w:left w:val="single" w:sz="4" w:space="0" w:color="auto"/>
                    <w:bottom w:val="single" w:sz="4" w:space="0" w:color="auto"/>
                    <w:right w:val="single" w:sz="4" w:space="0" w:color="auto"/>
                  </w:tcBorders>
                </w:tcPr>
                <w:p w14:paraId="21D1FEBF" w14:textId="55031BF6" w:rsidR="00E82750" w:rsidRPr="00852C36" w:rsidRDefault="00113FE3" w:rsidP="00D04E6C">
                  <w:pPr>
                    <w:spacing w:after="0" w:line="240" w:lineRule="auto"/>
                    <w:jc w:val="both"/>
                    <w:rPr>
                      <w:rFonts w:ascii="Times New Roman" w:hAnsi="Times New Roman"/>
                      <w:b/>
                      <w:sz w:val="24"/>
                      <w:szCs w:val="24"/>
                    </w:rPr>
                  </w:pPr>
                  <w:r>
                    <w:rPr>
                      <w:rFonts w:ascii="Times New Roman" w:hAnsi="Times New Roman"/>
                      <w:b/>
                      <w:sz w:val="24"/>
                      <w:szCs w:val="24"/>
                    </w:rPr>
                    <w:t>18404</w:t>
                  </w:r>
                </w:p>
              </w:tc>
              <w:tc>
                <w:tcPr>
                  <w:tcW w:w="1255" w:type="dxa"/>
                  <w:tcBorders>
                    <w:top w:val="single" w:sz="4" w:space="0" w:color="auto"/>
                    <w:left w:val="single" w:sz="4" w:space="0" w:color="auto"/>
                    <w:bottom w:val="single" w:sz="4" w:space="0" w:color="auto"/>
                    <w:right w:val="single" w:sz="4" w:space="0" w:color="auto"/>
                  </w:tcBorders>
                </w:tcPr>
                <w:p w14:paraId="529FBDDB" w14:textId="0BA4FCD4" w:rsidR="00E82750" w:rsidRDefault="00113FE3" w:rsidP="00D04E6C">
                  <w:pPr>
                    <w:spacing w:after="0" w:line="240" w:lineRule="auto"/>
                    <w:jc w:val="both"/>
                    <w:rPr>
                      <w:rFonts w:ascii="Times New Roman" w:hAnsi="Times New Roman"/>
                      <w:b/>
                      <w:sz w:val="24"/>
                      <w:szCs w:val="24"/>
                    </w:rPr>
                  </w:pPr>
                  <w:r>
                    <w:rPr>
                      <w:rFonts w:ascii="Times New Roman" w:hAnsi="Times New Roman"/>
                      <w:b/>
                      <w:sz w:val="24"/>
                      <w:szCs w:val="24"/>
                    </w:rPr>
                    <w:t>18604</w:t>
                  </w:r>
                </w:p>
              </w:tc>
            </w:tr>
            <w:tr w:rsidR="00E82750" w:rsidRPr="005176A1" w14:paraId="648F666A" w14:textId="6374D3F3" w:rsidTr="0068307F">
              <w:tc>
                <w:tcPr>
                  <w:tcW w:w="6194" w:type="dxa"/>
                  <w:gridSpan w:val="4"/>
                  <w:tcBorders>
                    <w:top w:val="single" w:sz="4" w:space="0" w:color="auto"/>
                    <w:left w:val="single" w:sz="4" w:space="0" w:color="auto"/>
                    <w:bottom w:val="single" w:sz="4" w:space="0" w:color="auto"/>
                    <w:right w:val="single" w:sz="4" w:space="0" w:color="auto"/>
                  </w:tcBorders>
                </w:tcPr>
                <w:p w14:paraId="354CF63E" w14:textId="1E34A0CE" w:rsidR="00E82750" w:rsidRPr="00852C36" w:rsidRDefault="00E82750" w:rsidP="00D04E6C">
                  <w:pPr>
                    <w:spacing w:after="0" w:line="240" w:lineRule="auto"/>
                    <w:jc w:val="both"/>
                    <w:rPr>
                      <w:rFonts w:ascii="Times New Roman" w:hAnsi="Times New Roman"/>
                      <w:b/>
                      <w:sz w:val="24"/>
                      <w:szCs w:val="24"/>
                    </w:rPr>
                  </w:pPr>
                  <w:r>
                    <w:rPr>
                      <w:rFonts w:ascii="Times New Roman" w:hAnsi="Times New Roman"/>
                      <w:b/>
                      <w:sz w:val="24"/>
                      <w:szCs w:val="24"/>
                    </w:rPr>
                    <w:t>AIC ieņēmumi no maksas pakalpojuma par EPK izdošanu</w:t>
                  </w:r>
                </w:p>
              </w:tc>
              <w:tc>
                <w:tcPr>
                  <w:tcW w:w="1255" w:type="dxa"/>
                  <w:tcBorders>
                    <w:top w:val="single" w:sz="4" w:space="0" w:color="auto"/>
                    <w:left w:val="single" w:sz="4" w:space="0" w:color="auto"/>
                    <w:bottom w:val="single" w:sz="4" w:space="0" w:color="auto"/>
                    <w:right w:val="single" w:sz="4" w:space="0" w:color="auto"/>
                  </w:tcBorders>
                </w:tcPr>
                <w:p w14:paraId="1653D8D6" w14:textId="6409B515" w:rsidR="00E82750" w:rsidRDefault="00E82750" w:rsidP="00D04E6C">
                  <w:pPr>
                    <w:spacing w:after="0" w:line="240" w:lineRule="auto"/>
                    <w:jc w:val="both"/>
                    <w:rPr>
                      <w:rFonts w:ascii="Times New Roman" w:hAnsi="Times New Roman"/>
                      <w:b/>
                      <w:sz w:val="24"/>
                      <w:szCs w:val="24"/>
                    </w:rPr>
                  </w:pPr>
                </w:p>
              </w:tc>
            </w:tr>
            <w:tr w:rsidR="00E82750" w:rsidRPr="005176A1" w14:paraId="152A7527" w14:textId="38B47A8E" w:rsidTr="0068307F">
              <w:tc>
                <w:tcPr>
                  <w:tcW w:w="1787" w:type="dxa"/>
                  <w:tcBorders>
                    <w:top w:val="single" w:sz="4" w:space="0" w:color="auto"/>
                    <w:left w:val="single" w:sz="4" w:space="0" w:color="auto"/>
                    <w:bottom w:val="single" w:sz="4" w:space="0" w:color="auto"/>
                    <w:right w:val="single" w:sz="4" w:space="0" w:color="auto"/>
                  </w:tcBorders>
                </w:tcPr>
                <w:p w14:paraId="6C58CBB1" w14:textId="0FA3CEAB" w:rsidR="00E82750" w:rsidRDefault="00E82750" w:rsidP="00D04E6C">
                  <w:pPr>
                    <w:spacing w:after="0" w:line="240" w:lineRule="auto"/>
                    <w:rPr>
                      <w:rFonts w:ascii="Times New Roman" w:hAnsi="Times New Roman"/>
                      <w:sz w:val="24"/>
                      <w:szCs w:val="24"/>
                    </w:rPr>
                  </w:pPr>
                  <w:r>
                    <w:rPr>
                      <w:rFonts w:ascii="Times New Roman" w:hAnsi="Times New Roman"/>
                      <w:sz w:val="24"/>
                      <w:szCs w:val="24"/>
                    </w:rPr>
                    <w:t>Provizoriskie ieņēmumi no EPK izdošanas</w:t>
                  </w:r>
                </w:p>
              </w:tc>
              <w:tc>
                <w:tcPr>
                  <w:tcW w:w="1469" w:type="dxa"/>
                  <w:tcBorders>
                    <w:top w:val="single" w:sz="4" w:space="0" w:color="auto"/>
                    <w:left w:val="single" w:sz="4" w:space="0" w:color="auto"/>
                    <w:bottom w:val="single" w:sz="4" w:space="0" w:color="auto"/>
                    <w:right w:val="single" w:sz="4" w:space="0" w:color="auto"/>
                  </w:tcBorders>
                </w:tcPr>
                <w:p w14:paraId="258B47AE" w14:textId="1270749C" w:rsidR="00E82750" w:rsidRDefault="00E82750" w:rsidP="00D04E6C">
                  <w:pPr>
                    <w:spacing w:after="0" w:line="240" w:lineRule="auto"/>
                    <w:jc w:val="both"/>
                    <w:rPr>
                      <w:rFonts w:ascii="Times New Roman" w:hAnsi="Times New Roman"/>
                      <w:sz w:val="24"/>
                      <w:szCs w:val="24"/>
                    </w:rPr>
                  </w:pPr>
                  <w:r>
                    <w:rPr>
                      <w:rFonts w:ascii="Times New Roman" w:hAnsi="Times New Roman"/>
                      <w:sz w:val="24"/>
                      <w:szCs w:val="24"/>
                    </w:rPr>
                    <w:t>600</w:t>
                  </w:r>
                </w:p>
              </w:tc>
              <w:tc>
                <w:tcPr>
                  <w:tcW w:w="1469" w:type="dxa"/>
                  <w:tcBorders>
                    <w:top w:val="single" w:sz="4" w:space="0" w:color="auto"/>
                    <w:left w:val="single" w:sz="4" w:space="0" w:color="auto"/>
                    <w:bottom w:val="single" w:sz="4" w:space="0" w:color="auto"/>
                    <w:right w:val="single" w:sz="4" w:space="0" w:color="auto"/>
                  </w:tcBorders>
                </w:tcPr>
                <w:p w14:paraId="6B4993C8" w14:textId="5E067C1F" w:rsidR="00E82750" w:rsidRDefault="00E82750" w:rsidP="00D04E6C">
                  <w:pPr>
                    <w:spacing w:after="0" w:line="240" w:lineRule="auto"/>
                    <w:jc w:val="both"/>
                    <w:rPr>
                      <w:rFonts w:ascii="Times New Roman" w:hAnsi="Times New Roman"/>
                      <w:sz w:val="24"/>
                      <w:szCs w:val="24"/>
                    </w:rPr>
                  </w:pPr>
                  <w:r>
                    <w:rPr>
                      <w:rFonts w:ascii="Times New Roman" w:hAnsi="Times New Roman"/>
                      <w:sz w:val="24"/>
                      <w:szCs w:val="24"/>
                    </w:rPr>
                    <w:t>800</w:t>
                  </w:r>
                </w:p>
              </w:tc>
              <w:tc>
                <w:tcPr>
                  <w:tcW w:w="1469" w:type="dxa"/>
                  <w:tcBorders>
                    <w:top w:val="single" w:sz="4" w:space="0" w:color="auto"/>
                    <w:left w:val="single" w:sz="4" w:space="0" w:color="auto"/>
                    <w:bottom w:val="single" w:sz="4" w:space="0" w:color="auto"/>
                    <w:right w:val="single" w:sz="4" w:space="0" w:color="auto"/>
                  </w:tcBorders>
                </w:tcPr>
                <w:p w14:paraId="00B75AFE" w14:textId="2CF15333" w:rsidR="00E82750" w:rsidRDefault="00E82750" w:rsidP="00D04E6C">
                  <w:pPr>
                    <w:spacing w:after="0" w:line="240" w:lineRule="auto"/>
                    <w:jc w:val="both"/>
                    <w:rPr>
                      <w:rFonts w:ascii="Times New Roman" w:hAnsi="Times New Roman"/>
                      <w:sz w:val="24"/>
                      <w:szCs w:val="24"/>
                    </w:rPr>
                  </w:pPr>
                  <w:r>
                    <w:rPr>
                      <w:rFonts w:ascii="Times New Roman" w:hAnsi="Times New Roman"/>
                      <w:sz w:val="24"/>
                      <w:szCs w:val="24"/>
                    </w:rPr>
                    <w:t>1000</w:t>
                  </w:r>
                </w:p>
              </w:tc>
              <w:tc>
                <w:tcPr>
                  <w:tcW w:w="1255" w:type="dxa"/>
                  <w:tcBorders>
                    <w:top w:val="single" w:sz="4" w:space="0" w:color="auto"/>
                    <w:left w:val="single" w:sz="4" w:space="0" w:color="auto"/>
                    <w:bottom w:val="single" w:sz="4" w:space="0" w:color="auto"/>
                    <w:right w:val="single" w:sz="4" w:space="0" w:color="auto"/>
                  </w:tcBorders>
                </w:tcPr>
                <w:p w14:paraId="38D75D01" w14:textId="5CEAD9DA" w:rsidR="00E82750" w:rsidRDefault="00E82750" w:rsidP="00D04E6C">
                  <w:pPr>
                    <w:spacing w:after="0" w:line="240" w:lineRule="auto"/>
                    <w:jc w:val="both"/>
                    <w:rPr>
                      <w:rFonts w:ascii="Times New Roman" w:hAnsi="Times New Roman"/>
                      <w:sz w:val="24"/>
                      <w:szCs w:val="24"/>
                    </w:rPr>
                  </w:pPr>
                  <w:r>
                    <w:rPr>
                      <w:rFonts w:ascii="Times New Roman" w:hAnsi="Times New Roman"/>
                      <w:sz w:val="24"/>
                      <w:szCs w:val="24"/>
                    </w:rPr>
                    <w:t>1200</w:t>
                  </w:r>
                </w:p>
              </w:tc>
            </w:tr>
            <w:tr w:rsidR="00E82750" w:rsidRPr="005176A1" w14:paraId="75267CFF" w14:textId="10D4FDDB" w:rsidTr="0068307F">
              <w:tc>
                <w:tcPr>
                  <w:tcW w:w="7449" w:type="dxa"/>
                  <w:gridSpan w:val="5"/>
                  <w:tcBorders>
                    <w:top w:val="single" w:sz="4" w:space="0" w:color="auto"/>
                    <w:left w:val="single" w:sz="4" w:space="0" w:color="auto"/>
                    <w:bottom w:val="single" w:sz="4" w:space="0" w:color="auto"/>
                    <w:right w:val="single" w:sz="4" w:space="0" w:color="auto"/>
                  </w:tcBorders>
                </w:tcPr>
                <w:p w14:paraId="5F0A9305" w14:textId="4EFE677D" w:rsidR="00E82750" w:rsidRDefault="00E82750" w:rsidP="00D04E6C">
                  <w:pPr>
                    <w:spacing w:after="0" w:line="240" w:lineRule="auto"/>
                    <w:jc w:val="both"/>
                    <w:rPr>
                      <w:rFonts w:ascii="Times New Roman" w:hAnsi="Times New Roman"/>
                      <w:b/>
                      <w:sz w:val="24"/>
                      <w:szCs w:val="24"/>
                    </w:rPr>
                  </w:pPr>
                  <w:r>
                    <w:rPr>
                      <w:rFonts w:ascii="Times New Roman" w:hAnsi="Times New Roman"/>
                      <w:b/>
                      <w:sz w:val="24"/>
                      <w:szCs w:val="24"/>
                    </w:rPr>
                    <w:t>Papildus nepieciešamais finansējums (starpība starp kopējo nepieciešamo finansējumu un AIC ieņēmumiem no maksas pakalpojumiem par EPK izdošanu)</w:t>
                  </w:r>
                </w:p>
              </w:tc>
            </w:tr>
            <w:tr w:rsidR="00E82750" w:rsidRPr="005176A1" w14:paraId="233BF503" w14:textId="6C58DC56" w:rsidTr="0068307F">
              <w:tc>
                <w:tcPr>
                  <w:tcW w:w="1787" w:type="dxa"/>
                  <w:tcBorders>
                    <w:top w:val="single" w:sz="4" w:space="0" w:color="auto"/>
                    <w:left w:val="single" w:sz="4" w:space="0" w:color="auto"/>
                    <w:bottom w:val="single" w:sz="4" w:space="0" w:color="auto"/>
                    <w:right w:val="single" w:sz="4" w:space="0" w:color="auto"/>
                  </w:tcBorders>
                </w:tcPr>
                <w:p w14:paraId="609642E0" w14:textId="7533C29F" w:rsidR="00E82750" w:rsidRPr="00852C36" w:rsidRDefault="00E82750" w:rsidP="00D04E6C">
                  <w:pPr>
                    <w:spacing w:after="0" w:line="240" w:lineRule="auto"/>
                    <w:jc w:val="right"/>
                    <w:rPr>
                      <w:rFonts w:ascii="Times New Roman" w:hAnsi="Times New Roman"/>
                      <w:b/>
                      <w:sz w:val="24"/>
                      <w:szCs w:val="24"/>
                    </w:rPr>
                  </w:pPr>
                  <w:r w:rsidRPr="00852C36">
                    <w:rPr>
                      <w:rFonts w:ascii="Times New Roman" w:hAnsi="Times New Roman"/>
                      <w:b/>
                      <w:sz w:val="24"/>
                      <w:szCs w:val="24"/>
                    </w:rPr>
                    <w:t>Kopā</w:t>
                  </w:r>
                </w:p>
              </w:tc>
              <w:tc>
                <w:tcPr>
                  <w:tcW w:w="1469" w:type="dxa"/>
                  <w:tcBorders>
                    <w:top w:val="single" w:sz="4" w:space="0" w:color="auto"/>
                    <w:left w:val="single" w:sz="4" w:space="0" w:color="auto"/>
                    <w:bottom w:val="single" w:sz="4" w:space="0" w:color="auto"/>
                    <w:right w:val="single" w:sz="4" w:space="0" w:color="auto"/>
                  </w:tcBorders>
                </w:tcPr>
                <w:p w14:paraId="7F9073BF" w14:textId="65385723" w:rsidR="00E82750" w:rsidRPr="00852C36" w:rsidRDefault="001A1C8D" w:rsidP="00B011C3">
                  <w:pPr>
                    <w:spacing w:after="0" w:line="240" w:lineRule="auto"/>
                    <w:jc w:val="both"/>
                    <w:rPr>
                      <w:rFonts w:ascii="Times New Roman" w:hAnsi="Times New Roman"/>
                      <w:b/>
                      <w:sz w:val="24"/>
                      <w:szCs w:val="24"/>
                    </w:rPr>
                  </w:pPr>
                  <w:r>
                    <w:rPr>
                      <w:rFonts w:ascii="Times New Roman" w:hAnsi="Times New Roman"/>
                      <w:b/>
                      <w:sz w:val="24"/>
                      <w:szCs w:val="24"/>
                    </w:rPr>
                    <w:t>15215</w:t>
                  </w:r>
                </w:p>
              </w:tc>
              <w:tc>
                <w:tcPr>
                  <w:tcW w:w="1469" w:type="dxa"/>
                  <w:tcBorders>
                    <w:top w:val="single" w:sz="4" w:space="0" w:color="auto"/>
                    <w:left w:val="single" w:sz="4" w:space="0" w:color="auto"/>
                    <w:bottom w:val="single" w:sz="4" w:space="0" w:color="auto"/>
                    <w:right w:val="single" w:sz="4" w:space="0" w:color="auto"/>
                  </w:tcBorders>
                </w:tcPr>
                <w:p w14:paraId="63B56790" w14:textId="1F7C098E" w:rsidR="00E82750" w:rsidRPr="00852C36" w:rsidRDefault="00C74EDD" w:rsidP="00D04E6C">
                  <w:pPr>
                    <w:spacing w:after="0" w:line="240" w:lineRule="auto"/>
                    <w:jc w:val="both"/>
                    <w:rPr>
                      <w:rFonts w:ascii="Times New Roman" w:hAnsi="Times New Roman"/>
                      <w:b/>
                      <w:sz w:val="24"/>
                      <w:szCs w:val="24"/>
                    </w:rPr>
                  </w:pPr>
                  <w:r>
                    <w:rPr>
                      <w:rFonts w:ascii="Times New Roman" w:hAnsi="Times New Roman"/>
                      <w:b/>
                      <w:sz w:val="24"/>
                      <w:szCs w:val="24"/>
                    </w:rPr>
                    <w:t>17404</w:t>
                  </w:r>
                </w:p>
              </w:tc>
              <w:tc>
                <w:tcPr>
                  <w:tcW w:w="1469" w:type="dxa"/>
                  <w:tcBorders>
                    <w:top w:val="single" w:sz="4" w:space="0" w:color="auto"/>
                    <w:left w:val="single" w:sz="4" w:space="0" w:color="auto"/>
                    <w:bottom w:val="single" w:sz="4" w:space="0" w:color="auto"/>
                    <w:right w:val="single" w:sz="4" w:space="0" w:color="auto"/>
                  </w:tcBorders>
                </w:tcPr>
                <w:p w14:paraId="4152DED9" w14:textId="06D93326" w:rsidR="00E82750" w:rsidRPr="00852C36" w:rsidRDefault="00113FE3" w:rsidP="00D04E6C">
                  <w:pPr>
                    <w:spacing w:after="0" w:line="240" w:lineRule="auto"/>
                    <w:jc w:val="both"/>
                    <w:rPr>
                      <w:rFonts w:ascii="Times New Roman" w:hAnsi="Times New Roman"/>
                      <w:b/>
                      <w:sz w:val="24"/>
                      <w:szCs w:val="24"/>
                    </w:rPr>
                  </w:pPr>
                  <w:r>
                    <w:rPr>
                      <w:rFonts w:ascii="Times New Roman" w:hAnsi="Times New Roman"/>
                      <w:b/>
                      <w:sz w:val="24"/>
                      <w:szCs w:val="24"/>
                    </w:rPr>
                    <w:t>17404</w:t>
                  </w:r>
                </w:p>
              </w:tc>
              <w:tc>
                <w:tcPr>
                  <w:tcW w:w="1255" w:type="dxa"/>
                  <w:tcBorders>
                    <w:top w:val="single" w:sz="4" w:space="0" w:color="auto"/>
                    <w:left w:val="single" w:sz="4" w:space="0" w:color="auto"/>
                    <w:bottom w:val="single" w:sz="4" w:space="0" w:color="auto"/>
                    <w:right w:val="single" w:sz="4" w:space="0" w:color="auto"/>
                  </w:tcBorders>
                </w:tcPr>
                <w:p w14:paraId="11727E3F" w14:textId="72D4E4C2" w:rsidR="00E82750" w:rsidRDefault="00113FE3" w:rsidP="00D04E6C">
                  <w:pPr>
                    <w:spacing w:after="0" w:line="240" w:lineRule="auto"/>
                    <w:jc w:val="both"/>
                    <w:rPr>
                      <w:rFonts w:ascii="Times New Roman" w:hAnsi="Times New Roman"/>
                      <w:b/>
                      <w:sz w:val="24"/>
                      <w:szCs w:val="24"/>
                    </w:rPr>
                  </w:pPr>
                  <w:r>
                    <w:rPr>
                      <w:rFonts w:ascii="Times New Roman" w:hAnsi="Times New Roman"/>
                      <w:b/>
                      <w:sz w:val="24"/>
                      <w:szCs w:val="24"/>
                    </w:rPr>
                    <w:t>17404</w:t>
                  </w:r>
                </w:p>
              </w:tc>
            </w:tr>
          </w:tbl>
          <w:p w14:paraId="4E33472F" w14:textId="2809C4CE" w:rsidR="00D04E6C" w:rsidRPr="005176A1" w:rsidRDefault="00D04E6C" w:rsidP="00D04E6C">
            <w:pPr>
              <w:spacing w:after="0" w:line="240" w:lineRule="auto"/>
              <w:rPr>
                <w:rFonts w:ascii="Times New Roman" w:hAnsi="Times New Roman"/>
                <w:sz w:val="24"/>
                <w:szCs w:val="24"/>
                <w:lang w:eastAsia="lv-LV"/>
              </w:rPr>
            </w:pPr>
          </w:p>
          <w:p w14:paraId="203EC0C6" w14:textId="7296A27F" w:rsidR="00D04E6C" w:rsidRDefault="00D04E6C" w:rsidP="00AC1969">
            <w:pPr>
              <w:spacing w:after="0" w:line="240" w:lineRule="auto"/>
              <w:jc w:val="both"/>
              <w:rPr>
                <w:rFonts w:ascii="Times New Roman" w:hAnsi="Times New Roman"/>
                <w:sz w:val="24"/>
                <w:szCs w:val="24"/>
                <w:lang w:eastAsia="lv-LV"/>
              </w:rPr>
            </w:pPr>
            <w:r w:rsidRPr="005176A1">
              <w:rPr>
                <w:rFonts w:ascii="Times New Roman" w:hAnsi="Times New Roman"/>
                <w:sz w:val="24"/>
                <w:szCs w:val="24"/>
              </w:rPr>
              <w:t xml:space="preserve">EPK izdošanas izmaksas </w:t>
            </w:r>
            <w:r>
              <w:rPr>
                <w:rFonts w:ascii="Times New Roman" w:hAnsi="Times New Roman"/>
                <w:bCs/>
                <w:sz w:val="24"/>
                <w:szCs w:val="24"/>
              </w:rPr>
              <w:t>grozījumos noteikumos Nr.409 aplēstas</w:t>
            </w:r>
            <w:r w:rsidRPr="005176A1">
              <w:rPr>
                <w:rFonts w:ascii="Times New Roman" w:hAnsi="Times New Roman"/>
                <w:sz w:val="24"/>
                <w:szCs w:val="24"/>
              </w:rPr>
              <w:t xml:space="preserve"> salīdzinoši</w:t>
            </w:r>
            <w:r>
              <w:rPr>
                <w:rFonts w:ascii="Times New Roman" w:hAnsi="Times New Roman"/>
                <w:sz w:val="24"/>
                <w:szCs w:val="24"/>
              </w:rPr>
              <w:t xml:space="preserve"> ar</w:t>
            </w:r>
            <w:r w:rsidRPr="005176A1">
              <w:rPr>
                <w:rFonts w:ascii="Times New Roman" w:hAnsi="Times New Roman"/>
                <w:sz w:val="24"/>
                <w:szCs w:val="24"/>
              </w:rPr>
              <w:t xml:space="preserve"> starptautiski aprēķinātajiem paraugiem un vērtējamas kā minimālās izmaksas apstākļos, kuros visu dokumentu aprite norisinās nevainojami un dokumentu autentiskuma un cita veida pārbaudes nav vajadzīgas. Kā liecina pieredze, šādi gadījumi ir mazākumā. L</w:t>
            </w:r>
            <w:r w:rsidRPr="005176A1">
              <w:rPr>
                <w:rFonts w:ascii="Times New Roman" w:hAnsi="Times New Roman"/>
                <w:sz w:val="24"/>
                <w:szCs w:val="24"/>
                <w:lang w:eastAsia="lv-LV"/>
              </w:rPr>
              <w:t>aika ilgumu, kas būtu jāvelta viena EPK pretendenta pieteikuma apstrādei nav iespējams noteikt kā vidējo rādītāju, jo modelējot tālāk atspoguļoto iespējamo EPK izsniegšanas reālo situāciju, proti</w:t>
            </w:r>
            <w:r>
              <w:rPr>
                <w:rFonts w:ascii="Times New Roman" w:hAnsi="Times New Roman"/>
                <w:sz w:val="24"/>
                <w:szCs w:val="24"/>
                <w:lang w:eastAsia="lv-LV"/>
              </w:rPr>
              <w:t>,</w:t>
            </w:r>
            <w:r w:rsidRPr="005176A1">
              <w:rPr>
                <w:rFonts w:ascii="Times New Roman" w:hAnsi="Times New Roman"/>
                <w:sz w:val="24"/>
                <w:szCs w:val="24"/>
                <w:lang w:eastAsia="lv-LV"/>
              </w:rPr>
              <w:t xml:space="preserve"> cik ilgu laiku būs jāvelta katram individuālam pieteikumam, nav iespējams precīzi noteikt, cik daudz un kādas izziņas būs jāpieprasa un kādas dokumentu pārbaudes jāveic. Tāpat nevar precīzi noteikt, uz cik daudziem un kādiem informācijas pieprasījumiem no citu valstu kompetentajām institūcijām būs jāatbild</w:t>
            </w:r>
            <w:r>
              <w:rPr>
                <w:rFonts w:ascii="Times New Roman" w:hAnsi="Times New Roman"/>
                <w:sz w:val="24"/>
                <w:szCs w:val="24"/>
                <w:lang w:eastAsia="lv-LV"/>
              </w:rPr>
              <w:t>.</w:t>
            </w:r>
            <w:r w:rsidRPr="005176A1">
              <w:rPr>
                <w:rFonts w:ascii="Times New Roman" w:hAnsi="Times New Roman"/>
                <w:sz w:val="24"/>
                <w:szCs w:val="24"/>
                <w:lang w:eastAsia="lv-LV"/>
              </w:rPr>
              <w:t xml:space="preserve"> </w:t>
            </w:r>
          </w:p>
          <w:p w14:paraId="22763895" w14:textId="437E2D56" w:rsidR="00D04E6C" w:rsidRPr="005176A1" w:rsidRDefault="00D04E6C" w:rsidP="00D04E6C">
            <w:pPr>
              <w:spacing w:after="0" w:line="240" w:lineRule="auto"/>
              <w:rPr>
                <w:rFonts w:ascii="Times New Roman" w:hAnsi="Times New Roman"/>
                <w:sz w:val="24"/>
                <w:szCs w:val="24"/>
                <w:lang w:eastAsia="lv-LV"/>
              </w:rPr>
            </w:pPr>
            <w:r w:rsidRPr="005176A1">
              <w:rPr>
                <w:rFonts w:ascii="Times New Roman" w:hAnsi="Times New Roman"/>
                <w:sz w:val="24"/>
                <w:szCs w:val="24"/>
                <w:lang w:eastAsia="lv-LV"/>
              </w:rPr>
              <w:t xml:space="preserve"> </w:t>
            </w:r>
          </w:p>
          <w:p w14:paraId="2C657F00" w14:textId="10006F45" w:rsidR="00D04E6C" w:rsidRPr="007B7C89" w:rsidRDefault="00D04E6C" w:rsidP="00D04E6C">
            <w:pPr>
              <w:spacing w:after="0" w:line="240" w:lineRule="auto"/>
              <w:rPr>
                <w:rFonts w:ascii="Times New Roman" w:hAnsi="Times New Roman"/>
                <w:sz w:val="24"/>
                <w:szCs w:val="24"/>
                <w:lang w:eastAsia="lv-LV"/>
              </w:rPr>
            </w:pPr>
            <w:r w:rsidRPr="005176A1">
              <w:rPr>
                <w:rFonts w:ascii="Times New Roman" w:hAnsi="Times New Roman"/>
                <w:sz w:val="24"/>
                <w:szCs w:val="24"/>
                <w:lang w:eastAsia="lv-LV"/>
              </w:rPr>
              <w:t xml:space="preserve">EPK </w:t>
            </w:r>
            <w:r w:rsidRPr="007B7C89">
              <w:rPr>
                <w:rFonts w:ascii="Times New Roman" w:hAnsi="Times New Roman"/>
                <w:sz w:val="24"/>
                <w:szCs w:val="24"/>
                <w:lang w:eastAsia="lv-LV"/>
              </w:rPr>
              <w:t>izsniegšanas pieteikuma izskatīšanas process:</w:t>
            </w:r>
          </w:p>
          <w:p w14:paraId="1E9E1B22" w14:textId="07FCAB98" w:rsidR="007B7C89" w:rsidRPr="007B7C89" w:rsidRDefault="007B7C89" w:rsidP="007B7C89">
            <w:pPr>
              <w:spacing w:after="0" w:line="240" w:lineRule="auto"/>
              <w:jc w:val="both"/>
              <w:rPr>
                <w:rFonts w:ascii="Times New Roman" w:hAnsi="Times New Roman"/>
                <w:sz w:val="24"/>
                <w:szCs w:val="24"/>
              </w:rPr>
            </w:pPr>
            <w:r w:rsidRPr="007B7C89">
              <w:rPr>
                <w:rFonts w:ascii="Times New Roman" w:hAnsi="Times New Roman"/>
                <w:sz w:val="24"/>
                <w:szCs w:val="24"/>
              </w:rPr>
              <w:t xml:space="preserve">1) </w:t>
            </w:r>
            <w:r w:rsidR="00D04E6C" w:rsidRPr="007B7C89">
              <w:rPr>
                <w:rFonts w:ascii="Times New Roman" w:hAnsi="Times New Roman"/>
                <w:sz w:val="24"/>
                <w:szCs w:val="24"/>
              </w:rPr>
              <w:t>EPK pieteikuma IMI sistēmā saņemšana un izskatīšana</w:t>
            </w:r>
            <w:r w:rsidR="001F2C15">
              <w:rPr>
                <w:rFonts w:ascii="Times New Roman" w:hAnsi="Times New Roman"/>
                <w:sz w:val="24"/>
                <w:szCs w:val="24"/>
              </w:rPr>
              <w:t>;</w:t>
            </w:r>
          </w:p>
          <w:p w14:paraId="2BEDD963" w14:textId="6A2A6C2D" w:rsidR="007B7C89" w:rsidRPr="007B7C89" w:rsidRDefault="007B7C89" w:rsidP="007B7C89">
            <w:pPr>
              <w:spacing w:after="0" w:line="240" w:lineRule="auto"/>
              <w:jc w:val="both"/>
              <w:rPr>
                <w:rFonts w:ascii="Times New Roman" w:hAnsi="Times New Roman"/>
                <w:sz w:val="24"/>
                <w:szCs w:val="24"/>
              </w:rPr>
            </w:pPr>
            <w:r w:rsidRPr="007B7C89">
              <w:rPr>
                <w:rFonts w:ascii="Times New Roman" w:hAnsi="Times New Roman"/>
                <w:sz w:val="24"/>
                <w:szCs w:val="24"/>
              </w:rPr>
              <w:t>2) j</w:t>
            </w:r>
            <w:r>
              <w:rPr>
                <w:rFonts w:ascii="Times New Roman" w:hAnsi="Times New Roman"/>
                <w:sz w:val="24"/>
                <w:szCs w:val="24"/>
              </w:rPr>
              <w:t>a ir saņemti rakstveida</w:t>
            </w:r>
            <w:r w:rsidR="0024350F">
              <w:rPr>
                <w:rFonts w:ascii="Times New Roman" w:hAnsi="Times New Roman"/>
                <w:sz w:val="24"/>
                <w:szCs w:val="24"/>
              </w:rPr>
              <w:t xml:space="preserve"> vai mutvārdu</w:t>
            </w:r>
            <w:r w:rsidRPr="007B7C89">
              <w:rPr>
                <w:rFonts w:ascii="Times New Roman" w:hAnsi="Times New Roman"/>
                <w:sz w:val="24"/>
                <w:szCs w:val="24"/>
              </w:rPr>
              <w:t xml:space="preserve"> EPK pieteikumi, Akadēmiskās informācijas centrs pretendenta vārdā aizpilda EPK pieteikumu Direktīvas 2005/36/EK 4.b panta 1. punktā minētajā tiešsaistes rīkā</w:t>
            </w:r>
            <w:r w:rsidR="001F2C15">
              <w:rPr>
                <w:rFonts w:ascii="Times New Roman" w:hAnsi="Times New Roman"/>
                <w:sz w:val="24"/>
                <w:szCs w:val="24"/>
              </w:rPr>
              <w:t>;</w:t>
            </w:r>
          </w:p>
          <w:p w14:paraId="61E65CC2" w14:textId="1441E69C" w:rsidR="00D04E6C" w:rsidRPr="007B7C89" w:rsidRDefault="007B7C89" w:rsidP="007B7C89">
            <w:pPr>
              <w:spacing w:after="0" w:line="240" w:lineRule="auto"/>
              <w:rPr>
                <w:rFonts w:ascii="Times New Roman" w:hAnsi="Times New Roman"/>
                <w:sz w:val="24"/>
                <w:szCs w:val="24"/>
              </w:rPr>
            </w:pPr>
            <w:r>
              <w:rPr>
                <w:rFonts w:ascii="Times New Roman" w:hAnsi="Times New Roman"/>
                <w:sz w:val="24"/>
                <w:szCs w:val="24"/>
              </w:rPr>
              <w:t xml:space="preserve">3) </w:t>
            </w:r>
            <w:r w:rsidR="00D04E6C" w:rsidRPr="007B7C89">
              <w:rPr>
                <w:rFonts w:ascii="Times New Roman" w:hAnsi="Times New Roman"/>
                <w:sz w:val="24"/>
                <w:szCs w:val="24"/>
              </w:rPr>
              <w:t xml:space="preserve">ja EPK iesniedzējs pieteikumā deklarē, ka viņa mītnes valsts ir Latvijas Republika, pārbaude, vai pretendentam ir likumīgs statuss, t.i. vai viņa profesionālā kvalifikācija ir atzīta; </w:t>
            </w:r>
          </w:p>
          <w:p w14:paraId="5D817696" w14:textId="1FA29B5C" w:rsidR="00D04E6C" w:rsidRPr="007B7C89" w:rsidRDefault="007B7C89" w:rsidP="007B7C89">
            <w:pPr>
              <w:spacing w:after="0" w:line="240" w:lineRule="auto"/>
              <w:rPr>
                <w:rFonts w:ascii="Times New Roman" w:hAnsi="Times New Roman"/>
                <w:sz w:val="24"/>
                <w:szCs w:val="24"/>
              </w:rPr>
            </w:pPr>
            <w:r>
              <w:rPr>
                <w:rFonts w:ascii="Times New Roman" w:hAnsi="Times New Roman"/>
                <w:sz w:val="24"/>
                <w:szCs w:val="24"/>
              </w:rPr>
              <w:t xml:space="preserve">4) </w:t>
            </w:r>
            <w:r w:rsidR="00D04E6C" w:rsidRPr="007B7C89">
              <w:rPr>
                <w:rFonts w:ascii="Times New Roman" w:hAnsi="Times New Roman"/>
                <w:sz w:val="24"/>
                <w:szCs w:val="24"/>
              </w:rPr>
              <w:t xml:space="preserve">ja nav apstiprinājuma pretendenta likumīgajam statusam, pieprasījuma sagatavošana un nosūtīšana ar lūgumu apliecināt tā likumīgo statusu nedēļas laikā. Nepieciešamo un trūkstošo dokumentu pieprasīšana, piemēram, apliecinātas dokumentu kopijas; </w:t>
            </w:r>
          </w:p>
          <w:p w14:paraId="4AAF38DA" w14:textId="1D19FBBC" w:rsidR="00D04E6C" w:rsidRPr="007B7C89" w:rsidRDefault="007B7C89" w:rsidP="007B7C89">
            <w:pPr>
              <w:spacing w:after="0" w:line="240" w:lineRule="auto"/>
              <w:rPr>
                <w:rFonts w:ascii="Times New Roman" w:hAnsi="Times New Roman"/>
                <w:sz w:val="24"/>
                <w:szCs w:val="24"/>
              </w:rPr>
            </w:pPr>
            <w:r>
              <w:rPr>
                <w:rFonts w:ascii="Times New Roman" w:hAnsi="Times New Roman"/>
                <w:sz w:val="24"/>
                <w:szCs w:val="24"/>
              </w:rPr>
              <w:t xml:space="preserve">5) </w:t>
            </w:r>
            <w:r w:rsidR="00D04E6C" w:rsidRPr="007B7C89">
              <w:rPr>
                <w:rFonts w:ascii="Times New Roman" w:hAnsi="Times New Roman"/>
                <w:sz w:val="24"/>
                <w:szCs w:val="24"/>
              </w:rPr>
              <w:t xml:space="preserve">gadījumā, ja pretendentam pieteikuma iesniegšanas brīdī nav likumīga statusa, uz norādīto dalībvalsti, kurā pretendents ir ieguvis nepieciešamo profesionālo kvalifikāciju, ir jāsagatavo un </w:t>
            </w:r>
            <w:proofErr w:type="spellStart"/>
            <w:r w:rsidR="00D04E6C" w:rsidRPr="007B7C89">
              <w:rPr>
                <w:rFonts w:ascii="Times New Roman" w:hAnsi="Times New Roman"/>
                <w:sz w:val="24"/>
                <w:szCs w:val="24"/>
              </w:rPr>
              <w:t>jānosūta</w:t>
            </w:r>
            <w:proofErr w:type="spellEnd"/>
            <w:r w:rsidR="00D04E6C" w:rsidRPr="007B7C89">
              <w:rPr>
                <w:rFonts w:ascii="Times New Roman" w:hAnsi="Times New Roman"/>
                <w:sz w:val="24"/>
                <w:szCs w:val="24"/>
              </w:rPr>
              <w:t xml:space="preserve"> pieteikumu tās dalībvalsts kompetentajai iestādei, kura izsniegusi nepieciešamo profesionālo kvalifikāciju; </w:t>
            </w:r>
          </w:p>
          <w:p w14:paraId="01E4CF1B" w14:textId="53725EDB" w:rsidR="00D04E6C" w:rsidRPr="005176A1" w:rsidRDefault="007B7C89" w:rsidP="007B7C89">
            <w:pPr>
              <w:pStyle w:val="Default"/>
              <w:rPr>
                <w:color w:val="auto"/>
              </w:rPr>
            </w:pPr>
            <w:r>
              <w:rPr>
                <w:color w:val="auto"/>
              </w:rPr>
              <w:t xml:space="preserve">6) </w:t>
            </w:r>
            <w:r w:rsidR="00D04E6C" w:rsidRPr="005176A1">
              <w:rPr>
                <w:color w:val="auto"/>
              </w:rPr>
              <w:t xml:space="preserve">EPK pieteikumu pārsūtīšana kompetentajai iestādei </w:t>
            </w:r>
            <w:r w:rsidR="00271D15">
              <w:rPr>
                <w:color w:val="auto"/>
              </w:rPr>
              <w:t>– institūcijai, kas izsniedz profesionālās kvalifikācijas apliecības māsas, farmaceita un fizioterapeita profesijās</w:t>
            </w:r>
            <w:r w:rsidR="00EE1A70">
              <w:rPr>
                <w:color w:val="auto"/>
              </w:rPr>
              <w:t>,</w:t>
            </w:r>
            <w:r w:rsidR="00271D15">
              <w:rPr>
                <w:color w:val="auto"/>
              </w:rPr>
              <w:t xml:space="preserve"> pieteikumam pievienoto profesionālo kvalifikāciju apliecinošo dokumentu </w:t>
            </w:r>
            <w:r w:rsidR="00D04E6C" w:rsidRPr="005176A1">
              <w:rPr>
                <w:color w:val="auto"/>
              </w:rPr>
              <w:t>izs</w:t>
            </w:r>
            <w:r w:rsidR="00D04E6C">
              <w:rPr>
                <w:color w:val="auto"/>
              </w:rPr>
              <w:t>katīšanai un argumentēta atzinuma sagatavošanai, kas kalpos par pamatu lēmuma pieņemšanai;</w:t>
            </w:r>
            <w:r w:rsidR="00D04E6C" w:rsidRPr="005176A1">
              <w:rPr>
                <w:color w:val="auto"/>
              </w:rPr>
              <w:t xml:space="preserve"> </w:t>
            </w:r>
          </w:p>
          <w:p w14:paraId="41E9E0E7" w14:textId="2B20407B" w:rsidR="00D04E6C" w:rsidRPr="005176A1" w:rsidRDefault="007B7C89" w:rsidP="007B7C89">
            <w:pPr>
              <w:pStyle w:val="Default"/>
              <w:rPr>
                <w:color w:val="auto"/>
              </w:rPr>
            </w:pPr>
            <w:r>
              <w:rPr>
                <w:color w:val="auto"/>
              </w:rPr>
              <w:t xml:space="preserve">7) </w:t>
            </w:r>
            <w:r w:rsidR="00D04E6C">
              <w:rPr>
                <w:color w:val="auto"/>
              </w:rPr>
              <w:t>p</w:t>
            </w:r>
            <w:r w:rsidR="00D04E6C" w:rsidRPr="005176A1">
              <w:rPr>
                <w:color w:val="auto"/>
              </w:rPr>
              <w:t xml:space="preserve">irms apstiprina pretendenta </w:t>
            </w:r>
            <w:r w:rsidR="00D04E6C" w:rsidRPr="005176A1">
              <w:rPr>
                <w:i/>
                <w:iCs/>
                <w:color w:val="auto"/>
              </w:rPr>
              <w:t>IMI</w:t>
            </w:r>
            <w:r w:rsidR="00B31785">
              <w:rPr>
                <w:i/>
                <w:iCs/>
                <w:color w:val="auto"/>
              </w:rPr>
              <w:t xml:space="preserve"> </w:t>
            </w:r>
            <w:r w:rsidR="00B31785">
              <w:rPr>
                <w:iCs/>
                <w:color w:val="auto"/>
              </w:rPr>
              <w:t>sistēmā</w:t>
            </w:r>
            <w:r w:rsidR="00D04E6C" w:rsidRPr="005176A1">
              <w:rPr>
                <w:i/>
                <w:iCs/>
                <w:color w:val="auto"/>
              </w:rPr>
              <w:t xml:space="preserve"> </w:t>
            </w:r>
            <w:proofErr w:type="spellStart"/>
            <w:r w:rsidR="00D04E6C" w:rsidRPr="005176A1">
              <w:rPr>
                <w:color w:val="auto"/>
              </w:rPr>
              <w:t>augšuplādētā</w:t>
            </w:r>
            <w:proofErr w:type="spellEnd"/>
            <w:r w:rsidR="00D04E6C" w:rsidRPr="005176A1">
              <w:rPr>
                <w:color w:val="auto"/>
              </w:rPr>
              <w:t xml:space="preserve"> dokumenta autentiskumu un derīgumu, </w:t>
            </w:r>
            <w:r w:rsidR="00EE1A70">
              <w:rPr>
                <w:color w:val="auto"/>
              </w:rPr>
              <w:t>jā</w:t>
            </w:r>
            <w:r w:rsidR="00D04E6C" w:rsidRPr="005176A1">
              <w:rPr>
                <w:color w:val="auto"/>
              </w:rPr>
              <w:t xml:space="preserve">apraksta katra dokumenta saturu iepriekš sagatavotos laukos </w:t>
            </w:r>
            <w:r w:rsidR="00D04E6C" w:rsidRPr="005176A1">
              <w:rPr>
                <w:i/>
                <w:iCs/>
                <w:color w:val="auto"/>
              </w:rPr>
              <w:t>IMI</w:t>
            </w:r>
            <w:r w:rsidR="00B31785">
              <w:rPr>
                <w:i/>
                <w:iCs/>
                <w:color w:val="auto"/>
              </w:rPr>
              <w:t xml:space="preserve"> </w:t>
            </w:r>
            <w:r w:rsidR="00B31785">
              <w:rPr>
                <w:iCs/>
                <w:color w:val="auto"/>
              </w:rPr>
              <w:t>sistēmā</w:t>
            </w:r>
            <w:r w:rsidR="00D04E6C" w:rsidRPr="005176A1">
              <w:rPr>
                <w:color w:val="auto"/>
              </w:rPr>
              <w:t xml:space="preserve">. Ja nepieciešams, </w:t>
            </w:r>
            <w:r w:rsidR="00AF0775">
              <w:rPr>
                <w:color w:val="auto"/>
              </w:rPr>
              <w:t>mītnes</w:t>
            </w:r>
            <w:r w:rsidR="00F64887">
              <w:rPr>
                <w:color w:val="auto"/>
              </w:rPr>
              <w:t xml:space="preserve"> </w:t>
            </w:r>
            <w:r w:rsidR="00D04E6C" w:rsidRPr="005176A1">
              <w:rPr>
                <w:color w:val="auto"/>
              </w:rPr>
              <w:t>valsts kompetentā iestāde nodrošina, ka informācija, kas apraksta dokumentus, kurus iesniedzis pretendents ar Direktīvas 2005/36/EK 4.b panta 1. punktā minētā tiešsaiste</w:t>
            </w:r>
            <w:r w:rsidR="00D04E6C">
              <w:rPr>
                <w:color w:val="auto"/>
              </w:rPr>
              <w:t>s rīka starpniecību, ir precīza;</w:t>
            </w:r>
            <w:r w:rsidR="00D04E6C" w:rsidRPr="005176A1">
              <w:rPr>
                <w:color w:val="auto"/>
              </w:rPr>
              <w:t xml:space="preserve"> </w:t>
            </w:r>
          </w:p>
          <w:p w14:paraId="4465CA33" w14:textId="3A485564" w:rsidR="00D04E6C" w:rsidRPr="005176A1" w:rsidRDefault="007B7C89" w:rsidP="007B7C89">
            <w:pPr>
              <w:pStyle w:val="Default"/>
              <w:rPr>
                <w:color w:val="auto"/>
              </w:rPr>
            </w:pPr>
            <w:r>
              <w:rPr>
                <w:color w:val="auto"/>
              </w:rPr>
              <w:lastRenderedPageBreak/>
              <w:t xml:space="preserve">8) </w:t>
            </w:r>
            <w:r w:rsidR="00D04E6C">
              <w:rPr>
                <w:color w:val="auto"/>
              </w:rPr>
              <w:t>s</w:t>
            </w:r>
            <w:r w:rsidR="00D04E6C" w:rsidRPr="005176A1">
              <w:rPr>
                <w:color w:val="auto"/>
              </w:rPr>
              <w:t xml:space="preserve">ituācijā, kad nepieciešamo dokumentu izsniegusi mītnes valsts cita valsts iestāde un pastāv pamatotas šaubas, mītnes valsts kompetentā iestāde lūdz attiecīgajai valsts iestādei apstiprināt konkrētā dokumenta derīgumu un autentiskumu. Pēc apstiprinājuma saņemšanas tā apliecina </w:t>
            </w:r>
            <w:r w:rsidR="00D04E6C" w:rsidRPr="005176A1">
              <w:rPr>
                <w:i/>
                <w:iCs/>
                <w:color w:val="auto"/>
              </w:rPr>
              <w:t>IMI</w:t>
            </w:r>
            <w:r w:rsidR="00B31785">
              <w:rPr>
                <w:i/>
                <w:iCs/>
                <w:color w:val="auto"/>
              </w:rPr>
              <w:t xml:space="preserve"> </w:t>
            </w:r>
            <w:r w:rsidR="00B31785">
              <w:rPr>
                <w:iCs/>
                <w:color w:val="auto"/>
              </w:rPr>
              <w:t>sistēmā</w:t>
            </w:r>
            <w:r w:rsidR="00D04E6C" w:rsidRPr="005176A1">
              <w:rPr>
                <w:color w:val="auto"/>
              </w:rPr>
              <w:t>, ka minētais do</w:t>
            </w:r>
            <w:r w:rsidR="00D04E6C">
              <w:rPr>
                <w:color w:val="auto"/>
              </w:rPr>
              <w:t>kuments ir derīgs un autentisks;</w:t>
            </w:r>
          </w:p>
          <w:p w14:paraId="100ACD90" w14:textId="36057CFF" w:rsidR="00D04E6C" w:rsidRPr="005176A1" w:rsidRDefault="007B7C89" w:rsidP="007B7C89">
            <w:pPr>
              <w:pStyle w:val="Default"/>
              <w:rPr>
                <w:color w:val="auto"/>
              </w:rPr>
            </w:pPr>
            <w:r>
              <w:rPr>
                <w:color w:val="auto"/>
              </w:rPr>
              <w:t xml:space="preserve">9) </w:t>
            </w:r>
            <w:r w:rsidR="00D04E6C">
              <w:rPr>
                <w:color w:val="auto"/>
              </w:rPr>
              <w:t>j</w:t>
            </w:r>
            <w:r w:rsidR="00D04E6C" w:rsidRPr="005176A1">
              <w:rPr>
                <w:color w:val="auto"/>
              </w:rPr>
              <w:t xml:space="preserve">a dokuments tika izsniegts citā dalībvalstī, mītnes valsts kompetentā iestāde ar </w:t>
            </w:r>
            <w:r w:rsidR="00D04E6C" w:rsidRPr="005176A1">
              <w:rPr>
                <w:i/>
                <w:iCs/>
                <w:color w:val="auto"/>
              </w:rPr>
              <w:t>IMI</w:t>
            </w:r>
            <w:r w:rsidR="00D26927">
              <w:rPr>
                <w:i/>
                <w:iCs/>
                <w:color w:val="auto"/>
              </w:rPr>
              <w:t xml:space="preserve"> </w:t>
            </w:r>
            <w:r w:rsidR="00D26927">
              <w:rPr>
                <w:iCs/>
                <w:color w:val="auto"/>
              </w:rPr>
              <w:t>sistēmas</w:t>
            </w:r>
            <w:r w:rsidR="00D04E6C" w:rsidRPr="005176A1">
              <w:rPr>
                <w:i/>
                <w:iCs/>
                <w:color w:val="auto"/>
              </w:rPr>
              <w:t xml:space="preserve"> </w:t>
            </w:r>
            <w:r w:rsidR="00D04E6C" w:rsidRPr="005176A1">
              <w:rPr>
                <w:color w:val="auto"/>
              </w:rPr>
              <w:t xml:space="preserve">starpniecību sazinās ar attiecīgās dalībvalsts kompetento iestādi, kas ir atbildīga par EPK pieteikumiem (vai citu konkrētās dalībvalsts attiecīgo valsts iestādi, kas reģistrēta </w:t>
            </w:r>
            <w:r w:rsidR="00D04E6C" w:rsidRPr="005176A1">
              <w:rPr>
                <w:i/>
                <w:iCs/>
                <w:color w:val="auto"/>
              </w:rPr>
              <w:t>IMI</w:t>
            </w:r>
            <w:r w:rsidR="00B31785">
              <w:rPr>
                <w:i/>
                <w:iCs/>
                <w:color w:val="auto"/>
              </w:rPr>
              <w:t xml:space="preserve"> </w:t>
            </w:r>
            <w:r w:rsidR="00B31785">
              <w:rPr>
                <w:iCs/>
                <w:color w:val="auto"/>
              </w:rPr>
              <w:t>sistēmā</w:t>
            </w:r>
            <w:r w:rsidR="00D04E6C" w:rsidRPr="005176A1">
              <w:rPr>
                <w:color w:val="auto"/>
              </w:rPr>
              <w:t xml:space="preserve">), lai pārbaudītu konkrētā dokumenta derīgumu un autentiskumu. Pēc pārbaudes pabeigšanas tā apliecina </w:t>
            </w:r>
            <w:r w:rsidR="00D04E6C" w:rsidRPr="005176A1">
              <w:rPr>
                <w:i/>
                <w:iCs/>
                <w:color w:val="auto"/>
              </w:rPr>
              <w:t>IMI</w:t>
            </w:r>
            <w:r w:rsidR="00B31785">
              <w:rPr>
                <w:i/>
                <w:iCs/>
                <w:color w:val="auto"/>
              </w:rPr>
              <w:t xml:space="preserve"> </w:t>
            </w:r>
            <w:r w:rsidR="00B31785">
              <w:rPr>
                <w:iCs/>
                <w:color w:val="auto"/>
              </w:rPr>
              <w:t>sistēmā</w:t>
            </w:r>
            <w:r w:rsidR="00D04E6C" w:rsidRPr="005176A1">
              <w:rPr>
                <w:color w:val="auto"/>
              </w:rPr>
              <w:t>, ka citas dalībvalsts kompetentā iestāde ir apstiprinājusi attiecīgā dokumenta derīgumu un autentiskumu</w:t>
            </w:r>
            <w:r w:rsidR="00D04E6C">
              <w:rPr>
                <w:color w:val="auto"/>
              </w:rPr>
              <w:t>;</w:t>
            </w:r>
            <w:r w:rsidR="00D04E6C" w:rsidRPr="005176A1">
              <w:rPr>
                <w:color w:val="auto"/>
              </w:rPr>
              <w:t xml:space="preserve"> </w:t>
            </w:r>
          </w:p>
          <w:p w14:paraId="097CC849" w14:textId="2BA89D61" w:rsidR="00D04E6C" w:rsidRPr="005176A1" w:rsidRDefault="007B7C89" w:rsidP="007B7C89">
            <w:pPr>
              <w:pStyle w:val="Default"/>
              <w:rPr>
                <w:color w:val="auto"/>
              </w:rPr>
            </w:pPr>
            <w:r>
              <w:rPr>
                <w:color w:val="auto"/>
              </w:rPr>
              <w:t xml:space="preserve">10) </w:t>
            </w:r>
            <w:r w:rsidR="00D04E6C">
              <w:rPr>
                <w:color w:val="auto"/>
              </w:rPr>
              <w:t>n</w:t>
            </w:r>
            <w:r w:rsidR="00D04E6C" w:rsidRPr="005176A1">
              <w:rPr>
                <w:color w:val="auto"/>
              </w:rPr>
              <w:t>ekavējoties jāatbild uz visiem</w:t>
            </w:r>
            <w:r w:rsidR="0072641C">
              <w:rPr>
                <w:color w:val="auto"/>
              </w:rPr>
              <w:t xml:space="preserve"> </w:t>
            </w:r>
            <w:r w:rsidR="00EB5B7A">
              <w:rPr>
                <w:color w:val="auto"/>
              </w:rPr>
              <w:t xml:space="preserve">EPK </w:t>
            </w:r>
            <w:r w:rsidR="0072641C">
              <w:rPr>
                <w:color w:val="auto"/>
              </w:rPr>
              <w:t xml:space="preserve">pretendenta </w:t>
            </w:r>
            <w:r w:rsidR="00D04E6C" w:rsidRPr="005176A1">
              <w:rPr>
                <w:color w:val="auto"/>
              </w:rPr>
              <w:t xml:space="preserve"> </w:t>
            </w:r>
            <w:r w:rsidR="00F64887">
              <w:rPr>
                <w:color w:val="auto"/>
              </w:rPr>
              <w:t xml:space="preserve">mītnes </w:t>
            </w:r>
            <w:r w:rsidR="00D04E6C" w:rsidRPr="005176A1">
              <w:rPr>
                <w:color w:val="auto"/>
              </w:rPr>
              <w:t>valsts kompetentās iestād</w:t>
            </w:r>
            <w:r w:rsidR="00D04E6C">
              <w:rPr>
                <w:color w:val="auto"/>
              </w:rPr>
              <w:t>es informācijas pieprasījumiem;</w:t>
            </w:r>
          </w:p>
          <w:p w14:paraId="131C4A20" w14:textId="68EED297" w:rsidR="00D04E6C" w:rsidRPr="005176A1" w:rsidRDefault="007B7C89" w:rsidP="007B7C89">
            <w:pPr>
              <w:pStyle w:val="Default"/>
              <w:rPr>
                <w:color w:val="auto"/>
              </w:rPr>
            </w:pPr>
            <w:r>
              <w:rPr>
                <w:color w:val="auto"/>
              </w:rPr>
              <w:t xml:space="preserve">11) </w:t>
            </w:r>
            <w:r w:rsidR="00D04E6C">
              <w:rPr>
                <w:color w:val="auto"/>
              </w:rPr>
              <w:t>p</w:t>
            </w:r>
            <w:r w:rsidR="00D04E6C" w:rsidRPr="005176A1">
              <w:rPr>
                <w:color w:val="auto"/>
              </w:rPr>
              <w:t xml:space="preserve">recizē </w:t>
            </w:r>
            <w:r w:rsidR="00D04E6C" w:rsidRPr="005176A1">
              <w:rPr>
                <w:i/>
                <w:iCs/>
                <w:color w:val="auto"/>
              </w:rPr>
              <w:t xml:space="preserve">IMI </w:t>
            </w:r>
            <w:r w:rsidR="00D26927">
              <w:rPr>
                <w:iCs/>
                <w:color w:val="auto"/>
              </w:rPr>
              <w:t>sistēmā</w:t>
            </w:r>
            <w:r w:rsidR="00D26927" w:rsidRPr="005176A1">
              <w:rPr>
                <w:color w:val="auto"/>
              </w:rPr>
              <w:t xml:space="preserve"> </w:t>
            </w:r>
            <w:r w:rsidR="00D04E6C" w:rsidRPr="005176A1">
              <w:rPr>
                <w:color w:val="auto"/>
              </w:rPr>
              <w:t xml:space="preserve">tos dokumentus, par kuriem tās pretendentam ir pieprasījušas apliecinātas kopijas vai apliecinātus tulkojumus, un paziņo šo informāciju pārējām dalībvalstīm ar </w:t>
            </w:r>
            <w:r w:rsidR="00D04E6C" w:rsidRPr="005176A1">
              <w:rPr>
                <w:i/>
                <w:iCs/>
                <w:color w:val="auto"/>
              </w:rPr>
              <w:t>IMI</w:t>
            </w:r>
            <w:r w:rsidR="00D26927">
              <w:rPr>
                <w:i/>
                <w:iCs/>
                <w:color w:val="auto"/>
              </w:rPr>
              <w:t xml:space="preserve"> </w:t>
            </w:r>
            <w:r w:rsidR="00D26927">
              <w:rPr>
                <w:iCs/>
                <w:color w:val="auto"/>
              </w:rPr>
              <w:t>sistēmas</w:t>
            </w:r>
            <w:r w:rsidR="00D04E6C" w:rsidRPr="005176A1">
              <w:rPr>
                <w:i/>
                <w:iCs/>
                <w:color w:val="auto"/>
              </w:rPr>
              <w:t xml:space="preserve"> </w:t>
            </w:r>
            <w:r w:rsidR="00D04E6C" w:rsidRPr="005176A1">
              <w:rPr>
                <w:color w:val="auto"/>
              </w:rPr>
              <w:t xml:space="preserve">starpniecību. Ja pastāv pamatotas šaubas par citā dalībvalstī apliecināta tulkojuma derīgumu un autentiskumu, dalībvalsts kompetentā iestāde attiecīgajām iestādēm citā dalībvalstī lūdz sniegt papildu informāciju, izmantojot </w:t>
            </w:r>
            <w:r w:rsidR="00D04E6C" w:rsidRPr="005176A1">
              <w:rPr>
                <w:i/>
                <w:iCs/>
                <w:color w:val="auto"/>
              </w:rPr>
              <w:t>IMI</w:t>
            </w:r>
            <w:r w:rsidR="00B31785">
              <w:rPr>
                <w:i/>
                <w:iCs/>
                <w:color w:val="auto"/>
              </w:rPr>
              <w:t xml:space="preserve"> </w:t>
            </w:r>
            <w:r w:rsidR="00B31785">
              <w:rPr>
                <w:iCs/>
                <w:color w:val="auto"/>
              </w:rPr>
              <w:t>sistēmu</w:t>
            </w:r>
            <w:r w:rsidR="00D04E6C">
              <w:rPr>
                <w:color w:val="auto"/>
              </w:rPr>
              <w:t>;</w:t>
            </w:r>
            <w:r w:rsidR="00D04E6C" w:rsidRPr="005176A1">
              <w:rPr>
                <w:color w:val="auto"/>
              </w:rPr>
              <w:t xml:space="preserve"> </w:t>
            </w:r>
          </w:p>
          <w:p w14:paraId="3F546A8B" w14:textId="3C886512" w:rsidR="00D04E6C" w:rsidRPr="005176A1" w:rsidRDefault="007B7C89" w:rsidP="007B7C89">
            <w:pPr>
              <w:pStyle w:val="Default"/>
              <w:rPr>
                <w:color w:val="auto"/>
              </w:rPr>
            </w:pPr>
            <w:r>
              <w:rPr>
                <w:color w:val="auto"/>
              </w:rPr>
              <w:t xml:space="preserve">12) </w:t>
            </w:r>
            <w:r w:rsidR="00D04E6C">
              <w:rPr>
                <w:color w:val="auto"/>
              </w:rPr>
              <w:t>j</w:t>
            </w:r>
            <w:r w:rsidR="00D04E6C" w:rsidRPr="005176A1">
              <w:rPr>
                <w:color w:val="auto"/>
              </w:rPr>
              <w:t xml:space="preserve">a </w:t>
            </w:r>
            <w:r w:rsidR="00D26927">
              <w:rPr>
                <w:color w:val="auto"/>
              </w:rPr>
              <w:t xml:space="preserve">AIC kā </w:t>
            </w:r>
            <w:r w:rsidR="00D04E6C" w:rsidRPr="005176A1">
              <w:rPr>
                <w:color w:val="auto"/>
              </w:rPr>
              <w:t>uzņēmējas dalībvalsts kompetentā iestāde pieņem lēmumu piemērot kompensācijas pasākumus saskaņā ar Direktīvas 2005/36/EK 14. pantu vai 7. panta 4. punktu, šāds lēmums arī ietver informāciju par noteikto kompensācijas pasākumu saturu, kompensācijas pasākumu pamatojumu un visas pretendenta saistības informēt kompetento iestādi par kompensācijas pasākumu pabeigšanu. EPK izskatīšanu aptur, līdz pretendents ir pabeidzis kompensācijas pasākumus. Informācija ir jākomunicē ar EPK pretendentu un kompensācijas pasākumus no</w:t>
            </w:r>
            <w:r w:rsidR="00D04E6C">
              <w:rPr>
                <w:color w:val="auto"/>
              </w:rPr>
              <w:t>teikušo kompetento institūciju;</w:t>
            </w:r>
          </w:p>
          <w:p w14:paraId="32266D9F" w14:textId="1995855F" w:rsidR="00D04E6C" w:rsidRPr="00205354" w:rsidRDefault="007B7C89" w:rsidP="007B7C89">
            <w:pPr>
              <w:pStyle w:val="Default"/>
            </w:pPr>
            <w:r>
              <w:rPr>
                <w:color w:val="auto"/>
              </w:rPr>
              <w:t xml:space="preserve">13) </w:t>
            </w:r>
            <w:r w:rsidR="00D04E6C">
              <w:rPr>
                <w:color w:val="auto"/>
              </w:rPr>
              <w:t>u</w:t>
            </w:r>
            <w:r w:rsidR="00D04E6C" w:rsidRPr="005176A1">
              <w:rPr>
                <w:color w:val="auto"/>
              </w:rPr>
              <w:t xml:space="preserve">zņēmējas dalībvalsts kompetentā iestāde apstiprina </w:t>
            </w:r>
            <w:r w:rsidR="00D04E6C" w:rsidRPr="005176A1">
              <w:rPr>
                <w:i/>
                <w:iCs/>
                <w:color w:val="auto"/>
              </w:rPr>
              <w:t>IMI</w:t>
            </w:r>
            <w:r w:rsidR="00B31785">
              <w:rPr>
                <w:iCs/>
                <w:color w:val="auto"/>
              </w:rPr>
              <w:t xml:space="preserve"> sistēmā</w:t>
            </w:r>
            <w:r w:rsidR="00D04E6C" w:rsidRPr="005176A1">
              <w:rPr>
                <w:color w:val="auto"/>
              </w:rPr>
              <w:t xml:space="preserve">, ka ir sekmīgi pabeigti kompensācijas pasākumi, un izdod EPK. Ja uzņēmējas dalībvalsts kompetentā iestāde pieņem lēmumu atteikties izdot EPK, šādā lēmumā izklāsta arī pamatojumus. Dalībvalstis nodrošina, ka attiecīgajai personai ir pieejami atbilstoši tiesiskās aizsardzības līdzekļi attiecībā uz lēmumu atteikties izdot EPK, un sniedz attiecīgajam pretendentam informāciju par tiesībām pārsūdzēt lēmumu saskaņā ar valsts tiesību aktiem. </w:t>
            </w:r>
          </w:p>
        </w:tc>
      </w:tr>
      <w:tr w:rsidR="00454A36" w14:paraId="0D914822"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79A700AD" w14:textId="29EA4A44"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6.1. detalizēts ieņēmumu aprēķins</w:t>
            </w:r>
          </w:p>
        </w:tc>
        <w:tc>
          <w:tcPr>
            <w:tcW w:w="4363" w:type="pct"/>
            <w:gridSpan w:val="5"/>
            <w:vMerge/>
            <w:tcBorders>
              <w:top w:val="single" w:sz="4" w:space="0" w:color="auto"/>
              <w:left w:val="single" w:sz="4" w:space="0" w:color="auto"/>
              <w:bottom w:val="single" w:sz="4" w:space="0" w:color="auto"/>
              <w:right w:val="single" w:sz="4" w:space="0" w:color="auto"/>
            </w:tcBorders>
            <w:vAlign w:val="center"/>
            <w:hideMark/>
          </w:tcPr>
          <w:p w14:paraId="16D1E6D5" w14:textId="77777777" w:rsidR="00454A36" w:rsidRDefault="00454A36" w:rsidP="00454A36">
            <w:pPr>
              <w:spacing w:after="0" w:line="240" w:lineRule="auto"/>
              <w:rPr>
                <w:rFonts w:ascii="Times New Roman" w:hAnsi="Times New Roman"/>
                <w:i/>
                <w:sz w:val="24"/>
                <w:szCs w:val="24"/>
                <w:lang w:eastAsia="lv-LV"/>
              </w:rPr>
            </w:pPr>
          </w:p>
        </w:tc>
      </w:tr>
      <w:tr w:rsidR="00454A36" w14:paraId="72113DAF" w14:textId="77777777" w:rsidTr="00A42B2D">
        <w:trPr>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1988F029" w14:textId="77777777" w:rsidR="00454A36" w:rsidRDefault="00454A36" w:rsidP="00454A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4363" w:type="pct"/>
            <w:gridSpan w:val="5"/>
            <w:vMerge/>
            <w:tcBorders>
              <w:top w:val="single" w:sz="4" w:space="0" w:color="auto"/>
              <w:left w:val="single" w:sz="4" w:space="0" w:color="auto"/>
              <w:bottom w:val="single" w:sz="4" w:space="0" w:color="auto"/>
              <w:right w:val="single" w:sz="4" w:space="0" w:color="auto"/>
            </w:tcBorders>
            <w:vAlign w:val="center"/>
            <w:hideMark/>
          </w:tcPr>
          <w:p w14:paraId="35720407" w14:textId="77777777" w:rsidR="00454A36" w:rsidRDefault="00454A36" w:rsidP="00454A36">
            <w:pPr>
              <w:spacing w:after="0" w:line="240" w:lineRule="auto"/>
              <w:rPr>
                <w:rFonts w:ascii="Times New Roman" w:hAnsi="Times New Roman"/>
                <w:i/>
                <w:sz w:val="24"/>
                <w:szCs w:val="24"/>
                <w:lang w:eastAsia="lv-LV"/>
              </w:rPr>
            </w:pPr>
          </w:p>
        </w:tc>
      </w:tr>
      <w:tr w:rsidR="0005162F" w14:paraId="7B8B8648" w14:textId="77777777" w:rsidTr="00A42B2D">
        <w:trPr>
          <w:trHeight w:val="555"/>
          <w:tblCellSpacing w:w="15" w:type="dxa"/>
          <w:jc w:val="center"/>
        </w:trPr>
        <w:tc>
          <w:tcPr>
            <w:tcW w:w="589" w:type="pct"/>
            <w:tcBorders>
              <w:top w:val="single" w:sz="4" w:space="0" w:color="auto"/>
              <w:left w:val="single" w:sz="4" w:space="0" w:color="auto"/>
              <w:bottom w:val="single" w:sz="4" w:space="0" w:color="auto"/>
              <w:right w:val="single" w:sz="4" w:space="0" w:color="auto"/>
            </w:tcBorders>
            <w:hideMark/>
          </w:tcPr>
          <w:p w14:paraId="1A7844CF" w14:textId="77777777" w:rsidR="00454A36" w:rsidRPr="003E10EB" w:rsidRDefault="00454A36" w:rsidP="00454A36">
            <w:pPr>
              <w:spacing w:after="0" w:line="240" w:lineRule="auto"/>
              <w:jc w:val="both"/>
              <w:rPr>
                <w:rFonts w:ascii="Times New Roman" w:hAnsi="Times New Roman"/>
                <w:sz w:val="24"/>
                <w:szCs w:val="24"/>
                <w:lang w:eastAsia="lv-LV"/>
              </w:rPr>
            </w:pPr>
            <w:r w:rsidRPr="003E10EB">
              <w:rPr>
                <w:rFonts w:ascii="Times New Roman" w:hAnsi="Times New Roman"/>
                <w:sz w:val="24"/>
                <w:szCs w:val="24"/>
                <w:lang w:eastAsia="lv-LV"/>
              </w:rPr>
              <w:lastRenderedPageBreak/>
              <w:t>7. Cita informācija</w:t>
            </w:r>
          </w:p>
        </w:tc>
        <w:tc>
          <w:tcPr>
            <w:tcW w:w="4363" w:type="pct"/>
            <w:gridSpan w:val="5"/>
            <w:tcBorders>
              <w:top w:val="single" w:sz="4" w:space="0" w:color="auto"/>
              <w:left w:val="single" w:sz="4" w:space="0" w:color="auto"/>
              <w:bottom w:val="single" w:sz="4" w:space="0" w:color="auto"/>
              <w:right w:val="single" w:sz="4" w:space="0" w:color="auto"/>
            </w:tcBorders>
            <w:hideMark/>
          </w:tcPr>
          <w:p w14:paraId="7488046F" w14:textId="5A758543" w:rsidR="007F13E5" w:rsidRDefault="00817032" w:rsidP="007F13E5">
            <w:pPr>
              <w:spacing w:after="0" w:line="240" w:lineRule="auto"/>
              <w:jc w:val="both"/>
              <w:rPr>
                <w:rFonts w:ascii="Times New Roman" w:hAnsi="Times New Roman"/>
                <w:bCs/>
                <w:sz w:val="24"/>
                <w:szCs w:val="24"/>
              </w:rPr>
            </w:pPr>
            <w:r>
              <w:rPr>
                <w:rFonts w:ascii="Times New Roman" w:hAnsi="Times New Roman"/>
                <w:bCs/>
                <w:sz w:val="24"/>
                <w:szCs w:val="24"/>
              </w:rPr>
              <w:t>P</w:t>
            </w:r>
            <w:r w:rsidRPr="003E10EB">
              <w:rPr>
                <w:rFonts w:ascii="Times New Roman" w:hAnsi="Times New Roman"/>
                <w:bCs/>
                <w:sz w:val="24"/>
                <w:szCs w:val="24"/>
              </w:rPr>
              <w:t>rojekta īstenošanai nepieciešami finansiāli ieguldījumi, lai ieviestu  grozījumu direktīvā noteikt</w:t>
            </w:r>
            <w:r w:rsidR="00B91D8E">
              <w:rPr>
                <w:rFonts w:ascii="Times New Roman" w:hAnsi="Times New Roman"/>
                <w:bCs/>
                <w:sz w:val="24"/>
                <w:szCs w:val="24"/>
              </w:rPr>
              <w:t>o</w:t>
            </w:r>
            <w:r w:rsidRPr="003E10EB">
              <w:rPr>
                <w:rFonts w:ascii="Times New Roman" w:hAnsi="Times New Roman"/>
                <w:bCs/>
                <w:sz w:val="24"/>
                <w:szCs w:val="24"/>
              </w:rPr>
              <w:t>s pasākumus.</w:t>
            </w:r>
          </w:p>
          <w:p w14:paraId="4AC8DA8E" w14:textId="65752E23" w:rsidR="00046740" w:rsidRDefault="00046740" w:rsidP="007F13E5">
            <w:pPr>
              <w:spacing w:after="0" w:line="240" w:lineRule="auto"/>
              <w:jc w:val="both"/>
              <w:rPr>
                <w:rFonts w:ascii="Times New Roman" w:hAnsi="Times New Roman"/>
                <w:bCs/>
                <w:sz w:val="24"/>
                <w:szCs w:val="24"/>
              </w:rPr>
            </w:pPr>
          </w:p>
          <w:p w14:paraId="546847AC" w14:textId="44A72F7C" w:rsidR="003750F2" w:rsidRPr="0079361E" w:rsidRDefault="00046740" w:rsidP="0079361E">
            <w:pPr>
              <w:tabs>
                <w:tab w:val="left" w:pos="1901"/>
              </w:tabs>
              <w:spacing w:after="0" w:line="240" w:lineRule="auto"/>
              <w:jc w:val="both"/>
              <w:rPr>
                <w:rFonts w:ascii="Times New Roman" w:hAnsi="Times New Roman"/>
                <w:sz w:val="24"/>
                <w:szCs w:val="24"/>
              </w:rPr>
            </w:pPr>
            <w:r w:rsidRPr="00CC6F49">
              <w:rPr>
                <w:rFonts w:ascii="Times New Roman" w:hAnsi="Times New Roman"/>
                <w:sz w:val="24"/>
                <w:szCs w:val="24"/>
              </w:rPr>
              <w:t>2016</w:t>
            </w:r>
            <w:r w:rsidRPr="0068307F">
              <w:rPr>
                <w:rFonts w:ascii="Times New Roman" w:hAnsi="Times New Roman"/>
                <w:sz w:val="24"/>
                <w:szCs w:val="24"/>
              </w:rPr>
              <w:t xml:space="preserve">.gadā izdevumi </w:t>
            </w:r>
            <w:r w:rsidR="00347E08" w:rsidRPr="0068307F">
              <w:rPr>
                <w:rFonts w:ascii="Times New Roman" w:hAnsi="Times New Roman"/>
                <w:sz w:val="24"/>
                <w:szCs w:val="24"/>
              </w:rPr>
              <w:t>15215</w:t>
            </w:r>
            <w:r w:rsidRPr="0068307F">
              <w:rPr>
                <w:rFonts w:ascii="Times New Roman" w:hAnsi="Times New Roman"/>
                <w:sz w:val="24"/>
                <w:szCs w:val="24"/>
              </w:rPr>
              <w:t xml:space="preserve"> </w:t>
            </w:r>
            <w:proofErr w:type="spellStart"/>
            <w:r w:rsidRPr="0068307F">
              <w:rPr>
                <w:rFonts w:ascii="Times New Roman" w:hAnsi="Times New Roman"/>
                <w:i/>
                <w:sz w:val="24"/>
                <w:szCs w:val="24"/>
              </w:rPr>
              <w:t>euro</w:t>
            </w:r>
            <w:proofErr w:type="spellEnd"/>
            <w:r w:rsidRPr="0068307F">
              <w:rPr>
                <w:rFonts w:ascii="Times New Roman" w:hAnsi="Times New Roman"/>
                <w:sz w:val="24"/>
                <w:szCs w:val="24"/>
              </w:rPr>
              <w:t xml:space="preserve"> kopsummā</w:t>
            </w:r>
            <w:r w:rsidR="00727A22">
              <w:rPr>
                <w:rFonts w:ascii="Times New Roman" w:hAnsi="Times New Roman"/>
                <w:sz w:val="24"/>
                <w:szCs w:val="24"/>
              </w:rPr>
              <w:t>, bet turpmākajos 2017., 2018. un 2019.gadā</w:t>
            </w:r>
            <w:r w:rsidRPr="0068307F">
              <w:rPr>
                <w:rFonts w:ascii="Times New Roman" w:hAnsi="Times New Roman"/>
                <w:sz w:val="24"/>
                <w:szCs w:val="24"/>
              </w:rPr>
              <w:t xml:space="preserve"> tiek segti</w:t>
            </w:r>
            <w:r w:rsidR="00412AEF" w:rsidRPr="0068307F">
              <w:rPr>
                <w:rFonts w:ascii="Times New Roman" w:hAnsi="Times New Roman"/>
                <w:sz w:val="24"/>
                <w:szCs w:val="24"/>
              </w:rPr>
              <w:t xml:space="preserve"> no </w:t>
            </w:r>
            <w:r w:rsidR="00CC6F49" w:rsidRPr="0068307F">
              <w:rPr>
                <w:rFonts w:ascii="Times New Roman" w:hAnsi="Times New Roman"/>
                <w:sz w:val="24"/>
                <w:szCs w:val="24"/>
              </w:rPr>
              <w:t xml:space="preserve">valsts dotācijas </w:t>
            </w:r>
            <w:r w:rsidR="00CC6F49" w:rsidRPr="00CC6F49">
              <w:rPr>
                <w:rFonts w:ascii="Times New Roman" w:hAnsi="Times New Roman"/>
                <w:sz w:val="24"/>
                <w:szCs w:val="24"/>
              </w:rPr>
              <w:t>AIC,</w:t>
            </w:r>
            <w:r w:rsidR="00CC6F49">
              <w:rPr>
                <w:rFonts w:ascii="Times New Roman" w:hAnsi="Times New Roman"/>
                <w:sz w:val="24"/>
                <w:szCs w:val="24"/>
              </w:rPr>
              <w:t xml:space="preserve"> </w:t>
            </w:r>
            <w:r w:rsidR="00CC6F49" w:rsidRPr="00CC6F49">
              <w:rPr>
                <w:rFonts w:ascii="Times New Roman" w:hAnsi="Times New Roman"/>
                <w:sz w:val="24"/>
                <w:szCs w:val="24"/>
              </w:rPr>
              <w:t xml:space="preserve">kuras </w:t>
            </w:r>
            <w:r w:rsidR="00CC6F49" w:rsidRPr="00DE488D">
              <w:rPr>
                <w:rFonts w:ascii="Times New Roman" w:hAnsi="Times New Roman"/>
                <w:sz w:val="24"/>
                <w:szCs w:val="24"/>
              </w:rPr>
              <w:t>kopējais</w:t>
            </w:r>
            <w:r w:rsidR="00CC6F49">
              <w:rPr>
                <w:rFonts w:ascii="Times New Roman" w:hAnsi="Times New Roman"/>
                <w:sz w:val="24"/>
                <w:szCs w:val="24"/>
              </w:rPr>
              <w:t xml:space="preserve"> apjoms</w:t>
            </w:r>
            <w:r w:rsidR="00727A22">
              <w:rPr>
                <w:rFonts w:ascii="Times New Roman" w:hAnsi="Times New Roman"/>
                <w:sz w:val="24"/>
                <w:szCs w:val="24"/>
              </w:rPr>
              <w:t xml:space="preserve"> 2016.gadā</w:t>
            </w:r>
            <w:r w:rsidR="00CC6F49">
              <w:rPr>
                <w:rFonts w:ascii="Times New Roman" w:hAnsi="Times New Roman"/>
                <w:sz w:val="24"/>
                <w:szCs w:val="24"/>
              </w:rPr>
              <w:t xml:space="preserve"> ir </w:t>
            </w:r>
            <w:r w:rsidR="003750F2" w:rsidRPr="0068307F">
              <w:rPr>
                <w:rFonts w:ascii="Times New Roman" w:hAnsi="Times New Roman"/>
                <w:bCs/>
                <w:sz w:val="24"/>
                <w:szCs w:val="24"/>
                <w:lang w:eastAsia="lv-LV"/>
              </w:rPr>
              <w:t>635 588</w:t>
            </w:r>
            <w:r w:rsidR="003750F2" w:rsidRPr="0068307F">
              <w:rPr>
                <w:rFonts w:ascii="Times New Roman" w:hAnsi="Times New Roman"/>
                <w:b/>
                <w:bCs/>
                <w:sz w:val="24"/>
                <w:szCs w:val="24"/>
                <w:lang w:eastAsia="lv-LV"/>
              </w:rPr>
              <w:t xml:space="preserve"> </w:t>
            </w:r>
            <w:proofErr w:type="spellStart"/>
            <w:r w:rsidR="0068307F" w:rsidRPr="0068307F">
              <w:rPr>
                <w:rFonts w:ascii="Times New Roman" w:hAnsi="Times New Roman"/>
                <w:bCs/>
                <w:i/>
                <w:sz w:val="24"/>
                <w:szCs w:val="24"/>
                <w:lang w:eastAsia="lv-LV"/>
              </w:rPr>
              <w:t>euro</w:t>
            </w:r>
            <w:proofErr w:type="spellEnd"/>
            <w:r w:rsidR="0068307F" w:rsidRPr="0068307F">
              <w:rPr>
                <w:rFonts w:ascii="Times New Roman" w:hAnsi="Times New Roman"/>
                <w:bCs/>
                <w:i/>
                <w:sz w:val="24"/>
                <w:szCs w:val="24"/>
                <w:lang w:eastAsia="lv-LV"/>
              </w:rPr>
              <w:t xml:space="preserve"> </w:t>
            </w:r>
            <w:r w:rsidR="00824735">
              <w:rPr>
                <w:rFonts w:ascii="Times New Roman" w:hAnsi="Times New Roman"/>
                <w:sz w:val="24"/>
                <w:szCs w:val="24"/>
              </w:rPr>
              <w:t xml:space="preserve">saskaņā ar 2015.gada 29.decembrī </w:t>
            </w:r>
            <w:r w:rsidR="006F6C11">
              <w:rPr>
                <w:rFonts w:ascii="Times New Roman" w:hAnsi="Times New Roman"/>
                <w:sz w:val="24"/>
                <w:szCs w:val="24"/>
              </w:rPr>
              <w:t>starp Izglītības u</w:t>
            </w:r>
            <w:r w:rsidR="006F6C11" w:rsidRPr="0079361E">
              <w:rPr>
                <w:rFonts w:ascii="Times New Roman" w:hAnsi="Times New Roman"/>
                <w:sz w:val="24"/>
                <w:szCs w:val="24"/>
              </w:rPr>
              <w:t xml:space="preserve">n zinātnes ministriju un AIC </w:t>
            </w:r>
            <w:r w:rsidR="00824735" w:rsidRPr="0079361E">
              <w:rPr>
                <w:rFonts w:ascii="Times New Roman" w:hAnsi="Times New Roman"/>
                <w:sz w:val="24"/>
                <w:szCs w:val="24"/>
              </w:rPr>
              <w:t>noslēgto līgumu Nr.01-27/350</w:t>
            </w:r>
            <w:r w:rsidR="001152CC">
              <w:rPr>
                <w:rFonts w:ascii="Times New Roman" w:hAnsi="Times New Roman"/>
                <w:sz w:val="24"/>
                <w:szCs w:val="24"/>
              </w:rPr>
              <w:t xml:space="preserve"> un kas tiek piešķirta šādu uzdevumu īstenošanai</w:t>
            </w:r>
            <w:r w:rsidR="0079361E">
              <w:rPr>
                <w:rFonts w:ascii="Times New Roman" w:hAnsi="Times New Roman"/>
                <w:sz w:val="24"/>
                <w:szCs w:val="24"/>
              </w:rPr>
              <w:t>:</w:t>
            </w:r>
          </w:p>
          <w:p w14:paraId="60810F6C" w14:textId="017B799B" w:rsidR="0079361E" w:rsidRDefault="0079361E" w:rsidP="0079361E">
            <w:pPr>
              <w:pStyle w:val="BodyText2"/>
              <w:ind w:firstLine="709"/>
              <w:jc w:val="both"/>
              <w:rPr>
                <w:szCs w:val="24"/>
                <w:lang w:val="lv-LV"/>
              </w:rPr>
            </w:pPr>
            <w:r>
              <w:rPr>
                <w:szCs w:val="24"/>
                <w:lang w:val="lv-LV"/>
              </w:rPr>
              <w:t xml:space="preserve">1. </w:t>
            </w:r>
            <w:r w:rsidRPr="0079361E">
              <w:rPr>
                <w:szCs w:val="24"/>
                <w:lang w:val="lv-LV"/>
              </w:rPr>
              <w:t xml:space="preserve">no valsts budžeta programmas </w:t>
            </w:r>
            <w:r w:rsidR="001E5EAD">
              <w:rPr>
                <w:szCs w:val="24"/>
                <w:lang w:val="lv-LV"/>
              </w:rPr>
              <w:t>16.00.00.apakšprogrammas „</w:t>
            </w:r>
            <w:r w:rsidRPr="0079361E">
              <w:rPr>
                <w:szCs w:val="24"/>
                <w:lang w:val="lv-LV"/>
              </w:rPr>
              <w:t>Eiropas Savienības lietas un starptautiskā sadarbība”</w:t>
            </w:r>
            <w:r w:rsidRPr="00D347D6">
              <w:rPr>
                <w:szCs w:val="24"/>
                <w:lang w:val="lv-LV"/>
              </w:rPr>
              <w:t xml:space="preserve"> </w:t>
            </w:r>
            <w:r w:rsidRPr="00D347D6">
              <w:rPr>
                <w:b/>
                <w:szCs w:val="24"/>
                <w:lang w:val="lv-LV"/>
              </w:rPr>
              <w:t>EUR 165 544</w:t>
            </w:r>
            <w:r w:rsidRPr="0079361E">
              <w:rPr>
                <w:szCs w:val="24"/>
                <w:lang w:val="lv-LV"/>
              </w:rPr>
              <w:t xml:space="preserve"> (viens simts sešdesmit pieci tūkstoši pieci simti četrdesmit četri </w:t>
            </w:r>
            <w:proofErr w:type="spellStart"/>
            <w:r w:rsidRPr="0079361E">
              <w:rPr>
                <w:i/>
                <w:szCs w:val="24"/>
                <w:lang w:val="lv-LV"/>
              </w:rPr>
              <w:t>euro</w:t>
            </w:r>
            <w:proofErr w:type="spellEnd"/>
            <w:r w:rsidRPr="0079361E">
              <w:rPr>
                <w:szCs w:val="24"/>
                <w:lang w:val="lv-LV"/>
              </w:rPr>
              <w:t>);</w:t>
            </w:r>
          </w:p>
          <w:p w14:paraId="0E5A6E10" w14:textId="77777777" w:rsidR="001152CC" w:rsidRDefault="001152CC" w:rsidP="0072278C">
            <w:pPr>
              <w:pStyle w:val="BodyText2"/>
              <w:numPr>
                <w:ilvl w:val="0"/>
                <w:numId w:val="14"/>
              </w:numPr>
              <w:jc w:val="both"/>
              <w:rPr>
                <w:szCs w:val="24"/>
                <w:lang w:val="lv-LV"/>
              </w:rPr>
            </w:pPr>
            <w:r>
              <w:rPr>
                <w:szCs w:val="24"/>
                <w:lang w:val="lv-LV"/>
              </w:rPr>
              <w:t xml:space="preserve">īstenot </w:t>
            </w:r>
            <w:r>
              <w:rPr>
                <w:bCs/>
                <w:szCs w:val="24"/>
                <w:lang w:val="lv-LV"/>
              </w:rPr>
              <w:t>Eiropas Padomes un Apvienoto Nāciju</w:t>
            </w:r>
            <w:r>
              <w:rPr>
                <w:szCs w:val="24"/>
                <w:lang w:val="lv-LV"/>
              </w:rPr>
              <w:t xml:space="preserve"> </w:t>
            </w:r>
            <w:r>
              <w:rPr>
                <w:bCs/>
                <w:szCs w:val="24"/>
                <w:lang w:val="lv-LV"/>
              </w:rPr>
              <w:t>Izglītības, zinātnes un kultūras organizācijas (UNESCO)</w:t>
            </w:r>
            <w:r>
              <w:rPr>
                <w:szCs w:val="24"/>
                <w:lang w:val="lv-LV"/>
              </w:rPr>
              <w:t xml:space="preserve"> </w:t>
            </w:r>
            <w:proofErr w:type="spellStart"/>
            <w:r>
              <w:rPr>
                <w:bCs/>
                <w:szCs w:val="24"/>
                <w:lang w:val="lv-LV"/>
              </w:rPr>
              <w:t>diplomatzīšanas</w:t>
            </w:r>
            <w:proofErr w:type="spellEnd"/>
            <w:r>
              <w:rPr>
                <w:bCs/>
                <w:szCs w:val="24"/>
                <w:lang w:val="lv-LV"/>
              </w:rPr>
              <w:t xml:space="preserve"> un informācijas centru tīkla (ENIC) un Eiropas Savienības Nacionālo akadēmiskās atzīšanas centru tīkla (NARIC) </w:t>
            </w:r>
            <w:r>
              <w:rPr>
                <w:szCs w:val="24"/>
                <w:lang w:val="lv-LV"/>
              </w:rPr>
              <w:t>darbību Latvijā;</w:t>
            </w:r>
          </w:p>
          <w:p w14:paraId="61C076E6" w14:textId="307A5BE8" w:rsidR="001152CC" w:rsidRPr="001152CC" w:rsidRDefault="001152CC" w:rsidP="0072278C">
            <w:pPr>
              <w:pStyle w:val="BodyText2"/>
              <w:numPr>
                <w:ilvl w:val="0"/>
                <w:numId w:val="14"/>
              </w:numPr>
              <w:jc w:val="both"/>
              <w:rPr>
                <w:szCs w:val="24"/>
                <w:lang w:val="lv-LV"/>
              </w:rPr>
            </w:pPr>
            <w:r w:rsidRPr="001152CC">
              <w:rPr>
                <w:szCs w:val="24"/>
                <w:lang w:val="lv-LV"/>
              </w:rPr>
              <w:lastRenderedPageBreak/>
              <w:t>īstenot informācijas institūcijas darbību attiecībā uz reglamentētajām profesijām</w:t>
            </w:r>
            <w:r w:rsidR="00360EC9">
              <w:rPr>
                <w:szCs w:val="24"/>
                <w:lang w:val="lv-LV"/>
              </w:rPr>
              <w:t>, t.i.,</w:t>
            </w:r>
            <w:r w:rsidR="00360EC9" w:rsidRPr="001B7A46">
              <w:rPr>
                <w:szCs w:val="24"/>
              </w:rPr>
              <w:t xml:space="preserve"> nodrošināt informācijas institūcijas funkciju veikšanu attiecībā uz reglamentētajām profesijām, Eiropas profesionālās kartes pieteikumu apstrādi, ieskaitot Eiropas profesionālās kartes pieteikumu saņemšanu, virzīšanu, Eiropas profesionālās kartes pretendentu personiskās lietas vešanu, Eiropas profesionālās kartes izdošanu un anulēšanu, informācijas apriti par personām ar profesionālo kvalifikāciju, kam ierobežotas vai liegtas tiesības veikt profesionālo darbību reglamentētajā profesijā, saskaņā ar likuma „Par reglamentētajām profesijām un profesionālās kvalifikācijas atzīšanu” 56. panta trešo, piekto un sesto daļu, kā arī ar saskaņā ar Ministru kabineta 2002.gada 16.jūlija noteikumiem Nr.300 „Noteikumi par informācijas institūcijām attiecībā uz reglamentētajām profesijām” un Ministru kabineta 2006.gada 14.februāra noteikumiem Nr.128 „</w:t>
            </w:r>
            <w:r w:rsidR="00360EC9" w:rsidRPr="001B7A46">
              <w:rPr>
                <w:bCs/>
                <w:szCs w:val="24"/>
                <w:lang w:eastAsia="lv-LV"/>
              </w:rPr>
              <w:t>Noteikumi par institūcijām, kas izsniedz Latvijas Republikas iedzīvotājiem nepieciešamos dokumentus viņu profesionālās kvalifikācijas atzīšanai ārvalstīs, un šo dokumentu izsniegšanas kārtību</w:t>
            </w:r>
            <w:r w:rsidR="00360EC9" w:rsidRPr="001B7A46">
              <w:rPr>
                <w:szCs w:val="24"/>
              </w:rPr>
              <w:t>”</w:t>
            </w:r>
            <w:r w:rsidRPr="001152CC">
              <w:rPr>
                <w:szCs w:val="24"/>
                <w:lang w:val="lv-LV"/>
              </w:rPr>
              <w:t>;</w:t>
            </w:r>
          </w:p>
          <w:p w14:paraId="52398597" w14:textId="2AA17991" w:rsidR="0079361E" w:rsidRDefault="001152CC" w:rsidP="00D347D6">
            <w:pPr>
              <w:pStyle w:val="BodyText2"/>
              <w:ind w:firstLine="709"/>
              <w:jc w:val="both"/>
              <w:rPr>
                <w:szCs w:val="24"/>
                <w:lang w:val="lv-LV"/>
              </w:rPr>
            </w:pPr>
            <w:r>
              <w:rPr>
                <w:szCs w:val="24"/>
                <w:lang w:val="lv-LV"/>
              </w:rPr>
              <w:t xml:space="preserve">2. </w:t>
            </w:r>
            <w:r w:rsidR="0079361E" w:rsidRPr="0079361E">
              <w:rPr>
                <w:szCs w:val="24"/>
                <w:lang w:val="lv-LV"/>
              </w:rPr>
              <w:t>no valsts budžeta progr</w:t>
            </w:r>
            <w:r w:rsidR="001E5EAD">
              <w:rPr>
                <w:szCs w:val="24"/>
                <w:lang w:val="lv-LV"/>
              </w:rPr>
              <w:t>ammas 70.11.00 apakšprogrammas „</w:t>
            </w:r>
            <w:r w:rsidR="0079361E" w:rsidRPr="0079361E">
              <w:rPr>
                <w:szCs w:val="24"/>
                <w:lang w:val="lv-LV"/>
              </w:rPr>
              <w:t xml:space="preserve">Dalība Eiropas Savienības izglītības sadarbības projektos” </w:t>
            </w:r>
            <w:r w:rsidR="0079361E" w:rsidRPr="0079361E">
              <w:rPr>
                <w:b/>
                <w:szCs w:val="24"/>
                <w:lang w:val="lv-LV"/>
              </w:rPr>
              <w:t>EUR 184 775</w:t>
            </w:r>
            <w:r w:rsidR="0079361E" w:rsidRPr="0079361E">
              <w:rPr>
                <w:szCs w:val="24"/>
                <w:lang w:val="lv-LV"/>
              </w:rPr>
              <w:t xml:space="preserve"> (viens simts astoņdesmit četri tūkstoši septiņi simti septiņdesmit pieci </w:t>
            </w:r>
            <w:proofErr w:type="spellStart"/>
            <w:r w:rsidR="0079361E" w:rsidRPr="0079361E">
              <w:rPr>
                <w:i/>
                <w:szCs w:val="24"/>
                <w:lang w:val="lv-LV"/>
              </w:rPr>
              <w:t>euro</w:t>
            </w:r>
            <w:proofErr w:type="spellEnd"/>
            <w:r w:rsidR="0079361E" w:rsidRPr="0079361E">
              <w:rPr>
                <w:szCs w:val="24"/>
                <w:lang w:val="lv-LV"/>
              </w:rPr>
              <w:t>);</w:t>
            </w:r>
          </w:p>
          <w:p w14:paraId="29AF012B" w14:textId="77777777" w:rsidR="00C77108" w:rsidRDefault="00810B3A" w:rsidP="0072278C">
            <w:pPr>
              <w:pStyle w:val="ListParagraph"/>
              <w:numPr>
                <w:ilvl w:val="0"/>
                <w:numId w:val="24"/>
              </w:numPr>
              <w:spacing w:after="0" w:line="240" w:lineRule="auto"/>
              <w:jc w:val="both"/>
              <w:rPr>
                <w:rFonts w:ascii="Times New Roman" w:hAnsi="Times New Roman"/>
                <w:sz w:val="24"/>
                <w:szCs w:val="24"/>
              </w:rPr>
            </w:pPr>
            <w:r w:rsidRPr="0072278C">
              <w:rPr>
                <w:rFonts w:ascii="Times New Roman" w:hAnsi="Times New Roman"/>
                <w:sz w:val="24"/>
                <w:szCs w:val="24"/>
              </w:rPr>
              <w:t xml:space="preserve">īstenot Eiropas Profesionālās izglītības attīstības centra (CEDEFOP) profesionālās izglītības informācijas tīkla </w:t>
            </w:r>
            <w:proofErr w:type="spellStart"/>
            <w:r w:rsidRPr="0072278C">
              <w:rPr>
                <w:rFonts w:ascii="Times New Roman" w:hAnsi="Times New Roman"/>
                <w:sz w:val="24"/>
                <w:szCs w:val="24"/>
              </w:rPr>
              <w:t>ReferNet</w:t>
            </w:r>
            <w:proofErr w:type="spellEnd"/>
            <w:r w:rsidRPr="0072278C">
              <w:rPr>
                <w:rFonts w:ascii="Times New Roman" w:hAnsi="Times New Roman"/>
                <w:sz w:val="24"/>
                <w:szCs w:val="24"/>
              </w:rPr>
              <w:t xml:space="preserve"> Latvijas kontaktpunkta darbību;</w:t>
            </w:r>
          </w:p>
          <w:p w14:paraId="1D482796" w14:textId="71D4D56A" w:rsidR="00810B3A" w:rsidRPr="0072278C" w:rsidRDefault="00810B3A" w:rsidP="0072278C">
            <w:pPr>
              <w:pStyle w:val="ListParagraph"/>
              <w:numPr>
                <w:ilvl w:val="0"/>
                <w:numId w:val="24"/>
              </w:numPr>
              <w:spacing w:after="0" w:line="240" w:lineRule="auto"/>
              <w:jc w:val="both"/>
              <w:rPr>
                <w:rFonts w:ascii="Times New Roman" w:hAnsi="Times New Roman"/>
                <w:sz w:val="24"/>
                <w:szCs w:val="24"/>
              </w:rPr>
            </w:pPr>
            <w:r w:rsidRPr="0072278C">
              <w:rPr>
                <w:rFonts w:ascii="Times New Roman" w:hAnsi="Times New Roman"/>
                <w:sz w:val="24"/>
                <w:szCs w:val="24"/>
              </w:rPr>
              <w:t xml:space="preserve">veikt Latvijas Nacionālā </w:t>
            </w:r>
            <w:proofErr w:type="spellStart"/>
            <w:r w:rsidRPr="0072278C">
              <w:rPr>
                <w:rFonts w:ascii="Times New Roman" w:hAnsi="Times New Roman"/>
                <w:sz w:val="24"/>
                <w:szCs w:val="24"/>
              </w:rPr>
              <w:t>Europass</w:t>
            </w:r>
            <w:proofErr w:type="spellEnd"/>
            <w:r w:rsidRPr="0072278C">
              <w:rPr>
                <w:rFonts w:ascii="Times New Roman" w:hAnsi="Times New Roman"/>
                <w:sz w:val="24"/>
                <w:szCs w:val="24"/>
              </w:rPr>
              <w:t xml:space="preserve"> centra funkcijas</w:t>
            </w:r>
            <w:r w:rsidR="00C77108" w:rsidRPr="0072278C">
              <w:rPr>
                <w:rFonts w:ascii="Times New Roman" w:hAnsi="Times New Roman"/>
                <w:sz w:val="24"/>
                <w:szCs w:val="24"/>
                <w:lang w:val="lv-LV"/>
              </w:rPr>
              <w:t xml:space="preserve">, t.i. </w:t>
            </w:r>
            <w:r w:rsidR="00C77108" w:rsidRPr="0072278C">
              <w:rPr>
                <w:rFonts w:ascii="Times New Roman" w:hAnsi="Times New Roman"/>
                <w:color w:val="000000"/>
                <w:sz w:val="24"/>
                <w:szCs w:val="24"/>
                <w:lang w:eastAsia="lv-LV"/>
              </w:rPr>
              <w:t xml:space="preserve">nodrošināt </w:t>
            </w:r>
            <w:r w:rsidR="00C77108" w:rsidRPr="0072278C">
              <w:rPr>
                <w:rFonts w:ascii="Times New Roman" w:hAnsi="Times New Roman"/>
                <w:iCs/>
                <w:color w:val="000000"/>
                <w:sz w:val="24"/>
                <w:szCs w:val="24"/>
                <w:lang w:eastAsia="lv-LV"/>
              </w:rPr>
              <w:t xml:space="preserve">Nacionālā </w:t>
            </w:r>
            <w:proofErr w:type="spellStart"/>
            <w:r w:rsidR="00C77108" w:rsidRPr="0072278C">
              <w:rPr>
                <w:rFonts w:ascii="Times New Roman" w:hAnsi="Times New Roman"/>
                <w:iCs/>
                <w:color w:val="000000"/>
                <w:sz w:val="24"/>
                <w:szCs w:val="24"/>
                <w:lang w:eastAsia="lv-LV"/>
              </w:rPr>
              <w:t>Europass</w:t>
            </w:r>
            <w:proofErr w:type="spellEnd"/>
            <w:r w:rsidR="00C77108" w:rsidRPr="0072278C">
              <w:rPr>
                <w:rFonts w:ascii="Times New Roman" w:hAnsi="Times New Roman"/>
                <w:iCs/>
                <w:color w:val="000000"/>
                <w:sz w:val="24"/>
                <w:szCs w:val="24"/>
                <w:lang w:eastAsia="lv-LV"/>
              </w:rPr>
              <w:t xml:space="preserve"> centra darbību</w:t>
            </w:r>
            <w:r w:rsidR="00C77108" w:rsidRPr="0072278C">
              <w:rPr>
                <w:rFonts w:ascii="Times New Roman" w:hAnsi="Times New Roman"/>
                <w:color w:val="000000"/>
                <w:sz w:val="24"/>
                <w:szCs w:val="24"/>
                <w:lang w:eastAsia="lv-LV"/>
              </w:rPr>
              <w:t xml:space="preserve"> saskaņā ar Eiropas Parlamenta un</w:t>
            </w:r>
            <w:r w:rsidR="00C77108" w:rsidRPr="0072278C">
              <w:rPr>
                <w:rFonts w:ascii="Times New Roman" w:hAnsi="Times New Roman"/>
                <w:bCs/>
                <w:color w:val="000000"/>
                <w:sz w:val="24"/>
                <w:szCs w:val="24"/>
                <w:lang w:eastAsia="lv-LV"/>
              </w:rPr>
              <w:t xml:space="preserve"> </w:t>
            </w:r>
            <w:r w:rsidR="00C77108" w:rsidRPr="0072278C">
              <w:rPr>
                <w:rFonts w:ascii="Times New Roman" w:hAnsi="Times New Roman"/>
                <w:color w:val="000000"/>
                <w:sz w:val="24"/>
                <w:szCs w:val="24"/>
                <w:lang w:eastAsia="lv-LV"/>
              </w:rPr>
              <w:t xml:space="preserve">Padomes 2004.gada 15.decembra lēmumu </w:t>
            </w:r>
            <w:r w:rsidR="00C77108" w:rsidRPr="0072278C">
              <w:rPr>
                <w:rFonts w:ascii="Times New Roman" w:hAnsi="Times New Roman"/>
                <w:bCs/>
                <w:color w:val="000000"/>
                <w:sz w:val="24"/>
                <w:szCs w:val="24"/>
                <w:lang w:eastAsia="lv-LV"/>
              </w:rPr>
              <w:t>Nr.2241/2004/EK par Kopienas vienotu ietvaru kvalifikāciju un kompetenču caurskatāmībai;</w:t>
            </w:r>
          </w:p>
          <w:p w14:paraId="0DE79370" w14:textId="5D15137D" w:rsidR="00810B3A" w:rsidRPr="0072278C" w:rsidRDefault="00810B3A" w:rsidP="0072278C">
            <w:pPr>
              <w:pStyle w:val="ListParagraph"/>
              <w:numPr>
                <w:ilvl w:val="0"/>
                <w:numId w:val="24"/>
              </w:numPr>
              <w:spacing w:after="0" w:line="240" w:lineRule="auto"/>
              <w:jc w:val="both"/>
              <w:rPr>
                <w:rFonts w:ascii="Times New Roman" w:hAnsi="Times New Roman"/>
                <w:sz w:val="24"/>
                <w:szCs w:val="24"/>
              </w:rPr>
            </w:pPr>
            <w:r w:rsidRPr="0072278C">
              <w:rPr>
                <w:rFonts w:ascii="Times New Roman" w:hAnsi="Times New Roman"/>
                <w:sz w:val="24"/>
                <w:szCs w:val="24"/>
              </w:rPr>
              <w:t xml:space="preserve">veikt Eiropas kvalifikāciju </w:t>
            </w:r>
            <w:proofErr w:type="spellStart"/>
            <w:r w:rsidRPr="0072278C">
              <w:rPr>
                <w:rFonts w:ascii="Times New Roman" w:hAnsi="Times New Roman"/>
                <w:sz w:val="24"/>
                <w:szCs w:val="24"/>
              </w:rPr>
              <w:t>ietvarstruktūras</w:t>
            </w:r>
            <w:proofErr w:type="spellEnd"/>
            <w:r w:rsidRPr="0072278C">
              <w:rPr>
                <w:rFonts w:ascii="Times New Roman" w:hAnsi="Times New Roman"/>
                <w:sz w:val="24"/>
                <w:szCs w:val="24"/>
              </w:rPr>
              <w:t xml:space="preserve"> nacionālā kontaktpunkta funkcijas</w:t>
            </w:r>
            <w:r w:rsidR="00C77108" w:rsidRPr="003E2795">
              <w:rPr>
                <w:rFonts w:ascii="Times New Roman" w:hAnsi="Times New Roman"/>
                <w:sz w:val="24"/>
                <w:szCs w:val="24"/>
              </w:rPr>
              <w:t xml:space="preserve"> </w:t>
            </w:r>
            <w:r w:rsidR="00C77108">
              <w:rPr>
                <w:rFonts w:ascii="Times New Roman" w:hAnsi="Times New Roman"/>
                <w:sz w:val="24"/>
                <w:szCs w:val="24"/>
                <w:lang w:val="lv-LV"/>
              </w:rPr>
              <w:t xml:space="preserve">un </w:t>
            </w:r>
            <w:r w:rsidR="00C77108" w:rsidRPr="003E2795">
              <w:rPr>
                <w:rFonts w:ascii="Times New Roman" w:hAnsi="Times New Roman"/>
                <w:sz w:val="24"/>
                <w:szCs w:val="24"/>
              </w:rPr>
              <w:t xml:space="preserve">uzsākt nacionālās kvalifikāciju datubāzes izveidi atbilstoši Eiropas kvalifikāciju </w:t>
            </w:r>
            <w:proofErr w:type="spellStart"/>
            <w:r w:rsidR="00C77108" w:rsidRPr="003E2795">
              <w:rPr>
                <w:rFonts w:ascii="Times New Roman" w:hAnsi="Times New Roman"/>
                <w:sz w:val="24"/>
                <w:szCs w:val="24"/>
              </w:rPr>
              <w:t>ietvarstruktūras</w:t>
            </w:r>
            <w:proofErr w:type="spellEnd"/>
            <w:r w:rsidR="00C77108" w:rsidRPr="003E2795">
              <w:rPr>
                <w:rFonts w:ascii="Times New Roman" w:hAnsi="Times New Roman"/>
                <w:sz w:val="24"/>
                <w:szCs w:val="24"/>
              </w:rPr>
              <w:t xml:space="preserve"> prasībām</w:t>
            </w:r>
            <w:r w:rsidR="00C77108">
              <w:rPr>
                <w:rFonts w:ascii="Times New Roman" w:hAnsi="Times New Roman"/>
                <w:sz w:val="24"/>
                <w:szCs w:val="24"/>
                <w:lang w:val="lv-LV"/>
              </w:rPr>
              <w:t xml:space="preserve">, t.i. </w:t>
            </w:r>
            <w:r w:rsidR="00C77108" w:rsidRPr="001B7A46">
              <w:rPr>
                <w:rFonts w:ascii="Times New Roman" w:hAnsi="Times New Roman"/>
                <w:sz w:val="24"/>
                <w:szCs w:val="24"/>
                <w:lang w:eastAsia="lv-LV"/>
              </w:rPr>
              <w:t xml:space="preserve">nodrošināt nacionālās kvalifikāciju </w:t>
            </w:r>
            <w:proofErr w:type="spellStart"/>
            <w:r w:rsidR="00C77108" w:rsidRPr="001B7A46">
              <w:rPr>
                <w:rFonts w:ascii="Times New Roman" w:hAnsi="Times New Roman"/>
                <w:sz w:val="24"/>
                <w:szCs w:val="24"/>
                <w:lang w:eastAsia="lv-LV"/>
              </w:rPr>
              <w:t>ietvarstruktūras</w:t>
            </w:r>
            <w:proofErr w:type="spellEnd"/>
            <w:r w:rsidR="00C77108" w:rsidRPr="001B7A46">
              <w:rPr>
                <w:rFonts w:ascii="Times New Roman" w:hAnsi="Times New Roman"/>
                <w:sz w:val="24"/>
                <w:szCs w:val="24"/>
                <w:lang w:eastAsia="lv-LV"/>
              </w:rPr>
              <w:t xml:space="preserve"> saikni ar Eiropas kvalifikāciju </w:t>
            </w:r>
            <w:proofErr w:type="spellStart"/>
            <w:r w:rsidR="00C77108" w:rsidRPr="001B7A46">
              <w:rPr>
                <w:rFonts w:ascii="Times New Roman" w:hAnsi="Times New Roman"/>
                <w:sz w:val="24"/>
                <w:szCs w:val="24"/>
                <w:lang w:eastAsia="lv-LV"/>
              </w:rPr>
              <w:t>ietvarstruktūru</w:t>
            </w:r>
            <w:proofErr w:type="spellEnd"/>
            <w:r w:rsidR="00C77108" w:rsidRPr="001B7A46">
              <w:rPr>
                <w:rFonts w:ascii="Times New Roman" w:hAnsi="Times New Roman"/>
                <w:sz w:val="24"/>
                <w:szCs w:val="24"/>
                <w:lang w:eastAsia="lv-LV"/>
              </w:rPr>
              <w:t xml:space="preserve"> (Eiropas Parlamenta un Padomes ieteikums (2008.gada 23.aprīlis) par Eiropas kvalifikāciju </w:t>
            </w:r>
            <w:proofErr w:type="spellStart"/>
            <w:r w:rsidR="00C77108" w:rsidRPr="001B7A46">
              <w:rPr>
                <w:rFonts w:ascii="Times New Roman" w:hAnsi="Times New Roman"/>
                <w:sz w:val="24"/>
                <w:szCs w:val="24"/>
                <w:lang w:eastAsia="lv-LV"/>
              </w:rPr>
              <w:t>ietvarstruktūras</w:t>
            </w:r>
            <w:proofErr w:type="spellEnd"/>
            <w:r w:rsidR="00C77108" w:rsidRPr="001B7A46">
              <w:rPr>
                <w:rFonts w:ascii="Times New Roman" w:hAnsi="Times New Roman"/>
                <w:sz w:val="24"/>
                <w:szCs w:val="24"/>
                <w:lang w:eastAsia="lv-LV"/>
              </w:rPr>
              <w:t xml:space="preserve"> izveidošanu mūžizglītībai) un nacionālās kvalifikāciju datu bāzes izveidi;</w:t>
            </w:r>
            <w:r w:rsidRPr="0072278C">
              <w:rPr>
                <w:rFonts w:ascii="Times New Roman" w:hAnsi="Times New Roman"/>
                <w:sz w:val="24"/>
                <w:szCs w:val="24"/>
              </w:rPr>
              <w:t>;</w:t>
            </w:r>
          </w:p>
          <w:p w14:paraId="654E0B22" w14:textId="52F376EE" w:rsidR="00810B3A" w:rsidRPr="0072278C" w:rsidRDefault="00810B3A" w:rsidP="0072278C">
            <w:pPr>
              <w:pStyle w:val="ListParagraph"/>
              <w:numPr>
                <w:ilvl w:val="0"/>
                <w:numId w:val="24"/>
              </w:numPr>
              <w:spacing w:after="0" w:line="240" w:lineRule="auto"/>
              <w:jc w:val="both"/>
              <w:rPr>
                <w:rFonts w:ascii="Times New Roman" w:hAnsi="Times New Roman"/>
                <w:sz w:val="24"/>
                <w:szCs w:val="24"/>
              </w:rPr>
            </w:pPr>
            <w:r w:rsidRPr="0072278C">
              <w:rPr>
                <w:rFonts w:ascii="Times New Roman" w:hAnsi="Times New Roman"/>
                <w:sz w:val="24"/>
                <w:szCs w:val="24"/>
              </w:rPr>
              <w:t>veikt ārvalstu izglītības dokumentu ekspertīzi un novērtēšanu</w:t>
            </w:r>
            <w:r w:rsidR="00360EC9" w:rsidRPr="001B7A46">
              <w:rPr>
                <w:rFonts w:ascii="Times New Roman" w:hAnsi="Times New Roman"/>
                <w:sz w:val="24"/>
                <w:szCs w:val="24"/>
              </w:rPr>
              <w:t xml:space="preserve"> saskaņā ar Izglītības likuma 11.</w:t>
            </w:r>
            <w:r w:rsidR="00360EC9" w:rsidRPr="001B7A46">
              <w:rPr>
                <w:rFonts w:ascii="Times New Roman" w:hAnsi="Times New Roman"/>
                <w:sz w:val="24"/>
                <w:szCs w:val="24"/>
                <w:vertAlign w:val="superscript"/>
              </w:rPr>
              <w:t>1</w:t>
            </w:r>
            <w:r w:rsidR="00360EC9" w:rsidRPr="001B7A46">
              <w:rPr>
                <w:rFonts w:ascii="Times New Roman" w:hAnsi="Times New Roman"/>
                <w:sz w:val="24"/>
                <w:szCs w:val="24"/>
              </w:rPr>
              <w:t>pantu un Augstskolu likuma 85.pantu, un atbilstoši Eiropas reģiona konvencijai par tādu kvalifikāciju atzīšanu, kas saistītas ar augstāko izglītību (1997.) un Eiropas Komisijas, UNESCO, Eiropas Padomes kopīgajām ENIC/NARIC darbības vadlīnijām (2004.);</w:t>
            </w:r>
          </w:p>
          <w:p w14:paraId="1F083D24" w14:textId="53DEB7B0" w:rsidR="008D0AEF" w:rsidRDefault="00810B3A">
            <w:pPr>
              <w:pStyle w:val="BodyText2"/>
              <w:ind w:firstLine="709"/>
              <w:jc w:val="both"/>
              <w:rPr>
                <w:rFonts w:ascii="Calibri" w:eastAsia="Calibri" w:hAnsi="Calibri"/>
                <w:b/>
                <w:sz w:val="20"/>
                <w:szCs w:val="24"/>
              </w:rPr>
            </w:pPr>
            <w:r w:rsidRPr="0072278C">
              <w:rPr>
                <w:rFonts w:eastAsia="Calibri"/>
                <w:szCs w:val="24"/>
              </w:rPr>
              <w:t>sadarbībā ar Ministriju un citām attiecīgām iestādēm nodrošināt  Latvijas dal</w:t>
            </w:r>
            <w:r w:rsidR="001E5EAD">
              <w:rPr>
                <w:rFonts w:eastAsia="Calibri"/>
                <w:szCs w:val="24"/>
              </w:rPr>
              <w:t xml:space="preserve">ību Eiropas Komisijas projektā </w:t>
            </w:r>
            <w:r w:rsidR="001E5EAD">
              <w:rPr>
                <w:rFonts w:eastAsia="Calibri"/>
                <w:szCs w:val="24"/>
                <w:lang w:val="lv-LV"/>
              </w:rPr>
              <w:t>„</w:t>
            </w:r>
            <w:proofErr w:type="spellStart"/>
            <w:r w:rsidRPr="0072278C">
              <w:rPr>
                <w:rFonts w:eastAsia="Calibri"/>
                <w:i/>
                <w:szCs w:val="24"/>
              </w:rPr>
              <w:t>Study</w:t>
            </w:r>
            <w:proofErr w:type="spellEnd"/>
            <w:r w:rsidRPr="0072278C">
              <w:rPr>
                <w:rFonts w:eastAsia="Calibri"/>
                <w:i/>
                <w:szCs w:val="24"/>
              </w:rPr>
              <w:t xml:space="preserve"> </w:t>
            </w:r>
            <w:proofErr w:type="spellStart"/>
            <w:r w:rsidRPr="0072278C">
              <w:rPr>
                <w:rFonts w:eastAsia="Calibri"/>
                <w:i/>
                <w:szCs w:val="24"/>
              </w:rPr>
              <w:t>in</w:t>
            </w:r>
            <w:proofErr w:type="spellEnd"/>
            <w:r w:rsidRPr="0072278C">
              <w:rPr>
                <w:rFonts w:eastAsia="Calibri"/>
                <w:i/>
                <w:szCs w:val="24"/>
              </w:rPr>
              <w:t xml:space="preserve"> </w:t>
            </w:r>
            <w:proofErr w:type="spellStart"/>
            <w:r w:rsidRPr="0072278C">
              <w:rPr>
                <w:rFonts w:eastAsia="Calibri"/>
                <w:i/>
                <w:szCs w:val="24"/>
              </w:rPr>
              <w:t>Europe</w:t>
            </w:r>
            <w:proofErr w:type="spellEnd"/>
            <w:r w:rsidRPr="0072278C">
              <w:rPr>
                <w:rFonts w:eastAsia="Calibri"/>
                <w:szCs w:val="24"/>
              </w:rPr>
              <w:t>” par studentu piesaisti no trešajām valstīm;</w:t>
            </w:r>
            <w:r w:rsidR="00D259BA" w:rsidRPr="0072278C" w:rsidDel="00810B3A">
              <w:rPr>
                <w:rFonts w:ascii="Calibri" w:eastAsia="Calibri" w:hAnsi="Calibri"/>
                <w:b/>
                <w:sz w:val="20"/>
                <w:szCs w:val="24"/>
              </w:rPr>
              <w:t xml:space="preserve"> </w:t>
            </w:r>
          </w:p>
          <w:p w14:paraId="03C6C627" w14:textId="64CE3E39" w:rsidR="0079361E" w:rsidRDefault="00810B3A">
            <w:pPr>
              <w:pStyle w:val="BodyText2"/>
              <w:ind w:firstLine="709"/>
              <w:jc w:val="both"/>
              <w:rPr>
                <w:szCs w:val="24"/>
                <w:lang w:val="lv-LV"/>
              </w:rPr>
            </w:pPr>
            <w:r>
              <w:rPr>
                <w:szCs w:val="24"/>
                <w:lang w:val="lv-LV"/>
              </w:rPr>
              <w:t xml:space="preserve">3. </w:t>
            </w:r>
            <w:r w:rsidR="0079361E" w:rsidRPr="0079361E">
              <w:rPr>
                <w:szCs w:val="24"/>
                <w:lang w:val="lv-LV"/>
              </w:rPr>
              <w:t xml:space="preserve"> no valsts budžeta programmas </w:t>
            </w:r>
            <w:r w:rsidR="0079361E" w:rsidRPr="0079361E">
              <w:rPr>
                <w:szCs w:val="24"/>
              </w:rPr>
              <w:t xml:space="preserve">97.02.00. </w:t>
            </w:r>
            <w:r w:rsidR="00EC518E">
              <w:rPr>
                <w:szCs w:val="24"/>
                <w:lang w:val="lv-LV"/>
              </w:rPr>
              <w:t>apakšprogrammas „</w:t>
            </w:r>
            <w:r w:rsidR="0079361E" w:rsidRPr="0079361E">
              <w:rPr>
                <w:szCs w:val="24"/>
                <w:lang w:val="lv-LV"/>
              </w:rPr>
              <w:t xml:space="preserve">Izglītības sistēmas vadības nodrošināšana” </w:t>
            </w:r>
            <w:r w:rsidR="0079361E" w:rsidRPr="0079361E">
              <w:rPr>
                <w:b/>
                <w:szCs w:val="24"/>
                <w:lang w:val="lv-LV"/>
              </w:rPr>
              <w:t>EUR 34 812</w:t>
            </w:r>
            <w:r w:rsidR="0079361E" w:rsidRPr="0079361E">
              <w:rPr>
                <w:szCs w:val="24"/>
                <w:lang w:val="lv-LV"/>
              </w:rPr>
              <w:t xml:space="preserve"> (trīsdesmit četri tūkstoši astoņi simti divpadsmit </w:t>
            </w:r>
            <w:proofErr w:type="spellStart"/>
            <w:r w:rsidR="0079361E" w:rsidRPr="0079361E">
              <w:rPr>
                <w:i/>
                <w:szCs w:val="24"/>
                <w:lang w:val="lv-LV"/>
              </w:rPr>
              <w:t>euro</w:t>
            </w:r>
            <w:proofErr w:type="spellEnd"/>
            <w:r w:rsidR="0079361E" w:rsidRPr="0079361E">
              <w:rPr>
                <w:szCs w:val="24"/>
                <w:lang w:val="lv-LV"/>
              </w:rPr>
              <w:t>);</w:t>
            </w:r>
          </w:p>
          <w:p w14:paraId="4EFE1621" w14:textId="78C0481E" w:rsidR="001F76EB" w:rsidRPr="0079361E" w:rsidRDefault="001F76EB" w:rsidP="0072278C">
            <w:pPr>
              <w:pStyle w:val="BodyText2"/>
              <w:numPr>
                <w:ilvl w:val="0"/>
                <w:numId w:val="23"/>
              </w:numPr>
              <w:jc w:val="both"/>
              <w:rPr>
                <w:szCs w:val="24"/>
                <w:lang w:val="lv-LV"/>
              </w:rPr>
            </w:pPr>
            <w:r>
              <w:rPr>
                <w:szCs w:val="24"/>
                <w:lang w:val="lv-LV"/>
              </w:rPr>
              <w:t>īstenot iepriekš iegūtas augstākās izglītības pielīdzināšanu Augstskolu likumā noteiktajiem grādiem un profesionālajām kvalifikācijām</w:t>
            </w:r>
            <w:r w:rsidR="000C1879" w:rsidRPr="001B7A46">
              <w:rPr>
                <w:szCs w:val="24"/>
              </w:rPr>
              <w:t xml:space="preserve"> atbilstoši Ministru kabineta 2012.gada 28.februāra noteikumos N</w:t>
            </w:r>
            <w:r w:rsidR="00EC518E">
              <w:rPr>
                <w:szCs w:val="24"/>
              </w:rPr>
              <w:t xml:space="preserve">r.142 </w:t>
            </w:r>
            <w:r w:rsidR="00EC518E">
              <w:rPr>
                <w:szCs w:val="24"/>
                <w:lang w:val="lv-LV"/>
              </w:rPr>
              <w:t>„</w:t>
            </w:r>
            <w:r w:rsidR="000C1879" w:rsidRPr="001B7A46">
              <w:rPr>
                <w:szCs w:val="24"/>
              </w:rPr>
              <w:t>Grādu un profesionālo kvalifikāciju pielīdzināšanas kārtība” noteiktajam</w:t>
            </w:r>
            <w:r>
              <w:rPr>
                <w:szCs w:val="24"/>
                <w:lang w:val="lv-LV"/>
              </w:rPr>
              <w:t>.</w:t>
            </w:r>
          </w:p>
          <w:p w14:paraId="7BAC86E7" w14:textId="755839AA" w:rsidR="0079361E" w:rsidRDefault="00810B3A">
            <w:pPr>
              <w:pStyle w:val="BodyText2"/>
              <w:ind w:firstLine="709"/>
              <w:jc w:val="both"/>
              <w:rPr>
                <w:i/>
                <w:szCs w:val="24"/>
                <w:lang w:val="lv-LV"/>
              </w:rPr>
            </w:pPr>
            <w:r>
              <w:rPr>
                <w:szCs w:val="24"/>
                <w:lang w:val="lv-LV"/>
              </w:rPr>
              <w:t xml:space="preserve">4. </w:t>
            </w:r>
            <w:r w:rsidR="0079361E" w:rsidRPr="0079361E">
              <w:rPr>
                <w:szCs w:val="24"/>
                <w:lang w:val="lv-LV"/>
              </w:rPr>
              <w:t xml:space="preserve"> no vals</w:t>
            </w:r>
            <w:r w:rsidR="00EC518E">
              <w:rPr>
                <w:szCs w:val="24"/>
                <w:lang w:val="lv-LV"/>
              </w:rPr>
              <w:t>ts budžeta programmas 03.13.00 „</w:t>
            </w:r>
            <w:r w:rsidR="0079361E" w:rsidRPr="0079361E">
              <w:rPr>
                <w:szCs w:val="24"/>
                <w:lang w:val="lv-LV"/>
              </w:rPr>
              <w:t xml:space="preserve">Studiju virzienu akreditācija” </w:t>
            </w:r>
            <w:r w:rsidR="0079361E" w:rsidRPr="0079361E">
              <w:rPr>
                <w:b/>
                <w:szCs w:val="24"/>
                <w:lang w:val="lv-LV"/>
              </w:rPr>
              <w:t>EUR 250 457</w:t>
            </w:r>
            <w:r w:rsidR="0079361E" w:rsidRPr="0079361E">
              <w:rPr>
                <w:szCs w:val="24"/>
                <w:lang w:val="lv-LV"/>
              </w:rPr>
              <w:t xml:space="preserve"> (divi simti piecdesmit tūkstoši četri simti piecdesmit septiņi </w:t>
            </w:r>
            <w:proofErr w:type="spellStart"/>
            <w:r w:rsidR="0079361E" w:rsidRPr="0079361E">
              <w:rPr>
                <w:i/>
                <w:szCs w:val="24"/>
                <w:lang w:val="lv-LV"/>
              </w:rPr>
              <w:t>euro</w:t>
            </w:r>
            <w:proofErr w:type="spellEnd"/>
            <w:r w:rsidR="0079361E" w:rsidRPr="0079361E">
              <w:rPr>
                <w:i/>
                <w:szCs w:val="24"/>
                <w:lang w:val="lv-LV"/>
              </w:rPr>
              <w:t>).</w:t>
            </w:r>
          </w:p>
          <w:p w14:paraId="720C3999" w14:textId="77777777" w:rsidR="00414143" w:rsidRDefault="00810B3A" w:rsidP="0072278C">
            <w:pPr>
              <w:pStyle w:val="ListParagraph"/>
              <w:numPr>
                <w:ilvl w:val="0"/>
                <w:numId w:val="23"/>
              </w:numPr>
              <w:spacing w:after="0" w:line="240" w:lineRule="auto"/>
              <w:jc w:val="both"/>
              <w:rPr>
                <w:rFonts w:ascii="Times New Roman" w:hAnsi="Times New Roman"/>
                <w:sz w:val="24"/>
                <w:szCs w:val="24"/>
              </w:rPr>
            </w:pPr>
            <w:r w:rsidRPr="0072278C">
              <w:rPr>
                <w:rFonts w:ascii="Times New Roman" w:hAnsi="Times New Roman"/>
                <w:sz w:val="24"/>
                <w:szCs w:val="24"/>
              </w:rPr>
              <w:lastRenderedPageBreak/>
              <w:t>nodrošināt informācijas ievadīšanu un aktualizēšanu Valsts izglītības informācijas sistēmā par augstākās izglītības iestāžu un studiju virzienu akreditāciju un studiju programmu licencēšanu;</w:t>
            </w:r>
          </w:p>
          <w:p w14:paraId="3A46F690" w14:textId="0C4924BC" w:rsidR="00810B3A" w:rsidRPr="0072278C" w:rsidRDefault="00414143" w:rsidP="0072278C">
            <w:pPr>
              <w:pStyle w:val="ListParagraph"/>
              <w:numPr>
                <w:ilvl w:val="0"/>
                <w:numId w:val="23"/>
              </w:numPr>
              <w:spacing w:after="0" w:line="240" w:lineRule="auto"/>
              <w:jc w:val="both"/>
              <w:rPr>
                <w:rFonts w:ascii="Times New Roman" w:hAnsi="Times New Roman"/>
                <w:sz w:val="24"/>
                <w:szCs w:val="24"/>
              </w:rPr>
            </w:pPr>
            <w:r w:rsidRPr="0072278C">
              <w:rPr>
                <w:rFonts w:ascii="Times New Roman" w:hAnsi="Times New Roman"/>
                <w:sz w:val="24"/>
                <w:szCs w:val="24"/>
              </w:rPr>
              <w:t>organizēt augstskolu, koledžu un studiju virzienu akreditāciju atbilstoši Ministru kabineta 2015.ga</w:t>
            </w:r>
            <w:r w:rsidR="00EC518E">
              <w:rPr>
                <w:rFonts w:ascii="Times New Roman" w:hAnsi="Times New Roman"/>
                <w:sz w:val="24"/>
                <w:szCs w:val="24"/>
              </w:rPr>
              <w:t xml:space="preserve">da 14.jūlija noteikumos Nr.407 </w:t>
            </w:r>
            <w:r w:rsidR="00EC518E">
              <w:rPr>
                <w:rFonts w:ascii="Times New Roman" w:hAnsi="Times New Roman"/>
                <w:sz w:val="24"/>
                <w:szCs w:val="24"/>
                <w:lang w:val="lv-LV"/>
              </w:rPr>
              <w:t>„</w:t>
            </w:r>
            <w:r w:rsidRPr="0072278C">
              <w:rPr>
                <w:rFonts w:ascii="Times New Roman" w:hAnsi="Times New Roman"/>
                <w:sz w:val="24"/>
                <w:szCs w:val="24"/>
              </w:rPr>
              <w:t>Augstskolu, koledžu un studiju virzienu akreditācijas noteikumi” noteiktajam</w:t>
            </w:r>
            <w:r w:rsidRPr="00414143">
              <w:rPr>
                <w:rFonts w:ascii="Times New Roman" w:hAnsi="Times New Roman"/>
                <w:sz w:val="24"/>
                <w:szCs w:val="24"/>
              </w:rPr>
              <w:t xml:space="preserve"> un</w:t>
            </w:r>
            <w:r w:rsidRPr="0072278C">
              <w:rPr>
                <w:rFonts w:ascii="Times New Roman" w:hAnsi="Times New Roman"/>
                <w:sz w:val="24"/>
                <w:szCs w:val="24"/>
              </w:rPr>
              <w:t xml:space="preserve"> studiju programmu licencēšanu atbilstoši Ministru kabineta 2015.ga</w:t>
            </w:r>
            <w:r w:rsidR="00EC518E">
              <w:rPr>
                <w:rFonts w:ascii="Times New Roman" w:hAnsi="Times New Roman"/>
                <w:sz w:val="24"/>
                <w:szCs w:val="24"/>
              </w:rPr>
              <w:t xml:space="preserve">da 14.jūlija noteikumos Nr.408 </w:t>
            </w:r>
            <w:r w:rsidR="00EC518E">
              <w:rPr>
                <w:rFonts w:ascii="Times New Roman" w:hAnsi="Times New Roman"/>
                <w:sz w:val="24"/>
                <w:szCs w:val="24"/>
                <w:lang w:val="lv-LV"/>
              </w:rPr>
              <w:t>„</w:t>
            </w:r>
            <w:r w:rsidRPr="0072278C">
              <w:rPr>
                <w:rFonts w:ascii="Times New Roman" w:hAnsi="Times New Roman"/>
                <w:sz w:val="24"/>
                <w:szCs w:val="24"/>
              </w:rPr>
              <w:t>Studiju programmu licencēšanas noteikumi” noteiktajam.</w:t>
            </w:r>
          </w:p>
          <w:p w14:paraId="7DC9BA91" w14:textId="4F6DD31F" w:rsidR="00810B3A" w:rsidRPr="0072278C" w:rsidRDefault="00810B3A" w:rsidP="0072278C">
            <w:pPr>
              <w:pStyle w:val="ListParagraph"/>
              <w:numPr>
                <w:ilvl w:val="0"/>
                <w:numId w:val="23"/>
              </w:numPr>
              <w:spacing w:after="0" w:line="240" w:lineRule="auto"/>
              <w:jc w:val="both"/>
              <w:rPr>
                <w:rFonts w:ascii="Times New Roman" w:hAnsi="Times New Roman"/>
                <w:sz w:val="24"/>
                <w:szCs w:val="24"/>
              </w:rPr>
            </w:pPr>
            <w:r w:rsidRPr="0072278C">
              <w:rPr>
                <w:rFonts w:ascii="Times New Roman" w:hAnsi="Times New Roman"/>
                <w:sz w:val="24"/>
                <w:szCs w:val="24"/>
              </w:rPr>
              <w:t>īstenot augstskolu un koledžu akreditācijā, studiju virzienu akreditācijā un studiju programmu licencēšanā iesaistīto ekspertu apmācības;</w:t>
            </w:r>
          </w:p>
          <w:p w14:paraId="3F074A2E" w14:textId="7E96E768" w:rsidR="00810B3A" w:rsidRPr="0072278C" w:rsidRDefault="00810B3A" w:rsidP="0072278C">
            <w:pPr>
              <w:pStyle w:val="ListParagraph"/>
              <w:numPr>
                <w:ilvl w:val="0"/>
                <w:numId w:val="23"/>
              </w:numPr>
              <w:spacing w:after="0" w:line="240" w:lineRule="auto"/>
              <w:jc w:val="both"/>
              <w:rPr>
                <w:rFonts w:ascii="Times New Roman" w:hAnsi="Times New Roman"/>
                <w:sz w:val="24"/>
                <w:szCs w:val="24"/>
              </w:rPr>
            </w:pPr>
            <w:r w:rsidRPr="0072278C">
              <w:rPr>
                <w:rFonts w:ascii="Times New Roman" w:hAnsi="Times New Roman"/>
                <w:sz w:val="24"/>
                <w:szCs w:val="24"/>
              </w:rPr>
              <w:t>īstenot integrāciju Eiropas augstākās izglītības telpas kvalitātes nodrošināšanas tīklā, dibinot partnerību, piedaloties aktivitātēs un organizētajos pasākumos, organizējot darbinieku kapacitātes celšanu.</w:t>
            </w:r>
          </w:p>
          <w:p w14:paraId="64F08AC7" w14:textId="77777777" w:rsidR="00CC6F49" w:rsidRDefault="00CC6F49" w:rsidP="00AC1969">
            <w:pPr>
              <w:spacing w:after="0" w:line="240" w:lineRule="auto"/>
              <w:jc w:val="both"/>
              <w:rPr>
                <w:rFonts w:ascii="Times New Roman" w:hAnsi="Times New Roman"/>
                <w:sz w:val="24"/>
                <w:szCs w:val="24"/>
              </w:rPr>
            </w:pPr>
          </w:p>
          <w:p w14:paraId="2E28A189" w14:textId="28E7E318" w:rsidR="00837A98" w:rsidRPr="00837A98" w:rsidRDefault="00837A98" w:rsidP="00837A98">
            <w:pPr>
              <w:spacing w:after="0" w:line="240" w:lineRule="auto"/>
              <w:jc w:val="both"/>
              <w:rPr>
                <w:rFonts w:ascii="Times New Roman" w:hAnsi="Times New Roman"/>
                <w:sz w:val="24"/>
                <w:szCs w:val="24"/>
              </w:rPr>
            </w:pPr>
            <w:r w:rsidRPr="00837A98">
              <w:rPr>
                <w:rFonts w:ascii="Times New Roman" w:hAnsi="Times New Roman"/>
                <w:sz w:val="24"/>
                <w:szCs w:val="24"/>
              </w:rPr>
              <w:t xml:space="preserve">Jautājumu par </w:t>
            </w:r>
            <w:proofErr w:type="spellStart"/>
            <w:r w:rsidRPr="00837A98">
              <w:rPr>
                <w:rFonts w:ascii="Times New Roman" w:hAnsi="Times New Roman"/>
                <w:sz w:val="24"/>
                <w:szCs w:val="24"/>
              </w:rPr>
              <w:t>Iekšlietu</w:t>
            </w:r>
            <w:proofErr w:type="spellEnd"/>
            <w:r w:rsidRPr="00837A98">
              <w:rPr>
                <w:rFonts w:ascii="Times New Roman" w:hAnsi="Times New Roman"/>
                <w:sz w:val="24"/>
                <w:szCs w:val="24"/>
              </w:rPr>
              <w:t xml:space="preserve"> ministrijai un Tieslietu ministrijai papildu nepieciešamo finansējumu 2017. gadam Kriminālprocesa informācijas sistēmas un Sodu reģistra papildinājuma izstrādei 11 965 </w:t>
            </w:r>
            <w:proofErr w:type="spellStart"/>
            <w:r w:rsidRPr="00837A98">
              <w:rPr>
                <w:rFonts w:ascii="Times New Roman" w:hAnsi="Times New Roman"/>
                <w:i/>
                <w:sz w:val="24"/>
                <w:szCs w:val="24"/>
              </w:rPr>
              <w:t>euro</w:t>
            </w:r>
            <w:proofErr w:type="spellEnd"/>
            <w:r w:rsidRPr="00837A98">
              <w:rPr>
                <w:rFonts w:ascii="Times New Roman" w:hAnsi="Times New Roman"/>
                <w:sz w:val="24"/>
                <w:szCs w:val="24"/>
              </w:rPr>
              <w:t xml:space="preserve"> apmērā un Tiesu informācijas sistēmas papildinājuma izstrādei 68 517 </w:t>
            </w:r>
            <w:proofErr w:type="spellStart"/>
            <w:r w:rsidRPr="00837A98">
              <w:rPr>
                <w:rFonts w:ascii="Times New Roman" w:hAnsi="Times New Roman"/>
                <w:i/>
                <w:sz w:val="24"/>
                <w:szCs w:val="24"/>
              </w:rPr>
              <w:t>euro</w:t>
            </w:r>
            <w:proofErr w:type="spellEnd"/>
            <w:r w:rsidRPr="00837A98">
              <w:rPr>
                <w:rFonts w:ascii="Times New Roman" w:hAnsi="Times New Roman"/>
                <w:sz w:val="24"/>
                <w:szCs w:val="24"/>
              </w:rPr>
              <w:t xml:space="preserve"> apmērā, kas nepieciešams, lai nodrošinātu Direktīvas </w:t>
            </w:r>
            <w:r w:rsidRPr="00837A98">
              <w:rPr>
                <w:rFonts w:ascii="Times New Roman" w:hAnsi="Times New Roman"/>
                <w:bCs/>
                <w:sz w:val="24"/>
                <w:szCs w:val="24"/>
              </w:rPr>
              <w:t>2013/55/ES</w:t>
            </w:r>
            <w:r w:rsidRPr="00837A98">
              <w:rPr>
                <w:rStyle w:val="FootnoteReference"/>
                <w:rFonts w:ascii="Times New Roman" w:hAnsi="Times New Roman"/>
                <w:sz w:val="24"/>
                <w:szCs w:val="24"/>
              </w:rPr>
              <w:footnoteReference w:id="1"/>
            </w:r>
            <w:r w:rsidRPr="00837A98">
              <w:rPr>
                <w:rFonts w:ascii="Times New Roman" w:hAnsi="Times New Roman"/>
                <w:bCs/>
                <w:sz w:val="24"/>
                <w:szCs w:val="24"/>
              </w:rPr>
              <w:t xml:space="preserve"> transponēšanu attiecībā uz tajā </w:t>
            </w:r>
            <w:r w:rsidRPr="00837A98">
              <w:rPr>
                <w:rFonts w:ascii="Times New Roman" w:hAnsi="Times New Roman"/>
                <w:sz w:val="24"/>
                <w:szCs w:val="24"/>
              </w:rPr>
              <w:t>noteikto datu apmaiņu, izskatīt likumprojekta „Par vidēja termiņa budžeta ietvaru 2017., 2018. un 2019.gadam” un likumprojekta „Par valsts budžetu 2017.gadam” sagatavošanas un izskatīšanas procesā kopā ar visu ministriju un centrālo valsts iestāžu priekšlikumiem jaunajām politikas iniciatīvām un iesniegtajiem papildu finansējuma pieprasījumiem atbilstoši valsts budžeta finansiālajām iespējām.</w:t>
            </w:r>
          </w:p>
          <w:p w14:paraId="22380F42" w14:textId="77777777" w:rsidR="00046740" w:rsidRPr="00EF5E5B" w:rsidRDefault="00046740" w:rsidP="00AC1969">
            <w:pPr>
              <w:spacing w:after="0" w:line="240" w:lineRule="auto"/>
              <w:jc w:val="both"/>
              <w:rPr>
                <w:sz w:val="24"/>
                <w:szCs w:val="24"/>
              </w:rPr>
            </w:pPr>
          </w:p>
          <w:p w14:paraId="26D1DD03" w14:textId="77777777" w:rsidR="008C2D3D" w:rsidRDefault="007F13E5" w:rsidP="00046740">
            <w:pPr>
              <w:spacing w:after="0" w:line="240" w:lineRule="auto"/>
              <w:jc w:val="both"/>
              <w:rPr>
                <w:rFonts w:ascii="Times New Roman" w:hAnsi="Times New Roman"/>
                <w:sz w:val="24"/>
                <w:szCs w:val="24"/>
              </w:rPr>
            </w:pPr>
            <w:r w:rsidRPr="003E10EB">
              <w:rPr>
                <w:rFonts w:ascii="Times New Roman" w:hAnsi="Times New Roman"/>
                <w:sz w:val="24"/>
                <w:szCs w:val="24"/>
              </w:rPr>
              <w:t xml:space="preserve">Direktīva ir sekundārs tiesību akts, kas pieņemta uz </w:t>
            </w:r>
            <w:r w:rsidRPr="00184C91">
              <w:rPr>
                <w:rFonts w:ascii="Times New Roman" w:hAnsi="Times New Roman"/>
                <w:sz w:val="24"/>
                <w:szCs w:val="24"/>
              </w:rPr>
              <w:t xml:space="preserve">Līguma par Eiropas Savienības darbību (turpmāk – LESD) 288. panta pamata. ES institūcijas, pieņemot direktīvu, nosaka sasniedzamo mērķi, savukārt dalībvalstu uzdevums ir savlaicīgi iestrādāt direktīvas nosacījumus nacionālajos normatīvajos aktos </w:t>
            </w:r>
            <w:r w:rsidRPr="000433FA">
              <w:rPr>
                <w:rFonts w:ascii="Times New Roman" w:hAnsi="Times New Roman"/>
                <w:sz w:val="24"/>
                <w:szCs w:val="24"/>
              </w:rPr>
              <w:t>attiecīgā direktīvas mērķa sasniegšanai. Līdz ar to grozījumu direktīva ir Latvijas Republikai kā Eiropas savienības dalībvalstij saistoša (</w:t>
            </w:r>
            <w:hyperlink r:id="rId8" w:history="1">
              <w:r w:rsidRPr="00F96780">
                <w:rPr>
                  <w:rStyle w:val="Hyperlink"/>
                  <w:rFonts w:ascii="Times New Roman" w:hAnsi="Times New Roman"/>
                </w:rPr>
                <w:t>http://ec.europa.eu/atwork/applying-eu-law/index_en.htm</w:t>
              </w:r>
            </w:hyperlink>
            <w:r w:rsidRPr="000433FA">
              <w:rPr>
                <w:rFonts w:ascii="Times New Roman" w:hAnsi="Times New Roman"/>
                <w:sz w:val="24"/>
                <w:szCs w:val="24"/>
              </w:rPr>
              <w:t xml:space="preserve">). </w:t>
            </w:r>
          </w:p>
          <w:p w14:paraId="0415F812" w14:textId="63C90D79" w:rsidR="0022351E" w:rsidRPr="0022351E" w:rsidRDefault="0022351E" w:rsidP="0022351E">
            <w:pPr>
              <w:pStyle w:val="BodyText2"/>
              <w:tabs>
                <w:tab w:val="left" w:pos="-4820"/>
              </w:tabs>
              <w:jc w:val="both"/>
              <w:rPr>
                <w:szCs w:val="24"/>
              </w:rPr>
            </w:pPr>
            <w:r w:rsidRPr="0022351E">
              <w:rPr>
                <w:szCs w:val="24"/>
              </w:rPr>
              <w:t xml:space="preserve">Direktīvas 2013/55/ES prasību transponēšanai nepieciešamos </w:t>
            </w:r>
            <w:r w:rsidRPr="0022351E">
              <w:rPr>
                <w:rFonts w:eastAsia="Calibri"/>
                <w:szCs w:val="24"/>
              </w:rPr>
              <w:t>Ministru kabineta noteikumu projektus</w:t>
            </w:r>
            <w:r w:rsidRPr="0022351E">
              <w:rPr>
                <w:szCs w:val="24"/>
              </w:rPr>
              <w:t xml:space="preserve"> nepieciešams pieņemt ne tikai tādēļ, lai novērstu Eiropas Komisijas uzsākto pārkāpuma procedūras lietu, bet arī, lai izvairītos no tiesvedības Eiropas Savienības Tiesā un ar to </w:t>
            </w:r>
            <w:r w:rsidRPr="0022351E">
              <w:rPr>
                <w:rFonts w:eastAsia="Calibri"/>
                <w:szCs w:val="24"/>
              </w:rPr>
              <w:t>saistī</w:t>
            </w:r>
            <w:r w:rsidR="00EF6D6A">
              <w:rPr>
                <w:rFonts w:eastAsia="Calibri"/>
                <w:szCs w:val="24"/>
              </w:rPr>
              <w:t xml:space="preserve">tajiem finanšu sankciju riskiem. </w:t>
            </w:r>
            <w:r w:rsidRPr="0022351E">
              <w:rPr>
                <w:szCs w:val="24"/>
              </w:rPr>
              <w:t xml:space="preserve">Ja Latvijas Republika neizpildīs pienākumu paziņot par Direktīvas 2013/55/ES transponēšanas pasākumiem, Eiropas Komisijai būs tiesības pret Latvijas Republiku vērsties Eiropas Savienības Tiesā. Šādā gadījumā Eiropas Savienības Tiesa saskaņā ar Līguma par Eiropas Savienības darbību 260. panta 3.punktu Latvijas Republikai var piemērot finanšu sankcijas – gan sodanaudu, gan kavējuma naudu, neizslēdzot vienu vai otru – jau ar pirmo, konstatējošo spriedumu. Šobrīd Latvijas Republikai minimālā soda </w:t>
            </w:r>
            <w:r w:rsidRPr="0022351E">
              <w:rPr>
                <w:szCs w:val="24"/>
              </w:rPr>
              <w:lastRenderedPageBreak/>
              <w:t xml:space="preserve">nauda ir noteikta 400 000 </w:t>
            </w:r>
            <w:proofErr w:type="spellStart"/>
            <w:r w:rsidRPr="0022351E">
              <w:rPr>
                <w:i/>
                <w:szCs w:val="24"/>
              </w:rPr>
              <w:t>euro</w:t>
            </w:r>
            <w:proofErr w:type="spellEnd"/>
            <w:r w:rsidRPr="0022351E">
              <w:rPr>
                <w:szCs w:val="24"/>
              </w:rPr>
              <w:t xml:space="preserve"> apmērā, savukārt kavējuma nauda ir noteikta no 482,40 </w:t>
            </w:r>
            <w:proofErr w:type="spellStart"/>
            <w:r w:rsidRPr="0022351E">
              <w:rPr>
                <w:i/>
                <w:szCs w:val="24"/>
              </w:rPr>
              <w:t>euro</w:t>
            </w:r>
            <w:proofErr w:type="spellEnd"/>
            <w:r w:rsidRPr="0022351E">
              <w:rPr>
                <w:szCs w:val="24"/>
              </w:rPr>
              <w:t xml:space="preserve"> līdz 28 944 </w:t>
            </w:r>
            <w:proofErr w:type="spellStart"/>
            <w:r w:rsidRPr="0022351E">
              <w:rPr>
                <w:i/>
                <w:szCs w:val="24"/>
              </w:rPr>
              <w:t>euro</w:t>
            </w:r>
            <w:proofErr w:type="spellEnd"/>
            <w:r w:rsidRPr="0022351E">
              <w:rPr>
                <w:szCs w:val="24"/>
              </w:rPr>
              <w:t xml:space="preserve"> apmērā par katru kavējuma dienu. </w:t>
            </w:r>
          </w:p>
          <w:p w14:paraId="4B4A46D0" w14:textId="5A6A2D9A" w:rsidR="00454A36" w:rsidRPr="0005162F" w:rsidRDefault="00454A36" w:rsidP="00454A36">
            <w:pPr>
              <w:pStyle w:val="ListParagraph"/>
              <w:shd w:val="clear" w:color="auto" w:fill="FFFFFF"/>
              <w:spacing w:before="40" w:after="40" w:line="240" w:lineRule="auto"/>
              <w:ind w:left="360" w:hanging="360"/>
              <w:jc w:val="both"/>
              <w:rPr>
                <w:rFonts w:ascii="Times New Roman" w:hAnsi="Times New Roman"/>
                <w:sz w:val="24"/>
                <w:szCs w:val="24"/>
                <w:lang w:val="lv-LV"/>
              </w:rPr>
            </w:pPr>
          </w:p>
        </w:tc>
      </w:tr>
    </w:tbl>
    <w:p w14:paraId="1DB38C80" w14:textId="15FDF66B" w:rsidR="00AE5E19" w:rsidRDefault="00AE5E19"/>
    <w:tbl>
      <w:tblPr>
        <w:tblW w:w="49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862"/>
        <w:gridCol w:w="5923"/>
      </w:tblGrid>
      <w:tr w:rsidR="00454A36" w:rsidRPr="0007455F" w14:paraId="5C4DAAEB" w14:textId="77777777" w:rsidTr="00660C44">
        <w:trPr>
          <w:trHeight w:val="450"/>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vAlign w:val="center"/>
            <w:hideMark/>
          </w:tcPr>
          <w:p w14:paraId="23198996" w14:textId="25BFF3B8" w:rsidR="00AE5E19" w:rsidRDefault="00AE5E19" w:rsidP="00454A36">
            <w:pPr>
              <w:spacing w:after="0" w:line="240" w:lineRule="auto"/>
              <w:ind w:firstLine="300"/>
              <w:jc w:val="center"/>
              <w:rPr>
                <w:rFonts w:ascii="Times New Roman" w:hAnsi="Times New Roman"/>
                <w:b/>
                <w:bCs/>
                <w:sz w:val="24"/>
                <w:szCs w:val="24"/>
                <w:lang w:eastAsia="lv-LV"/>
              </w:rPr>
            </w:pPr>
          </w:p>
          <w:p w14:paraId="7D270091" w14:textId="77777777" w:rsidR="00454A36" w:rsidRPr="0007455F" w:rsidRDefault="00454A36" w:rsidP="00454A36">
            <w:pPr>
              <w:spacing w:after="0" w:line="240" w:lineRule="auto"/>
              <w:ind w:firstLine="300"/>
              <w:jc w:val="center"/>
              <w:rPr>
                <w:rFonts w:ascii="Times New Roman" w:hAnsi="Times New Roman"/>
                <w:b/>
                <w:bCs/>
                <w:sz w:val="24"/>
                <w:szCs w:val="24"/>
                <w:lang w:eastAsia="lv-LV"/>
              </w:rPr>
            </w:pPr>
            <w:r w:rsidRPr="0007455F">
              <w:rPr>
                <w:rFonts w:ascii="Times New Roman" w:hAnsi="Times New Roman"/>
                <w:b/>
                <w:bCs/>
                <w:sz w:val="24"/>
                <w:szCs w:val="24"/>
                <w:lang w:eastAsia="lv-LV"/>
              </w:rPr>
              <w:t>IV. Tiesību akta projekta ietekme uz spēkā esošo tiesību normu sistēmu</w:t>
            </w:r>
          </w:p>
        </w:tc>
      </w:tr>
      <w:tr w:rsidR="00AE5E19" w:rsidRPr="0007455F" w14:paraId="5F237AB8" w14:textId="77777777" w:rsidTr="00AE5E19">
        <w:trPr>
          <w:tblCellSpacing w:w="15" w:type="dxa"/>
          <w:jc w:val="center"/>
        </w:trPr>
        <w:tc>
          <w:tcPr>
            <w:tcW w:w="203" w:type="pct"/>
            <w:tcBorders>
              <w:top w:val="single" w:sz="4" w:space="0" w:color="auto"/>
              <w:left w:val="single" w:sz="4" w:space="0" w:color="auto"/>
              <w:bottom w:val="single" w:sz="4" w:space="0" w:color="auto"/>
              <w:right w:val="single" w:sz="4" w:space="0" w:color="auto"/>
            </w:tcBorders>
            <w:hideMark/>
          </w:tcPr>
          <w:p w14:paraId="2AA2D71C" w14:textId="77777777" w:rsidR="00454A36" w:rsidRPr="0007455F" w:rsidRDefault="00454A36" w:rsidP="00454A3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1.</w:t>
            </w:r>
          </w:p>
        </w:tc>
        <w:tc>
          <w:tcPr>
            <w:tcW w:w="1549" w:type="pct"/>
            <w:tcBorders>
              <w:top w:val="single" w:sz="4" w:space="0" w:color="auto"/>
              <w:left w:val="single" w:sz="4" w:space="0" w:color="auto"/>
              <w:bottom w:val="single" w:sz="4" w:space="0" w:color="auto"/>
              <w:right w:val="single" w:sz="4" w:space="0" w:color="auto"/>
            </w:tcBorders>
            <w:hideMark/>
          </w:tcPr>
          <w:p w14:paraId="44230990" w14:textId="77777777" w:rsidR="00454A36" w:rsidRPr="0007455F" w:rsidRDefault="00454A36" w:rsidP="00454A3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Nepieciešamie saistītie tiesību aktu projekti</w:t>
            </w:r>
          </w:p>
        </w:tc>
        <w:tc>
          <w:tcPr>
            <w:tcW w:w="3183" w:type="pct"/>
            <w:tcBorders>
              <w:top w:val="single" w:sz="4" w:space="0" w:color="auto"/>
              <w:left w:val="single" w:sz="4" w:space="0" w:color="auto"/>
              <w:bottom w:val="single" w:sz="4" w:space="0" w:color="auto"/>
              <w:right w:val="single" w:sz="4" w:space="0" w:color="auto"/>
            </w:tcBorders>
            <w:hideMark/>
          </w:tcPr>
          <w:p w14:paraId="1C03F6E5" w14:textId="37302E1A" w:rsidR="00454A36" w:rsidRPr="0073499C" w:rsidRDefault="000C1C71" w:rsidP="00F25262">
            <w:pPr>
              <w:pStyle w:val="ListParagraph"/>
              <w:spacing w:after="0" w:line="240" w:lineRule="auto"/>
              <w:ind w:left="0"/>
              <w:jc w:val="both"/>
              <w:rPr>
                <w:rFonts w:ascii="Times New Roman" w:hAnsi="Times New Roman"/>
                <w:sz w:val="26"/>
                <w:szCs w:val="26"/>
                <w:lang w:val="lv-LV" w:eastAsia="lv-LV"/>
              </w:rPr>
            </w:pPr>
            <w:r>
              <w:rPr>
                <w:rFonts w:ascii="Times New Roman" w:hAnsi="Times New Roman"/>
                <w:bCs/>
                <w:sz w:val="26"/>
                <w:szCs w:val="26"/>
                <w:lang w:val="lv-LV" w:eastAsia="en-US"/>
              </w:rPr>
              <w:t xml:space="preserve">Grozījumi </w:t>
            </w:r>
            <w:r w:rsidR="00454A36" w:rsidRPr="0007455F">
              <w:rPr>
                <w:rFonts w:ascii="Times New Roman" w:hAnsi="Times New Roman"/>
                <w:bCs/>
                <w:sz w:val="26"/>
                <w:szCs w:val="26"/>
                <w:lang w:eastAsia="en-US"/>
              </w:rPr>
              <w:t>Ministru kabineta 2015.ga</w:t>
            </w:r>
            <w:r w:rsidR="00EF6D6A">
              <w:rPr>
                <w:rFonts w:ascii="Times New Roman" w:hAnsi="Times New Roman"/>
                <w:bCs/>
                <w:sz w:val="26"/>
                <w:szCs w:val="26"/>
                <w:lang w:eastAsia="en-US"/>
              </w:rPr>
              <w:t xml:space="preserve">da 14.jūlija noteikumos Nr.409 </w:t>
            </w:r>
            <w:r w:rsidR="00EF6D6A">
              <w:rPr>
                <w:rFonts w:ascii="Times New Roman" w:hAnsi="Times New Roman"/>
                <w:bCs/>
                <w:sz w:val="26"/>
                <w:szCs w:val="26"/>
                <w:lang w:val="lv-LV" w:eastAsia="en-US"/>
              </w:rPr>
              <w:t>„</w:t>
            </w:r>
            <w:r w:rsidR="00454A36" w:rsidRPr="0007455F">
              <w:rPr>
                <w:rFonts w:ascii="Times New Roman" w:hAnsi="Times New Roman"/>
                <w:bCs/>
                <w:sz w:val="26"/>
                <w:szCs w:val="26"/>
                <w:lang w:eastAsia="en-US"/>
              </w:rPr>
              <w:t>Akadēmiskās informācijas centra maksas pakalpojumu cenrādis”</w:t>
            </w:r>
            <w:r w:rsidR="0073499C">
              <w:rPr>
                <w:rFonts w:ascii="Times New Roman" w:hAnsi="Times New Roman"/>
                <w:bCs/>
                <w:sz w:val="26"/>
                <w:szCs w:val="26"/>
                <w:lang w:val="lv-LV" w:eastAsia="en-US"/>
              </w:rPr>
              <w:t>, izsludināti Valsts sekretāru sanāksmē 2016.gada</w:t>
            </w:r>
            <w:r w:rsidR="00F25262">
              <w:rPr>
                <w:rFonts w:ascii="Times New Roman" w:hAnsi="Times New Roman"/>
                <w:bCs/>
                <w:sz w:val="26"/>
                <w:szCs w:val="26"/>
                <w:lang w:val="lv-LV" w:eastAsia="en-US"/>
              </w:rPr>
              <w:t xml:space="preserve"> 14.janvārī</w:t>
            </w:r>
            <w:r w:rsidR="0073499C">
              <w:rPr>
                <w:rFonts w:ascii="Times New Roman" w:hAnsi="Times New Roman"/>
                <w:bCs/>
                <w:sz w:val="26"/>
                <w:szCs w:val="26"/>
                <w:lang w:val="lv-LV" w:eastAsia="en-US"/>
              </w:rPr>
              <w:t xml:space="preserve"> </w:t>
            </w:r>
            <w:r w:rsidR="00F25262" w:rsidRPr="0068307F">
              <w:rPr>
                <w:rFonts w:ascii="Times New Roman" w:hAnsi="Times New Roman"/>
                <w:sz w:val="26"/>
                <w:szCs w:val="26"/>
              </w:rPr>
              <w:t>(prot.Nr.</w:t>
            </w:r>
            <w:r w:rsidR="00F25262">
              <w:rPr>
                <w:rFonts w:ascii="Times New Roman" w:hAnsi="Times New Roman"/>
                <w:sz w:val="26"/>
                <w:szCs w:val="26"/>
                <w:lang w:val="lv-LV"/>
              </w:rPr>
              <w:t>2</w:t>
            </w:r>
            <w:r w:rsidR="00F25262" w:rsidRPr="0068307F">
              <w:rPr>
                <w:rFonts w:ascii="Times New Roman" w:hAnsi="Times New Roman"/>
                <w:sz w:val="26"/>
                <w:szCs w:val="26"/>
              </w:rPr>
              <w:t xml:space="preserve">, </w:t>
            </w:r>
            <w:r w:rsidR="00F25262">
              <w:rPr>
                <w:rFonts w:ascii="Times New Roman" w:hAnsi="Times New Roman"/>
                <w:sz w:val="26"/>
                <w:szCs w:val="26"/>
                <w:lang w:val="lv-LV"/>
              </w:rPr>
              <w:t>7</w:t>
            </w:r>
            <w:r w:rsidR="00F25262" w:rsidRPr="0068307F">
              <w:rPr>
                <w:rFonts w:ascii="Times New Roman" w:hAnsi="Times New Roman"/>
                <w:sz w:val="26"/>
                <w:szCs w:val="26"/>
              </w:rPr>
              <w:t>.§)</w:t>
            </w:r>
          </w:p>
        </w:tc>
      </w:tr>
      <w:tr w:rsidR="00AE5E19" w:rsidRPr="0007455F" w14:paraId="0B7E767F" w14:textId="77777777" w:rsidTr="00AE5E19">
        <w:trPr>
          <w:tblCellSpacing w:w="15" w:type="dxa"/>
          <w:jc w:val="center"/>
        </w:trPr>
        <w:tc>
          <w:tcPr>
            <w:tcW w:w="203" w:type="pct"/>
            <w:tcBorders>
              <w:top w:val="single" w:sz="4" w:space="0" w:color="auto"/>
              <w:left w:val="single" w:sz="4" w:space="0" w:color="auto"/>
              <w:bottom w:val="single" w:sz="4" w:space="0" w:color="auto"/>
              <w:right w:val="single" w:sz="4" w:space="0" w:color="auto"/>
            </w:tcBorders>
            <w:hideMark/>
          </w:tcPr>
          <w:p w14:paraId="6F27C247" w14:textId="77777777" w:rsidR="00454A36" w:rsidRPr="0007455F" w:rsidRDefault="00454A36" w:rsidP="00454A3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2.</w:t>
            </w:r>
          </w:p>
        </w:tc>
        <w:tc>
          <w:tcPr>
            <w:tcW w:w="1549" w:type="pct"/>
            <w:tcBorders>
              <w:top w:val="single" w:sz="4" w:space="0" w:color="auto"/>
              <w:left w:val="single" w:sz="4" w:space="0" w:color="auto"/>
              <w:bottom w:val="single" w:sz="4" w:space="0" w:color="auto"/>
              <w:right w:val="single" w:sz="4" w:space="0" w:color="auto"/>
            </w:tcBorders>
            <w:hideMark/>
          </w:tcPr>
          <w:p w14:paraId="63550B09" w14:textId="77777777" w:rsidR="00454A36" w:rsidRPr="0007455F" w:rsidRDefault="00454A36" w:rsidP="00454A3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Atbildīgā institūcija</w:t>
            </w:r>
          </w:p>
        </w:tc>
        <w:tc>
          <w:tcPr>
            <w:tcW w:w="3183" w:type="pct"/>
            <w:tcBorders>
              <w:top w:val="single" w:sz="4" w:space="0" w:color="auto"/>
              <w:left w:val="single" w:sz="4" w:space="0" w:color="auto"/>
              <w:bottom w:val="single" w:sz="4" w:space="0" w:color="auto"/>
              <w:right w:val="single" w:sz="4" w:space="0" w:color="auto"/>
            </w:tcBorders>
            <w:hideMark/>
          </w:tcPr>
          <w:p w14:paraId="5095522D" w14:textId="7CCF6464" w:rsidR="00454A36" w:rsidRPr="0007455F" w:rsidRDefault="00390C9B" w:rsidP="00390C9B">
            <w:pPr>
              <w:spacing w:after="0" w:line="240" w:lineRule="auto"/>
              <w:jc w:val="both"/>
              <w:rPr>
                <w:rFonts w:ascii="Times New Roman" w:hAnsi="Times New Roman"/>
                <w:sz w:val="26"/>
                <w:szCs w:val="26"/>
                <w:lang w:eastAsia="lv-LV"/>
              </w:rPr>
            </w:pPr>
            <w:r>
              <w:rPr>
                <w:rFonts w:ascii="Times New Roman" w:hAnsi="Times New Roman"/>
                <w:sz w:val="26"/>
                <w:szCs w:val="26"/>
                <w:lang w:eastAsia="lv-LV"/>
              </w:rPr>
              <w:t>M</w:t>
            </w:r>
            <w:r w:rsidR="00454A36" w:rsidRPr="0007455F">
              <w:rPr>
                <w:rFonts w:ascii="Times New Roman" w:hAnsi="Times New Roman"/>
                <w:sz w:val="26"/>
                <w:szCs w:val="26"/>
                <w:lang w:eastAsia="lv-LV"/>
              </w:rPr>
              <w:t>inistrija</w:t>
            </w:r>
          </w:p>
        </w:tc>
      </w:tr>
      <w:tr w:rsidR="00AE5E19" w:rsidRPr="0007455F" w14:paraId="3E47C4E2" w14:textId="77777777" w:rsidTr="00AE5E19">
        <w:trPr>
          <w:tblCellSpacing w:w="15" w:type="dxa"/>
          <w:jc w:val="center"/>
        </w:trPr>
        <w:tc>
          <w:tcPr>
            <w:tcW w:w="203" w:type="pct"/>
            <w:tcBorders>
              <w:top w:val="single" w:sz="4" w:space="0" w:color="auto"/>
              <w:left w:val="single" w:sz="4" w:space="0" w:color="auto"/>
              <w:bottom w:val="single" w:sz="4" w:space="0" w:color="auto"/>
              <w:right w:val="single" w:sz="4" w:space="0" w:color="auto"/>
            </w:tcBorders>
            <w:hideMark/>
          </w:tcPr>
          <w:p w14:paraId="0D949A11" w14:textId="77777777" w:rsidR="00454A36" w:rsidRPr="0007455F" w:rsidRDefault="00454A36" w:rsidP="00454A3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3.</w:t>
            </w:r>
          </w:p>
        </w:tc>
        <w:tc>
          <w:tcPr>
            <w:tcW w:w="1549" w:type="pct"/>
            <w:tcBorders>
              <w:top w:val="single" w:sz="4" w:space="0" w:color="auto"/>
              <w:left w:val="single" w:sz="4" w:space="0" w:color="auto"/>
              <w:bottom w:val="single" w:sz="4" w:space="0" w:color="auto"/>
              <w:right w:val="single" w:sz="4" w:space="0" w:color="auto"/>
            </w:tcBorders>
            <w:hideMark/>
          </w:tcPr>
          <w:p w14:paraId="18E72CEF" w14:textId="77777777" w:rsidR="00454A36" w:rsidRPr="0007455F" w:rsidRDefault="00454A36" w:rsidP="00454A36">
            <w:pPr>
              <w:spacing w:after="0" w:line="240" w:lineRule="auto"/>
              <w:jc w:val="both"/>
              <w:rPr>
                <w:rFonts w:ascii="Times New Roman" w:hAnsi="Times New Roman"/>
                <w:sz w:val="26"/>
                <w:szCs w:val="26"/>
                <w:lang w:eastAsia="lv-LV"/>
              </w:rPr>
            </w:pPr>
            <w:r w:rsidRPr="0007455F">
              <w:rPr>
                <w:rFonts w:ascii="Times New Roman" w:hAnsi="Times New Roman"/>
                <w:sz w:val="26"/>
                <w:szCs w:val="26"/>
                <w:lang w:eastAsia="lv-LV"/>
              </w:rPr>
              <w:t>Cita informācija</w:t>
            </w:r>
          </w:p>
        </w:tc>
        <w:tc>
          <w:tcPr>
            <w:tcW w:w="3183" w:type="pct"/>
            <w:tcBorders>
              <w:top w:val="single" w:sz="4" w:space="0" w:color="auto"/>
              <w:left w:val="single" w:sz="4" w:space="0" w:color="auto"/>
              <w:bottom w:val="single" w:sz="4" w:space="0" w:color="auto"/>
              <w:right w:val="single" w:sz="4" w:space="0" w:color="auto"/>
            </w:tcBorders>
            <w:hideMark/>
          </w:tcPr>
          <w:p w14:paraId="77B38D7C" w14:textId="77777777" w:rsidR="00454A36" w:rsidRPr="0007455F" w:rsidRDefault="00454A36" w:rsidP="00454A36">
            <w:pPr>
              <w:spacing w:after="0" w:line="240" w:lineRule="auto"/>
              <w:jc w:val="both"/>
              <w:rPr>
                <w:rFonts w:ascii="Times New Roman" w:hAnsi="Times New Roman"/>
                <w:i/>
                <w:sz w:val="26"/>
                <w:szCs w:val="26"/>
                <w:lang w:eastAsia="lv-LV"/>
              </w:rPr>
            </w:pPr>
            <w:r w:rsidRPr="0007455F">
              <w:rPr>
                <w:rFonts w:ascii="Times New Roman" w:hAnsi="Times New Roman"/>
                <w:sz w:val="26"/>
                <w:szCs w:val="26"/>
                <w:lang w:eastAsia="lv-LV"/>
              </w:rPr>
              <w:t>Nav</w:t>
            </w:r>
          </w:p>
        </w:tc>
      </w:tr>
    </w:tbl>
    <w:p w14:paraId="58C79EE1" w14:textId="77777777" w:rsidR="007B4613" w:rsidRPr="00823CB3" w:rsidRDefault="007B4613" w:rsidP="004A505F">
      <w:pPr>
        <w:spacing w:after="0" w:line="360" w:lineRule="auto"/>
        <w:rPr>
          <w:rFonts w:ascii="Times New Roman" w:hAnsi="Times New Roman"/>
          <w:i/>
          <w:sz w:val="26"/>
          <w:szCs w:val="26"/>
        </w:rPr>
      </w:pPr>
    </w:p>
    <w:p w14:paraId="54A7D678" w14:textId="77777777" w:rsidR="007B4613" w:rsidRDefault="007B4613" w:rsidP="007B4613">
      <w:pPr>
        <w:spacing w:after="0" w:line="360" w:lineRule="auto"/>
        <w:jc w:val="center"/>
        <w:rPr>
          <w:rFonts w:ascii="Times New Roman" w:hAnsi="Times New Roman"/>
          <w:i/>
          <w:sz w:val="26"/>
          <w:szCs w:val="26"/>
        </w:rPr>
      </w:pPr>
      <w:r>
        <w:rPr>
          <w:rFonts w:ascii="Times New Roman" w:hAnsi="Times New Roman"/>
          <w:b/>
          <w:bCs/>
          <w:sz w:val="24"/>
          <w:szCs w:val="24"/>
          <w:lang w:eastAsia="lv-LV"/>
        </w:rPr>
        <w:t>V. Tiesību akta projekta atbilstība Latvijas Republikas starptautiskajām saistībām</w:t>
      </w:r>
    </w:p>
    <w:tbl>
      <w:tblPr>
        <w:tblW w:w="515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7"/>
        <w:gridCol w:w="6421"/>
      </w:tblGrid>
      <w:tr w:rsidR="007B4613" w14:paraId="163C8EE5" w14:textId="77777777" w:rsidTr="0005162F">
        <w:trPr>
          <w:tblCellSpacing w:w="15" w:type="dxa"/>
        </w:trPr>
        <w:tc>
          <w:tcPr>
            <w:tcW w:w="239" w:type="pct"/>
            <w:tcBorders>
              <w:top w:val="single" w:sz="4" w:space="0" w:color="auto"/>
              <w:left w:val="single" w:sz="4" w:space="0" w:color="auto"/>
              <w:bottom w:val="single" w:sz="4" w:space="0" w:color="auto"/>
              <w:right w:val="single" w:sz="4" w:space="0" w:color="auto"/>
            </w:tcBorders>
            <w:hideMark/>
          </w:tcPr>
          <w:p w14:paraId="45DBA08C" w14:textId="77777777" w:rsidR="007B4613" w:rsidRPr="00907440" w:rsidRDefault="007B4613" w:rsidP="0005162F">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1.</w:t>
            </w:r>
          </w:p>
        </w:tc>
        <w:tc>
          <w:tcPr>
            <w:tcW w:w="1389" w:type="pct"/>
            <w:tcBorders>
              <w:top w:val="single" w:sz="4" w:space="0" w:color="auto"/>
              <w:left w:val="single" w:sz="4" w:space="0" w:color="auto"/>
              <w:bottom w:val="single" w:sz="4" w:space="0" w:color="auto"/>
              <w:right w:val="single" w:sz="4" w:space="0" w:color="auto"/>
            </w:tcBorders>
            <w:hideMark/>
          </w:tcPr>
          <w:p w14:paraId="15AAE45E" w14:textId="77777777" w:rsidR="007B4613" w:rsidRPr="00907440" w:rsidRDefault="007B4613" w:rsidP="0005162F">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Saistības pret Eiropas Savienību</w:t>
            </w:r>
          </w:p>
        </w:tc>
        <w:tc>
          <w:tcPr>
            <w:tcW w:w="3309" w:type="pct"/>
            <w:tcBorders>
              <w:top w:val="single" w:sz="4" w:space="0" w:color="auto"/>
              <w:left w:val="single" w:sz="4" w:space="0" w:color="auto"/>
              <w:bottom w:val="single" w:sz="4" w:space="0" w:color="auto"/>
              <w:right w:val="single" w:sz="4" w:space="0" w:color="auto"/>
            </w:tcBorders>
            <w:hideMark/>
          </w:tcPr>
          <w:p w14:paraId="4E55DD3B" w14:textId="761BB4A8" w:rsidR="007329CE" w:rsidRDefault="007329CE" w:rsidP="00805536">
            <w:pPr>
              <w:spacing w:after="0" w:line="240" w:lineRule="auto"/>
              <w:jc w:val="both"/>
              <w:rPr>
                <w:rFonts w:ascii="Times New Roman" w:hAnsi="Times New Roman"/>
                <w:sz w:val="26"/>
                <w:szCs w:val="26"/>
              </w:rPr>
            </w:pPr>
            <w:r>
              <w:rPr>
                <w:rFonts w:ascii="Times New Roman" w:hAnsi="Times New Roman"/>
                <w:sz w:val="26"/>
                <w:szCs w:val="26"/>
              </w:rPr>
              <w:t xml:space="preserve">Ar projektu tiek pārņemti šādi Eiropas Savienības tiesību akti: </w:t>
            </w:r>
          </w:p>
          <w:p w14:paraId="67A50A31" w14:textId="77777777" w:rsidR="007329CE" w:rsidRDefault="007329CE" w:rsidP="00805536">
            <w:pPr>
              <w:spacing w:after="0" w:line="240" w:lineRule="auto"/>
              <w:jc w:val="both"/>
              <w:rPr>
                <w:rFonts w:ascii="Times New Roman" w:hAnsi="Times New Roman"/>
                <w:bCs/>
                <w:sz w:val="26"/>
                <w:szCs w:val="26"/>
              </w:rPr>
            </w:pPr>
            <w:r>
              <w:rPr>
                <w:rFonts w:ascii="Times New Roman" w:hAnsi="Times New Roman"/>
                <w:sz w:val="26"/>
                <w:szCs w:val="26"/>
              </w:rPr>
              <w:t xml:space="preserve">1. </w:t>
            </w:r>
            <w:r w:rsidRPr="005949A8">
              <w:rPr>
                <w:rFonts w:ascii="Times New Roman" w:hAnsi="Times New Roman"/>
                <w:sz w:val="26"/>
                <w:szCs w:val="26"/>
              </w:rPr>
              <w:t xml:space="preserve">Eiropas Parlamenta un Padomes </w:t>
            </w:r>
            <w:r w:rsidRPr="005949A8">
              <w:rPr>
                <w:rFonts w:ascii="Times New Roman" w:hAnsi="Times New Roman"/>
                <w:bCs/>
                <w:sz w:val="26"/>
                <w:szCs w:val="26"/>
              </w:rPr>
              <w:t>2013.gada 20.novembra</w:t>
            </w:r>
            <w:r w:rsidRPr="005949A8">
              <w:rPr>
                <w:rFonts w:ascii="Times New Roman" w:hAnsi="Times New Roman"/>
                <w:sz w:val="26"/>
                <w:szCs w:val="26"/>
              </w:rPr>
              <w:t xml:space="preserve">      Direktīv</w:t>
            </w:r>
            <w:r>
              <w:rPr>
                <w:rFonts w:ascii="Times New Roman" w:hAnsi="Times New Roman"/>
                <w:sz w:val="26"/>
                <w:szCs w:val="26"/>
              </w:rPr>
              <w:t>a</w:t>
            </w:r>
            <w:r w:rsidRPr="005949A8">
              <w:rPr>
                <w:rFonts w:ascii="Times New Roman" w:hAnsi="Times New Roman"/>
                <w:sz w:val="26"/>
                <w:szCs w:val="26"/>
              </w:rPr>
              <w:t xml:space="preserve"> Nr.</w:t>
            </w:r>
            <w:r w:rsidRPr="005949A8">
              <w:rPr>
                <w:rFonts w:ascii="Times New Roman" w:hAnsi="Times New Roman"/>
                <w:bCs/>
                <w:sz w:val="26"/>
                <w:szCs w:val="26"/>
              </w:rPr>
              <w:t>2013/55/ES, ar ko groza Direktīvu 2005/36/EK par profesionālo kvalifikāciju atzīšanu un Regulu (ES) Nr.1024/2012 par administratīvo sadarbību, izmantojot Iekšējā tirgus informācijas sistēmu (IMI regulu) (dokuments attiecas uz EEZ)</w:t>
            </w:r>
            <w:r>
              <w:rPr>
                <w:rFonts w:ascii="Times New Roman" w:hAnsi="Times New Roman"/>
                <w:bCs/>
                <w:sz w:val="26"/>
                <w:szCs w:val="26"/>
              </w:rPr>
              <w:t>;</w:t>
            </w:r>
          </w:p>
          <w:p w14:paraId="1FEE75E3" w14:textId="4B3E01D5" w:rsidR="007329CE" w:rsidRDefault="007329CE" w:rsidP="00805536">
            <w:pPr>
              <w:spacing w:after="0" w:line="240" w:lineRule="auto"/>
              <w:jc w:val="both"/>
              <w:rPr>
                <w:rFonts w:ascii="Times New Roman" w:hAnsi="Times New Roman"/>
                <w:sz w:val="26"/>
                <w:szCs w:val="26"/>
              </w:rPr>
            </w:pPr>
            <w:r>
              <w:rPr>
                <w:rFonts w:ascii="Times New Roman" w:hAnsi="Times New Roman"/>
                <w:bCs/>
                <w:sz w:val="26"/>
                <w:szCs w:val="26"/>
              </w:rPr>
              <w:t>2.</w:t>
            </w:r>
            <w:r w:rsidRPr="005949A8">
              <w:rPr>
                <w:rFonts w:ascii="Times New Roman" w:hAnsi="Times New Roman"/>
                <w:bCs/>
                <w:sz w:val="26"/>
                <w:szCs w:val="26"/>
              </w:rPr>
              <w:t xml:space="preserve"> </w:t>
            </w:r>
            <w:r>
              <w:rPr>
                <w:rFonts w:ascii="Times New Roman" w:hAnsi="Times New Roman"/>
                <w:bCs/>
                <w:sz w:val="26"/>
                <w:szCs w:val="26"/>
              </w:rPr>
              <w:t xml:space="preserve">Eiropas </w:t>
            </w:r>
            <w:r w:rsidRPr="005949A8">
              <w:rPr>
                <w:rFonts w:ascii="Times New Roman" w:hAnsi="Times New Roman"/>
                <w:bCs/>
                <w:sz w:val="26"/>
                <w:szCs w:val="26"/>
              </w:rPr>
              <w:t xml:space="preserve">Komisijas </w:t>
            </w:r>
            <w:r>
              <w:rPr>
                <w:rFonts w:ascii="Times New Roman" w:hAnsi="Times New Roman"/>
                <w:bCs/>
                <w:sz w:val="26"/>
                <w:szCs w:val="26"/>
              </w:rPr>
              <w:t>2015. gada 24. jūnija</w:t>
            </w:r>
            <w:r w:rsidRPr="005949A8">
              <w:rPr>
                <w:rFonts w:ascii="Times New Roman" w:hAnsi="Times New Roman"/>
                <w:bCs/>
                <w:sz w:val="26"/>
                <w:szCs w:val="26"/>
              </w:rPr>
              <w:t xml:space="preserve"> Īstenošanas regul</w:t>
            </w:r>
            <w:r>
              <w:rPr>
                <w:rFonts w:ascii="Times New Roman" w:hAnsi="Times New Roman"/>
                <w:bCs/>
                <w:sz w:val="26"/>
                <w:szCs w:val="26"/>
              </w:rPr>
              <w:t>a Nr.2015/983</w:t>
            </w:r>
            <w:r w:rsidRPr="005949A8">
              <w:rPr>
                <w:rFonts w:ascii="Times New Roman" w:hAnsi="Times New Roman"/>
                <w:bCs/>
                <w:sz w:val="26"/>
                <w:szCs w:val="26"/>
              </w:rPr>
              <w:t xml:space="preserve"> </w:t>
            </w:r>
            <w:r>
              <w:rPr>
                <w:rFonts w:ascii="Times New Roman" w:hAnsi="Times New Roman"/>
                <w:bCs/>
                <w:sz w:val="26"/>
                <w:szCs w:val="26"/>
              </w:rPr>
              <w:t>p</w:t>
            </w:r>
            <w:r w:rsidRPr="005949A8">
              <w:rPr>
                <w:rFonts w:ascii="Times New Roman" w:hAnsi="Times New Roman"/>
                <w:bCs/>
                <w:sz w:val="26"/>
                <w:szCs w:val="26"/>
              </w:rPr>
              <w:t>ar Eiropas profesionālās kartes izdošanu un brīdināšanas mehānisma piemērošanu saskaņā ar Eiropas Parlamenta un Padomes Direkt</w:t>
            </w:r>
            <w:r>
              <w:rPr>
                <w:rFonts w:ascii="Times New Roman" w:hAnsi="Times New Roman"/>
                <w:bCs/>
                <w:sz w:val="26"/>
                <w:szCs w:val="26"/>
              </w:rPr>
              <w:t>īvu 2005/36/EK</w:t>
            </w:r>
            <w:r w:rsidRPr="005949A8">
              <w:rPr>
                <w:rFonts w:ascii="Times New Roman" w:hAnsi="Times New Roman"/>
                <w:bCs/>
                <w:sz w:val="26"/>
                <w:szCs w:val="26"/>
              </w:rPr>
              <w:t>.</w:t>
            </w:r>
          </w:p>
          <w:p w14:paraId="24D91316" w14:textId="77777777" w:rsidR="007329CE" w:rsidRDefault="007329CE" w:rsidP="00805536">
            <w:pPr>
              <w:spacing w:after="0" w:line="240" w:lineRule="auto"/>
              <w:jc w:val="both"/>
              <w:rPr>
                <w:rFonts w:ascii="Times New Roman" w:hAnsi="Times New Roman"/>
                <w:sz w:val="26"/>
                <w:szCs w:val="26"/>
              </w:rPr>
            </w:pPr>
          </w:p>
          <w:p w14:paraId="384DA841" w14:textId="7A5C4A02" w:rsidR="007329CE" w:rsidRPr="00907440" w:rsidRDefault="007329CE" w:rsidP="007329CE">
            <w:pPr>
              <w:spacing w:after="0" w:line="240" w:lineRule="auto"/>
              <w:jc w:val="both"/>
              <w:rPr>
                <w:rFonts w:ascii="Times New Roman" w:hAnsi="Times New Roman"/>
                <w:sz w:val="26"/>
                <w:szCs w:val="26"/>
              </w:rPr>
            </w:pPr>
            <w:r>
              <w:rPr>
                <w:rFonts w:ascii="Times New Roman" w:eastAsia="Times New Roman" w:hAnsi="Times New Roman"/>
                <w:bCs/>
                <w:sz w:val="26"/>
                <w:szCs w:val="26"/>
                <w:lang w:eastAsia="lv-LV"/>
              </w:rPr>
              <w:t xml:space="preserve">Normatīvajiem aktiem </w:t>
            </w:r>
            <w:r w:rsidRPr="009E0212">
              <w:rPr>
                <w:rFonts w:ascii="Times New Roman" w:hAnsi="Times New Roman"/>
                <w:sz w:val="26"/>
                <w:szCs w:val="26"/>
              </w:rPr>
              <w:t>Eiropas Savienības un Eiropas Ekonomikas zonas</w:t>
            </w:r>
            <w:r>
              <w:rPr>
                <w:rFonts w:ascii="Times New Roman" w:hAnsi="Times New Roman"/>
                <w:sz w:val="26"/>
                <w:szCs w:val="26"/>
              </w:rPr>
              <w:t xml:space="preserve"> valstu minētajā</w:t>
            </w:r>
            <w:r w:rsidRPr="009403B2">
              <w:rPr>
                <w:rFonts w:ascii="Times New Roman" w:eastAsia="Times New Roman" w:hAnsi="Times New Roman"/>
                <w:bCs/>
                <w:sz w:val="26"/>
                <w:szCs w:val="26"/>
                <w:lang w:eastAsia="lv-LV"/>
              </w:rPr>
              <w:t xml:space="preserve"> direktīv</w:t>
            </w:r>
            <w:r>
              <w:rPr>
                <w:rFonts w:ascii="Times New Roman" w:eastAsia="Times New Roman" w:hAnsi="Times New Roman"/>
                <w:bCs/>
                <w:sz w:val="26"/>
                <w:szCs w:val="26"/>
                <w:lang w:eastAsia="lv-LV"/>
              </w:rPr>
              <w:t>ā</w:t>
            </w:r>
            <w:r w:rsidRPr="009403B2">
              <w:rPr>
                <w:rFonts w:ascii="Times New Roman" w:eastAsia="Times New Roman" w:hAnsi="Times New Roman"/>
                <w:bCs/>
                <w:sz w:val="26"/>
                <w:szCs w:val="26"/>
                <w:lang w:eastAsia="lv-LV"/>
              </w:rPr>
              <w:t xml:space="preserve"> un regul</w:t>
            </w:r>
            <w:r>
              <w:rPr>
                <w:rFonts w:ascii="Times New Roman" w:eastAsia="Times New Roman" w:hAnsi="Times New Roman"/>
                <w:bCs/>
                <w:sz w:val="26"/>
                <w:szCs w:val="26"/>
                <w:lang w:eastAsia="lv-LV"/>
              </w:rPr>
              <w:t>ā noteikto prasību izpildīšanai</w:t>
            </w:r>
            <w:r w:rsidRPr="009403B2">
              <w:rPr>
                <w:rFonts w:ascii="Times New Roman" w:eastAsia="Times New Roman" w:hAnsi="Times New Roman"/>
                <w:bCs/>
                <w:sz w:val="26"/>
                <w:szCs w:val="26"/>
                <w:lang w:eastAsia="lv-LV"/>
              </w:rPr>
              <w:t xml:space="preserve"> </w:t>
            </w:r>
            <w:r>
              <w:rPr>
                <w:rFonts w:ascii="Times New Roman" w:eastAsia="Times New Roman" w:hAnsi="Times New Roman"/>
                <w:bCs/>
                <w:sz w:val="26"/>
                <w:szCs w:val="26"/>
                <w:lang w:eastAsia="lv-LV"/>
              </w:rPr>
              <w:t>ir jā</w:t>
            </w:r>
            <w:r w:rsidRPr="009403B2">
              <w:rPr>
                <w:rFonts w:ascii="Times New Roman" w:eastAsia="Times New Roman" w:hAnsi="Times New Roman"/>
                <w:bCs/>
                <w:sz w:val="26"/>
                <w:szCs w:val="26"/>
                <w:lang w:eastAsia="lv-LV"/>
              </w:rPr>
              <w:t>stā</w:t>
            </w:r>
            <w:r>
              <w:rPr>
                <w:rFonts w:ascii="Times New Roman" w:eastAsia="Times New Roman" w:hAnsi="Times New Roman"/>
                <w:bCs/>
                <w:sz w:val="26"/>
                <w:szCs w:val="26"/>
                <w:lang w:eastAsia="lv-LV"/>
              </w:rPr>
              <w:t>ja</w:t>
            </w:r>
            <w:r w:rsidRPr="009403B2">
              <w:rPr>
                <w:rFonts w:ascii="Times New Roman" w:eastAsia="Times New Roman" w:hAnsi="Times New Roman"/>
                <w:bCs/>
                <w:sz w:val="26"/>
                <w:szCs w:val="26"/>
                <w:lang w:eastAsia="lv-LV"/>
              </w:rPr>
              <w:t>s spēkā</w:t>
            </w:r>
            <w:r>
              <w:rPr>
                <w:rFonts w:ascii="Times New Roman" w:eastAsia="Times New Roman" w:hAnsi="Times New Roman"/>
                <w:bCs/>
                <w:sz w:val="26"/>
                <w:szCs w:val="26"/>
                <w:lang w:eastAsia="lv-LV"/>
              </w:rPr>
              <w:t xml:space="preserve"> līdz</w:t>
            </w:r>
            <w:r w:rsidRPr="009403B2">
              <w:rPr>
                <w:rFonts w:ascii="Times New Roman" w:eastAsia="Times New Roman" w:hAnsi="Times New Roman"/>
                <w:bCs/>
                <w:sz w:val="26"/>
                <w:szCs w:val="26"/>
                <w:lang w:eastAsia="lv-LV"/>
              </w:rPr>
              <w:t xml:space="preserve"> 2016.gada 18.janvār</w:t>
            </w:r>
            <w:r>
              <w:rPr>
                <w:rFonts w:ascii="Times New Roman" w:eastAsia="Times New Roman" w:hAnsi="Times New Roman"/>
                <w:bCs/>
                <w:sz w:val="26"/>
                <w:szCs w:val="26"/>
                <w:lang w:eastAsia="lv-LV"/>
              </w:rPr>
              <w:t>im</w:t>
            </w:r>
            <w:r w:rsidR="00825A26">
              <w:rPr>
                <w:rFonts w:ascii="Times New Roman" w:eastAsia="Times New Roman" w:hAnsi="Times New Roman"/>
                <w:bCs/>
                <w:sz w:val="26"/>
                <w:szCs w:val="26"/>
                <w:lang w:eastAsia="lv-LV"/>
              </w:rPr>
              <w:t>, tādēļ projekta pieņemšanas termiņš ir neatliekams</w:t>
            </w:r>
            <w:r w:rsidRPr="009403B2">
              <w:rPr>
                <w:rFonts w:ascii="Times New Roman" w:eastAsia="Times New Roman" w:hAnsi="Times New Roman"/>
                <w:bCs/>
                <w:sz w:val="26"/>
                <w:szCs w:val="26"/>
                <w:lang w:eastAsia="lv-LV"/>
              </w:rPr>
              <w:t>.</w:t>
            </w:r>
          </w:p>
        </w:tc>
      </w:tr>
      <w:tr w:rsidR="007B4613" w14:paraId="7BA03BD9" w14:textId="77777777" w:rsidTr="0005162F">
        <w:trPr>
          <w:tblCellSpacing w:w="15" w:type="dxa"/>
        </w:trPr>
        <w:tc>
          <w:tcPr>
            <w:tcW w:w="239" w:type="pct"/>
            <w:tcBorders>
              <w:top w:val="single" w:sz="4" w:space="0" w:color="auto"/>
              <w:left w:val="single" w:sz="4" w:space="0" w:color="auto"/>
              <w:bottom w:val="single" w:sz="4" w:space="0" w:color="auto"/>
              <w:right w:val="single" w:sz="4" w:space="0" w:color="auto"/>
            </w:tcBorders>
            <w:hideMark/>
          </w:tcPr>
          <w:p w14:paraId="2C42B365" w14:textId="4184FA61" w:rsidR="007B4613" w:rsidRPr="00907440" w:rsidRDefault="007B4613" w:rsidP="0005162F">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2.</w:t>
            </w:r>
          </w:p>
        </w:tc>
        <w:tc>
          <w:tcPr>
            <w:tcW w:w="1389" w:type="pct"/>
            <w:tcBorders>
              <w:top w:val="single" w:sz="4" w:space="0" w:color="auto"/>
              <w:left w:val="single" w:sz="4" w:space="0" w:color="auto"/>
              <w:bottom w:val="single" w:sz="4" w:space="0" w:color="auto"/>
              <w:right w:val="single" w:sz="4" w:space="0" w:color="auto"/>
            </w:tcBorders>
            <w:hideMark/>
          </w:tcPr>
          <w:p w14:paraId="15E8F91E" w14:textId="77777777" w:rsidR="007B4613" w:rsidRPr="00907440" w:rsidRDefault="007B4613" w:rsidP="0005162F">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Citas starptautiskās saistības</w:t>
            </w:r>
          </w:p>
        </w:tc>
        <w:tc>
          <w:tcPr>
            <w:tcW w:w="3309" w:type="pct"/>
            <w:tcBorders>
              <w:top w:val="single" w:sz="4" w:space="0" w:color="auto"/>
              <w:left w:val="single" w:sz="4" w:space="0" w:color="auto"/>
              <w:bottom w:val="single" w:sz="4" w:space="0" w:color="auto"/>
              <w:right w:val="single" w:sz="4" w:space="0" w:color="auto"/>
            </w:tcBorders>
            <w:hideMark/>
          </w:tcPr>
          <w:p w14:paraId="25A9BC0E" w14:textId="77777777" w:rsidR="007B4613" w:rsidRPr="00907440" w:rsidRDefault="007B4613" w:rsidP="0005162F">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Nav</w:t>
            </w:r>
          </w:p>
        </w:tc>
      </w:tr>
      <w:tr w:rsidR="007B4613" w14:paraId="721CF4F2" w14:textId="77777777" w:rsidTr="0005162F">
        <w:trPr>
          <w:tblCellSpacing w:w="15" w:type="dxa"/>
        </w:trPr>
        <w:tc>
          <w:tcPr>
            <w:tcW w:w="239" w:type="pct"/>
            <w:tcBorders>
              <w:top w:val="single" w:sz="4" w:space="0" w:color="auto"/>
              <w:left w:val="single" w:sz="4" w:space="0" w:color="auto"/>
              <w:bottom w:val="single" w:sz="4" w:space="0" w:color="auto"/>
              <w:right w:val="single" w:sz="4" w:space="0" w:color="auto"/>
            </w:tcBorders>
            <w:hideMark/>
          </w:tcPr>
          <w:p w14:paraId="4D250112" w14:textId="77777777" w:rsidR="007B4613" w:rsidRPr="00907440" w:rsidRDefault="007B4613" w:rsidP="0005162F">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3.</w:t>
            </w:r>
          </w:p>
        </w:tc>
        <w:tc>
          <w:tcPr>
            <w:tcW w:w="1389" w:type="pct"/>
            <w:tcBorders>
              <w:top w:val="single" w:sz="4" w:space="0" w:color="auto"/>
              <w:left w:val="single" w:sz="4" w:space="0" w:color="auto"/>
              <w:bottom w:val="single" w:sz="4" w:space="0" w:color="auto"/>
              <w:right w:val="single" w:sz="4" w:space="0" w:color="auto"/>
            </w:tcBorders>
            <w:hideMark/>
          </w:tcPr>
          <w:p w14:paraId="1FA6F884" w14:textId="77777777" w:rsidR="007B4613" w:rsidRPr="00907440" w:rsidRDefault="007B4613" w:rsidP="0005162F">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Cita informācija</w:t>
            </w:r>
          </w:p>
        </w:tc>
        <w:tc>
          <w:tcPr>
            <w:tcW w:w="3309" w:type="pct"/>
            <w:tcBorders>
              <w:top w:val="single" w:sz="4" w:space="0" w:color="auto"/>
              <w:left w:val="single" w:sz="4" w:space="0" w:color="auto"/>
              <w:bottom w:val="single" w:sz="4" w:space="0" w:color="auto"/>
              <w:right w:val="single" w:sz="4" w:space="0" w:color="auto"/>
            </w:tcBorders>
            <w:hideMark/>
          </w:tcPr>
          <w:p w14:paraId="6398A5C9" w14:textId="77777777" w:rsidR="007B4613" w:rsidRPr="00907440" w:rsidRDefault="007B4613" w:rsidP="0005162F">
            <w:pPr>
              <w:spacing w:after="0" w:line="240" w:lineRule="auto"/>
              <w:jc w:val="both"/>
              <w:rPr>
                <w:rFonts w:ascii="Times New Roman" w:hAnsi="Times New Roman"/>
                <w:sz w:val="26"/>
                <w:szCs w:val="26"/>
                <w:lang w:eastAsia="lv-LV"/>
              </w:rPr>
            </w:pPr>
            <w:r w:rsidRPr="00907440">
              <w:rPr>
                <w:rFonts w:ascii="Times New Roman" w:hAnsi="Times New Roman"/>
                <w:sz w:val="26"/>
                <w:szCs w:val="26"/>
                <w:lang w:eastAsia="lv-LV"/>
              </w:rPr>
              <w:t>Nav</w:t>
            </w:r>
          </w:p>
        </w:tc>
      </w:tr>
    </w:tbl>
    <w:p w14:paraId="5BEDDB74" w14:textId="77777777" w:rsidR="007B4613" w:rsidRDefault="007B4613" w:rsidP="007B4613">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tbl>
      <w:tblPr>
        <w:tblW w:w="531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6"/>
        <w:gridCol w:w="1069"/>
        <w:gridCol w:w="1507"/>
        <w:gridCol w:w="37"/>
        <w:gridCol w:w="861"/>
        <w:gridCol w:w="2098"/>
        <w:gridCol w:w="2833"/>
      </w:tblGrid>
      <w:tr w:rsidR="007B4613" w14:paraId="1FE9CAA6" w14:textId="77777777" w:rsidTr="0005162F">
        <w:trPr>
          <w:tblCellSpacing w:w="15" w:type="dxa"/>
          <w:jc w:val="center"/>
        </w:trPr>
        <w:tc>
          <w:tcPr>
            <w:tcW w:w="4970" w:type="pct"/>
            <w:gridSpan w:val="7"/>
            <w:tcBorders>
              <w:top w:val="single" w:sz="4" w:space="0" w:color="auto"/>
              <w:left w:val="single" w:sz="4" w:space="0" w:color="auto"/>
              <w:bottom w:val="single" w:sz="4" w:space="0" w:color="auto"/>
              <w:right w:val="single" w:sz="4" w:space="0" w:color="auto"/>
            </w:tcBorders>
            <w:vAlign w:val="center"/>
            <w:hideMark/>
          </w:tcPr>
          <w:p w14:paraId="4F08CE93" w14:textId="77777777" w:rsidR="007B4613" w:rsidRPr="004A308B" w:rsidRDefault="007B4613" w:rsidP="0005162F">
            <w:pPr>
              <w:spacing w:after="0" w:line="240" w:lineRule="auto"/>
              <w:ind w:firstLine="300"/>
              <w:jc w:val="center"/>
              <w:rPr>
                <w:rFonts w:ascii="Times New Roman" w:hAnsi="Times New Roman"/>
                <w:b/>
                <w:bCs/>
                <w:sz w:val="26"/>
                <w:szCs w:val="26"/>
                <w:lang w:eastAsia="lv-LV"/>
              </w:rPr>
            </w:pPr>
            <w:r w:rsidRPr="004A308B">
              <w:rPr>
                <w:rFonts w:ascii="Times New Roman" w:hAnsi="Times New Roman"/>
                <w:b/>
                <w:bCs/>
                <w:sz w:val="26"/>
                <w:szCs w:val="26"/>
                <w:lang w:eastAsia="lv-LV"/>
              </w:rPr>
              <w:t>1.tabula</w:t>
            </w:r>
            <w:r w:rsidRPr="004A308B">
              <w:rPr>
                <w:rFonts w:ascii="Times New Roman" w:hAnsi="Times New Roman"/>
                <w:b/>
                <w:bCs/>
                <w:sz w:val="26"/>
                <w:szCs w:val="26"/>
                <w:lang w:eastAsia="lv-LV"/>
              </w:rPr>
              <w:br/>
              <w:t>Tiesību akta projekta atbilstība ES tiesību aktiem</w:t>
            </w:r>
          </w:p>
        </w:tc>
      </w:tr>
      <w:tr w:rsidR="00423102" w14:paraId="53356454" w14:textId="77777777" w:rsidTr="00423102">
        <w:trPr>
          <w:tblCellSpacing w:w="15" w:type="dxa"/>
          <w:jc w:val="center"/>
        </w:trPr>
        <w:tc>
          <w:tcPr>
            <w:tcW w:w="746" w:type="pct"/>
            <w:tcBorders>
              <w:top w:val="single" w:sz="4" w:space="0" w:color="auto"/>
              <w:left w:val="single" w:sz="4" w:space="0" w:color="auto"/>
              <w:bottom w:val="single" w:sz="4" w:space="0" w:color="auto"/>
              <w:right w:val="single" w:sz="4" w:space="0" w:color="auto"/>
            </w:tcBorders>
            <w:hideMark/>
          </w:tcPr>
          <w:p w14:paraId="671015B3" w14:textId="77777777" w:rsidR="007B4613" w:rsidRPr="004A308B" w:rsidRDefault="007B4613" w:rsidP="0005162F">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 xml:space="preserve">Attiecīgā ES tiesību </w:t>
            </w:r>
            <w:r w:rsidRPr="004A308B">
              <w:rPr>
                <w:rFonts w:ascii="Times New Roman" w:hAnsi="Times New Roman"/>
                <w:sz w:val="26"/>
                <w:szCs w:val="26"/>
                <w:lang w:eastAsia="lv-LV"/>
              </w:rPr>
              <w:lastRenderedPageBreak/>
              <w:t>akta datums, numurs un nosaukums</w:t>
            </w:r>
          </w:p>
        </w:tc>
        <w:tc>
          <w:tcPr>
            <w:tcW w:w="4209" w:type="pct"/>
            <w:gridSpan w:val="6"/>
            <w:tcBorders>
              <w:top w:val="single" w:sz="4" w:space="0" w:color="auto"/>
              <w:left w:val="single" w:sz="4" w:space="0" w:color="auto"/>
              <w:bottom w:val="single" w:sz="4" w:space="0" w:color="auto"/>
              <w:right w:val="single" w:sz="4" w:space="0" w:color="auto"/>
            </w:tcBorders>
            <w:hideMark/>
          </w:tcPr>
          <w:p w14:paraId="572B54DA" w14:textId="49BA3643" w:rsidR="00B72D4B" w:rsidRPr="004A308B" w:rsidRDefault="00DA348A" w:rsidP="00B72D4B">
            <w:pPr>
              <w:tabs>
                <w:tab w:val="left" w:pos="2628"/>
              </w:tabs>
              <w:spacing w:before="100" w:beforeAutospacing="1" w:after="100" w:afterAutospacing="1"/>
              <w:jc w:val="both"/>
              <w:rPr>
                <w:rFonts w:ascii="Times New Roman" w:hAnsi="Times New Roman"/>
                <w:sz w:val="26"/>
                <w:szCs w:val="26"/>
              </w:rPr>
            </w:pPr>
            <w:r w:rsidRPr="004A308B">
              <w:rPr>
                <w:rFonts w:ascii="Times New Roman" w:hAnsi="Times New Roman"/>
                <w:sz w:val="26"/>
                <w:szCs w:val="26"/>
              </w:rPr>
              <w:lastRenderedPageBreak/>
              <w:t>P</w:t>
            </w:r>
            <w:r w:rsidR="00B72D4B" w:rsidRPr="004A308B">
              <w:rPr>
                <w:rFonts w:ascii="Times New Roman" w:hAnsi="Times New Roman"/>
                <w:sz w:val="26"/>
                <w:szCs w:val="26"/>
              </w:rPr>
              <w:t>rojekts ietver šādu EK tiesību aktu nosacījumus:</w:t>
            </w:r>
          </w:p>
          <w:p w14:paraId="10489B36" w14:textId="77777777" w:rsidR="006A68C1" w:rsidRPr="004A308B" w:rsidRDefault="007B4613" w:rsidP="001C46EF">
            <w:pPr>
              <w:pStyle w:val="ListParagraph"/>
              <w:numPr>
                <w:ilvl w:val="0"/>
                <w:numId w:val="7"/>
              </w:numPr>
              <w:spacing w:after="0" w:line="240" w:lineRule="auto"/>
              <w:jc w:val="both"/>
              <w:rPr>
                <w:rFonts w:ascii="Times New Roman" w:hAnsi="Times New Roman"/>
                <w:sz w:val="26"/>
                <w:szCs w:val="26"/>
                <w:lang w:eastAsia="lv-LV"/>
              </w:rPr>
            </w:pPr>
            <w:r w:rsidRPr="004A308B">
              <w:rPr>
                <w:rFonts w:ascii="Times New Roman" w:hAnsi="Times New Roman"/>
                <w:sz w:val="26"/>
                <w:szCs w:val="26"/>
              </w:rPr>
              <w:lastRenderedPageBreak/>
              <w:t xml:space="preserve">Eiropas Parlamenta un Padomes </w:t>
            </w:r>
            <w:r w:rsidRPr="004A308B">
              <w:rPr>
                <w:rFonts w:ascii="Times New Roman" w:hAnsi="Times New Roman"/>
                <w:bCs/>
                <w:color w:val="000000"/>
                <w:sz w:val="26"/>
                <w:szCs w:val="26"/>
              </w:rPr>
              <w:t>2013.gada 20.novembra</w:t>
            </w:r>
            <w:r w:rsidR="006A68C1" w:rsidRPr="004A308B">
              <w:rPr>
                <w:rFonts w:ascii="Times New Roman" w:hAnsi="Times New Roman"/>
                <w:sz w:val="26"/>
                <w:szCs w:val="26"/>
              </w:rPr>
              <w:t xml:space="preserve"> Direktīva</w:t>
            </w:r>
            <w:r w:rsidRPr="004A308B">
              <w:rPr>
                <w:rFonts w:ascii="Times New Roman" w:hAnsi="Times New Roman"/>
                <w:sz w:val="26"/>
                <w:szCs w:val="26"/>
              </w:rPr>
              <w:t xml:space="preserve"> Nr.</w:t>
            </w:r>
            <w:r w:rsidRPr="004A308B">
              <w:rPr>
                <w:rFonts w:ascii="Times New Roman" w:hAnsi="Times New Roman"/>
                <w:bCs/>
                <w:sz w:val="26"/>
                <w:szCs w:val="26"/>
              </w:rPr>
              <w:t>2013/55/ES ar ko groza Direktīvu 2005/36/EK par profesionālo kvalifikāciju atzīšanu un Regulu (ES) Nr.1024/2012 par administratīvo sadarbību, izmantojot Iekšējā tirgus informācijas sistēmu (IMI regulu) (dokuments attiecas uz EEZ)</w:t>
            </w:r>
            <w:r w:rsidR="006A68C1" w:rsidRPr="004A308B">
              <w:rPr>
                <w:rFonts w:ascii="Times New Roman" w:hAnsi="Times New Roman"/>
                <w:sz w:val="26"/>
                <w:szCs w:val="26"/>
              </w:rPr>
              <w:t>;</w:t>
            </w:r>
          </w:p>
          <w:p w14:paraId="12A523E7" w14:textId="77777777" w:rsidR="004031B1" w:rsidRPr="004A308B" w:rsidRDefault="004031B1" w:rsidP="004031B1">
            <w:pPr>
              <w:pStyle w:val="ListParagraph"/>
              <w:spacing w:after="0" w:line="240" w:lineRule="auto"/>
              <w:ind w:left="360"/>
              <w:jc w:val="both"/>
              <w:rPr>
                <w:rFonts w:ascii="Times New Roman" w:hAnsi="Times New Roman"/>
                <w:sz w:val="26"/>
                <w:szCs w:val="26"/>
                <w:lang w:eastAsia="lv-LV"/>
              </w:rPr>
            </w:pPr>
          </w:p>
          <w:p w14:paraId="6F1D543C" w14:textId="3B4B4C90" w:rsidR="001C46EF" w:rsidRPr="004A308B" w:rsidRDefault="00632A2E" w:rsidP="00632A2E">
            <w:pPr>
              <w:pStyle w:val="ListParagraph"/>
              <w:numPr>
                <w:ilvl w:val="0"/>
                <w:numId w:val="7"/>
              </w:numPr>
              <w:spacing w:after="0" w:line="240" w:lineRule="auto"/>
              <w:jc w:val="both"/>
              <w:rPr>
                <w:rFonts w:ascii="Times New Roman" w:hAnsi="Times New Roman"/>
                <w:sz w:val="26"/>
                <w:szCs w:val="26"/>
                <w:lang w:eastAsia="lv-LV"/>
              </w:rPr>
            </w:pPr>
            <w:r>
              <w:rPr>
                <w:rFonts w:ascii="Times New Roman" w:hAnsi="Times New Roman"/>
                <w:bCs/>
                <w:sz w:val="26"/>
                <w:szCs w:val="26"/>
                <w:lang w:val="lv-LV"/>
              </w:rPr>
              <w:t xml:space="preserve">Eiropas </w:t>
            </w:r>
            <w:r w:rsidR="004031B1" w:rsidRPr="004A308B">
              <w:rPr>
                <w:rFonts w:ascii="Times New Roman" w:hAnsi="Times New Roman"/>
                <w:bCs/>
                <w:sz w:val="26"/>
                <w:szCs w:val="26"/>
              </w:rPr>
              <w:t xml:space="preserve">Komisijas </w:t>
            </w:r>
            <w:r>
              <w:rPr>
                <w:rFonts w:ascii="Times New Roman" w:hAnsi="Times New Roman"/>
                <w:bCs/>
                <w:sz w:val="26"/>
                <w:szCs w:val="26"/>
              </w:rPr>
              <w:t>2015. gada 24. jūnija</w:t>
            </w:r>
            <w:r w:rsidRPr="004A308B">
              <w:rPr>
                <w:rFonts w:ascii="Times New Roman" w:hAnsi="Times New Roman"/>
                <w:bCs/>
                <w:sz w:val="26"/>
                <w:szCs w:val="26"/>
              </w:rPr>
              <w:t xml:space="preserve"> </w:t>
            </w:r>
            <w:r w:rsidR="004031B1" w:rsidRPr="004A308B">
              <w:rPr>
                <w:rFonts w:ascii="Times New Roman" w:hAnsi="Times New Roman"/>
                <w:bCs/>
                <w:sz w:val="26"/>
                <w:szCs w:val="26"/>
              </w:rPr>
              <w:t xml:space="preserve">Īstenošanas regula </w:t>
            </w:r>
            <w:r>
              <w:rPr>
                <w:rFonts w:ascii="Times New Roman" w:hAnsi="Times New Roman"/>
                <w:bCs/>
                <w:sz w:val="26"/>
                <w:szCs w:val="26"/>
                <w:lang w:val="lv-LV"/>
              </w:rPr>
              <w:t>Nr.</w:t>
            </w:r>
            <w:r w:rsidR="004031B1" w:rsidRPr="004A308B">
              <w:rPr>
                <w:rFonts w:ascii="Times New Roman" w:hAnsi="Times New Roman"/>
                <w:bCs/>
                <w:sz w:val="26"/>
                <w:szCs w:val="26"/>
              </w:rPr>
              <w:t>2015/983  par Eiropas profesionālās kartes izdošanu un brīdināšanas mehānisma piemērošanu saskaņā ar Eiropas Parlamenta un Padomes Direktīvu 2005/36/EK</w:t>
            </w:r>
            <w:r w:rsidR="004031B1" w:rsidRPr="004A308B">
              <w:rPr>
                <w:rFonts w:ascii="Times New Roman" w:hAnsi="Times New Roman"/>
                <w:bCs/>
                <w:sz w:val="26"/>
                <w:szCs w:val="26"/>
                <w:lang w:val="lv-LV"/>
              </w:rPr>
              <w:t>.</w:t>
            </w:r>
          </w:p>
        </w:tc>
      </w:tr>
      <w:tr w:rsidR="00356E5F" w14:paraId="15CEA76D"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vAlign w:val="center"/>
            <w:hideMark/>
          </w:tcPr>
          <w:p w14:paraId="4256BEF6" w14:textId="5EEA902E" w:rsidR="007B4613" w:rsidRPr="004A308B" w:rsidRDefault="007B4613" w:rsidP="0005162F">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lastRenderedPageBreak/>
              <w:t>A</w:t>
            </w:r>
          </w:p>
        </w:tc>
        <w:tc>
          <w:tcPr>
            <w:tcW w:w="1281" w:type="pct"/>
            <w:gridSpan w:val="2"/>
            <w:tcBorders>
              <w:top w:val="single" w:sz="4" w:space="0" w:color="auto"/>
              <w:left w:val="single" w:sz="4" w:space="0" w:color="auto"/>
              <w:bottom w:val="single" w:sz="4" w:space="0" w:color="auto"/>
              <w:right w:val="single" w:sz="4" w:space="0" w:color="auto"/>
            </w:tcBorders>
            <w:vAlign w:val="center"/>
            <w:hideMark/>
          </w:tcPr>
          <w:p w14:paraId="14E8B20B" w14:textId="77777777" w:rsidR="007B4613" w:rsidRPr="004A308B" w:rsidRDefault="007B4613" w:rsidP="0005162F">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B</w:t>
            </w:r>
          </w:p>
        </w:tc>
        <w:tc>
          <w:tcPr>
            <w:tcW w:w="1496" w:type="pct"/>
            <w:gridSpan w:val="3"/>
            <w:tcBorders>
              <w:top w:val="single" w:sz="4" w:space="0" w:color="auto"/>
              <w:left w:val="single" w:sz="4" w:space="0" w:color="auto"/>
              <w:bottom w:val="single" w:sz="4" w:space="0" w:color="auto"/>
              <w:right w:val="single" w:sz="4" w:space="0" w:color="auto"/>
            </w:tcBorders>
            <w:vAlign w:val="center"/>
            <w:hideMark/>
          </w:tcPr>
          <w:p w14:paraId="3E031F32" w14:textId="77777777" w:rsidR="007B4613" w:rsidRPr="004A308B" w:rsidRDefault="007B4613" w:rsidP="0005162F">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C</w:t>
            </w:r>
          </w:p>
        </w:tc>
        <w:tc>
          <w:tcPr>
            <w:tcW w:w="1402" w:type="pct"/>
            <w:tcBorders>
              <w:top w:val="single" w:sz="4" w:space="0" w:color="auto"/>
              <w:left w:val="single" w:sz="4" w:space="0" w:color="auto"/>
              <w:bottom w:val="single" w:sz="4" w:space="0" w:color="auto"/>
              <w:right w:val="single" w:sz="4" w:space="0" w:color="auto"/>
            </w:tcBorders>
            <w:vAlign w:val="center"/>
            <w:hideMark/>
          </w:tcPr>
          <w:p w14:paraId="18D09AC8" w14:textId="77777777" w:rsidR="007B4613" w:rsidRPr="004A308B" w:rsidRDefault="007B4613" w:rsidP="0005162F">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D</w:t>
            </w:r>
          </w:p>
        </w:tc>
      </w:tr>
      <w:tr w:rsidR="00356E5F" w14:paraId="4599301E"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hideMark/>
          </w:tcPr>
          <w:p w14:paraId="33F9BFFD" w14:textId="77777777" w:rsidR="007B4613" w:rsidRPr="004A308B" w:rsidRDefault="007B4613" w:rsidP="0005162F">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Attiecīgā ES tiesību akta panta numurs (uzskaitot katru tiesību akta vienību – pantu, daļu, punktu, apakšpunktu)</w:t>
            </w:r>
          </w:p>
        </w:tc>
        <w:tc>
          <w:tcPr>
            <w:tcW w:w="1281" w:type="pct"/>
            <w:gridSpan w:val="2"/>
            <w:tcBorders>
              <w:top w:val="single" w:sz="4" w:space="0" w:color="auto"/>
              <w:left w:val="single" w:sz="4" w:space="0" w:color="auto"/>
              <w:bottom w:val="single" w:sz="4" w:space="0" w:color="auto"/>
              <w:right w:val="single" w:sz="4" w:space="0" w:color="auto"/>
            </w:tcBorders>
            <w:hideMark/>
          </w:tcPr>
          <w:p w14:paraId="0F471A04" w14:textId="77777777" w:rsidR="007B4613" w:rsidRPr="004A308B" w:rsidRDefault="007B4613" w:rsidP="0005162F">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1496" w:type="pct"/>
            <w:gridSpan w:val="3"/>
            <w:tcBorders>
              <w:top w:val="single" w:sz="4" w:space="0" w:color="auto"/>
              <w:left w:val="single" w:sz="4" w:space="0" w:color="auto"/>
              <w:bottom w:val="single" w:sz="4" w:space="0" w:color="auto"/>
              <w:right w:val="single" w:sz="4" w:space="0" w:color="auto"/>
            </w:tcBorders>
            <w:hideMark/>
          </w:tcPr>
          <w:p w14:paraId="35BDBB68" w14:textId="77777777" w:rsidR="007B4613" w:rsidRPr="004A308B" w:rsidRDefault="007B4613" w:rsidP="0005162F">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 xml:space="preserve">Informācija par to, vai šīs tabulas A ailē minētās ES tiesību akta vienības tiek pārņemtas vai ieviestas pilnībā vai daļēji. </w:t>
            </w:r>
          </w:p>
          <w:p w14:paraId="4ACB6836" w14:textId="77777777" w:rsidR="007B4613" w:rsidRPr="004A308B" w:rsidRDefault="007B4613" w:rsidP="0005162F">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7869BAE0" w14:textId="77777777" w:rsidR="007B4613" w:rsidRPr="004A308B" w:rsidRDefault="007B4613" w:rsidP="0005162F">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Norāda institūciju, kas ir atbildīga par šo saistību izpildi pilnībā</w:t>
            </w:r>
          </w:p>
        </w:tc>
        <w:tc>
          <w:tcPr>
            <w:tcW w:w="1402" w:type="pct"/>
            <w:tcBorders>
              <w:top w:val="single" w:sz="4" w:space="0" w:color="auto"/>
              <w:left w:val="single" w:sz="4" w:space="0" w:color="auto"/>
              <w:bottom w:val="single" w:sz="4" w:space="0" w:color="auto"/>
              <w:right w:val="single" w:sz="4" w:space="0" w:color="auto"/>
            </w:tcBorders>
            <w:hideMark/>
          </w:tcPr>
          <w:p w14:paraId="0B332CB9" w14:textId="77777777" w:rsidR="007B4613" w:rsidRPr="004A308B" w:rsidRDefault="007B4613" w:rsidP="0005162F">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 xml:space="preserve">Informācija par to, vai šīs tabulas B ailē minētās projekta vienības paredz stingrākas prasības nekā šīs tabulas A ailē minētās ES tiesību akta vienības. </w:t>
            </w:r>
          </w:p>
          <w:p w14:paraId="454766BC" w14:textId="77777777" w:rsidR="007B4613" w:rsidRPr="004A308B" w:rsidRDefault="007B4613" w:rsidP="0005162F">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Ja projekts satur stingrākas prasības nekā attiecīgais ES tiesību akts, norāda pamatojumu un samērīgumu.</w:t>
            </w:r>
          </w:p>
          <w:p w14:paraId="5F3D169B" w14:textId="77777777" w:rsidR="007B4613" w:rsidRPr="004A308B" w:rsidRDefault="007B4613" w:rsidP="0005162F">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56E5F" w14:paraId="33B1B444"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76166C7E" w14:textId="42A0975A" w:rsidR="00B07428" w:rsidRPr="00D93E81" w:rsidRDefault="00F811C4" w:rsidP="0005162F">
            <w:pPr>
              <w:spacing w:after="0" w:line="240" w:lineRule="auto"/>
              <w:jc w:val="both"/>
              <w:rPr>
                <w:rFonts w:ascii="Times New Roman" w:hAnsi="Times New Roman"/>
                <w:sz w:val="26"/>
                <w:szCs w:val="26"/>
              </w:rPr>
            </w:pPr>
            <w:r w:rsidRPr="00D93E81">
              <w:rPr>
                <w:rFonts w:ascii="Times New Roman" w:hAnsi="Times New Roman"/>
                <w:sz w:val="26"/>
                <w:szCs w:val="26"/>
              </w:rPr>
              <w:t>Grozījumu d</w:t>
            </w:r>
            <w:r w:rsidR="00EE029A" w:rsidRPr="00D93E81">
              <w:rPr>
                <w:rFonts w:ascii="Times New Roman" w:hAnsi="Times New Roman"/>
                <w:sz w:val="26"/>
                <w:szCs w:val="26"/>
              </w:rPr>
              <w:t>irektīvas 1.panta 5) daļa</w:t>
            </w:r>
            <w:r w:rsidR="00B07428" w:rsidRPr="00D93E81">
              <w:rPr>
                <w:rFonts w:ascii="Times New Roman" w:hAnsi="Times New Roman"/>
                <w:sz w:val="26"/>
                <w:szCs w:val="26"/>
              </w:rPr>
              <w:t xml:space="preserve"> </w:t>
            </w:r>
          </w:p>
          <w:p w14:paraId="0847CB3B" w14:textId="77777777" w:rsidR="00B07428" w:rsidRPr="00D93E81" w:rsidRDefault="00B07428" w:rsidP="0005162F">
            <w:pPr>
              <w:spacing w:after="0" w:line="240" w:lineRule="auto"/>
              <w:jc w:val="both"/>
              <w:rPr>
                <w:rFonts w:ascii="Times New Roman" w:hAnsi="Times New Roman"/>
                <w:sz w:val="26"/>
                <w:szCs w:val="26"/>
              </w:rPr>
            </w:pPr>
          </w:p>
          <w:p w14:paraId="2CAFD1DA" w14:textId="0EB4F31C" w:rsidR="00EE029A" w:rsidRPr="00D93E81" w:rsidRDefault="00B07428" w:rsidP="0005162F">
            <w:pPr>
              <w:spacing w:after="0" w:line="240" w:lineRule="auto"/>
              <w:jc w:val="both"/>
              <w:rPr>
                <w:rFonts w:ascii="Times New Roman" w:hAnsi="Times New Roman"/>
                <w:sz w:val="26"/>
                <w:szCs w:val="26"/>
              </w:rPr>
            </w:pPr>
            <w:r w:rsidRPr="00D93E81">
              <w:rPr>
                <w:rFonts w:ascii="Times New Roman" w:hAnsi="Times New Roman"/>
                <w:sz w:val="26"/>
                <w:szCs w:val="26"/>
              </w:rPr>
              <w:t xml:space="preserve">(par direktīvas 4.a panta </w:t>
            </w:r>
            <w:r w:rsidR="001A2EE0">
              <w:rPr>
                <w:rFonts w:ascii="Times New Roman" w:hAnsi="Times New Roman"/>
                <w:sz w:val="26"/>
                <w:szCs w:val="26"/>
              </w:rPr>
              <w:t xml:space="preserve">1., </w:t>
            </w:r>
            <w:r w:rsidRPr="00D93E81">
              <w:rPr>
                <w:rFonts w:ascii="Times New Roman" w:hAnsi="Times New Roman"/>
                <w:sz w:val="26"/>
                <w:szCs w:val="26"/>
              </w:rPr>
              <w:t>3.punktu)</w:t>
            </w:r>
            <w:r w:rsidR="00991E49" w:rsidRPr="00D93E81">
              <w:rPr>
                <w:rFonts w:ascii="Times New Roman" w:hAnsi="Times New Roman"/>
                <w:sz w:val="26"/>
                <w:szCs w:val="26"/>
              </w:rPr>
              <w:t xml:space="preserve"> </w:t>
            </w:r>
            <w:r w:rsidR="00EE029A" w:rsidRPr="00D93E81">
              <w:rPr>
                <w:rFonts w:ascii="Times New Roman" w:hAnsi="Times New Roman"/>
                <w:sz w:val="26"/>
                <w:szCs w:val="26"/>
              </w:rPr>
              <w:t xml:space="preserve"> </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7E52E424" w14:textId="3B6DF347" w:rsidR="00EE029A" w:rsidRPr="00D93E81" w:rsidRDefault="00B83FB1" w:rsidP="0005162F">
            <w:pPr>
              <w:spacing w:after="0" w:line="240" w:lineRule="auto"/>
              <w:jc w:val="both"/>
              <w:rPr>
                <w:rFonts w:ascii="Times New Roman" w:hAnsi="Times New Roman"/>
                <w:sz w:val="26"/>
                <w:szCs w:val="26"/>
              </w:rPr>
            </w:pPr>
            <w:r w:rsidRPr="00D93E81">
              <w:rPr>
                <w:rFonts w:ascii="Times New Roman" w:hAnsi="Times New Roman"/>
                <w:sz w:val="26"/>
                <w:szCs w:val="26"/>
              </w:rPr>
              <w:t>Projekta</w:t>
            </w:r>
            <w:r w:rsidR="00541E42">
              <w:rPr>
                <w:rFonts w:ascii="Times New Roman" w:hAnsi="Times New Roman"/>
                <w:sz w:val="26"/>
                <w:szCs w:val="26"/>
              </w:rPr>
              <w:t xml:space="preserve"> </w:t>
            </w:r>
            <w:r w:rsidR="00A23EC2">
              <w:rPr>
                <w:rFonts w:ascii="Times New Roman" w:hAnsi="Times New Roman"/>
                <w:sz w:val="26"/>
                <w:szCs w:val="26"/>
              </w:rPr>
              <w:t>VII, VIII, IX nodaļas</w:t>
            </w:r>
            <w:r w:rsidR="00D709B4" w:rsidRPr="00D93E81">
              <w:rPr>
                <w:rFonts w:ascii="Times New Roman" w:hAnsi="Times New Roman"/>
                <w:sz w:val="26"/>
                <w:szCs w:val="26"/>
              </w:rPr>
              <w:t xml:space="preserve"> </w:t>
            </w:r>
          </w:p>
          <w:p w14:paraId="28613A03" w14:textId="77777777" w:rsidR="00D709B4" w:rsidRPr="00D93E81" w:rsidRDefault="00D709B4" w:rsidP="0005162F">
            <w:pPr>
              <w:spacing w:after="0" w:line="240" w:lineRule="auto"/>
              <w:jc w:val="both"/>
              <w:rPr>
                <w:rFonts w:ascii="Times New Roman" w:hAnsi="Times New Roman"/>
                <w:sz w:val="26"/>
                <w:szCs w:val="26"/>
              </w:rPr>
            </w:pPr>
          </w:p>
          <w:p w14:paraId="70125CD4" w14:textId="1DB04E4E" w:rsidR="00D709B4" w:rsidRPr="00D93E81" w:rsidRDefault="00D709B4" w:rsidP="0005162F">
            <w:pPr>
              <w:spacing w:after="0" w:line="240" w:lineRule="auto"/>
              <w:jc w:val="both"/>
              <w:rPr>
                <w:rFonts w:ascii="Times New Roman" w:hAnsi="Times New Roman"/>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0B80198B" w14:textId="663B6128" w:rsidR="00EE029A" w:rsidRPr="00D93E81" w:rsidRDefault="00CE2E47" w:rsidP="0005162F">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4C60ABF5" w14:textId="50FBEB2F" w:rsidR="00EE029A" w:rsidRPr="004A308B" w:rsidRDefault="0034459F" w:rsidP="0005162F">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Neparedzēs stingrākas prasības.</w:t>
            </w:r>
          </w:p>
        </w:tc>
      </w:tr>
      <w:tr w:rsidR="00356E5F" w14:paraId="34B8D1B0"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4CDB3243" w14:textId="77777777" w:rsidR="00922CF5" w:rsidRPr="00D93E81" w:rsidRDefault="00922CF5" w:rsidP="00922CF5">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5) daļa </w:t>
            </w:r>
          </w:p>
          <w:p w14:paraId="1024087D" w14:textId="77777777" w:rsidR="00922CF5" w:rsidRPr="00D93E81" w:rsidRDefault="00922CF5" w:rsidP="00922CF5">
            <w:pPr>
              <w:spacing w:after="0" w:line="240" w:lineRule="auto"/>
              <w:jc w:val="both"/>
              <w:rPr>
                <w:rFonts w:ascii="Times New Roman" w:hAnsi="Times New Roman"/>
                <w:sz w:val="26"/>
                <w:szCs w:val="26"/>
              </w:rPr>
            </w:pPr>
          </w:p>
          <w:p w14:paraId="5B4778FB" w14:textId="069ABF01" w:rsidR="00922CF5" w:rsidRPr="00D93E81" w:rsidRDefault="00922CF5" w:rsidP="00922CF5">
            <w:pPr>
              <w:spacing w:after="0" w:line="240" w:lineRule="auto"/>
              <w:jc w:val="both"/>
              <w:rPr>
                <w:rFonts w:ascii="Times New Roman" w:hAnsi="Times New Roman"/>
                <w:sz w:val="26"/>
                <w:szCs w:val="26"/>
              </w:rPr>
            </w:pPr>
            <w:r w:rsidRPr="00D93E81">
              <w:rPr>
                <w:rFonts w:ascii="Times New Roman" w:hAnsi="Times New Roman"/>
                <w:sz w:val="26"/>
                <w:szCs w:val="26"/>
              </w:rPr>
              <w:t xml:space="preserve">(par direktīvas 4.a panta </w:t>
            </w:r>
            <w:r>
              <w:rPr>
                <w:rFonts w:ascii="Times New Roman" w:hAnsi="Times New Roman"/>
                <w:sz w:val="26"/>
                <w:szCs w:val="26"/>
              </w:rPr>
              <w:t>5</w:t>
            </w:r>
            <w:r w:rsidRPr="00D93E81">
              <w:rPr>
                <w:rFonts w:ascii="Times New Roman" w:hAnsi="Times New Roman"/>
                <w:sz w:val="26"/>
                <w:szCs w:val="26"/>
              </w:rPr>
              <w:t xml:space="preserve">.punktu)  </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398A5EEB" w14:textId="475C6132" w:rsidR="00272204" w:rsidRPr="00D93E81" w:rsidRDefault="00922CF5" w:rsidP="00782536">
            <w:pPr>
              <w:spacing w:after="0" w:line="240" w:lineRule="auto"/>
              <w:jc w:val="both"/>
              <w:rPr>
                <w:rFonts w:ascii="Times New Roman" w:hAnsi="Times New Roman"/>
                <w:sz w:val="26"/>
                <w:szCs w:val="26"/>
              </w:rPr>
            </w:pPr>
            <w:r w:rsidRPr="00D93E81">
              <w:rPr>
                <w:rFonts w:ascii="Times New Roman" w:hAnsi="Times New Roman"/>
                <w:sz w:val="26"/>
                <w:szCs w:val="26"/>
              </w:rPr>
              <w:lastRenderedPageBreak/>
              <w:t xml:space="preserve">Projekta </w:t>
            </w:r>
            <w:r w:rsidR="006A50A1">
              <w:rPr>
                <w:rFonts w:ascii="Times New Roman" w:hAnsi="Times New Roman"/>
                <w:sz w:val="26"/>
                <w:szCs w:val="26"/>
              </w:rPr>
              <w:t>53</w:t>
            </w:r>
            <w:r w:rsidR="00C529BC">
              <w:rPr>
                <w:rFonts w:ascii="Times New Roman" w:hAnsi="Times New Roman"/>
                <w:sz w:val="26"/>
                <w:szCs w:val="26"/>
              </w:rPr>
              <w:t>.</w:t>
            </w:r>
            <w:r w:rsidR="00272204">
              <w:rPr>
                <w:rFonts w:ascii="Times New Roman" w:hAnsi="Times New Roman"/>
                <w:sz w:val="26"/>
                <w:szCs w:val="26"/>
              </w:rPr>
              <w:t>1</w:t>
            </w:r>
            <w:r w:rsidR="00C529BC">
              <w:rPr>
                <w:rFonts w:ascii="Times New Roman" w:hAnsi="Times New Roman"/>
                <w:sz w:val="26"/>
                <w:szCs w:val="26"/>
              </w:rPr>
              <w:t>.</w:t>
            </w:r>
            <w:r w:rsidR="00272204" w:rsidRPr="0068307F">
              <w:rPr>
                <w:rFonts w:ascii="Times New Roman" w:hAnsi="Times New Roman"/>
                <w:sz w:val="26"/>
                <w:szCs w:val="26"/>
              </w:rPr>
              <w:t xml:space="preserve"> </w:t>
            </w:r>
            <w:r w:rsidR="00272204" w:rsidRPr="00D96208">
              <w:rPr>
                <w:rFonts w:ascii="Times New Roman" w:hAnsi="Times New Roman"/>
                <w:sz w:val="26"/>
                <w:szCs w:val="26"/>
              </w:rPr>
              <w:t>apakšpunkt</w:t>
            </w:r>
            <w:r w:rsidR="006A50A1">
              <w:rPr>
                <w:rFonts w:ascii="Times New Roman" w:hAnsi="Times New Roman"/>
                <w:sz w:val="26"/>
                <w:szCs w:val="26"/>
              </w:rPr>
              <w:t>s</w:t>
            </w:r>
          </w:p>
          <w:p w14:paraId="74FBA5CB" w14:textId="77777777" w:rsidR="00922CF5" w:rsidRPr="00D93E81" w:rsidRDefault="00922CF5" w:rsidP="00922CF5">
            <w:pPr>
              <w:spacing w:after="0" w:line="240" w:lineRule="auto"/>
              <w:jc w:val="both"/>
              <w:rPr>
                <w:rFonts w:ascii="Times New Roman" w:hAnsi="Times New Roman"/>
                <w:sz w:val="26"/>
                <w:szCs w:val="26"/>
              </w:rPr>
            </w:pPr>
          </w:p>
          <w:p w14:paraId="5FF92AAB" w14:textId="77777777" w:rsidR="00922CF5" w:rsidRPr="0043316D" w:rsidRDefault="00922CF5" w:rsidP="00922CF5">
            <w:pPr>
              <w:spacing w:after="0" w:line="240" w:lineRule="auto"/>
              <w:jc w:val="both"/>
              <w:rPr>
                <w:rFonts w:ascii="Times New Roman" w:hAnsi="Times New Roman"/>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74E6DB21" w14:textId="751456A7" w:rsidR="00922CF5" w:rsidRPr="00D93E81" w:rsidRDefault="00922CF5" w:rsidP="00922CF5">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5771683D" w14:textId="284D32E4" w:rsidR="00922CF5" w:rsidRPr="0043316D" w:rsidRDefault="00922CF5" w:rsidP="00922CF5">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Neparedzēs stingrākas prasības.</w:t>
            </w:r>
          </w:p>
        </w:tc>
      </w:tr>
      <w:tr w:rsidR="001A2EE0" w14:paraId="24F6FC88"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31B9E721" w14:textId="77777777" w:rsidR="001A2EE0" w:rsidRPr="0043316D" w:rsidRDefault="001A2EE0" w:rsidP="001D14C4">
            <w:pPr>
              <w:spacing w:after="0" w:line="240" w:lineRule="auto"/>
              <w:jc w:val="both"/>
              <w:rPr>
                <w:rFonts w:ascii="Times New Roman" w:hAnsi="Times New Roman"/>
                <w:sz w:val="26"/>
                <w:szCs w:val="26"/>
              </w:rPr>
            </w:pPr>
            <w:r w:rsidRPr="00D93E81">
              <w:rPr>
                <w:rFonts w:ascii="Times New Roman" w:hAnsi="Times New Roman"/>
                <w:sz w:val="26"/>
                <w:szCs w:val="26"/>
              </w:rPr>
              <w:lastRenderedPageBreak/>
              <w:t xml:space="preserve">Grozījumu direktīvas 1.panta 5) daļa </w:t>
            </w:r>
          </w:p>
          <w:p w14:paraId="43E4AB4A" w14:textId="77777777" w:rsidR="001A2EE0" w:rsidRPr="0043316D" w:rsidRDefault="001A2EE0" w:rsidP="001D14C4">
            <w:pPr>
              <w:spacing w:after="0" w:line="240" w:lineRule="auto"/>
              <w:jc w:val="both"/>
              <w:rPr>
                <w:rFonts w:ascii="Times New Roman" w:hAnsi="Times New Roman"/>
                <w:sz w:val="26"/>
                <w:szCs w:val="26"/>
              </w:rPr>
            </w:pPr>
          </w:p>
          <w:p w14:paraId="368C089B" w14:textId="6E9885B2"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(pa</w:t>
            </w:r>
            <w:r>
              <w:rPr>
                <w:rFonts w:ascii="Times New Roman" w:hAnsi="Times New Roman"/>
                <w:sz w:val="26"/>
                <w:szCs w:val="26"/>
              </w:rPr>
              <w:t>r direktīvas 4.b panta 1., 2. punktu</w:t>
            </w:r>
            <w:r w:rsidRPr="0043316D">
              <w:rPr>
                <w:rFonts w:ascii="Times New Roman" w:hAnsi="Times New Roman"/>
                <w:sz w:val="26"/>
                <w:szCs w:val="26"/>
              </w:rPr>
              <w:t>)</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3532EA2A" w14:textId="3E098C50" w:rsidR="001A2EE0" w:rsidRPr="0043316D" w:rsidRDefault="001A2EE0" w:rsidP="001D14C4">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E70E7A">
              <w:rPr>
                <w:rFonts w:ascii="Times New Roman" w:hAnsi="Times New Roman"/>
                <w:sz w:val="26"/>
                <w:szCs w:val="26"/>
              </w:rPr>
              <w:t>51</w:t>
            </w:r>
            <w:r w:rsidRPr="0043316D">
              <w:rPr>
                <w:rFonts w:ascii="Times New Roman" w:hAnsi="Times New Roman"/>
                <w:sz w:val="26"/>
                <w:szCs w:val="26"/>
              </w:rPr>
              <w:t>.punkts</w:t>
            </w:r>
            <w:r w:rsidR="00E70E7A">
              <w:rPr>
                <w:rFonts w:ascii="Times New Roman" w:hAnsi="Times New Roman"/>
                <w:sz w:val="26"/>
                <w:szCs w:val="26"/>
              </w:rPr>
              <w:t>,</w:t>
            </w:r>
            <w:r w:rsidRPr="0043316D">
              <w:rPr>
                <w:rFonts w:ascii="Times New Roman" w:hAnsi="Times New Roman"/>
                <w:sz w:val="26"/>
                <w:szCs w:val="26"/>
              </w:rPr>
              <w:t xml:space="preserve"> </w:t>
            </w:r>
            <w:r w:rsidR="00E70E7A">
              <w:rPr>
                <w:rFonts w:ascii="Times New Roman" w:hAnsi="Times New Roman"/>
                <w:sz w:val="26"/>
                <w:szCs w:val="26"/>
              </w:rPr>
              <w:t>53.6.apakšpunkts</w:t>
            </w:r>
          </w:p>
          <w:p w14:paraId="7D4E2E83" w14:textId="77777777" w:rsidR="001A2EE0" w:rsidRPr="00D96208" w:rsidRDefault="001A2EE0" w:rsidP="001D14C4">
            <w:pPr>
              <w:spacing w:after="0" w:line="240" w:lineRule="auto"/>
              <w:jc w:val="both"/>
              <w:rPr>
                <w:rFonts w:ascii="Times New Roman" w:hAnsi="Times New Roman"/>
                <w:sz w:val="26"/>
                <w:szCs w:val="26"/>
              </w:rPr>
            </w:pPr>
          </w:p>
          <w:p w14:paraId="3B5B4EF4" w14:textId="4BCA33CC" w:rsidR="001A2EE0" w:rsidRPr="0043316D" w:rsidRDefault="001A2EE0" w:rsidP="00E70E7A">
            <w:pPr>
              <w:spacing w:after="0" w:line="240" w:lineRule="auto"/>
              <w:rPr>
                <w:rFonts w:ascii="Times New Roman" w:hAnsi="Times New Roman"/>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38F0A7C1" w14:textId="77777777" w:rsidR="001A2EE0" w:rsidRPr="00D93E81" w:rsidRDefault="001A2EE0" w:rsidP="001D14C4">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03606B09" w14:textId="77777777" w:rsidR="001A2EE0" w:rsidRPr="004A308B" w:rsidRDefault="001A2EE0" w:rsidP="001D14C4">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0254845D"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15B20E6F"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5) daļa </w:t>
            </w:r>
          </w:p>
          <w:p w14:paraId="6AE06B93" w14:textId="77777777" w:rsidR="001A2EE0" w:rsidRPr="0043316D" w:rsidRDefault="001A2EE0" w:rsidP="001A2EE0">
            <w:pPr>
              <w:spacing w:after="0" w:line="240" w:lineRule="auto"/>
              <w:jc w:val="both"/>
              <w:rPr>
                <w:rFonts w:ascii="Times New Roman" w:hAnsi="Times New Roman"/>
                <w:sz w:val="26"/>
                <w:szCs w:val="26"/>
              </w:rPr>
            </w:pPr>
          </w:p>
          <w:p w14:paraId="3E8BC988" w14:textId="77777777"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(pa</w:t>
            </w:r>
            <w:r>
              <w:rPr>
                <w:rFonts w:ascii="Times New Roman" w:hAnsi="Times New Roman"/>
                <w:sz w:val="26"/>
                <w:szCs w:val="26"/>
              </w:rPr>
              <w:t>r direktīvas 4.b panta 3. punktu</w:t>
            </w:r>
            <w:r w:rsidRPr="0043316D">
              <w:rPr>
                <w:rFonts w:ascii="Times New Roman" w:hAnsi="Times New Roman"/>
                <w:sz w:val="26"/>
                <w:szCs w:val="26"/>
              </w:rPr>
              <w:t>)</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1F6FAFD9" w14:textId="119AA3C0" w:rsidR="001A2EE0" w:rsidRPr="0043316D" w:rsidRDefault="001A2EE0" w:rsidP="00523FDD">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A70653">
              <w:rPr>
                <w:rFonts w:ascii="Times New Roman" w:hAnsi="Times New Roman"/>
                <w:sz w:val="26"/>
                <w:szCs w:val="26"/>
              </w:rPr>
              <w:t>54.1., 62.1</w:t>
            </w:r>
            <w:r w:rsidR="00A70653" w:rsidRPr="0068307F">
              <w:rPr>
                <w:rFonts w:ascii="Times New Roman" w:hAnsi="Times New Roman"/>
                <w:sz w:val="26"/>
                <w:szCs w:val="26"/>
              </w:rPr>
              <w:t xml:space="preserve">. </w:t>
            </w:r>
            <w:r w:rsidR="00A70653" w:rsidRPr="00D96208">
              <w:rPr>
                <w:rFonts w:ascii="Times New Roman" w:hAnsi="Times New Roman"/>
                <w:sz w:val="26"/>
                <w:szCs w:val="26"/>
              </w:rPr>
              <w:t>apakšpunkt</w:t>
            </w:r>
            <w:r w:rsidR="00A70653">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1AB9D547"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6637B62B"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rsidRPr="007174CF" w14:paraId="2CFA80E3"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3AE00DBC" w14:textId="77777777" w:rsidR="001A2EE0" w:rsidRPr="007174CF" w:rsidRDefault="001A2EE0" w:rsidP="001A2EE0">
            <w:pPr>
              <w:spacing w:after="0" w:line="240" w:lineRule="auto"/>
              <w:jc w:val="both"/>
              <w:rPr>
                <w:rFonts w:ascii="Times New Roman" w:hAnsi="Times New Roman"/>
                <w:sz w:val="24"/>
                <w:szCs w:val="24"/>
              </w:rPr>
            </w:pPr>
            <w:r w:rsidRPr="007174CF">
              <w:rPr>
                <w:rFonts w:ascii="Times New Roman" w:hAnsi="Times New Roman"/>
                <w:sz w:val="24"/>
                <w:szCs w:val="24"/>
              </w:rPr>
              <w:t xml:space="preserve">Grozījumu direktīvas 1.panta 5) daļa </w:t>
            </w:r>
          </w:p>
          <w:p w14:paraId="407BA729" w14:textId="77777777" w:rsidR="001A2EE0" w:rsidRPr="007174CF" w:rsidRDefault="001A2EE0" w:rsidP="001A2EE0">
            <w:pPr>
              <w:spacing w:after="0" w:line="240" w:lineRule="auto"/>
              <w:jc w:val="both"/>
              <w:rPr>
                <w:rFonts w:ascii="Times New Roman" w:hAnsi="Times New Roman"/>
                <w:sz w:val="24"/>
                <w:szCs w:val="24"/>
              </w:rPr>
            </w:pPr>
          </w:p>
          <w:p w14:paraId="62C89CC5" w14:textId="77777777" w:rsidR="001A2EE0" w:rsidRPr="007174CF" w:rsidRDefault="001A2EE0" w:rsidP="001A2EE0">
            <w:pPr>
              <w:spacing w:after="0" w:line="240" w:lineRule="auto"/>
              <w:jc w:val="both"/>
              <w:rPr>
                <w:rFonts w:ascii="Times New Roman" w:hAnsi="Times New Roman"/>
                <w:sz w:val="24"/>
                <w:szCs w:val="24"/>
              </w:rPr>
            </w:pPr>
            <w:r w:rsidRPr="007174CF">
              <w:rPr>
                <w:rFonts w:ascii="Times New Roman" w:hAnsi="Times New Roman"/>
                <w:sz w:val="24"/>
                <w:szCs w:val="24"/>
              </w:rPr>
              <w:t>(par direktīvas 4.c panta 1. punktu)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394D3645" w14:textId="6469FD77" w:rsidR="001A2EE0" w:rsidRPr="007174CF" w:rsidRDefault="001A2EE0" w:rsidP="00782536">
            <w:pPr>
              <w:spacing w:after="0" w:line="240" w:lineRule="auto"/>
              <w:jc w:val="both"/>
              <w:rPr>
                <w:rFonts w:ascii="Times New Roman" w:hAnsi="Times New Roman"/>
                <w:sz w:val="24"/>
                <w:szCs w:val="24"/>
              </w:rPr>
            </w:pPr>
            <w:r w:rsidRPr="007174CF">
              <w:rPr>
                <w:rFonts w:ascii="Times New Roman" w:hAnsi="Times New Roman"/>
                <w:sz w:val="24"/>
                <w:szCs w:val="24"/>
              </w:rPr>
              <w:t>Projekta</w:t>
            </w:r>
            <w:r w:rsidR="00ED188C">
              <w:rPr>
                <w:rFonts w:ascii="Times New Roman" w:hAnsi="Times New Roman"/>
                <w:sz w:val="24"/>
                <w:szCs w:val="24"/>
              </w:rPr>
              <w:t xml:space="preserve"> </w:t>
            </w:r>
            <w:r w:rsidR="00ED188C" w:rsidRPr="007174CF">
              <w:rPr>
                <w:rFonts w:ascii="Times New Roman" w:hAnsi="Times New Roman"/>
                <w:sz w:val="24"/>
                <w:szCs w:val="24"/>
              </w:rPr>
              <w:t>5</w:t>
            </w:r>
            <w:r w:rsidR="00ED188C">
              <w:rPr>
                <w:rFonts w:ascii="Times New Roman" w:hAnsi="Times New Roman"/>
                <w:sz w:val="24"/>
                <w:szCs w:val="24"/>
              </w:rPr>
              <w:t>4</w:t>
            </w:r>
            <w:r w:rsidR="00ED188C" w:rsidRPr="007174CF">
              <w:rPr>
                <w:rFonts w:ascii="Times New Roman" w:hAnsi="Times New Roman"/>
                <w:sz w:val="24"/>
                <w:szCs w:val="24"/>
              </w:rPr>
              <w:t>.2. apakšpunkt</w:t>
            </w:r>
            <w:r w:rsidR="00ED188C">
              <w:rPr>
                <w:rFonts w:ascii="Times New Roman" w:hAnsi="Times New Roman"/>
                <w:sz w:val="24"/>
                <w:szCs w:val="24"/>
              </w:rPr>
              <w:t>s</w:t>
            </w:r>
            <w:r w:rsidRPr="007174CF">
              <w:rPr>
                <w:rFonts w:ascii="Times New Roman" w:hAnsi="Times New Roman"/>
                <w:sz w:val="24"/>
                <w:szCs w:val="24"/>
              </w:rPr>
              <w:t xml:space="preserve"> </w:t>
            </w:r>
          </w:p>
          <w:p w14:paraId="6227CAB5" w14:textId="77777777" w:rsidR="001A2EE0" w:rsidRPr="007174CF" w:rsidRDefault="001A2EE0" w:rsidP="001A2EE0">
            <w:pPr>
              <w:spacing w:after="0" w:line="240" w:lineRule="auto"/>
              <w:jc w:val="both"/>
              <w:rPr>
                <w:rFonts w:ascii="Times New Roman" w:hAnsi="Times New Roman"/>
                <w:sz w:val="24"/>
                <w:szCs w:val="24"/>
              </w:rPr>
            </w:pPr>
          </w:p>
          <w:p w14:paraId="04153933" w14:textId="2B987332" w:rsidR="001A2EE0" w:rsidRPr="007174CF" w:rsidRDefault="001A2EE0" w:rsidP="001A2EE0">
            <w:pPr>
              <w:spacing w:after="0" w:line="240" w:lineRule="auto"/>
              <w:jc w:val="both"/>
              <w:rPr>
                <w:rFonts w:ascii="Times New Roman" w:hAnsi="Times New Roman"/>
                <w:sz w:val="24"/>
                <w:szCs w:val="24"/>
              </w:rPr>
            </w:pPr>
            <w:r w:rsidRPr="007174CF">
              <w:rPr>
                <w:rFonts w:ascii="Times New Roman" w:hAnsi="Times New Roman"/>
                <w:sz w:val="24"/>
                <w:szCs w:val="24"/>
              </w:rPr>
              <w:t>Direktīvas 2005/36/EK 4.c panta 1.punkta ceturtajā teikumā paredzēto noteikumu attiecībā uz deklarāciju iesniegšanu ir paredzēts iestrādāt grozījumos Ministru kabineta 2009.gada 28.jūlija noteikumos Nr.818 „Noteikumi par īslaicīgu profesionālo pakalpojumu sniegšanu Latvijas Republikā reglamentētā profesijā”.</w:t>
            </w:r>
          </w:p>
        </w:tc>
        <w:tc>
          <w:tcPr>
            <w:tcW w:w="1496" w:type="pct"/>
            <w:gridSpan w:val="3"/>
            <w:tcBorders>
              <w:top w:val="single" w:sz="4" w:space="0" w:color="auto"/>
              <w:left w:val="single" w:sz="4" w:space="0" w:color="auto"/>
              <w:bottom w:val="single" w:sz="4" w:space="0" w:color="auto"/>
              <w:right w:val="single" w:sz="4" w:space="0" w:color="auto"/>
            </w:tcBorders>
          </w:tcPr>
          <w:p w14:paraId="3D3FFA59" w14:textId="77777777" w:rsidR="001A2EE0" w:rsidRPr="007174CF" w:rsidRDefault="001A2EE0" w:rsidP="001A2EE0">
            <w:pPr>
              <w:spacing w:after="0" w:line="240" w:lineRule="auto"/>
              <w:jc w:val="both"/>
              <w:rPr>
                <w:rFonts w:ascii="Times New Roman" w:hAnsi="Times New Roman"/>
                <w:sz w:val="24"/>
                <w:szCs w:val="24"/>
                <w:lang w:eastAsia="lv-LV"/>
              </w:rPr>
            </w:pPr>
            <w:r w:rsidRPr="007174CF">
              <w:rPr>
                <w:rFonts w:ascii="Times New Roman" w:hAnsi="Times New Roman"/>
                <w:sz w:val="24"/>
                <w:szCs w:val="24"/>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5A73F13C" w14:textId="77777777" w:rsidR="001A2EE0" w:rsidRPr="007174CF" w:rsidRDefault="001A2EE0" w:rsidP="001A2EE0">
            <w:pPr>
              <w:spacing w:after="0" w:line="240" w:lineRule="auto"/>
              <w:jc w:val="both"/>
              <w:rPr>
                <w:rFonts w:ascii="Times New Roman" w:hAnsi="Times New Roman"/>
                <w:sz w:val="24"/>
                <w:szCs w:val="24"/>
                <w:lang w:eastAsia="lv-LV"/>
              </w:rPr>
            </w:pPr>
            <w:r w:rsidRPr="007174CF">
              <w:rPr>
                <w:rFonts w:ascii="Times New Roman" w:hAnsi="Times New Roman"/>
                <w:sz w:val="24"/>
                <w:szCs w:val="24"/>
                <w:lang w:eastAsia="lv-LV"/>
              </w:rPr>
              <w:t>Neparedzēs stingrākas prasības.</w:t>
            </w:r>
          </w:p>
        </w:tc>
      </w:tr>
      <w:tr w:rsidR="001A2EE0" w14:paraId="42A73069"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701065F3"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5) daļa </w:t>
            </w:r>
          </w:p>
          <w:p w14:paraId="40240048" w14:textId="77777777" w:rsidR="001A2EE0" w:rsidRPr="0043316D" w:rsidRDefault="001A2EE0" w:rsidP="001A2EE0">
            <w:pPr>
              <w:spacing w:after="0" w:line="240" w:lineRule="auto"/>
              <w:jc w:val="both"/>
              <w:rPr>
                <w:rFonts w:ascii="Times New Roman" w:hAnsi="Times New Roman"/>
                <w:sz w:val="26"/>
                <w:szCs w:val="26"/>
              </w:rPr>
            </w:pPr>
          </w:p>
          <w:p w14:paraId="402B9E4D" w14:textId="4860F372"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lastRenderedPageBreak/>
              <w:t xml:space="preserve">(par direktīvas 4.c panta </w:t>
            </w:r>
            <w:r>
              <w:rPr>
                <w:rFonts w:ascii="Times New Roman" w:hAnsi="Times New Roman"/>
                <w:sz w:val="26"/>
                <w:szCs w:val="26"/>
              </w:rPr>
              <w:t>3</w:t>
            </w:r>
            <w:r w:rsidRPr="0043316D">
              <w:rPr>
                <w:rFonts w:ascii="Times New Roman" w:hAnsi="Times New Roman"/>
                <w:sz w:val="26"/>
                <w:szCs w:val="26"/>
              </w:rPr>
              <w:t>. punktu)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53ABD82B" w14:textId="05DBBA06" w:rsidR="001A2EE0" w:rsidRPr="0043316D" w:rsidRDefault="001A2EE0" w:rsidP="000D2D48">
            <w:pPr>
              <w:spacing w:after="0" w:line="240" w:lineRule="auto"/>
              <w:jc w:val="both"/>
              <w:rPr>
                <w:rFonts w:ascii="Times New Roman" w:hAnsi="Times New Roman"/>
                <w:sz w:val="26"/>
                <w:szCs w:val="26"/>
              </w:rPr>
            </w:pPr>
            <w:r w:rsidRPr="0043316D">
              <w:rPr>
                <w:rFonts w:ascii="Times New Roman" w:hAnsi="Times New Roman"/>
                <w:sz w:val="26"/>
                <w:szCs w:val="26"/>
              </w:rPr>
              <w:lastRenderedPageBreak/>
              <w:t xml:space="preserve">Projekta </w:t>
            </w:r>
            <w:r w:rsidR="00E942BE">
              <w:rPr>
                <w:rFonts w:ascii="Times New Roman" w:hAnsi="Times New Roman"/>
                <w:bCs/>
                <w:sz w:val="26"/>
                <w:szCs w:val="26"/>
              </w:rPr>
              <w:t xml:space="preserve">52. punkts un </w:t>
            </w:r>
            <w:r w:rsidR="00E942BE">
              <w:rPr>
                <w:rFonts w:ascii="Times New Roman" w:hAnsi="Times New Roman"/>
                <w:sz w:val="26"/>
                <w:szCs w:val="26"/>
              </w:rPr>
              <w:t>53.2.</w:t>
            </w:r>
            <w:r w:rsidR="00E942BE" w:rsidRPr="00E15F6F">
              <w:t xml:space="preserve"> </w:t>
            </w:r>
            <w:r w:rsidR="00E942BE" w:rsidRPr="001856E9">
              <w:rPr>
                <w:bCs/>
                <w:vertAlign w:val="superscript"/>
              </w:rPr>
              <w:t xml:space="preserve"> </w:t>
            </w:r>
            <w:r w:rsidR="00E942BE" w:rsidRPr="00681DC4">
              <w:rPr>
                <w:rFonts w:ascii="Times New Roman" w:hAnsi="Times New Roman"/>
                <w:bCs/>
                <w:sz w:val="26"/>
                <w:szCs w:val="26"/>
              </w:rPr>
              <w:t>apakš</w:t>
            </w:r>
            <w:r w:rsidR="00E942BE" w:rsidRPr="0043316D">
              <w:rPr>
                <w:rFonts w:ascii="Times New Roman" w:hAnsi="Times New Roman"/>
                <w:sz w:val="26"/>
                <w:szCs w:val="26"/>
              </w:rPr>
              <w:t>punkt</w:t>
            </w:r>
            <w:r w:rsidR="00E942BE">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0290DAD8"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0A282F31"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5D87B73B"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3E003B28"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lastRenderedPageBreak/>
              <w:t>Grozījumu direktīvas 1.panta 5) daļa (par direktīvas</w:t>
            </w:r>
            <w:r w:rsidRPr="0043316D">
              <w:rPr>
                <w:rFonts w:ascii="Times New Roman" w:hAnsi="Times New Roman"/>
                <w:sz w:val="26"/>
                <w:szCs w:val="26"/>
              </w:rPr>
              <w:t xml:space="preserve"> 4.c. panta 2.punktu un 4.d panta 7.punktu)</w:t>
            </w:r>
          </w:p>
        </w:tc>
        <w:tc>
          <w:tcPr>
            <w:tcW w:w="1299" w:type="pct"/>
            <w:gridSpan w:val="3"/>
            <w:tcBorders>
              <w:top w:val="single" w:sz="4" w:space="0" w:color="auto"/>
              <w:left w:val="single" w:sz="4" w:space="0" w:color="auto"/>
              <w:bottom w:val="single" w:sz="4" w:space="0" w:color="auto"/>
              <w:right w:val="single" w:sz="4" w:space="0" w:color="auto"/>
            </w:tcBorders>
            <w:shd w:val="clear" w:color="auto" w:fill="auto"/>
          </w:tcPr>
          <w:p w14:paraId="29EA55AF" w14:textId="597C2E47"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0D2D48">
              <w:rPr>
                <w:rFonts w:ascii="Times New Roman" w:hAnsi="Times New Roman"/>
                <w:sz w:val="26"/>
                <w:szCs w:val="26"/>
              </w:rPr>
              <w:t>61</w:t>
            </w:r>
            <w:r>
              <w:rPr>
                <w:rFonts w:ascii="Times New Roman" w:hAnsi="Times New Roman"/>
                <w:sz w:val="26"/>
                <w:szCs w:val="26"/>
              </w:rPr>
              <w:t>.</w:t>
            </w:r>
            <w:r w:rsidRPr="0043316D">
              <w:rPr>
                <w:rFonts w:ascii="Times New Roman" w:hAnsi="Times New Roman"/>
                <w:sz w:val="26"/>
                <w:szCs w:val="26"/>
              </w:rPr>
              <w:t xml:space="preserve">punkts </w:t>
            </w:r>
          </w:p>
          <w:p w14:paraId="1DE5E07C" w14:textId="77777777" w:rsidR="001A2EE0" w:rsidRPr="0043316D" w:rsidRDefault="001A2EE0" w:rsidP="001A2EE0">
            <w:pPr>
              <w:spacing w:after="0" w:line="240" w:lineRule="auto"/>
              <w:jc w:val="both"/>
              <w:rPr>
                <w:rFonts w:ascii="Times New Roman" w:hAnsi="Times New Roman"/>
                <w:sz w:val="26"/>
                <w:szCs w:val="26"/>
              </w:rPr>
            </w:pPr>
          </w:p>
          <w:p w14:paraId="16E1BA95" w14:textId="2E8A110F" w:rsidR="001A2EE0" w:rsidRPr="0043316D" w:rsidRDefault="001A2EE0" w:rsidP="001A2EE0">
            <w:pPr>
              <w:spacing w:after="0" w:line="240" w:lineRule="auto"/>
              <w:jc w:val="both"/>
              <w:rPr>
                <w:rFonts w:ascii="Times New Roman" w:hAnsi="Times New Roman"/>
                <w:b/>
                <w:i/>
                <w:sz w:val="26"/>
                <w:szCs w:val="26"/>
              </w:rPr>
            </w:pPr>
          </w:p>
        </w:tc>
        <w:tc>
          <w:tcPr>
            <w:tcW w:w="1478" w:type="pct"/>
            <w:gridSpan w:val="2"/>
            <w:tcBorders>
              <w:top w:val="single" w:sz="4" w:space="0" w:color="auto"/>
              <w:left w:val="single" w:sz="4" w:space="0" w:color="auto"/>
              <w:bottom w:val="single" w:sz="4" w:space="0" w:color="auto"/>
              <w:right w:val="single" w:sz="4" w:space="0" w:color="auto"/>
            </w:tcBorders>
          </w:tcPr>
          <w:p w14:paraId="6CBFAF2E"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10B07BBD"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02ECCC09"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0BCEE46D"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5) daļa </w:t>
            </w:r>
          </w:p>
          <w:p w14:paraId="1B1DE132" w14:textId="77777777" w:rsidR="001A2EE0" w:rsidRPr="0043316D" w:rsidRDefault="001A2EE0" w:rsidP="001A2EE0">
            <w:pPr>
              <w:spacing w:after="0" w:line="240" w:lineRule="auto"/>
              <w:jc w:val="both"/>
              <w:rPr>
                <w:rFonts w:ascii="Times New Roman" w:hAnsi="Times New Roman"/>
                <w:sz w:val="26"/>
                <w:szCs w:val="26"/>
              </w:rPr>
            </w:pPr>
          </w:p>
          <w:p w14:paraId="64550C76" w14:textId="77777777"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(par direktīvas 4.c panta 4. punktu)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2DCBE7C8" w14:textId="01BD3E80"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0D2D48">
              <w:rPr>
                <w:rFonts w:ascii="Times New Roman" w:hAnsi="Times New Roman"/>
                <w:sz w:val="26"/>
                <w:szCs w:val="26"/>
              </w:rPr>
              <w:t>56</w:t>
            </w:r>
            <w:r w:rsidRPr="0043316D">
              <w:rPr>
                <w:rFonts w:ascii="Times New Roman" w:hAnsi="Times New Roman"/>
                <w:sz w:val="26"/>
                <w:szCs w:val="26"/>
              </w:rPr>
              <w:t xml:space="preserve">.punkts </w:t>
            </w:r>
          </w:p>
          <w:p w14:paraId="0287A021" w14:textId="77777777" w:rsidR="001A2EE0" w:rsidRPr="0043316D" w:rsidRDefault="001A2EE0" w:rsidP="001A2EE0">
            <w:pPr>
              <w:spacing w:after="0" w:line="240" w:lineRule="auto"/>
              <w:jc w:val="both"/>
              <w:rPr>
                <w:rFonts w:ascii="Times New Roman" w:hAnsi="Times New Roman"/>
                <w:sz w:val="26"/>
                <w:szCs w:val="26"/>
              </w:rPr>
            </w:pPr>
          </w:p>
          <w:p w14:paraId="2816B582" w14:textId="10F323A9" w:rsidR="001A2EE0" w:rsidRPr="0043316D" w:rsidRDefault="001A2EE0" w:rsidP="001A2EE0">
            <w:pPr>
              <w:spacing w:after="0" w:line="240" w:lineRule="auto"/>
              <w:jc w:val="both"/>
              <w:rPr>
                <w:rFonts w:ascii="Times New Roman" w:hAnsi="Times New Roman"/>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0A3DF374"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05B16E9A"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rsidRPr="00356E5F" w14:paraId="0F55313E"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0A351BB5" w14:textId="77777777" w:rsidR="001A2EE0" w:rsidRPr="00E93790" w:rsidRDefault="001A2EE0" w:rsidP="001A2EE0">
            <w:pPr>
              <w:spacing w:after="0" w:line="240" w:lineRule="auto"/>
              <w:jc w:val="both"/>
              <w:rPr>
                <w:rFonts w:ascii="Times New Roman" w:hAnsi="Times New Roman"/>
                <w:sz w:val="26"/>
                <w:szCs w:val="26"/>
              </w:rPr>
            </w:pPr>
            <w:r w:rsidRPr="00E93790">
              <w:rPr>
                <w:rFonts w:ascii="Times New Roman" w:hAnsi="Times New Roman"/>
                <w:sz w:val="26"/>
                <w:szCs w:val="26"/>
              </w:rPr>
              <w:t xml:space="preserve">Grozījumu direktīvas 1.panta 5) daļa </w:t>
            </w:r>
          </w:p>
          <w:p w14:paraId="327492A5" w14:textId="77777777" w:rsidR="001A2EE0" w:rsidRPr="00E93790" w:rsidRDefault="001A2EE0" w:rsidP="001A2EE0">
            <w:pPr>
              <w:spacing w:after="0" w:line="240" w:lineRule="auto"/>
              <w:jc w:val="both"/>
              <w:rPr>
                <w:rFonts w:ascii="Times New Roman" w:hAnsi="Times New Roman"/>
                <w:sz w:val="26"/>
                <w:szCs w:val="26"/>
              </w:rPr>
            </w:pPr>
          </w:p>
          <w:p w14:paraId="3D2A9E01" w14:textId="77777777" w:rsidR="001A2EE0" w:rsidRPr="00E93790" w:rsidRDefault="001A2EE0" w:rsidP="001A2EE0">
            <w:pPr>
              <w:spacing w:after="0" w:line="240" w:lineRule="auto"/>
              <w:jc w:val="both"/>
              <w:rPr>
                <w:rFonts w:ascii="Times New Roman" w:hAnsi="Times New Roman"/>
                <w:sz w:val="26"/>
                <w:szCs w:val="26"/>
              </w:rPr>
            </w:pPr>
            <w:r w:rsidRPr="00E93790">
              <w:rPr>
                <w:rFonts w:ascii="Times New Roman" w:hAnsi="Times New Roman"/>
                <w:sz w:val="26"/>
                <w:szCs w:val="26"/>
              </w:rPr>
              <w:t>(par direktīvas 4.d panta 1. punktu)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4903811D" w14:textId="5C319EB8" w:rsidR="001A2EE0" w:rsidRPr="00E93790" w:rsidRDefault="001A2EE0" w:rsidP="000D2D48">
            <w:pPr>
              <w:spacing w:after="0" w:line="240" w:lineRule="auto"/>
              <w:jc w:val="both"/>
              <w:rPr>
                <w:rFonts w:ascii="Times New Roman" w:hAnsi="Times New Roman"/>
                <w:sz w:val="26"/>
                <w:szCs w:val="26"/>
              </w:rPr>
            </w:pPr>
            <w:r w:rsidRPr="00E93790">
              <w:rPr>
                <w:rFonts w:ascii="Times New Roman" w:hAnsi="Times New Roman"/>
                <w:sz w:val="26"/>
                <w:szCs w:val="26"/>
              </w:rPr>
              <w:t xml:space="preserve">Projekta </w:t>
            </w:r>
            <w:r w:rsidR="000D2D48">
              <w:rPr>
                <w:rFonts w:ascii="Times New Roman" w:hAnsi="Times New Roman"/>
                <w:sz w:val="26"/>
                <w:szCs w:val="26"/>
              </w:rPr>
              <w:t>62.2</w:t>
            </w:r>
            <w:r w:rsidR="000D2D48" w:rsidRPr="00E93790">
              <w:rPr>
                <w:rFonts w:ascii="Times New Roman" w:hAnsi="Times New Roman"/>
                <w:sz w:val="26"/>
                <w:szCs w:val="26"/>
              </w:rPr>
              <w:t>. apakšpunkt</w:t>
            </w:r>
            <w:r w:rsidR="000D2D48">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267D1D17" w14:textId="77777777" w:rsidR="001A2EE0" w:rsidRPr="00E93790" w:rsidRDefault="001A2EE0" w:rsidP="001A2EE0">
            <w:pPr>
              <w:spacing w:after="0" w:line="240" w:lineRule="auto"/>
              <w:jc w:val="both"/>
              <w:rPr>
                <w:rFonts w:ascii="Times New Roman" w:hAnsi="Times New Roman"/>
                <w:sz w:val="26"/>
                <w:szCs w:val="26"/>
                <w:lang w:eastAsia="lv-LV"/>
              </w:rPr>
            </w:pPr>
            <w:r w:rsidRPr="00E93790">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28D1AFE2" w14:textId="77777777" w:rsidR="001A2EE0" w:rsidRPr="00E93790" w:rsidRDefault="001A2EE0" w:rsidP="001A2EE0">
            <w:pPr>
              <w:spacing w:after="0" w:line="240" w:lineRule="auto"/>
              <w:jc w:val="both"/>
              <w:rPr>
                <w:rFonts w:ascii="Times New Roman" w:hAnsi="Times New Roman"/>
                <w:sz w:val="26"/>
                <w:szCs w:val="26"/>
                <w:lang w:eastAsia="lv-LV"/>
              </w:rPr>
            </w:pPr>
            <w:r w:rsidRPr="00E93790">
              <w:rPr>
                <w:rFonts w:ascii="Times New Roman" w:hAnsi="Times New Roman"/>
                <w:sz w:val="26"/>
                <w:szCs w:val="26"/>
                <w:lang w:eastAsia="lv-LV"/>
              </w:rPr>
              <w:t>Neparedzēs stingrākas prasības.</w:t>
            </w:r>
          </w:p>
        </w:tc>
      </w:tr>
      <w:tr w:rsidR="001A2EE0" w14:paraId="37A049DB"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5EAC68FA"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5) daļa </w:t>
            </w:r>
          </w:p>
          <w:p w14:paraId="1744184A" w14:textId="77777777" w:rsidR="001A2EE0" w:rsidRPr="0043316D" w:rsidRDefault="001A2EE0" w:rsidP="001A2EE0">
            <w:pPr>
              <w:spacing w:after="0" w:line="240" w:lineRule="auto"/>
              <w:jc w:val="both"/>
              <w:rPr>
                <w:rFonts w:ascii="Times New Roman" w:hAnsi="Times New Roman"/>
                <w:sz w:val="26"/>
                <w:szCs w:val="26"/>
              </w:rPr>
            </w:pPr>
          </w:p>
          <w:p w14:paraId="2A647DB7" w14:textId="77777777"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(par direktīvas 4.d panta 2., 3. punktu)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25543AE7" w14:textId="0BA59F57" w:rsidR="001A2EE0" w:rsidRPr="0043316D" w:rsidRDefault="001A2EE0" w:rsidP="000D2D48">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0D2D48">
              <w:rPr>
                <w:rFonts w:ascii="Times New Roman" w:hAnsi="Times New Roman"/>
                <w:sz w:val="26"/>
                <w:szCs w:val="26"/>
              </w:rPr>
              <w:t>55</w:t>
            </w:r>
            <w:r w:rsidR="000D2D48" w:rsidRPr="0043316D">
              <w:rPr>
                <w:rFonts w:ascii="Times New Roman" w:hAnsi="Times New Roman"/>
                <w:sz w:val="26"/>
                <w:szCs w:val="26"/>
              </w:rPr>
              <w:t>.3. apakšpunkt</w:t>
            </w:r>
            <w:r w:rsidR="000D2D48">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2B6476CD"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482E69DE" w14:textId="2BEC9FEB"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r>
              <w:rPr>
                <w:rFonts w:ascii="Times New Roman" w:hAnsi="Times New Roman"/>
                <w:sz w:val="26"/>
                <w:szCs w:val="26"/>
                <w:lang w:eastAsia="lv-LV"/>
              </w:rPr>
              <w:t xml:space="preserve"> attiecībā uz direktīvas 4.d panta 2.punktu, bet paredzēs daļēji stingrākas prasības attiecībā uz direktīvas 4.d panta 3.punktu. Projekta paredz, ka fizioterapeita profesijā lēmums par EPK izdošanu ir jāpieņem viena mēneša laikā saskaņā ar Administratīvā procesa likumu, bet direktīvas 4.d panta </w:t>
            </w:r>
            <w:r>
              <w:rPr>
                <w:rFonts w:ascii="Times New Roman" w:hAnsi="Times New Roman"/>
                <w:sz w:val="26"/>
                <w:szCs w:val="26"/>
                <w:lang w:eastAsia="lv-LV"/>
              </w:rPr>
              <w:lastRenderedPageBreak/>
              <w:t>3.punkts paredz divus mēnešus šī lēmuma pieņemšanai. Tomēr nepieciešamības gadījumā šī lēmuma pieņemšanas termiņš var tikt pagarināts kopumā par vienu mēnesi un četrām nedēļām (noteikumu 56.5.apakšpunkts).</w:t>
            </w:r>
          </w:p>
        </w:tc>
      </w:tr>
      <w:tr w:rsidR="001A2EE0" w14:paraId="13F9231C"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50EB8F8A"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lastRenderedPageBreak/>
              <w:t xml:space="preserve">Grozījumu direktīvas 1.panta 5) daļa </w:t>
            </w:r>
          </w:p>
          <w:p w14:paraId="77EE7C78" w14:textId="77777777" w:rsidR="001A2EE0" w:rsidRPr="0043316D" w:rsidRDefault="001A2EE0" w:rsidP="001A2EE0">
            <w:pPr>
              <w:spacing w:after="0" w:line="240" w:lineRule="auto"/>
              <w:jc w:val="both"/>
              <w:rPr>
                <w:rFonts w:ascii="Times New Roman" w:hAnsi="Times New Roman"/>
                <w:sz w:val="26"/>
                <w:szCs w:val="26"/>
              </w:rPr>
            </w:pPr>
          </w:p>
          <w:p w14:paraId="1329F18C" w14:textId="77777777"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(pa</w:t>
            </w:r>
            <w:r>
              <w:rPr>
                <w:rFonts w:ascii="Times New Roman" w:hAnsi="Times New Roman"/>
                <w:sz w:val="26"/>
                <w:szCs w:val="26"/>
              </w:rPr>
              <w:t>r direktīvas 4.d panta 4. punktu</w:t>
            </w:r>
            <w:r w:rsidRPr="0043316D">
              <w:rPr>
                <w:rFonts w:ascii="Times New Roman" w:hAnsi="Times New Roman"/>
                <w:sz w:val="26"/>
                <w:szCs w:val="26"/>
              </w:rPr>
              <w:t>)</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123E8A26" w14:textId="35F484C3" w:rsidR="001A2EE0" w:rsidRPr="0043316D" w:rsidRDefault="001A2EE0" w:rsidP="00523FDD">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0D2D48">
              <w:rPr>
                <w:rFonts w:ascii="Times New Roman" w:hAnsi="Times New Roman"/>
                <w:sz w:val="26"/>
                <w:szCs w:val="26"/>
              </w:rPr>
              <w:t>57.</w:t>
            </w:r>
            <w:r w:rsidR="000D2D48" w:rsidRPr="00E93790">
              <w:rPr>
                <w:rFonts w:ascii="Times New Roman" w:hAnsi="Times New Roman"/>
                <w:sz w:val="26"/>
                <w:szCs w:val="26"/>
              </w:rPr>
              <w:t>4</w:t>
            </w:r>
            <w:r w:rsidR="000D2D48" w:rsidRPr="00423102">
              <w:rPr>
                <w:rFonts w:ascii="Times New Roman" w:hAnsi="Times New Roman"/>
                <w:sz w:val="26"/>
                <w:szCs w:val="26"/>
              </w:rPr>
              <w:t>.</w:t>
            </w:r>
            <w:r w:rsidR="000D2D48" w:rsidRPr="007A0B5F">
              <w:t xml:space="preserve"> </w:t>
            </w:r>
            <w:r w:rsidR="000D2D48" w:rsidRPr="00DA0686">
              <w:rPr>
                <w:rFonts w:ascii="Times New Roman" w:hAnsi="Times New Roman"/>
                <w:sz w:val="26"/>
                <w:szCs w:val="26"/>
              </w:rPr>
              <w:t xml:space="preserve"> </w:t>
            </w:r>
            <w:r w:rsidR="000D2D48" w:rsidRPr="00C509D8">
              <w:rPr>
                <w:rFonts w:ascii="Times New Roman" w:hAnsi="Times New Roman"/>
                <w:sz w:val="26"/>
                <w:szCs w:val="26"/>
              </w:rPr>
              <w:t>apakšpunkt</w:t>
            </w:r>
            <w:r w:rsidR="000D2D48">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04468410"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20450C64"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51058FD7"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5FDB40FA"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5) daļa </w:t>
            </w:r>
          </w:p>
          <w:p w14:paraId="7958AA5B" w14:textId="77777777" w:rsidR="001A2EE0" w:rsidRPr="0043316D" w:rsidRDefault="001A2EE0" w:rsidP="001A2EE0">
            <w:pPr>
              <w:spacing w:after="0" w:line="240" w:lineRule="auto"/>
              <w:jc w:val="both"/>
              <w:rPr>
                <w:rFonts w:ascii="Times New Roman" w:hAnsi="Times New Roman"/>
                <w:sz w:val="26"/>
                <w:szCs w:val="26"/>
              </w:rPr>
            </w:pPr>
          </w:p>
          <w:p w14:paraId="598C68B5" w14:textId="77777777"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(par direktīvas 4.d panta 5. punktu)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653D6120" w14:textId="1CFDB24E" w:rsidR="001A2EE0" w:rsidRPr="0043316D" w:rsidRDefault="001A2EE0" w:rsidP="00523FDD">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0D2D48">
              <w:rPr>
                <w:rFonts w:ascii="Times New Roman" w:hAnsi="Times New Roman"/>
                <w:sz w:val="26"/>
                <w:szCs w:val="26"/>
              </w:rPr>
              <w:t>57 5.</w:t>
            </w:r>
            <w:r w:rsidR="000D2D48" w:rsidRPr="007A0B5F">
              <w:t xml:space="preserve"> </w:t>
            </w:r>
            <w:r w:rsidR="000D2D48" w:rsidRPr="0043316D">
              <w:rPr>
                <w:rFonts w:ascii="Times New Roman" w:hAnsi="Times New Roman"/>
                <w:sz w:val="26"/>
                <w:szCs w:val="26"/>
              </w:rPr>
              <w:t>apakšpunkt</w:t>
            </w:r>
            <w:r w:rsidR="000D2D48">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7EC3F2A5"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3E40A4F8"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0A9BEAC9"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0856EED1"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5) daļa </w:t>
            </w:r>
          </w:p>
          <w:p w14:paraId="0A148825" w14:textId="77777777" w:rsidR="001A2EE0" w:rsidRPr="0043316D" w:rsidRDefault="001A2EE0" w:rsidP="001A2EE0">
            <w:pPr>
              <w:spacing w:after="0" w:line="240" w:lineRule="auto"/>
              <w:jc w:val="both"/>
              <w:rPr>
                <w:rFonts w:ascii="Times New Roman" w:hAnsi="Times New Roman"/>
                <w:sz w:val="26"/>
                <w:szCs w:val="26"/>
              </w:rPr>
            </w:pPr>
          </w:p>
          <w:p w14:paraId="50B79A1B" w14:textId="47F5A0EE"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(par direktīvas 4.e panta </w:t>
            </w:r>
            <w:r>
              <w:rPr>
                <w:rFonts w:ascii="Times New Roman" w:hAnsi="Times New Roman"/>
                <w:sz w:val="26"/>
                <w:szCs w:val="26"/>
              </w:rPr>
              <w:t>1.,</w:t>
            </w:r>
            <w:r w:rsidR="004379F7">
              <w:rPr>
                <w:rFonts w:ascii="Times New Roman" w:hAnsi="Times New Roman"/>
                <w:sz w:val="26"/>
                <w:szCs w:val="26"/>
              </w:rPr>
              <w:t xml:space="preserve"> 2.,</w:t>
            </w:r>
            <w:r>
              <w:rPr>
                <w:rFonts w:ascii="Times New Roman" w:hAnsi="Times New Roman"/>
                <w:sz w:val="26"/>
                <w:szCs w:val="26"/>
              </w:rPr>
              <w:t xml:space="preserve"> </w:t>
            </w:r>
            <w:r w:rsidRPr="0043316D">
              <w:rPr>
                <w:rFonts w:ascii="Times New Roman" w:hAnsi="Times New Roman"/>
                <w:sz w:val="26"/>
                <w:szCs w:val="26"/>
              </w:rPr>
              <w:t>3. punktu)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47E28384" w14:textId="53162A99" w:rsidR="001A2EE0" w:rsidRPr="0043316D" w:rsidRDefault="001A2EE0" w:rsidP="00523FDD">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0D2D48">
              <w:rPr>
                <w:rFonts w:ascii="Times New Roman" w:hAnsi="Times New Roman"/>
                <w:sz w:val="26"/>
                <w:szCs w:val="26"/>
              </w:rPr>
              <w:t>53.3</w:t>
            </w:r>
            <w:r w:rsidR="000D2D48" w:rsidRPr="0043316D">
              <w:rPr>
                <w:rFonts w:ascii="Times New Roman" w:hAnsi="Times New Roman"/>
                <w:sz w:val="26"/>
                <w:szCs w:val="26"/>
              </w:rPr>
              <w:t>.</w:t>
            </w:r>
            <w:r w:rsidR="000D2D48">
              <w:rPr>
                <w:rFonts w:ascii="Times New Roman" w:hAnsi="Times New Roman"/>
                <w:sz w:val="26"/>
                <w:szCs w:val="26"/>
              </w:rPr>
              <w:t>,</w:t>
            </w:r>
            <w:r w:rsidR="000D2D48" w:rsidRPr="0043316D">
              <w:rPr>
                <w:rFonts w:ascii="Times New Roman" w:hAnsi="Times New Roman"/>
                <w:sz w:val="26"/>
                <w:szCs w:val="26"/>
              </w:rPr>
              <w:t xml:space="preserve"> </w:t>
            </w:r>
            <w:r w:rsidR="000D2D48">
              <w:rPr>
                <w:rFonts w:ascii="Times New Roman" w:hAnsi="Times New Roman"/>
                <w:sz w:val="26"/>
                <w:szCs w:val="26"/>
              </w:rPr>
              <w:t>53.4</w:t>
            </w:r>
            <w:r w:rsidR="000D2D48" w:rsidRPr="0043316D">
              <w:rPr>
                <w:rFonts w:ascii="Times New Roman" w:hAnsi="Times New Roman"/>
                <w:sz w:val="26"/>
                <w:szCs w:val="26"/>
              </w:rPr>
              <w:t>.</w:t>
            </w:r>
            <w:r w:rsidR="000D2D48">
              <w:rPr>
                <w:rFonts w:ascii="Times New Roman" w:hAnsi="Times New Roman"/>
                <w:sz w:val="26"/>
                <w:szCs w:val="26"/>
              </w:rPr>
              <w:t xml:space="preserve"> </w:t>
            </w:r>
            <w:r w:rsidR="000D2D48" w:rsidRPr="0043316D">
              <w:rPr>
                <w:rFonts w:ascii="Times New Roman" w:hAnsi="Times New Roman"/>
                <w:sz w:val="26"/>
                <w:szCs w:val="26"/>
              </w:rPr>
              <w:t xml:space="preserve"> apakšpunkt</w:t>
            </w:r>
            <w:r w:rsidR="000D2D48">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57DC4574"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38615F90"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4388600D"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2E390FA0"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5) daļa </w:t>
            </w:r>
          </w:p>
          <w:p w14:paraId="5E193FC5" w14:textId="77777777" w:rsidR="001A2EE0" w:rsidRPr="0043316D" w:rsidRDefault="001A2EE0" w:rsidP="001A2EE0">
            <w:pPr>
              <w:spacing w:after="0" w:line="240" w:lineRule="auto"/>
              <w:jc w:val="both"/>
              <w:rPr>
                <w:rFonts w:ascii="Times New Roman" w:hAnsi="Times New Roman"/>
                <w:sz w:val="26"/>
                <w:szCs w:val="26"/>
              </w:rPr>
            </w:pPr>
          </w:p>
          <w:p w14:paraId="09B04FD2" w14:textId="755BA3D0"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(par direktīvas 4.e </w:t>
            </w:r>
            <w:r w:rsidRPr="0043316D">
              <w:rPr>
                <w:rFonts w:ascii="Times New Roman" w:hAnsi="Times New Roman"/>
                <w:sz w:val="26"/>
                <w:szCs w:val="26"/>
              </w:rPr>
              <w:lastRenderedPageBreak/>
              <w:t xml:space="preserve">panta </w:t>
            </w:r>
            <w:r>
              <w:rPr>
                <w:rFonts w:ascii="Times New Roman" w:hAnsi="Times New Roman"/>
                <w:sz w:val="26"/>
                <w:szCs w:val="26"/>
              </w:rPr>
              <w:t>5</w:t>
            </w:r>
            <w:r w:rsidRPr="0043316D">
              <w:rPr>
                <w:rFonts w:ascii="Times New Roman" w:hAnsi="Times New Roman"/>
                <w:sz w:val="26"/>
                <w:szCs w:val="26"/>
              </w:rPr>
              <w:t>.</w:t>
            </w:r>
            <w:r>
              <w:rPr>
                <w:rFonts w:ascii="Times New Roman" w:hAnsi="Times New Roman"/>
                <w:sz w:val="26"/>
                <w:szCs w:val="26"/>
              </w:rPr>
              <w:t xml:space="preserve"> punkta pirmā daļa</w:t>
            </w:r>
            <w:r w:rsidRPr="0043316D">
              <w:rPr>
                <w:rFonts w:ascii="Times New Roman" w:hAnsi="Times New Roman"/>
                <w:sz w:val="26"/>
                <w:szCs w:val="26"/>
              </w:rPr>
              <w:t>)</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4BF2EA4E" w14:textId="146D115E"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lastRenderedPageBreak/>
              <w:t xml:space="preserve">Projekta </w:t>
            </w:r>
            <w:r w:rsidR="000D2D48">
              <w:rPr>
                <w:rFonts w:ascii="Times New Roman" w:hAnsi="Times New Roman"/>
                <w:sz w:val="26"/>
                <w:szCs w:val="26"/>
              </w:rPr>
              <w:t>52</w:t>
            </w:r>
            <w:r w:rsidRPr="0043316D">
              <w:rPr>
                <w:rFonts w:ascii="Times New Roman" w:hAnsi="Times New Roman"/>
                <w:sz w:val="26"/>
                <w:szCs w:val="26"/>
              </w:rPr>
              <w:t xml:space="preserve">.punkts </w:t>
            </w:r>
          </w:p>
          <w:p w14:paraId="411382F6" w14:textId="77777777" w:rsidR="001A2EE0" w:rsidRPr="0043316D" w:rsidRDefault="001A2EE0" w:rsidP="001A2EE0">
            <w:pPr>
              <w:spacing w:after="0" w:line="240" w:lineRule="auto"/>
              <w:jc w:val="both"/>
              <w:rPr>
                <w:rFonts w:ascii="Times New Roman" w:hAnsi="Times New Roman"/>
                <w:sz w:val="26"/>
                <w:szCs w:val="26"/>
              </w:rPr>
            </w:pPr>
          </w:p>
          <w:p w14:paraId="2493DBEE" w14:textId="429AB8CE" w:rsidR="001A2EE0" w:rsidRPr="0043316D" w:rsidRDefault="001A2EE0" w:rsidP="000D2D48">
            <w:pPr>
              <w:spacing w:after="0" w:line="240" w:lineRule="auto"/>
              <w:jc w:val="both"/>
              <w:rPr>
                <w:rFonts w:ascii="Times New Roman" w:hAnsi="Times New Roman"/>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5768F4A7"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707E9789"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6B5A755D"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5B7DA722" w14:textId="77777777"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lastRenderedPageBreak/>
              <w:t xml:space="preserve">Grozījumu direktīvas 1.panta 5) daļa </w:t>
            </w:r>
          </w:p>
          <w:p w14:paraId="7E81BCBB" w14:textId="77777777" w:rsidR="001A2EE0" w:rsidRPr="0043316D" w:rsidRDefault="001A2EE0" w:rsidP="001A2EE0">
            <w:pPr>
              <w:spacing w:after="0" w:line="240" w:lineRule="auto"/>
              <w:jc w:val="both"/>
              <w:rPr>
                <w:rFonts w:ascii="Times New Roman" w:hAnsi="Times New Roman"/>
                <w:sz w:val="26"/>
                <w:szCs w:val="26"/>
              </w:rPr>
            </w:pPr>
          </w:p>
          <w:p w14:paraId="52325C07" w14:textId="43857E18"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(par direktīvas 4.e panta </w:t>
            </w:r>
            <w:r>
              <w:rPr>
                <w:rFonts w:ascii="Times New Roman" w:hAnsi="Times New Roman"/>
                <w:sz w:val="26"/>
                <w:szCs w:val="26"/>
              </w:rPr>
              <w:t>5</w:t>
            </w:r>
            <w:r w:rsidRPr="0043316D">
              <w:rPr>
                <w:rFonts w:ascii="Times New Roman" w:hAnsi="Times New Roman"/>
                <w:sz w:val="26"/>
                <w:szCs w:val="26"/>
              </w:rPr>
              <w:t>.</w:t>
            </w:r>
            <w:r>
              <w:rPr>
                <w:rFonts w:ascii="Times New Roman" w:hAnsi="Times New Roman"/>
                <w:sz w:val="26"/>
                <w:szCs w:val="26"/>
              </w:rPr>
              <w:t xml:space="preserve"> punkta otrā daļa</w:t>
            </w:r>
            <w:r w:rsidRPr="0043316D">
              <w:rPr>
                <w:rFonts w:ascii="Times New Roman" w:hAnsi="Times New Roman"/>
                <w:sz w:val="26"/>
                <w:szCs w:val="26"/>
              </w:rPr>
              <w:t>)</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39CCF317" w14:textId="184B7CC8" w:rsidR="001A2EE0" w:rsidRPr="0043316D" w:rsidRDefault="001A2EE0" w:rsidP="00523FDD">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782536">
              <w:rPr>
                <w:rFonts w:ascii="Times New Roman" w:hAnsi="Times New Roman"/>
                <w:sz w:val="26"/>
                <w:szCs w:val="26"/>
              </w:rPr>
              <w:t>53.5., 58.</w:t>
            </w:r>
            <w:r w:rsidR="00782536" w:rsidRPr="00E93790">
              <w:rPr>
                <w:rFonts w:ascii="Times New Roman" w:hAnsi="Times New Roman"/>
                <w:sz w:val="26"/>
                <w:szCs w:val="26"/>
              </w:rPr>
              <w:t xml:space="preserve">4. </w:t>
            </w:r>
            <w:r w:rsidR="00782536">
              <w:rPr>
                <w:rFonts w:ascii="Times New Roman" w:hAnsi="Times New Roman"/>
                <w:sz w:val="26"/>
                <w:szCs w:val="26"/>
              </w:rPr>
              <w:t xml:space="preserve"> </w:t>
            </w:r>
            <w:r w:rsidR="00782536" w:rsidRPr="0043316D">
              <w:rPr>
                <w:rFonts w:ascii="Times New Roman" w:hAnsi="Times New Roman"/>
                <w:sz w:val="26"/>
                <w:szCs w:val="26"/>
              </w:rPr>
              <w:t xml:space="preserve"> </w:t>
            </w:r>
            <w:r w:rsidR="00782536">
              <w:rPr>
                <w:rFonts w:ascii="Times New Roman" w:hAnsi="Times New Roman"/>
                <w:sz w:val="26"/>
                <w:szCs w:val="26"/>
              </w:rPr>
              <w:t xml:space="preserve"> </w:t>
            </w:r>
            <w:r w:rsidR="00782536" w:rsidRPr="0043316D">
              <w:rPr>
                <w:rFonts w:ascii="Times New Roman" w:hAnsi="Times New Roman"/>
                <w:sz w:val="26"/>
                <w:szCs w:val="26"/>
              </w:rPr>
              <w:t xml:space="preserve"> apakšpunkt</w:t>
            </w:r>
            <w:r w:rsidR="00782536">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06968EED"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58F5DE35"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BF677D" w:rsidRPr="00BF677D" w14:paraId="5F7A10A4"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1D2B12CB" w14:textId="77777777" w:rsidR="00BF677D" w:rsidRPr="00BF677D" w:rsidRDefault="00BF677D" w:rsidP="0065771A">
            <w:pPr>
              <w:spacing w:after="0" w:line="240" w:lineRule="auto"/>
              <w:jc w:val="both"/>
              <w:rPr>
                <w:rFonts w:ascii="Times New Roman" w:hAnsi="Times New Roman"/>
                <w:sz w:val="26"/>
                <w:szCs w:val="26"/>
              </w:rPr>
            </w:pPr>
            <w:r w:rsidRPr="00BF677D">
              <w:rPr>
                <w:rFonts w:ascii="Times New Roman" w:hAnsi="Times New Roman"/>
                <w:sz w:val="26"/>
                <w:szCs w:val="26"/>
              </w:rPr>
              <w:t xml:space="preserve">Grozījumu direktīvas 1.panta 5) daļa </w:t>
            </w:r>
          </w:p>
          <w:p w14:paraId="187CB5D0" w14:textId="77777777" w:rsidR="00BF677D" w:rsidRPr="00BF677D" w:rsidRDefault="00BF677D" w:rsidP="0065771A">
            <w:pPr>
              <w:spacing w:after="0" w:line="240" w:lineRule="auto"/>
              <w:jc w:val="both"/>
              <w:rPr>
                <w:rFonts w:ascii="Times New Roman" w:hAnsi="Times New Roman"/>
                <w:sz w:val="26"/>
                <w:szCs w:val="26"/>
              </w:rPr>
            </w:pPr>
          </w:p>
          <w:p w14:paraId="0357B728" w14:textId="41F107B1" w:rsidR="00BF677D" w:rsidRPr="00BF677D" w:rsidRDefault="00BF677D" w:rsidP="00BF677D">
            <w:pPr>
              <w:spacing w:after="0" w:line="240" w:lineRule="auto"/>
              <w:jc w:val="both"/>
              <w:rPr>
                <w:rFonts w:ascii="Times New Roman" w:hAnsi="Times New Roman"/>
                <w:sz w:val="26"/>
                <w:szCs w:val="26"/>
              </w:rPr>
            </w:pPr>
            <w:r w:rsidRPr="00BF677D">
              <w:rPr>
                <w:rFonts w:ascii="Times New Roman" w:hAnsi="Times New Roman"/>
                <w:sz w:val="26"/>
                <w:szCs w:val="26"/>
              </w:rPr>
              <w:t>(par direktīvas 4.e panta 7. punkts)</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759FD24F" w14:textId="0C6405AD" w:rsidR="00BF677D" w:rsidRPr="00BF677D" w:rsidRDefault="00BF677D" w:rsidP="00523FDD">
            <w:pPr>
              <w:spacing w:after="0" w:line="240" w:lineRule="auto"/>
              <w:jc w:val="both"/>
              <w:rPr>
                <w:rFonts w:ascii="Times New Roman" w:hAnsi="Times New Roman"/>
                <w:sz w:val="26"/>
                <w:szCs w:val="26"/>
              </w:rPr>
            </w:pPr>
            <w:r w:rsidRPr="00BF677D">
              <w:rPr>
                <w:rFonts w:ascii="Times New Roman" w:hAnsi="Times New Roman"/>
                <w:sz w:val="26"/>
                <w:szCs w:val="26"/>
              </w:rPr>
              <w:t xml:space="preserve">Projekta </w:t>
            </w:r>
            <w:r w:rsidR="00782536" w:rsidRPr="00BF677D">
              <w:rPr>
                <w:rFonts w:ascii="Times New Roman" w:hAnsi="Times New Roman"/>
                <w:sz w:val="26"/>
                <w:szCs w:val="26"/>
              </w:rPr>
              <w:t>5</w:t>
            </w:r>
            <w:r w:rsidR="00782536">
              <w:rPr>
                <w:rFonts w:ascii="Times New Roman" w:hAnsi="Times New Roman"/>
                <w:sz w:val="26"/>
                <w:szCs w:val="26"/>
              </w:rPr>
              <w:t>5</w:t>
            </w:r>
            <w:r w:rsidR="00782536" w:rsidRPr="00BF677D">
              <w:rPr>
                <w:rFonts w:ascii="Times New Roman" w:hAnsi="Times New Roman"/>
                <w:sz w:val="26"/>
                <w:szCs w:val="26"/>
              </w:rPr>
              <w:t>.4. apakšpunkt</w:t>
            </w:r>
            <w:r w:rsidR="00782536">
              <w:rPr>
                <w:rFonts w:ascii="Times New Roman" w:hAnsi="Times New Roman"/>
                <w:sz w:val="26"/>
                <w:szCs w:val="26"/>
              </w:rPr>
              <w:t>s</w:t>
            </w:r>
            <w:r w:rsidR="00782536" w:rsidRPr="00BF677D">
              <w:rPr>
                <w:rFonts w:ascii="Times New Roman" w:hAnsi="Times New Roman"/>
                <w:sz w:val="26"/>
                <w:szCs w:val="26"/>
              </w:rPr>
              <w:t xml:space="preserve"> </w:t>
            </w:r>
          </w:p>
        </w:tc>
        <w:tc>
          <w:tcPr>
            <w:tcW w:w="1496" w:type="pct"/>
            <w:gridSpan w:val="3"/>
            <w:tcBorders>
              <w:top w:val="single" w:sz="4" w:space="0" w:color="auto"/>
              <w:left w:val="single" w:sz="4" w:space="0" w:color="auto"/>
              <w:bottom w:val="single" w:sz="4" w:space="0" w:color="auto"/>
              <w:right w:val="single" w:sz="4" w:space="0" w:color="auto"/>
            </w:tcBorders>
          </w:tcPr>
          <w:p w14:paraId="0F541644" w14:textId="77777777" w:rsidR="00BF677D" w:rsidRPr="00BF677D" w:rsidRDefault="00BF677D" w:rsidP="0065771A">
            <w:pPr>
              <w:spacing w:after="0" w:line="240" w:lineRule="auto"/>
              <w:jc w:val="both"/>
              <w:rPr>
                <w:rFonts w:ascii="Times New Roman" w:hAnsi="Times New Roman"/>
                <w:sz w:val="26"/>
                <w:szCs w:val="26"/>
                <w:lang w:eastAsia="lv-LV"/>
              </w:rPr>
            </w:pPr>
            <w:r w:rsidRPr="00BF677D">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27E6E208" w14:textId="77777777" w:rsidR="00BF677D" w:rsidRPr="00BF677D" w:rsidRDefault="00BF677D" w:rsidP="0065771A">
            <w:pPr>
              <w:spacing w:after="0" w:line="240" w:lineRule="auto"/>
              <w:jc w:val="both"/>
              <w:rPr>
                <w:rFonts w:ascii="Times New Roman" w:hAnsi="Times New Roman"/>
                <w:sz w:val="26"/>
                <w:szCs w:val="26"/>
                <w:lang w:eastAsia="lv-LV"/>
              </w:rPr>
            </w:pPr>
            <w:r w:rsidRPr="00BF677D">
              <w:rPr>
                <w:rFonts w:ascii="Times New Roman" w:hAnsi="Times New Roman"/>
                <w:sz w:val="26"/>
                <w:szCs w:val="26"/>
                <w:lang w:eastAsia="lv-LV"/>
              </w:rPr>
              <w:t>Neparedzēs stingrākas prasības.</w:t>
            </w:r>
          </w:p>
        </w:tc>
      </w:tr>
      <w:tr w:rsidR="001A2EE0" w:rsidRPr="00ED598C" w14:paraId="23963B0F"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60662A84" w14:textId="02D431A8" w:rsidR="001A2EE0" w:rsidRPr="001B7A46" w:rsidRDefault="001A2EE0" w:rsidP="001A2EE0">
            <w:pPr>
              <w:spacing w:after="0" w:line="240" w:lineRule="auto"/>
              <w:jc w:val="both"/>
              <w:rPr>
                <w:rFonts w:ascii="Times New Roman" w:hAnsi="Times New Roman"/>
                <w:sz w:val="24"/>
                <w:szCs w:val="24"/>
              </w:rPr>
            </w:pPr>
            <w:r w:rsidRPr="001B7A46">
              <w:rPr>
                <w:rFonts w:ascii="Times New Roman" w:hAnsi="Times New Roman"/>
                <w:sz w:val="24"/>
                <w:szCs w:val="24"/>
              </w:rPr>
              <w:t xml:space="preserve">Grozījumu direktīvas 1.panta 16) daļa </w:t>
            </w:r>
          </w:p>
          <w:p w14:paraId="4A79FACB" w14:textId="77777777" w:rsidR="001A2EE0" w:rsidRPr="001B7A46" w:rsidRDefault="001A2EE0" w:rsidP="001A2EE0">
            <w:pPr>
              <w:spacing w:after="0" w:line="240" w:lineRule="auto"/>
              <w:jc w:val="both"/>
              <w:rPr>
                <w:rFonts w:ascii="Times New Roman" w:hAnsi="Times New Roman"/>
                <w:sz w:val="24"/>
                <w:szCs w:val="24"/>
              </w:rPr>
            </w:pPr>
          </w:p>
          <w:p w14:paraId="6263E9B1" w14:textId="051C0817" w:rsidR="001A2EE0" w:rsidRPr="001B7A46" w:rsidRDefault="001A2EE0" w:rsidP="001A2EE0">
            <w:pPr>
              <w:spacing w:after="0" w:line="240" w:lineRule="auto"/>
              <w:jc w:val="both"/>
              <w:rPr>
                <w:rFonts w:ascii="Times New Roman" w:hAnsi="Times New Roman"/>
                <w:sz w:val="24"/>
                <w:szCs w:val="24"/>
              </w:rPr>
            </w:pPr>
            <w:r w:rsidRPr="001B7A46">
              <w:rPr>
                <w:rFonts w:ascii="Times New Roman" w:hAnsi="Times New Roman"/>
                <w:sz w:val="24"/>
                <w:szCs w:val="24"/>
              </w:rPr>
              <w:t>(21.a.panta 1.punktu)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2E091EEB" w14:textId="743A840D" w:rsidR="001A2EE0" w:rsidRPr="001B7A46" w:rsidRDefault="00782536" w:rsidP="001A2EE0">
            <w:pPr>
              <w:spacing w:after="0" w:line="240" w:lineRule="auto"/>
              <w:jc w:val="both"/>
              <w:rPr>
                <w:rFonts w:ascii="Times New Roman" w:hAnsi="Times New Roman"/>
                <w:sz w:val="24"/>
                <w:szCs w:val="24"/>
              </w:rPr>
            </w:pPr>
            <w:r>
              <w:rPr>
                <w:rFonts w:ascii="Times New Roman" w:hAnsi="Times New Roman"/>
                <w:sz w:val="24"/>
                <w:szCs w:val="24"/>
              </w:rPr>
              <w:t>Projekta 44.punkts</w:t>
            </w:r>
          </w:p>
        </w:tc>
        <w:tc>
          <w:tcPr>
            <w:tcW w:w="1496" w:type="pct"/>
            <w:gridSpan w:val="3"/>
            <w:tcBorders>
              <w:top w:val="single" w:sz="4" w:space="0" w:color="auto"/>
              <w:left w:val="single" w:sz="4" w:space="0" w:color="auto"/>
              <w:bottom w:val="single" w:sz="4" w:space="0" w:color="auto"/>
              <w:right w:val="single" w:sz="4" w:space="0" w:color="auto"/>
            </w:tcBorders>
          </w:tcPr>
          <w:p w14:paraId="2EF3DB43" w14:textId="494E6675" w:rsidR="001A2EE0" w:rsidRPr="001B7A46" w:rsidRDefault="001A2EE0" w:rsidP="001A2EE0">
            <w:pPr>
              <w:spacing w:after="0" w:line="240" w:lineRule="auto"/>
              <w:jc w:val="both"/>
              <w:rPr>
                <w:rFonts w:ascii="Times New Roman" w:hAnsi="Times New Roman"/>
                <w:sz w:val="24"/>
                <w:szCs w:val="24"/>
                <w:lang w:eastAsia="lv-LV"/>
              </w:rPr>
            </w:pPr>
            <w:r w:rsidRPr="001B7A46">
              <w:rPr>
                <w:rFonts w:ascii="Times New Roman" w:hAnsi="Times New Roman"/>
                <w:sz w:val="24"/>
                <w:szCs w:val="24"/>
                <w:lang w:eastAsia="lv-LV"/>
              </w:rPr>
              <w:t>Ieviests pilnībā</w:t>
            </w:r>
          </w:p>
        </w:tc>
        <w:tc>
          <w:tcPr>
            <w:tcW w:w="1402" w:type="pct"/>
            <w:tcBorders>
              <w:top w:val="single" w:sz="4" w:space="0" w:color="auto"/>
              <w:left w:val="single" w:sz="4" w:space="0" w:color="auto"/>
              <w:bottom w:val="single" w:sz="4" w:space="0" w:color="auto"/>
              <w:right w:val="single" w:sz="4" w:space="0" w:color="auto"/>
            </w:tcBorders>
          </w:tcPr>
          <w:p w14:paraId="5C2F7487" w14:textId="0088FD49" w:rsidR="001A2EE0" w:rsidRPr="001B7A46" w:rsidRDefault="001A2EE0" w:rsidP="001A2EE0">
            <w:pPr>
              <w:spacing w:after="0" w:line="240" w:lineRule="auto"/>
              <w:jc w:val="both"/>
              <w:rPr>
                <w:rFonts w:ascii="Times New Roman" w:hAnsi="Times New Roman"/>
                <w:sz w:val="24"/>
                <w:szCs w:val="24"/>
                <w:lang w:eastAsia="lv-LV"/>
              </w:rPr>
            </w:pPr>
            <w:r w:rsidRPr="001B7A46">
              <w:rPr>
                <w:rFonts w:ascii="Times New Roman" w:hAnsi="Times New Roman"/>
                <w:sz w:val="24"/>
                <w:szCs w:val="24"/>
                <w:lang w:eastAsia="lv-LV"/>
              </w:rPr>
              <w:t>Neparedz stingrākas prasības.</w:t>
            </w:r>
          </w:p>
        </w:tc>
      </w:tr>
      <w:tr w:rsidR="001A2EE0" w14:paraId="00830619"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4AF2B438" w14:textId="708FCCA6"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Grozījumu direktīvas 1.panta </w:t>
            </w:r>
            <w:r w:rsidRPr="0043316D">
              <w:rPr>
                <w:rFonts w:ascii="Times New Roman" w:hAnsi="Times New Roman"/>
                <w:sz w:val="26"/>
                <w:szCs w:val="26"/>
              </w:rPr>
              <w:t xml:space="preserve">5) daļa </w:t>
            </w:r>
          </w:p>
          <w:p w14:paraId="5BF8A986" w14:textId="77777777" w:rsidR="001A2EE0" w:rsidRPr="0043316D" w:rsidRDefault="001A2EE0" w:rsidP="001A2EE0">
            <w:pPr>
              <w:spacing w:after="0" w:line="240" w:lineRule="auto"/>
              <w:jc w:val="both"/>
              <w:rPr>
                <w:rFonts w:ascii="Times New Roman" w:hAnsi="Times New Roman"/>
                <w:sz w:val="26"/>
                <w:szCs w:val="26"/>
              </w:rPr>
            </w:pPr>
          </w:p>
          <w:p w14:paraId="6D8C6A12" w14:textId="4552B940"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(par direktīvas 56.a pantu)</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3ECE2010" w14:textId="03E8EE7F"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782536">
              <w:rPr>
                <w:rFonts w:ascii="Times New Roman" w:hAnsi="Times New Roman"/>
                <w:sz w:val="26"/>
                <w:szCs w:val="26"/>
              </w:rPr>
              <w:t>32., 33., 34.</w:t>
            </w:r>
            <w:r w:rsidRPr="0043316D">
              <w:rPr>
                <w:rFonts w:ascii="Times New Roman" w:hAnsi="Times New Roman"/>
                <w:sz w:val="26"/>
                <w:szCs w:val="26"/>
              </w:rPr>
              <w:t xml:space="preserve">.punkts </w:t>
            </w:r>
          </w:p>
          <w:p w14:paraId="04B0D278" w14:textId="77777777" w:rsidR="001A2EE0" w:rsidRPr="0043316D" w:rsidRDefault="001A2EE0" w:rsidP="001A2EE0">
            <w:pPr>
              <w:spacing w:after="0" w:line="240" w:lineRule="auto"/>
              <w:jc w:val="both"/>
              <w:rPr>
                <w:rFonts w:ascii="Times New Roman" w:hAnsi="Times New Roman"/>
                <w:sz w:val="26"/>
                <w:szCs w:val="26"/>
              </w:rPr>
            </w:pPr>
          </w:p>
          <w:p w14:paraId="0E86F21B" w14:textId="7D2DED8E" w:rsidR="001A2EE0" w:rsidRPr="0043316D" w:rsidRDefault="001A2EE0" w:rsidP="001A2EE0">
            <w:pPr>
              <w:spacing w:after="0" w:line="240" w:lineRule="auto"/>
              <w:jc w:val="both"/>
              <w:rPr>
                <w:rFonts w:ascii="Times New Roman" w:hAnsi="Times New Roman"/>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6A02A53C" w14:textId="77777777"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0289EE2E" w14:textId="77777777"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rsidRPr="00E93790" w14:paraId="57412D48"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577D88F0" w14:textId="1E6AC4EA" w:rsidR="001A2EE0" w:rsidRPr="00B81044" w:rsidRDefault="001A2EE0" w:rsidP="001A2EE0">
            <w:pPr>
              <w:spacing w:after="0" w:line="240" w:lineRule="auto"/>
              <w:jc w:val="both"/>
              <w:rPr>
                <w:rFonts w:ascii="Times New Roman" w:hAnsi="Times New Roman"/>
                <w:sz w:val="26"/>
                <w:szCs w:val="26"/>
              </w:rPr>
            </w:pPr>
            <w:r w:rsidRPr="002E35C4">
              <w:rPr>
                <w:rFonts w:ascii="Times New Roman" w:hAnsi="Times New Roman"/>
                <w:sz w:val="26"/>
                <w:szCs w:val="26"/>
              </w:rPr>
              <w:t xml:space="preserve">Regulas </w:t>
            </w:r>
            <w:r w:rsidRPr="00142F78">
              <w:rPr>
                <w:rFonts w:ascii="Times New Roman" w:hAnsi="Times New Roman"/>
                <w:bCs/>
                <w:sz w:val="26"/>
                <w:szCs w:val="26"/>
              </w:rPr>
              <w:t xml:space="preserve">Nr.2015/983 </w:t>
            </w:r>
            <w:r>
              <w:rPr>
                <w:rFonts w:ascii="Times New Roman" w:hAnsi="Times New Roman"/>
                <w:sz w:val="26"/>
                <w:szCs w:val="26"/>
              </w:rPr>
              <w:t>3., 4</w:t>
            </w:r>
            <w:r w:rsidRPr="00B81044">
              <w:rPr>
                <w:rFonts w:ascii="Times New Roman" w:hAnsi="Times New Roman"/>
                <w:sz w:val="26"/>
                <w:szCs w:val="26"/>
              </w:rPr>
              <w:t>.pants</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05FB4A44" w14:textId="65FF48CF" w:rsidR="001A2EE0" w:rsidRDefault="001A2EE0" w:rsidP="001A2EE0">
            <w:pPr>
              <w:spacing w:after="0" w:line="240" w:lineRule="auto"/>
              <w:jc w:val="both"/>
              <w:rPr>
                <w:rFonts w:ascii="Times New Roman" w:hAnsi="Times New Roman"/>
                <w:sz w:val="26"/>
                <w:szCs w:val="26"/>
              </w:rPr>
            </w:pPr>
            <w:r w:rsidRPr="00E93790">
              <w:rPr>
                <w:rFonts w:ascii="Times New Roman" w:hAnsi="Times New Roman"/>
                <w:sz w:val="26"/>
                <w:szCs w:val="26"/>
              </w:rPr>
              <w:t xml:space="preserve">Projekta </w:t>
            </w:r>
            <w:r w:rsidR="00782536">
              <w:rPr>
                <w:rFonts w:ascii="Times New Roman" w:hAnsi="Times New Roman"/>
                <w:sz w:val="26"/>
                <w:szCs w:val="26"/>
              </w:rPr>
              <w:t>51., 52</w:t>
            </w:r>
            <w:r w:rsidRPr="002E35C4">
              <w:rPr>
                <w:rFonts w:ascii="Times New Roman" w:hAnsi="Times New Roman"/>
                <w:sz w:val="26"/>
                <w:szCs w:val="26"/>
              </w:rPr>
              <w:t>.</w:t>
            </w:r>
            <w:r w:rsidR="00782536">
              <w:rPr>
                <w:rFonts w:ascii="Times New Roman" w:hAnsi="Times New Roman"/>
                <w:sz w:val="26"/>
                <w:szCs w:val="26"/>
              </w:rPr>
              <w:t xml:space="preserve"> </w:t>
            </w:r>
            <w:r w:rsidRPr="002E35C4">
              <w:rPr>
                <w:rFonts w:ascii="Times New Roman" w:hAnsi="Times New Roman"/>
                <w:sz w:val="26"/>
                <w:szCs w:val="26"/>
              </w:rPr>
              <w:t xml:space="preserve">punkts. </w:t>
            </w:r>
          </w:p>
          <w:p w14:paraId="0252E259" w14:textId="77777777" w:rsidR="001A2EE0" w:rsidRDefault="001A2EE0" w:rsidP="001A2EE0">
            <w:pPr>
              <w:spacing w:after="0" w:line="240" w:lineRule="auto"/>
              <w:jc w:val="both"/>
              <w:rPr>
                <w:rFonts w:ascii="Times New Roman" w:hAnsi="Times New Roman"/>
                <w:sz w:val="26"/>
                <w:szCs w:val="26"/>
              </w:rPr>
            </w:pPr>
          </w:p>
          <w:p w14:paraId="145CB579" w14:textId="1EFB73E8" w:rsidR="001A2EE0" w:rsidRPr="002E35C4" w:rsidRDefault="001A2EE0" w:rsidP="00782536">
            <w:pPr>
              <w:spacing w:after="0" w:line="240" w:lineRule="auto"/>
              <w:jc w:val="both"/>
              <w:rPr>
                <w:rFonts w:ascii="Times New Roman" w:hAnsi="Times New Roman"/>
                <w:b/>
                <w:i/>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43AAA139" w14:textId="1D1AFFE8" w:rsidR="001A2EE0" w:rsidRPr="00142F78" w:rsidRDefault="001A2EE0" w:rsidP="001A2EE0">
            <w:pPr>
              <w:spacing w:after="0" w:line="240" w:lineRule="auto"/>
              <w:jc w:val="both"/>
              <w:rPr>
                <w:rFonts w:ascii="Times New Roman" w:hAnsi="Times New Roman"/>
                <w:sz w:val="26"/>
                <w:szCs w:val="26"/>
                <w:lang w:eastAsia="lv-LV"/>
              </w:rPr>
            </w:pPr>
            <w:r w:rsidRPr="00142F78">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03F7DF61" w14:textId="2FD81883" w:rsidR="001A2EE0" w:rsidRPr="00B81044" w:rsidRDefault="001A2EE0" w:rsidP="001A2EE0">
            <w:pPr>
              <w:spacing w:after="0" w:line="240" w:lineRule="auto"/>
              <w:jc w:val="both"/>
              <w:rPr>
                <w:rFonts w:ascii="Times New Roman" w:hAnsi="Times New Roman"/>
                <w:sz w:val="26"/>
                <w:szCs w:val="26"/>
                <w:lang w:eastAsia="lv-LV"/>
              </w:rPr>
            </w:pPr>
            <w:r w:rsidRPr="00B81044">
              <w:rPr>
                <w:rFonts w:ascii="Times New Roman" w:hAnsi="Times New Roman"/>
                <w:sz w:val="26"/>
                <w:szCs w:val="26"/>
                <w:lang w:eastAsia="lv-LV"/>
              </w:rPr>
              <w:t>Neparedzēs stingrākas prasības.</w:t>
            </w:r>
          </w:p>
        </w:tc>
      </w:tr>
      <w:tr w:rsidR="001A2EE0" w14:paraId="518B3B9E"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03C39ABA" w14:textId="67620649" w:rsidR="001A2EE0" w:rsidRPr="00B81044" w:rsidRDefault="001A2EE0" w:rsidP="001A2EE0">
            <w:pPr>
              <w:spacing w:after="0" w:line="240" w:lineRule="auto"/>
              <w:jc w:val="both"/>
              <w:rPr>
                <w:rFonts w:ascii="Times New Roman" w:hAnsi="Times New Roman"/>
                <w:sz w:val="26"/>
                <w:szCs w:val="26"/>
              </w:rPr>
            </w:pPr>
            <w:r w:rsidRPr="00E93790">
              <w:rPr>
                <w:rFonts w:ascii="Times New Roman" w:hAnsi="Times New Roman"/>
                <w:sz w:val="26"/>
                <w:szCs w:val="26"/>
              </w:rPr>
              <w:t xml:space="preserve">Regulas </w:t>
            </w:r>
            <w:r w:rsidRPr="00E93790">
              <w:rPr>
                <w:rFonts w:ascii="Times New Roman" w:hAnsi="Times New Roman"/>
                <w:bCs/>
                <w:sz w:val="26"/>
                <w:szCs w:val="26"/>
              </w:rPr>
              <w:t xml:space="preserve">Nr.2015/983 </w:t>
            </w:r>
            <w:r w:rsidRPr="00E93790">
              <w:rPr>
                <w:rFonts w:ascii="Times New Roman" w:hAnsi="Times New Roman"/>
                <w:sz w:val="26"/>
                <w:szCs w:val="26"/>
              </w:rPr>
              <w:t>6.pant</w:t>
            </w:r>
            <w:r>
              <w:rPr>
                <w:rFonts w:ascii="Times New Roman" w:hAnsi="Times New Roman"/>
                <w:sz w:val="26"/>
                <w:szCs w:val="26"/>
              </w:rPr>
              <w:t>a 1., 2., 3. punkts</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5F43AB31" w14:textId="79A0A8E7" w:rsidR="001A2EE0" w:rsidRPr="00156E55" w:rsidRDefault="001A2EE0" w:rsidP="001A2EE0">
            <w:pPr>
              <w:spacing w:after="0" w:line="240" w:lineRule="auto"/>
              <w:jc w:val="both"/>
              <w:rPr>
                <w:rFonts w:ascii="Times New Roman" w:hAnsi="Times New Roman"/>
                <w:sz w:val="26"/>
                <w:szCs w:val="26"/>
              </w:rPr>
            </w:pPr>
            <w:r w:rsidRPr="00B81044">
              <w:rPr>
                <w:rFonts w:ascii="Times New Roman" w:hAnsi="Times New Roman"/>
                <w:sz w:val="26"/>
                <w:szCs w:val="26"/>
              </w:rPr>
              <w:t xml:space="preserve">Projekta </w:t>
            </w:r>
            <w:r w:rsidR="00782536">
              <w:rPr>
                <w:rFonts w:ascii="Times New Roman" w:hAnsi="Times New Roman"/>
                <w:sz w:val="26"/>
                <w:szCs w:val="26"/>
              </w:rPr>
              <w:t>54., 62</w:t>
            </w:r>
            <w:r w:rsidRPr="00156E55">
              <w:rPr>
                <w:rFonts w:ascii="Times New Roman" w:hAnsi="Times New Roman"/>
                <w:sz w:val="26"/>
                <w:szCs w:val="26"/>
              </w:rPr>
              <w:t>.</w:t>
            </w:r>
            <w:r w:rsidR="00782536">
              <w:rPr>
                <w:rFonts w:ascii="Times New Roman" w:hAnsi="Times New Roman"/>
                <w:sz w:val="26"/>
                <w:szCs w:val="26"/>
              </w:rPr>
              <w:t xml:space="preserve"> </w:t>
            </w:r>
            <w:r w:rsidRPr="00156E55">
              <w:rPr>
                <w:rFonts w:ascii="Times New Roman" w:hAnsi="Times New Roman"/>
                <w:sz w:val="26"/>
                <w:szCs w:val="26"/>
              </w:rPr>
              <w:t xml:space="preserve">punkts </w:t>
            </w:r>
          </w:p>
          <w:p w14:paraId="48EA80B0" w14:textId="77777777" w:rsidR="001A2EE0" w:rsidRPr="00B81044" w:rsidRDefault="001A2EE0" w:rsidP="001A2EE0">
            <w:pPr>
              <w:spacing w:after="0" w:line="240" w:lineRule="auto"/>
              <w:jc w:val="both"/>
              <w:rPr>
                <w:rFonts w:ascii="Times New Roman" w:hAnsi="Times New Roman"/>
                <w:sz w:val="26"/>
                <w:szCs w:val="26"/>
              </w:rPr>
            </w:pPr>
          </w:p>
          <w:p w14:paraId="02137F0E" w14:textId="42D327B4" w:rsidR="001A2EE0" w:rsidRPr="00156E55" w:rsidRDefault="001A2EE0" w:rsidP="001A2EE0">
            <w:pPr>
              <w:spacing w:after="0" w:line="240" w:lineRule="auto"/>
              <w:rPr>
                <w:rFonts w:ascii="Times New Roman" w:hAnsi="Times New Roman"/>
                <w:b/>
                <w:i/>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40FDF961" w14:textId="51F35B6A" w:rsidR="001A2EE0" w:rsidRPr="00B81044" w:rsidRDefault="001A2EE0" w:rsidP="001A2EE0">
            <w:pPr>
              <w:spacing w:after="0" w:line="240" w:lineRule="auto"/>
              <w:jc w:val="both"/>
              <w:rPr>
                <w:rFonts w:ascii="Times New Roman" w:hAnsi="Times New Roman"/>
                <w:sz w:val="26"/>
                <w:szCs w:val="26"/>
                <w:lang w:eastAsia="lv-LV"/>
              </w:rPr>
            </w:pPr>
            <w:r w:rsidRPr="00B81044">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6A54C80B" w14:textId="0006C090" w:rsidR="001A2EE0" w:rsidRPr="004A308B" w:rsidRDefault="001A2EE0" w:rsidP="001A2EE0">
            <w:pPr>
              <w:spacing w:after="0" w:line="240" w:lineRule="auto"/>
              <w:jc w:val="both"/>
              <w:rPr>
                <w:rFonts w:ascii="Times New Roman" w:hAnsi="Times New Roman"/>
                <w:sz w:val="26"/>
                <w:szCs w:val="26"/>
                <w:lang w:eastAsia="lv-LV"/>
              </w:rPr>
            </w:pPr>
            <w:r w:rsidRPr="00E93790">
              <w:rPr>
                <w:rFonts w:ascii="Times New Roman" w:hAnsi="Times New Roman"/>
                <w:sz w:val="26"/>
                <w:szCs w:val="26"/>
                <w:lang w:eastAsia="lv-LV"/>
              </w:rPr>
              <w:t>Neparedzēs stingrākas prasības.</w:t>
            </w:r>
          </w:p>
        </w:tc>
      </w:tr>
      <w:tr w:rsidR="001A2EE0" w14:paraId="73FBE5F7"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4914DFD9" w14:textId="4C81A418" w:rsidR="001A2EE0" w:rsidRPr="00D93E81" w:rsidRDefault="001A2EE0" w:rsidP="001A2EE0">
            <w:pPr>
              <w:spacing w:after="0" w:line="240" w:lineRule="auto"/>
              <w:jc w:val="both"/>
              <w:rPr>
                <w:rFonts w:ascii="Times New Roman" w:hAnsi="Times New Roman"/>
                <w:sz w:val="26"/>
                <w:szCs w:val="26"/>
              </w:rPr>
            </w:pPr>
            <w:r w:rsidRPr="00BB236A">
              <w:rPr>
                <w:rFonts w:ascii="Times New Roman" w:hAnsi="Times New Roman"/>
                <w:sz w:val="26"/>
                <w:szCs w:val="26"/>
              </w:rPr>
              <w:lastRenderedPageBreak/>
              <w:t xml:space="preserve">Regulas </w:t>
            </w:r>
            <w:r w:rsidRPr="00BB236A">
              <w:rPr>
                <w:rFonts w:ascii="Times New Roman" w:hAnsi="Times New Roman"/>
                <w:bCs/>
                <w:sz w:val="26"/>
                <w:szCs w:val="26"/>
              </w:rPr>
              <w:t xml:space="preserve">Nr.2015/983 </w:t>
            </w:r>
            <w:r>
              <w:rPr>
                <w:rFonts w:ascii="Times New Roman" w:hAnsi="Times New Roman"/>
                <w:sz w:val="26"/>
                <w:szCs w:val="26"/>
              </w:rPr>
              <w:t>6.panta 4.punkts</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64547A7E" w14:textId="39A6F5FD" w:rsidR="001A2EE0" w:rsidRPr="00156E55" w:rsidRDefault="001A2EE0" w:rsidP="001A2EE0">
            <w:pPr>
              <w:spacing w:after="0" w:line="240" w:lineRule="auto"/>
              <w:jc w:val="both"/>
              <w:rPr>
                <w:rFonts w:ascii="Times New Roman" w:hAnsi="Times New Roman"/>
                <w:sz w:val="26"/>
                <w:szCs w:val="26"/>
              </w:rPr>
            </w:pPr>
            <w:r w:rsidRPr="00B81044">
              <w:rPr>
                <w:rFonts w:ascii="Times New Roman" w:hAnsi="Times New Roman"/>
                <w:sz w:val="26"/>
                <w:szCs w:val="26"/>
              </w:rPr>
              <w:t xml:space="preserve">Projekta </w:t>
            </w:r>
            <w:r w:rsidR="00782536">
              <w:rPr>
                <w:rFonts w:ascii="Times New Roman" w:hAnsi="Times New Roman"/>
                <w:sz w:val="26"/>
                <w:szCs w:val="26"/>
              </w:rPr>
              <w:t>61.3</w:t>
            </w:r>
            <w:r w:rsidRPr="00156E55">
              <w:rPr>
                <w:rFonts w:ascii="Times New Roman" w:hAnsi="Times New Roman"/>
                <w:sz w:val="26"/>
                <w:szCs w:val="26"/>
              </w:rPr>
              <w:t>.</w:t>
            </w:r>
            <w:r w:rsidR="00782536">
              <w:rPr>
                <w:rFonts w:ascii="Times New Roman" w:hAnsi="Times New Roman"/>
                <w:sz w:val="26"/>
                <w:szCs w:val="26"/>
              </w:rPr>
              <w:t xml:space="preserve"> apakš</w:t>
            </w:r>
            <w:r w:rsidRPr="00156E55">
              <w:rPr>
                <w:rFonts w:ascii="Times New Roman" w:hAnsi="Times New Roman"/>
                <w:sz w:val="26"/>
                <w:szCs w:val="26"/>
              </w:rPr>
              <w:t xml:space="preserve">punkts </w:t>
            </w:r>
          </w:p>
          <w:p w14:paraId="17EC2F1C" w14:textId="77777777" w:rsidR="001A2EE0" w:rsidRPr="00BB236A" w:rsidRDefault="001A2EE0" w:rsidP="001A2EE0">
            <w:pPr>
              <w:spacing w:after="0" w:line="240" w:lineRule="auto"/>
              <w:jc w:val="both"/>
              <w:rPr>
                <w:rFonts w:ascii="Times New Roman" w:hAnsi="Times New Roman"/>
                <w:sz w:val="26"/>
                <w:szCs w:val="26"/>
              </w:rPr>
            </w:pPr>
          </w:p>
          <w:p w14:paraId="40DC5C80" w14:textId="3F08A0B7" w:rsidR="001A2EE0" w:rsidRPr="0043316D" w:rsidRDefault="001A2EE0" w:rsidP="00782536">
            <w:pPr>
              <w:spacing w:after="0" w:line="240" w:lineRule="auto"/>
              <w:jc w:val="both"/>
              <w:rPr>
                <w:rFonts w:ascii="Times New Roman" w:hAnsi="Times New Roman"/>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60D57E14" w14:textId="61C620A1" w:rsidR="001A2EE0" w:rsidRPr="00D93E81" w:rsidRDefault="001A2EE0" w:rsidP="001A2EE0">
            <w:pPr>
              <w:spacing w:after="0" w:line="240" w:lineRule="auto"/>
              <w:jc w:val="both"/>
              <w:rPr>
                <w:rFonts w:ascii="Times New Roman" w:hAnsi="Times New Roman"/>
                <w:sz w:val="26"/>
                <w:szCs w:val="26"/>
                <w:lang w:eastAsia="lv-LV"/>
              </w:rPr>
            </w:pPr>
            <w:r w:rsidRPr="00BB236A">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7952AE76" w14:textId="08DEA2CC" w:rsidR="001A2EE0" w:rsidRPr="0043316D" w:rsidRDefault="001A2EE0" w:rsidP="001A2EE0">
            <w:pPr>
              <w:spacing w:after="0" w:line="240" w:lineRule="auto"/>
              <w:jc w:val="both"/>
              <w:rPr>
                <w:rFonts w:ascii="Times New Roman" w:hAnsi="Times New Roman"/>
                <w:sz w:val="26"/>
                <w:szCs w:val="26"/>
                <w:lang w:eastAsia="lv-LV"/>
              </w:rPr>
            </w:pPr>
            <w:r w:rsidRPr="00BB236A">
              <w:rPr>
                <w:rFonts w:ascii="Times New Roman" w:hAnsi="Times New Roman"/>
                <w:sz w:val="26"/>
                <w:szCs w:val="26"/>
                <w:lang w:eastAsia="lv-LV"/>
              </w:rPr>
              <w:t>Neparedzēs stingrākas prasības.</w:t>
            </w:r>
          </w:p>
        </w:tc>
      </w:tr>
      <w:tr w:rsidR="001A2EE0" w14:paraId="19F27C8F"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1B0E6060" w14:textId="79D11BEB" w:rsidR="001A2EE0" w:rsidRPr="00D93E81"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Regulas </w:t>
            </w:r>
            <w:r>
              <w:rPr>
                <w:rFonts w:ascii="Times New Roman" w:hAnsi="Times New Roman"/>
                <w:bCs/>
                <w:sz w:val="26"/>
                <w:szCs w:val="26"/>
              </w:rPr>
              <w:t>Nr.2015/983</w:t>
            </w:r>
            <w:r w:rsidRPr="005949A8">
              <w:rPr>
                <w:rFonts w:ascii="Times New Roman" w:hAnsi="Times New Roman"/>
                <w:bCs/>
                <w:sz w:val="26"/>
                <w:szCs w:val="26"/>
              </w:rPr>
              <w:t xml:space="preserve"> </w:t>
            </w:r>
            <w:r w:rsidRPr="00D93E81">
              <w:rPr>
                <w:rFonts w:ascii="Times New Roman" w:hAnsi="Times New Roman"/>
                <w:sz w:val="26"/>
                <w:szCs w:val="26"/>
              </w:rPr>
              <w:t>9.pants</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1193F0E2" w14:textId="268581D8" w:rsidR="001A2EE0" w:rsidRPr="0043316D" w:rsidRDefault="001A2EE0" w:rsidP="00523FDD">
            <w:pPr>
              <w:spacing w:after="0" w:line="240" w:lineRule="auto"/>
              <w:jc w:val="both"/>
              <w:rPr>
                <w:rFonts w:ascii="Times New Roman" w:hAnsi="Times New Roman"/>
                <w:b/>
                <w:i/>
                <w:sz w:val="26"/>
                <w:szCs w:val="26"/>
              </w:rPr>
            </w:pPr>
            <w:r w:rsidRPr="0043316D">
              <w:rPr>
                <w:rFonts w:ascii="Times New Roman" w:hAnsi="Times New Roman"/>
                <w:sz w:val="26"/>
                <w:szCs w:val="26"/>
              </w:rPr>
              <w:t xml:space="preserve">Projekta </w:t>
            </w:r>
            <w:r w:rsidR="00782536">
              <w:rPr>
                <w:rFonts w:ascii="Times New Roman" w:hAnsi="Times New Roman"/>
                <w:sz w:val="26"/>
                <w:szCs w:val="26"/>
              </w:rPr>
              <w:t>54.1., 55.,1., 62.1.apakš</w:t>
            </w:r>
            <w:r w:rsidR="00782536" w:rsidRPr="00A62E9B">
              <w:rPr>
                <w:rFonts w:ascii="Times New Roman" w:hAnsi="Times New Roman"/>
                <w:sz w:val="26"/>
                <w:szCs w:val="26"/>
              </w:rPr>
              <w:t>punkt</w:t>
            </w:r>
            <w:r w:rsidR="00782536">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738CD5CE" w14:textId="5D0337F9"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7CF33984" w14:textId="5F872299"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3B8CA43E"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0943CB1A" w14:textId="66290C6A" w:rsidR="001A2EE0" w:rsidRPr="0043316D" w:rsidRDefault="001A2EE0" w:rsidP="001A2EE0">
            <w:pPr>
              <w:spacing w:after="0" w:line="240" w:lineRule="auto"/>
              <w:jc w:val="both"/>
              <w:rPr>
                <w:rFonts w:ascii="Times New Roman" w:hAnsi="Times New Roman"/>
                <w:sz w:val="26"/>
                <w:szCs w:val="26"/>
              </w:rPr>
            </w:pPr>
            <w:r w:rsidRPr="00D93E81">
              <w:rPr>
                <w:rFonts w:ascii="Times New Roman" w:hAnsi="Times New Roman"/>
                <w:sz w:val="26"/>
                <w:szCs w:val="26"/>
              </w:rPr>
              <w:t xml:space="preserve">Regulas </w:t>
            </w:r>
            <w:r>
              <w:rPr>
                <w:rFonts w:ascii="Times New Roman" w:hAnsi="Times New Roman"/>
                <w:bCs/>
                <w:sz w:val="26"/>
                <w:szCs w:val="26"/>
              </w:rPr>
              <w:t>Nr.2015/983</w:t>
            </w:r>
            <w:r w:rsidRPr="005949A8">
              <w:rPr>
                <w:rFonts w:ascii="Times New Roman" w:hAnsi="Times New Roman"/>
                <w:bCs/>
                <w:sz w:val="26"/>
                <w:szCs w:val="26"/>
              </w:rPr>
              <w:t xml:space="preserve"> </w:t>
            </w:r>
            <w:r w:rsidRPr="00D93E81">
              <w:rPr>
                <w:rFonts w:ascii="Times New Roman" w:hAnsi="Times New Roman"/>
                <w:sz w:val="26"/>
                <w:szCs w:val="26"/>
              </w:rPr>
              <w:t xml:space="preserve">10.panta 2.punkts </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4DB43C5D" w14:textId="3CB4C297"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782536">
              <w:rPr>
                <w:rFonts w:ascii="Times New Roman" w:hAnsi="Times New Roman"/>
                <w:sz w:val="26"/>
                <w:szCs w:val="26"/>
              </w:rPr>
              <w:t>53.1. apakšpunkts</w:t>
            </w:r>
            <w:r w:rsidRPr="0043316D">
              <w:rPr>
                <w:rFonts w:ascii="Times New Roman" w:hAnsi="Times New Roman"/>
                <w:sz w:val="26"/>
                <w:szCs w:val="26"/>
              </w:rPr>
              <w:t xml:space="preserve"> </w:t>
            </w:r>
          </w:p>
          <w:p w14:paraId="4D6568D3" w14:textId="77777777" w:rsidR="001A2EE0" w:rsidRPr="0043316D" w:rsidRDefault="001A2EE0" w:rsidP="001A2EE0">
            <w:pPr>
              <w:spacing w:after="0" w:line="240" w:lineRule="auto"/>
              <w:jc w:val="both"/>
              <w:rPr>
                <w:rFonts w:ascii="Times New Roman" w:hAnsi="Times New Roman"/>
                <w:sz w:val="26"/>
                <w:szCs w:val="26"/>
              </w:rPr>
            </w:pPr>
          </w:p>
          <w:p w14:paraId="08D35E38" w14:textId="33EB1648" w:rsidR="001A2EE0" w:rsidRPr="0043316D" w:rsidRDefault="001A2EE0" w:rsidP="001A2EE0">
            <w:pPr>
              <w:spacing w:after="0" w:line="240" w:lineRule="auto"/>
              <w:rPr>
                <w:rFonts w:ascii="Times New Roman" w:hAnsi="Times New Roman"/>
                <w:b/>
                <w:i/>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2FD23F8B" w14:textId="0423E3BC" w:rsidR="001A2EE0" w:rsidRPr="00D93E81" w:rsidRDefault="001A2EE0" w:rsidP="001A2EE0">
            <w:pPr>
              <w:spacing w:after="0" w:line="240" w:lineRule="auto"/>
              <w:jc w:val="both"/>
              <w:rPr>
                <w:rFonts w:ascii="Times New Roman" w:hAnsi="Times New Roman"/>
                <w:sz w:val="26"/>
                <w:szCs w:val="26"/>
                <w:lang w:eastAsia="lv-LV"/>
              </w:rPr>
            </w:pPr>
            <w:r w:rsidRPr="00D93E81">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2FDC8FFD" w14:textId="6FE46741"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5E57CBBB"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298666F2" w14:textId="4FCE3D10"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Regulas </w:t>
            </w:r>
            <w:r>
              <w:rPr>
                <w:rFonts w:ascii="Times New Roman" w:hAnsi="Times New Roman"/>
                <w:bCs/>
                <w:sz w:val="26"/>
                <w:szCs w:val="26"/>
              </w:rPr>
              <w:t>Nr.2015/983</w:t>
            </w:r>
            <w:r w:rsidRPr="005949A8">
              <w:rPr>
                <w:rFonts w:ascii="Times New Roman" w:hAnsi="Times New Roman"/>
                <w:bCs/>
                <w:sz w:val="26"/>
                <w:szCs w:val="26"/>
              </w:rPr>
              <w:t xml:space="preserve"> </w:t>
            </w:r>
            <w:r w:rsidRPr="0043316D">
              <w:rPr>
                <w:rFonts w:ascii="Times New Roman" w:hAnsi="Times New Roman"/>
                <w:sz w:val="26"/>
                <w:szCs w:val="26"/>
              </w:rPr>
              <w:t>14.pants</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24282AC8" w14:textId="0463014B" w:rsidR="001A2EE0" w:rsidRPr="0043316D" w:rsidRDefault="001A2EE0" w:rsidP="00004F7C">
            <w:pPr>
              <w:spacing w:after="0" w:line="240" w:lineRule="auto"/>
              <w:jc w:val="both"/>
              <w:rPr>
                <w:rFonts w:ascii="Times New Roman" w:hAnsi="Times New Roman"/>
                <w:sz w:val="26"/>
                <w:szCs w:val="26"/>
              </w:rPr>
            </w:pPr>
            <w:r w:rsidRPr="0043316D">
              <w:rPr>
                <w:rFonts w:ascii="Times New Roman" w:hAnsi="Times New Roman"/>
                <w:sz w:val="26"/>
                <w:szCs w:val="26"/>
              </w:rPr>
              <w:t>Projekta</w:t>
            </w:r>
            <w:r w:rsidR="00782536">
              <w:rPr>
                <w:rFonts w:ascii="Times New Roman" w:hAnsi="Times New Roman"/>
                <w:sz w:val="26"/>
                <w:szCs w:val="26"/>
              </w:rPr>
              <w:t xml:space="preserve"> 58.3. apakšpunkts,</w:t>
            </w:r>
            <w:r w:rsidR="00782536" w:rsidRPr="0043316D">
              <w:rPr>
                <w:rFonts w:ascii="Times New Roman" w:hAnsi="Times New Roman"/>
                <w:sz w:val="26"/>
                <w:szCs w:val="26"/>
              </w:rPr>
              <w:t xml:space="preserve"> </w:t>
            </w:r>
            <w:r w:rsidR="00782536">
              <w:rPr>
                <w:rFonts w:ascii="Times New Roman" w:hAnsi="Times New Roman"/>
                <w:sz w:val="26"/>
                <w:szCs w:val="26"/>
              </w:rPr>
              <w:t>60.</w:t>
            </w:r>
            <w:r w:rsidR="00782536" w:rsidRPr="0043316D">
              <w:rPr>
                <w:rFonts w:ascii="Times New Roman" w:hAnsi="Times New Roman"/>
                <w:sz w:val="26"/>
                <w:szCs w:val="26"/>
              </w:rPr>
              <w:t>punkt</w:t>
            </w:r>
            <w:r w:rsidR="00782536">
              <w:rPr>
                <w:rFonts w:ascii="Times New Roman" w:hAnsi="Times New Roman"/>
                <w:sz w:val="26"/>
                <w:szCs w:val="26"/>
              </w:rPr>
              <w:t>s</w:t>
            </w:r>
            <w:r w:rsidRPr="0043316D">
              <w:rPr>
                <w:rFonts w:ascii="Times New Roman" w:hAnsi="Times New Roman"/>
                <w:sz w:val="26"/>
                <w:szCs w:val="26"/>
              </w:rPr>
              <w:t xml:space="preserve"> </w:t>
            </w:r>
          </w:p>
        </w:tc>
        <w:tc>
          <w:tcPr>
            <w:tcW w:w="1496" w:type="pct"/>
            <w:gridSpan w:val="3"/>
            <w:tcBorders>
              <w:top w:val="single" w:sz="4" w:space="0" w:color="auto"/>
              <w:left w:val="single" w:sz="4" w:space="0" w:color="auto"/>
              <w:bottom w:val="single" w:sz="4" w:space="0" w:color="auto"/>
              <w:right w:val="single" w:sz="4" w:space="0" w:color="auto"/>
            </w:tcBorders>
          </w:tcPr>
          <w:p w14:paraId="33FDFE78" w14:textId="2287D222" w:rsidR="001A2EE0" w:rsidRPr="0043316D"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321803D5" w14:textId="4F95324D"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6181125D"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4EB95913" w14:textId="699568BC"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Regulas </w:t>
            </w:r>
            <w:r>
              <w:rPr>
                <w:rFonts w:ascii="Times New Roman" w:hAnsi="Times New Roman"/>
                <w:bCs/>
                <w:sz w:val="26"/>
                <w:szCs w:val="26"/>
              </w:rPr>
              <w:t>Nr.2015/983</w:t>
            </w:r>
            <w:r w:rsidRPr="005949A8">
              <w:rPr>
                <w:rFonts w:ascii="Times New Roman" w:hAnsi="Times New Roman"/>
                <w:bCs/>
                <w:sz w:val="26"/>
                <w:szCs w:val="26"/>
              </w:rPr>
              <w:t xml:space="preserve"> </w:t>
            </w:r>
            <w:r w:rsidRPr="0043316D">
              <w:rPr>
                <w:rFonts w:ascii="Times New Roman" w:hAnsi="Times New Roman"/>
                <w:sz w:val="26"/>
                <w:szCs w:val="26"/>
              </w:rPr>
              <w:t>1</w:t>
            </w:r>
            <w:r>
              <w:rPr>
                <w:rFonts w:ascii="Times New Roman" w:hAnsi="Times New Roman"/>
                <w:sz w:val="26"/>
                <w:szCs w:val="26"/>
              </w:rPr>
              <w:t>5</w:t>
            </w:r>
            <w:r w:rsidRPr="0043316D">
              <w:rPr>
                <w:rFonts w:ascii="Times New Roman" w:hAnsi="Times New Roman"/>
                <w:sz w:val="26"/>
                <w:szCs w:val="26"/>
              </w:rPr>
              <w:t>.pant</w:t>
            </w:r>
            <w:r>
              <w:rPr>
                <w:rFonts w:ascii="Times New Roman" w:hAnsi="Times New Roman"/>
                <w:sz w:val="26"/>
                <w:szCs w:val="26"/>
              </w:rPr>
              <w:t>a 2.punkts</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43571A60" w14:textId="65353F55"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004F7C">
              <w:rPr>
                <w:rFonts w:ascii="Times New Roman" w:hAnsi="Times New Roman"/>
                <w:sz w:val="26"/>
                <w:szCs w:val="26"/>
              </w:rPr>
              <w:t>53.1</w:t>
            </w:r>
            <w:r w:rsidRPr="0043316D">
              <w:rPr>
                <w:rFonts w:ascii="Times New Roman" w:hAnsi="Times New Roman"/>
                <w:sz w:val="26"/>
                <w:szCs w:val="26"/>
              </w:rPr>
              <w:t>.</w:t>
            </w:r>
            <w:r w:rsidR="00004F7C">
              <w:rPr>
                <w:rFonts w:ascii="Times New Roman" w:hAnsi="Times New Roman"/>
                <w:sz w:val="26"/>
                <w:szCs w:val="26"/>
              </w:rPr>
              <w:t xml:space="preserve"> apakš</w:t>
            </w:r>
            <w:r w:rsidRPr="0043316D">
              <w:rPr>
                <w:rFonts w:ascii="Times New Roman" w:hAnsi="Times New Roman"/>
                <w:sz w:val="26"/>
                <w:szCs w:val="26"/>
              </w:rPr>
              <w:t xml:space="preserve">punkts </w:t>
            </w:r>
          </w:p>
          <w:p w14:paraId="5A0E072D" w14:textId="77777777" w:rsidR="001A2EE0" w:rsidRPr="0043316D" w:rsidRDefault="001A2EE0" w:rsidP="001A2EE0">
            <w:pPr>
              <w:spacing w:after="0" w:line="240" w:lineRule="auto"/>
              <w:jc w:val="both"/>
              <w:rPr>
                <w:rFonts w:ascii="Times New Roman" w:hAnsi="Times New Roman"/>
                <w:sz w:val="26"/>
                <w:szCs w:val="26"/>
              </w:rPr>
            </w:pPr>
          </w:p>
          <w:p w14:paraId="379B1980" w14:textId="5ABAD1A8" w:rsidR="001A2EE0" w:rsidRPr="0043316D" w:rsidRDefault="001A2EE0" w:rsidP="001A2EE0">
            <w:pPr>
              <w:spacing w:after="0" w:line="240" w:lineRule="auto"/>
              <w:jc w:val="both"/>
              <w:rPr>
                <w:rFonts w:ascii="Times New Roman" w:hAnsi="Times New Roman"/>
                <w:b/>
                <w:i/>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542E170B" w14:textId="284C3639" w:rsidR="001A2EE0" w:rsidRPr="0043316D"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0736EF25" w14:textId="0EC8E0D5"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rsidRPr="0043316D" w14:paraId="2607463D"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2BD4DA3D" w14:textId="02AE704A"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Regulas 17.</w:t>
            </w:r>
            <w:r>
              <w:rPr>
                <w:rFonts w:ascii="Times New Roman" w:hAnsi="Times New Roman"/>
                <w:sz w:val="26"/>
                <w:szCs w:val="26"/>
              </w:rPr>
              <w:t>, 18.</w:t>
            </w:r>
            <w:r w:rsidRPr="0043316D">
              <w:rPr>
                <w:rFonts w:ascii="Times New Roman" w:hAnsi="Times New Roman"/>
                <w:sz w:val="26"/>
                <w:szCs w:val="26"/>
              </w:rPr>
              <w:t xml:space="preserve">pants </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1318B4EF" w14:textId="4C09F358"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Projekta </w:t>
            </w:r>
            <w:r w:rsidR="00004F7C">
              <w:rPr>
                <w:rFonts w:ascii="Times New Roman" w:hAnsi="Times New Roman"/>
                <w:sz w:val="26"/>
                <w:szCs w:val="26"/>
              </w:rPr>
              <w:t>51</w:t>
            </w:r>
            <w:r w:rsidRPr="0043316D">
              <w:rPr>
                <w:rFonts w:ascii="Times New Roman" w:hAnsi="Times New Roman"/>
                <w:sz w:val="26"/>
                <w:szCs w:val="26"/>
              </w:rPr>
              <w:t xml:space="preserve">.punkts </w:t>
            </w:r>
          </w:p>
          <w:p w14:paraId="35E1FC4F" w14:textId="77777777" w:rsidR="001A2EE0" w:rsidRPr="0043316D" w:rsidRDefault="001A2EE0" w:rsidP="001A2EE0">
            <w:pPr>
              <w:spacing w:after="0" w:line="240" w:lineRule="auto"/>
              <w:jc w:val="both"/>
              <w:rPr>
                <w:rFonts w:ascii="Times New Roman" w:hAnsi="Times New Roman"/>
                <w:sz w:val="26"/>
                <w:szCs w:val="26"/>
              </w:rPr>
            </w:pPr>
          </w:p>
          <w:p w14:paraId="1FC51075" w14:textId="383AC7F1" w:rsidR="001A2EE0" w:rsidRPr="0043316D" w:rsidRDefault="001A2EE0" w:rsidP="00004F7C">
            <w:pPr>
              <w:spacing w:after="0" w:line="240" w:lineRule="auto"/>
              <w:rPr>
                <w:rFonts w:ascii="Times New Roman" w:hAnsi="Times New Roman"/>
                <w:b/>
                <w:i/>
                <w:sz w:val="26"/>
                <w:szCs w:val="26"/>
              </w:rPr>
            </w:pPr>
          </w:p>
        </w:tc>
        <w:tc>
          <w:tcPr>
            <w:tcW w:w="1496" w:type="pct"/>
            <w:gridSpan w:val="3"/>
            <w:tcBorders>
              <w:top w:val="single" w:sz="4" w:space="0" w:color="auto"/>
              <w:left w:val="single" w:sz="4" w:space="0" w:color="auto"/>
              <w:bottom w:val="single" w:sz="4" w:space="0" w:color="auto"/>
              <w:right w:val="single" w:sz="4" w:space="0" w:color="auto"/>
            </w:tcBorders>
          </w:tcPr>
          <w:p w14:paraId="6615181E" w14:textId="2EB884B8" w:rsidR="001A2EE0" w:rsidRPr="0043316D"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524B18E7" w14:textId="77C84269" w:rsidR="001A2EE0" w:rsidRPr="0043316D"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05C1D853" w14:textId="77777777" w:rsidTr="00BF677D">
        <w:trPr>
          <w:tblCellSpacing w:w="15" w:type="dxa"/>
          <w:jc w:val="center"/>
        </w:trPr>
        <w:tc>
          <w:tcPr>
            <w:tcW w:w="746" w:type="pct"/>
            <w:tcBorders>
              <w:top w:val="single" w:sz="4" w:space="0" w:color="auto"/>
              <w:left w:val="single" w:sz="4" w:space="0" w:color="auto"/>
              <w:bottom w:val="single" w:sz="4" w:space="0" w:color="auto"/>
              <w:right w:val="single" w:sz="4" w:space="0" w:color="auto"/>
            </w:tcBorders>
          </w:tcPr>
          <w:p w14:paraId="3E1BEBCE" w14:textId="75A5C0B1" w:rsidR="001A2EE0" w:rsidRPr="0043316D" w:rsidRDefault="001A2EE0" w:rsidP="001A2EE0">
            <w:pPr>
              <w:spacing w:after="0" w:line="240" w:lineRule="auto"/>
              <w:jc w:val="both"/>
              <w:rPr>
                <w:rFonts w:ascii="Times New Roman" w:hAnsi="Times New Roman"/>
                <w:sz w:val="26"/>
                <w:szCs w:val="26"/>
              </w:rPr>
            </w:pPr>
            <w:r w:rsidRPr="0043316D">
              <w:rPr>
                <w:rFonts w:ascii="Times New Roman" w:hAnsi="Times New Roman"/>
                <w:sz w:val="26"/>
                <w:szCs w:val="26"/>
              </w:rPr>
              <w:t xml:space="preserve">Regulas </w:t>
            </w:r>
            <w:r>
              <w:rPr>
                <w:rFonts w:ascii="Times New Roman" w:hAnsi="Times New Roman"/>
                <w:bCs/>
                <w:sz w:val="26"/>
                <w:szCs w:val="26"/>
              </w:rPr>
              <w:t>Nr.2015/983</w:t>
            </w:r>
            <w:r w:rsidRPr="005949A8">
              <w:rPr>
                <w:rFonts w:ascii="Times New Roman" w:hAnsi="Times New Roman"/>
                <w:bCs/>
                <w:sz w:val="26"/>
                <w:szCs w:val="26"/>
              </w:rPr>
              <w:t xml:space="preserve"> </w:t>
            </w:r>
            <w:r w:rsidRPr="0043316D">
              <w:rPr>
                <w:rFonts w:ascii="Times New Roman" w:hAnsi="Times New Roman"/>
                <w:sz w:val="26"/>
                <w:szCs w:val="26"/>
              </w:rPr>
              <w:t>20.pants</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tcPr>
          <w:p w14:paraId="50320B3C" w14:textId="571F03BC" w:rsidR="001A2EE0" w:rsidRPr="0043316D" w:rsidRDefault="001A2EE0" w:rsidP="00523FDD">
            <w:pPr>
              <w:spacing w:after="0" w:line="240" w:lineRule="auto"/>
              <w:jc w:val="both"/>
              <w:rPr>
                <w:rFonts w:ascii="Times New Roman" w:hAnsi="Times New Roman"/>
                <w:b/>
                <w:i/>
                <w:sz w:val="26"/>
                <w:szCs w:val="26"/>
              </w:rPr>
            </w:pPr>
            <w:r w:rsidRPr="0043316D">
              <w:rPr>
                <w:rFonts w:ascii="Times New Roman" w:hAnsi="Times New Roman"/>
                <w:sz w:val="26"/>
                <w:szCs w:val="26"/>
              </w:rPr>
              <w:t xml:space="preserve">Projekta </w:t>
            </w:r>
            <w:r w:rsidR="00004F7C">
              <w:rPr>
                <w:rFonts w:ascii="Times New Roman" w:hAnsi="Times New Roman"/>
                <w:sz w:val="26"/>
                <w:szCs w:val="26"/>
              </w:rPr>
              <w:t>54.2.2., 55.3</w:t>
            </w:r>
            <w:r w:rsidR="00004F7C" w:rsidRPr="0043316D">
              <w:rPr>
                <w:rFonts w:ascii="Times New Roman" w:hAnsi="Times New Roman"/>
                <w:sz w:val="26"/>
                <w:szCs w:val="26"/>
              </w:rPr>
              <w:t xml:space="preserve">. </w:t>
            </w:r>
            <w:r w:rsidR="00004F7C">
              <w:rPr>
                <w:rFonts w:ascii="Times New Roman" w:hAnsi="Times New Roman"/>
                <w:sz w:val="26"/>
                <w:szCs w:val="26"/>
              </w:rPr>
              <w:t>apakš</w:t>
            </w:r>
            <w:r w:rsidR="00004F7C" w:rsidRPr="0043316D">
              <w:rPr>
                <w:rFonts w:ascii="Times New Roman" w:hAnsi="Times New Roman"/>
                <w:sz w:val="26"/>
                <w:szCs w:val="26"/>
              </w:rPr>
              <w:t>punkt</w:t>
            </w:r>
            <w:r w:rsidR="00004F7C">
              <w:rPr>
                <w:rFonts w:ascii="Times New Roman" w:hAnsi="Times New Roman"/>
                <w:sz w:val="26"/>
                <w:szCs w:val="26"/>
              </w:rPr>
              <w:t xml:space="preserve">s </w:t>
            </w:r>
          </w:p>
        </w:tc>
        <w:tc>
          <w:tcPr>
            <w:tcW w:w="1496" w:type="pct"/>
            <w:gridSpan w:val="3"/>
            <w:tcBorders>
              <w:top w:val="single" w:sz="4" w:space="0" w:color="auto"/>
              <w:left w:val="single" w:sz="4" w:space="0" w:color="auto"/>
              <w:bottom w:val="single" w:sz="4" w:space="0" w:color="auto"/>
              <w:right w:val="single" w:sz="4" w:space="0" w:color="auto"/>
            </w:tcBorders>
          </w:tcPr>
          <w:p w14:paraId="2AE5EEFD" w14:textId="33C3D04E" w:rsidR="001A2EE0" w:rsidRPr="0043316D"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Tiks ieviesta pilnībā</w:t>
            </w:r>
          </w:p>
        </w:tc>
        <w:tc>
          <w:tcPr>
            <w:tcW w:w="1402" w:type="pct"/>
            <w:tcBorders>
              <w:top w:val="single" w:sz="4" w:space="0" w:color="auto"/>
              <w:left w:val="single" w:sz="4" w:space="0" w:color="auto"/>
              <w:bottom w:val="single" w:sz="4" w:space="0" w:color="auto"/>
              <w:right w:val="single" w:sz="4" w:space="0" w:color="auto"/>
            </w:tcBorders>
          </w:tcPr>
          <w:p w14:paraId="520E32DB" w14:textId="7A1B19CC" w:rsidR="001A2EE0" w:rsidRPr="004A308B" w:rsidRDefault="001A2EE0" w:rsidP="001A2EE0">
            <w:pPr>
              <w:spacing w:after="0" w:line="240" w:lineRule="auto"/>
              <w:jc w:val="both"/>
              <w:rPr>
                <w:rFonts w:ascii="Times New Roman" w:hAnsi="Times New Roman"/>
                <w:sz w:val="26"/>
                <w:szCs w:val="26"/>
                <w:lang w:eastAsia="lv-LV"/>
              </w:rPr>
            </w:pPr>
            <w:r w:rsidRPr="0043316D">
              <w:rPr>
                <w:rFonts w:ascii="Times New Roman" w:hAnsi="Times New Roman"/>
                <w:sz w:val="26"/>
                <w:szCs w:val="26"/>
                <w:lang w:eastAsia="lv-LV"/>
              </w:rPr>
              <w:t>Neparedzēs stingrākas prasības.</w:t>
            </w:r>
          </w:p>
        </w:tc>
      </w:tr>
      <w:tr w:rsidR="001A2EE0" w14:paraId="2BF1E2F2" w14:textId="77777777" w:rsidTr="00BF677D">
        <w:trPr>
          <w:tblCellSpacing w:w="15" w:type="dxa"/>
          <w:jc w:val="center"/>
        </w:trPr>
        <w:tc>
          <w:tcPr>
            <w:tcW w:w="2042" w:type="pct"/>
            <w:gridSpan w:val="3"/>
            <w:tcBorders>
              <w:top w:val="single" w:sz="4" w:space="0" w:color="auto"/>
              <w:left w:val="single" w:sz="4" w:space="0" w:color="auto"/>
              <w:bottom w:val="single" w:sz="4" w:space="0" w:color="auto"/>
              <w:right w:val="single" w:sz="4" w:space="0" w:color="auto"/>
            </w:tcBorders>
            <w:hideMark/>
          </w:tcPr>
          <w:p w14:paraId="2A275671"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Kā ir izmantota ES tiesību aktā paredzētā rīcības brīvība dalībvalstij pārņemt vai ieviest noteiktas ES tiesību akta normas?</w:t>
            </w:r>
            <w:r w:rsidRPr="004A308B">
              <w:rPr>
                <w:rFonts w:ascii="Times New Roman" w:hAnsi="Times New Roman"/>
                <w:sz w:val="26"/>
                <w:szCs w:val="26"/>
                <w:lang w:eastAsia="lv-LV"/>
              </w:rPr>
              <w:br/>
              <w:t>Kādēļ?</w:t>
            </w:r>
          </w:p>
        </w:tc>
        <w:tc>
          <w:tcPr>
            <w:tcW w:w="2913" w:type="pct"/>
            <w:gridSpan w:val="4"/>
            <w:tcBorders>
              <w:top w:val="single" w:sz="4" w:space="0" w:color="auto"/>
              <w:left w:val="single" w:sz="4" w:space="0" w:color="auto"/>
              <w:bottom w:val="single" w:sz="4" w:space="0" w:color="auto"/>
              <w:right w:val="single" w:sz="4" w:space="0" w:color="auto"/>
            </w:tcBorders>
            <w:hideMark/>
          </w:tcPr>
          <w:p w14:paraId="422BF8BB" w14:textId="001269BC" w:rsidR="001A2EE0" w:rsidRPr="0068307F" w:rsidRDefault="001A2EE0" w:rsidP="001A2EE0">
            <w:pPr>
              <w:spacing w:after="0" w:line="240" w:lineRule="auto"/>
              <w:jc w:val="both"/>
              <w:rPr>
                <w:rFonts w:ascii="Times New Roman" w:hAnsi="Times New Roman"/>
                <w:sz w:val="26"/>
                <w:szCs w:val="26"/>
                <w:lang w:eastAsia="lv-LV"/>
              </w:rPr>
            </w:pPr>
            <w:r>
              <w:rPr>
                <w:rFonts w:ascii="Times New Roman" w:hAnsi="Times New Roman"/>
                <w:sz w:val="26"/>
                <w:szCs w:val="26"/>
                <w:lang w:eastAsia="lv-LV"/>
              </w:rPr>
              <w:t xml:space="preserve">Projekts paredz Latvijas Republikā izmantot </w:t>
            </w:r>
            <w:r w:rsidRPr="00F53006">
              <w:rPr>
                <w:rFonts w:ascii="Times New Roman" w:hAnsi="Times New Roman"/>
                <w:sz w:val="26"/>
                <w:szCs w:val="26"/>
                <w:lang w:eastAsia="lv-LV"/>
              </w:rPr>
              <w:t xml:space="preserve">regulas </w:t>
            </w:r>
            <w:r w:rsidRPr="00F53006">
              <w:rPr>
                <w:rFonts w:ascii="Times New Roman" w:hAnsi="Times New Roman"/>
                <w:bCs/>
                <w:sz w:val="26"/>
                <w:szCs w:val="26"/>
              </w:rPr>
              <w:t xml:space="preserve">Nr.2015/983 </w:t>
            </w:r>
            <w:r w:rsidRPr="00F53006">
              <w:rPr>
                <w:rFonts w:ascii="Times New Roman" w:hAnsi="Times New Roman"/>
                <w:sz w:val="26"/>
                <w:szCs w:val="26"/>
                <w:lang w:eastAsia="lv-LV"/>
              </w:rPr>
              <w:t xml:space="preserve"> </w:t>
            </w:r>
            <w:r>
              <w:rPr>
                <w:rFonts w:ascii="Times New Roman" w:hAnsi="Times New Roman"/>
                <w:sz w:val="26"/>
                <w:szCs w:val="26"/>
                <w:lang w:eastAsia="lv-LV"/>
              </w:rPr>
              <w:t>9.</w:t>
            </w:r>
            <w:r w:rsidRPr="00F53006">
              <w:rPr>
                <w:rFonts w:ascii="Times New Roman" w:hAnsi="Times New Roman"/>
                <w:sz w:val="26"/>
                <w:szCs w:val="26"/>
                <w:lang w:eastAsia="lv-LV"/>
              </w:rPr>
              <w:t xml:space="preserve">pantā </w:t>
            </w:r>
            <w:r>
              <w:rPr>
                <w:rFonts w:ascii="Times New Roman" w:hAnsi="Times New Roman"/>
                <w:sz w:val="26"/>
                <w:szCs w:val="26"/>
                <w:lang w:eastAsia="lv-LV"/>
              </w:rPr>
              <w:t xml:space="preserve">noteikto iespēju izvēlēties noteikt maksu par EPK izdošanu vai pieteikumu apstrādi. EPK izdošana ir uzskatāma elektronisku analogu līdz šim īstenotajai profesionālās kvalifikācijas atzīšanai, kas tika un arvien turpinās tikt veikta ar fiziskiem dokumentiem papīra formātā, kas tiek īstenota par maksu. Jāņem vērā, ka no valsts budžeta papildus līdzekļi profesionālās </w:t>
            </w:r>
            <w:r w:rsidRPr="00DF05D4">
              <w:rPr>
                <w:rFonts w:ascii="Times New Roman" w:hAnsi="Times New Roman"/>
                <w:sz w:val="26"/>
                <w:szCs w:val="26"/>
                <w:lang w:eastAsia="lv-LV"/>
              </w:rPr>
              <w:t>kvalifik</w:t>
            </w:r>
            <w:r w:rsidRPr="00575D7F">
              <w:rPr>
                <w:rFonts w:ascii="Times New Roman" w:hAnsi="Times New Roman"/>
                <w:sz w:val="26"/>
                <w:szCs w:val="26"/>
                <w:lang w:eastAsia="lv-LV"/>
              </w:rPr>
              <w:t>ācijas atzīšanas administratīvās spējas funkcijas stiprināšanai nav piešķirti (</w:t>
            </w:r>
            <w:r w:rsidRPr="0068307F">
              <w:rPr>
                <w:rFonts w:ascii="Times New Roman" w:hAnsi="Times New Roman"/>
                <w:sz w:val="26"/>
                <w:szCs w:val="26"/>
              </w:rPr>
              <w:t>Ministru kabineta 12.08.2014. sēdē (prot.Nr.43, 39.§, 2.p.), Ministru kabineta 18.08.2015. sēdē (prot.Nr.40, 30.§, 4.,5.p.)</w:t>
            </w:r>
            <w:r>
              <w:rPr>
                <w:rFonts w:ascii="Times New Roman" w:hAnsi="Times New Roman"/>
                <w:sz w:val="26"/>
                <w:szCs w:val="26"/>
              </w:rPr>
              <w:t>. EPK izdošanu par maksu paredz arī kvalifikācijas atzīšanas likums.</w:t>
            </w:r>
            <w:r w:rsidRPr="00DF05D4">
              <w:rPr>
                <w:rFonts w:ascii="Times New Roman" w:hAnsi="Times New Roman"/>
                <w:sz w:val="26"/>
                <w:szCs w:val="26"/>
                <w:lang w:eastAsia="lv-LV"/>
              </w:rPr>
              <w:t xml:space="preserve"> </w:t>
            </w:r>
            <w:r w:rsidRPr="00575D7F">
              <w:rPr>
                <w:rFonts w:ascii="Times New Roman" w:hAnsi="Times New Roman"/>
                <w:sz w:val="26"/>
                <w:szCs w:val="26"/>
                <w:lang w:eastAsia="lv-LV"/>
              </w:rPr>
              <w:t>Ar mērķi noteikt vienlīdzīgus noteikumus visiem profesionālās kvalifikācijas atzīšanas pretendentiem</w:t>
            </w:r>
            <w:r>
              <w:rPr>
                <w:rFonts w:ascii="Times New Roman" w:hAnsi="Times New Roman"/>
                <w:sz w:val="26"/>
                <w:szCs w:val="26"/>
                <w:lang w:eastAsia="lv-LV"/>
              </w:rPr>
              <w:t xml:space="preserve">, kā arī, lai iespējami mazākā mērā ietekmētu valsts budžetu, projekts paredz noteikt maksu par EPK izdošanu. </w:t>
            </w:r>
          </w:p>
        </w:tc>
      </w:tr>
      <w:tr w:rsidR="001A2EE0" w14:paraId="26CCAA2D" w14:textId="77777777" w:rsidTr="00BF677D">
        <w:trPr>
          <w:tblCellSpacing w:w="15" w:type="dxa"/>
          <w:jc w:val="center"/>
        </w:trPr>
        <w:tc>
          <w:tcPr>
            <w:tcW w:w="2042" w:type="pct"/>
            <w:gridSpan w:val="3"/>
            <w:tcBorders>
              <w:top w:val="single" w:sz="4" w:space="0" w:color="auto"/>
              <w:left w:val="single" w:sz="4" w:space="0" w:color="auto"/>
              <w:bottom w:val="single" w:sz="4" w:space="0" w:color="auto"/>
              <w:right w:val="single" w:sz="4" w:space="0" w:color="auto"/>
            </w:tcBorders>
            <w:hideMark/>
          </w:tcPr>
          <w:p w14:paraId="799C1C8D"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4"/>
            <w:tcBorders>
              <w:top w:val="single" w:sz="4" w:space="0" w:color="auto"/>
              <w:left w:val="single" w:sz="4" w:space="0" w:color="auto"/>
              <w:bottom w:val="single" w:sz="4" w:space="0" w:color="auto"/>
              <w:right w:val="single" w:sz="4" w:space="0" w:color="auto"/>
            </w:tcBorders>
            <w:hideMark/>
          </w:tcPr>
          <w:p w14:paraId="750047BA" w14:textId="60832532" w:rsidR="001A2EE0" w:rsidRPr="004A308B" w:rsidRDefault="00044C34" w:rsidP="001A2EE0">
            <w:pPr>
              <w:spacing w:after="0" w:line="240" w:lineRule="auto"/>
              <w:jc w:val="both"/>
              <w:rPr>
                <w:rFonts w:ascii="Times New Roman" w:hAnsi="Times New Roman"/>
                <w:sz w:val="26"/>
                <w:szCs w:val="26"/>
                <w:lang w:eastAsia="lv-LV"/>
              </w:rPr>
            </w:pPr>
            <w:r w:rsidRPr="000847A9">
              <w:rPr>
                <w:rFonts w:ascii="Times New Roman" w:hAnsi="Times New Roman"/>
                <w:sz w:val="26"/>
                <w:szCs w:val="26"/>
                <w:lang w:eastAsia="lv-LV"/>
              </w:rPr>
              <w:t>Projekts šo jomu neskar.</w:t>
            </w:r>
          </w:p>
        </w:tc>
      </w:tr>
      <w:tr w:rsidR="001A2EE0" w14:paraId="5AAD29BC" w14:textId="77777777" w:rsidTr="00BF677D">
        <w:trPr>
          <w:tblCellSpacing w:w="15" w:type="dxa"/>
          <w:jc w:val="center"/>
        </w:trPr>
        <w:tc>
          <w:tcPr>
            <w:tcW w:w="2042" w:type="pct"/>
            <w:gridSpan w:val="3"/>
            <w:tcBorders>
              <w:top w:val="single" w:sz="4" w:space="0" w:color="auto"/>
              <w:left w:val="single" w:sz="4" w:space="0" w:color="auto"/>
              <w:bottom w:val="single" w:sz="4" w:space="0" w:color="auto"/>
              <w:right w:val="single" w:sz="4" w:space="0" w:color="auto"/>
            </w:tcBorders>
            <w:hideMark/>
          </w:tcPr>
          <w:p w14:paraId="14A940B7"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Cita informācija</w:t>
            </w:r>
          </w:p>
        </w:tc>
        <w:tc>
          <w:tcPr>
            <w:tcW w:w="2913" w:type="pct"/>
            <w:gridSpan w:val="4"/>
            <w:tcBorders>
              <w:top w:val="single" w:sz="4" w:space="0" w:color="auto"/>
              <w:left w:val="single" w:sz="4" w:space="0" w:color="auto"/>
              <w:bottom w:val="single" w:sz="4" w:space="0" w:color="auto"/>
              <w:right w:val="single" w:sz="4" w:space="0" w:color="auto"/>
            </w:tcBorders>
            <w:hideMark/>
          </w:tcPr>
          <w:p w14:paraId="3C246115" w14:textId="77777777" w:rsidR="001A2EE0" w:rsidRPr="004A308B" w:rsidRDefault="001A2EE0" w:rsidP="001A2EE0">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Nav</w:t>
            </w:r>
          </w:p>
        </w:tc>
      </w:tr>
      <w:tr w:rsidR="001A2EE0" w14:paraId="3242366E" w14:textId="77777777" w:rsidTr="0005162F">
        <w:trPr>
          <w:tblCellSpacing w:w="15" w:type="dxa"/>
          <w:jc w:val="center"/>
        </w:trPr>
        <w:tc>
          <w:tcPr>
            <w:tcW w:w="4970" w:type="pct"/>
            <w:gridSpan w:val="7"/>
            <w:tcBorders>
              <w:top w:val="single" w:sz="4" w:space="0" w:color="auto"/>
              <w:left w:val="single" w:sz="4" w:space="0" w:color="auto"/>
              <w:bottom w:val="single" w:sz="4" w:space="0" w:color="auto"/>
              <w:right w:val="single" w:sz="4" w:space="0" w:color="auto"/>
            </w:tcBorders>
            <w:vAlign w:val="center"/>
            <w:hideMark/>
          </w:tcPr>
          <w:p w14:paraId="4026F999" w14:textId="77777777" w:rsidR="001A2EE0" w:rsidRPr="004A308B" w:rsidRDefault="001A2EE0" w:rsidP="001A2EE0">
            <w:pPr>
              <w:spacing w:after="0" w:line="240" w:lineRule="auto"/>
              <w:ind w:firstLine="300"/>
              <w:jc w:val="both"/>
              <w:rPr>
                <w:rFonts w:ascii="Times New Roman" w:hAnsi="Times New Roman"/>
                <w:b/>
                <w:bCs/>
                <w:sz w:val="26"/>
                <w:szCs w:val="26"/>
                <w:lang w:eastAsia="lv-LV"/>
              </w:rPr>
            </w:pPr>
            <w:r w:rsidRPr="004A308B">
              <w:rPr>
                <w:rFonts w:ascii="Times New Roman" w:hAnsi="Times New Roman"/>
                <w:b/>
                <w:bCs/>
                <w:sz w:val="26"/>
                <w:szCs w:val="26"/>
                <w:lang w:eastAsia="lv-LV"/>
              </w:rPr>
              <w:t>2.tabula</w:t>
            </w:r>
            <w:r w:rsidRPr="004A308B">
              <w:rPr>
                <w:rFonts w:ascii="Times New Roman" w:hAnsi="Times New Roman"/>
                <w:b/>
                <w:bCs/>
                <w:sz w:val="26"/>
                <w:szCs w:val="26"/>
                <w:lang w:eastAsia="lv-LV"/>
              </w:rPr>
              <w:br/>
              <w:t>Ar tiesību akta projektu izpildītās vai uzņemtās saistības, kas izriet no starptautiskajiem tiesību aktiem vai starptautiskas institūcijas vai organizācijas dokumentiem.</w:t>
            </w:r>
            <w:r w:rsidRPr="004A308B">
              <w:rPr>
                <w:rFonts w:ascii="Times New Roman" w:hAnsi="Times New Roman"/>
                <w:b/>
                <w:bCs/>
                <w:sz w:val="26"/>
                <w:szCs w:val="26"/>
                <w:lang w:eastAsia="lv-LV"/>
              </w:rPr>
              <w:br/>
              <w:t>Pasākumi šo saistību izpildei</w:t>
            </w:r>
          </w:p>
        </w:tc>
      </w:tr>
      <w:tr w:rsidR="001A2EE0" w14:paraId="65D7B97C" w14:textId="77777777" w:rsidTr="00BF677D">
        <w:trPr>
          <w:tblCellSpacing w:w="15" w:type="dxa"/>
          <w:jc w:val="center"/>
        </w:trPr>
        <w:tc>
          <w:tcPr>
            <w:tcW w:w="1282" w:type="pct"/>
            <w:gridSpan w:val="2"/>
            <w:tcBorders>
              <w:top w:val="single" w:sz="4" w:space="0" w:color="auto"/>
              <w:left w:val="single" w:sz="4" w:space="0" w:color="auto"/>
              <w:bottom w:val="single" w:sz="4" w:space="0" w:color="auto"/>
              <w:right w:val="single" w:sz="4" w:space="0" w:color="auto"/>
            </w:tcBorders>
            <w:vAlign w:val="center"/>
            <w:hideMark/>
          </w:tcPr>
          <w:p w14:paraId="312ED741"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Attiecīgā starptautiskā tiesību akta vai starptautiskas institūcijas vai organizācijas dokumenta (turpmāk – starptautiskais dokuments) datums, numurs un nosaukums</w:t>
            </w:r>
          </w:p>
        </w:tc>
        <w:tc>
          <w:tcPr>
            <w:tcW w:w="3673" w:type="pct"/>
            <w:gridSpan w:val="5"/>
            <w:tcBorders>
              <w:top w:val="single" w:sz="4" w:space="0" w:color="auto"/>
              <w:left w:val="single" w:sz="4" w:space="0" w:color="auto"/>
              <w:bottom w:val="single" w:sz="4" w:space="0" w:color="auto"/>
              <w:right w:val="single" w:sz="4" w:space="0" w:color="auto"/>
            </w:tcBorders>
            <w:hideMark/>
          </w:tcPr>
          <w:p w14:paraId="6D04A26A"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Projekts šo jomu neskar.</w:t>
            </w:r>
          </w:p>
        </w:tc>
      </w:tr>
      <w:tr w:rsidR="001A2EE0" w14:paraId="771E6C6A" w14:textId="77777777" w:rsidTr="00BF677D">
        <w:trPr>
          <w:tblCellSpacing w:w="15" w:type="dxa"/>
          <w:jc w:val="center"/>
        </w:trPr>
        <w:tc>
          <w:tcPr>
            <w:tcW w:w="1282" w:type="pct"/>
            <w:gridSpan w:val="2"/>
            <w:tcBorders>
              <w:top w:val="single" w:sz="4" w:space="0" w:color="auto"/>
              <w:left w:val="single" w:sz="4" w:space="0" w:color="auto"/>
              <w:bottom w:val="single" w:sz="4" w:space="0" w:color="auto"/>
              <w:right w:val="single" w:sz="4" w:space="0" w:color="auto"/>
            </w:tcBorders>
            <w:vAlign w:val="center"/>
            <w:hideMark/>
          </w:tcPr>
          <w:p w14:paraId="1FF3C95A" w14:textId="77777777" w:rsidR="001A2EE0" w:rsidRPr="004A308B" w:rsidRDefault="001A2EE0" w:rsidP="001A2EE0">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A</w:t>
            </w:r>
          </w:p>
        </w:tc>
        <w:tc>
          <w:tcPr>
            <w:tcW w:w="1192" w:type="pct"/>
            <w:gridSpan w:val="3"/>
            <w:tcBorders>
              <w:top w:val="single" w:sz="4" w:space="0" w:color="auto"/>
              <w:left w:val="single" w:sz="4" w:space="0" w:color="auto"/>
              <w:bottom w:val="single" w:sz="4" w:space="0" w:color="auto"/>
              <w:right w:val="single" w:sz="4" w:space="0" w:color="auto"/>
            </w:tcBorders>
            <w:vAlign w:val="center"/>
            <w:hideMark/>
          </w:tcPr>
          <w:p w14:paraId="66804C79" w14:textId="77777777" w:rsidR="001A2EE0" w:rsidRPr="004A308B" w:rsidRDefault="001A2EE0" w:rsidP="001A2EE0">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B</w:t>
            </w:r>
          </w:p>
        </w:tc>
        <w:tc>
          <w:tcPr>
            <w:tcW w:w="2466" w:type="pct"/>
            <w:gridSpan w:val="2"/>
            <w:tcBorders>
              <w:top w:val="single" w:sz="4" w:space="0" w:color="auto"/>
              <w:left w:val="single" w:sz="4" w:space="0" w:color="auto"/>
              <w:bottom w:val="single" w:sz="4" w:space="0" w:color="auto"/>
              <w:right w:val="single" w:sz="4" w:space="0" w:color="auto"/>
            </w:tcBorders>
            <w:vAlign w:val="center"/>
            <w:hideMark/>
          </w:tcPr>
          <w:p w14:paraId="6302A26F" w14:textId="77777777" w:rsidR="001A2EE0" w:rsidRPr="004A308B" w:rsidRDefault="001A2EE0" w:rsidP="001A2EE0">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C</w:t>
            </w:r>
          </w:p>
        </w:tc>
      </w:tr>
      <w:tr w:rsidR="001A2EE0" w14:paraId="289A15EC" w14:textId="77777777" w:rsidTr="00BF677D">
        <w:trPr>
          <w:tblCellSpacing w:w="15" w:type="dxa"/>
          <w:jc w:val="center"/>
        </w:trPr>
        <w:tc>
          <w:tcPr>
            <w:tcW w:w="1282" w:type="pct"/>
            <w:gridSpan w:val="2"/>
            <w:tcBorders>
              <w:top w:val="single" w:sz="4" w:space="0" w:color="auto"/>
              <w:left w:val="single" w:sz="4" w:space="0" w:color="auto"/>
              <w:bottom w:val="single" w:sz="4" w:space="0" w:color="auto"/>
              <w:right w:val="single" w:sz="4" w:space="0" w:color="auto"/>
            </w:tcBorders>
            <w:hideMark/>
          </w:tcPr>
          <w:p w14:paraId="65321485"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 xml:space="preserve">Starptautiskās saistības (pēc būtības), kas izriet no norādītā starptautiskā dokumenta. </w:t>
            </w:r>
          </w:p>
          <w:p w14:paraId="4D4A0F74" w14:textId="77777777" w:rsidR="001A2EE0" w:rsidRPr="004A308B" w:rsidRDefault="001A2EE0" w:rsidP="001A2EE0">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Konkrēti veicamie pasākumi vai uzdevumi, kas nepieciešami šo starptautisko saistību izpildei</w:t>
            </w:r>
          </w:p>
        </w:tc>
        <w:tc>
          <w:tcPr>
            <w:tcW w:w="1192" w:type="pct"/>
            <w:gridSpan w:val="3"/>
            <w:tcBorders>
              <w:top w:val="single" w:sz="4" w:space="0" w:color="auto"/>
              <w:left w:val="single" w:sz="4" w:space="0" w:color="auto"/>
              <w:bottom w:val="single" w:sz="4" w:space="0" w:color="auto"/>
              <w:right w:val="single" w:sz="4" w:space="0" w:color="auto"/>
            </w:tcBorders>
            <w:hideMark/>
          </w:tcPr>
          <w:p w14:paraId="2D3FA684"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66" w:type="pct"/>
            <w:gridSpan w:val="2"/>
            <w:tcBorders>
              <w:top w:val="single" w:sz="4" w:space="0" w:color="auto"/>
              <w:left w:val="single" w:sz="4" w:space="0" w:color="auto"/>
              <w:bottom w:val="single" w:sz="4" w:space="0" w:color="auto"/>
              <w:right w:val="single" w:sz="4" w:space="0" w:color="auto"/>
            </w:tcBorders>
            <w:hideMark/>
          </w:tcPr>
          <w:p w14:paraId="7DE3D377"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 xml:space="preserve">Informācija par to, vai starptautiskās saistības, kas minētas šīs tabulas A ailē, tiek izpildītas pilnībā vai daļēji. </w:t>
            </w:r>
          </w:p>
          <w:p w14:paraId="2834814E" w14:textId="77777777" w:rsidR="001A2EE0" w:rsidRPr="004A308B" w:rsidRDefault="001A2EE0" w:rsidP="001A2EE0">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Ja attiecīgās starptautiskās saistības tiek izpildītas daļēji, sniedz skaidrojumu, kā arī precīzi norāda, kad un kādā veidā starptautiskās saistības tiks izpildītas pilnībā.</w:t>
            </w:r>
          </w:p>
          <w:p w14:paraId="01515798" w14:textId="77777777" w:rsidR="001A2EE0" w:rsidRPr="004A308B" w:rsidRDefault="001A2EE0" w:rsidP="001A2EE0">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Norāda institūciju, kas ir atbildīga par šo saistību izpildi pilnībā</w:t>
            </w:r>
          </w:p>
        </w:tc>
      </w:tr>
      <w:tr w:rsidR="001A2EE0" w14:paraId="4776E4CC" w14:textId="77777777" w:rsidTr="00BF677D">
        <w:trPr>
          <w:tblCellSpacing w:w="15" w:type="dxa"/>
          <w:jc w:val="center"/>
        </w:trPr>
        <w:tc>
          <w:tcPr>
            <w:tcW w:w="1282" w:type="pct"/>
            <w:gridSpan w:val="2"/>
            <w:tcBorders>
              <w:top w:val="single" w:sz="4" w:space="0" w:color="auto"/>
              <w:left w:val="single" w:sz="4" w:space="0" w:color="auto"/>
              <w:bottom w:val="single" w:sz="4" w:space="0" w:color="auto"/>
              <w:right w:val="single" w:sz="4" w:space="0" w:color="auto"/>
            </w:tcBorders>
            <w:hideMark/>
          </w:tcPr>
          <w:p w14:paraId="3A47BEF3"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Vai starptautiskajā dokumentā paredzētās saistības nav pretrunā ar jau esošajām Latvijas Republikas starptautiskajām saistībām</w:t>
            </w:r>
          </w:p>
        </w:tc>
        <w:tc>
          <w:tcPr>
            <w:tcW w:w="3673" w:type="pct"/>
            <w:gridSpan w:val="5"/>
            <w:tcBorders>
              <w:top w:val="single" w:sz="4" w:space="0" w:color="auto"/>
              <w:left w:val="single" w:sz="4" w:space="0" w:color="auto"/>
              <w:bottom w:val="single" w:sz="4" w:space="0" w:color="auto"/>
              <w:right w:val="single" w:sz="4" w:space="0" w:color="auto"/>
            </w:tcBorders>
            <w:hideMark/>
          </w:tcPr>
          <w:p w14:paraId="6D7548CD"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t>Projekts šo jomu neskar.</w:t>
            </w:r>
          </w:p>
        </w:tc>
      </w:tr>
      <w:tr w:rsidR="001A2EE0" w14:paraId="778FD5E9" w14:textId="77777777" w:rsidTr="00BF677D">
        <w:trPr>
          <w:tblCellSpacing w:w="15" w:type="dxa"/>
          <w:jc w:val="center"/>
        </w:trPr>
        <w:tc>
          <w:tcPr>
            <w:tcW w:w="1282" w:type="pct"/>
            <w:gridSpan w:val="2"/>
            <w:tcBorders>
              <w:top w:val="single" w:sz="4" w:space="0" w:color="auto"/>
              <w:left w:val="single" w:sz="4" w:space="0" w:color="auto"/>
              <w:bottom w:val="single" w:sz="4" w:space="0" w:color="auto"/>
              <w:right w:val="single" w:sz="4" w:space="0" w:color="auto"/>
            </w:tcBorders>
            <w:hideMark/>
          </w:tcPr>
          <w:p w14:paraId="3734378F" w14:textId="77777777" w:rsidR="001A2EE0" w:rsidRPr="004A308B" w:rsidRDefault="001A2EE0" w:rsidP="001A2EE0">
            <w:pPr>
              <w:spacing w:after="0" w:line="240" w:lineRule="auto"/>
              <w:jc w:val="both"/>
              <w:rPr>
                <w:rFonts w:ascii="Times New Roman" w:hAnsi="Times New Roman"/>
                <w:sz w:val="26"/>
                <w:szCs w:val="26"/>
                <w:lang w:eastAsia="lv-LV"/>
              </w:rPr>
            </w:pPr>
            <w:r w:rsidRPr="004A308B">
              <w:rPr>
                <w:rFonts w:ascii="Times New Roman" w:hAnsi="Times New Roman"/>
                <w:sz w:val="26"/>
                <w:szCs w:val="26"/>
                <w:lang w:eastAsia="lv-LV"/>
              </w:rPr>
              <w:lastRenderedPageBreak/>
              <w:t>Cita informācija</w:t>
            </w:r>
          </w:p>
        </w:tc>
        <w:tc>
          <w:tcPr>
            <w:tcW w:w="3673" w:type="pct"/>
            <w:gridSpan w:val="5"/>
            <w:tcBorders>
              <w:top w:val="single" w:sz="4" w:space="0" w:color="auto"/>
              <w:left w:val="single" w:sz="4" w:space="0" w:color="auto"/>
              <w:bottom w:val="single" w:sz="4" w:space="0" w:color="auto"/>
              <w:right w:val="single" w:sz="4" w:space="0" w:color="auto"/>
            </w:tcBorders>
            <w:hideMark/>
          </w:tcPr>
          <w:p w14:paraId="69442D6E" w14:textId="77777777" w:rsidR="001A2EE0" w:rsidRPr="004A308B" w:rsidRDefault="001A2EE0" w:rsidP="001A2EE0">
            <w:pPr>
              <w:spacing w:after="0" w:line="240" w:lineRule="auto"/>
              <w:ind w:firstLine="300"/>
              <w:jc w:val="both"/>
              <w:rPr>
                <w:rFonts w:ascii="Times New Roman" w:hAnsi="Times New Roman"/>
                <w:sz w:val="26"/>
                <w:szCs w:val="26"/>
                <w:lang w:eastAsia="lv-LV"/>
              </w:rPr>
            </w:pPr>
            <w:r w:rsidRPr="004A308B">
              <w:rPr>
                <w:rFonts w:ascii="Times New Roman" w:hAnsi="Times New Roman"/>
                <w:sz w:val="26"/>
                <w:szCs w:val="26"/>
                <w:lang w:eastAsia="lv-LV"/>
              </w:rPr>
              <w:t>Nav</w:t>
            </w:r>
          </w:p>
        </w:tc>
      </w:tr>
    </w:tbl>
    <w:p w14:paraId="640E3CA2" w14:textId="77777777" w:rsidR="007B4613" w:rsidRDefault="007B4613" w:rsidP="007B4613">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 </w:t>
      </w:r>
    </w:p>
    <w:p w14:paraId="43C8E263" w14:textId="77777777" w:rsidR="003460E1" w:rsidRPr="00823CB3" w:rsidRDefault="003460E1" w:rsidP="004A505F">
      <w:pPr>
        <w:spacing w:after="0" w:line="360" w:lineRule="auto"/>
        <w:rPr>
          <w:rFonts w:ascii="Times New Roman" w:hAnsi="Times New Roman"/>
          <w:i/>
          <w:sz w:val="26"/>
          <w:szCs w:val="2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823CB3" w14:paraId="16EDB388" w14:textId="77777777" w:rsidTr="0005162F">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27DA47" w14:textId="77777777" w:rsidR="00812271" w:rsidRPr="00823CB3" w:rsidRDefault="00812271" w:rsidP="0005162F">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VI. Sabiedrības līdzdalība un komunikācijas aktivitātes</w:t>
            </w:r>
          </w:p>
        </w:tc>
      </w:tr>
      <w:tr w:rsidR="00812271" w:rsidRPr="00823CB3" w14:paraId="47F69F25" w14:textId="77777777"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80D24CD" w14:textId="77777777" w:rsidR="00812271" w:rsidRPr="00823CB3" w:rsidRDefault="00812271" w:rsidP="0005162F">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6B498F62" w14:textId="77777777" w:rsidR="00812271" w:rsidRPr="00823CB3" w:rsidRDefault="00812271" w:rsidP="0005162F">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27C531CA" w14:textId="2BD7432D" w:rsidR="00812271" w:rsidRDefault="006A671F" w:rsidP="00684CA5">
            <w:pPr>
              <w:spacing w:after="0" w:line="240" w:lineRule="auto"/>
              <w:jc w:val="both"/>
              <w:rPr>
                <w:rFonts w:ascii="Times New Roman" w:eastAsia="Times New Roman" w:hAnsi="Times New Roman"/>
                <w:sz w:val="26"/>
                <w:szCs w:val="26"/>
                <w:lang w:eastAsia="lv-LV"/>
              </w:rPr>
            </w:pPr>
            <w:r w:rsidRPr="001004CD">
              <w:rPr>
                <w:rFonts w:ascii="Times New Roman" w:eastAsia="Times New Roman" w:hAnsi="Times New Roman"/>
                <w:sz w:val="26"/>
                <w:szCs w:val="26"/>
                <w:lang w:eastAsia="lv-LV"/>
              </w:rPr>
              <w:t>Pr</w:t>
            </w:r>
            <w:r w:rsidR="001004CD" w:rsidRPr="001004CD">
              <w:rPr>
                <w:rFonts w:ascii="Times New Roman" w:eastAsia="Times New Roman" w:hAnsi="Times New Roman"/>
                <w:sz w:val="26"/>
                <w:szCs w:val="26"/>
                <w:lang w:eastAsia="lv-LV"/>
              </w:rPr>
              <w:t xml:space="preserve">ojekts </w:t>
            </w:r>
            <w:r w:rsidR="00684CA5">
              <w:rPr>
                <w:rFonts w:ascii="Times New Roman" w:eastAsia="Times New Roman" w:hAnsi="Times New Roman"/>
                <w:sz w:val="26"/>
                <w:szCs w:val="26"/>
                <w:lang w:eastAsia="lv-LV"/>
              </w:rPr>
              <w:t>tik</w:t>
            </w:r>
            <w:r w:rsidR="008A327B">
              <w:rPr>
                <w:rFonts w:ascii="Times New Roman" w:eastAsia="Times New Roman" w:hAnsi="Times New Roman"/>
                <w:sz w:val="26"/>
                <w:szCs w:val="26"/>
                <w:lang w:eastAsia="lv-LV"/>
              </w:rPr>
              <w:t>a</w:t>
            </w:r>
            <w:r w:rsidR="00684CA5">
              <w:rPr>
                <w:rFonts w:ascii="Times New Roman" w:eastAsia="Times New Roman" w:hAnsi="Times New Roman"/>
                <w:sz w:val="26"/>
                <w:szCs w:val="26"/>
                <w:lang w:eastAsia="lv-LV"/>
              </w:rPr>
              <w:t xml:space="preserve"> publicēts</w:t>
            </w:r>
            <w:r w:rsidR="00577EBE" w:rsidRPr="001004CD">
              <w:rPr>
                <w:rFonts w:ascii="Times New Roman" w:eastAsia="Times New Roman" w:hAnsi="Times New Roman"/>
                <w:sz w:val="26"/>
                <w:szCs w:val="26"/>
                <w:lang w:eastAsia="lv-LV"/>
              </w:rPr>
              <w:t xml:space="preserve"> ministrijas tīmekļa vietnē</w:t>
            </w:r>
            <w:r w:rsidR="00CF2671" w:rsidRPr="001004CD">
              <w:rPr>
                <w:rFonts w:ascii="Times New Roman" w:eastAsia="Times New Roman" w:hAnsi="Times New Roman"/>
                <w:sz w:val="26"/>
                <w:szCs w:val="26"/>
                <w:lang w:eastAsia="lv-LV"/>
              </w:rPr>
              <w:t xml:space="preserve"> </w:t>
            </w:r>
            <w:r w:rsidR="00CF2671" w:rsidRPr="00CE3CB5">
              <w:rPr>
                <w:rFonts w:ascii="Times New Roman" w:eastAsia="Times New Roman" w:hAnsi="Times New Roman"/>
                <w:sz w:val="26"/>
                <w:szCs w:val="26"/>
                <w:lang w:eastAsia="lv-LV"/>
              </w:rPr>
              <w:t>nekavējoties pēc tā izsludināšanas Valsts sekretāru sanāksmē</w:t>
            </w:r>
            <w:r w:rsidR="00E73ABF" w:rsidRPr="00CE3CB5">
              <w:rPr>
                <w:rFonts w:ascii="Times New Roman" w:eastAsia="Times New Roman" w:hAnsi="Times New Roman"/>
                <w:sz w:val="26"/>
                <w:szCs w:val="26"/>
                <w:lang w:eastAsia="lv-LV"/>
              </w:rPr>
              <w:t>.</w:t>
            </w:r>
            <w:r w:rsidR="00E73ABF" w:rsidRPr="001004CD">
              <w:rPr>
                <w:rFonts w:ascii="Times New Roman" w:eastAsia="Times New Roman" w:hAnsi="Times New Roman"/>
                <w:sz w:val="26"/>
                <w:szCs w:val="26"/>
                <w:lang w:eastAsia="lv-LV"/>
              </w:rPr>
              <w:t xml:space="preserve"> </w:t>
            </w:r>
          </w:p>
          <w:p w14:paraId="000E8450" w14:textId="467FB890" w:rsidR="008A327B" w:rsidRPr="001004CD" w:rsidRDefault="008A327B" w:rsidP="00447031">
            <w:p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Pēc projekta pieņemšanas informācija par to tiks publicēta vienotā kontaktpunkta vietnē </w:t>
            </w:r>
            <w:hyperlink r:id="rId9" w:history="1">
              <w:r w:rsidRPr="00901924">
                <w:rPr>
                  <w:rStyle w:val="Hyperlink"/>
                  <w:rFonts w:ascii="Times New Roman" w:eastAsia="Times New Roman" w:hAnsi="Times New Roman"/>
                  <w:sz w:val="26"/>
                  <w:szCs w:val="26"/>
                  <w:lang w:eastAsia="lv-LV"/>
                </w:rPr>
                <w:t>www.Latvija.lv</w:t>
              </w:r>
            </w:hyperlink>
            <w:r>
              <w:rPr>
                <w:rFonts w:ascii="Times New Roman" w:eastAsia="Times New Roman" w:hAnsi="Times New Roman"/>
                <w:sz w:val="26"/>
                <w:szCs w:val="26"/>
                <w:lang w:eastAsia="lv-LV"/>
              </w:rPr>
              <w:t xml:space="preserve">, kā arī </w:t>
            </w:r>
            <w:r w:rsidR="00447031">
              <w:rPr>
                <w:rFonts w:ascii="Times New Roman" w:eastAsia="Times New Roman" w:hAnsi="Times New Roman"/>
                <w:sz w:val="26"/>
                <w:szCs w:val="26"/>
                <w:lang w:eastAsia="lv-LV"/>
              </w:rPr>
              <w:t xml:space="preserve">AIC mājas lapā. </w:t>
            </w:r>
          </w:p>
        </w:tc>
      </w:tr>
      <w:tr w:rsidR="00812271" w:rsidRPr="00823CB3" w14:paraId="6BF6DEE4" w14:textId="77777777"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441D1E" w14:textId="77777777" w:rsidR="00812271" w:rsidRPr="00823CB3" w:rsidRDefault="00812271" w:rsidP="0005162F">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5F1DE4BC" w14:textId="77777777" w:rsidR="00812271" w:rsidRPr="00823CB3" w:rsidRDefault="00812271" w:rsidP="0005162F">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18DCDC29" w14:textId="52C50102" w:rsidR="00812271" w:rsidRPr="001004CD" w:rsidRDefault="00577EBE" w:rsidP="0051041A">
            <w:pPr>
              <w:spacing w:after="0" w:line="240" w:lineRule="auto"/>
              <w:rPr>
                <w:rFonts w:ascii="Times New Roman" w:eastAsia="Times New Roman" w:hAnsi="Times New Roman"/>
                <w:sz w:val="26"/>
                <w:szCs w:val="26"/>
                <w:lang w:eastAsia="lv-LV"/>
              </w:rPr>
            </w:pPr>
            <w:r w:rsidRPr="001004CD">
              <w:rPr>
                <w:rFonts w:ascii="Times New Roman" w:hAnsi="Times New Roman"/>
                <w:sz w:val="26"/>
                <w:szCs w:val="26"/>
              </w:rPr>
              <w:t xml:space="preserve">Projekta izstrādes laikā notikušas </w:t>
            </w:r>
            <w:r w:rsidR="00A35113">
              <w:rPr>
                <w:rFonts w:ascii="Times New Roman" w:hAnsi="Times New Roman"/>
                <w:sz w:val="26"/>
                <w:szCs w:val="26"/>
              </w:rPr>
              <w:t xml:space="preserve">elektroniskas un tiešas </w:t>
            </w:r>
            <w:r w:rsidRPr="001004CD">
              <w:rPr>
                <w:rFonts w:ascii="Times New Roman" w:hAnsi="Times New Roman"/>
                <w:sz w:val="26"/>
                <w:szCs w:val="26"/>
              </w:rPr>
              <w:t>konsultācijas</w:t>
            </w:r>
            <w:r w:rsidR="00A35113">
              <w:rPr>
                <w:rFonts w:ascii="Times New Roman" w:hAnsi="Times New Roman"/>
                <w:sz w:val="26"/>
                <w:szCs w:val="26"/>
              </w:rPr>
              <w:t xml:space="preserve"> sanāksmju veidā</w:t>
            </w:r>
            <w:r w:rsidRPr="001004CD">
              <w:rPr>
                <w:rFonts w:ascii="Times New Roman" w:hAnsi="Times New Roman"/>
                <w:sz w:val="26"/>
                <w:szCs w:val="26"/>
              </w:rPr>
              <w:t xml:space="preserve"> ar </w:t>
            </w:r>
            <w:r w:rsidR="0051041A">
              <w:rPr>
                <w:rFonts w:ascii="Times New Roman" w:hAnsi="Times New Roman"/>
                <w:sz w:val="26"/>
                <w:szCs w:val="26"/>
              </w:rPr>
              <w:t>AIC</w:t>
            </w:r>
            <w:r w:rsidR="00684CA5">
              <w:rPr>
                <w:rFonts w:ascii="Times New Roman" w:hAnsi="Times New Roman"/>
                <w:sz w:val="26"/>
                <w:szCs w:val="26"/>
              </w:rPr>
              <w:t>, kā arī</w:t>
            </w:r>
            <w:r w:rsidR="00684CA5" w:rsidRPr="001004CD">
              <w:rPr>
                <w:rFonts w:ascii="Times New Roman" w:eastAsia="Times New Roman" w:hAnsi="Times New Roman"/>
                <w:sz w:val="26"/>
                <w:szCs w:val="26"/>
                <w:lang w:eastAsia="lv-LV"/>
              </w:rPr>
              <w:t xml:space="preserve"> ar institūcijām, kas izsniedz profesionālās kvalifikācijas atzīšanas apliecības </w:t>
            </w:r>
            <w:r w:rsidR="00684CA5">
              <w:rPr>
                <w:rFonts w:ascii="Times New Roman" w:eastAsia="Times New Roman" w:hAnsi="Times New Roman"/>
                <w:sz w:val="26"/>
                <w:szCs w:val="26"/>
                <w:lang w:eastAsia="lv-LV"/>
              </w:rPr>
              <w:t xml:space="preserve">farmaceita, māsas un fizioterapeita </w:t>
            </w:r>
            <w:r w:rsidR="00684CA5" w:rsidRPr="001004CD">
              <w:rPr>
                <w:rFonts w:ascii="Times New Roman" w:eastAsia="Times New Roman" w:hAnsi="Times New Roman"/>
                <w:sz w:val="26"/>
                <w:szCs w:val="26"/>
                <w:lang w:eastAsia="lv-LV"/>
              </w:rPr>
              <w:t>reglamentētajās profesijās</w:t>
            </w:r>
            <w:r w:rsidR="00A67229">
              <w:rPr>
                <w:rFonts w:ascii="Times New Roman" w:eastAsia="Times New Roman" w:hAnsi="Times New Roman"/>
                <w:sz w:val="26"/>
                <w:szCs w:val="26"/>
                <w:lang w:eastAsia="lv-LV"/>
              </w:rPr>
              <w:t xml:space="preserve">, t.i. </w:t>
            </w:r>
            <w:r w:rsidR="004A308B">
              <w:rPr>
                <w:rFonts w:ascii="Times New Roman" w:eastAsia="Times New Roman" w:hAnsi="Times New Roman"/>
                <w:sz w:val="26"/>
                <w:szCs w:val="26"/>
                <w:lang w:eastAsia="lv-LV"/>
              </w:rPr>
              <w:t xml:space="preserve">ar </w:t>
            </w:r>
            <w:r w:rsidR="00A67229">
              <w:rPr>
                <w:rFonts w:ascii="Times New Roman" w:eastAsia="Times New Roman" w:hAnsi="Times New Roman"/>
                <w:sz w:val="26"/>
                <w:szCs w:val="26"/>
                <w:lang w:eastAsia="lv-LV"/>
              </w:rPr>
              <w:t xml:space="preserve">Latvijas Farmaceitu biedrību, Veselības inspekciju un </w:t>
            </w:r>
            <w:r w:rsidR="00ED47DB" w:rsidRPr="00ED47DB">
              <w:rPr>
                <w:rFonts w:ascii="Times New Roman" w:eastAsia="Times New Roman" w:hAnsi="Times New Roman"/>
                <w:sz w:val="26"/>
                <w:szCs w:val="26"/>
                <w:lang w:eastAsia="lv-LV"/>
              </w:rPr>
              <w:t>Latvijas Ārstniecības personu pro</w:t>
            </w:r>
            <w:r w:rsidR="00ED47DB">
              <w:rPr>
                <w:rFonts w:ascii="Times New Roman" w:eastAsia="Times New Roman" w:hAnsi="Times New Roman"/>
                <w:sz w:val="26"/>
                <w:szCs w:val="26"/>
                <w:lang w:eastAsia="lv-LV"/>
              </w:rPr>
              <w:t>fesionālo organizāciju savienību</w:t>
            </w:r>
            <w:r w:rsidRPr="001004CD">
              <w:rPr>
                <w:rFonts w:ascii="Times New Roman" w:hAnsi="Times New Roman"/>
                <w:sz w:val="26"/>
                <w:szCs w:val="26"/>
              </w:rPr>
              <w:t>.</w:t>
            </w:r>
          </w:p>
        </w:tc>
      </w:tr>
      <w:tr w:rsidR="00812271" w:rsidRPr="00823CB3" w14:paraId="5B9989C0"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8D1D466" w14:textId="77777777" w:rsidR="00812271" w:rsidRPr="00823CB3" w:rsidRDefault="00812271" w:rsidP="0005162F">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24CE4BC3" w14:textId="77777777" w:rsidR="00812271" w:rsidRPr="00823CB3" w:rsidRDefault="00812271" w:rsidP="0005162F">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193D3150" w14:textId="6AC49B9E" w:rsidR="00812271" w:rsidRPr="001004CD" w:rsidRDefault="0051041A" w:rsidP="0005162F">
            <w:pPr>
              <w:spacing w:after="0" w:line="240" w:lineRule="auto"/>
              <w:rPr>
                <w:rFonts w:ascii="Times New Roman" w:eastAsia="Times New Roman" w:hAnsi="Times New Roman"/>
                <w:sz w:val="26"/>
                <w:szCs w:val="26"/>
                <w:lang w:eastAsia="lv-LV"/>
              </w:rPr>
            </w:pPr>
            <w:r>
              <w:rPr>
                <w:rFonts w:ascii="Times New Roman" w:hAnsi="Times New Roman"/>
                <w:sz w:val="26"/>
                <w:szCs w:val="26"/>
              </w:rPr>
              <w:t>AIC</w:t>
            </w:r>
            <w:r w:rsidR="00D06632">
              <w:rPr>
                <w:rFonts w:ascii="Times New Roman" w:hAnsi="Times New Roman"/>
                <w:sz w:val="26"/>
                <w:szCs w:val="26"/>
              </w:rPr>
              <w:t xml:space="preserve">, </w:t>
            </w:r>
            <w:r w:rsidR="00D06632">
              <w:rPr>
                <w:rFonts w:ascii="Times New Roman" w:eastAsia="Times New Roman" w:hAnsi="Times New Roman"/>
                <w:sz w:val="26"/>
                <w:szCs w:val="26"/>
                <w:lang w:eastAsia="lv-LV"/>
              </w:rPr>
              <w:t xml:space="preserve">Latvijas Farmaceitu biedrības, Veselības inspekcijas un </w:t>
            </w:r>
            <w:r w:rsidR="00D06632" w:rsidRPr="00ED47DB">
              <w:rPr>
                <w:rFonts w:ascii="Times New Roman" w:eastAsia="Times New Roman" w:hAnsi="Times New Roman"/>
                <w:sz w:val="26"/>
                <w:szCs w:val="26"/>
                <w:lang w:eastAsia="lv-LV"/>
              </w:rPr>
              <w:t>Latvijas Ārstniecības personu pro</w:t>
            </w:r>
            <w:r w:rsidR="00D06632">
              <w:rPr>
                <w:rFonts w:ascii="Times New Roman" w:eastAsia="Times New Roman" w:hAnsi="Times New Roman"/>
                <w:sz w:val="26"/>
                <w:szCs w:val="26"/>
                <w:lang w:eastAsia="lv-LV"/>
              </w:rPr>
              <w:t>fesionālo organizāciju savienības</w:t>
            </w:r>
            <w:r w:rsidR="004B72F1" w:rsidRPr="001004CD">
              <w:rPr>
                <w:rFonts w:ascii="Times New Roman" w:hAnsi="Times New Roman"/>
                <w:sz w:val="26"/>
                <w:szCs w:val="26"/>
              </w:rPr>
              <w:t xml:space="preserve"> sniegtā informācija ir ņemta vērā, izstrādājot projektu.</w:t>
            </w:r>
          </w:p>
        </w:tc>
      </w:tr>
      <w:tr w:rsidR="00812271" w:rsidRPr="00823CB3" w14:paraId="48CF7382"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C4673BA" w14:textId="77777777" w:rsidR="00812271" w:rsidRPr="00823CB3" w:rsidRDefault="00812271" w:rsidP="0005162F">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25D26C68" w14:textId="77777777" w:rsidR="00812271" w:rsidRPr="00823CB3" w:rsidRDefault="00812271" w:rsidP="0005162F">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14959059" w14:textId="77777777" w:rsidR="00812271" w:rsidRPr="00823CB3" w:rsidRDefault="00812271" w:rsidP="0005162F">
            <w:pPr>
              <w:spacing w:before="100" w:beforeAutospacing="1" w:after="100" w:afterAutospacing="1" w:line="36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Nav.</w:t>
            </w:r>
          </w:p>
        </w:tc>
      </w:tr>
    </w:tbl>
    <w:p w14:paraId="0A64254E" w14:textId="77777777" w:rsidR="004A505F" w:rsidRPr="00823CB3" w:rsidRDefault="004A505F" w:rsidP="004A505F">
      <w:pPr>
        <w:spacing w:after="0" w:line="360" w:lineRule="auto"/>
        <w:jc w:val="both"/>
        <w:rPr>
          <w:rFonts w:ascii="Times New Roman" w:eastAsia="Times New Roman" w:hAnsi="Times New Roman"/>
          <w:sz w:val="26"/>
          <w:szCs w:val="26"/>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823CB3" w14:paraId="65402A31" w14:textId="77777777"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B8C3E6" w14:textId="77777777" w:rsidR="00C96AD3" w:rsidRPr="00823CB3" w:rsidRDefault="00C96AD3" w:rsidP="00C96AD3">
            <w:pPr>
              <w:spacing w:before="100" w:beforeAutospacing="1" w:after="100" w:afterAutospacing="1" w:line="360" w:lineRule="auto"/>
              <w:ind w:firstLine="300"/>
              <w:jc w:val="center"/>
              <w:rPr>
                <w:rFonts w:ascii="Times New Roman" w:eastAsia="Times New Roman" w:hAnsi="Times New Roman"/>
                <w:b/>
                <w:bCs/>
                <w:sz w:val="26"/>
                <w:szCs w:val="26"/>
                <w:lang w:eastAsia="lv-LV"/>
              </w:rPr>
            </w:pPr>
            <w:r w:rsidRPr="00823CB3">
              <w:rPr>
                <w:rFonts w:ascii="Times New Roman" w:eastAsia="Times New Roman" w:hAnsi="Times New Roman"/>
                <w:b/>
                <w:bCs/>
                <w:sz w:val="26"/>
                <w:szCs w:val="26"/>
                <w:lang w:eastAsia="lv-LV"/>
              </w:rPr>
              <w:t>VII. Tiesību akta projekta izpildes nodrošināšana un tās ietekme uz institūcijām</w:t>
            </w:r>
          </w:p>
        </w:tc>
      </w:tr>
      <w:tr w:rsidR="00812271" w:rsidRPr="00823CB3" w14:paraId="702A1D02" w14:textId="77777777"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99F7942"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25FBC28D"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AFEB60F" w14:textId="77777777" w:rsidR="00C96AD3" w:rsidRDefault="006578D4" w:rsidP="00930796">
            <w:pPr>
              <w:spacing w:after="0" w:line="240" w:lineRule="auto"/>
              <w:rPr>
                <w:rFonts w:ascii="Times New Roman" w:eastAsia="Times New Roman" w:hAnsi="Times New Roman"/>
                <w:sz w:val="26"/>
                <w:szCs w:val="26"/>
                <w:lang w:eastAsia="lv-LV"/>
              </w:rPr>
            </w:pPr>
            <w:r w:rsidRPr="001A7E99">
              <w:rPr>
                <w:rFonts w:ascii="Times New Roman" w:eastAsia="Times New Roman" w:hAnsi="Times New Roman"/>
                <w:sz w:val="26"/>
                <w:szCs w:val="26"/>
                <w:lang w:eastAsia="lv-LV"/>
              </w:rPr>
              <w:t>P</w:t>
            </w:r>
            <w:r w:rsidR="001A7E99" w:rsidRPr="001A7E99">
              <w:rPr>
                <w:rFonts w:ascii="Times New Roman" w:eastAsia="Times New Roman" w:hAnsi="Times New Roman"/>
                <w:sz w:val="26"/>
                <w:szCs w:val="26"/>
                <w:lang w:eastAsia="lv-LV"/>
              </w:rPr>
              <w:t>rojekta</w:t>
            </w:r>
            <w:r>
              <w:rPr>
                <w:rFonts w:ascii="Times New Roman" w:eastAsia="Times New Roman" w:hAnsi="Times New Roman"/>
                <w:sz w:val="26"/>
                <w:szCs w:val="26"/>
                <w:lang w:eastAsia="lv-LV"/>
              </w:rPr>
              <w:t xml:space="preserve"> īstenošanā tiks iesaistītas </w:t>
            </w:r>
            <w:r w:rsidR="00805E52">
              <w:rPr>
                <w:rFonts w:ascii="Times New Roman" w:eastAsia="Times New Roman" w:hAnsi="Times New Roman"/>
                <w:sz w:val="26"/>
                <w:szCs w:val="26"/>
                <w:lang w:eastAsia="lv-LV"/>
              </w:rPr>
              <w:t xml:space="preserve">šādas </w:t>
            </w:r>
            <w:r w:rsidR="00B62DFF">
              <w:rPr>
                <w:rFonts w:ascii="Times New Roman" w:eastAsia="Times New Roman" w:hAnsi="Times New Roman"/>
                <w:sz w:val="26"/>
                <w:szCs w:val="26"/>
                <w:lang w:eastAsia="lv-LV"/>
              </w:rPr>
              <w:t>institūcijas:</w:t>
            </w:r>
          </w:p>
          <w:p w14:paraId="42DB4C0F" w14:textId="1392D9D6" w:rsidR="00B62DFF" w:rsidRDefault="0051041A" w:rsidP="00B62DFF">
            <w:pPr>
              <w:pStyle w:val="ListParagraph"/>
              <w:numPr>
                <w:ilvl w:val="0"/>
                <w:numId w:val="8"/>
              </w:num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val="lv-LV" w:eastAsia="lv-LV"/>
              </w:rPr>
              <w:t>AIC</w:t>
            </w:r>
            <w:r w:rsidR="00B62DFF">
              <w:rPr>
                <w:rFonts w:ascii="Times New Roman" w:eastAsia="Times New Roman" w:hAnsi="Times New Roman"/>
                <w:sz w:val="26"/>
                <w:szCs w:val="26"/>
                <w:lang w:eastAsia="lv-LV"/>
              </w:rPr>
              <w:t>,</w:t>
            </w:r>
          </w:p>
          <w:p w14:paraId="5C6070BE" w14:textId="77777777" w:rsidR="009F1AA2" w:rsidRDefault="009F1AA2" w:rsidP="00B62DFF">
            <w:pPr>
              <w:pStyle w:val="ListParagraph"/>
              <w:numPr>
                <w:ilvl w:val="0"/>
                <w:numId w:val="8"/>
              </w:num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Latvijas Farmaceitu biedrība,</w:t>
            </w:r>
          </w:p>
          <w:p w14:paraId="62023FD1" w14:textId="77777777" w:rsidR="009F1AA2" w:rsidRPr="009F1AA2" w:rsidRDefault="009F1AA2" w:rsidP="00B62DFF">
            <w:pPr>
              <w:pStyle w:val="ListParagraph"/>
              <w:numPr>
                <w:ilvl w:val="0"/>
                <w:numId w:val="8"/>
              </w:num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Veselības inspekcija</w:t>
            </w:r>
            <w:r>
              <w:rPr>
                <w:rFonts w:ascii="Times New Roman" w:eastAsia="Times New Roman" w:hAnsi="Times New Roman"/>
                <w:sz w:val="26"/>
                <w:szCs w:val="26"/>
                <w:lang w:val="lv-LV" w:eastAsia="lv-LV"/>
              </w:rPr>
              <w:t>,</w:t>
            </w:r>
          </w:p>
          <w:p w14:paraId="0C9365F9" w14:textId="2AB52F23" w:rsidR="00B62DFF" w:rsidRDefault="009F1AA2" w:rsidP="00B62DFF">
            <w:pPr>
              <w:pStyle w:val="ListParagraph"/>
              <w:numPr>
                <w:ilvl w:val="0"/>
                <w:numId w:val="8"/>
              </w:numPr>
              <w:spacing w:after="0" w:line="240" w:lineRule="auto"/>
              <w:rPr>
                <w:rFonts w:ascii="Times New Roman" w:eastAsia="Times New Roman" w:hAnsi="Times New Roman"/>
                <w:sz w:val="26"/>
                <w:szCs w:val="26"/>
                <w:lang w:eastAsia="lv-LV"/>
              </w:rPr>
            </w:pPr>
            <w:r w:rsidRPr="00ED47DB">
              <w:rPr>
                <w:rFonts w:ascii="Times New Roman" w:eastAsia="Times New Roman" w:hAnsi="Times New Roman"/>
                <w:sz w:val="26"/>
                <w:szCs w:val="26"/>
                <w:lang w:eastAsia="lv-LV"/>
              </w:rPr>
              <w:t>Latvijas Ārstniecības personu pro</w:t>
            </w:r>
            <w:r>
              <w:rPr>
                <w:rFonts w:ascii="Times New Roman" w:eastAsia="Times New Roman" w:hAnsi="Times New Roman"/>
                <w:sz w:val="26"/>
                <w:szCs w:val="26"/>
                <w:lang w:eastAsia="lv-LV"/>
              </w:rPr>
              <w:t>fesionālo organizāciju savienība,</w:t>
            </w:r>
          </w:p>
          <w:p w14:paraId="03DE1FA5" w14:textId="51B47520" w:rsidR="009F1AA2" w:rsidRPr="00F73D87" w:rsidRDefault="00432DF4" w:rsidP="00B62DFF">
            <w:pPr>
              <w:pStyle w:val="ListParagraph"/>
              <w:numPr>
                <w:ilvl w:val="0"/>
                <w:numId w:val="8"/>
              </w:num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val="lv-LV" w:eastAsia="lv-LV"/>
              </w:rPr>
              <w:t>Pilsonības un migrācijas lietu pārvalde</w:t>
            </w:r>
            <w:r w:rsidR="00F73D87">
              <w:rPr>
                <w:rFonts w:ascii="Times New Roman" w:eastAsia="Times New Roman" w:hAnsi="Times New Roman"/>
                <w:sz w:val="26"/>
                <w:szCs w:val="26"/>
                <w:lang w:val="lv-LV" w:eastAsia="lv-LV"/>
              </w:rPr>
              <w:t>,</w:t>
            </w:r>
          </w:p>
          <w:p w14:paraId="2EA71EAF" w14:textId="095D7DC2" w:rsidR="00F73D87" w:rsidRPr="00D01F29" w:rsidRDefault="00E76F3A" w:rsidP="00F73D87">
            <w:pPr>
              <w:pStyle w:val="ListParagraph"/>
              <w:numPr>
                <w:ilvl w:val="0"/>
                <w:numId w:val="8"/>
              </w:numPr>
              <w:spacing w:after="0" w:line="240" w:lineRule="auto"/>
              <w:rPr>
                <w:rFonts w:ascii="Times New Roman" w:eastAsia="Times New Roman" w:hAnsi="Times New Roman"/>
                <w:sz w:val="26"/>
                <w:szCs w:val="26"/>
                <w:lang w:eastAsia="lv-LV"/>
              </w:rPr>
            </w:pPr>
            <w:r>
              <w:rPr>
                <w:rFonts w:ascii="Times New Roman" w:eastAsia="Times New Roman" w:hAnsi="Times New Roman"/>
                <w:sz w:val="26"/>
                <w:szCs w:val="26"/>
                <w:lang w:val="lv-LV" w:eastAsia="lv-LV"/>
              </w:rPr>
              <w:t>Tiesas,</w:t>
            </w:r>
          </w:p>
          <w:p w14:paraId="22E4489D" w14:textId="69DAB078" w:rsidR="00D01F29" w:rsidRPr="00E76F3A" w:rsidRDefault="00D01F29" w:rsidP="00F73D87">
            <w:pPr>
              <w:pStyle w:val="ListParagraph"/>
              <w:numPr>
                <w:ilvl w:val="0"/>
                <w:numId w:val="8"/>
              </w:numPr>
              <w:spacing w:after="0" w:line="240" w:lineRule="auto"/>
              <w:rPr>
                <w:rFonts w:ascii="Times New Roman" w:eastAsia="Times New Roman" w:hAnsi="Times New Roman"/>
                <w:sz w:val="26"/>
                <w:szCs w:val="26"/>
                <w:lang w:eastAsia="lv-LV"/>
              </w:rPr>
            </w:pPr>
            <w:proofErr w:type="spellStart"/>
            <w:r w:rsidRPr="00E76F3A">
              <w:rPr>
                <w:rFonts w:ascii="Times New Roman" w:eastAsia="Times New Roman" w:hAnsi="Times New Roman"/>
                <w:sz w:val="26"/>
                <w:szCs w:val="26"/>
                <w:lang w:val="lv-LV" w:eastAsia="lv-LV"/>
              </w:rPr>
              <w:t>Iekšlietu</w:t>
            </w:r>
            <w:proofErr w:type="spellEnd"/>
            <w:r w:rsidRPr="00E76F3A">
              <w:rPr>
                <w:rFonts w:ascii="Times New Roman" w:eastAsia="Times New Roman" w:hAnsi="Times New Roman"/>
                <w:sz w:val="26"/>
                <w:szCs w:val="26"/>
                <w:lang w:val="lv-LV" w:eastAsia="lv-LV"/>
              </w:rPr>
              <w:t xml:space="preserve"> ministrijas Informācijas centrs.</w:t>
            </w:r>
          </w:p>
          <w:p w14:paraId="46637270" w14:textId="35135CC9" w:rsidR="00B62DFF" w:rsidRPr="001A7E99" w:rsidRDefault="00B62DFF" w:rsidP="00930796">
            <w:pPr>
              <w:spacing w:after="0" w:line="240" w:lineRule="auto"/>
              <w:rPr>
                <w:rFonts w:ascii="Times New Roman" w:eastAsia="Times New Roman" w:hAnsi="Times New Roman"/>
                <w:sz w:val="26"/>
                <w:szCs w:val="26"/>
                <w:lang w:eastAsia="lv-LV"/>
              </w:rPr>
            </w:pPr>
          </w:p>
        </w:tc>
      </w:tr>
      <w:tr w:rsidR="00812271" w:rsidRPr="00823CB3" w14:paraId="28D8C2E0" w14:textId="77777777" w:rsidTr="004A308B">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AA7CC44" w14:textId="0A82A365"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32540DF8" w14:textId="77777777" w:rsidR="00C96AD3" w:rsidRPr="00823CB3" w:rsidRDefault="00C96AD3" w:rsidP="00C96AD3">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 xml:space="preserve">Projekta izpildes ietekme uz pārvaldes funkcijām un institucionālo struktūru. Jaunu institūciju izveide, esošu </w:t>
            </w:r>
            <w:r w:rsidRPr="00823CB3">
              <w:rPr>
                <w:rFonts w:ascii="Times New Roman" w:eastAsia="Times New Roman" w:hAnsi="Times New Roman"/>
                <w:sz w:val="26"/>
                <w:szCs w:val="26"/>
                <w:lang w:eastAsia="lv-LV"/>
              </w:rPr>
              <w:lastRenderedPageBreak/>
              <w:t>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shd w:val="clear" w:color="auto" w:fill="auto"/>
            <w:hideMark/>
          </w:tcPr>
          <w:p w14:paraId="04F064A4" w14:textId="2124DADA" w:rsidR="00C96AD3" w:rsidRDefault="00D21814" w:rsidP="00C96AD3">
            <w:pPr>
              <w:spacing w:after="0" w:line="240" w:lineRule="auto"/>
              <w:rPr>
                <w:rFonts w:ascii="Times New Roman" w:hAnsi="Times New Roman"/>
                <w:sz w:val="26"/>
                <w:szCs w:val="26"/>
              </w:rPr>
            </w:pPr>
            <w:r>
              <w:rPr>
                <w:rFonts w:ascii="Times New Roman" w:hAnsi="Times New Roman"/>
                <w:sz w:val="26"/>
                <w:szCs w:val="26"/>
              </w:rPr>
              <w:lastRenderedPageBreak/>
              <w:t xml:space="preserve">EPK izdošanas un brīdinājuma mehānisma darbības nodrošināšanai </w:t>
            </w:r>
            <w:r>
              <w:rPr>
                <w:rFonts w:ascii="Times New Roman" w:eastAsia="Times New Roman" w:hAnsi="Times New Roman"/>
                <w:sz w:val="26"/>
                <w:szCs w:val="26"/>
                <w:lang w:eastAsia="lv-LV"/>
              </w:rPr>
              <w:t>AIC ir nepieciešams izveidot vismaz 1 papildu vecākā eksperta amata vietu.</w:t>
            </w:r>
          </w:p>
          <w:p w14:paraId="5DA89E96" w14:textId="422E14BC" w:rsidR="00080CF0" w:rsidRPr="004A308B" w:rsidRDefault="00080CF0" w:rsidP="00C96AD3">
            <w:pPr>
              <w:spacing w:after="0" w:line="240" w:lineRule="auto"/>
              <w:rPr>
                <w:rFonts w:ascii="Times New Roman" w:eastAsia="Times New Roman" w:hAnsi="Times New Roman"/>
                <w:sz w:val="26"/>
                <w:szCs w:val="26"/>
                <w:lang w:eastAsia="lv-LV"/>
              </w:rPr>
            </w:pPr>
          </w:p>
        </w:tc>
      </w:tr>
      <w:tr w:rsidR="00812271" w:rsidRPr="00823CB3" w14:paraId="0CFC8929" w14:textId="77777777"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EB8D1CF"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14:paraId="3355C226" w14:textId="77777777" w:rsidR="00C96AD3" w:rsidRPr="00823CB3" w:rsidRDefault="00C96AD3" w:rsidP="00C96AD3">
            <w:pPr>
              <w:spacing w:after="0" w:line="24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C05FE5F" w14:textId="77777777" w:rsidR="00C96AD3" w:rsidRPr="00823CB3" w:rsidRDefault="00C96AD3" w:rsidP="00C96AD3">
            <w:pPr>
              <w:spacing w:before="100" w:beforeAutospacing="1" w:after="100" w:afterAutospacing="1" w:line="360" w:lineRule="auto"/>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Nav.</w:t>
            </w:r>
          </w:p>
        </w:tc>
      </w:tr>
    </w:tbl>
    <w:p w14:paraId="4F26AD1B" w14:textId="77777777" w:rsidR="00392D00" w:rsidRPr="00823CB3" w:rsidRDefault="00392D00" w:rsidP="005C42B1">
      <w:pPr>
        <w:spacing w:after="0" w:line="240" w:lineRule="auto"/>
        <w:rPr>
          <w:rFonts w:ascii="Times New Roman" w:eastAsia="Times New Roman" w:hAnsi="Times New Roman"/>
          <w:sz w:val="26"/>
          <w:szCs w:val="26"/>
          <w:lang w:eastAsia="lv-LV"/>
        </w:rPr>
      </w:pPr>
    </w:p>
    <w:p w14:paraId="21D7ACC2" w14:textId="77777777" w:rsidR="004A505F" w:rsidRPr="00823CB3" w:rsidRDefault="004A505F" w:rsidP="005C42B1">
      <w:pPr>
        <w:autoSpaceDE w:val="0"/>
        <w:autoSpaceDN w:val="0"/>
        <w:adjustRightInd w:val="0"/>
        <w:spacing w:after="0" w:line="240" w:lineRule="auto"/>
        <w:rPr>
          <w:rFonts w:ascii="Times New Roman" w:hAnsi="Times New Roman"/>
          <w:sz w:val="26"/>
          <w:szCs w:val="26"/>
        </w:rPr>
      </w:pPr>
    </w:p>
    <w:p w14:paraId="79224C61" w14:textId="2EB01373" w:rsidR="00F31126" w:rsidRPr="00823CB3" w:rsidRDefault="00A76C0A" w:rsidP="00F31126">
      <w:pPr>
        <w:spacing w:after="0" w:line="240" w:lineRule="auto"/>
        <w:jc w:val="both"/>
        <w:rPr>
          <w:rFonts w:ascii="Times New Roman" w:eastAsia="Times New Roman" w:hAnsi="Times New Roman"/>
          <w:sz w:val="26"/>
          <w:szCs w:val="26"/>
          <w:lang w:eastAsia="lv-LV"/>
        </w:rPr>
      </w:pPr>
      <w:r w:rsidRPr="00823CB3">
        <w:rPr>
          <w:rFonts w:ascii="Times New Roman" w:eastAsia="Times New Roman" w:hAnsi="Times New Roman"/>
          <w:sz w:val="26"/>
          <w:szCs w:val="26"/>
          <w:lang w:eastAsia="lv-LV"/>
        </w:rPr>
        <w:t>I</w:t>
      </w:r>
      <w:r w:rsidR="00F31126" w:rsidRPr="00823CB3">
        <w:rPr>
          <w:rFonts w:ascii="Times New Roman" w:eastAsia="Times New Roman" w:hAnsi="Times New Roman"/>
          <w:sz w:val="26"/>
          <w:szCs w:val="26"/>
          <w:lang w:eastAsia="lv-LV"/>
        </w:rPr>
        <w:t>zglītības un zinātne</w:t>
      </w:r>
      <w:r w:rsidRPr="00823CB3">
        <w:rPr>
          <w:rFonts w:ascii="Times New Roman" w:eastAsia="Times New Roman" w:hAnsi="Times New Roman"/>
          <w:sz w:val="26"/>
          <w:szCs w:val="26"/>
          <w:lang w:eastAsia="lv-LV"/>
        </w:rPr>
        <w:t>s ministr</w:t>
      </w:r>
      <w:r w:rsidR="00447031">
        <w:rPr>
          <w:rFonts w:ascii="Times New Roman" w:eastAsia="Times New Roman" w:hAnsi="Times New Roman"/>
          <w:sz w:val="26"/>
          <w:szCs w:val="26"/>
          <w:lang w:eastAsia="lv-LV"/>
        </w:rPr>
        <w:t>s</w:t>
      </w:r>
      <w:r w:rsidRPr="00823CB3">
        <w:rPr>
          <w:rFonts w:ascii="Times New Roman" w:eastAsia="Times New Roman" w:hAnsi="Times New Roman"/>
          <w:sz w:val="26"/>
          <w:szCs w:val="26"/>
          <w:lang w:eastAsia="lv-LV"/>
        </w:rPr>
        <w:tab/>
      </w:r>
      <w:r w:rsidRPr="00823CB3">
        <w:rPr>
          <w:rFonts w:ascii="Times New Roman" w:eastAsia="Times New Roman" w:hAnsi="Times New Roman"/>
          <w:sz w:val="26"/>
          <w:szCs w:val="26"/>
          <w:lang w:eastAsia="lv-LV"/>
        </w:rPr>
        <w:tab/>
      </w:r>
      <w:r w:rsidR="00F31126" w:rsidRPr="00823CB3">
        <w:rPr>
          <w:rFonts w:ascii="Times New Roman" w:eastAsia="Times New Roman" w:hAnsi="Times New Roman"/>
          <w:sz w:val="26"/>
          <w:szCs w:val="26"/>
          <w:lang w:eastAsia="lv-LV"/>
        </w:rPr>
        <w:t xml:space="preserve"> </w:t>
      </w:r>
      <w:r w:rsidR="00F31126" w:rsidRPr="00823CB3">
        <w:rPr>
          <w:rFonts w:ascii="Times New Roman" w:eastAsia="Times New Roman" w:hAnsi="Times New Roman"/>
          <w:sz w:val="26"/>
          <w:szCs w:val="26"/>
          <w:lang w:eastAsia="lv-LV"/>
        </w:rPr>
        <w:tab/>
      </w:r>
      <w:r w:rsidR="00F31126" w:rsidRPr="00823CB3">
        <w:rPr>
          <w:rFonts w:ascii="Times New Roman" w:eastAsia="Times New Roman" w:hAnsi="Times New Roman"/>
          <w:sz w:val="26"/>
          <w:szCs w:val="26"/>
          <w:lang w:eastAsia="lv-LV"/>
        </w:rPr>
        <w:tab/>
        <w:t xml:space="preserve">    </w:t>
      </w:r>
      <w:r w:rsidR="00F31126" w:rsidRPr="00823CB3">
        <w:rPr>
          <w:rFonts w:ascii="Times New Roman" w:eastAsia="Times New Roman" w:hAnsi="Times New Roman"/>
          <w:sz w:val="26"/>
          <w:szCs w:val="26"/>
          <w:lang w:eastAsia="lv-LV"/>
        </w:rPr>
        <w:tab/>
      </w:r>
      <w:r w:rsidR="00447031">
        <w:rPr>
          <w:rFonts w:ascii="Times New Roman" w:eastAsia="Times New Roman" w:hAnsi="Times New Roman"/>
          <w:sz w:val="26"/>
          <w:szCs w:val="26"/>
          <w:lang w:eastAsia="lv-LV"/>
        </w:rPr>
        <w:t>Kārlis Šadurskis</w:t>
      </w:r>
    </w:p>
    <w:p w14:paraId="33D916E8" w14:textId="77777777" w:rsidR="00F31126" w:rsidRPr="00823CB3" w:rsidRDefault="00F31126" w:rsidP="00F31126">
      <w:pPr>
        <w:spacing w:after="0" w:line="240" w:lineRule="auto"/>
        <w:ind w:firstLine="720"/>
        <w:jc w:val="both"/>
        <w:rPr>
          <w:rFonts w:ascii="Times New Roman" w:eastAsia="Times New Roman" w:hAnsi="Times New Roman"/>
          <w:sz w:val="26"/>
          <w:szCs w:val="26"/>
          <w:lang w:eastAsia="lv-LV"/>
        </w:rPr>
      </w:pPr>
    </w:p>
    <w:p w14:paraId="4EB571A5" w14:textId="77777777" w:rsidR="00322FF1" w:rsidRPr="00823CB3" w:rsidRDefault="00322FF1" w:rsidP="00012B57">
      <w:pPr>
        <w:spacing w:after="0" w:line="240" w:lineRule="auto"/>
        <w:jc w:val="both"/>
        <w:rPr>
          <w:rFonts w:ascii="Times New Roman" w:eastAsia="Times New Roman" w:hAnsi="Times New Roman"/>
          <w:sz w:val="26"/>
          <w:szCs w:val="26"/>
          <w:lang w:eastAsia="lv-LV"/>
        </w:rPr>
      </w:pPr>
    </w:p>
    <w:p w14:paraId="6A0B4BB1" w14:textId="77777777" w:rsidR="004A505F" w:rsidRPr="00823CB3" w:rsidRDefault="004A505F" w:rsidP="00012B57">
      <w:pPr>
        <w:spacing w:after="0" w:line="240" w:lineRule="auto"/>
        <w:jc w:val="both"/>
        <w:rPr>
          <w:rFonts w:ascii="Times New Roman" w:eastAsia="Times New Roman" w:hAnsi="Times New Roman"/>
          <w:sz w:val="26"/>
          <w:szCs w:val="26"/>
          <w:lang w:eastAsia="lv-LV"/>
        </w:rPr>
      </w:pPr>
    </w:p>
    <w:p w14:paraId="2385CA6B" w14:textId="77777777" w:rsidR="00B93BE6" w:rsidRPr="00B93BE6" w:rsidRDefault="00B93BE6" w:rsidP="00B93BE6">
      <w:pPr>
        <w:spacing w:after="0" w:line="240" w:lineRule="auto"/>
        <w:rPr>
          <w:rFonts w:ascii="Times New Roman" w:hAnsi="Times New Roman"/>
          <w:sz w:val="26"/>
          <w:szCs w:val="26"/>
        </w:rPr>
      </w:pPr>
      <w:r w:rsidRPr="00B93BE6">
        <w:rPr>
          <w:rFonts w:ascii="Times New Roman" w:hAnsi="Times New Roman"/>
          <w:sz w:val="26"/>
          <w:szCs w:val="26"/>
        </w:rPr>
        <w:t>Vizē:</w:t>
      </w:r>
    </w:p>
    <w:p w14:paraId="5EB32850" w14:textId="42F5C86F" w:rsidR="00B93BE6" w:rsidRPr="00B93BE6" w:rsidRDefault="00B93BE6" w:rsidP="00B93BE6">
      <w:pPr>
        <w:spacing w:after="0" w:line="240" w:lineRule="auto"/>
        <w:rPr>
          <w:rFonts w:ascii="Times New Roman" w:hAnsi="Times New Roman"/>
          <w:sz w:val="26"/>
          <w:szCs w:val="26"/>
        </w:rPr>
      </w:pPr>
      <w:r w:rsidRPr="00B93BE6">
        <w:rPr>
          <w:rFonts w:ascii="Times New Roman" w:hAnsi="Times New Roman"/>
          <w:sz w:val="26"/>
          <w:szCs w:val="26"/>
        </w:rPr>
        <w:t xml:space="preserve">Valsts sekretāra </w:t>
      </w:r>
      <w:proofErr w:type="spellStart"/>
      <w:r w:rsidRPr="00B93BE6">
        <w:rPr>
          <w:rFonts w:ascii="Times New Roman" w:hAnsi="Times New Roman"/>
          <w:sz w:val="26"/>
          <w:szCs w:val="26"/>
        </w:rPr>
        <w:t>p.i</w:t>
      </w:r>
      <w:proofErr w:type="spellEnd"/>
      <w:r w:rsidRPr="00B93BE6">
        <w:rPr>
          <w:rFonts w:ascii="Times New Roman" w:hAnsi="Times New Roman"/>
          <w:sz w:val="26"/>
          <w:szCs w:val="26"/>
        </w:rPr>
        <w:t>. – Valsts sekretāra vietniece –                                                                            Politikas iniciatīvu un attīstības</w:t>
      </w:r>
    </w:p>
    <w:p w14:paraId="1A1E5CCE" w14:textId="114B6BCB" w:rsidR="00B93BE6" w:rsidRPr="00B93BE6" w:rsidRDefault="00B93BE6" w:rsidP="00B93BE6">
      <w:pPr>
        <w:spacing w:after="0" w:line="240" w:lineRule="auto"/>
        <w:rPr>
          <w:rFonts w:ascii="Times New Roman" w:hAnsi="Times New Roman"/>
          <w:sz w:val="26"/>
          <w:szCs w:val="26"/>
        </w:rPr>
      </w:pPr>
      <w:r w:rsidRPr="00B93BE6">
        <w:rPr>
          <w:rFonts w:ascii="Times New Roman" w:hAnsi="Times New Roman"/>
          <w:sz w:val="26"/>
          <w:szCs w:val="26"/>
        </w:rPr>
        <w:t xml:space="preserve">departamenta direktore  </w:t>
      </w:r>
      <w:r w:rsidRPr="00B93BE6">
        <w:rPr>
          <w:rFonts w:ascii="Times New Roman" w:hAnsi="Times New Roman"/>
          <w:sz w:val="26"/>
          <w:szCs w:val="26"/>
        </w:rPr>
        <w:tab/>
        <w:t xml:space="preserve">                            </w:t>
      </w:r>
      <w:r w:rsidRPr="00B93BE6">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B93BE6">
        <w:rPr>
          <w:rFonts w:ascii="Times New Roman" w:hAnsi="Times New Roman"/>
          <w:sz w:val="26"/>
          <w:szCs w:val="26"/>
        </w:rPr>
        <w:t xml:space="preserve"> </w:t>
      </w:r>
      <w:r w:rsidR="0083128E">
        <w:rPr>
          <w:rFonts w:ascii="Times New Roman" w:hAnsi="Times New Roman"/>
          <w:sz w:val="26"/>
          <w:szCs w:val="26"/>
        </w:rPr>
        <w:t xml:space="preserve">Gunta </w:t>
      </w:r>
      <w:r w:rsidRPr="00B93BE6">
        <w:rPr>
          <w:rFonts w:ascii="Times New Roman" w:hAnsi="Times New Roman"/>
          <w:sz w:val="26"/>
          <w:szCs w:val="26"/>
        </w:rPr>
        <w:t xml:space="preserve">Arāja                           </w:t>
      </w:r>
    </w:p>
    <w:p w14:paraId="7B2DE953" w14:textId="77777777" w:rsidR="00012B57" w:rsidRPr="00B93BE6" w:rsidRDefault="00012B57" w:rsidP="00012B57">
      <w:pPr>
        <w:spacing w:after="0" w:line="240" w:lineRule="auto"/>
        <w:jc w:val="both"/>
        <w:rPr>
          <w:rFonts w:ascii="Times New Roman" w:eastAsia="Times New Roman" w:hAnsi="Times New Roman"/>
          <w:sz w:val="26"/>
          <w:szCs w:val="26"/>
          <w:lang w:eastAsia="lv-LV"/>
        </w:rPr>
      </w:pPr>
    </w:p>
    <w:p w14:paraId="1FD2F788" w14:textId="77777777" w:rsidR="00FC7EFA" w:rsidRPr="001919B5" w:rsidRDefault="00FC7EFA" w:rsidP="00F31126">
      <w:pPr>
        <w:autoSpaceDE w:val="0"/>
        <w:autoSpaceDN w:val="0"/>
        <w:adjustRightInd w:val="0"/>
        <w:rPr>
          <w:rFonts w:ascii="Times New Roman" w:hAnsi="Times New Roman"/>
          <w:sz w:val="20"/>
          <w:szCs w:val="20"/>
        </w:rPr>
      </w:pP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r w:rsidRPr="001919B5">
        <w:rPr>
          <w:rFonts w:ascii="Times New Roman" w:hAnsi="Times New Roman"/>
          <w:sz w:val="20"/>
          <w:szCs w:val="20"/>
        </w:rPr>
        <w:tab/>
      </w:r>
    </w:p>
    <w:p w14:paraId="7B6ED593" w14:textId="02A1BBB4" w:rsidR="00012B57" w:rsidRPr="001919B5" w:rsidRDefault="00EF6D6A"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00390CC5">
        <w:rPr>
          <w:rFonts w:ascii="Times New Roman" w:eastAsia="Times New Roman" w:hAnsi="Times New Roman"/>
          <w:sz w:val="20"/>
          <w:szCs w:val="20"/>
          <w:lang w:eastAsia="lv-LV"/>
        </w:rPr>
        <w:t>1</w:t>
      </w:r>
      <w:r w:rsidR="00255D0D">
        <w:rPr>
          <w:rFonts w:ascii="Times New Roman" w:eastAsia="Times New Roman" w:hAnsi="Times New Roman"/>
          <w:sz w:val="20"/>
          <w:szCs w:val="20"/>
          <w:lang w:eastAsia="lv-LV"/>
        </w:rPr>
        <w:t>.0</w:t>
      </w:r>
      <w:r w:rsidR="0039441E">
        <w:rPr>
          <w:rFonts w:ascii="Times New Roman" w:eastAsia="Times New Roman" w:hAnsi="Times New Roman"/>
          <w:sz w:val="20"/>
          <w:szCs w:val="20"/>
          <w:lang w:eastAsia="lv-LV"/>
        </w:rPr>
        <w:t>6</w:t>
      </w:r>
      <w:r w:rsidR="00CE3CB5">
        <w:rPr>
          <w:rFonts w:ascii="Times New Roman" w:eastAsia="Times New Roman" w:hAnsi="Times New Roman"/>
          <w:sz w:val="20"/>
          <w:szCs w:val="20"/>
          <w:lang w:eastAsia="lv-LV"/>
        </w:rPr>
        <w:t>.2016.</w:t>
      </w:r>
      <w:r w:rsidR="00D60AF2">
        <w:rPr>
          <w:rFonts w:ascii="Times New Roman" w:eastAsia="Times New Roman" w:hAnsi="Times New Roman"/>
          <w:sz w:val="20"/>
          <w:szCs w:val="20"/>
          <w:lang w:eastAsia="lv-LV"/>
        </w:rPr>
        <w:t xml:space="preserve"> </w:t>
      </w:r>
      <w:r w:rsidR="00390CC5">
        <w:rPr>
          <w:rFonts w:ascii="Times New Roman" w:eastAsia="Times New Roman" w:hAnsi="Times New Roman"/>
          <w:sz w:val="20"/>
          <w:szCs w:val="20"/>
          <w:lang w:eastAsia="lv-LV"/>
        </w:rPr>
        <w:t>8:46</w:t>
      </w:r>
    </w:p>
    <w:p w14:paraId="279E881E" w14:textId="353E362E" w:rsidR="004A308B" w:rsidRPr="001919B5" w:rsidRDefault="003B3883" w:rsidP="00E93790">
      <w:pPr>
        <w:tabs>
          <w:tab w:val="left" w:pos="4125"/>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r w:rsidR="007A2B8C">
        <w:rPr>
          <w:rFonts w:ascii="Times New Roman" w:eastAsia="Times New Roman" w:hAnsi="Times New Roman"/>
          <w:sz w:val="20"/>
          <w:szCs w:val="20"/>
          <w:lang w:eastAsia="lv-LV"/>
        </w:rPr>
        <w:t>514</w:t>
      </w:r>
      <w:bookmarkStart w:id="5" w:name="_GoBack"/>
      <w:bookmarkEnd w:id="5"/>
      <w:r w:rsidR="00E93790">
        <w:rPr>
          <w:rFonts w:ascii="Times New Roman" w:eastAsia="Times New Roman" w:hAnsi="Times New Roman"/>
          <w:sz w:val="20"/>
          <w:szCs w:val="20"/>
          <w:lang w:eastAsia="lv-LV"/>
        </w:rPr>
        <w:tab/>
      </w:r>
    </w:p>
    <w:p w14:paraId="4FD50F29" w14:textId="657D3CDF" w:rsidR="00FC7EFA" w:rsidRPr="001919B5" w:rsidRDefault="00DB397F" w:rsidP="00A76C0A">
      <w:pPr>
        <w:spacing w:after="0" w:line="240" w:lineRule="auto"/>
        <w:jc w:val="both"/>
        <w:rPr>
          <w:rFonts w:ascii="Times New Roman" w:eastAsia="Times New Roman" w:hAnsi="Times New Roman"/>
          <w:sz w:val="20"/>
          <w:szCs w:val="20"/>
          <w:lang w:eastAsia="lv-LV"/>
        </w:rPr>
      </w:pPr>
      <w:proofErr w:type="spellStart"/>
      <w:r w:rsidRPr="001919B5">
        <w:rPr>
          <w:rFonts w:ascii="Times New Roman" w:eastAsia="Times New Roman" w:hAnsi="Times New Roman"/>
          <w:sz w:val="20"/>
          <w:szCs w:val="20"/>
          <w:lang w:eastAsia="lv-LV"/>
        </w:rPr>
        <w:t>I.Stūre</w:t>
      </w:r>
      <w:proofErr w:type="spellEnd"/>
      <w:r w:rsidRPr="001919B5">
        <w:rPr>
          <w:rFonts w:ascii="Times New Roman" w:eastAsia="Times New Roman" w:hAnsi="Times New Roman"/>
          <w:sz w:val="20"/>
          <w:szCs w:val="20"/>
          <w:lang w:eastAsia="lv-LV"/>
        </w:rPr>
        <w:t>, 67047899</w:t>
      </w:r>
    </w:p>
    <w:p w14:paraId="3BB36A2B" w14:textId="1E019F2D" w:rsidR="001F23CB" w:rsidRDefault="00DB397F" w:rsidP="00A76C0A">
      <w:pPr>
        <w:spacing w:after="0" w:line="240" w:lineRule="auto"/>
        <w:jc w:val="both"/>
        <w:rPr>
          <w:rFonts w:ascii="Times New Roman" w:eastAsia="Times New Roman" w:hAnsi="Times New Roman"/>
          <w:sz w:val="20"/>
          <w:szCs w:val="20"/>
          <w:lang w:eastAsia="lv-LV"/>
        </w:rPr>
      </w:pPr>
      <w:r w:rsidRPr="001919B5">
        <w:rPr>
          <w:rFonts w:ascii="Times New Roman" w:eastAsia="Times New Roman" w:hAnsi="Times New Roman"/>
          <w:sz w:val="20"/>
          <w:szCs w:val="20"/>
          <w:lang w:eastAsia="lv-LV"/>
        </w:rPr>
        <w:t>Inese.Sture</w:t>
      </w:r>
      <w:r w:rsidR="00A76C0A" w:rsidRPr="001919B5">
        <w:rPr>
          <w:rFonts w:ascii="Times New Roman" w:eastAsia="Times New Roman" w:hAnsi="Times New Roman"/>
          <w:sz w:val="20"/>
          <w:szCs w:val="20"/>
          <w:lang w:eastAsia="lv-LV"/>
        </w:rPr>
        <w:t>@izm.gov.lv</w:t>
      </w:r>
    </w:p>
    <w:p w14:paraId="22A350A6" w14:textId="4218E0F3" w:rsidR="00A76C0A" w:rsidRPr="001F23CB" w:rsidRDefault="001F23CB" w:rsidP="004816F7">
      <w:pPr>
        <w:tabs>
          <w:tab w:val="left" w:pos="1005"/>
          <w:tab w:val="left" w:pos="2145"/>
        </w:tabs>
        <w:rPr>
          <w:rFonts w:ascii="Times New Roman" w:eastAsia="Times New Roman" w:hAnsi="Times New Roman"/>
          <w:sz w:val="20"/>
          <w:szCs w:val="20"/>
          <w:lang w:eastAsia="lv-LV"/>
        </w:rPr>
      </w:pPr>
      <w:r>
        <w:rPr>
          <w:rFonts w:ascii="Times New Roman" w:eastAsia="Times New Roman" w:hAnsi="Times New Roman"/>
          <w:sz w:val="20"/>
          <w:szCs w:val="20"/>
          <w:lang w:eastAsia="lv-LV"/>
        </w:rPr>
        <w:tab/>
      </w:r>
      <w:r w:rsidR="004816F7">
        <w:rPr>
          <w:rFonts w:ascii="Times New Roman" w:eastAsia="Times New Roman" w:hAnsi="Times New Roman"/>
          <w:sz w:val="20"/>
          <w:szCs w:val="20"/>
          <w:lang w:eastAsia="lv-LV"/>
        </w:rPr>
        <w:tab/>
      </w:r>
    </w:p>
    <w:sectPr w:rsidR="00A76C0A" w:rsidRPr="001F23CB" w:rsidSect="00DF12C5">
      <w:headerReference w:type="default" r:id="rId10"/>
      <w:footerReference w:type="default" r:id="rId11"/>
      <w:footerReference w:type="first" r:id="rId12"/>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2DB6" w14:textId="77777777" w:rsidR="00413EC1" w:rsidRDefault="00413EC1" w:rsidP="004A53C8">
      <w:pPr>
        <w:spacing w:after="0" w:line="240" w:lineRule="auto"/>
      </w:pPr>
      <w:r>
        <w:separator/>
      </w:r>
    </w:p>
  </w:endnote>
  <w:endnote w:type="continuationSeparator" w:id="0">
    <w:p w14:paraId="08FF1E71" w14:textId="77777777" w:rsidR="00413EC1" w:rsidRDefault="00413EC1"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843C" w14:textId="77777777" w:rsidR="00782536" w:rsidRPr="00683D55" w:rsidRDefault="00782536" w:rsidP="004C7105">
    <w:pPr>
      <w:spacing w:after="0" w:line="240" w:lineRule="auto"/>
      <w:jc w:val="both"/>
      <w:rPr>
        <w:rFonts w:ascii="Times New Roman" w:eastAsia="Times New Roman" w:hAnsi="Times New Roman"/>
        <w:bCs/>
        <w:sz w:val="20"/>
        <w:szCs w:val="20"/>
        <w:lang w:eastAsia="lv-LV"/>
      </w:rPr>
    </w:pPr>
    <w:r w:rsidRPr="00683D55">
      <w:rPr>
        <w:rFonts w:ascii="Times New Roman" w:hAnsi="Times New Roman"/>
        <w:sz w:val="20"/>
        <w:szCs w:val="20"/>
      </w:rPr>
      <w:t>IZManot_200</w:t>
    </w:r>
    <w:r>
      <w:rPr>
        <w:rFonts w:ascii="Times New Roman" w:hAnsi="Times New Roman"/>
        <w:sz w:val="20"/>
        <w:szCs w:val="20"/>
      </w:rPr>
      <w:t>6</w:t>
    </w:r>
    <w:r w:rsidRPr="00683D55">
      <w:rPr>
        <w:rFonts w:ascii="Times New Roman" w:hAnsi="Times New Roman"/>
        <w:sz w:val="20"/>
        <w:szCs w:val="20"/>
      </w:rPr>
      <w:t xml:space="preserve">16_IMI_EPK_BM; </w:t>
    </w:r>
    <w:r w:rsidRPr="00683D55">
      <w:rPr>
        <w:rFonts w:ascii="Times New Roman" w:eastAsia="Times New Roman" w:hAnsi="Times New Roman"/>
        <w:bCs/>
        <w:sz w:val="20"/>
        <w:szCs w:val="20"/>
        <w:lang w:eastAsia="lv-LV"/>
      </w:rPr>
      <w:t xml:space="preserve">Ministru kabineta noteikumu projekta </w:t>
    </w:r>
    <w:r w:rsidRPr="00683D55">
      <w:rPr>
        <w:rFonts w:ascii="Times New Roman" w:hAnsi="Times New Roman"/>
        <w:sz w:val="20"/>
        <w:szCs w:val="20"/>
      </w:rPr>
      <w:t>„Informācijas apmaiņas un uzraudzības kārtība Iekšējā tirgus informācijas sistēmas ietvaros, informācijas apmaiņā iesaistīto iestāžu atbildība un Eiropas profesionālās kartes izdošanas un anulēšanas kārtība”” sākotnējās ietekmes novērtējuma ziņojums (anotācija)</w:t>
    </w:r>
  </w:p>
  <w:p w14:paraId="4AB0836B" w14:textId="77777777" w:rsidR="00782536" w:rsidRPr="002865DB" w:rsidRDefault="00782536"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C44A" w14:textId="0ED47ECC" w:rsidR="00782536" w:rsidRPr="00683D55" w:rsidRDefault="00782536" w:rsidP="00683D55">
    <w:pPr>
      <w:spacing w:after="0" w:line="240" w:lineRule="auto"/>
      <w:jc w:val="both"/>
      <w:rPr>
        <w:rFonts w:ascii="Times New Roman" w:eastAsia="Times New Roman" w:hAnsi="Times New Roman"/>
        <w:bCs/>
        <w:sz w:val="20"/>
        <w:szCs w:val="20"/>
        <w:lang w:eastAsia="lv-LV"/>
      </w:rPr>
    </w:pPr>
    <w:r w:rsidRPr="00683D55">
      <w:rPr>
        <w:rFonts w:ascii="Times New Roman" w:hAnsi="Times New Roman"/>
        <w:sz w:val="20"/>
        <w:szCs w:val="20"/>
      </w:rPr>
      <w:t>IZManot_200</w:t>
    </w:r>
    <w:r>
      <w:rPr>
        <w:rFonts w:ascii="Times New Roman" w:hAnsi="Times New Roman"/>
        <w:sz w:val="20"/>
        <w:szCs w:val="20"/>
      </w:rPr>
      <w:t>6</w:t>
    </w:r>
    <w:r w:rsidRPr="00683D55">
      <w:rPr>
        <w:rFonts w:ascii="Times New Roman" w:hAnsi="Times New Roman"/>
        <w:sz w:val="20"/>
        <w:szCs w:val="20"/>
      </w:rPr>
      <w:t xml:space="preserve">16_IMI_EPK_BM; </w:t>
    </w:r>
    <w:r w:rsidRPr="00683D55">
      <w:rPr>
        <w:rFonts w:ascii="Times New Roman" w:eastAsia="Times New Roman" w:hAnsi="Times New Roman"/>
        <w:bCs/>
        <w:sz w:val="20"/>
        <w:szCs w:val="20"/>
        <w:lang w:eastAsia="lv-LV"/>
      </w:rPr>
      <w:t xml:space="preserve">Ministru kabineta noteikumu projekta </w:t>
    </w:r>
    <w:r w:rsidRPr="00683D55">
      <w:rPr>
        <w:rFonts w:ascii="Times New Roman" w:hAnsi="Times New Roman"/>
        <w:sz w:val="20"/>
        <w:szCs w:val="20"/>
      </w:rPr>
      <w:t>„Informācijas apmaiņas un uzraudzības kārtība Iekšējā tirgus informācijas sistēmas ietvaros, informācijas apmaiņā iesaistīto iestāžu atbildība un Eiropas profesionālās kartes izdošanas un anulēšanas kārtība”” sākotnējās ietekmes novērtējuma ziņojums (anotācija)</w:t>
    </w:r>
  </w:p>
  <w:p w14:paraId="12798904" w14:textId="442C9520" w:rsidR="00782536" w:rsidRPr="00A503F4" w:rsidRDefault="00782536" w:rsidP="00A503F4">
    <w:pPr>
      <w:autoSpaceDE w:val="0"/>
      <w:autoSpaceDN w:val="0"/>
      <w:adjustRightInd w:val="0"/>
      <w:jc w:val="both"/>
      <w:rPr>
        <w:rFonts w:ascii="Times New Roman" w:hAnsi="Times New Roman"/>
        <w:bCs/>
        <w:sz w:val="20"/>
        <w:szCs w:val="20"/>
      </w:rPr>
    </w:pPr>
  </w:p>
  <w:p w14:paraId="7BBC103C" w14:textId="2DB1A0FB" w:rsidR="00782536" w:rsidRPr="00D954F7" w:rsidRDefault="00782536" w:rsidP="00D954F7">
    <w:pPr>
      <w:jc w:val="both"/>
      <w:rPr>
        <w:rFonts w:ascii="Times New Roman" w:hAnsi="Times New Roman"/>
        <w:sz w:val="20"/>
        <w:szCs w:val="20"/>
      </w:rPr>
    </w:pPr>
  </w:p>
  <w:p w14:paraId="6FA2B6BF" w14:textId="5866D311" w:rsidR="00782536" w:rsidRPr="002865DB" w:rsidRDefault="00782536" w:rsidP="00F4546D">
    <w:pPr>
      <w:pStyle w:val="Footer"/>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22F2" w14:textId="77777777" w:rsidR="00413EC1" w:rsidRDefault="00413EC1" w:rsidP="004A53C8">
      <w:pPr>
        <w:spacing w:after="0" w:line="240" w:lineRule="auto"/>
      </w:pPr>
      <w:r>
        <w:separator/>
      </w:r>
    </w:p>
  </w:footnote>
  <w:footnote w:type="continuationSeparator" w:id="0">
    <w:p w14:paraId="43DF53E3" w14:textId="77777777" w:rsidR="00413EC1" w:rsidRDefault="00413EC1" w:rsidP="004A53C8">
      <w:pPr>
        <w:spacing w:after="0" w:line="240" w:lineRule="auto"/>
      </w:pPr>
      <w:r>
        <w:continuationSeparator/>
      </w:r>
    </w:p>
  </w:footnote>
  <w:footnote w:id="1">
    <w:p w14:paraId="67C9D863" w14:textId="77777777" w:rsidR="00782536" w:rsidRPr="008F1781" w:rsidRDefault="00782536" w:rsidP="00837A98">
      <w:pPr>
        <w:jc w:val="both"/>
        <w:rPr>
          <w:rFonts w:ascii="Times New Roman" w:hAnsi="Times New Roman"/>
          <w:bCs/>
          <w:sz w:val="28"/>
          <w:szCs w:val="28"/>
        </w:rPr>
      </w:pPr>
      <w:r w:rsidRPr="008F1781">
        <w:rPr>
          <w:rStyle w:val="FootnoteReference"/>
          <w:rFonts w:ascii="Times New Roman" w:hAnsi="Times New Roman"/>
        </w:rPr>
        <w:footnoteRef/>
      </w:r>
      <w:r w:rsidRPr="008F1781">
        <w:rPr>
          <w:rFonts w:ascii="Times New Roman" w:hAnsi="Times New Roman"/>
        </w:rPr>
        <w:t xml:space="preserve"> </w:t>
      </w:r>
      <w:r w:rsidRPr="008F1781">
        <w:rPr>
          <w:rFonts w:ascii="Times New Roman" w:hAnsi="Times New Roman"/>
          <w:color w:val="000000"/>
          <w:sz w:val="20"/>
          <w:szCs w:val="20"/>
        </w:rPr>
        <w:t>Eiropas Parlamenta un Padomes 2013. gada 20. novembra Direktīva 2013/55/ES, ar ko groza Direktīvu 2005/36/EK par profesionālo kvalifikāciju atzīšanu un Regulu (ES) Nr. 1024/2012 par administratīvo sadarbību, izmantojot Iekšējā tirgus informācijas sistēmu (IMI regulu).</w:t>
      </w:r>
    </w:p>
    <w:p w14:paraId="457F4314" w14:textId="77777777" w:rsidR="00782536" w:rsidRPr="00722DCF" w:rsidRDefault="00782536" w:rsidP="00837A98">
      <w:pPr>
        <w:ind w:firstLine="720"/>
        <w:jc w:val="both"/>
        <w:rPr>
          <w:sz w:val="20"/>
          <w:szCs w:val="20"/>
        </w:rPr>
      </w:pPr>
    </w:p>
    <w:p w14:paraId="3E3D2C6F" w14:textId="77777777" w:rsidR="00782536" w:rsidRDefault="00782536" w:rsidP="00837A98">
      <w:pPr>
        <w:pStyle w:val="FootnoteText"/>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782536" w:rsidRDefault="00782536"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7A2B8C">
      <w:rPr>
        <w:rFonts w:ascii="Times New Roman" w:hAnsi="Times New Roman"/>
        <w:noProof/>
        <w:sz w:val="24"/>
        <w:szCs w:val="24"/>
      </w:rPr>
      <w:t>26</w:t>
    </w:r>
    <w:r w:rsidRPr="00F4546D">
      <w:rPr>
        <w:rFonts w:ascii="Times New Roman" w:hAnsi="Times New Roman"/>
        <w:sz w:val="24"/>
        <w:szCs w:val="24"/>
      </w:rPr>
      <w:fldChar w:fldCharType="end"/>
    </w:r>
  </w:p>
  <w:p w14:paraId="030B23BE" w14:textId="77777777" w:rsidR="00782536" w:rsidRPr="00F4546D" w:rsidRDefault="00782536"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1929"/>
    <w:multiLevelType w:val="hybridMultilevel"/>
    <w:tmpl w:val="5DF635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2E8076E"/>
    <w:multiLevelType w:val="hybridMultilevel"/>
    <w:tmpl w:val="AD620F3E"/>
    <w:lvl w:ilvl="0" w:tplc="33AE279A">
      <w:start w:val="1"/>
      <w:numFmt w:val="decimal"/>
      <w:lvlText w:val="%1."/>
      <w:lvlJc w:val="left"/>
      <w:pPr>
        <w:ind w:left="1080" w:hanging="360"/>
      </w:pPr>
      <w:rPr>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209F1CCC"/>
    <w:multiLevelType w:val="multilevel"/>
    <w:tmpl w:val="0A8A94D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21BD1AD6"/>
    <w:multiLevelType w:val="hybridMultilevel"/>
    <w:tmpl w:val="B458359E"/>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5172AD2"/>
    <w:multiLevelType w:val="hybridMultilevel"/>
    <w:tmpl w:val="0A8AA42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5F14CCA"/>
    <w:multiLevelType w:val="hybridMultilevel"/>
    <w:tmpl w:val="618CC3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8323535"/>
    <w:multiLevelType w:val="hybridMultilevel"/>
    <w:tmpl w:val="16E48736"/>
    <w:lvl w:ilvl="0" w:tplc="883CF6F6">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A31493D"/>
    <w:multiLevelType w:val="hybridMultilevel"/>
    <w:tmpl w:val="9A18F2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372FB0"/>
    <w:multiLevelType w:val="hybridMultilevel"/>
    <w:tmpl w:val="63A8C056"/>
    <w:lvl w:ilvl="0" w:tplc="AAB6AC04">
      <w:start w:val="2009"/>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8E91295"/>
    <w:multiLevelType w:val="hybridMultilevel"/>
    <w:tmpl w:val="C58AEA34"/>
    <w:lvl w:ilvl="0" w:tplc="AAB6AC04">
      <w:start w:val="2009"/>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CEC7A88"/>
    <w:multiLevelType w:val="hybridMultilevel"/>
    <w:tmpl w:val="F9CCA1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A94337"/>
    <w:multiLevelType w:val="hybridMultilevel"/>
    <w:tmpl w:val="371CABCC"/>
    <w:lvl w:ilvl="0" w:tplc="36BC5278">
      <w:start w:val="22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nsid w:val="402C1C63"/>
    <w:multiLevelType w:val="hybridMultilevel"/>
    <w:tmpl w:val="406016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230E9F"/>
    <w:multiLevelType w:val="hybridMultilevel"/>
    <w:tmpl w:val="4D1C8BCC"/>
    <w:lvl w:ilvl="0" w:tplc="0450C8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9F360E"/>
    <w:multiLevelType w:val="hybridMultilevel"/>
    <w:tmpl w:val="B9E867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D7F5978"/>
    <w:multiLevelType w:val="hybridMultilevel"/>
    <w:tmpl w:val="ED9AE698"/>
    <w:lvl w:ilvl="0" w:tplc="192A9EDC">
      <w:start w:val="1"/>
      <w:numFmt w:val="decimal"/>
      <w:lvlText w:val="%1."/>
      <w:lvlJc w:val="left"/>
      <w:pPr>
        <w:ind w:left="720" w:hanging="360"/>
      </w:pPr>
      <w:rPr>
        <w:rFonts w:hint="default"/>
        <w:color w:val="40407C"/>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B20913"/>
    <w:multiLevelType w:val="hybridMultilevel"/>
    <w:tmpl w:val="762CF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437551F"/>
    <w:multiLevelType w:val="hybridMultilevel"/>
    <w:tmpl w:val="6694D03E"/>
    <w:lvl w:ilvl="0" w:tplc="DC36BBC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07B7722"/>
    <w:multiLevelType w:val="hybridMultilevel"/>
    <w:tmpl w:val="422869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76347B2C"/>
    <w:multiLevelType w:val="hybridMultilevel"/>
    <w:tmpl w:val="CA4441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7E0B4386"/>
    <w:multiLevelType w:val="hybridMultilevel"/>
    <w:tmpl w:val="16E48736"/>
    <w:lvl w:ilvl="0" w:tplc="883CF6F6">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17"/>
  </w:num>
  <w:num w:numId="5">
    <w:abstractNumId w:val="16"/>
  </w:num>
  <w:num w:numId="6">
    <w:abstractNumId w:val="5"/>
  </w:num>
  <w:num w:numId="7">
    <w:abstractNumId w:val="8"/>
  </w:num>
  <w:num w:numId="8">
    <w:abstractNumId w:val="9"/>
  </w:num>
  <w:num w:numId="9">
    <w:abstractNumId w:val="19"/>
  </w:num>
  <w:num w:numId="10">
    <w:abstractNumId w:val="6"/>
  </w:num>
  <w:num w:numId="11">
    <w:abstractNumId w:val="14"/>
  </w:num>
  <w:num w:numId="12">
    <w:abstractNumId w:val="11"/>
  </w:num>
  <w:num w:numId="13">
    <w:abstractNumId w:val="4"/>
  </w:num>
  <w:num w:numId="14">
    <w:abstractNumId w:val="22"/>
  </w:num>
  <w:num w:numId="15">
    <w:abstractNumId w:val="18"/>
  </w:num>
  <w:num w:numId="16">
    <w:abstractNumId w:val="10"/>
  </w:num>
  <w:num w:numId="17">
    <w:abstractNumId w:val="13"/>
  </w:num>
  <w:num w:numId="18">
    <w:abstractNumId w:val="7"/>
  </w:num>
  <w:num w:numId="19">
    <w:abstractNumId w:val="3"/>
  </w:num>
  <w:num w:numId="20">
    <w:abstractNumId w:val="2"/>
  </w:num>
  <w:num w:numId="21">
    <w:abstractNumId w:val="1"/>
  </w:num>
  <w:num w:numId="22">
    <w:abstractNumId w:val="23"/>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0E9F"/>
    <w:rsid w:val="00001DDF"/>
    <w:rsid w:val="00002622"/>
    <w:rsid w:val="0000427B"/>
    <w:rsid w:val="00004B8E"/>
    <w:rsid w:val="00004F7C"/>
    <w:rsid w:val="00005D6D"/>
    <w:rsid w:val="00011005"/>
    <w:rsid w:val="00012B57"/>
    <w:rsid w:val="0001406B"/>
    <w:rsid w:val="000140A6"/>
    <w:rsid w:val="000163D3"/>
    <w:rsid w:val="00016895"/>
    <w:rsid w:val="00022DF2"/>
    <w:rsid w:val="0002384C"/>
    <w:rsid w:val="00025C25"/>
    <w:rsid w:val="00040807"/>
    <w:rsid w:val="000433FA"/>
    <w:rsid w:val="000437C4"/>
    <w:rsid w:val="00044C34"/>
    <w:rsid w:val="00045154"/>
    <w:rsid w:val="00046649"/>
    <w:rsid w:val="00046740"/>
    <w:rsid w:val="00047EE3"/>
    <w:rsid w:val="00051505"/>
    <w:rsid w:val="0005162F"/>
    <w:rsid w:val="00057E77"/>
    <w:rsid w:val="00064A14"/>
    <w:rsid w:val="00066969"/>
    <w:rsid w:val="0006697F"/>
    <w:rsid w:val="00066F6E"/>
    <w:rsid w:val="00067084"/>
    <w:rsid w:val="000670A7"/>
    <w:rsid w:val="0006748B"/>
    <w:rsid w:val="00070051"/>
    <w:rsid w:val="00074501"/>
    <w:rsid w:val="0007455F"/>
    <w:rsid w:val="000746F0"/>
    <w:rsid w:val="00074DB6"/>
    <w:rsid w:val="0007676B"/>
    <w:rsid w:val="00080CF0"/>
    <w:rsid w:val="0008115D"/>
    <w:rsid w:val="000814D2"/>
    <w:rsid w:val="00083279"/>
    <w:rsid w:val="00085722"/>
    <w:rsid w:val="0008700C"/>
    <w:rsid w:val="00091E19"/>
    <w:rsid w:val="00092F04"/>
    <w:rsid w:val="00094D6E"/>
    <w:rsid w:val="000957F7"/>
    <w:rsid w:val="0009669B"/>
    <w:rsid w:val="000A5334"/>
    <w:rsid w:val="000B0E92"/>
    <w:rsid w:val="000B6550"/>
    <w:rsid w:val="000C0CAE"/>
    <w:rsid w:val="000C0DD0"/>
    <w:rsid w:val="000C1879"/>
    <w:rsid w:val="000C1C71"/>
    <w:rsid w:val="000C296A"/>
    <w:rsid w:val="000C3E41"/>
    <w:rsid w:val="000C5B35"/>
    <w:rsid w:val="000D164A"/>
    <w:rsid w:val="000D1780"/>
    <w:rsid w:val="000D1A6E"/>
    <w:rsid w:val="000D2157"/>
    <w:rsid w:val="000D2D48"/>
    <w:rsid w:val="000D6DB4"/>
    <w:rsid w:val="000E1F06"/>
    <w:rsid w:val="000E369F"/>
    <w:rsid w:val="000E399A"/>
    <w:rsid w:val="000E40CB"/>
    <w:rsid w:val="000E5EB5"/>
    <w:rsid w:val="000E6D09"/>
    <w:rsid w:val="000E764E"/>
    <w:rsid w:val="000F47DB"/>
    <w:rsid w:val="000F597B"/>
    <w:rsid w:val="001004CD"/>
    <w:rsid w:val="00101B63"/>
    <w:rsid w:val="001049A9"/>
    <w:rsid w:val="0011120D"/>
    <w:rsid w:val="00112596"/>
    <w:rsid w:val="00113FE3"/>
    <w:rsid w:val="00114F87"/>
    <w:rsid w:val="001152CC"/>
    <w:rsid w:val="001156D9"/>
    <w:rsid w:val="00121135"/>
    <w:rsid w:val="00123701"/>
    <w:rsid w:val="001301F7"/>
    <w:rsid w:val="00133A9A"/>
    <w:rsid w:val="00134804"/>
    <w:rsid w:val="0013546A"/>
    <w:rsid w:val="00137F9E"/>
    <w:rsid w:val="00140D9F"/>
    <w:rsid w:val="00142F78"/>
    <w:rsid w:val="00144071"/>
    <w:rsid w:val="00145576"/>
    <w:rsid w:val="00145904"/>
    <w:rsid w:val="00147F94"/>
    <w:rsid w:val="00150957"/>
    <w:rsid w:val="00150CDD"/>
    <w:rsid w:val="00151C96"/>
    <w:rsid w:val="00152DB0"/>
    <w:rsid w:val="001539B3"/>
    <w:rsid w:val="001568D1"/>
    <w:rsid w:val="00156E55"/>
    <w:rsid w:val="00162AD0"/>
    <w:rsid w:val="00172AA2"/>
    <w:rsid w:val="00175A1D"/>
    <w:rsid w:val="00181642"/>
    <w:rsid w:val="00183511"/>
    <w:rsid w:val="00184BF5"/>
    <w:rsid w:val="00187108"/>
    <w:rsid w:val="00190A3A"/>
    <w:rsid w:val="001916C0"/>
    <w:rsid w:val="001919B5"/>
    <w:rsid w:val="001949F1"/>
    <w:rsid w:val="00196D09"/>
    <w:rsid w:val="00197F5C"/>
    <w:rsid w:val="001A0278"/>
    <w:rsid w:val="001A08CA"/>
    <w:rsid w:val="001A1AA4"/>
    <w:rsid w:val="001A1C8D"/>
    <w:rsid w:val="001A226A"/>
    <w:rsid w:val="001A2BCC"/>
    <w:rsid w:val="001A2EE0"/>
    <w:rsid w:val="001A7E99"/>
    <w:rsid w:val="001B0551"/>
    <w:rsid w:val="001B0E1F"/>
    <w:rsid w:val="001B2B20"/>
    <w:rsid w:val="001B2BA7"/>
    <w:rsid w:val="001B4D14"/>
    <w:rsid w:val="001B7A46"/>
    <w:rsid w:val="001C46EF"/>
    <w:rsid w:val="001D14C4"/>
    <w:rsid w:val="001D3AF6"/>
    <w:rsid w:val="001D5CC4"/>
    <w:rsid w:val="001D5D6F"/>
    <w:rsid w:val="001D69A9"/>
    <w:rsid w:val="001E0DD5"/>
    <w:rsid w:val="001E3A52"/>
    <w:rsid w:val="001E5EAD"/>
    <w:rsid w:val="001E7945"/>
    <w:rsid w:val="001E7C50"/>
    <w:rsid w:val="001F23CB"/>
    <w:rsid w:val="001F2C15"/>
    <w:rsid w:val="001F3AEF"/>
    <w:rsid w:val="001F4006"/>
    <w:rsid w:val="001F4BC4"/>
    <w:rsid w:val="001F7670"/>
    <w:rsid w:val="001F76EB"/>
    <w:rsid w:val="00201805"/>
    <w:rsid w:val="0020357E"/>
    <w:rsid w:val="00204189"/>
    <w:rsid w:val="00204B97"/>
    <w:rsid w:val="00205354"/>
    <w:rsid w:val="00207574"/>
    <w:rsid w:val="00213B53"/>
    <w:rsid w:val="002155A4"/>
    <w:rsid w:val="002172EA"/>
    <w:rsid w:val="0022351E"/>
    <w:rsid w:val="00225F44"/>
    <w:rsid w:val="002263EA"/>
    <w:rsid w:val="0022760A"/>
    <w:rsid w:val="00233FBE"/>
    <w:rsid w:val="00237625"/>
    <w:rsid w:val="00237B0E"/>
    <w:rsid w:val="0024350F"/>
    <w:rsid w:val="00250073"/>
    <w:rsid w:val="0025296C"/>
    <w:rsid w:val="0025401A"/>
    <w:rsid w:val="00254312"/>
    <w:rsid w:val="002555EF"/>
    <w:rsid w:val="00255D0D"/>
    <w:rsid w:val="002560B1"/>
    <w:rsid w:val="00256947"/>
    <w:rsid w:val="00260CAD"/>
    <w:rsid w:val="00261A0D"/>
    <w:rsid w:val="00266720"/>
    <w:rsid w:val="00271631"/>
    <w:rsid w:val="00271D15"/>
    <w:rsid w:val="00272204"/>
    <w:rsid w:val="00272629"/>
    <w:rsid w:val="00272847"/>
    <w:rsid w:val="002742D9"/>
    <w:rsid w:val="00274E47"/>
    <w:rsid w:val="00275B3C"/>
    <w:rsid w:val="00275EC3"/>
    <w:rsid w:val="00280121"/>
    <w:rsid w:val="002817E2"/>
    <w:rsid w:val="00283888"/>
    <w:rsid w:val="002865DB"/>
    <w:rsid w:val="002901D5"/>
    <w:rsid w:val="0029255F"/>
    <w:rsid w:val="002948FD"/>
    <w:rsid w:val="002A27BB"/>
    <w:rsid w:val="002A4D5C"/>
    <w:rsid w:val="002B10C5"/>
    <w:rsid w:val="002B1A24"/>
    <w:rsid w:val="002B1AC7"/>
    <w:rsid w:val="002B530C"/>
    <w:rsid w:val="002C425B"/>
    <w:rsid w:val="002C76AC"/>
    <w:rsid w:val="002D0EB1"/>
    <w:rsid w:val="002D406A"/>
    <w:rsid w:val="002D44DE"/>
    <w:rsid w:val="002D4DF0"/>
    <w:rsid w:val="002D52C0"/>
    <w:rsid w:val="002D67D2"/>
    <w:rsid w:val="002E35C4"/>
    <w:rsid w:val="002E5254"/>
    <w:rsid w:val="002E781A"/>
    <w:rsid w:val="002F12C1"/>
    <w:rsid w:val="002F294B"/>
    <w:rsid w:val="002F2A56"/>
    <w:rsid w:val="002F328A"/>
    <w:rsid w:val="002F6EBF"/>
    <w:rsid w:val="0030186F"/>
    <w:rsid w:val="00301A0F"/>
    <w:rsid w:val="00303FE1"/>
    <w:rsid w:val="00304E39"/>
    <w:rsid w:val="0030592D"/>
    <w:rsid w:val="003076ED"/>
    <w:rsid w:val="00307EF6"/>
    <w:rsid w:val="0031069A"/>
    <w:rsid w:val="00311BEB"/>
    <w:rsid w:val="003138F6"/>
    <w:rsid w:val="00313C26"/>
    <w:rsid w:val="00315A95"/>
    <w:rsid w:val="0032115E"/>
    <w:rsid w:val="00322FF1"/>
    <w:rsid w:val="00323951"/>
    <w:rsid w:val="00323B8C"/>
    <w:rsid w:val="00323E04"/>
    <w:rsid w:val="003274A1"/>
    <w:rsid w:val="0033149E"/>
    <w:rsid w:val="00331D9D"/>
    <w:rsid w:val="003330B4"/>
    <w:rsid w:val="0033314E"/>
    <w:rsid w:val="003343AD"/>
    <w:rsid w:val="003409A7"/>
    <w:rsid w:val="0034459F"/>
    <w:rsid w:val="003460E1"/>
    <w:rsid w:val="00347E08"/>
    <w:rsid w:val="00350E80"/>
    <w:rsid w:val="003529F8"/>
    <w:rsid w:val="00354158"/>
    <w:rsid w:val="00355F35"/>
    <w:rsid w:val="003567B2"/>
    <w:rsid w:val="00356E5F"/>
    <w:rsid w:val="0035747C"/>
    <w:rsid w:val="003607C9"/>
    <w:rsid w:val="00360EC9"/>
    <w:rsid w:val="003636B5"/>
    <w:rsid w:val="00364C5B"/>
    <w:rsid w:val="00366E04"/>
    <w:rsid w:val="00366E6B"/>
    <w:rsid w:val="00367870"/>
    <w:rsid w:val="00367DD8"/>
    <w:rsid w:val="00373062"/>
    <w:rsid w:val="0037352F"/>
    <w:rsid w:val="00373BF3"/>
    <w:rsid w:val="003750F2"/>
    <w:rsid w:val="00384951"/>
    <w:rsid w:val="0038607C"/>
    <w:rsid w:val="00390C9B"/>
    <w:rsid w:val="00390CC5"/>
    <w:rsid w:val="00392D00"/>
    <w:rsid w:val="0039441E"/>
    <w:rsid w:val="00394620"/>
    <w:rsid w:val="0039519F"/>
    <w:rsid w:val="00396EBE"/>
    <w:rsid w:val="003970B8"/>
    <w:rsid w:val="003A6684"/>
    <w:rsid w:val="003A6BFF"/>
    <w:rsid w:val="003B0459"/>
    <w:rsid w:val="003B0A3C"/>
    <w:rsid w:val="003B1A99"/>
    <w:rsid w:val="003B3883"/>
    <w:rsid w:val="003B4901"/>
    <w:rsid w:val="003C2CF9"/>
    <w:rsid w:val="003C3F84"/>
    <w:rsid w:val="003C590F"/>
    <w:rsid w:val="003D05A2"/>
    <w:rsid w:val="003D087A"/>
    <w:rsid w:val="003D0992"/>
    <w:rsid w:val="003D31F7"/>
    <w:rsid w:val="003D5881"/>
    <w:rsid w:val="003D61BA"/>
    <w:rsid w:val="003D73E8"/>
    <w:rsid w:val="003E12C5"/>
    <w:rsid w:val="003E7044"/>
    <w:rsid w:val="003F1E4B"/>
    <w:rsid w:val="003F1F26"/>
    <w:rsid w:val="003F21AA"/>
    <w:rsid w:val="003F2409"/>
    <w:rsid w:val="003F4A75"/>
    <w:rsid w:val="00400B50"/>
    <w:rsid w:val="00402242"/>
    <w:rsid w:val="004031B1"/>
    <w:rsid w:val="0040612F"/>
    <w:rsid w:val="0041289A"/>
    <w:rsid w:val="00412AEF"/>
    <w:rsid w:val="004139EB"/>
    <w:rsid w:val="00413EC1"/>
    <w:rsid w:val="00414143"/>
    <w:rsid w:val="00414DD2"/>
    <w:rsid w:val="004150E1"/>
    <w:rsid w:val="004158AC"/>
    <w:rsid w:val="0041704C"/>
    <w:rsid w:val="004226E8"/>
    <w:rsid w:val="00423102"/>
    <w:rsid w:val="00424155"/>
    <w:rsid w:val="004252BD"/>
    <w:rsid w:val="00425A6D"/>
    <w:rsid w:val="00432DF4"/>
    <w:rsid w:val="0043316D"/>
    <w:rsid w:val="004358D3"/>
    <w:rsid w:val="004379F7"/>
    <w:rsid w:val="00447031"/>
    <w:rsid w:val="00450A5C"/>
    <w:rsid w:val="00451CB3"/>
    <w:rsid w:val="00452751"/>
    <w:rsid w:val="0045357F"/>
    <w:rsid w:val="00453DFC"/>
    <w:rsid w:val="00454A2A"/>
    <w:rsid w:val="00454A36"/>
    <w:rsid w:val="00455455"/>
    <w:rsid w:val="00455546"/>
    <w:rsid w:val="00456082"/>
    <w:rsid w:val="00456085"/>
    <w:rsid w:val="00456BC5"/>
    <w:rsid w:val="0046343F"/>
    <w:rsid w:val="00465603"/>
    <w:rsid w:val="00466FBC"/>
    <w:rsid w:val="00470A88"/>
    <w:rsid w:val="004713DD"/>
    <w:rsid w:val="0047221D"/>
    <w:rsid w:val="004722A7"/>
    <w:rsid w:val="004730CE"/>
    <w:rsid w:val="0047435F"/>
    <w:rsid w:val="00475725"/>
    <w:rsid w:val="004769A7"/>
    <w:rsid w:val="00476AF8"/>
    <w:rsid w:val="00477E9A"/>
    <w:rsid w:val="004816F7"/>
    <w:rsid w:val="00481E13"/>
    <w:rsid w:val="004821F4"/>
    <w:rsid w:val="00482C68"/>
    <w:rsid w:val="00487765"/>
    <w:rsid w:val="00487DF4"/>
    <w:rsid w:val="0049075B"/>
    <w:rsid w:val="004935B9"/>
    <w:rsid w:val="00495305"/>
    <w:rsid w:val="004A16FD"/>
    <w:rsid w:val="004A308B"/>
    <w:rsid w:val="004A323C"/>
    <w:rsid w:val="004A405A"/>
    <w:rsid w:val="004A505F"/>
    <w:rsid w:val="004A53C8"/>
    <w:rsid w:val="004A549F"/>
    <w:rsid w:val="004A6E95"/>
    <w:rsid w:val="004A719C"/>
    <w:rsid w:val="004B01ED"/>
    <w:rsid w:val="004B0F25"/>
    <w:rsid w:val="004B14D7"/>
    <w:rsid w:val="004B3319"/>
    <w:rsid w:val="004B43D5"/>
    <w:rsid w:val="004B5483"/>
    <w:rsid w:val="004B623D"/>
    <w:rsid w:val="004B72DA"/>
    <w:rsid w:val="004B72F1"/>
    <w:rsid w:val="004C01AC"/>
    <w:rsid w:val="004C31BB"/>
    <w:rsid w:val="004C4E93"/>
    <w:rsid w:val="004C5FF9"/>
    <w:rsid w:val="004C65AC"/>
    <w:rsid w:val="004C7105"/>
    <w:rsid w:val="004D0359"/>
    <w:rsid w:val="004D0548"/>
    <w:rsid w:val="004D0C0D"/>
    <w:rsid w:val="004D2E81"/>
    <w:rsid w:val="004D3CA0"/>
    <w:rsid w:val="004D6222"/>
    <w:rsid w:val="004D6490"/>
    <w:rsid w:val="004E4780"/>
    <w:rsid w:val="004E520A"/>
    <w:rsid w:val="004E6D78"/>
    <w:rsid w:val="004F054B"/>
    <w:rsid w:val="004F10EE"/>
    <w:rsid w:val="004F1907"/>
    <w:rsid w:val="004F2230"/>
    <w:rsid w:val="004F40F7"/>
    <w:rsid w:val="005012A5"/>
    <w:rsid w:val="00503F07"/>
    <w:rsid w:val="0050530A"/>
    <w:rsid w:val="00506548"/>
    <w:rsid w:val="00506F10"/>
    <w:rsid w:val="0051041A"/>
    <w:rsid w:val="00512F1C"/>
    <w:rsid w:val="00513AA9"/>
    <w:rsid w:val="0051417E"/>
    <w:rsid w:val="00517034"/>
    <w:rsid w:val="00521F35"/>
    <w:rsid w:val="00522CAD"/>
    <w:rsid w:val="00523105"/>
    <w:rsid w:val="00523FDD"/>
    <w:rsid w:val="00525780"/>
    <w:rsid w:val="00531930"/>
    <w:rsid w:val="00532A75"/>
    <w:rsid w:val="00534BA0"/>
    <w:rsid w:val="00534DC0"/>
    <w:rsid w:val="005351BA"/>
    <w:rsid w:val="00536492"/>
    <w:rsid w:val="0054015A"/>
    <w:rsid w:val="00540DC8"/>
    <w:rsid w:val="005413EC"/>
    <w:rsid w:val="00541E42"/>
    <w:rsid w:val="005437AC"/>
    <w:rsid w:val="005478B5"/>
    <w:rsid w:val="00551B92"/>
    <w:rsid w:val="005525B8"/>
    <w:rsid w:val="005536F7"/>
    <w:rsid w:val="00554247"/>
    <w:rsid w:val="00554FA3"/>
    <w:rsid w:val="005551D1"/>
    <w:rsid w:val="00556473"/>
    <w:rsid w:val="00560F53"/>
    <w:rsid w:val="00561B38"/>
    <w:rsid w:val="00562ED7"/>
    <w:rsid w:val="00566DB3"/>
    <w:rsid w:val="00570404"/>
    <w:rsid w:val="00572AA5"/>
    <w:rsid w:val="005749B4"/>
    <w:rsid w:val="00575D7F"/>
    <w:rsid w:val="00577216"/>
    <w:rsid w:val="00577EBE"/>
    <w:rsid w:val="00584120"/>
    <w:rsid w:val="00590C97"/>
    <w:rsid w:val="00591043"/>
    <w:rsid w:val="005925F2"/>
    <w:rsid w:val="005935B1"/>
    <w:rsid w:val="00593CEC"/>
    <w:rsid w:val="0059400B"/>
    <w:rsid w:val="005949A8"/>
    <w:rsid w:val="00596237"/>
    <w:rsid w:val="005A1C65"/>
    <w:rsid w:val="005A601E"/>
    <w:rsid w:val="005A763F"/>
    <w:rsid w:val="005B237A"/>
    <w:rsid w:val="005B284A"/>
    <w:rsid w:val="005B3E75"/>
    <w:rsid w:val="005B3F33"/>
    <w:rsid w:val="005B72C2"/>
    <w:rsid w:val="005C2289"/>
    <w:rsid w:val="005C3F18"/>
    <w:rsid w:val="005C3F96"/>
    <w:rsid w:val="005C42B1"/>
    <w:rsid w:val="005C4A6D"/>
    <w:rsid w:val="005C4E27"/>
    <w:rsid w:val="005C71C3"/>
    <w:rsid w:val="005D4902"/>
    <w:rsid w:val="005D56D4"/>
    <w:rsid w:val="005D6DBF"/>
    <w:rsid w:val="005D791F"/>
    <w:rsid w:val="005F0690"/>
    <w:rsid w:val="005F3025"/>
    <w:rsid w:val="005F3E83"/>
    <w:rsid w:val="005F5ADA"/>
    <w:rsid w:val="00600023"/>
    <w:rsid w:val="0060021C"/>
    <w:rsid w:val="0060361E"/>
    <w:rsid w:val="00605151"/>
    <w:rsid w:val="00605858"/>
    <w:rsid w:val="0061336F"/>
    <w:rsid w:val="00613DAC"/>
    <w:rsid w:val="0061423E"/>
    <w:rsid w:val="00614F2B"/>
    <w:rsid w:val="00617C45"/>
    <w:rsid w:val="00621E1E"/>
    <w:rsid w:val="006225CA"/>
    <w:rsid w:val="0062433B"/>
    <w:rsid w:val="00625EE2"/>
    <w:rsid w:val="006268D6"/>
    <w:rsid w:val="00626958"/>
    <w:rsid w:val="00627776"/>
    <w:rsid w:val="00631529"/>
    <w:rsid w:val="00631FBB"/>
    <w:rsid w:val="00632A2E"/>
    <w:rsid w:val="00632D91"/>
    <w:rsid w:val="00634BA3"/>
    <w:rsid w:val="00635523"/>
    <w:rsid w:val="006365D2"/>
    <w:rsid w:val="00640186"/>
    <w:rsid w:val="00647270"/>
    <w:rsid w:val="0065161F"/>
    <w:rsid w:val="006528E3"/>
    <w:rsid w:val="006531A5"/>
    <w:rsid w:val="0065771A"/>
    <w:rsid w:val="006578D4"/>
    <w:rsid w:val="00660C44"/>
    <w:rsid w:val="00661B34"/>
    <w:rsid w:val="00663B48"/>
    <w:rsid w:val="00664707"/>
    <w:rsid w:val="00664906"/>
    <w:rsid w:val="00665B3B"/>
    <w:rsid w:val="00665D01"/>
    <w:rsid w:val="00667151"/>
    <w:rsid w:val="00667546"/>
    <w:rsid w:val="00674662"/>
    <w:rsid w:val="00681DC4"/>
    <w:rsid w:val="00681FA4"/>
    <w:rsid w:val="006825C0"/>
    <w:rsid w:val="0068307F"/>
    <w:rsid w:val="00683D55"/>
    <w:rsid w:val="00684CA5"/>
    <w:rsid w:val="00685FDA"/>
    <w:rsid w:val="0069093D"/>
    <w:rsid w:val="006910BD"/>
    <w:rsid w:val="00694633"/>
    <w:rsid w:val="00694716"/>
    <w:rsid w:val="006A26A2"/>
    <w:rsid w:val="006A35BD"/>
    <w:rsid w:val="006A3B0A"/>
    <w:rsid w:val="006A4282"/>
    <w:rsid w:val="006A4790"/>
    <w:rsid w:val="006A50A1"/>
    <w:rsid w:val="006A541D"/>
    <w:rsid w:val="006A5651"/>
    <w:rsid w:val="006A671F"/>
    <w:rsid w:val="006A68C1"/>
    <w:rsid w:val="006A7B3E"/>
    <w:rsid w:val="006B2188"/>
    <w:rsid w:val="006C0EEB"/>
    <w:rsid w:val="006C5819"/>
    <w:rsid w:val="006C5F23"/>
    <w:rsid w:val="006D4569"/>
    <w:rsid w:val="006D7855"/>
    <w:rsid w:val="006E41C1"/>
    <w:rsid w:val="006F023E"/>
    <w:rsid w:val="006F11ED"/>
    <w:rsid w:val="006F3CAE"/>
    <w:rsid w:val="006F4394"/>
    <w:rsid w:val="006F4A97"/>
    <w:rsid w:val="006F6C11"/>
    <w:rsid w:val="007001F5"/>
    <w:rsid w:val="00702234"/>
    <w:rsid w:val="007058CE"/>
    <w:rsid w:val="00710461"/>
    <w:rsid w:val="0071082B"/>
    <w:rsid w:val="00711F3E"/>
    <w:rsid w:val="0071283C"/>
    <w:rsid w:val="00713986"/>
    <w:rsid w:val="007147BE"/>
    <w:rsid w:val="007161C1"/>
    <w:rsid w:val="007174CF"/>
    <w:rsid w:val="007210B1"/>
    <w:rsid w:val="0072278C"/>
    <w:rsid w:val="007248FB"/>
    <w:rsid w:val="0072641C"/>
    <w:rsid w:val="00727A22"/>
    <w:rsid w:val="00731E6C"/>
    <w:rsid w:val="007329CE"/>
    <w:rsid w:val="00733710"/>
    <w:rsid w:val="00733C8C"/>
    <w:rsid w:val="0073499C"/>
    <w:rsid w:val="007418A6"/>
    <w:rsid w:val="0074653E"/>
    <w:rsid w:val="00746B70"/>
    <w:rsid w:val="00746D7A"/>
    <w:rsid w:val="00747BEE"/>
    <w:rsid w:val="00750879"/>
    <w:rsid w:val="00753132"/>
    <w:rsid w:val="00763606"/>
    <w:rsid w:val="00767AC1"/>
    <w:rsid w:val="00771AE0"/>
    <w:rsid w:val="00773158"/>
    <w:rsid w:val="00773C6A"/>
    <w:rsid w:val="00775455"/>
    <w:rsid w:val="00781A81"/>
    <w:rsid w:val="00782536"/>
    <w:rsid w:val="007836C3"/>
    <w:rsid w:val="007849BB"/>
    <w:rsid w:val="00784CDA"/>
    <w:rsid w:val="00785823"/>
    <w:rsid w:val="00785D22"/>
    <w:rsid w:val="00787C61"/>
    <w:rsid w:val="0079361E"/>
    <w:rsid w:val="00794184"/>
    <w:rsid w:val="00794B8A"/>
    <w:rsid w:val="0079543A"/>
    <w:rsid w:val="00796FAC"/>
    <w:rsid w:val="007973E0"/>
    <w:rsid w:val="007A0535"/>
    <w:rsid w:val="007A2B8C"/>
    <w:rsid w:val="007A59AB"/>
    <w:rsid w:val="007A5D0E"/>
    <w:rsid w:val="007A6052"/>
    <w:rsid w:val="007A79CD"/>
    <w:rsid w:val="007B02E9"/>
    <w:rsid w:val="007B07F6"/>
    <w:rsid w:val="007B1499"/>
    <w:rsid w:val="007B25E2"/>
    <w:rsid w:val="007B2775"/>
    <w:rsid w:val="007B4613"/>
    <w:rsid w:val="007B7C89"/>
    <w:rsid w:val="007C177A"/>
    <w:rsid w:val="007C1C02"/>
    <w:rsid w:val="007C4012"/>
    <w:rsid w:val="007C447D"/>
    <w:rsid w:val="007C4C3A"/>
    <w:rsid w:val="007C50F1"/>
    <w:rsid w:val="007C5388"/>
    <w:rsid w:val="007C5781"/>
    <w:rsid w:val="007D090B"/>
    <w:rsid w:val="007E4F75"/>
    <w:rsid w:val="007E7C9E"/>
    <w:rsid w:val="007F13E5"/>
    <w:rsid w:val="007F4BCA"/>
    <w:rsid w:val="007F53BF"/>
    <w:rsid w:val="007F770A"/>
    <w:rsid w:val="00800369"/>
    <w:rsid w:val="00801D00"/>
    <w:rsid w:val="00805536"/>
    <w:rsid w:val="00805E52"/>
    <w:rsid w:val="00810B3A"/>
    <w:rsid w:val="00812271"/>
    <w:rsid w:val="008126B4"/>
    <w:rsid w:val="00814828"/>
    <w:rsid w:val="00815B90"/>
    <w:rsid w:val="00816BD1"/>
    <w:rsid w:val="00817032"/>
    <w:rsid w:val="0082002F"/>
    <w:rsid w:val="0082032C"/>
    <w:rsid w:val="00823CB3"/>
    <w:rsid w:val="00824735"/>
    <w:rsid w:val="0082587F"/>
    <w:rsid w:val="00825A26"/>
    <w:rsid w:val="0083003B"/>
    <w:rsid w:val="0083128E"/>
    <w:rsid w:val="00833E9A"/>
    <w:rsid w:val="00834E8E"/>
    <w:rsid w:val="00835064"/>
    <w:rsid w:val="00835AEA"/>
    <w:rsid w:val="00836996"/>
    <w:rsid w:val="008376B0"/>
    <w:rsid w:val="00837A98"/>
    <w:rsid w:val="00840CFA"/>
    <w:rsid w:val="00840E0E"/>
    <w:rsid w:val="0084141A"/>
    <w:rsid w:val="008467A7"/>
    <w:rsid w:val="00847DAF"/>
    <w:rsid w:val="00850CD2"/>
    <w:rsid w:val="00853DF2"/>
    <w:rsid w:val="008574FE"/>
    <w:rsid w:val="00857EFA"/>
    <w:rsid w:val="0086125F"/>
    <w:rsid w:val="00861277"/>
    <w:rsid w:val="00863303"/>
    <w:rsid w:val="008725B1"/>
    <w:rsid w:val="00872CFE"/>
    <w:rsid w:val="00872F04"/>
    <w:rsid w:val="008750A2"/>
    <w:rsid w:val="0087656E"/>
    <w:rsid w:val="00881524"/>
    <w:rsid w:val="00882DF4"/>
    <w:rsid w:val="00886405"/>
    <w:rsid w:val="00887084"/>
    <w:rsid w:val="00887CBA"/>
    <w:rsid w:val="008908DE"/>
    <w:rsid w:val="008A327B"/>
    <w:rsid w:val="008A3B73"/>
    <w:rsid w:val="008A5D3F"/>
    <w:rsid w:val="008A68F6"/>
    <w:rsid w:val="008B2805"/>
    <w:rsid w:val="008B4FFB"/>
    <w:rsid w:val="008B6D5A"/>
    <w:rsid w:val="008B7FD0"/>
    <w:rsid w:val="008C0B91"/>
    <w:rsid w:val="008C13A0"/>
    <w:rsid w:val="008C2BFF"/>
    <w:rsid w:val="008C2D3D"/>
    <w:rsid w:val="008C2F6A"/>
    <w:rsid w:val="008C399D"/>
    <w:rsid w:val="008C7D0A"/>
    <w:rsid w:val="008D0AEF"/>
    <w:rsid w:val="008D37A4"/>
    <w:rsid w:val="008D3D53"/>
    <w:rsid w:val="008D3E73"/>
    <w:rsid w:val="008E0398"/>
    <w:rsid w:val="008E1B49"/>
    <w:rsid w:val="008E2DC4"/>
    <w:rsid w:val="008E3195"/>
    <w:rsid w:val="008F0B46"/>
    <w:rsid w:val="008F1781"/>
    <w:rsid w:val="008F36AC"/>
    <w:rsid w:val="008F3BB9"/>
    <w:rsid w:val="009006A8"/>
    <w:rsid w:val="0090137E"/>
    <w:rsid w:val="00903182"/>
    <w:rsid w:val="00903E2D"/>
    <w:rsid w:val="0090667B"/>
    <w:rsid w:val="009103F2"/>
    <w:rsid w:val="0091198D"/>
    <w:rsid w:val="00911F01"/>
    <w:rsid w:val="00912E44"/>
    <w:rsid w:val="0091375A"/>
    <w:rsid w:val="00916CD2"/>
    <w:rsid w:val="00920214"/>
    <w:rsid w:val="00922CF5"/>
    <w:rsid w:val="00924110"/>
    <w:rsid w:val="00927FC9"/>
    <w:rsid w:val="00930785"/>
    <w:rsid w:val="00930796"/>
    <w:rsid w:val="00930A74"/>
    <w:rsid w:val="00932CA8"/>
    <w:rsid w:val="00933792"/>
    <w:rsid w:val="00933A0D"/>
    <w:rsid w:val="00934B83"/>
    <w:rsid w:val="0093566F"/>
    <w:rsid w:val="00937CF5"/>
    <w:rsid w:val="009403B2"/>
    <w:rsid w:val="009427C3"/>
    <w:rsid w:val="00944BE5"/>
    <w:rsid w:val="00944E05"/>
    <w:rsid w:val="00946764"/>
    <w:rsid w:val="00951AB5"/>
    <w:rsid w:val="00951E78"/>
    <w:rsid w:val="009522D5"/>
    <w:rsid w:val="00953CEA"/>
    <w:rsid w:val="00953E16"/>
    <w:rsid w:val="00956F00"/>
    <w:rsid w:val="009625C1"/>
    <w:rsid w:val="00962F06"/>
    <w:rsid w:val="0096356B"/>
    <w:rsid w:val="009636D0"/>
    <w:rsid w:val="00965BCD"/>
    <w:rsid w:val="00966306"/>
    <w:rsid w:val="009675F2"/>
    <w:rsid w:val="009705CA"/>
    <w:rsid w:val="00970A82"/>
    <w:rsid w:val="00971FE2"/>
    <w:rsid w:val="00972EA5"/>
    <w:rsid w:val="00973AB7"/>
    <w:rsid w:val="009746C7"/>
    <w:rsid w:val="00975CB2"/>
    <w:rsid w:val="0097779E"/>
    <w:rsid w:val="0098126F"/>
    <w:rsid w:val="0098180C"/>
    <w:rsid w:val="00983BBB"/>
    <w:rsid w:val="00985459"/>
    <w:rsid w:val="0098624E"/>
    <w:rsid w:val="00990EC6"/>
    <w:rsid w:val="00991E49"/>
    <w:rsid w:val="00994C31"/>
    <w:rsid w:val="009952CD"/>
    <w:rsid w:val="009962B7"/>
    <w:rsid w:val="009A3F82"/>
    <w:rsid w:val="009A7D9C"/>
    <w:rsid w:val="009B0744"/>
    <w:rsid w:val="009B07E5"/>
    <w:rsid w:val="009B3D7E"/>
    <w:rsid w:val="009B608B"/>
    <w:rsid w:val="009C137A"/>
    <w:rsid w:val="009C69EC"/>
    <w:rsid w:val="009D27F7"/>
    <w:rsid w:val="009D2908"/>
    <w:rsid w:val="009D61E3"/>
    <w:rsid w:val="009E0212"/>
    <w:rsid w:val="009E0243"/>
    <w:rsid w:val="009E1257"/>
    <w:rsid w:val="009E1336"/>
    <w:rsid w:val="009E2695"/>
    <w:rsid w:val="009E3113"/>
    <w:rsid w:val="009E4133"/>
    <w:rsid w:val="009E4803"/>
    <w:rsid w:val="009E4814"/>
    <w:rsid w:val="009E7BBD"/>
    <w:rsid w:val="009F1AA2"/>
    <w:rsid w:val="009F1DA8"/>
    <w:rsid w:val="009F4C10"/>
    <w:rsid w:val="009F57BA"/>
    <w:rsid w:val="009F6089"/>
    <w:rsid w:val="00A0571C"/>
    <w:rsid w:val="00A071CB"/>
    <w:rsid w:val="00A11171"/>
    <w:rsid w:val="00A13AAD"/>
    <w:rsid w:val="00A20182"/>
    <w:rsid w:val="00A23EC2"/>
    <w:rsid w:val="00A26B41"/>
    <w:rsid w:val="00A26DC3"/>
    <w:rsid w:val="00A272D5"/>
    <w:rsid w:val="00A2766E"/>
    <w:rsid w:val="00A30E81"/>
    <w:rsid w:val="00A31813"/>
    <w:rsid w:val="00A325FA"/>
    <w:rsid w:val="00A3356F"/>
    <w:rsid w:val="00A33851"/>
    <w:rsid w:val="00A35113"/>
    <w:rsid w:val="00A408EB"/>
    <w:rsid w:val="00A415D2"/>
    <w:rsid w:val="00A42B2D"/>
    <w:rsid w:val="00A43C78"/>
    <w:rsid w:val="00A4504C"/>
    <w:rsid w:val="00A45207"/>
    <w:rsid w:val="00A47B66"/>
    <w:rsid w:val="00A503F4"/>
    <w:rsid w:val="00A54BE6"/>
    <w:rsid w:val="00A55F45"/>
    <w:rsid w:val="00A56609"/>
    <w:rsid w:val="00A62E70"/>
    <w:rsid w:val="00A62E9B"/>
    <w:rsid w:val="00A63820"/>
    <w:rsid w:val="00A6532E"/>
    <w:rsid w:val="00A67229"/>
    <w:rsid w:val="00A70653"/>
    <w:rsid w:val="00A7350D"/>
    <w:rsid w:val="00A76C0A"/>
    <w:rsid w:val="00A771CE"/>
    <w:rsid w:val="00A8486E"/>
    <w:rsid w:val="00A849C7"/>
    <w:rsid w:val="00A86BD3"/>
    <w:rsid w:val="00A87395"/>
    <w:rsid w:val="00A87DD8"/>
    <w:rsid w:val="00A917AF"/>
    <w:rsid w:val="00A979ED"/>
    <w:rsid w:val="00AA160A"/>
    <w:rsid w:val="00AA3857"/>
    <w:rsid w:val="00AA3E1C"/>
    <w:rsid w:val="00AA4C32"/>
    <w:rsid w:val="00AA6962"/>
    <w:rsid w:val="00AB171C"/>
    <w:rsid w:val="00AB2704"/>
    <w:rsid w:val="00AC00CD"/>
    <w:rsid w:val="00AC01F7"/>
    <w:rsid w:val="00AC0C4B"/>
    <w:rsid w:val="00AC1969"/>
    <w:rsid w:val="00AC20F9"/>
    <w:rsid w:val="00AC418E"/>
    <w:rsid w:val="00AC62B2"/>
    <w:rsid w:val="00AD2FED"/>
    <w:rsid w:val="00AD32A3"/>
    <w:rsid w:val="00AD4FD5"/>
    <w:rsid w:val="00AE0A1E"/>
    <w:rsid w:val="00AE1B55"/>
    <w:rsid w:val="00AE1E14"/>
    <w:rsid w:val="00AE3E27"/>
    <w:rsid w:val="00AE506E"/>
    <w:rsid w:val="00AE560C"/>
    <w:rsid w:val="00AE5E19"/>
    <w:rsid w:val="00AF0775"/>
    <w:rsid w:val="00AF28A8"/>
    <w:rsid w:val="00AF36E5"/>
    <w:rsid w:val="00AF7504"/>
    <w:rsid w:val="00B011C3"/>
    <w:rsid w:val="00B01379"/>
    <w:rsid w:val="00B07428"/>
    <w:rsid w:val="00B07CE4"/>
    <w:rsid w:val="00B10218"/>
    <w:rsid w:val="00B11480"/>
    <w:rsid w:val="00B13EA6"/>
    <w:rsid w:val="00B145C5"/>
    <w:rsid w:val="00B14A4E"/>
    <w:rsid w:val="00B21E24"/>
    <w:rsid w:val="00B21F14"/>
    <w:rsid w:val="00B22D5F"/>
    <w:rsid w:val="00B2312C"/>
    <w:rsid w:val="00B232E9"/>
    <w:rsid w:val="00B241AB"/>
    <w:rsid w:val="00B25842"/>
    <w:rsid w:val="00B2641B"/>
    <w:rsid w:val="00B31785"/>
    <w:rsid w:val="00B31D70"/>
    <w:rsid w:val="00B44EA5"/>
    <w:rsid w:val="00B4613D"/>
    <w:rsid w:val="00B47243"/>
    <w:rsid w:val="00B47D65"/>
    <w:rsid w:val="00B50A34"/>
    <w:rsid w:val="00B54568"/>
    <w:rsid w:val="00B54C9C"/>
    <w:rsid w:val="00B54E5E"/>
    <w:rsid w:val="00B550BB"/>
    <w:rsid w:val="00B613D2"/>
    <w:rsid w:val="00B62DFF"/>
    <w:rsid w:val="00B6470C"/>
    <w:rsid w:val="00B648F6"/>
    <w:rsid w:val="00B6542C"/>
    <w:rsid w:val="00B65C59"/>
    <w:rsid w:val="00B6772B"/>
    <w:rsid w:val="00B6774E"/>
    <w:rsid w:val="00B7016A"/>
    <w:rsid w:val="00B713FC"/>
    <w:rsid w:val="00B72734"/>
    <w:rsid w:val="00B72D4B"/>
    <w:rsid w:val="00B73480"/>
    <w:rsid w:val="00B755DC"/>
    <w:rsid w:val="00B80C92"/>
    <w:rsid w:val="00B81044"/>
    <w:rsid w:val="00B83FB1"/>
    <w:rsid w:val="00B8605F"/>
    <w:rsid w:val="00B91D8E"/>
    <w:rsid w:val="00B91E30"/>
    <w:rsid w:val="00B93BE6"/>
    <w:rsid w:val="00B93D33"/>
    <w:rsid w:val="00B97DF5"/>
    <w:rsid w:val="00BB10ED"/>
    <w:rsid w:val="00BB24B4"/>
    <w:rsid w:val="00BB771D"/>
    <w:rsid w:val="00BC273D"/>
    <w:rsid w:val="00BC6C8B"/>
    <w:rsid w:val="00BC6C9D"/>
    <w:rsid w:val="00BD0967"/>
    <w:rsid w:val="00BD1293"/>
    <w:rsid w:val="00BD1C23"/>
    <w:rsid w:val="00BD286A"/>
    <w:rsid w:val="00BD3041"/>
    <w:rsid w:val="00BD40BC"/>
    <w:rsid w:val="00BD512D"/>
    <w:rsid w:val="00BD60A7"/>
    <w:rsid w:val="00BD7B0F"/>
    <w:rsid w:val="00BE1995"/>
    <w:rsid w:val="00BE569B"/>
    <w:rsid w:val="00BE7879"/>
    <w:rsid w:val="00BF610D"/>
    <w:rsid w:val="00BF677D"/>
    <w:rsid w:val="00C02C2B"/>
    <w:rsid w:val="00C05444"/>
    <w:rsid w:val="00C06E4F"/>
    <w:rsid w:val="00C06F65"/>
    <w:rsid w:val="00C07438"/>
    <w:rsid w:val="00C07AFE"/>
    <w:rsid w:val="00C1270E"/>
    <w:rsid w:val="00C21978"/>
    <w:rsid w:val="00C21D20"/>
    <w:rsid w:val="00C25ED6"/>
    <w:rsid w:val="00C30748"/>
    <w:rsid w:val="00C30AA0"/>
    <w:rsid w:val="00C3373E"/>
    <w:rsid w:val="00C3612B"/>
    <w:rsid w:val="00C40E50"/>
    <w:rsid w:val="00C41CAB"/>
    <w:rsid w:val="00C441F3"/>
    <w:rsid w:val="00C502ED"/>
    <w:rsid w:val="00C509D8"/>
    <w:rsid w:val="00C51360"/>
    <w:rsid w:val="00C529BC"/>
    <w:rsid w:val="00C56A53"/>
    <w:rsid w:val="00C605C2"/>
    <w:rsid w:val="00C64748"/>
    <w:rsid w:val="00C676BF"/>
    <w:rsid w:val="00C676F5"/>
    <w:rsid w:val="00C719A4"/>
    <w:rsid w:val="00C736E2"/>
    <w:rsid w:val="00C73B10"/>
    <w:rsid w:val="00C73E71"/>
    <w:rsid w:val="00C74642"/>
    <w:rsid w:val="00C74EDD"/>
    <w:rsid w:val="00C76A5D"/>
    <w:rsid w:val="00C77108"/>
    <w:rsid w:val="00C77A99"/>
    <w:rsid w:val="00C77DDB"/>
    <w:rsid w:val="00C81BBF"/>
    <w:rsid w:val="00C832AE"/>
    <w:rsid w:val="00C86156"/>
    <w:rsid w:val="00C94384"/>
    <w:rsid w:val="00C95874"/>
    <w:rsid w:val="00C96AD3"/>
    <w:rsid w:val="00C97BE1"/>
    <w:rsid w:val="00CA112B"/>
    <w:rsid w:val="00CA1493"/>
    <w:rsid w:val="00CA249D"/>
    <w:rsid w:val="00CA546B"/>
    <w:rsid w:val="00CB4722"/>
    <w:rsid w:val="00CB68F1"/>
    <w:rsid w:val="00CC063E"/>
    <w:rsid w:val="00CC6F49"/>
    <w:rsid w:val="00CC750E"/>
    <w:rsid w:val="00CD3093"/>
    <w:rsid w:val="00CD47E0"/>
    <w:rsid w:val="00CD70CC"/>
    <w:rsid w:val="00CE2B7F"/>
    <w:rsid w:val="00CE2E47"/>
    <w:rsid w:val="00CE3CB5"/>
    <w:rsid w:val="00CE517F"/>
    <w:rsid w:val="00CF076F"/>
    <w:rsid w:val="00CF1208"/>
    <w:rsid w:val="00CF2671"/>
    <w:rsid w:val="00D01F29"/>
    <w:rsid w:val="00D03EBB"/>
    <w:rsid w:val="00D04E6C"/>
    <w:rsid w:val="00D0561E"/>
    <w:rsid w:val="00D06632"/>
    <w:rsid w:val="00D13E9C"/>
    <w:rsid w:val="00D149EF"/>
    <w:rsid w:val="00D169F6"/>
    <w:rsid w:val="00D175AE"/>
    <w:rsid w:val="00D21814"/>
    <w:rsid w:val="00D21BAD"/>
    <w:rsid w:val="00D23B0E"/>
    <w:rsid w:val="00D259BA"/>
    <w:rsid w:val="00D26927"/>
    <w:rsid w:val="00D30B17"/>
    <w:rsid w:val="00D3219B"/>
    <w:rsid w:val="00D32E3B"/>
    <w:rsid w:val="00D347D6"/>
    <w:rsid w:val="00D37861"/>
    <w:rsid w:val="00D4496B"/>
    <w:rsid w:val="00D45491"/>
    <w:rsid w:val="00D52D51"/>
    <w:rsid w:val="00D55BB7"/>
    <w:rsid w:val="00D5723A"/>
    <w:rsid w:val="00D6049C"/>
    <w:rsid w:val="00D60AF2"/>
    <w:rsid w:val="00D63203"/>
    <w:rsid w:val="00D709B4"/>
    <w:rsid w:val="00D71AAE"/>
    <w:rsid w:val="00D7234C"/>
    <w:rsid w:val="00D72808"/>
    <w:rsid w:val="00D72C48"/>
    <w:rsid w:val="00D7462A"/>
    <w:rsid w:val="00D74DEF"/>
    <w:rsid w:val="00D75616"/>
    <w:rsid w:val="00D76F45"/>
    <w:rsid w:val="00D80173"/>
    <w:rsid w:val="00D86E70"/>
    <w:rsid w:val="00D91809"/>
    <w:rsid w:val="00D93E81"/>
    <w:rsid w:val="00D947A5"/>
    <w:rsid w:val="00D9530F"/>
    <w:rsid w:val="00D954F7"/>
    <w:rsid w:val="00D95671"/>
    <w:rsid w:val="00D95F93"/>
    <w:rsid w:val="00D96208"/>
    <w:rsid w:val="00D96AA6"/>
    <w:rsid w:val="00DA18E5"/>
    <w:rsid w:val="00DA348A"/>
    <w:rsid w:val="00DB03B1"/>
    <w:rsid w:val="00DB1419"/>
    <w:rsid w:val="00DB1591"/>
    <w:rsid w:val="00DB30BA"/>
    <w:rsid w:val="00DB3160"/>
    <w:rsid w:val="00DB397F"/>
    <w:rsid w:val="00DB475F"/>
    <w:rsid w:val="00DB4CFF"/>
    <w:rsid w:val="00DB59E6"/>
    <w:rsid w:val="00DB7655"/>
    <w:rsid w:val="00DC3598"/>
    <w:rsid w:val="00DC3BDE"/>
    <w:rsid w:val="00DC5F8B"/>
    <w:rsid w:val="00DC6380"/>
    <w:rsid w:val="00DC6BAF"/>
    <w:rsid w:val="00DD596F"/>
    <w:rsid w:val="00DD6431"/>
    <w:rsid w:val="00DE582E"/>
    <w:rsid w:val="00DE640C"/>
    <w:rsid w:val="00DF05D4"/>
    <w:rsid w:val="00DF0644"/>
    <w:rsid w:val="00DF0C25"/>
    <w:rsid w:val="00DF12C5"/>
    <w:rsid w:val="00DF2B0D"/>
    <w:rsid w:val="00DF3B26"/>
    <w:rsid w:val="00DF3C77"/>
    <w:rsid w:val="00DF53C3"/>
    <w:rsid w:val="00E00F25"/>
    <w:rsid w:val="00E0132F"/>
    <w:rsid w:val="00E01393"/>
    <w:rsid w:val="00E05857"/>
    <w:rsid w:val="00E07130"/>
    <w:rsid w:val="00E12809"/>
    <w:rsid w:val="00E147E2"/>
    <w:rsid w:val="00E14DB0"/>
    <w:rsid w:val="00E16634"/>
    <w:rsid w:val="00E21B52"/>
    <w:rsid w:val="00E223F6"/>
    <w:rsid w:val="00E22885"/>
    <w:rsid w:val="00E22F0E"/>
    <w:rsid w:val="00E30404"/>
    <w:rsid w:val="00E32858"/>
    <w:rsid w:val="00E44DD5"/>
    <w:rsid w:val="00E47554"/>
    <w:rsid w:val="00E50E8A"/>
    <w:rsid w:val="00E521AB"/>
    <w:rsid w:val="00E53EB4"/>
    <w:rsid w:val="00E56D3D"/>
    <w:rsid w:val="00E57428"/>
    <w:rsid w:val="00E662CA"/>
    <w:rsid w:val="00E66CB6"/>
    <w:rsid w:val="00E67DE9"/>
    <w:rsid w:val="00E70E7A"/>
    <w:rsid w:val="00E72680"/>
    <w:rsid w:val="00E73ABF"/>
    <w:rsid w:val="00E76F3A"/>
    <w:rsid w:val="00E81267"/>
    <w:rsid w:val="00E82750"/>
    <w:rsid w:val="00E8589E"/>
    <w:rsid w:val="00E90622"/>
    <w:rsid w:val="00E90688"/>
    <w:rsid w:val="00E91407"/>
    <w:rsid w:val="00E93790"/>
    <w:rsid w:val="00E93F79"/>
    <w:rsid w:val="00E942BE"/>
    <w:rsid w:val="00EA2144"/>
    <w:rsid w:val="00EA226B"/>
    <w:rsid w:val="00EA4CB5"/>
    <w:rsid w:val="00EA6CD0"/>
    <w:rsid w:val="00EB23DE"/>
    <w:rsid w:val="00EB38B0"/>
    <w:rsid w:val="00EB4EB5"/>
    <w:rsid w:val="00EB510C"/>
    <w:rsid w:val="00EB55B9"/>
    <w:rsid w:val="00EB5B7A"/>
    <w:rsid w:val="00EB5C94"/>
    <w:rsid w:val="00EB6B77"/>
    <w:rsid w:val="00EC08CE"/>
    <w:rsid w:val="00EC0F95"/>
    <w:rsid w:val="00EC1F0E"/>
    <w:rsid w:val="00EC2AEA"/>
    <w:rsid w:val="00EC418C"/>
    <w:rsid w:val="00EC518E"/>
    <w:rsid w:val="00EC772C"/>
    <w:rsid w:val="00EC7F53"/>
    <w:rsid w:val="00ED188C"/>
    <w:rsid w:val="00ED1CDC"/>
    <w:rsid w:val="00ED2AE9"/>
    <w:rsid w:val="00ED47DB"/>
    <w:rsid w:val="00ED598C"/>
    <w:rsid w:val="00ED666D"/>
    <w:rsid w:val="00EE029A"/>
    <w:rsid w:val="00EE1A70"/>
    <w:rsid w:val="00EE465D"/>
    <w:rsid w:val="00EF16F5"/>
    <w:rsid w:val="00EF528E"/>
    <w:rsid w:val="00EF5512"/>
    <w:rsid w:val="00EF5E5B"/>
    <w:rsid w:val="00EF6B62"/>
    <w:rsid w:val="00EF6D6A"/>
    <w:rsid w:val="00EF6DB9"/>
    <w:rsid w:val="00F02074"/>
    <w:rsid w:val="00F0232C"/>
    <w:rsid w:val="00F04425"/>
    <w:rsid w:val="00F07BFC"/>
    <w:rsid w:val="00F12AFC"/>
    <w:rsid w:val="00F16C59"/>
    <w:rsid w:val="00F17676"/>
    <w:rsid w:val="00F17C81"/>
    <w:rsid w:val="00F2133A"/>
    <w:rsid w:val="00F21574"/>
    <w:rsid w:val="00F25166"/>
    <w:rsid w:val="00F25262"/>
    <w:rsid w:val="00F259FB"/>
    <w:rsid w:val="00F30FEF"/>
    <w:rsid w:val="00F31126"/>
    <w:rsid w:val="00F31567"/>
    <w:rsid w:val="00F31FF4"/>
    <w:rsid w:val="00F32794"/>
    <w:rsid w:val="00F35989"/>
    <w:rsid w:val="00F37807"/>
    <w:rsid w:val="00F4260E"/>
    <w:rsid w:val="00F427DB"/>
    <w:rsid w:val="00F4546D"/>
    <w:rsid w:val="00F461BC"/>
    <w:rsid w:val="00F470C3"/>
    <w:rsid w:val="00F476E5"/>
    <w:rsid w:val="00F534EE"/>
    <w:rsid w:val="00F53D7F"/>
    <w:rsid w:val="00F55426"/>
    <w:rsid w:val="00F5643D"/>
    <w:rsid w:val="00F61F26"/>
    <w:rsid w:val="00F64887"/>
    <w:rsid w:val="00F658B2"/>
    <w:rsid w:val="00F66720"/>
    <w:rsid w:val="00F70020"/>
    <w:rsid w:val="00F73934"/>
    <w:rsid w:val="00F73D87"/>
    <w:rsid w:val="00F74D53"/>
    <w:rsid w:val="00F76911"/>
    <w:rsid w:val="00F80C33"/>
    <w:rsid w:val="00F811C4"/>
    <w:rsid w:val="00F834B3"/>
    <w:rsid w:val="00F83657"/>
    <w:rsid w:val="00F849B1"/>
    <w:rsid w:val="00F90FE8"/>
    <w:rsid w:val="00F916BF"/>
    <w:rsid w:val="00F92AF7"/>
    <w:rsid w:val="00F93702"/>
    <w:rsid w:val="00F9465B"/>
    <w:rsid w:val="00F96780"/>
    <w:rsid w:val="00FA2066"/>
    <w:rsid w:val="00FA4B67"/>
    <w:rsid w:val="00FB0685"/>
    <w:rsid w:val="00FB33B4"/>
    <w:rsid w:val="00FB436D"/>
    <w:rsid w:val="00FB7C51"/>
    <w:rsid w:val="00FC04CF"/>
    <w:rsid w:val="00FC204B"/>
    <w:rsid w:val="00FC4FD8"/>
    <w:rsid w:val="00FC6626"/>
    <w:rsid w:val="00FC68B2"/>
    <w:rsid w:val="00FC7EFA"/>
    <w:rsid w:val="00FD292C"/>
    <w:rsid w:val="00FD442A"/>
    <w:rsid w:val="00FD46F6"/>
    <w:rsid w:val="00FD4859"/>
    <w:rsid w:val="00FD6802"/>
    <w:rsid w:val="00FD78F1"/>
    <w:rsid w:val="00FE06A8"/>
    <w:rsid w:val="00FE08D2"/>
    <w:rsid w:val="00FE08D3"/>
    <w:rsid w:val="00FE08E8"/>
    <w:rsid w:val="00FE30DC"/>
    <w:rsid w:val="00FE34DF"/>
    <w:rsid w:val="00FE50F9"/>
    <w:rsid w:val="00FE6554"/>
    <w:rsid w:val="00FE6775"/>
    <w:rsid w:val="00FF314D"/>
    <w:rsid w:val="00FF3E3D"/>
    <w:rsid w:val="00FF4B01"/>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character" w:customStyle="1" w:styleId="ListParagraphChar">
    <w:name w:val="List Paragraph Char"/>
    <w:link w:val="ListParagraph"/>
    <w:uiPriority w:val="34"/>
    <w:locked/>
    <w:rsid w:val="003460E1"/>
    <w:rPr>
      <w:lang w:val="x-none" w:eastAsia="x-none"/>
    </w:rPr>
  </w:style>
  <w:style w:type="paragraph" w:styleId="ListParagraph">
    <w:name w:val="List Paragraph"/>
    <w:basedOn w:val="Normal"/>
    <w:link w:val="ListParagraphChar"/>
    <w:uiPriority w:val="34"/>
    <w:qFormat/>
    <w:rsid w:val="003460E1"/>
    <w:pPr>
      <w:ind w:left="720"/>
      <w:contextualSpacing/>
    </w:pPr>
    <w:rPr>
      <w:sz w:val="20"/>
      <w:szCs w:val="20"/>
      <w:lang w:val="x-none" w:eastAsia="x-none"/>
    </w:rPr>
  </w:style>
  <w:style w:type="paragraph" w:styleId="FootnoteText">
    <w:name w:val="footnote text"/>
    <w:basedOn w:val="Normal"/>
    <w:link w:val="FootnoteTextChar"/>
    <w:uiPriority w:val="99"/>
    <w:semiHidden/>
    <w:unhideWhenUsed/>
    <w:rsid w:val="003460E1"/>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3460E1"/>
    <w:rPr>
      <w:rFonts w:eastAsia="Times New Roman"/>
      <w:lang w:val="lv-LV"/>
    </w:rPr>
  </w:style>
  <w:style w:type="character" w:styleId="FootnoteReference">
    <w:name w:val="footnote reference"/>
    <w:basedOn w:val="DefaultParagraphFont"/>
    <w:uiPriority w:val="99"/>
    <w:semiHidden/>
    <w:unhideWhenUsed/>
    <w:rsid w:val="003460E1"/>
    <w:rPr>
      <w:vertAlign w:val="superscript"/>
    </w:rPr>
  </w:style>
  <w:style w:type="character" w:styleId="Strong">
    <w:name w:val="Strong"/>
    <w:basedOn w:val="DefaultParagraphFont"/>
    <w:uiPriority w:val="22"/>
    <w:qFormat/>
    <w:rsid w:val="004B623D"/>
    <w:rPr>
      <w:b/>
      <w:bCs/>
    </w:rPr>
  </w:style>
  <w:style w:type="table" w:styleId="TableGrid">
    <w:name w:val="Table Grid"/>
    <w:basedOn w:val="TableNormal"/>
    <w:uiPriority w:val="39"/>
    <w:rsid w:val="0032115E"/>
    <w:rPr>
      <w:rFonts w:asciiTheme="minorHAnsi" w:eastAsiaTheme="minorHAnsi" w:hAnsiTheme="minorHAnsi" w:cstheme="minorBidi"/>
      <w:sz w:val="22"/>
      <w:szCs w:val="22"/>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rsid w:val="007B4613"/>
    <w:pPr>
      <w:spacing w:before="75" w:after="75" w:line="240" w:lineRule="auto"/>
      <w:jc w:val="center"/>
    </w:pPr>
    <w:rPr>
      <w:rFonts w:ascii="Times New Roman" w:eastAsia="Times New Roman" w:hAnsi="Times New Roman"/>
      <w:color w:val="000000"/>
      <w:sz w:val="24"/>
      <w:szCs w:val="24"/>
      <w:lang w:eastAsia="lv-LV"/>
    </w:rPr>
  </w:style>
  <w:style w:type="paragraph" w:customStyle="1" w:styleId="Default">
    <w:name w:val="Default"/>
    <w:rsid w:val="00835AEA"/>
    <w:pPr>
      <w:autoSpaceDE w:val="0"/>
      <w:autoSpaceDN w:val="0"/>
      <w:adjustRightInd w:val="0"/>
    </w:pPr>
    <w:rPr>
      <w:rFonts w:ascii="Times New Roman" w:eastAsiaTheme="minorHAnsi" w:hAnsi="Times New Roman"/>
      <w:color w:val="000000"/>
      <w:sz w:val="24"/>
      <w:szCs w:val="24"/>
      <w:lang w:val="lv-LV"/>
    </w:rPr>
  </w:style>
  <w:style w:type="paragraph" w:customStyle="1" w:styleId="Normal1">
    <w:name w:val="Normal1"/>
    <w:basedOn w:val="Normal"/>
    <w:rsid w:val="00D91809"/>
    <w:pPr>
      <w:spacing w:before="100" w:beforeAutospacing="1" w:after="100" w:afterAutospacing="1" w:line="240" w:lineRule="auto"/>
    </w:pPr>
    <w:rPr>
      <w:rFonts w:ascii="Times New Roman" w:eastAsiaTheme="minorHAnsi" w:hAnsi="Times New Roman"/>
      <w:sz w:val="24"/>
      <w:szCs w:val="24"/>
      <w:lang w:eastAsia="lv-LV"/>
    </w:rPr>
  </w:style>
  <w:style w:type="character" w:customStyle="1" w:styleId="apple-converted-space">
    <w:name w:val="apple-converted-space"/>
    <w:basedOn w:val="DefaultParagraphFont"/>
    <w:rsid w:val="00D91809"/>
  </w:style>
  <w:style w:type="character" w:customStyle="1" w:styleId="italic">
    <w:name w:val="italic"/>
    <w:basedOn w:val="DefaultParagraphFont"/>
    <w:rsid w:val="00D91809"/>
  </w:style>
  <w:style w:type="paragraph" w:styleId="BodyText2">
    <w:name w:val="Body Text 2"/>
    <w:basedOn w:val="Normal"/>
    <w:link w:val="BodyText2Char"/>
    <w:rsid w:val="003750F2"/>
    <w:pPr>
      <w:spacing w:after="0" w:line="240" w:lineRule="auto"/>
      <w:jc w:val="center"/>
    </w:pPr>
    <w:rPr>
      <w:rFonts w:ascii="Times New Roman" w:eastAsia="Times New Roman" w:hAnsi="Times New Roman"/>
      <w:sz w:val="24"/>
      <w:szCs w:val="20"/>
      <w:lang w:val="x-none" w:eastAsia="x-none"/>
    </w:rPr>
  </w:style>
  <w:style w:type="character" w:customStyle="1" w:styleId="BodyText2Char">
    <w:name w:val="Body Text 2 Char"/>
    <w:basedOn w:val="DefaultParagraphFont"/>
    <w:link w:val="BodyText2"/>
    <w:rsid w:val="003750F2"/>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82">
      <w:bodyDiv w:val="1"/>
      <w:marLeft w:val="0"/>
      <w:marRight w:val="0"/>
      <w:marTop w:val="0"/>
      <w:marBottom w:val="0"/>
      <w:divBdr>
        <w:top w:val="none" w:sz="0" w:space="0" w:color="auto"/>
        <w:left w:val="none" w:sz="0" w:space="0" w:color="auto"/>
        <w:bottom w:val="none" w:sz="0" w:space="0" w:color="auto"/>
        <w:right w:val="none" w:sz="0" w:space="0" w:color="auto"/>
      </w:divBdr>
      <w:divsChild>
        <w:div w:id="418260981">
          <w:marLeft w:val="0"/>
          <w:marRight w:val="0"/>
          <w:marTop w:val="0"/>
          <w:marBottom w:val="0"/>
          <w:divBdr>
            <w:top w:val="none" w:sz="0" w:space="0" w:color="auto"/>
            <w:left w:val="none" w:sz="0" w:space="0" w:color="auto"/>
            <w:bottom w:val="none" w:sz="0" w:space="0" w:color="auto"/>
            <w:right w:val="none" w:sz="0" w:space="0" w:color="auto"/>
          </w:divBdr>
          <w:divsChild>
            <w:div w:id="1466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1728">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327294927">
      <w:bodyDiv w:val="1"/>
      <w:marLeft w:val="0"/>
      <w:marRight w:val="0"/>
      <w:marTop w:val="0"/>
      <w:marBottom w:val="0"/>
      <w:divBdr>
        <w:top w:val="none" w:sz="0" w:space="0" w:color="auto"/>
        <w:left w:val="none" w:sz="0" w:space="0" w:color="auto"/>
        <w:bottom w:val="none" w:sz="0" w:space="0" w:color="auto"/>
        <w:right w:val="none" w:sz="0" w:space="0" w:color="auto"/>
      </w:divBdr>
    </w:div>
    <w:div w:id="467089349">
      <w:bodyDiv w:val="1"/>
      <w:marLeft w:val="0"/>
      <w:marRight w:val="0"/>
      <w:marTop w:val="0"/>
      <w:marBottom w:val="0"/>
      <w:divBdr>
        <w:top w:val="none" w:sz="0" w:space="0" w:color="auto"/>
        <w:left w:val="none" w:sz="0" w:space="0" w:color="auto"/>
        <w:bottom w:val="none" w:sz="0" w:space="0" w:color="auto"/>
        <w:right w:val="none" w:sz="0" w:space="0" w:color="auto"/>
      </w:divBdr>
      <w:divsChild>
        <w:div w:id="1925991323">
          <w:marLeft w:val="0"/>
          <w:marRight w:val="0"/>
          <w:marTop w:val="0"/>
          <w:marBottom w:val="0"/>
          <w:divBdr>
            <w:top w:val="none" w:sz="0" w:space="0" w:color="auto"/>
            <w:left w:val="none" w:sz="0" w:space="0" w:color="auto"/>
            <w:bottom w:val="none" w:sz="0" w:space="0" w:color="auto"/>
            <w:right w:val="none" w:sz="0" w:space="0" w:color="auto"/>
          </w:divBdr>
          <w:divsChild>
            <w:div w:id="659038980">
              <w:marLeft w:val="0"/>
              <w:marRight w:val="0"/>
              <w:marTop w:val="0"/>
              <w:marBottom w:val="0"/>
              <w:divBdr>
                <w:top w:val="none" w:sz="0" w:space="0" w:color="auto"/>
                <w:left w:val="none" w:sz="0" w:space="0" w:color="auto"/>
                <w:bottom w:val="none" w:sz="0" w:space="0" w:color="auto"/>
                <w:right w:val="none" w:sz="0" w:space="0" w:color="auto"/>
              </w:divBdr>
              <w:divsChild>
                <w:div w:id="787773956">
                  <w:marLeft w:val="0"/>
                  <w:marRight w:val="0"/>
                  <w:marTop w:val="0"/>
                  <w:marBottom w:val="0"/>
                  <w:divBdr>
                    <w:top w:val="none" w:sz="0" w:space="0" w:color="auto"/>
                    <w:left w:val="none" w:sz="0" w:space="0" w:color="auto"/>
                    <w:bottom w:val="none" w:sz="0" w:space="0" w:color="auto"/>
                    <w:right w:val="none" w:sz="0" w:space="0" w:color="auto"/>
                  </w:divBdr>
                  <w:divsChild>
                    <w:div w:id="1734085460">
                      <w:marLeft w:val="3600"/>
                      <w:marRight w:val="0"/>
                      <w:marTop w:val="0"/>
                      <w:marBottom w:val="720"/>
                      <w:divBdr>
                        <w:top w:val="none" w:sz="0" w:space="0" w:color="auto"/>
                        <w:left w:val="none" w:sz="0" w:space="0" w:color="auto"/>
                        <w:bottom w:val="none" w:sz="0" w:space="0" w:color="auto"/>
                        <w:right w:val="none" w:sz="0" w:space="0" w:color="auto"/>
                      </w:divBdr>
                      <w:divsChild>
                        <w:div w:id="11947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05408">
      <w:bodyDiv w:val="1"/>
      <w:marLeft w:val="0"/>
      <w:marRight w:val="0"/>
      <w:marTop w:val="0"/>
      <w:marBottom w:val="0"/>
      <w:divBdr>
        <w:top w:val="none" w:sz="0" w:space="0" w:color="auto"/>
        <w:left w:val="none" w:sz="0" w:space="0" w:color="auto"/>
        <w:bottom w:val="none" w:sz="0" w:space="0" w:color="auto"/>
        <w:right w:val="none" w:sz="0" w:space="0" w:color="auto"/>
      </w:divBdr>
    </w:div>
    <w:div w:id="551119365">
      <w:bodyDiv w:val="1"/>
      <w:marLeft w:val="0"/>
      <w:marRight w:val="0"/>
      <w:marTop w:val="0"/>
      <w:marBottom w:val="0"/>
      <w:divBdr>
        <w:top w:val="none" w:sz="0" w:space="0" w:color="auto"/>
        <w:left w:val="none" w:sz="0" w:space="0" w:color="auto"/>
        <w:bottom w:val="none" w:sz="0" w:space="0" w:color="auto"/>
        <w:right w:val="none" w:sz="0" w:space="0" w:color="auto"/>
      </w:divBdr>
      <w:divsChild>
        <w:div w:id="1503860955">
          <w:marLeft w:val="0"/>
          <w:marRight w:val="0"/>
          <w:marTop w:val="0"/>
          <w:marBottom w:val="0"/>
          <w:divBdr>
            <w:top w:val="none" w:sz="0" w:space="0" w:color="auto"/>
            <w:left w:val="none" w:sz="0" w:space="0" w:color="auto"/>
            <w:bottom w:val="none" w:sz="0" w:space="0" w:color="auto"/>
            <w:right w:val="none" w:sz="0" w:space="0" w:color="auto"/>
          </w:divBdr>
          <w:divsChild>
            <w:div w:id="12250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267">
      <w:bodyDiv w:val="1"/>
      <w:marLeft w:val="0"/>
      <w:marRight w:val="0"/>
      <w:marTop w:val="0"/>
      <w:marBottom w:val="0"/>
      <w:divBdr>
        <w:top w:val="none" w:sz="0" w:space="0" w:color="auto"/>
        <w:left w:val="none" w:sz="0" w:space="0" w:color="auto"/>
        <w:bottom w:val="none" w:sz="0" w:space="0" w:color="auto"/>
        <w:right w:val="none" w:sz="0" w:space="0" w:color="auto"/>
      </w:divBdr>
      <w:divsChild>
        <w:div w:id="482622503">
          <w:marLeft w:val="0"/>
          <w:marRight w:val="0"/>
          <w:marTop w:val="0"/>
          <w:marBottom w:val="0"/>
          <w:divBdr>
            <w:top w:val="none" w:sz="0" w:space="0" w:color="auto"/>
            <w:left w:val="none" w:sz="0" w:space="0" w:color="auto"/>
            <w:bottom w:val="none" w:sz="0" w:space="0" w:color="auto"/>
            <w:right w:val="none" w:sz="0" w:space="0" w:color="auto"/>
          </w:divBdr>
          <w:divsChild>
            <w:div w:id="20647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2280">
      <w:bodyDiv w:val="1"/>
      <w:marLeft w:val="0"/>
      <w:marRight w:val="0"/>
      <w:marTop w:val="0"/>
      <w:marBottom w:val="0"/>
      <w:divBdr>
        <w:top w:val="none" w:sz="0" w:space="0" w:color="auto"/>
        <w:left w:val="none" w:sz="0" w:space="0" w:color="auto"/>
        <w:bottom w:val="none" w:sz="0" w:space="0" w:color="auto"/>
        <w:right w:val="none" w:sz="0" w:space="0" w:color="auto"/>
      </w:divBdr>
    </w:div>
    <w:div w:id="918517010">
      <w:bodyDiv w:val="1"/>
      <w:marLeft w:val="0"/>
      <w:marRight w:val="0"/>
      <w:marTop w:val="0"/>
      <w:marBottom w:val="0"/>
      <w:divBdr>
        <w:top w:val="none" w:sz="0" w:space="0" w:color="auto"/>
        <w:left w:val="none" w:sz="0" w:space="0" w:color="auto"/>
        <w:bottom w:val="none" w:sz="0" w:space="0" w:color="auto"/>
        <w:right w:val="none" w:sz="0" w:space="0" w:color="auto"/>
      </w:divBdr>
    </w:div>
    <w:div w:id="1193765497">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08022">
      <w:bodyDiv w:val="1"/>
      <w:marLeft w:val="0"/>
      <w:marRight w:val="0"/>
      <w:marTop w:val="0"/>
      <w:marBottom w:val="0"/>
      <w:divBdr>
        <w:top w:val="none" w:sz="0" w:space="0" w:color="auto"/>
        <w:left w:val="none" w:sz="0" w:space="0" w:color="auto"/>
        <w:bottom w:val="none" w:sz="0" w:space="0" w:color="auto"/>
        <w:right w:val="none" w:sz="0" w:space="0" w:color="auto"/>
      </w:divBdr>
    </w:div>
    <w:div w:id="1666088224">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atwork/applying-eu-law/index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A3C9-55BC-4CAD-8D92-EA6E3CEB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38666</Words>
  <Characters>22041</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2003.gada 10.jūnija noteikumos Nr.298 „Kārtība, kādā pretendents sedz izdevumus, kas saistīti ar personas profesionālās kvalifikācijas atzīšanu”” sākotnējās ietekmes novērtējuma ziņojums (a</vt:lpstr>
    </vt:vector>
  </TitlesOfParts>
  <Company>IZM</Company>
  <LinksUpToDate>false</LinksUpToDate>
  <CharactersWithSpaces>60586</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2003.gada 10.jūnija noteikumos Nr.298 „Kārtība, kādā pretendents sedz izdevumus, kas saistīti ar personas profesionālās kvalifikācijas atzīšanu”” sākotnējās ietekmes novērtējuma ziņojums (anotācija)</dc:title>
  <dc:subject>Noteikumu projekta anotācija</dc:subject>
  <dc:creator>Inese Stūre</dc:creator>
  <cp:keywords/>
  <dc:description>tel.:67047899; e-pasts: Inese.Sture@izm.gov.lv</dc:description>
  <cp:lastModifiedBy>Inese Stūre</cp:lastModifiedBy>
  <cp:revision>105</cp:revision>
  <cp:lastPrinted>2016-05-24T07:35:00Z</cp:lastPrinted>
  <dcterms:created xsi:type="dcterms:W3CDTF">2016-03-31T13:24:00Z</dcterms:created>
  <dcterms:modified xsi:type="dcterms:W3CDTF">2016-06-22T06:00:00Z</dcterms:modified>
</cp:coreProperties>
</file>