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77" w:rsidRDefault="00313077" w:rsidP="00313077">
      <w:pPr>
        <w:jc w:val="right"/>
        <w:rPr>
          <w:rFonts w:ascii="Times New Roman" w:hAnsi="Times New Roman"/>
          <w:sz w:val="24"/>
          <w:szCs w:val="24"/>
        </w:rPr>
      </w:pPr>
      <w:bookmarkStart w:id="0" w:name="_Toc444524473"/>
      <w:r w:rsidRPr="00C324FE">
        <w:rPr>
          <w:rFonts w:ascii="Times New Roman" w:hAnsi="Times New Roman"/>
          <w:sz w:val="24"/>
          <w:szCs w:val="24"/>
        </w:rPr>
        <w:t xml:space="preserve">Informatīvā ziņojuma “Par pētniecības un inovācijas </w:t>
      </w:r>
    </w:p>
    <w:p w:rsidR="00313077" w:rsidRDefault="00313077" w:rsidP="00313077">
      <w:pPr>
        <w:ind w:left="0"/>
        <w:jc w:val="right"/>
        <w:rPr>
          <w:rFonts w:ascii="Times New Roman" w:hAnsi="Times New Roman"/>
          <w:sz w:val="24"/>
          <w:szCs w:val="24"/>
        </w:rPr>
      </w:pPr>
      <w:r w:rsidRPr="00C324FE">
        <w:rPr>
          <w:rFonts w:ascii="Times New Roman" w:hAnsi="Times New Roman"/>
          <w:sz w:val="24"/>
          <w:szCs w:val="24"/>
        </w:rPr>
        <w:t xml:space="preserve">infrastruktūras un pētnieciskās darbības koncentrācijas </w:t>
      </w:r>
    </w:p>
    <w:p w:rsidR="00313077" w:rsidRPr="00C324FE" w:rsidRDefault="00313077" w:rsidP="00313077">
      <w:pPr>
        <w:ind w:left="0"/>
        <w:jc w:val="right"/>
        <w:rPr>
          <w:rFonts w:ascii="Times New Roman" w:hAnsi="Times New Roman"/>
          <w:b/>
          <w:sz w:val="24"/>
          <w:szCs w:val="24"/>
        </w:rPr>
      </w:pPr>
      <w:r w:rsidRPr="00C324FE">
        <w:rPr>
          <w:rFonts w:ascii="Times New Roman" w:hAnsi="Times New Roman"/>
          <w:sz w:val="24"/>
          <w:szCs w:val="24"/>
        </w:rPr>
        <w:t xml:space="preserve">teritoriālo kartējumu” </w:t>
      </w:r>
      <w:r w:rsidR="006C026C">
        <w:rPr>
          <w:rFonts w:ascii="Times New Roman" w:hAnsi="Times New Roman"/>
          <w:sz w:val="24"/>
          <w:szCs w:val="24"/>
        </w:rPr>
        <w:t>13</w:t>
      </w:r>
      <w:r w:rsidR="00FA1FB6">
        <w:rPr>
          <w:rFonts w:ascii="Times New Roman" w:hAnsi="Times New Roman"/>
          <w:sz w:val="24"/>
          <w:szCs w:val="24"/>
        </w:rPr>
        <w:t>.</w:t>
      </w:r>
      <w:r w:rsidR="007B1142">
        <w:rPr>
          <w:rFonts w:ascii="Times New Roman" w:hAnsi="Times New Roman"/>
          <w:sz w:val="24"/>
          <w:szCs w:val="24"/>
        </w:rPr>
        <w:t> </w:t>
      </w:r>
      <w:r w:rsidRPr="00C324FE">
        <w:rPr>
          <w:rFonts w:ascii="Times New Roman" w:hAnsi="Times New Roman"/>
          <w:sz w:val="24"/>
          <w:szCs w:val="24"/>
        </w:rPr>
        <w:t>pielikums</w:t>
      </w:r>
    </w:p>
    <w:p w:rsidR="00D940C5" w:rsidRDefault="00D940C5" w:rsidP="00DF7C9E">
      <w:pPr>
        <w:pStyle w:val="Heading1"/>
        <w:tabs>
          <w:tab w:val="left" w:pos="993"/>
        </w:tabs>
        <w:spacing w:after="240"/>
        <w:jc w:val="center"/>
        <w:rPr>
          <w:rFonts w:ascii="Times New Roman" w:hAnsi="Times New Roman"/>
          <w:color w:val="auto"/>
          <w:sz w:val="24"/>
          <w:szCs w:val="24"/>
        </w:rPr>
      </w:pPr>
      <w:r w:rsidRPr="00D940C5">
        <w:rPr>
          <w:rFonts w:ascii="Times New Roman" w:hAnsi="Times New Roman"/>
          <w:color w:val="auto"/>
          <w:sz w:val="24"/>
          <w:szCs w:val="24"/>
        </w:rPr>
        <w:t>Pētniecības, tehnoloģijas attīstības un inovāciju infrastruktūra Lietuvā un Igaunijā</w:t>
      </w:r>
    </w:p>
    <w:p w:rsidR="004A156B" w:rsidRPr="00C07278" w:rsidRDefault="004A156B" w:rsidP="0002393A">
      <w:pPr>
        <w:pStyle w:val="Heading1"/>
        <w:numPr>
          <w:ilvl w:val="0"/>
          <w:numId w:val="7"/>
        </w:numPr>
        <w:tabs>
          <w:tab w:val="left" w:pos="993"/>
        </w:tabs>
        <w:spacing w:before="240" w:after="240"/>
        <w:ind w:left="426" w:hanging="357"/>
        <w:jc w:val="center"/>
        <w:rPr>
          <w:rFonts w:ascii="Times New Roman" w:hAnsi="Times New Roman"/>
          <w:color w:val="auto"/>
          <w:sz w:val="24"/>
          <w:szCs w:val="24"/>
        </w:rPr>
      </w:pPr>
      <w:r w:rsidRPr="00C07278">
        <w:rPr>
          <w:rFonts w:ascii="Times New Roman" w:hAnsi="Times New Roman"/>
          <w:color w:val="auto"/>
          <w:sz w:val="24"/>
          <w:szCs w:val="24"/>
        </w:rPr>
        <w:t>Pētniecības infrastruktūra Lietuvā</w:t>
      </w:r>
      <w:bookmarkEnd w:id="0"/>
    </w:p>
    <w:p w:rsidR="004A156B" w:rsidRPr="00C07278" w:rsidRDefault="004A156B" w:rsidP="00B07018">
      <w:pPr>
        <w:tabs>
          <w:tab w:val="left" w:pos="0"/>
          <w:tab w:val="left" w:pos="567"/>
        </w:tabs>
        <w:ind w:left="0"/>
        <w:rPr>
          <w:rFonts w:ascii="Times New Roman" w:hAnsi="Times New Roman"/>
          <w:color w:val="000000"/>
          <w:sz w:val="24"/>
          <w:szCs w:val="24"/>
          <w:lang w:eastAsia="lv-LV"/>
        </w:rPr>
      </w:pPr>
      <w:r w:rsidRPr="00C07278">
        <w:rPr>
          <w:rFonts w:ascii="Times New Roman" w:hAnsi="Times New Roman"/>
          <w:color w:val="000000"/>
          <w:sz w:val="24"/>
          <w:szCs w:val="24"/>
          <w:lang w:eastAsia="lv-LV"/>
        </w:rPr>
        <w:tab/>
        <w:t>Saskaņā ar Zinātnes, inovāciju un tehnoloģiju aģentūras (</w:t>
      </w:r>
      <w:r w:rsidRPr="00C07278">
        <w:rPr>
          <w:rFonts w:ascii="Times New Roman" w:hAnsi="Times New Roman"/>
          <w:bCs/>
          <w:i/>
          <w:color w:val="000000"/>
          <w:sz w:val="24"/>
          <w:szCs w:val="24"/>
          <w:lang w:val="lt-LT" w:eastAsia="lv-LV"/>
        </w:rPr>
        <w:t>Mokslo, inovacijų ir technologijų agent</w:t>
      </w:r>
      <w:r w:rsidRPr="00C07278">
        <w:rPr>
          <w:rFonts w:ascii="Times New Roman" w:hAnsi="Times New Roman"/>
          <w:i/>
          <w:color w:val="000000"/>
          <w:sz w:val="24"/>
          <w:szCs w:val="24"/>
          <w:lang w:val="lt-LT" w:eastAsia="lv-LV"/>
        </w:rPr>
        <w:t>ūra</w:t>
      </w:r>
      <w:r w:rsidRPr="00C07278">
        <w:rPr>
          <w:rFonts w:ascii="Times New Roman" w:hAnsi="Times New Roman"/>
          <w:i/>
          <w:color w:val="000000"/>
          <w:sz w:val="24"/>
          <w:szCs w:val="24"/>
          <w:lang w:eastAsia="lv-LV"/>
        </w:rPr>
        <w:t xml:space="preserve"> </w:t>
      </w:r>
      <w:r w:rsidRPr="00C07278">
        <w:rPr>
          <w:rFonts w:ascii="Times New Roman" w:hAnsi="Times New Roman"/>
          <w:color w:val="000000"/>
          <w:sz w:val="24"/>
          <w:szCs w:val="24"/>
          <w:lang w:eastAsia="lv-LV"/>
        </w:rPr>
        <w:t>(</w:t>
      </w:r>
      <w:r w:rsidRPr="00C07278">
        <w:rPr>
          <w:rFonts w:ascii="Times New Roman" w:hAnsi="Times New Roman"/>
          <w:i/>
          <w:color w:val="000000"/>
          <w:sz w:val="24"/>
          <w:szCs w:val="24"/>
          <w:lang w:eastAsia="lv-LV"/>
        </w:rPr>
        <w:t>MITA</w:t>
      </w:r>
      <w:r w:rsidRPr="00C07278">
        <w:rPr>
          <w:rFonts w:ascii="Times New Roman" w:hAnsi="Times New Roman"/>
          <w:b/>
          <w:bCs/>
          <w:color w:val="000000"/>
          <w:sz w:val="24"/>
          <w:szCs w:val="24"/>
          <w:lang w:eastAsia="lv-LV"/>
        </w:rPr>
        <w:t>)</w:t>
      </w:r>
      <w:r w:rsidRPr="00C07278">
        <w:rPr>
          <w:rFonts w:ascii="Times New Roman" w:hAnsi="Times New Roman"/>
          <w:color w:val="000000"/>
          <w:sz w:val="24"/>
          <w:szCs w:val="24"/>
          <w:lang w:eastAsia="lv-LV"/>
        </w:rPr>
        <w:t>) norādīto informāciju, Lietuvā pētnieciskā darbība šobrīd tiek veikta sekojošās zinātniskajās institūcijās:</w:t>
      </w:r>
    </w:p>
    <w:p w:rsidR="004A156B" w:rsidRPr="00C07278" w:rsidRDefault="004A156B" w:rsidP="00B07018">
      <w:pPr>
        <w:pStyle w:val="ListParagraph"/>
        <w:numPr>
          <w:ilvl w:val="0"/>
          <w:numId w:val="3"/>
        </w:numPr>
        <w:tabs>
          <w:tab w:val="left" w:pos="0"/>
          <w:tab w:val="left" w:pos="567"/>
        </w:tabs>
        <w:ind w:left="993" w:hanging="426"/>
        <w:rPr>
          <w:rFonts w:cs="Times New Roman"/>
          <w:color w:val="000000"/>
          <w:lang w:eastAsia="lv-LV"/>
        </w:rPr>
      </w:pPr>
      <w:r w:rsidRPr="00C07278">
        <w:rPr>
          <w:rFonts w:cs="Times New Roman"/>
          <w:color w:val="000000"/>
          <w:lang w:eastAsia="lv-LV"/>
        </w:rPr>
        <w:t>14 valsts augstskolās;</w:t>
      </w:r>
    </w:p>
    <w:p w:rsidR="004A156B" w:rsidRPr="00C07278" w:rsidRDefault="004A156B" w:rsidP="00B07018">
      <w:pPr>
        <w:pStyle w:val="ListParagraph"/>
        <w:numPr>
          <w:ilvl w:val="0"/>
          <w:numId w:val="3"/>
        </w:numPr>
        <w:tabs>
          <w:tab w:val="left" w:pos="0"/>
          <w:tab w:val="left" w:pos="567"/>
        </w:tabs>
        <w:ind w:left="993" w:hanging="426"/>
        <w:rPr>
          <w:rFonts w:cs="Times New Roman"/>
          <w:color w:val="000000"/>
          <w:lang w:eastAsia="lv-LV"/>
        </w:rPr>
      </w:pPr>
      <w:r w:rsidRPr="00C07278">
        <w:rPr>
          <w:rFonts w:cs="Times New Roman"/>
          <w:color w:val="000000"/>
          <w:lang w:eastAsia="lv-LV"/>
        </w:rPr>
        <w:t>6 privātās augstskolās;</w:t>
      </w:r>
    </w:p>
    <w:p w:rsidR="004A156B" w:rsidRPr="00C07278" w:rsidRDefault="004A156B" w:rsidP="00B07018">
      <w:pPr>
        <w:pStyle w:val="ListParagraph"/>
        <w:numPr>
          <w:ilvl w:val="0"/>
          <w:numId w:val="3"/>
        </w:numPr>
        <w:tabs>
          <w:tab w:val="left" w:pos="0"/>
          <w:tab w:val="left" w:pos="567"/>
        </w:tabs>
        <w:ind w:left="993" w:hanging="426"/>
        <w:rPr>
          <w:rFonts w:cs="Times New Roman"/>
          <w:color w:val="000000"/>
          <w:lang w:eastAsia="lv-LV"/>
        </w:rPr>
      </w:pPr>
      <w:r w:rsidRPr="00C07278">
        <w:rPr>
          <w:rFonts w:cs="Times New Roman"/>
          <w:color w:val="000000"/>
          <w:lang w:eastAsia="lv-LV"/>
        </w:rPr>
        <w:t>13 valsts zinātniskajos institūtos un centros;</w:t>
      </w:r>
    </w:p>
    <w:p w:rsidR="004A156B" w:rsidRPr="00C07278" w:rsidRDefault="004A156B" w:rsidP="00B07018">
      <w:pPr>
        <w:pStyle w:val="ListParagraph"/>
        <w:numPr>
          <w:ilvl w:val="0"/>
          <w:numId w:val="3"/>
        </w:numPr>
        <w:tabs>
          <w:tab w:val="left" w:pos="0"/>
          <w:tab w:val="left" w:pos="567"/>
        </w:tabs>
        <w:ind w:left="993" w:hanging="426"/>
        <w:rPr>
          <w:rFonts w:cs="Times New Roman"/>
          <w:color w:val="000000"/>
          <w:lang w:eastAsia="lv-LV"/>
        </w:rPr>
      </w:pPr>
      <w:r w:rsidRPr="00C07278">
        <w:rPr>
          <w:rFonts w:cs="Times New Roman"/>
          <w:color w:val="000000"/>
          <w:lang w:eastAsia="lv-LV"/>
        </w:rPr>
        <w:t>2 privātajās zinātniskajās institūcijās.</w:t>
      </w:r>
    </w:p>
    <w:p w:rsidR="004A156B" w:rsidRPr="00C07278" w:rsidRDefault="004A156B" w:rsidP="00B07018">
      <w:pPr>
        <w:tabs>
          <w:tab w:val="left" w:pos="0"/>
          <w:tab w:val="left" w:pos="567"/>
        </w:tabs>
        <w:ind w:left="0"/>
        <w:rPr>
          <w:rFonts w:ascii="Times New Roman" w:hAnsi="Times New Roman"/>
          <w:color w:val="000000"/>
          <w:sz w:val="24"/>
          <w:szCs w:val="24"/>
          <w:lang w:eastAsia="lv-LV"/>
        </w:rPr>
      </w:pPr>
      <w:r w:rsidRPr="00C07278">
        <w:rPr>
          <w:rFonts w:ascii="Times New Roman" w:hAnsi="Times New Roman"/>
          <w:color w:val="000000"/>
          <w:sz w:val="24"/>
          <w:szCs w:val="24"/>
          <w:lang w:eastAsia="lv-LV"/>
        </w:rPr>
        <w:tab/>
        <w:t>Tāpat pētnieciskā darbība tiek veikta 11 zinātnes un tehnoloģiju parkos un 5 integrētajos zinātnes, studiju un uzņēmējdarbības centros jeb “ielejās”</w:t>
      </w:r>
      <w:r w:rsidRPr="00C07278">
        <w:rPr>
          <w:rStyle w:val="FootnoteReference"/>
          <w:rFonts w:ascii="Times New Roman" w:hAnsi="Times New Roman"/>
          <w:color w:val="000000"/>
          <w:sz w:val="24"/>
          <w:szCs w:val="24"/>
          <w:lang w:eastAsia="lv-LV"/>
        </w:rPr>
        <w:footnoteReference w:id="1"/>
      </w:r>
      <w:r w:rsidRPr="00C07278">
        <w:rPr>
          <w:rFonts w:ascii="Times New Roman" w:hAnsi="Times New Roman"/>
          <w:color w:val="000000"/>
          <w:sz w:val="24"/>
          <w:szCs w:val="24"/>
          <w:lang w:eastAsia="lv-LV"/>
        </w:rPr>
        <w:t>.</w:t>
      </w:r>
    </w:p>
    <w:p w:rsidR="004A156B" w:rsidRPr="00C07278" w:rsidRDefault="004A156B" w:rsidP="00B07018">
      <w:pPr>
        <w:autoSpaceDE w:val="0"/>
        <w:autoSpaceDN w:val="0"/>
        <w:adjustRightInd w:val="0"/>
        <w:ind w:left="0"/>
        <w:rPr>
          <w:rFonts w:ascii="Times New Roman" w:hAnsi="Times New Roman"/>
          <w:color w:val="000000"/>
          <w:sz w:val="24"/>
          <w:szCs w:val="24"/>
          <w:lang w:eastAsia="lv-LV"/>
        </w:rPr>
      </w:pPr>
      <w:r w:rsidRPr="00C07278">
        <w:rPr>
          <w:rFonts w:ascii="Times New Roman" w:hAnsi="Times New Roman"/>
          <w:color w:val="000000"/>
          <w:sz w:val="24"/>
          <w:szCs w:val="24"/>
          <w:lang w:eastAsia="lv-LV"/>
        </w:rPr>
        <w:tab/>
        <w:t>2007.</w:t>
      </w:r>
      <w:r w:rsidR="007B1142">
        <w:rPr>
          <w:rFonts w:ascii="Times New Roman" w:hAnsi="Times New Roman"/>
          <w:color w:val="000000"/>
          <w:sz w:val="24"/>
          <w:szCs w:val="24"/>
          <w:lang w:eastAsia="lv-LV"/>
        </w:rPr>
        <w:t> </w:t>
      </w:r>
      <w:r w:rsidRPr="00C07278">
        <w:rPr>
          <w:rFonts w:ascii="Times New Roman" w:hAnsi="Times New Roman"/>
          <w:color w:val="000000"/>
          <w:sz w:val="24"/>
          <w:szCs w:val="24"/>
          <w:lang w:eastAsia="lv-LV"/>
        </w:rPr>
        <w:t>gadā aprīlī Lietuvas Republikas valdība apstiprināja koncepciju par integrēto zinātnes, studiju un uzņēmējdarbības sadarbības centru jeb “ieleju” izveidi</w:t>
      </w:r>
      <w:r w:rsidRPr="00C07278">
        <w:rPr>
          <w:rStyle w:val="FootnoteReference"/>
          <w:rFonts w:ascii="Times New Roman" w:hAnsi="Times New Roman"/>
          <w:color w:val="000000"/>
          <w:sz w:val="24"/>
          <w:szCs w:val="24"/>
          <w:lang w:eastAsia="lv-LV"/>
        </w:rPr>
        <w:footnoteReference w:id="2"/>
      </w:r>
      <w:r w:rsidRPr="00C07278">
        <w:rPr>
          <w:rFonts w:ascii="Times New Roman" w:hAnsi="Times New Roman"/>
          <w:color w:val="000000"/>
          <w:sz w:val="24"/>
          <w:szCs w:val="24"/>
          <w:lang w:eastAsia="lv-LV"/>
        </w:rPr>
        <w:t xml:space="preserve">, lai novērstu sadrumstaloto inovāciju sistēmu un celtu investīciju līmeni, </w:t>
      </w:r>
      <w:r w:rsidR="007B1142">
        <w:rPr>
          <w:rFonts w:ascii="Times New Roman" w:hAnsi="Times New Roman"/>
          <w:color w:val="000000"/>
          <w:sz w:val="24"/>
          <w:szCs w:val="24"/>
          <w:lang w:eastAsia="lv-LV"/>
        </w:rPr>
        <w:t>tai skaitā</w:t>
      </w:r>
      <w:r w:rsidRPr="00C07278">
        <w:rPr>
          <w:rFonts w:ascii="Times New Roman" w:hAnsi="Times New Roman"/>
          <w:color w:val="000000"/>
          <w:sz w:val="24"/>
          <w:szCs w:val="24"/>
          <w:lang w:eastAsia="lv-LV"/>
        </w:rPr>
        <w:t xml:space="preserve"> privātajā sektorā, veicinātu tehnoloģiju pārnesi un komercializāciju, lielāku uzņēmējdarbības sektora līdzdalību visos inovācijas ciklos (t.i.</w:t>
      </w:r>
      <w:r w:rsidR="00B07018">
        <w:rPr>
          <w:rFonts w:ascii="Times New Roman" w:hAnsi="Times New Roman"/>
          <w:color w:val="000000"/>
          <w:sz w:val="24"/>
          <w:szCs w:val="24"/>
          <w:lang w:eastAsia="lv-LV"/>
        </w:rPr>
        <w:t>,</w:t>
      </w:r>
      <w:r w:rsidRPr="00C07278">
        <w:rPr>
          <w:rFonts w:ascii="Times New Roman" w:hAnsi="Times New Roman"/>
          <w:color w:val="000000"/>
          <w:sz w:val="24"/>
          <w:szCs w:val="24"/>
          <w:lang w:eastAsia="lv-LV"/>
        </w:rPr>
        <w:t xml:space="preserve"> no fundamentālajiem pētījumiem līdz jaunu produktu vai pakalpojumu ieviešanai tirgū), kā arī nodrošinātu efektīvāku pētniecības un attīstības infrastruktūras izmantošanu un koncentrētu pieejamo pētniecības un attīstības potenciālu zinātnē, izglītībā un uzņēmējdarbībā teritoriāli vienuviet. </w:t>
      </w:r>
    </w:p>
    <w:p w:rsidR="004A156B" w:rsidRPr="00C07278" w:rsidRDefault="004A156B" w:rsidP="00B07018">
      <w:pPr>
        <w:autoSpaceDE w:val="0"/>
        <w:autoSpaceDN w:val="0"/>
        <w:adjustRightInd w:val="0"/>
        <w:ind w:left="0" w:firstLine="720"/>
        <w:rPr>
          <w:rFonts w:ascii="Times New Roman" w:hAnsi="Times New Roman"/>
          <w:color w:val="000000"/>
          <w:sz w:val="24"/>
          <w:szCs w:val="24"/>
          <w:lang w:eastAsia="lv-LV"/>
        </w:rPr>
      </w:pPr>
      <w:r w:rsidRPr="00C07278">
        <w:rPr>
          <w:rFonts w:ascii="Times New Roman" w:hAnsi="Times New Roman"/>
          <w:color w:val="000000"/>
          <w:sz w:val="24"/>
          <w:szCs w:val="24"/>
          <w:lang w:eastAsia="lv-LV"/>
        </w:rPr>
        <w:t>Sākotnējā integrēto zinātnes, studiju un uzņēmējd</w:t>
      </w:r>
      <w:r w:rsidR="00B07018">
        <w:rPr>
          <w:rFonts w:ascii="Times New Roman" w:hAnsi="Times New Roman"/>
          <w:color w:val="000000"/>
          <w:sz w:val="24"/>
          <w:szCs w:val="24"/>
          <w:lang w:eastAsia="lv-LV"/>
        </w:rPr>
        <w:t>arbības sadarbības centru ideja</w:t>
      </w:r>
      <w:r w:rsidRPr="00C07278">
        <w:rPr>
          <w:rFonts w:ascii="Times New Roman" w:hAnsi="Times New Roman"/>
          <w:color w:val="000000"/>
          <w:sz w:val="24"/>
          <w:szCs w:val="24"/>
          <w:lang w:eastAsia="lv-LV"/>
        </w:rPr>
        <w:t xml:space="preserve"> bija izveidot “</w:t>
      </w:r>
      <w:proofErr w:type="spellStart"/>
      <w:r w:rsidRPr="00C07278">
        <w:rPr>
          <w:rFonts w:ascii="Times New Roman" w:hAnsi="Times New Roman"/>
          <w:i/>
          <w:color w:val="000000"/>
          <w:sz w:val="24"/>
          <w:szCs w:val="24"/>
          <w:lang w:eastAsia="lv-LV"/>
        </w:rPr>
        <w:t>state</w:t>
      </w:r>
      <w:proofErr w:type="spellEnd"/>
      <w:r w:rsidRPr="00C07278">
        <w:rPr>
          <w:rFonts w:ascii="Times New Roman" w:hAnsi="Times New Roman"/>
          <w:i/>
          <w:color w:val="000000"/>
          <w:sz w:val="24"/>
          <w:szCs w:val="24"/>
          <w:lang w:eastAsia="lv-LV"/>
        </w:rPr>
        <w:t>-</w:t>
      </w:r>
      <w:proofErr w:type="spellStart"/>
      <w:r w:rsidRPr="00C07278">
        <w:rPr>
          <w:rFonts w:ascii="Times New Roman" w:hAnsi="Times New Roman"/>
          <w:i/>
          <w:color w:val="000000"/>
          <w:sz w:val="24"/>
          <w:szCs w:val="24"/>
          <w:lang w:eastAsia="lv-LV"/>
        </w:rPr>
        <w:t>of</w:t>
      </w:r>
      <w:proofErr w:type="spellEnd"/>
      <w:r w:rsidRPr="00C07278">
        <w:rPr>
          <w:rFonts w:ascii="Times New Roman" w:hAnsi="Times New Roman"/>
          <w:i/>
          <w:color w:val="000000"/>
          <w:sz w:val="24"/>
          <w:szCs w:val="24"/>
          <w:lang w:eastAsia="lv-LV"/>
        </w:rPr>
        <w:t>-art</w:t>
      </w:r>
      <w:r w:rsidRPr="00C07278">
        <w:rPr>
          <w:rFonts w:ascii="Times New Roman" w:hAnsi="Times New Roman"/>
          <w:color w:val="000000"/>
          <w:sz w:val="24"/>
          <w:szCs w:val="24"/>
          <w:lang w:eastAsia="lv-LV"/>
        </w:rPr>
        <w:t xml:space="preserve">” uzņēmējdarbības </w:t>
      </w:r>
      <w:r w:rsidR="000626EE">
        <w:rPr>
          <w:rFonts w:ascii="Times New Roman" w:hAnsi="Times New Roman"/>
          <w:color w:val="000000"/>
          <w:sz w:val="24"/>
          <w:szCs w:val="24"/>
          <w:lang w:eastAsia="lv-LV"/>
        </w:rPr>
        <w:t>–</w:t>
      </w:r>
      <w:r w:rsidRPr="00C07278">
        <w:rPr>
          <w:rFonts w:ascii="Times New Roman" w:hAnsi="Times New Roman"/>
          <w:color w:val="000000"/>
          <w:sz w:val="24"/>
          <w:szCs w:val="24"/>
          <w:lang w:eastAsia="lv-LV"/>
        </w:rPr>
        <w:t xml:space="preserve"> </w:t>
      </w:r>
      <w:r w:rsidR="000626EE">
        <w:rPr>
          <w:rFonts w:ascii="Times New Roman" w:hAnsi="Times New Roman"/>
          <w:color w:val="000000"/>
          <w:sz w:val="24"/>
          <w:szCs w:val="24"/>
          <w:lang w:eastAsia="lv-LV"/>
        </w:rPr>
        <w:t>zin</w:t>
      </w:r>
      <w:r w:rsidRPr="00C07278">
        <w:rPr>
          <w:rFonts w:ascii="Times New Roman" w:hAnsi="Times New Roman"/>
          <w:color w:val="000000"/>
          <w:sz w:val="24"/>
          <w:szCs w:val="24"/>
          <w:lang w:eastAsia="lv-LV"/>
        </w:rPr>
        <w:t>ātnes sadarbības centrus</w:t>
      </w:r>
      <w:r w:rsidR="007B1142">
        <w:rPr>
          <w:rFonts w:ascii="Times New Roman" w:hAnsi="Times New Roman"/>
          <w:color w:val="000000"/>
          <w:sz w:val="24"/>
          <w:szCs w:val="24"/>
          <w:lang w:eastAsia="lv-LV"/>
        </w:rPr>
        <w:t> </w:t>
      </w:r>
      <w:r w:rsidRPr="00C07278">
        <w:rPr>
          <w:rFonts w:ascii="Times New Roman" w:hAnsi="Times New Roman"/>
          <w:color w:val="000000"/>
          <w:sz w:val="24"/>
          <w:szCs w:val="24"/>
          <w:lang w:eastAsia="lv-LV"/>
        </w:rPr>
        <w:t>/</w:t>
      </w:r>
      <w:r w:rsidR="007B1142">
        <w:rPr>
          <w:rFonts w:ascii="Times New Roman" w:hAnsi="Times New Roman"/>
          <w:color w:val="000000"/>
          <w:sz w:val="24"/>
          <w:szCs w:val="24"/>
          <w:lang w:eastAsia="lv-LV"/>
        </w:rPr>
        <w:t> </w:t>
      </w:r>
      <w:r w:rsidRPr="00C07278">
        <w:rPr>
          <w:rFonts w:ascii="Times New Roman" w:hAnsi="Times New Roman"/>
          <w:color w:val="000000"/>
          <w:sz w:val="24"/>
          <w:szCs w:val="24"/>
          <w:lang w:eastAsia="lv-LV"/>
        </w:rPr>
        <w:t>klasterus, ar attiecīgo pētniecības infrastruktūru un atbalsta pakalpojumiem, lai veicinātu atklātu inovāciju un zināšanu pārnesi starp publisko pētniecību un privātiem uzņēmumiem. Tomēr izstrādātās atbalsta shēmas ietvaros konstatētie sistemātiskie un juridiskie šķēršļi neveicināja uzņēmējdarbības sektora sadarbību pētniecības un attīstības jomā ar augstskolām (un otrādi)</w:t>
      </w:r>
      <w:r w:rsidRPr="00C07278">
        <w:rPr>
          <w:rStyle w:val="FootnoteReference"/>
          <w:rFonts w:ascii="Times New Roman" w:hAnsi="Times New Roman"/>
          <w:color w:val="000000"/>
          <w:sz w:val="24"/>
          <w:szCs w:val="24"/>
          <w:lang w:eastAsia="lv-LV"/>
        </w:rPr>
        <w:footnoteReference w:id="3"/>
      </w:r>
      <w:r w:rsidRPr="00C07278">
        <w:rPr>
          <w:rFonts w:ascii="Times New Roman" w:hAnsi="Times New Roman"/>
          <w:color w:val="000000"/>
          <w:sz w:val="24"/>
          <w:szCs w:val="24"/>
          <w:lang w:eastAsia="lv-LV"/>
        </w:rPr>
        <w:t>. 2014.</w:t>
      </w:r>
      <w:r w:rsidR="007B1142">
        <w:rPr>
          <w:rFonts w:ascii="Times New Roman" w:hAnsi="Times New Roman"/>
          <w:color w:val="000000"/>
          <w:sz w:val="24"/>
          <w:szCs w:val="24"/>
          <w:lang w:eastAsia="lv-LV"/>
        </w:rPr>
        <w:t> </w:t>
      </w:r>
      <w:r w:rsidRPr="00C07278">
        <w:rPr>
          <w:rFonts w:ascii="Times New Roman" w:hAnsi="Times New Roman"/>
          <w:color w:val="000000"/>
          <w:sz w:val="24"/>
          <w:szCs w:val="24"/>
          <w:lang w:eastAsia="lv-LV"/>
        </w:rPr>
        <w:t>gada 1.</w:t>
      </w:r>
      <w:r w:rsidR="007B1142">
        <w:rPr>
          <w:rFonts w:ascii="Times New Roman" w:hAnsi="Times New Roman"/>
          <w:color w:val="000000"/>
          <w:sz w:val="24"/>
          <w:szCs w:val="24"/>
          <w:lang w:eastAsia="lv-LV"/>
        </w:rPr>
        <w:t> </w:t>
      </w:r>
      <w:r w:rsidRPr="00C07278">
        <w:rPr>
          <w:rFonts w:ascii="Times New Roman" w:hAnsi="Times New Roman"/>
          <w:color w:val="000000"/>
          <w:sz w:val="24"/>
          <w:szCs w:val="24"/>
          <w:lang w:eastAsia="lv-LV"/>
        </w:rPr>
        <w:t>aprīlī Lietuvas valdība, lai novērstu augstāk minētos trūkumus, apstiprināja papildinātu integrēto zinātnes, stu</w:t>
      </w:r>
      <w:r w:rsidR="00B07018">
        <w:rPr>
          <w:rFonts w:ascii="Times New Roman" w:hAnsi="Times New Roman"/>
          <w:color w:val="000000"/>
          <w:sz w:val="24"/>
          <w:szCs w:val="24"/>
          <w:lang w:eastAsia="lv-LV"/>
        </w:rPr>
        <w:t xml:space="preserve">diju un uzņēmējdarbības centru </w:t>
      </w:r>
      <w:r w:rsidRPr="00C07278">
        <w:rPr>
          <w:rFonts w:ascii="Times New Roman" w:hAnsi="Times New Roman"/>
          <w:color w:val="000000"/>
          <w:sz w:val="24"/>
          <w:szCs w:val="24"/>
          <w:lang w:eastAsia="lv-LV"/>
        </w:rPr>
        <w:t>koncepciju, atbalstot turpmāku piecu integrēto zinātnes, studiju un uzņēmējdarbības sadarbības centru attīstību, īstenojot Lietuvas Viedās specializācijas stratēģijā noteikto</w:t>
      </w:r>
      <w:r w:rsidRPr="00C07278">
        <w:rPr>
          <w:rStyle w:val="FootnoteReference"/>
          <w:rFonts w:ascii="Times New Roman" w:hAnsi="Times New Roman"/>
          <w:color w:val="000000"/>
          <w:sz w:val="24"/>
          <w:szCs w:val="24"/>
          <w:lang w:eastAsia="lv-LV"/>
        </w:rPr>
        <w:footnoteReference w:id="4"/>
      </w:r>
      <w:r w:rsidRPr="00C07278">
        <w:rPr>
          <w:rFonts w:ascii="Times New Roman" w:hAnsi="Times New Roman"/>
          <w:color w:val="000000"/>
          <w:sz w:val="24"/>
          <w:szCs w:val="24"/>
          <w:lang w:eastAsia="lv-LV"/>
        </w:rPr>
        <w:t>.</w:t>
      </w:r>
    </w:p>
    <w:p w:rsidR="004A156B" w:rsidRPr="00C07278" w:rsidRDefault="004A156B" w:rsidP="00B07018">
      <w:pPr>
        <w:autoSpaceDE w:val="0"/>
        <w:autoSpaceDN w:val="0"/>
        <w:adjustRightInd w:val="0"/>
        <w:ind w:left="0" w:firstLine="720"/>
        <w:rPr>
          <w:rFonts w:ascii="Times New Roman" w:hAnsi="Times New Roman"/>
          <w:color w:val="000000"/>
          <w:sz w:val="24"/>
          <w:szCs w:val="24"/>
          <w:lang w:eastAsia="lv-LV"/>
        </w:rPr>
      </w:pPr>
      <w:r w:rsidRPr="00C07278">
        <w:rPr>
          <w:rFonts w:ascii="Times New Roman" w:hAnsi="Times New Roman"/>
          <w:color w:val="000000"/>
          <w:sz w:val="24"/>
          <w:szCs w:val="24"/>
          <w:lang w:eastAsia="lv-LV"/>
        </w:rPr>
        <w:t>Integrēto zinātnes, studiju un uzņēmējdarbības sadarbības centru jeb “ieleju” ietvaros plānota zināšanu kapacitātes, cilvēkresursu un materiālo resursu – infrastruktūras – konsolidācija saistītās zinātnes jomās, kas pārstāvētās centru ietvaros (sk</w:t>
      </w:r>
      <w:r w:rsidR="00313077">
        <w:rPr>
          <w:rFonts w:ascii="Times New Roman" w:hAnsi="Times New Roman"/>
          <w:color w:val="000000"/>
          <w:sz w:val="24"/>
          <w:szCs w:val="24"/>
          <w:lang w:eastAsia="lv-LV"/>
        </w:rPr>
        <w:t>at</w:t>
      </w:r>
      <w:r w:rsidRPr="00C07278">
        <w:rPr>
          <w:rFonts w:ascii="Times New Roman" w:hAnsi="Times New Roman"/>
          <w:color w:val="000000"/>
          <w:sz w:val="24"/>
          <w:szCs w:val="24"/>
          <w:lang w:eastAsia="lv-LV"/>
        </w:rPr>
        <w:t xml:space="preserve">. </w:t>
      </w:r>
      <w:r w:rsidR="00313077">
        <w:rPr>
          <w:rFonts w:ascii="Times New Roman" w:hAnsi="Times New Roman"/>
          <w:color w:val="000000"/>
          <w:sz w:val="24"/>
          <w:szCs w:val="24"/>
          <w:lang w:eastAsia="lv-LV"/>
        </w:rPr>
        <w:t>1.</w:t>
      </w:r>
      <w:r w:rsidR="007B1142">
        <w:rPr>
          <w:rFonts w:ascii="Times New Roman" w:hAnsi="Times New Roman"/>
          <w:color w:val="000000"/>
          <w:sz w:val="24"/>
          <w:szCs w:val="24"/>
          <w:lang w:eastAsia="lv-LV"/>
        </w:rPr>
        <w:t> </w:t>
      </w:r>
      <w:r w:rsidRPr="00C07278">
        <w:rPr>
          <w:rFonts w:ascii="Times New Roman" w:hAnsi="Times New Roman"/>
          <w:color w:val="000000"/>
          <w:sz w:val="24"/>
          <w:szCs w:val="24"/>
          <w:lang w:eastAsia="lv-LV"/>
        </w:rPr>
        <w:t>attēlu):</w:t>
      </w:r>
    </w:p>
    <w:p w:rsidR="004A156B" w:rsidRPr="00C07278" w:rsidRDefault="004A156B" w:rsidP="00313077">
      <w:pPr>
        <w:pStyle w:val="ListParagraph"/>
        <w:numPr>
          <w:ilvl w:val="0"/>
          <w:numId w:val="5"/>
        </w:numPr>
        <w:tabs>
          <w:tab w:val="left" w:pos="0"/>
          <w:tab w:val="left" w:pos="1134"/>
        </w:tabs>
        <w:ind w:left="1134" w:hanging="567"/>
        <w:rPr>
          <w:rFonts w:cs="Times New Roman"/>
          <w:color w:val="000000"/>
          <w:lang w:eastAsia="lv-LV"/>
        </w:rPr>
      </w:pPr>
      <w:r w:rsidRPr="00C07278">
        <w:rPr>
          <w:rFonts w:cs="Times New Roman"/>
          <w:i/>
          <w:color w:val="000000"/>
          <w:lang w:eastAsia="lv-LV"/>
        </w:rPr>
        <w:t>“</w:t>
      </w:r>
      <w:r w:rsidRPr="00C07278">
        <w:rPr>
          <w:rFonts w:cs="Times New Roman"/>
          <w:i/>
          <w:color w:val="000000"/>
          <w:lang w:val="lt-LT" w:eastAsia="lv-LV"/>
        </w:rPr>
        <w:t>Sauletekis</w:t>
      </w:r>
      <w:r w:rsidRPr="00C07278">
        <w:rPr>
          <w:rFonts w:cs="Times New Roman"/>
          <w:color w:val="000000"/>
          <w:lang w:eastAsia="lv-LV"/>
        </w:rPr>
        <w:t>” centrs Viļņā, kas specializējas lāzeru un gaismas tehnoloģijās, materiālu zinātnē un nanotehnoloģijās, pusvadītāju fizikas un elektronikas jomā, kā arī civilajās inženierzinātnēs. Vieni no “</w:t>
      </w:r>
      <w:r w:rsidRPr="00C07278">
        <w:rPr>
          <w:rFonts w:cs="Times New Roman"/>
          <w:i/>
          <w:color w:val="000000"/>
          <w:lang w:val="lt-LT" w:eastAsia="lv-LV"/>
        </w:rPr>
        <w:t>Sauletekis</w:t>
      </w:r>
      <w:r w:rsidRPr="00C07278">
        <w:rPr>
          <w:rFonts w:cs="Times New Roman"/>
          <w:color w:val="000000"/>
          <w:lang w:eastAsia="lv-LV"/>
        </w:rPr>
        <w:t xml:space="preserve">” centra dibinātājiem ir Viļņas </w:t>
      </w:r>
      <w:r w:rsidRPr="00C07278">
        <w:rPr>
          <w:rFonts w:cs="Times New Roman"/>
          <w:color w:val="000000"/>
          <w:lang w:eastAsia="lv-LV"/>
        </w:rPr>
        <w:lastRenderedPageBreak/>
        <w:t xml:space="preserve">Universitāte un Viļņas Ģedimina Tehniskā universitāte. Finansējums – 93,4 milj. </w:t>
      </w:r>
      <w:r w:rsidRPr="00C07278">
        <w:rPr>
          <w:rFonts w:cs="Times New Roman"/>
          <w:i/>
          <w:color w:val="000000"/>
          <w:lang w:eastAsia="lv-LV"/>
        </w:rPr>
        <w:t>euro</w:t>
      </w:r>
      <w:r w:rsidRPr="00C07278">
        <w:rPr>
          <w:rFonts w:cs="Times New Roman"/>
          <w:color w:val="000000"/>
          <w:lang w:eastAsia="lv-LV"/>
        </w:rPr>
        <w:t>;</w:t>
      </w:r>
    </w:p>
    <w:p w:rsidR="004A156B" w:rsidRPr="00C07278" w:rsidRDefault="004A156B" w:rsidP="00313077">
      <w:pPr>
        <w:pStyle w:val="ListParagraph"/>
        <w:numPr>
          <w:ilvl w:val="0"/>
          <w:numId w:val="4"/>
        </w:numPr>
        <w:tabs>
          <w:tab w:val="left" w:pos="0"/>
          <w:tab w:val="left" w:pos="1134"/>
        </w:tabs>
        <w:spacing w:before="120"/>
        <w:ind w:left="1134" w:hanging="567"/>
        <w:rPr>
          <w:rFonts w:cs="Times New Roman"/>
          <w:color w:val="000000"/>
          <w:lang w:eastAsia="lv-LV"/>
        </w:rPr>
      </w:pPr>
      <w:r w:rsidRPr="00C07278">
        <w:rPr>
          <w:rFonts w:cs="Times New Roman"/>
          <w:color w:val="000000"/>
          <w:lang w:eastAsia="lv-LV"/>
        </w:rPr>
        <w:t>“</w:t>
      </w:r>
      <w:r w:rsidRPr="00C07278">
        <w:rPr>
          <w:rFonts w:cs="Times New Roman"/>
          <w:i/>
          <w:color w:val="000000"/>
          <w:lang w:val="lt-LT" w:eastAsia="lv-LV"/>
        </w:rPr>
        <w:t>Santara</w:t>
      </w:r>
      <w:r w:rsidRPr="00C07278">
        <w:rPr>
          <w:rFonts w:cs="Times New Roman"/>
          <w:color w:val="000000"/>
          <w:lang w:eastAsia="lv-LV"/>
        </w:rPr>
        <w:t>” centrs Viļņā, kas specializējas pētījumu veikšanā biotehnoloģiju, inovatīvo medicīnisko tehnoloģiju, molekulārās medicīnas un biofarmācijas jomā, ekosistēmas un ilgtspējīgas attīstības jomā, kā arī IKT tehnoloģiju jomā. Vieni no centra dibinātājiem ir Viļņas Universitāte, Viļņas Gedimina Tehniskā universitāte, kā arī valsts zinātniskie centri – Inovatīvais medicīnas centrs (</w:t>
      </w:r>
      <w:r w:rsidRPr="00C07278">
        <w:rPr>
          <w:rFonts w:cs="Times New Roman"/>
          <w:bCs/>
          <w:i/>
          <w:lang w:val="lt-LT"/>
        </w:rPr>
        <w:t>Inovatyvios medicinos centras</w:t>
      </w:r>
      <w:r w:rsidRPr="00C07278">
        <w:rPr>
          <w:rFonts w:cs="Times New Roman"/>
          <w:lang w:val="lt-LT"/>
        </w:rPr>
        <w:t>)</w:t>
      </w:r>
      <w:r w:rsidRPr="00C07278">
        <w:rPr>
          <w:rFonts w:cs="Times New Roman"/>
          <w:i/>
          <w:lang w:val="lt-LT"/>
        </w:rPr>
        <w:t xml:space="preserve"> </w:t>
      </w:r>
      <w:r w:rsidRPr="00C07278">
        <w:rPr>
          <w:rFonts w:cs="Times New Roman"/>
          <w:color w:val="000000"/>
          <w:lang w:eastAsia="lv-LV"/>
        </w:rPr>
        <w:t>un Dabas pētniecības centrs (</w:t>
      </w:r>
      <w:r w:rsidRPr="00C07278">
        <w:rPr>
          <w:rFonts w:cs="Times New Roman"/>
          <w:i/>
          <w:lang w:val="lt-LT"/>
        </w:rPr>
        <w:t>Gamtos tyrimų centras</w:t>
      </w:r>
      <w:r w:rsidRPr="00C07278">
        <w:rPr>
          <w:rFonts w:cs="Times New Roman"/>
          <w:lang w:val="lt-LT"/>
        </w:rPr>
        <w:t xml:space="preserve">). </w:t>
      </w:r>
      <w:r w:rsidRPr="00C07278">
        <w:rPr>
          <w:rFonts w:cs="Times New Roman"/>
          <w:color w:val="000000"/>
          <w:lang w:eastAsia="lv-LV"/>
        </w:rPr>
        <w:t xml:space="preserve">Finansējums – 95,91 milj. </w:t>
      </w:r>
      <w:r w:rsidRPr="00C07278">
        <w:rPr>
          <w:rFonts w:cs="Times New Roman"/>
          <w:i/>
          <w:color w:val="000000"/>
          <w:lang w:eastAsia="lv-LV"/>
        </w:rPr>
        <w:t>euro</w:t>
      </w:r>
      <w:r w:rsidRPr="00C07278">
        <w:rPr>
          <w:rFonts w:cs="Times New Roman"/>
          <w:color w:val="000000"/>
          <w:lang w:eastAsia="lv-LV"/>
        </w:rPr>
        <w:t>;</w:t>
      </w:r>
    </w:p>
    <w:p w:rsidR="004A156B" w:rsidRPr="00C07278" w:rsidRDefault="004A156B" w:rsidP="00313077">
      <w:pPr>
        <w:pStyle w:val="ListParagraph"/>
        <w:numPr>
          <w:ilvl w:val="0"/>
          <w:numId w:val="4"/>
        </w:numPr>
        <w:tabs>
          <w:tab w:val="left" w:pos="0"/>
          <w:tab w:val="left" w:pos="1134"/>
        </w:tabs>
        <w:spacing w:before="120"/>
        <w:ind w:left="1134" w:hanging="567"/>
        <w:rPr>
          <w:rFonts w:cs="Times New Roman"/>
          <w:color w:val="000000"/>
          <w:lang w:eastAsia="lv-LV"/>
        </w:rPr>
      </w:pPr>
      <w:r w:rsidRPr="00C07278">
        <w:rPr>
          <w:rFonts w:cs="Times New Roman"/>
          <w:color w:val="000000"/>
          <w:lang w:eastAsia="lv-LV"/>
        </w:rPr>
        <w:t>“</w:t>
      </w:r>
      <w:r w:rsidRPr="00C07278">
        <w:rPr>
          <w:rFonts w:cs="Times New Roman"/>
          <w:i/>
          <w:color w:val="000000"/>
          <w:lang w:val="lt-LT" w:eastAsia="lv-LV"/>
        </w:rPr>
        <w:t>Santaka</w:t>
      </w:r>
      <w:r w:rsidRPr="00C07278">
        <w:rPr>
          <w:rFonts w:cs="Times New Roman"/>
          <w:color w:val="000000"/>
          <w:lang w:eastAsia="lv-LV"/>
        </w:rPr>
        <w:t>” centrs Kauņā, kas specializējas ķīmijā (ieskaitot biofarmāciju), mehatronikā un saistītajās elektroniskajās tehnoloģijās; nākotnes enerģijā (ieskaitot vides inženierzinātnes) un informācijas un telekomunikāciju tehnoloģijās. Vieni no “</w:t>
      </w:r>
      <w:r w:rsidRPr="00C07278">
        <w:rPr>
          <w:rFonts w:cs="Times New Roman"/>
          <w:i/>
          <w:color w:val="000000"/>
          <w:lang w:val="lt-LT" w:eastAsia="lv-LV"/>
        </w:rPr>
        <w:t>Santaka</w:t>
      </w:r>
      <w:r w:rsidRPr="00C07278">
        <w:rPr>
          <w:rFonts w:cs="Times New Roman"/>
          <w:color w:val="000000"/>
          <w:lang w:eastAsia="lv-LV"/>
        </w:rPr>
        <w:t>” centra dibinātājiem ir Kauņas Tehnoloģiju universitāte, Lietuvas Veselības zinātņu universitāte un valsts zinātniskais institūts Lietuvas Enerģētikas institūts. Finansējums – 73,76 milj</w:t>
      </w:r>
      <w:r w:rsidRPr="00C07278">
        <w:rPr>
          <w:rFonts w:cs="Times New Roman"/>
          <w:i/>
          <w:color w:val="000000"/>
          <w:lang w:eastAsia="lv-LV"/>
        </w:rPr>
        <w:t>. euro</w:t>
      </w:r>
      <w:r w:rsidRPr="00C07278">
        <w:rPr>
          <w:rFonts w:cs="Times New Roman"/>
          <w:color w:val="000000"/>
          <w:lang w:eastAsia="lv-LV"/>
        </w:rPr>
        <w:t>;</w:t>
      </w:r>
    </w:p>
    <w:p w:rsidR="004A156B" w:rsidRPr="00C07278" w:rsidRDefault="004A156B" w:rsidP="00313077">
      <w:pPr>
        <w:pStyle w:val="ListParagraph"/>
        <w:numPr>
          <w:ilvl w:val="0"/>
          <w:numId w:val="4"/>
        </w:numPr>
        <w:tabs>
          <w:tab w:val="left" w:pos="0"/>
          <w:tab w:val="left" w:pos="1134"/>
        </w:tabs>
        <w:ind w:left="1134" w:hanging="567"/>
        <w:rPr>
          <w:rFonts w:cs="Times New Roman"/>
          <w:color w:val="000000"/>
          <w:lang w:eastAsia="lv-LV"/>
        </w:rPr>
      </w:pPr>
      <w:r w:rsidRPr="00C07278">
        <w:rPr>
          <w:rFonts w:cs="Times New Roman"/>
          <w:color w:val="000000"/>
          <w:lang w:eastAsia="lv-LV"/>
        </w:rPr>
        <w:t>“</w:t>
      </w:r>
      <w:r w:rsidRPr="00C07278">
        <w:rPr>
          <w:rFonts w:cs="Times New Roman"/>
          <w:i/>
          <w:color w:val="000000"/>
          <w:lang w:eastAsia="lv-LV"/>
        </w:rPr>
        <w:t>Nemunas</w:t>
      </w:r>
      <w:r w:rsidRPr="00C07278">
        <w:rPr>
          <w:rFonts w:cs="Times New Roman"/>
          <w:color w:val="000000"/>
          <w:lang w:eastAsia="lv-LV"/>
        </w:rPr>
        <w:t xml:space="preserve">” centrs Kauņas reģionā, kas specializēsies agrobiotehnoloģijas, bioenerģijas un mežsaimniecības jomā, kā arī pārtikas tehnoloģijas, drošības un veselības jomā, kura izveidē piedalās Lietuvas Lauksaimniecības universitāte, Lietuvas Veselības zinātņu universitāte, Kauņas Tehnoloģiju universitāte un valsts zinātniskais institūts Lietuvas Lauksaimniecības un meža zinātņu centrs. Finansējums – 55,14 milj. </w:t>
      </w:r>
      <w:r w:rsidRPr="00C07278">
        <w:rPr>
          <w:rFonts w:cs="Times New Roman"/>
          <w:i/>
          <w:color w:val="000000"/>
          <w:lang w:eastAsia="lv-LV"/>
        </w:rPr>
        <w:t>euro</w:t>
      </w:r>
      <w:r w:rsidRPr="00C07278">
        <w:rPr>
          <w:rFonts w:cs="Times New Roman"/>
          <w:color w:val="000000"/>
          <w:lang w:eastAsia="lv-LV"/>
        </w:rPr>
        <w:t>;</w:t>
      </w:r>
    </w:p>
    <w:p w:rsidR="00EB781C" w:rsidRPr="00761D6F" w:rsidRDefault="004A156B" w:rsidP="00761D6F">
      <w:pPr>
        <w:pStyle w:val="ListParagraph"/>
        <w:numPr>
          <w:ilvl w:val="0"/>
          <w:numId w:val="4"/>
        </w:numPr>
        <w:tabs>
          <w:tab w:val="left" w:pos="0"/>
          <w:tab w:val="left" w:pos="1134"/>
        </w:tabs>
        <w:ind w:left="1134" w:hanging="567"/>
        <w:rPr>
          <w:rFonts w:cs="Times New Roman"/>
          <w:color w:val="000000"/>
          <w:lang w:eastAsia="lv-LV"/>
        </w:rPr>
      </w:pPr>
      <w:r w:rsidRPr="00C07278">
        <w:rPr>
          <w:rFonts w:cs="Times New Roman"/>
          <w:color w:val="000000"/>
          <w:lang w:eastAsia="lv-LV"/>
        </w:rPr>
        <w:t>Integrētais Jūras zinātņu un industrijas centrs Klaipēdas reģionā, kura izveidē piedalījusies Klaipēdas Universitāte un Dabas pētniecības centrs</w:t>
      </w:r>
      <w:r w:rsidRPr="00C07278">
        <w:rPr>
          <w:rFonts w:cs="Times New Roman"/>
          <w:lang w:val="lt-LT"/>
        </w:rPr>
        <w:t xml:space="preserve">. </w:t>
      </w:r>
      <w:r w:rsidRPr="00C07278">
        <w:rPr>
          <w:rFonts w:cs="Times New Roman"/>
          <w:color w:val="000000"/>
          <w:lang w:eastAsia="lv-LV"/>
        </w:rPr>
        <w:t xml:space="preserve">Finansējums – 59,95 milj. </w:t>
      </w:r>
      <w:r w:rsidRPr="00C07278">
        <w:rPr>
          <w:rFonts w:cs="Times New Roman"/>
          <w:i/>
          <w:color w:val="000000"/>
          <w:lang w:eastAsia="lv-LV"/>
        </w:rPr>
        <w:t>euro</w:t>
      </w:r>
      <w:r w:rsidRPr="00C07278">
        <w:rPr>
          <w:rStyle w:val="FootnoteReference"/>
          <w:rFonts w:cs="Times New Roman"/>
          <w:color w:val="000000"/>
          <w:lang w:eastAsia="lv-LV"/>
        </w:rPr>
        <w:t xml:space="preserve"> </w:t>
      </w:r>
      <w:r w:rsidRPr="00C07278">
        <w:rPr>
          <w:rStyle w:val="FootnoteReference"/>
          <w:rFonts w:cs="Times New Roman"/>
          <w:color w:val="000000"/>
          <w:lang w:eastAsia="lv-LV"/>
        </w:rPr>
        <w:footnoteReference w:id="5"/>
      </w:r>
      <w:r w:rsidRPr="00C07278">
        <w:rPr>
          <w:rFonts w:cs="Times New Roman"/>
          <w:color w:val="000000"/>
          <w:lang w:eastAsia="lv-LV"/>
        </w:rPr>
        <w:t>.</w:t>
      </w:r>
      <w:r w:rsidR="00EB781C" w:rsidRPr="00761D6F">
        <w:br w:type="page"/>
      </w:r>
    </w:p>
    <w:p w:rsidR="004A156B" w:rsidRPr="009C7153" w:rsidRDefault="004A156B" w:rsidP="00B07018">
      <w:pPr>
        <w:pStyle w:val="Caption"/>
        <w:ind w:left="720"/>
        <w:jc w:val="right"/>
        <w:rPr>
          <w:shd w:val="clear" w:color="auto" w:fill="D9D9D9" w:themeFill="background1" w:themeFillShade="D9"/>
        </w:rPr>
      </w:pPr>
      <w:r w:rsidRPr="00622315">
        <w:rPr>
          <w:rFonts w:ascii="Times New Roman" w:hAnsi="Times New Roman"/>
          <w:color w:val="auto"/>
          <w:sz w:val="24"/>
          <w:szCs w:val="24"/>
        </w:rPr>
        <w:lastRenderedPageBreak/>
        <w:t>Attēls</w:t>
      </w:r>
      <w:r>
        <w:rPr>
          <w:rFonts w:ascii="Times New Roman" w:hAnsi="Times New Roman"/>
          <w:color w:val="auto"/>
          <w:sz w:val="24"/>
          <w:szCs w:val="24"/>
        </w:rPr>
        <w:t xml:space="preserve"> Nr.</w:t>
      </w:r>
      <w:r w:rsidRPr="00622315">
        <w:rPr>
          <w:rFonts w:ascii="Times New Roman" w:hAnsi="Times New Roman"/>
          <w:color w:val="auto"/>
          <w:sz w:val="24"/>
          <w:szCs w:val="24"/>
        </w:rPr>
        <w:t xml:space="preserve"> </w:t>
      </w:r>
      <w:r w:rsidRPr="00622315">
        <w:rPr>
          <w:rFonts w:ascii="Times New Roman" w:hAnsi="Times New Roman"/>
          <w:color w:val="auto"/>
          <w:sz w:val="24"/>
          <w:szCs w:val="24"/>
        </w:rPr>
        <w:fldChar w:fldCharType="begin"/>
      </w:r>
      <w:r w:rsidRPr="00622315">
        <w:rPr>
          <w:rFonts w:ascii="Times New Roman" w:hAnsi="Times New Roman"/>
          <w:color w:val="auto"/>
          <w:sz w:val="24"/>
          <w:szCs w:val="24"/>
        </w:rPr>
        <w:instrText xml:space="preserve"> SEQ Attēls \* ARABIC </w:instrText>
      </w:r>
      <w:r w:rsidRPr="00622315">
        <w:rPr>
          <w:rFonts w:ascii="Times New Roman" w:hAnsi="Times New Roman"/>
          <w:color w:val="auto"/>
          <w:sz w:val="24"/>
          <w:szCs w:val="24"/>
        </w:rPr>
        <w:fldChar w:fldCharType="separate"/>
      </w:r>
      <w:r w:rsidR="00F60BB8">
        <w:rPr>
          <w:rFonts w:ascii="Times New Roman" w:hAnsi="Times New Roman"/>
          <w:noProof/>
          <w:color w:val="auto"/>
          <w:sz w:val="24"/>
          <w:szCs w:val="24"/>
        </w:rPr>
        <w:t>1</w:t>
      </w:r>
      <w:r w:rsidRPr="00622315">
        <w:rPr>
          <w:rFonts w:ascii="Times New Roman" w:hAnsi="Times New Roman"/>
          <w:color w:val="auto"/>
          <w:sz w:val="24"/>
          <w:szCs w:val="24"/>
        </w:rPr>
        <w:fldChar w:fldCharType="end"/>
      </w:r>
      <w:r>
        <w:rPr>
          <w:rFonts w:ascii="Times New Roman" w:hAnsi="Times New Roman"/>
          <w:color w:val="auto"/>
          <w:sz w:val="24"/>
          <w:szCs w:val="24"/>
        </w:rPr>
        <w:t>.</w:t>
      </w:r>
    </w:p>
    <w:p w:rsidR="004A156B" w:rsidRPr="009C7153" w:rsidRDefault="004A156B" w:rsidP="00B07018">
      <w:pPr>
        <w:pStyle w:val="ListParagraph"/>
        <w:tabs>
          <w:tab w:val="left" w:pos="0"/>
          <w:tab w:val="left" w:pos="567"/>
        </w:tabs>
        <w:ind w:firstLine="0"/>
        <w:jc w:val="center"/>
        <w:rPr>
          <w:rFonts w:cs="Times New Roman"/>
          <w:b/>
          <w:lang w:eastAsia="lv-LV"/>
        </w:rPr>
      </w:pPr>
      <w:r w:rsidRPr="009C7153">
        <w:rPr>
          <w:rFonts w:cs="Times New Roman"/>
          <w:b/>
          <w:color w:val="000000"/>
          <w:lang w:eastAsia="lv-LV"/>
        </w:rPr>
        <w:t xml:space="preserve">Integrēto zinātnes, studiju un uzņēmējdarbības sadarbības </w:t>
      </w:r>
      <w:r w:rsidRPr="009C7153">
        <w:rPr>
          <w:rFonts w:cs="Times New Roman"/>
          <w:b/>
          <w:lang w:eastAsia="lv-LV"/>
        </w:rPr>
        <w:t>centru teritoriālais izvietojums</w:t>
      </w:r>
    </w:p>
    <w:p w:rsidR="004A156B" w:rsidRPr="002D7733" w:rsidRDefault="004A156B" w:rsidP="00B07018">
      <w:pPr>
        <w:ind w:left="0"/>
        <w:jc w:val="center"/>
        <w:rPr>
          <w:rFonts w:ascii="Times New Roman" w:hAnsi="Times New Roman"/>
          <w:color w:val="000000"/>
          <w:lang w:eastAsia="lv-LV"/>
        </w:rPr>
      </w:pPr>
      <w:r w:rsidRPr="002D7733">
        <w:rPr>
          <w:rFonts w:ascii="Times New Roman" w:hAnsi="Times New Roman"/>
          <w:noProof/>
          <w:color w:val="000000"/>
          <w:lang w:eastAsia="lv-LV"/>
        </w:rPr>
        <w:drawing>
          <wp:inline distT="0" distB="0" distL="0" distR="0" wp14:anchorId="15B13105" wp14:editId="49B24D41">
            <wp:extent cx="5797383" cy="4229100"/>
            <wp:effectExtent l="0" t="0" r="0" b="0"/>
            <wp:docPr id="21" name="Picture 21" descr="C:\Users\evija.zaca\Desktop\LT_ZIN_CENTRU_IZVIETOJU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ija.zaca\Desktop\LT_ZIN_CENTRU_IZVIETOJUM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04632" cy="4234388"/>
                    </a:xfrm>
                    <a:prstGeom prst="rect">
                      <a:avLst/>
                    </a:prstGeom>
                    <a:noFill/>
                    <a:ln>
                      <a:noFill/>
                    </a:ln>
                  </pic:spPr>
                </pic:pic>
              </a:graphicData>
            </a:graphic>
          </wp:inline>
        </w:drawing>
      </w:r>
    </w:p>
    <w:p w:rsidR="004A156B" w:rsidRPr="009C7153" w:rsidRDefault="004A156B" w:rsidP="00B07018">
      <w:pPr>
        <w:pStyle w:val="ListParagraph"/>
        <w:tabs>
          <w:tab w:val="left" w:pos="0"/>
          <w:tab w:val="left" w:pos="567"/>
        </w:tabs>
        <w:ind w:left="0" w:firstLine="0"/>
        <w:jc w:val="left"/>
        <w:rPr>
          <w:rFonts w:cs="Times New Roman"/>
          <w:b/>
          <w:bCs/>
          <w:i/>
          <w:color w:val="000000"/>
          <w:lang w:eastAsia="lv-LV"/>
        </w:rPr>
      </w:pPr>
      <w:r w:rsidRPr="009C7153">
        <w:rPr>
          <w:rFonts w:cs="Times New Roman"/>
          <w:i/>
          <w:color w:val="000000"/>
          <w:lang w:eastAsia="lv-LV"/>
        </w:rPr>
        <w:t xml:space="preserve">Datu avots: </w:t>
      </w:r>
      <w:r w:rsidRPr="009C7153">
        <w:rPr>
          <w:rFonts w:cs="Times New Roman"/>
          <w:bCs/>
          <w:i/>
          <w:color w:val="000000"/>
          <w:lang w:val="lt-LT" w:eastAsia="lv-LV"/>
        </w:rPr>
        <w:t>Zinātnes, inovāciju un tehnoloģiju aģentūra</w:t>
      </w:r>
      <w:r w:rsidRPr="009C7153">
        <w:rPr>
          <w:rFonts w:cs="Times New Roman"/>
          <w:i/>
          <w:color w:val="000000"/>
          <w:lang w:val="lt-LT" w:eastAsia="lv-LV"/>
        </w:rPr>
        <w:t xml:space="preserve"> </w:t>
      </w:r>
      <w:r w:rsidRPr="009C7153">
        <w:rPr>
          <w:rFonts w:cs="Times New Roman"/>
          <w:i/>
          <w:color w:val="000000"/>
          <w:lang w:eastAsia="lv-LV"/>
        </w:rPr>
        <w:t>(MITA</w:t>
      </w:r>
      <w:r w:rsidRPr="009C7153">
        <w:rPr>
          <w:rFonts w:cs="Times New Roman"/>
          <w:b/>
          <w:bCs/>
          <w:i/>
          <w:color w:val="000000"/>
          <w:lang w:eastAsia="lv-LV"/>
        </w:rPr>
        <w:t>)</w:t>
      </w:r>
    </w:p>
    <w:p w:rsidR="004A156B" w:rsidRPr="00C07278" w:rsidRDefault="004A156B" w:rsidP="00B07018">
      <w:pPr>
        <w:pStyle w:val="ListParagraph"/>
        <w:tabs>
          <w:tab w:val="left" w:pos="0"/>
          <w:tab w:val="left" w:pos="567"/>
        </w:tabs>
        <w:ind w:left="0" w:firstLine="0"/>
        <w:rPr>
          <w:rFonts w:cs="Times New Roman"/>
          <w:b/>
          <w:bCs/>
          <w:color w:val="000000"/>
          <w:sz w:val="20"/>
          <w:szCs w:val="20"/>
          <w:lang w:eastAsia="lv-LV"/>
        </w:rPr>
      </w:pPr>
    </w:p>
    <w:p w:rsidR="004A156B" w:rsidRPr="00C07278" w:rsidRDefault="004A156B" w:rsidP="00B07018">
      <w:pPr>
        <w:tabs>
          <w:tab w:val="left" w:pos="0"/>
          <w:tab w:val="left" w:pos="567"/>
        </w:tabs>
        <w:ind w:left="0"/>
        <w:rPr>
          <w:rFonts w:ascii="Times New Roman" w:hAnsi="Times New Roman"/>
          <w:color w:val="000000"/>
          <w:sz w:val="24"/>
          <w:szCs w:val="24"/>
          <w:lang w:eastAsia="lv-LV"/>
        </w:rPr>
      </w:pPr>
      <w:r w:rsidRPr="00C07278">
        <w:rPr>
          <w:rFonts w:ascii="Times New Roman" w:hAnsi="Times New Roman"/>
          <w:color w:val="000000"/>
          <w:sz w:val="24"/>
          <w:szCs w:val="24"/>
          <w:lang w:eastAsia="lv-LV"/>
        </w:rPr>
        <w:tab/>
        <w:t>Katra zinātnes, studiju un uzņēmējdarbības sadarbības centra attīstības programmā norādīts programmas mērķis, veicamie uzdevumi un sasniedzamie rezultāti, kā arī centru veidojošās institūcijas. Attīstības programmā ir atrunāta projektu ieviešanas monitoringa sistēma un attīstības programmas izvērtēšanas kritēriji.</w:t>
      </w:r>
    </w:p>
    <w:p w:rsidR="004A156B" w:rsidRPr="00C07278" w:rsidRDefault="004A156B" w:rsidP="00B07018">
      <w:pPr>
        <w:tabs>
          <w:tab w:val="left" w:pos="567"/>
        </w:tabs>
        <w:ind w:left="0"/>
        <w:rPr>
          <w:rFonts w:ascii="Times New Roman" w:hAnsi="Times New Roman"/>
          <w:color w:val="000000"/>
          <w:sz w:val="24"/>
          <w:szCs w:val="24"/>
          <w:lang w:eastAsia="lv-LV"/>
        </w:rPr>
      </w:pPr>
      <w:r w:rsidRPr="00C07278">
        <w:rPr>
          <w:rFonts w:ascii="Times New Roman" w:hAnsi="Times New Roman"/>
          <w:color w:val="000000"/>
          <w:sz w:val="24"/>
          <w:szCs w:val="24"/>
          <w:lang w:eastAsia="lv-LV"/>
        </w:rPr>
        <w:tab/>
        <w:t>Stratēģiskā līmenī ar pētniecību, attīstību un inovācijām saistītos jautājumus, risina Lietuvas Republikas Ministru prezidenta padotībā izveidotā Stratēģiskā pētniecības, attīstības un inovācijas padome, kuras sastāvā ietilpst gan pārstāvji no ministrijām, kas atbild par pētniecību, attīstību un inovācijām, Lietuvas Zinātnes padomes, Zinātnes, inovāciju un tehnoloģiju aģentūras, gan pārstāvji no zinātniskajām institūcijām, augstākās izglītības iestādēm un uzņēmējdarbības sektora, tāpat padomes sastāvā darbojas sociālie un ekonomiskie partneri un neatkarīgi eksperti.</w:t>
      </w:r>
    </w:p>
    <w:p w:rsidR="004A156B" w:rsidRPr="00C07278" w:rsidRDefault="004A156B" w:rsidP="00B07018">
      <w:pPr>
        <w:tabs>
          <w:tab w:val="left" w:pos="567"/>
        </w:tabs>
        <w:ind w:left="0"/>
        <w:rPr>
          <w:rFonts w:ascii="Times New Roman" w:hAnsi="Times New Roman"/>
          <w:color w:val="000000"/>
          <w:sz w:val="24"/>
          <w:szCs w:val="24"/>
          <w:lang w:eastAsia="lv-LV"/>
        </w:rPr>
      </w:pPr>
      <w:r w:rsidRPr="00C07278">
        <w:rPr>
          <w:rFonts w:ascii="Times New Roman" w:hAnsi="Times New Roman"/>
          <w:color w:val="000000"/>
          <w:sz w:val="24"/>
          <w:szCs w:val="24"/>
          <w:lang w:eastAsia="lv-LV"/>
        </w:rPr>
        <w:tab/>
        <w:t xml:space="preserve">Izveidota arī integrēto zinātnes, studiju un uzņēmējdarbības sadarbības centru jeb “ieleju” uzraudzības grupa, kuras sastāvā iekļauti gan Lietuvas, gan ārvalstu eksperti. Uzraudzības grupas galvenais uzdevums ir uzraudzīt integrēto zinātnes, studiju un uzņēmējdarbības sadarbības centru un kopīgo pētniecības programmu projektu ieviešanu. Uzraudzības grupa nodrošina, ka regulāri tiek veikta centru ietvaros īstenoto projektu novērtēšana un sniegtas konsultācijas un ieteikumi Centru padomēm, kā arī Vadības komitejām, kas atbild par attiecīgo ES struktūrfondu programmu par veicamajiem pasākumiem centru darbības pilnveidei. Tāpat Uzraudzības grupas pienākumos ietilpst izveidot efektīvi darbojošos </w:t>
      </w:r>
      <w:r w:rsidR="000626EE">
        <w:rPr>
          <w:rFonts w:ascii="Times New Roman" w:hAnsi="Times New Roman"/>
          <w:color w:val="000000"/>
          <w:sz w:val="24"/>
          <w:szCs w:val="24"/>
          <w:lang w:eastAsia="lv-LV"/>
        </w:rPr>
        <w:t>“</w:t>
      </w:r>
      <w:r w:rsidRPr="00C07278">
        <w:rPr>
          <w:rFonts w:ascii="Times New Roman" w:hAnsi="Times New Roman"/>
          <w:color w:val="000000"/>
          <w:sz w:val="24"/>
          <w:szCs w:val="24"/>
          <w:lang w:eastAsia="lv-LV"/>
        </w:rPr>
        <w:t>virtuālo uzņēmumu</w:t>
      </w:r>
      <w:r w:rsidR="000626EE">
        <w:rPr>
          <w:rFonts w:ascii="Times New Roman" w:hAnsi="Times New Roman"/>
          <w:color w:val="000000"/>
          <w:sz w:val="24"/>
          <w:szCs w:val="24"/>
          <w:lang w:eastAsia="lv-LV"/>
        </w:rPr>
        <w:t>”</w:t>
      </w:r>
      <w:r w:rsidRPr="00C07278">
        <w:rPr>
          <w:rFonts w:ascii="Times New Roman" w:hAnsi="Times New Roman"/>
          <w:color w:val="000000"/>
          <w:sz w:val="24"/>
          <w:szCs w:val="24"/>
          <w:lang w:eastAsia="lv-LV"/>
        </w:rPr>
        <w:t xml:space="preserve"> </w:t>
      </w:r>
      <w:r w:rsidRPr="00C07278">
        <w:rPr>
          <w:rFonts w:ascii="Times New Roman" w:hAnsi="Times New Roman"/>
          <w:color w:val="000000"/>
          <w:sz w:val="24"/>
          <w:szCs w:val="24"/>
          <w:lang w:eastAsia="lv-LV"/>
        </w:rPr>
        <w:lastRenderedPageBreak/>
        <w:t>(“</w:t>
      </w:r>
      <w:proofErr w:type="spellStart"/>
      <w:r w:rsidRPr="00C07278">
        <w:rPr>
          <w:rFonts w:ascii="Times New Roman" w:hAnsi="Times New Roman"/>
          <w:i/>
          <w:color w:val="000000"/>
          <w:sz w:val="24"/>
          <w:szCs w:val="24"/>
          <w:lang w:eastAsia="lv-LV"/>
        </w:rPr>
        <w:t>virtual</w:t>
      </w:r>
      <w:proofErr w:type="spellEnd"/>
      <w:r w:rsidRPr="00C07278">
        <w:rPr>
          <w:rFonts w:ascii="Times New Roman" w:hAnsi="Times New Roman"/>
          <w:i/>
          <w:color w:val="000000"/>
          <w:sz w:val="24"/>
          <w:szCs w:val="24"/>
          <w:lang w:eastAsia="lv-LV"/>
        </w:rPr>
        <w:t xml:space="preserve"> </w:t>
      </w:r>
      <w:proofErr w:type="spellStart"/>
      <w:r w:rsidRPr="00C07278">
        <w:rPr>
          <w:rFonts w:ascii="Times New Roman" w:hAnsi="Times New Roman"/>
          <w:i/>
          <w:color w:val="000000"/>
          <w:sz w:val="24"/>
          <w:szCs w:val="24"/>
          <w:lang w:eastAsia="lv-LV"/>
        </w:rPr>
        <w:t>enterprise</w:t>
      </w:r>
      <w:proofErr w:type="spellEnd"/>
      <w:r w:rsidRPr="00C07278">
        <w:rPr>
          <w:rFonts w:ascii="Times New Roman" w:hAnsi="Times New Roman"/>
          <w:color w:val="000000"/>
          <w:sz w:val="24"/>
          <w:szCs w:val="24"/>
          <w:lang w:eastAsia="lv-LV"/>
        </w:rPr>
        <w:t>”), kura ietvaros būtu iespējams piedāvāt sadarbības iespējas publiskā un privātā sektora partnerībai un ārvalstu investīciju piesaistei</w:t>
      </w:r>
      <w:r w:rsidRPr="00C07278">
        <w:rPr>
          <w:rStyle w:val="FootnoteReference"/>
          <w:rFonts w:ascii="Times New Roman" w:hAnsi="Times New Roman"/>
          <w:color w:val="000000"/>
          <w:sz w:val="24"/>
          <w:szCs w:val="24"/>
          <w:lang w:eastAsia="lv-LV"/>
        </w:rPr>
        <w:footnoteReference w:id="6"/>
      </w:r>
      <w:r w:rsidRPr="00C07278">
        <w:rPr>
          <w:rFonts w:ascii="Times New Roman" w:hAnsi="Times New Roman"/>
          <w:color w:val="000000"/>
          <w:sz w:val="24"/>
          <w:szCs w:val="24"/>
          <w:lang w:eastAsia="lv-LV"/>
        </w:rPr>
        <w:t>.</w:t>
      </w:r>
    </w:p>
    <w:p w:rsidR="004A156B" w:rsidRPr="00C07278" w:rsidRDefault="004A156B" w:rsidP="00B07018">
      <w:pPr>
        <w:tabs>
          <w:tab w:val="left" w:pos="0"/>
          <w:tab w:val="left" w:pos="567"/>
        </w:tabs>
        <w:ind w:left="0"/>
        <w:rPr>
          <w:rFonts w:ascii="Times New Roman" w:hAnsi="Times New Roman"/>
          <w:color w:val="000000"/>
          <w:sz w:val="20"/>
          <w:szCs w:val="20"/>
          <w:lang w:eastAsia="lv-LV"/>
        </w:rPr>
      </w:pPr>
      <w:r w:rsidRPr="00C07278">
        <w:rPr>
          <w:rFonts w:ascii="Times New Roman" w:hAnsi="Times New Roman"/>
          <w:color w:val="000000"/>
          <w:sz w:val="24"/>
          <w:szCs w:val="24"/>
          <w:lang w:eastAsia="lv-LV"/>
        </w:rPr>
        <w:tab/>
        <w:t>Saskaņā ar normatīvo regulējumu pētniecības infrastruktūrai, jānodrošina brīva piekļuve citām zinātniskajām institūcijām, uzņēmējdarbības sektora pārstāvj</w:t>
      </w:r>
      <w:r w:rsidR="00916048">
        <w:rPr>
          <w:rFonts w:ascii="Times New Roman" w:hAnsi="Times New Roman"/>
          <w:color w:val="000000"/>
          <w:sz w:val="24"/>
          <w:szCs w:val="24"/>
          <w:lang w:eastAsia="lv-LV"/>
        </w:rPr>
        <w:t>iem un citiem interesentiem, tajā</w:t>
      </w:r>
      <w:r w:rsidRPr="00C07278">
        <w:rPr>
          <w:rFonts w:ascii="Times New Roman" w:hAnsi="Times New Roman"/>
          <w:color w:val="000000"/>
          <w:sz w:val="24"/>
          <w:szCs w:val="24"/>
          <w:lang w:eastAsia="lv-LV"/>
        </w:rPr>
        <w:t xml:space="preserve"> skaitā ārvalstu institūcijām. Lietuvas universitātes un zinātniskās institūcijas ir izveidojušas Atvērtas piekļuves centrus (</w:t>
      </w:r>
      <w:proofErr w:type="spellStart"/>
      <w:r w:rsidRPr="00C07278">
        <w:rPr>
          <w:rFonts w:ascii="Times New Roman" w:hAnsi="Times New Roman"/>
          <w:i/>
          <w:color w:val="000000"/>
          <w:sz w:val="24"/>
          <w:szCs w:val="24"/>
          <w:lang w:eastAsia="lv-LV"/>
        </w:rPr>
        <w:t>Open</w:t>
      </w:r>
      <w:proofErr w:type="spellEnd"/>
      <w:r w:rsidRPr="00C07278">
        <w:rPr>
          <w:rFonts w:ascii="Times New Roman" w:hAnsi="Times New Roman"/>
          <w:i/>
          <w:color w:val="000000"/>
          <w:sz w:val="24"/>
          <w:szCs w:val="24"/>
          <w:lang w:eastAsia="lv-LV"/>
        </w:rPr>
        <w:t xml:space="preserve"> Access </w:t>
      </w:r>
      <w:proofErr w:type="spellStart"/>
      <w:r w:rsidRPr="00C07278">
        <w:rPr>
          <w:rFonts w:ascii="Times New Roman" w:hAnsi="Times New Roman"/>
          <w:i/>
          <w:color w:val="000000"/>
          <w:sz w:val="24"/>
          <w:szCs w:val="24"/>
          <w:lang w:eastAsia="lv-LV"/>
        </w:rPr>
        <w:t>Centres</w:t>
      </w:r>
      <w:proofErr w:type="spellEnd"/>
      <w:r w:rsidRPr="00C07278">
        <w:rPr>
          <w:rFonts w:ascii="Times New Roman" w:hAnsi="Times New Roman"/>
          <w:color w:val="000000"/>
          <w:sz w:val="24"/>
          <w:szCs w:val="24"/>
          <w:lang w:eastAsia="lv-LV"/>
        </w:rPr>
        <w:t>), nodrošinot piekļuvi pētniecības un izstrādes resursiem visiem interesentiem, kas veic pētniecisko darbību šo centru pārstāvētajās zinātnes nozarēs. Līdz šim Lietuvā izveidoti 26 atklātas piekļuves centri</w:t>
      </w:r>
      <w:r w:rsidRPr="00C07278">
        <w:rPr>
          <w:rStyle w:val="FootnoteReference"/>
          <w:rFonts w:ascii="Times New Roman" w:hAnsi="Times New Roman"/>
          <w:color w:val="000000"/>
          <w:sz w:val="24"/>
          <w:szCs w:val="24"/>
          <w:lang w:eastAsia="lv-LV"/>
        </w:rPr>
        <w:footnoteReference w:id="7"/>
      </w:r>
      <w:r w:rsidRPr="00C07278">
        <w:rPr>
          <w:rFonts w:ascii="Times New Roman" w:hAnsi="Times New Roman"/>
          <w:color w:val="000000"/>
          <w:sz w:val="24"/>
          <w:szCs w:val="24"/>
          <w:lang w:eastAsia="lv-LV"/>
        </w:rPr>
        <w:t xml:space="preserve">, kas reģistrēti Zinātnes, inovāciju un tehnoloģiju aģentūrā. Visi interesenti Zinātnes, inovāciju un tehnoloģiju aģentūras interneta tīmekļa vietnē var iepazīties ar katra Atvērtās piekļuves centra ietvaros sniegtajiem pakalpojumiem un </w:t>
      </w:r>
      <w:r w:rsidRPr="00313077">
        <w:rPr>
          <w:rFonts w:ascii="Times New Roman" w:hAnsi="Times New Roman"/>
          <w:color w:val="000000"/>
          <w:sz w:val="24"/>
          <w:szCs w:val="24"/>
          <w:lang w:eastAsia="lv-LV"/>
        </w:rPr>
        <w:t xml:space="preserve">pieejamo pētniecības, tehnoloģijas attīstības un inovācijas infrastruktūru. Analizējot Atvērtās piekļuves centru pārstāvētās nozares, saskaņā ar </w:t>
      </w:r>
      <w:r w:rsidR="00313077" w:rsidRPr="00313077">
        <w:rPr>
          <w:rFonts w:ascii="Times New Roman" w:hAnsi="Times New Roman"/>
          <w:color w:val="000000"/>
          <w:sz w:val="24"/>
          <w:szCs w:val="24"/>
          <w:lang w:eastAsia="lv-LV"/>
        </w:rPr>
        <w:t>2.</w:t>
      </w:r>
      <w:r w:rsidR="007B1142">
        <w:rPr>
          <w:rFonts w:ascii="Times New Roman" w:hAnsi="Times New Roman"/>
          <w:color w:val="000000"/>
          <w:sz w:val="24"/>
          <w:szCs w:val="24"/>
          <w:lang w:eastAsia="lv-LV"/>
        </w:rPr>
        <w:t> </w:t>
      </w:r>
      <w:r w:rsidRPr="00313077">
        <w:rPr>
          <w:rFonts w:ascii="Times New Roman" w:hAnsi="Times New Roman"/>
          <w:color w:val="000000"/>
          <w:sz w:val="24"/>
          <w:szCs w:val="24"/>
          <w:lang w:eastAsia="lv-LV"/>
        </w:rPr>
        <w:t>attēlu redzams, ka Atvērtās piekļuves centrs var darboties vienā zinātnes nozarē vai veikt pētniecisko un zinātnisko darbību vairākās zinātnes nozarēs.</w:t>
      </w:r>
    </w:p>
    <w:p w:rsidR="004A156B" w:rsidRPr="00C07278" w:rsidRDefault="004A156B" w:rsidP="00B07018">
      <w:pPr>
        <w:pStyle w:val="Caption"/>
        <w:jc w:val="right"/>
        <w:rPr>
          <w:shd w:val="clear" w:color="auto" w:fill="D9D9D9" w:themeFill="background1" w:themeFillShade="D9"/>
        </w:rPr>
      </w:pPr>
      <w:r w:rsidRPr="00622315">
        <w:rPr>
          <w:rFonts w:ascii="Times New Roman" w:hAnsi="Times New Roman"/>
          <w:color w:val="auto"/>
          <w:sz w:val="24"/>
          <w:szCs w:val="24"/>
        </w:rPr>
        <w:t>Attēls</w:t>
      </w:r>
      <w:r>
        <w:rPr>
          <w:rFonts w:ascii="Times New Roman" w:hAnsi="Times New Roman"/>
          <w:color w:val="auto"/>
          <w:sz w:val="24"/>
          <w:szCs w:val="24"/>
        </w:rPr>
        <w:t xml:space="preserve"> Nr.</w:t>
      </w:r>
      <w:r w:rsidRPr="00622315">
        <w:rPr>
          <w:rFonts w:ascii="Times New Roman" w:hAnsi="Times New Roman"/>
          <w:color w:val="auto"/>
          <w:sz w:val="24"/>
          <w:szCs w:val="24"/>
        </w:rPr>
        <w:t xml:space="preserve"> </w:t>
      </w:r>
      <w:r w:rsidRPr="00622315">
        <w:rPr>
          <w:rFonts w:ascii="Times New Roman" w:hAnsi="Times New Roman"/>
          <w:color w:val="auto"/>
          <w:sz w:val="24"/>
          <w:szCs w:val="24"/>
        </w:rPr>
        <w:fldChar w:fldCharType="begin"/>
      </w:r>
      <w:r w:rsidRPr="00622315">
        <w:rPr>
          <w:rFonts w:ascii="Times New Roman" w:hAnsi="Times New Roman"/>
          <w:color w:val="auto"/>
          <w:sz w:val="24"/>
          <w:szCs w:val="24"/>
        </w:rPr>
        <w:instrText xml:space="preserve"> SEQ Attēls \* ARABIC </w:instrText>
      </w:r>
      <w:r w:rsidRPr="00622315">
        <w:rPr>
          <w:rFonts w:ascii="Times New Roman" w:hAnsi="Times New Roman"/>
          <w:color w:val="auto"/>
          <w:sz w:val="24"/>
          <w:szCs w:val="24"/>
        </w:rPr>
        <w:fldChar w:fldCharType="separate"/>
      </w:r>
      <w:r w:rsidR="00F60BB8">
        <w:rPr>
          <w:rFonts w:ascii="Times New Roman" w:hAnsi="Times New Roman"/>
          <w:noProof/>
          <w:color w:val="auto"/>
          <w:sz w:val="24"/>
          <w:szCs w:val="24"/>
        </w:rPr>
        <w:t>2</w:t>
      </w:r>
      <w:r w:rsidRPr="00622315">
        <w:rPr>
          <w:rFonts w:ascii="Times New Roman" w:hAnsi="Times New Roman"/>
          <w:color w:val="auto"/>
          <w:sz w:val="24"/>
          <w:szCs w:val="24"/>
        </w:rPr>
        <w:fldChar w:fldCharType="end"/>
      </w:r>
      <w:r>
        <w:rPr>
          <w:rFonts w:ascii="Times New Roman" w:hAnsi="Times New Roman"/>
          <w:color w:val="auto"/>
          <w:sz w:val="24"/>
          <w:szCs w:val="24"/>
        </w:rPr>
        <w:t>.</w:t>
      </w:r>
    </w:p>
    <w:p w:rsidR="004A156B" w:rsidRPr="009C7153" w:rsidRDefault="004A156B" w:rsidP="00EB781C">
      <w:pPr>
        <w:tabs>
          <w:tab w:val="left" w:pos="0"/>
          <w:tab w:val="left" w:pos="567"/>
        </w:tabs>
        <w:spacing w:after="200"/>
        <w:jc w:val="center"/>
        <w:rPr>
          <w:rFonts w:ascii="Times New Roman" w:hAnsi="Times New Roman"/>
          <w:b/>
          <w:color w:val="000000"/>
          <w:sz w:val="24"/>
          <w:szCs w:val="24"/>
          <w:lang w:eastAsia="lv-LV"/>
        </w:rPr>
      </w:pPr>
      <w:r w:rsidRPr="009C7153">
        <w:rPr>
          <w:rFonts w:ascii="Times New Roman" w:hAnsi="Times New Roman"/>
          <w:b/>
          <w:color w:val="000000"/>
          <w:sz w:val="24"/>
          <w:szCs w:val="24"/>
          <w:lang w:eastAsia="lv-LV"/>
        </w:rPr>
        <w:t>Lietuvas atvērtās piekļuves centru pārstāvētas zinātnes nozares</w:t>
      </w:r>
    </w:p>
    <w:p w:rsidR="004A156B" w:rsidRPr="002D7733" w:rsidRDefault="004A156B" w:rsidP="00B07018">
      <w:pPr>
        <w:tabs>
          <w:tab w:val="left" w:pos="567"/>
        </w:tabs>
        <w:ind w:left="0"/>
        <w:rPr>
          <w:rFonts w:ascii="Times New Roman" w:hAnsi="Times New Roman"/>
          <w:color w:val="000000"/>
          <w:lang w:eastAsia="lv-LV"/>
        </w:rPr>
      </w:pPr>
      <w:r w:rsidRPr="002D7733">
        <w:rPr>
          <w:rFonts w:ascii="Times New Roman" w:hAnsi="Times New Roman"/>
          <w:noProof/>
          <w:lang w:eastAsia="lv-LV"/>
        </w:rPr>
        <w:drawing>
          <wp:inline distT="0" distB="0" distL="0" distR="0" wp14:anchorId="584A988B" wp14:editId="40CAF5D8">
            <wp:extent cx="5705475" cy="28479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A156B" w:rsidRPr="009C7153" w:rsidRDefault="004A156B" w:rsidP="00B07018">
      <w:pPr>
        <w:pStyle w:val="ListParagraph"/>
        <w:tabs>
          <w:tab w:val="left" w:pos="0"/>
          <w:tab w:val="left" w:pos="567"/>
        </w:tabs>
        <w:ind w:left="0" w:firstLine="0"/>
        <w:jc w:val="left"/>
        <w:rPr>
          <w:rFonts w:cs="Times New Roman"/>
          <w:b/>
          <w:bCs/>
          <w:i/>
          <w:color w:val="000000"/>
          <w:lang w:eastAsia="lv-LV"/>
        </w:rPr>
      </w:pPr>
      <w:r w:rsidRPr="009C7153">
        <w:rPr>
          <w:rFonts w:cs="Times New Roman"/>
          <w:i/>
          <w:color w:val="000000"/>
          <w:lang w:eastAsia="lv-LV"/>
        </w:rPr>
        <w:t xml:space="preserve">Datu avots: </w:t>
      </w:r>
      <w:r w:rsidRPr="009C7153">
        <w:rPr>
          <w:rFonts w:cs="Times New Roman"/>
          <w:bCs/>
          <w:i/>
          <w:color w:val="000000"/>
          <w:lang w:val="lt-LT" w:eastAsia="lv-LV"/>
        </w:rPr>
        <w:t>Zinātnes, inovāciju un tehnoloģiju aģentūra</w:t>
      </w:r>
      <w:r w:rsidRPr="009C7153">
        <w:rPr>
          <w:rFonts w:cs="Times New Roman"/>
          <w:i/>
          <w:color w:val="000000"/>
          <w:lang w:val="lt-LT" w:eastAsia="lv-LV"/>
        </w:rPr>
        <w:t xml:space="preserve"> </w:t>
      </w:r>
      <w:r w:rsidRPr="009C7153">
        <w:rPr>
          <w:rFonts w:cs="Times New Roman"/>
          <w:i/>
          <w:color w:val="000000"/>
          <w:lang w:eastAsia="lv-LV"/>
        </w:rPr>
        <w:t>(MITA</w:t>
      </w:r>
      <w:r w:rsidRPr="009C7153">
        <w:rPr>
          <w:rFonts w:cs="Times New Roman"/>
          <w:b/>
          <w:bCs/>
          <w:i/>
          <w:color w:val="000000"/>
          <w:lang w:eastAsia="lv-LV"/>
        </w:rPr>
        <w:t>)</w:t>
      </w:r>
    </w:p>
    <w:p w:rsidR="004A156B" w:rsidRPr="002D7733" w:rsidRDefault="004A156B" w:rsidP="00B07018">
      <w:pPr>
        <w:tabs>
          <w:tab w:val="left" w:pos="0"/>
          <w:tab w:val="left" w:pos="567"/>
        </w:tabs>
        <w:ind w:left="0"/>
        <w:rPr>
          <w:rFonts w:ascii="Times New Roman" w:hAnsi="Times New Roman"/>
          <w:b/>
          <w:bCs/>
          <w:color w:val="000000"/>
          <w:sz w:val="20"/>
          <w:szCs w:val="20"/>
          <w:lang w:eastAsia="lv-LV"/>
        </w:rPr>
      </w:pPr>
    </w:p>
    <w:p w:rsidR="004A156B" w:rsidRPr="00C07278" w:rsidRDefault="004A156B" w:rsidP="00B07018">
      <w:pPr>
        <w:tabs>
          <w:tab w:val="left" w:pos="0"/>
          <w:tab w:val="left" w:pos="567"/>
        </w:tabs>
        <w:ind w:left="0"/>
        <w:rPr>
          <w:rFonts w:ascii="Times New Roman" w:hAnsi="Times New Roman"/>
          <w:color w:val="000000"/>
          <w:sz w:val="24"/>
          <w:szCs w:val="24"/>
          <w:lang w:eastAsia="lv-LV"/>
        </w:rPr>
      </w:pPr>
      <w:r w:rsidRPr="00C07278">
        <w:rPr>
          <w:rFonts w:ascii="Times New Roman" w:hAnsi="Times New Roman"/>
          <w:color w:val="000000"/>
          <w:sz w:val="24"/>
          <w:szCs w:val="24"/>
          <w:lang w:eastAsia="lv-LV"/>
        </w:rPr>
        <w:tab/>
        <w:t>Lai veicinātu Lietuvas zinātnes augsta līmeņa pētniecības attīstību, starptautisko sadarbību un konkurētspēju, izstrādāta Lietuvas pētniecība</w:t>
      </w:r>
      <w:r w:rsidR="00916048">
        <w:rPr>
          <w:rFonts w:ascii="Times New Roman" w:hAnsi="Times New Roman"/>
          <w:color w:val="000000"/>
          <w:sz w:val="24"/>
          <w:szCs w:val="24"/>
          <w:lang w:eastAsia="lv-LV"/>
        </w:rPr>
        <w:t>s infrastruktūras karte, kur tajā</w:t>
      </w:r>
      <w:r w:rsidRPr="00C07278">
        <w:rPr>
          <w:rFonts w:ascii="Times New Roman" w:hAnsi="Times New Roman"/>
          <w:color w:val="000000"/>
          <w:sz w:val="24"/>
          <w:szCs w:val="24"/>
          <w:lang w:eastAsia="lv-LV"/>
        </w:rPr>
        <w:t xml:space="preserve"> skaitā norādīti </w:t>
      </w:r>
      <w:r w:rsidR="00795CCC">
        <w:rPr>
          <w:rFonts w:ascii="Times New Roman" w:hAnsi="Times New Roman"/>
          <w:color w:val="000000"/>
          <w:sz w:val="24"/>
          <w:szCs w:val="24"/>
          <w:lang w:eastAsia="lv-LV"/>
        </w:rPr>
        <w:t>Eiropas pētniecības infrastruktūru stratēģiskā foruma (ESFRI)</w:t>
      </w:r>
      <w:r w:rsidRPr="00C07278">
        <w:rPr>
          <w:rFonts w:ascii="Times New Roman" w:hAnsi="Times New Roman"/>
          <w:color w:val="000000"/>
          <w:sz w:val="24"/>
          <w:szCs w:val="24"/>
          <w:lang w:eastAsia="lv-LV"/>
        </w:rPr>
        <w:t xml:space="preserve"> </w:t>
      </w:r>
      <w:r w:rsidR="00795CCC">
        <w:rPr>
          <w:rFonts w:ascii="Times New Roman" w:hAnsi="Times New Roman"/>
          <w:color w:val="000000"/>
          <w:sz w:val="24"/>
          <w:szCs w:val="24"/>
          <w:lang w:eastAsia="lv-LV"/>
        </w:rPr>
        <w:t xml:space="preserve">Eiropas pētniecības </w:t>
      </w:r>
      <w:r w:rsidRPr="00C07278">
        <w:rPr>
          <w:rFonts w:ascii="Times New Roman" w:hAnsi="Times New Roman"/>
          <w:color w:val="000000"/>
          <w:sz w:val="24"/>
          <w:szCs w:val="24"/>
          <w:lang w:eastAsia="lv-LV"/>
        </w:rPr>
        <w:t>infrastruktūras objekti, kuros Lietuva varētu piedalīties</w:t>
      </w:r>
      <w:r w:rsidRPr="00C07278">
        <w:rPr>
          <w:rStyle w:val="FootnoteReference"/>
          <w:rFonts w:ascii="Times New Roman" w:hAnsi="Times New Roman"/>
          <w:color w:val="000000"/>
          <w:sz w:val="24"/>
          <w:szCs w:val="24"/>
          <w:lang w:eastAsia="lv-LV"/>
        </w:rPr>
        <w:footnoteReference w:id="8"/>
      </w:r>
      <w:r w:rsidRPr="00C07278">
        <w:rPr>
          <w:rFonts w:ascii="Times New Roman" w:hAnsi="Times New Roman"/>
          <w:color w:val="000000"/>
          <w:sz w:val="24"/>
          <w:szCs w:val="24"/>
          <w:lang w:eastAsia="lv-LV"/>
        </w:rPr>
        <w:t xml:space="preserve"> (</w:t>
      </w:r>
      <w:r w:rsidRPr="00313077">
        <w:rPr>
          <w:rFonts w:ascii="Times New Roman" w:hAnsi="Times New Roman"/>
          <w:color w:val="000000"/>
          <w:sz w:val="24"/>
          <w:szCs w:val="24"/>
          <w:lang w:eastAsia="lv-LV"/>
        </w:rPr>
        <w:t>sk</w:t>
      </w:r>
      <w:r w:rsidR="00313077" w:rsidRPr="00313077">
        <w:rPr>
          <w:rFonts w:ascii="Times New Roman" w:hAnsi="Times New Roman"/>
          <w:color w:val="000000"/>
          <w:sz w:val="24"/>
          <w:szCs w:val="24"/>
          <w:lang w:eastAsia="lv-LV"/>
        </w:rPr>
        <w:t>at</w:t>
      </w:r>
      <w:r w:rsidRPr="00313077">
        <w:rPr>
          <w:rFonts w:ascii="Times New Roman" w:hAnsi="Times New Roman"/>
          <w:color w:val="000000"/>
          <w:sz w:val="24"/>
          <w:szCs w:val="24"/>
          <w:lang w:eastAsia="lv-LV"/>
        </w:rPr>
        <w:t xml:space="preserve">. </w:t>
      </w:r>
      <w:r w:rsidR="00313077" w:rsidRPr="00313077">
        <w:rPr>
          <w:rFonts w:ascii="Times New Roman" w:hAnsi="Times New Roman"/>
          <w:color w:val="000000"/>
          <w:sz w:val="24"/>
          <w:szCs w:val="24"/>
          <w:lang w:eastAsia="lv-LV"/>
        </w:rPr>
        <w:t>1.</w:t>
      </w:r>
      <w:r w:rsidR="007B1142">
        <w:rPr>
          <w:rFonts w:ascii="Times New Roman" w:hAnsi="Times New Roman"/>
          <w:color w:val="000000"/>
          <w:sz w:val="24"/>
          <w:szCs w:val="24"/>
          <w:lang w:eastAsia="lv-LV"/>
        </w:rPr>
        <w:t> </w:t>
      </w:r>
      <w:r w:rsidRPr="00313077">
        <w:rPr>
          <w:rFonts w:ascii="Times New Roman" w:hAnsi="Times New Roman"/>
          <w:color w:val="000000"/>
          <w:sz w:val="24"/>
          <w:szCs w:val="24"/>
          <w:lang w:eastAsia="lv-LV"/>
        </w:rPr>
        <w:t>tabulu</w:t>
      </w:r>
      <w:r w:rsidRPr="00C07278">
        <w:rPr>
          <w:rFonts w:ascii="Times New Roman" w:hAnsi="Times New Roman"/>
          <w:color w:val="000000"/>
          <w:sz w:val="24"/>
          <w:szCs w:val="24"/>
          <w:lang w:eastAsia="lv-LV"/>
        </w:rPr>
        <w:t>).</w:t>
      </w:r>
    </w:p>
    <w:p w:rsidR="009A5D91" w:rsidRDefault="009A5D91">
      <w:pPr>
        <w:spacing w:after="160" w:line="259" w:lineRule="auto"/>
        <w:ind w:left="0"/>
        <w:jc w:val="left"/>
        <w:rPr>
          <w:rFonts w:ascii="Times New Roman" w:hAnsi="Times New Roman"/>
          <w:i/>
          <w:iCs/>
          <w:sz w:val="24"/>
          <w:szCs w:val="24"/>
        </w:rPr>
      </w:pPr>
      <w:r>
        <w:rPr>
          <w:rFonts w:ascii="Times New Roman" w:hAnsi="Times New Roman"/>
          <w:sz w:val="24"/>
          <w:szCs w:val="24"/>
        </w:rPr>
        <w:br w:type="page"/>
      </w:r>
    </w:p>
    <w:p w:rsidR="004A156B" w:rsidRPr="00C95968" w:rsidRDefault="000626EE" w:rsidP="00761D6F">
      <w:pPr>
        <w:pStyle w:val="Caption"/>
        <w:keepNext/>
        <w:spacing w:before="120" w:after="120"/>
        <w:jc w:val="right"/>
        <w:rPr>
          <w:sz w:val="24"/>
          <w:szCs w:val="24"/>
          <w:shd w:val="clear" w:color="auto" w:fill="D9D9D9" w:themeFill="background1" w:themeFillShade="D9"/>
        </w:rPr>
      </w:pPr>
      <w:r>
        <w:rPr>
          <w:rFonts w:ascii="Times New Roman" w:hAnsi="Times New Roman"/>
          <w:color w:val="auto"/>
          <w:sz w:val="24"/>
          <w:szCs w:val="24"/>
        </w:rPr>
        <w:lastRenderedPageBreak/>
        <w:t xml:space="preserve">Tabula </w:t>
      </w:r>
      <w:r w:rsidR="004A156B" w:rsidRPr="00C95968">
        <w:rPr>
          <w:rFonts w:ascii="Times New Roman" w:hAnsi="Times New Roman"/>
          <w:color w:val="auto"/>
          <w:sz w:val="24"/>
          <w:szCs w:val="24"/>
        </w:rPr>
        <w:t xml:space="preserve">Nr. </w:t>
      </w:r>
      <w:r w:rsidR="004A156B" w:rsidRPr="00313077">
        <w:rPr>
          <w:rFonts w:ascii="Times New Roman" w:hAnsi="Times New Roman"/>
          <w:color w:val="auto"/>
          <w:sz w:val="24"/>
          <w:szCs w:val="24"/>
        </w:rPr>
        <w:fldChar w:fldCharType="begin"/>
      </w:r>
      <w:r w:rsidR="004A156B" w:rsidRPr="00313077">
        <w:rPr>
          <w:rFonts w:ascii="Times New Roman" w:hAnsi="Times New Roman"/>
          <w:color w:val="auto"/>
          <w:sz w:val="24"/>
          <w:szCs w:val="24"/>
        </w:rPr>
        <w:instrText xml:space="preserve"> SEQ Tabula \* ARABIC </w:instrText>
      </w:r>
      <w:r w:rsidR="004A156B" w:rsidRPr="00313077">
        <w:rPr>
          <w:rFonts w:ascii="Times New Roman" w:hAnsi="Times New Roman"/>
          <w:color w:val="auto"/>
          <w:sz w:val="24"/>
          <w:szCs w:val="24"/>
        </w:rPr>
        <w:fldChar w:fldCharType="separate"/>
      </w:r>
      <w:r w:rsidR="00F60BB8">
        <w:rPr>
          <w:rFonts w:ascii="Times New Roman" w:hAnsi="Times New Roman"/>
          <w:noProof/>
          <w:color w:val="auto"/>
          <w:sz w:val="24"/>
          <w:szCs w:val="24"/>
        </w:rPr>
        <w:t>1</w:t>
      </w:r>
      <w:r w:rsidR="004A156B" w:rsidRPr="00313077">
        <w:rPr>
          <w:rFonts w:ascii="Times New Roman" w:hAnsi="Times New Roman"/>
          <w:color w:val="auto"/>
          <w:sz w:val="24"/>
          <w:szCs w:val="24"/>
        </w:rPr>
        <w:fldChar w:fldCharType="end"/>
      </w:r>
    </w:p>
    <w:p w:rsidR="004A156B" w:rsidRPr="00C95968" w:rsidRDefault="004A156B" w:rsidP="00EB781C">
      <w:pPr>
        <w:tabs>
          <w:tab w:val="left" w:pos="0"/>
          <w:tab w:val="left" w:pos="567"/>
        </w:tabs>
        <w:spacing w:after="200"/>
        <w:ind w:left="0"/>
        <w:jc w:val="center"/>
        <w:rPr>
          <w:rFonts w:ascii="Times New Roman" w:hAnsi="Times New Roman"/>
          <w:b/>
          <w:color w:val="000000"/>
          <w:sz w:val="24"/>
          <w:szCs w:val="24"/>
          <w:lang w:eastAsia="lv-LV"/>
        </w:rPr>
      </w:pPr>
      <w:r w:rsidRPr="00C95968">
        <w:rPr>
          <w:rFonts w:ascii="Times New Roman" w:hAnsi="Times New Roman"/>
          <w:b/>
          <w:color w:val="000000"/>
          <w:sz w:val="24"/>
          <w:szCs w:val="24"/>
          <w:lang w:eastAsia="lv-LV"/>
        </w:rPr>
        <w:t>Lietuvas pētniecības infrastruktūras ceļa karte</w:t>
      </w:r>
    </w:p>
    <w:tbl>
      <w:tblPr>
        <w:tblStyle w:val="TableGrid"/>
        <w:tblW w:w="5000" w:type="pct"/>
        <w:tblLook w:val="04A0" w:firstRow="1" w:lastRow="0" w:firstColumn="1" w:lastColumn="0" w:noHBand="0" w:noVBand="1"/>
      </w:tblPr>
      <w:tblGrid>
        <w:gridCol w:w="4502"/>
        <w:gridCol w:w="4559"/>
      </w:tblGrid>
      <w:tr w:rsidR="004A156B" w:rsidRPr="00C07278" w:rsidTr="000626EE">
        <w:tc>
          <w:tcPr>
            <w:tcW w:w="2484" w:type="pct"/>
            <w:shd w:val="clear" w:color="auto" w:fill="D9D9D9" w:themeFill="background1" w:themeFillShade="D9"/>
            <w:vAlign w:val="center"/>
          </w:tcPr>
          <w:p w:rsidR="004A156B" w:rsidRPr="00C07278" w:rsidRDefault="004A156B" w:rsidP="00B07018">
            <w:pPr>
              <w:tabs>
                <w:tab w:val="left" w:pos="0"/>
                <w:tab w:val="left" w:pos="567"/>
              </w:tabs>
              <w:ind w:left="0"/>
              <w:jc w:val="center"/>
              <w:rPr>
                <w:rFonts w:ascii="Times New Roman" w:hAnsi="Times New Roman"/>
                <w:b/>
                <w:sz w:val="22"/>
                <w:szCs w:val="22"/>
              </w:rPr>
            </w:pPr>
            <w:r w:rsidRPr="00C07278">
              <w:rPr>
                <w:rFonts w:ascii="Times New Roman" w:hAnsi="Times New Roman"/>
                <w:b/>
                <w:sz w:val="22"/>
                <w:szCs w:val="22"/>
              </w:rPr>
              <w:t>Lietuvas pētniecības infrastruktūras</w:t>
            </w:r>
          </w:p>
        </w:tc>
        <w:tc>
          <w:tcPr>
            <w:tcW w:w="2516" w:type="pct"/>
            <w:shd w:val="clear" w:color="auto" w:fill="D9D9D9" w:themeFill="background1" w:themeFillShade="D9"/>
            <w:vAlign w:val="center"/>
          </w:tcPr>
          <w:p w:rsidR="004A156B" w:rsidRPr="00C07278" w:rsidRDefault="004A156B" w:rsidP="00B07018">
            <w:pPr>
              <w:tabs>
                <w:tab w:val="left" w:pos="0"/>
                <w:tab w:val="left" w:pos="567"/>
              </w:tabs>
              <w:ind w:left="0"/>
              <w:jc w:val="center"/>
              <w:rPr>
                <w:rFonts w:ascii="Times New Roman" w:hAnsi="Times New Roman"/>
                <w:b/>
                <w:sz w:val="22"/>
                <w:szCs w:val="22"/>
              </w:rPr>
            </w:pPr>
            <w:r w:rsidRPr="00C07278">
              <w:rPr>
                <w:rFonts w:ascii="Times New Roman" w:hAnsi="Times New Roman"/>
                <w:b/>
                <w:sz w:val="22"/>
                <w:szCs w:val="22"/>
              </w:rPr>
              <w:t>Iespējamā dalība Eiropas pētniecības infrastruktūras objektos</w:t>
            </w:r>
          </w:p>
        </w:tc>
      </w:tr>
      <w:tr w:rsidR="004A156B" w:rsidRPr="00C07278" w:rsidTr="000626EE">
        <w:tc>
          <w:tcPr>
            <w:tcW w:w="2484"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proofErr w:type="spellStart"/>
            <w:r w:rsidRPr="00C07278">
              <w:rPr>
                <w:rFonts w:ascii="Times New Roman" w:hAnsi="Times New Roman"/>
                <w:sz w:val="22"/>
                <w:szCs w:val="22"/>
              </w:rPr>
              <w:t>LiDA</w:t>
            </w:r>
            <w:proofErr w:type="spellEnd"/>
            <w:r w:rsidRPr="00C07278">
              <w:rPr>
                <w:rFonts w:ascii="Times New Roman" w:hAnsi="Times New Roman"/>
                <w:sz w:val="22"/>
                <w:szCs w:val="22"/>
              </w:rPr>
              <w:t xml:space="preserve"> (Lietuviešu, humanitāru un sociālo zinātņu datu arhīvs</w:t>
            </w:r>
            <w:r w:rsidRPr="00C07278" w:rsidDel="00DE168B">
              <w:rPr>
                <w:rFonts w:ascii="Times New Roman" w:hAnsi="Times New Roman"/>
                <w:sz w:val="22"/>
                <w:szCs w:val="22"/>
              </w:rPr>
              <w:t xml:space="preserve"> </w:t>
            </w:r>
            <w:r w:rsidRPr="00C07278">
              <w:rPr>
                <w:rFonts w:ascii="Times New Roman" w:hAnsi="Times New Roman"/>
                <w:sz w:val="22"/>
                <w:szCs w:val="22"/>
              </w:rPr>
              <w:t>)</w:t>
            </w:r>
          </w:p>
        </w:tc>
        <w:tc>
          <w:tcPr>
            <w:tcW w:w="2516"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CESSDA (</w:t>
            </w:r>
            <w:r w:rsidRPr="00C07278">
              <w:rPr>
                <w:rStyle w:val="hps"/>
                <w:rFonts w:ascii="Times New Roman" w:hAnsi="Times New Roman"/>
                <w:sz w:val="22"/>
                <w:szCs w:val="22"/>
              </w:rPr>
              <w:t>Eiropas Sociālo datu arhīvu padome), ESS</w:t>
            </w:r>
            <w:r w:rsidR="00795CCC">
              <w:rPr>
                <w:rStyle w:val="hps"/>
                <w:rFonts w:ascii="Times New Roman" w:hAnsi="Times New Roman"/>
                <w:sz w:val="22"/>
                <w:szCs w:val="22"/>
              </w:rPr>
              <w:t xml:space="preserve"> (Eiropas Sociālais pētījums)</w:t>
            </w:r>
          </w:p>
        </w:tc>
      </w:tr>
      <w:tr w:rsidR="004A156B" w:rsidRPr="00C07278" w:rsidTr="000626EE">
        <w:tc>
          <w:tcPr>
            <w:tcW w:w="2484"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E-lingua (Lietuviešu valodas elektroniskie resursi)</w:t>
            </w:r>
          </w:p>
        </w:tc>
        <w:tc>
          <w:tcPr>
            <w:tcW w:w="2516"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CLARIN</w:t>
            </w:r>
            <w:r w:rsidR="00795CCC">
              <w:rPr>
                <w:rFonts w:ascii="Times New Roman" w:hAnsi="Times New Roman"/>
                <w:sz w:val="22"/>
                <w:szCs w:val="22"/>
              </w:rPr>
              <w:t xml:space="preserve"> (Valodas resursu un tehnoloģiju infrastruktūra)</w:t>
            </w:r>
          </w:p>
        </w:tc>
      </w:tr>
      <w:tr w:rsidR="004A156B" w:rsidRPr="00C07278" w:rsidTr="000626EE">
        <w:tc>
          <w:tcPr>
            <w:tcW w:w="2484"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PITI (Mantojuma un vēstures pētniecības infrastruktūra)</w:t>
            </w:r>
          </w:p>
        </w:tc>
        <w:tc>
          <w:tcPr>
            <w:tcW w:w="2516"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DARIAH (Digitālā pētniecības infrastruktūra. mākslas un humanitāro zinātņu jomā)</w:t>
            </w:r>
          </w:p>
        </w:tc>
      </w:tr>
      <w:tr w:rsidR="004A156B" w:rsidRPr="00C07278" w:rsidTr="000626EE">
        <w:tc>
          <w:tcPr>
            <w:tcW w:w="2484"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CossyBio (Skaitļošanas, strukturālās un sistēmbioloģijas centrs)</w:t>
            </w:r>
          </w:p>
        </w:tc>
        <w:tc>
          <w:tcPr>
            <w:tcW w:w="2516" w:type="pct"/>
          </w:tcPr>
          <w:p w:rsidR="004A156B" w:rsidRPr="00C07278" w:rsidRDefault="004A156B" w:rsidP="00795CCC">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INSTRUCT</w:t>
            </w:r>
            <w:r w:rsidR="00795CCC">
              <w:rPr>
                <w:rFonts w:ascii="Times New Roman" w:hAnsi="Times New Roman"/>
                <w:sz w:val="22"/>
                <w:szCs w:val="22"/>
              </w:rPr>
              <w:t xml:space="preserve"> (Integrētā strukturālās bioloģijas infrastruktūra)</w:t>
            </w:r>
            <w:r w:rsidRPr="00C07278">
              <w:rPr>
                <w:rFonts w:ascii="Times New Roman" w:hAnsi="Times New Roman"/>
                <w:sz w:val="22"/>
                <w:szCs w:val="22"/>
              </w:rPr>
              <w:t>, ELEXIR</w:t>
            </w:r>
            <w:r w:rsidR="00795CCC">
              <w:rPr>
                <w:rFonts w:ascii="Times New Roman" w:hAnsi="Times New Roman"/>
                <w:sz w:val="22"/>
                <w:szCs w:val="22"/>
              </w:rPr>
              <w:t xml:space="preserve"> (Eiropas dzīvības zinātnes bioloģiskās informācijas infrastruktūra</w:t>
            </w:r>
            <w:r w:rsidRPr="00C07278">
              <w:rPr>
                <w:rFonts w:ascii="Times New Roman" w:hAnsi="Times New Roman"/>
                <w:sz w:val="22"/>
                <w:szCs w:val="22"/>
              </w:rPr>
              <w:t xml:space="preserve"> </w:t>
            </w:r>
            <w:r w:rsidR="00795CCC">
              <w:rPr>
                <w:rFonts w:ascii="Times New Roman" w:hAnsi="Times New Roman"/>
                <w:sz w:val="22"/>
                <w:szCs w:val="22"/>
              </w:rPr>
              <w:t xml:space="preserve">dzīvības zinātnēs) un </w:t>
            </w:r>
            <w:r w:rsidRPr="00C07278">
              <w:rPr>
                <w:rFonts w:ascii="Times New Roman" w:hAnsi="Times New Roman"/>
                <w:sz w:val="22"/>
                <w:szCs w:val="22"/>
              </w:rPr>
              <w:t>EMBL (Eiropas Molekulārās bioloģijas laboratorija)</w:t>
            </w:r>
          </w:p>
        </w:tc>
      </w:tr>
      <w:tr w:rsidR="004A156B" w:rsidRPr="00C07278" w:rsidTr="000626EE">
        <w:tc>
          <w:tcPr>
            <w:tcW w:w="2484"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HBRC (Cilvēku bioloģisko resursu centrs)</w:t>
            </w:r>
          </w:p>
        </w:tc>
        <w:tc>
          <w:tcPr>
            <w:tcW w:w="2516"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BBMRI</w:t>
            </w:r>
            <w:r w:rsidR="00795CCC">
              <w:rPr>
                <w:rFonts w:ascii="Times New Roman" w:hAnsi="Times New Roman"/>
                <w:sz w:val="22"/>
                <w:szCs w:val="22"/>
              </w:rPr>
              <w:t xml:space="preserve"> (</w:t>
            </w:r>
            <w:proofErr w:type="spellStart"/>
            <w:r w:rsidR="00795CCC">
              <w:rPr>
                <w:rFonts w:ascii="Times New Roman" w:hAnsi="Times New Roman"/>
                <w:sz w:val="22"/>
                <w:szCs w:val="22"/>
              </w:rPr>
              <w:t>Biobanku</w:t>
            </w:r>
            <w:proofErr w:type="spellEnd"/>
            <w:r w:rsidR="00795CCC">
              <w:rPr>
                <w:rFonts w:ascii="Times New Roman" w:hAnsi="Times New Roman"/>
                <w:sz w:val="22"/>
                <w:szCs w:val="22"/>
              </w:rPr>
              <w:t xml:space="preserve"> un </w:t>
            </w:r>
            <w:proofErr w:type="spellStart"/>
            <w:r w:rsidR="00795CCC">
              <w:rPr>
                <w:rFonts w:ascii="Times New Roman" w:hAnsi="Times New Roman"/>
                <w:sz w:val="22"/>
                <w:szCs w:val="22"/>
              </w:rPr>
              <w:t>biomolekulāro</w:t>
            </w:r>
            <w:proofErr w:type="spellEnd"/>
            <w:r w:rsidR="00795CCC">
              <w:rPr>
                <w:rFonts w:ascii="Times New Roman" w:hAnsi="Times New Roman"/>
                <w:sz w:val="22"/>
                <w:szCs w:val="22"/>
              </w:rPr>
              <w:t xml:space="preserve"> resursu pētniecības infrastruktūra)</w:t>
            </w:r>
          </w:p>
        </w:tc>
      </w:tr>
      <w:tr w:rsidR="004A156B" w:rsidRPr="00C07278" w:rsidTr="000626EE">
        <w:tc>
          <w:tcPr>
            <w:tcW w:w="2484"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RIEA (Eksperimentālo dzīvnieku pētnieciskā infrastruktūra)</w:t>
            </w:r>
          </w:p>
        </w:tc>
        <w:tc>
          <w:tcPr>
            <w:tcW w:w="2516"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INFRAFRONTIER (Eiropas infrastruktūra zīdītāju paraugu fenotipizācijai un arhivēšanai)</w:t>
            </w:r>
          </w:p>
        </w:tc>
      </w:tr>
      <w:tr w:rsidR="004A156B" w:rsidRPr="00C07278" w:rsidTr="000626EE">
        <w:tc>
          <w:tcPr>
            <w:tcW w:w="2484"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INECOM (Ekoloģiskās metabolomikas infrastruktūra)</w:t>
            </w:r>
          </w:p>
        </w:tc>
        <w:tc>
          <w:tcPr>
            <w:tcW w:w="2516"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EMBRC (Eiropas Jūras bioloģisko resursu centrs)</w:t>
            </w:r>
          </w:p>
        </w:tc>
      </w:tr>
      <w:tr w:rsidR="004A156B" w:rsidRPr="00C07278" w:rsidTr="000626EE">
        <w:tc>
          <w:tcPr>
            <w:tcW w:w="2484"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 xml:space="preserve">Lāzeru MTI </w:t>
            </w:r>
          </w:p>
        </w:tc>
        <w:tc>
          <w:tcPr>
            <w:tcW w:w="2516"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ELI (Ekstrēmās Gaismas infrastruktūra)</w:t>
            </w:r>
          </w:p>
        </w:tc>
      </w:tr>
      <w:tr w:rsidR="004A156B" w:rsidRPr="00C07278" w:rsidTr="000626EE">
        <w:trPr>
          <w:trHeight w:val="250"/>
        </w:trPr>
        <w:tc>
          <w:tcPr>
            <w:tcW w:w="2484"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proofErr w:type="spellStart"/>
            <w:r w:rsidRPr="00C07278">
              <w:rPr>
                <w:rFonts w:ascii="Times New Roman" w:hAnsi="Times New Roman"/>
                <w:sz w:val="22"/>
                <w:szCs w:val="22"/>
              </w:rPr>
              <w:t>LitGrid</w:t>
            </w:r>
            <w:proofErr w:type="spellEnd"/>
            <w:r w:rsidRPr="00C07278">
              <w:rPr>
                <w:rFonts w:ascii="Times New Roman" w:hAnsi="Times New Roman"/>
                <w:sz w:val="22"/>
                <w:szCs w:val="22"/>
              </w:rPr>
              <w:t>-HPC (Lietuviešu tīkla infrastruktūra augstas veiktspējas skaitļošanai)</w:t>
            </w:r>
          </w:p>
        </w:tc>
        <w:tc>
          <w:tcPr>
            <w:tcW w:w="2516"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EGI (</w:t>
            </w:r>
            <w:r w:rsidRPr="00C07278">
              <w:rPr>
                <w:rStyle w:val="Emphasis"/>
                <w:rFonts w:ascii="Times New Roman" w:hAnsi="Times New Roman"/>
                <w:bCs/>
                <w:i w:val="0"/>
                <w:iCs w:val="0"/>
                <w:sz w:val="22"/>
                <w:szCs w:val="22"/>
                <w:shd w:val="clear" w:color="auto" w:fill="FFFFFF"/>
              </w:rPr>
              <w:t>Eiropas Grid infrastruktūra)</w:t>
            </w:r>
            <w:r w:rsidRPr="00C07278">
              <w:rPr>
                <w:rFonts w:ascii="Times New Roman" w:hAnsi="Times New Roman"/>
                <w:sz w:val="22"/>
                <w:szCs w:val="22"/>
              </w:rPr>
              <w:t xml:space="preserve"> </w:t>
            </w:r>
            <w:r w:rsidRPr="00C07278">
              <w:rPr>
                <w:rFonts w:ascii="Times New Roman" w:hAnsi="Times New Roman"/>
                <w:sz w:val="22"/>
                <w:szCs w:val="22"/>
                <w:lang w:val="en-GB"/>
              </w:rPr>
              <w:t xml:space="preserve">and </w:t>
            </w:r>
            <w:r w:rsidRPr="00C07278">
              <w:rPr>
                <w:rFonts w:ascii="Times New Roman" w:hAnsi="Times New Roman"/>
                <w:sz w:val="22"/>
                <w:szCs w:val="22"/>
              </w:rPr>
              <w:t>PRACE (Eiropas Modernās skaitļošanas partnerība)</w:t>
            </w:r>
          </w:p>
        </w:tc>
      </w:tr>
      <w:tr w:rsidR="004A156B" w:rsidRPr="00C07278" w:rsidTr="000626EE">
        <w:trPr>
          <w:trHeight w:val="250"/>
        </w:trPr>
        <w:tc>
          <w:tcPr>
            <w:tcW w:w="2484"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MAO (</w:t>
            </w:r>
            <w:proofErr w:type="spellStart"/>
            <w:r w:rsidRPr="00C07278">
              <w:rPr>
                <w:rFonts w:ascii="Times New Roman" w:hAnsi="Times New Roman"/>
                <w:sz w:val="22"/>
                <w:szCs w:val="22"/>
              </w:rPr>
              <w:t>Molētu</w:t>
            </w:r>
            <w:proofErr w:type="spellEnd"/>
            <w:r w:rsidRPr="00C07278">
              <w:rPr>
                <w:rFonts w:ascii="Times New Roman" w:hAnsi="Times New Roman"/>
                <w:sz w:val="22"/>
                <w:szCs w:val="22"/>
              </w:rPr>
              <w:t xml:space="preserve"> astronomiskā observatorija)</w:t>
            </w:r>
          </w:p>
        </w:tc>
        <w:tc>
          <w:tcPr>
            <w:tcW w:w="2516" w:type="pct"/>
          </w:tcPr>
          <w:p w:rsidR="004A156B" w:rsidRPr="00C07278" w:rsidRDefault="004A156B" w:rsidP="00B07018">
            <w:pPr>
              <w:tabs>
                <w:tab w:val="left" w:pos="0"/>
                <w:tab w:val="left" w:pos="567"/>
              </w:tabs>
              <w:spacing w:line="252" w:lineRule="auto"/>
              <w:ind w:left="0"/>
              <w:rPr>
                <w:rFonts w:ascii="Times New Roman" w:hAnsi="Times New Roman"/>
                <w:sz w:val="22"/>
                <w:szCs w:val="22"/>
              </w:rPr>
            </w:pPr>
            <w:r w:rsidRPr="00C07278">
              <w:rPr>
                <w:rFonts w:ascii="Times New Roman" w:hAnsi="Times New Roman"/>
                <w:sz w:val="22"/>
                <w:szCs w:val="22"/>
              </w:rPr>
              <w:t>ESO (</w:t>
            </w:r>
            <w:r w:rsidRPr="00C07278">
              <w:rPr>
                <w:rStyle w:val="Emphasis"/>
                <w:rFonts w:ascii="Times New Roman" w:hAnsi="Times New Roman"/>
                <w:bCs/>
                <w:i w:val="0"/>
                <w:iCs w:val="0"/>
                <w:sz w:val="22"/>
                <w:szCs w:val="22"/>
                <w:shd w:val="clear" w:color="auto" w:fill="FFFFFF"/>
              </w:rPr>
              <w:t>Eiropas Dienvidu observatorija)</w:t>
            </w:r>
          </w:p>
        </w:tc>
      </w:tr>
    </w:tbl>
    <w:p w:rsidR="004A156B" w:rsidRPr="00C95968" w:rsidRDefault="004A156B" w:rsidP="00B07018">
      <w:pPr>
        <w:tabs>
          <w:tab w:val="left" w:pos="0"/>
          <w:tab w:val="left" w:pos="567"/>
        </w:tabs>
        <w:ind w:left="0"/>
        <w:rPr>
          <w:rFonts w:ascii="Times New Roman" w:hAnsi="Times New Roman"/>
          <w:i/>
          <w:color w:val="000000"/>
          <w:sz w:val="24"/>
          <w:szCs w:val="24"/>
          <w:lang w:eastAsia="lv-LV"/>
        </w:rPr>
      </w:pPr>
      <w:r w:rsidRPr="00C95968">
        <w:rPr>
          <w:rFonts w:ascii="Times New Roman" w:hAnsi="Times New Roman"/>
          <w:i/>
          <w:color w:val="000000"/>
          <w:sz w:val="24"/>
          <w:szCs w:val="24"/>
          <w:lang w:eastAsia="lv-LV"/>
        </w:rPr>
        <w:t>Datu avots: Lietuvas pētniecības infrastruktūras ceļa karte (</w:t>
      </w:r>
      <w:r w:rsidRPr="00C95968">
        <w:rPr>
          <w:rFonts w:ascii="Times New Roman" w:hAnsi="Times New Roman"/>
          <w:i/>
          <w:color w:val="000000"/>
          <w:sz w:val="24"/>
          <w:szCs w:val="24"/>
          <w:lang w:val="en-GB" w:eastAsia="lv-LV"/>
        </w:rPr>
        <w:t>Roadmap for research infrastructures of Lithuania)</w:t>
      </w:r>
      <w:r w:rsidRPr="00C95968">
        <w:rPr>
          <w:rFonts w:ascii="Times New Roman" w:hAnsi="Times New Roman"/>
          <w:i/>
          <w:color w:val="000000"/>
          <w:sz w:val="24"/>
          <w:szCs w:val="24"/>
          <w:lang w:eastAsia="lv-LV"/>
        </w:rPr>
        <w:t xml:space="preserve"> </w:t>
      </w:r>
    </w:p>
    <w:p w:rsidR="004A156B" w:rsidRPr="00C07278" w:rsidRDefault="004A156B" w:rsidP="00B07018">
      <w:pPr>
        <w:tabs>
          <w:tab w:val="left" w:pos="0"/>
          <w:tab w:val="left" w:pos="567"/>
        </w:tabs>
        <w:ind w:left="0"/>
        <w:rPr>
          <w:rFonts w:ascii="Times New Roman" w:hAnsi="Times New Roman"/>
          <w:color w:val="000000"/>
          <w:sz w:val="20"/>
          <w:szCs w:val="20"/>
          <w:lang w:eastAsia="lv-LV"/>
        </w:rPr>
      </w:pPr>
    </w:p>
    <w:p w:rsidR="004A156B" w:rsidRPr="00C07278" w:rsidRDefault="004A156B" w:rsidP="00B07018">
      <w:pPr>
        <w:tabs>
          <w:tab w:val="left" w:pos="567"/>
        </w:tabs>
        <w:ind w:left="0"/>
        <w:rPr>
          <w:rFonts w:ascii="Times New Roman" w:hAnsi="Times New Roman"/>
          <w:color w:val="000000"/>
          <w:sz w:val="24"/>
          <w:szCs w:val="24"/>
          <w:lang w:eastAsia="lv-LV"/>
        </w:rPr>
      </w:pPr>
      <w:r w:rsidRPr="00C07278">
        <w:rPr>
          <w:rFonts w:ascii="Times New Roman" w:hAnsi="Times New Roman"/>
          <w:color w:val="000000"/>
          <w:sz w:val="24"/>
          <w:szCs w:val="24"/>
          <w:lang w:eastAsia="lv-LV"/>
        </w:rPr>
        <w:tab/>
        <w:t>Lietuvas valdība 2013.</w:t>
      </w:r>
      <w:r w:rsidR="007B1142">
        <w:rPr>
          <w:rFonts w:ascii="Times New Roman" w:hAnsi="Times New Roman"/>
          <w:color w:val="000000"/>
          <w:sz w:val="24"/>
          <w:szCs w:val="24"/>
          <w:lang w:eastAsia="lv-LV"/>
        </w:rPr>
        <w:t> </w:t>
      </w:r>
      <w:r w:rsidRPr="00C07278">
        <w:rPr>
          <w:rFonts w:ascii="Times New Roman" w:hAnsi="Times New Roman"/>
          <w:color w:val="000000"/>
          <w:sz w:val="24"/>
          <w:szCs w:val="24"/>
          <w:lang w:eastAsia="lv-LV"/>
        </w:rPr>
        <w:t>gada 14.</w:t>
      </w:r>
      <w:r w:rsidR="007B1142">
        <w:rPr>
          <w:rFonts w:ascii="Times New Roman" w:hAnsi="Times New Roman"/>
          <w:color w:val="000000"/>
          <w:sz w:val="24"/>
          <w:szCs w:val="24"/>
          <w:lang w:eastAsia="lv-LV"/>
        </w:rPr>
        <w:t> </w:t>
      </w:r>
      <w:r w:rsidRPr="00C07278">
        <w:rPr>
          <w:rFonts w:ascii="Times New Roman" w:hAnsi="Times New Roman"/>
          <w:color w:val="000000"/>
          <w:sz w:val="24"/>
          <w:szCs w:val="24"/>
          <w:lang w:eastAsia="lv-LV"/>
        </w:rPr>
        <w:t>oktobrī apstiprinājusi sešas viedās specializācijas pētniecības, attīstības un inovāciju prioritārās jomas, kurām ir noteiktas pētniecības un attīstības prioritātes (sk</w:t>
      </w:r>
      <w:r w:rsidR="00313077">
        <w:rPr>
          <w:rFonts w:ascii="Times New Roman" w:hAnsi="Times New Roman"/>
          <w:color w:val="000000"/>
          <w:sz w:val="24"/>
          <w:szCs w:val="24"/>
          <w:lang w:eastAsia="lv-LV"/>
        </w:rPr>
        <w:t>at</w:t>
      </w:r>
      <w:r w:rsidRPr="00C07278">
        <w:rPr>
          <w:rFonts w:ascii="Times New Roman" w:hAnsi="Times New Roman"/>
          <w:color w:val="000000"/>
          <w:sz w:val="24"/>
          <w:szCs w:val="24"/>
          <w:lang w:eastAsia="lv-LV"/>
        </w:rPr>
        <w:t xml:space="preserve">. </w:t>
      </w:r>
      <w:r w:rsidR="00313077">
        <w:rPr>
          <w:rFonts w:ascii="Times New Roman" w:hAnsi="Times New Roman"/>
          <w:color w:val="000000"/>
          <w:sz w:val="24"/>
          <w:szCs w:val="24"/>
          <w:lang w:eastAsia="lv-LV"/>
        </w:rPr>
        <w:t>2.</w:t>
      </w:r>
      <w:r w:rsidR="007B1142">
        <w:rPr>
          <w:rFonts w:ascii="Times New Roman" w:hAnsi="Times New Roman"/>
          <w:color w:val="000000"/>
          <w:sz w:val="24"/>
          <w:szCs w:val="24"/>
          <w:lang w:eastAsia="lv-LV"/>
        </w:rPr>
        <w:t> </w:t>
      </w:r>
      <w:r w:rsidRPr="00C07278">
        <w:rPr>
          <w:rFonts w:ascii="Times New Roman" w:hAnsi="Times New Roman"/>
          <w:color w:val="000000"/>
          <w:sz w:val="24"/>
          <w:szCs w:val="24"/>
          <w:lang w:eastAsia="lv-LV"/>
        </w:rPr>
        <w:t>tabulu).</w:t>
      </w:r>
    </w:p>
    <w:p w:rsidR="004A156B" w:rsidRPr="00C95968" w:rsidRDefault="000626EE" w:rsidP="00761D6F">
      <w:pPr>
        <w:pStyle w:val="Caption"/>
        <w:keepNext/>
        <w:spacing w:before="120" w:after="120"/>
        <w:jc w:val="right"/>
        <w:rPr>
          <w:sz w:val="24"/>
          <w:szCs w:val="24"/>
          <w:shd w:val="clear" w:color="auto" w:fill="D9D9D9" w:themeFill="background1" w:themeFillShade="D9"/>
        </w:rPr>
      </w:pPr>
      <w:r>
        <w:rPr>
          <w:rFonts w:ascii="Times New Roman" w:hAnsi="Times New Roman"/>
          <w:color w:val="auto"/>
          <w:sz w:val="24"/>
          <w:szCs w:val="24"/>
        </w:rPr>
        <w:t xml:space="preserve">Tabula </w:t>
      </w:r>
      <w:r w:rsidR="004A156B" w:rsidRPr="00C95968">
        <w:rPr>
          <w:rFonts w:ascii="Times New Roman" w:hAnsi="Times New Roman"/>
          <w:color w:val="auto"/>
          <w:sz w:val="24"/>
          <w:szCs w:val="24"/>
        </w:rPr>
        <w:t xml:space="preserve">Nr. </w:t>
      </w:r>
      <w:r w:rsidR="004A156B" w:rsidRPr="00C95968">
        <w:rPr>
          <w:rFonts w:ascii="Times New Roman" w:hAnsi="Times New Roman"/>
          <w:color w:val="auto"/>
          <w:sz w:val="24"/>
          <w:szCs w:val="24"/>
        </w:rPr>
        <w:fldChar w:fldCharType="begin"/>
      </w:r>
      <w:r w:rsidR="004A156B" w:rsidRPr="00C95968">
        <w:rPr>
          <w:rFonts w:ascii="Times New Roman" w:hAnsi="Times New Roman"/>
          <w:color w:val="auto"/>
          <w:sz w:val="24"/>
          <w:szCs w:val="24"/>
        </w:rPr>
        <w:instrText xml:space="preserve"> SEQ Tabula \* ARABIC </w:instrText>
      </w:r>
      <w:r w:rsidR="004A156B" w:rsidRPr="00C95968">
        <w:rPr>
          <w:rFonts w:ascii="Times New Roman" w:hAnsi="Times New Roman"/>
          <w:color w:val="auto"/>
          <w:sz w:val="24"/>
          <w:szCs w:val="24"/>
        </w:rPr>
        <w:fldChar w:fldCharType="separate"/>
      </w:r>
      <w:r w:rsidR="00F60BB8">
        <w:rPr>
          <w:rFonts w:ascii="Times New Roman" w:hAnsi="Times New Roman"/>
          <w:noProof/>
          <w:color w:val="auto"/>
          <w:sz w:val="24"/>
          <w:szCs w:val="24"/>
        </w:rPr>
        <w:t>2</w:t>
      </w:r>
      <w:r w:rsidR="004A156B" w:rsidRPr="00C95968">
        <w:rPr>
          <w:rFonts w:ascii="Times New Roman" w:hAnsi="Times New Roman"/>
          <w:color w:val="auto"/>
          <w:sz w:val="24"/>
          <w:szCs w:val="24"/>
        </w:rPr>
        <w:fldChar w:fldCharType="end"/>
      </w:r>
    </w:p>
    <w:p w:rsidR="004A156B" w:rsidRPr="00C95968" w:rsidRDefault="004A156B" w:rsidP="000626EE">
      <w:pPr>
        <w:tabs>
          <w:tab w:val="left" w:pos="567"/>
        </w:tabs>
        <w:spacing w:after="200"/>
        <w:ind w:left="0"/>
        <w:jc w:val="center"/>
        <w:rPr>
          <w:rFonts w:ascii="Times New Roman" w:hAnsi="Times New Roman"/>
          <w:b/>
          <w:color w:val="000000"/>
          <w:lang w:eastAsia="lv-LV"/>
        </w:rPr>
      </w:pPr>
      <w:r w:rsidRPr="00C95968">
        <w:rPr>
          <w:rFonts w:ascii="Times New Roman" w:hAnsi="Times New Roman"/>
          <w:b/>
          <w:color w:val="000000"/>
          <w:sz w:val="24"/>
          <w:szCs w:val="24"/>
          <w:lang w:eastAsia="lv-LV"/>
        </w:rPr>
        <w:t>Lietuvas Viedās specializācijas jomas</w:t>
      </w:r>
    </w:p>
    <w:tbl>
      <w:tblPr>
        <w:tblStyle w:val="TableGrid"/>
        <w:tblpPr w:leftFromText="180" w:rightFromText="180" w:vertAnchor="text" w:horzAnchor="margin" w:tblpY="8"/>
        <w:tblW w:w="5000" w:type="pct"/>
        <w:tblLook w:val="04A0" w:firstRow="1" w:lastRow="0" w:firstColumn="1" w:lastColumn="0" w:noHBand="0" w:noVBand="1"/>
      </w:tblPr>
      <w:tblGrid>
        <w:gridCol w:w="2852"/>
        <w:gridCol w:w="6209"/>
      </w:tblGrid>
      <w:tr w:rsidR="004A156B" w:rsidRPr="00C07278" w:rsidTr="000626EE">
        <w:tc>
          <w:tcPr>
            <w:tcW w:w="1574" w:type="pct"/>
            <w:shd w:val="clear" w:color="auto" w:fill="D9D9D9" w:themeFill="background1" w:themeFillShade="D9"/>
            <w:vAlign w:val="center"/>
          </w:tcPr>
          <w:p w:rsidR="004A156B" w:rsidRPr="00C07278" w:rsidRDefault="004A156B" w:rsidP="00B07018">
            <w:pPr>
              <w:tabs>
                <w:tab w:val="left" w:pos="567"/>
              </w:tabs>
              <w:ind w:left="0"/>
              <w:jc w:val="center"/>
              <w:rPr>
                <w:rFonts w:ascii="Times New Roman" w:hAnsi="Times New Roman"/>
                <w:b/>
                <w:color w:val="000000"/>
                <w:sz w:val="22"/>
                <w:szCs w:val="22"/>
              </w:rPr>
            </w:pPr>
            <w:r w:rsidRPr="00C07278">
              <w:rPr>
                <w:rFonts w:ascii="Times New Roman" w:hAnsi="Times New Roman"/>
                <w:b/>
                <w:color w:val="000000"/>
                <w:sz w:val="22"/>
                <w:szCs w:val="22"/>
              </w:rPr>
              <w:t>Pētniecības, attīstības un inovācijas prioritārās jomas</w:t>
            </w:r>
          </w:p>
        </w:tc>
        <w:tc>
          <w:tcPr>
            <w:tcW w:w="3426" w:type="pct"/>
            <w:shd w:val="clear" w:color="auto" w:fill="D9D9D9" w:themeFill="background1" w:themeFillShade="D9"/>
            <w:vAlign w:val="center"/>
          </w:tcPr>
          <w:p w:rsidR="004A156B" w:rsidRPr="00C07278" w:rsidRDefault="004A156B" w:rsidP="00B07018">
            <w:pPr>
              <w:tabs>
                <w:tab w:val="left" w:pos="567"/>
              </w:tabs>
              <w:ind w:left="0"/>
              <w:jc w:val="center"/>
              <w:rPr>
                <w:rFonts w:ascii="Times New Roman" w:hAnsi="Times New Roman"/>
                <w:b/>
                <w:color w:val="000000"/>
                <w:sz w:val="22"/>
                <w:szCs w:val="22"/>
              </w:rPr>
            </w:pPr>
            <w:r w:rsidRPr="00C07278">
              <w:rPr>
                <w:rFonts w:ascii="Times New Roman" w:hAnsi="Times New Roman"/>
                <w:b/>
                <w:color w:val="000000"/>
                <w:sz w:val="22"/>
                <w:szCs w:val="22"/>
              </w:rPr>
              <w:t>Pētniecības un attīstības prioritātes</w:t>
            </w:r>
          </w:p>
        </w:tc>
      </w:tr>
      <w:tr w:rsidR="004A156B" w:rsidRPr="00C07278" w:rsidTr="000626EE">
        <w:tc>
          <w:tcPr>
            <w:tcW w:w="1574" w:type="pct"/>
            <w:vAlign w:val="center"/>
          </w:tcPr>
          <w:p w:rsidR="004A156B" w:rsidRPr="00C07278" w:rsidRDefault="004A156B" w:rsidP="00B07018">
            <w:pPr>
              <w:tabs>
                <w:tab w:val="left" w:pos="567"/>
              </w:tabs>
              <w:ind w:left="0"/>
              <w:rPr>
                <w:rFonts w:ascii="Times New Roman" w:hAnsi="Times New Roman"/>
                <w:color w:val="000000"/>
                <w:sz w:val="22"/>
                <w:szCs w:val="22"/>
              </w:rPr>
            </w:pPr>
            <w:r w:rsidRPr="00C07278">
              <w:rPr>
                <w:rFonts w:ascii="Times New Roman" w:hAnsi="Times New Roman"/>
                <w:color w:val="000000"/>
                <w:sz w:val="22"/>
                <w:szCs w:val="22"/>
              </w:rPr>
              <w:t>Enerģija un vides ilgtspēja</w:t>
            </w:r>
          </w:p>
        </w:tc>
        <w:tc>
          <w:tcPr>
            <w:tcW w:w="3426" w:type="pct"/>
            <w:vAlign w:val="center"/>
          </w:tcPr>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 xml:space="preserve">Viedā sistēma ģeneratoru, energosistēmas un klientu enerģijas efektivitātei, diagnostikai, monitoringam, mērīšanai un pārvaldīšanai;   </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 xml:space="preserve">Enerģijas un degvielas ražošana, izmantojot biomasas/atkritumu apstrādi, </w:t>
            </w:r>
            <w:r w:rsidRPr="00C07278">
              <w:rPr>
                <w:rFonts w:cs="Times New Roman"/>
              </w:rPr>
              <w:t xml:space="preserve"> </w:t>
            </w:r>
            <w:r w:rsidRPr="00C07278">
              <w:rPr>
                <w:rFonts w:cs="Times New Roman"/>
                <w:color w:val="000000"/>
                <w:sz w:val="22"/>
                <w:szCs w:val="22"/>
              </w:rPr>
              <w:t xml:space="preserve">uzglabāšanu un realizāciju; </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 xml:space="preserve">Tehnoloģijas viedo zemas enerģijas ēku attīstībai un izmantošanai – digitālā konstruēšana;  </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 xml:space="preserve">Saules enerģijas aprīkojums un tehnoloģijas elektrības, apkures un atvēsināšanas ražošanā. </w:t>
            </w:r>
          </w:p>
        </w:tc>
      </w:tr>
      <w:tr w:rsidR="004A156B" w:rsidRPr="00C07278" w:rsidTr="000626EE">
        <w:tc>
          <w:tcPr>
            <w:tcW w:w="1574" w:type="pct"/>
            <w:vAlign w:val="center"/>
          </w:tcPr>
          <w:p w:rsidR="004A156B" w:rsidRPr="00C07278" w:rsidRDefault="004A156B" w:rsidP="00B07018">
            <w:pPr>
              <w:tabs>
                <w:tab w:val="left" w:pos="567"/>
              </w:tabs>
              <w:ind w:left="0"/>
              <w:rPr>
                <w:rFonts w:ascii="Times New Roman" w:hAnsi="Times New Roman"/>
                <w:color w:val="000000"/>
                <w:sz w:val="22"/>
                <w:szCs w:val="22"/>
              </w:rPr>
            </w:pPr>
            <w:r w:rsidRPr="00C07278">
              <w:rPr>
                <w:rFonts w:ascii="Times New Roman" w:hAnsi="Times New Roman"/>
                <w:color w:val="000000"/>
                <w:sz w:val="22"/>
                <w:szCs w:val="22"/>
              </w:rPr>
              <w:t>Veselības tehnoloģijas un biotehnoloģijas</w:t>
            </w:r>
          </w:p>
        </w:tc>
        <w:tc>
          <w:tcPr>
            <w:tcW w:w="3426" w:type="pct"/>
            <w:vAlign w:val="center"/>
          </w:tcPr>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Molekulārās tehnoloģijas medicīnai un biofarmācijai;</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 xml:space="preserve">Mūsdienīgas lietišķās tehnoloģijas individuālajai un sabiedriskajai veselībai; </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 xml:space="preserve">Attīstīta medicīnas inženierija agrīnai diagnostikai un ārstēšanai. </w:t>
            </w:r>
          </w:p>
        </w:tc>
      </w:tr>
      <w:tr w:rsidR="004A156B" w:rsidRPr="00C07278" w:rsidTr="000626EE">
        <w:tc>
          <w:tcPr>
            <w:tcW w:w="1574" w:type="pct"/>
            <w:vAlign w:val="center"/>
          </w:tcPr>
          <w:p w:rsidR="004A156B" w:rsidRPr="00C07278" w:rsidRDefault="004A156B" w:rsidP="00B07018">
            <w:pPr>
              <w:tabs>
                <w:tab w:val="left" w:pos="567"/>
              </w:tabs>
              <w:ind w:left="0"/>
              <w:rPr>
                <w:rFonts w:ascii="Times New Roman" w:hAnsi="Times New Roman"/>
                <w:color w:val="000000"/>
                <w:sz w:val="22"/>
                <w:szCs w:val="22"/>
              </w:rPr>
            </w:pPr>
            <w:r w:rsidRPr="00C07278">
              <w:rPr>
                <w:rFonts w:ascii="Times New Roman" w:hAnsi="Times New Roman"/>
                <w:color w:val="000000"/>
                <w:sz w:val="22"/>
                <w:szCs w:val="22"/>
              </w:rPr>
              <w:t>Inovācijas lauksaimniecībā un pārtikas tehnoloģijas</w:t>
            </w:r>
          </w:p>
        </w:tc>
        <w:tc>
          <w:tcPr>
            <w:tcW w:w="3426" w:type="pct"/>
            <w:vAlign w:val="center"/>
          </w:tcPr>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 xml:space="preserve">Ilgtspējīgi agro-bioloģiski resursi un drošāka pārtika; </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lastRenderedPageBreak/>
              <w:t>Funkcionāls ēdiens;</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 xml:space="preserve">Bioloģisko izejas materiālu (biorafinēšana) inovatīva attīstīšana, uzlabošana un realizēšana.  </w:t>
            </w:r>
          </w:p>
        </w:tc>
      </w:tr>
      <w:tr w:rsidR="004A156B" w:rsidRPr="00C07278" w:rsidTr="000626EE">
        <w:trPr>
          <w:trHeight w:val="1142"/>
        </w:trPr>
        <w:tc>
          <w:tcPr>
            <w:tcW w:w="1574" w:type="pct"/>
            <w:vAlign w:val="center"/>
          </w:tcPr>
          <w:p w:rsidR="004A156B" w:rsidRPr="00C07278" w:rsidRDefault="004A156B" w:rsidP="00B07018">
            <w:pPr>
              <w:tabs>
                <w:tab w:val="left" w:pos="567"/>
              </w:tabs>
              <w:ind w:left="0"/>
              <w:rPr>
                <w:rFonts w:ascii="Times New Roman" w:hAnsi="Times New Roman"/>
                <w:color w:val="000000"/>
                <w:sz w:val="22"/>
                <w:szCs w:val="22"/>
              </w:rPr>
            </w:pPr>
            <w:r w:rsidRPr="00C07278">
              <w:rPr>
                <w:rFonts w:ascii="Times New Roman" w:hAnsi="Times New Roman"/>
                <w:color w:val="000000"/>
                <w:sz w:val="22"/>
                <w:szCs w:val="22"/>
              </w:rPr>
              <w:lastRenderedPageBreak/>
              <w:t>Jauni ražošanas procesi, materiāli un tehnoloģijas</w:t>
            </w:r>
          </w:p>
        </w:tc>
        <w:tc>
          <w:tcPr>
            <w:tcW w:w="3426" w:type="pct"/>
            <w:vAlign w:val="center"/>
          </w:tcPr>
          <w:p w:rsidR="004A156B" w:rsidRPr="00C07278" w:rsidRDefault="004A156B" w:rsidP="00B07018">
            <w:pPr>
              <w:pStyle w:val="ListParagraph"/>
              <w:numPr>
                <w:ilvl w:val="0"/>
                <w:numId w:val="2"/>
              </w:numPr>
              <w:tabs>
                <w:tab w:val="left" w:pos="567"/>
              </w:tabs>
              <w:spacing w:before="0"/>
              <w:ind w:left="176" w:hanging="142"/>
              <w:rPr>
                <w:rFonts w:cs="Times New Roman"/>
                <w:color w:val="000000"/>
                <w:sz w:val="22"/>
                <w:szCs w:val="22"/>
              </w:rPr>
            </w:pPr>
            <w:r w:rsidRPr="00C07278">
              <w:rPr>
                <w:rFonts w:cs="Times New Roman"/>
                <w:color w:val="000000"/>
                <w:sz w:val="22"/>
                <w:szCs w:val="22"/>
              </w:rPr>
              <w:t>Fotonu un lāzeru tehnoloģijas;;</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Funkcionāli materiāli un pārklājums;;</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Strukturāli un kompozīti materiāli;</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 xml:space="preserve">Elastīgas tehnoloģiskās sistēmas produktu attīstībai un ražošanai. </w:t>
            </w:r>
          </w:p>
        </w:tc>
      </w:tr>
      <w:tr w:rsidR="004A156B" w:rsidRPr="00C07278" w:rsidTr="000626EE">
        <w:tc>
          <w:tcPr>
            <w:tcW w:w="1574" w:type="pct"/>
            <w:vAlign w:val="center"/>
          </w:tcPr>
          <w:p w:rsidR="004A156B" w:rsidRPr="00C07278" w:rsidRDefault="004A156B" w:rsidP="00B07018">
            <w:pPr>
              <w:tabs>
                <w:tab w:val="left" w:pos="567"/>
              </w:tabs>
              <w:ind w:left="0"/>
              <w:rPr>
                <w:rFonts w:ascii="Times New Roman" w:hAnsi="Times New Roman"/>
                <w:color w:val="000000"/>
                <w:sz w:val="22"/>
                <w:szCs w:val="22"/>
              </w:rPr>
            </w:pPr>
            <w:r w:rsidRPr="00C07278">
              <w:rPr>
                <w:rFonts w:ascii="Times New Roman" w:hAnsi="Times New Roman"/>
                <w:color w:val="000000"/>
                <w:sz w:val="22"/>
                <w:szCs w:val="22"/>
              </w:rPr>
              <w:t>Transports, loģistika un informācijas un komunikāciju tehnoloģijas</w:t>
            </w:r>
          </w:p>
        </w:tc>
        <w:tc>
          <w:tcPr>
            <w:tcW w:w="3426" w:type="pct"/>
            <w:vAlign w:val="center"/>
          </w:tcPr>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Viedās transporta sistēmas un informācijas un komunikācijas tehnoloģijas;</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 xml:space="preserve">Tehnoloģijas/modeļi starptautisko transporta koridoru pārvaldīšanai un transporta veidu integrācija; </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Augstākā līmeņa elektroniskais saturs, saturu attīstošās tehnoloģijas un informācijas savienojamība;</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Informācijas un komunikācijas tehnoloģiju infrastruktūra,</w:t>
            </w:r>
            <w:r w:rsidRPr="00C07278">
              <w:rPr>
                <w:rFonts w:cs="Times New Roman"/>
              </w:rPr>
              <w:t xml:space="preserve"> </w:t>
            </w:r>
            <w:r w:rsidRPr="00C07278">
              <w:rPr>
                <w:rFonts w:cs="Times New Roman"/>
                <w:color w:val="000000"/>
                <w:sz w:val="22"/>
                <w:szCs w:val="22"/>
              </w:rPr>
              <w:t xml:space="preserve">mākoņdatošanas risinājumi un pakalpojumi.  </w:t>
            </w:r>
          </w:p>
        </w:tc>
      </w:tr>
      <w:tr w:rsidR="004A156B" w:rsidRPr="00C07278" w:rsidTr="000626EE">
        <w:tc>
          <w:tcPr>
            <w:tcW w:w="1574" w:type="pct"/>
            <w:vAlign w:val="center"/>
          </w:tcPr>
          <w:p w:rsidR="004A156B" w:rsidRPr="00C07278" w:rsidRDefault="004A156B" w:rsidP="00B07018">
            <w:pPr>
              <w:tabs>
                <w:tab w:val="left" w:pos="567"/>
              </w:tabs>
              <w:ind w:left="0"/>
              <w:rPr>
                <w:rFonts w:ascii="Times New Roman" w:hAnsi="Times New Roman"/>
                <w:color w:val="000000"/>
                <w:sz w:val="22"/>
                <w:szCs w:val="22"/>
              </w:rPr>
            </w:pPr>
            <w:r w:rsidRPr="00C07278">
              <w:rPr>
                <w:rFonts w:ascii="Times New Roman" w:hAnsi="Times New Roman"/>
                <w:color w:val="000000"/>
                <w:sz w:val="22"/>
                <w:szCs w:val="22"/>
              </w:rPr>
              <w:t>Radoša un iekļaujoša sabiedrība</w:t>
            </w:r>
          </w:p>
        </w:tc>
        <w:tc>
          <w:tcPr>
            <w:tcW w:w="3426" w:type="pct"/>
            <w:vAlign w:val="center"/>
          </w:tcPr>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Modernas pašattīstības tehnoloģijas un procesi;</w:t>
            </w:r>
          </w:p>
          <w:p w:rsidR="004A156B" w:rsidRPr="00C07278" w:rsidRDefault="004A156B" w:rsidP="00B07018">
            <w:pPr>
              <w:pStyle w:val="ListParagraph"/>
              <w:numPr>
                <w:ilvl w:val="0"/>
                <w:numId w:val="2"/>
              </w:numPr>
              <w:tabs>
                <w:tab w:val="left" w:pos="567"/>
              </w:tabs>
              <w:ind w:left="177" w:hanging="142"/>
              <w:rPr>
                <w:rFonts w:cs="Times New Roman"/>
                <w:color w:val="000000"/>
                <w:sz w:val="22"/>
                <w:szCs w:val="22"/>
              </w:rPr>
            </w:pPr>
            <w:r w:rsidRPr="00C07278">
              <w:rPr>
                <w:rFonts w:cs="Times New Roman"/>
                <w:color w:val="000000"/>
                <w:sz w:val="22"/>
                <w:szCs w:val="22"/>
              </w:rPr>
              <w:t>Tehnoloģijas un procesi izrāviena inovāciju attīstībai un ieviešanai.</w:t>
            </w:r>
          </w:p>
        </w:tc>
      </w:tr>
    </w:tbl>
    <w:p w:rsidR="004A156B" w:rsidRPr="00C95968" w:rsidRDefault="004A156B" w:rsidP="00B07018">
      <w:pPr>
        <w:tabs>
          <w:tab w:val="left" w:pos="567"/>
        </w:tabs>
        <w:ind w:left="0"/>
        <w:jc w:val="left"/>
        <w:rPr>
          <w:rFonts w:ascii="Times New Roman" w:hAnsi="Times New Roman"/>
          <w:i/>
          <w:color w:val="000000"/>
          <w:sz w:val="24"/>
          <w:szCs w:val="24"/>
          <w:lang w:eastAsia="lv-LV"/>
        </w:rPr>
      </w:pPr>
      <w:r w:rsidRPr="00C95968">
        <w:rPr>
          <w:rFonts w:ascii="Times New Roman" w:hAnsi="Times New Roman"/>
          <w:i/>
          <w:color w:val="000000"/>
          <w:sz w:val="24"/>
          <w:szCs w:val="24"/>
          <w:lang w:eastAsia="lv-LV"/>
        </w:rPr>
        <w:lastRenderedPageBreak/>
        <w:t>Datu avots: Lietuvas Izglītības un zinātnes ministrija</w:t>
      </w:r>
    </w:p>
    <w:p w:rsidR="004A156B" w:rsidRPr="00C07278" w:rsidRDefault="004A156B" w:rsidP="0002393A">
      <w:pPr>
        <w:pStyle w:val="Heading1"/>
        <w:numPr>
          <w:ilvl w:val="0"/>
          <w:numId w:val="7"/>
        </w:numPr>
        <w:tabs>
          <w:tab w:val="left" w:pos="993"/>
        </w:tabs>
        <w:spacing w:after="240"/>
        <w:ind w:left="426" w:hanging="357"/>
        <w:jc w:val="center"/>
        <w:rPr>
          <w:rFonts w:ascii="Times New Roman" w:hAnsi="Times New Roman"/>
          <w:color w:val="auto"/>
          <w:sz w:val="24"/>
          <w:szCs w:val="24"/>
        </w:rPr>
      </w:pPr>
      <w:bookmarkStart w:id="1" w:name="_Toc444524474"/>
      <w:r w:rsidRPr="00C07278">
        <w:rPr>
          <w:rFonts w:ascii="Times New Roman" w:hAnsi="Times New Roman"/>
          <w:color w:val="auto"/>
          <w:sz w:val="24"/>
          <w:szCs w:val="24"/>
        </w:rPr>
        <w:t>Pētniecības infrastruktūra Igaunijā</w:t>
      </w:r>
      <w:bookmarkEnd w:id="1"/>
    </w:p>
    <w:p w:rsidR="004A156B" w:rsidRPr="00C07278" w:rsidRDefault="004A156B" w:rsidP="00B07018">
      <w:pPr>
        <w:tabs>
          <w:tab w:val="left" w:pos="0"/>
          <w:tab w:val="left" w:pos="567"/>
        </w:tabs>
        <w:ind w:left="0"/>
        <w:rPr>
          <w:rFonts w:ascii="Times New Roman" w:hAnsi="Times New Roman"/>
          <w:color w:val="000000"/>
          <w:sz w:val="24"/>
          <w:szCs w:val="24"/>
          <w:lang w:eastAsia="lv-LV"/>
        </w:rPr>
      </w:pPr>
      <w:r w:rsidRPr="00C07278">
        <w:rPr>
          <w:rFonts w:ascii="Times New Roman" w:hAnsi="Times New Roman"/>
          <w:color w:val="000000"/>
          <w:sz w:val="24"/>
          <w:szCs w:val="24"/>
          <w:lang w:eastAsia="lv-LV"/>
        </w:rPr>
        <w:tab/>
        <w:t>Igaunijā pētniecība un attīstība lielākoties tiek nodrošināta augstākās izglītības iestādēs, t.i.</w:t>
      </w:r>
      <w:r w:rsidR="000626EE">
        <w:rPr>
          <w:rFonts w:ascii="Times New Roman" w:hAnsi="Times New Roman"/>
          <w:color w:val="000000"/>
          <w:sz w:val="24"/>
          <w:szCs w:val="24"/>
          <w:lang w:eastAsia="lv-LV"/>
        </w:rPr>
        <w:t>,</w:t>
      </w:r>
      <w:r w:rsidRPr="00C07278">
        <w:rPr>
          <w:rFonts w:ascii="Times New Roman" w:hAnsi="Times New Roman"/>
          <w:color w:val="000000"/>
          <w:sz w:val="24"/>
          <w:szCs w:val="24"/>
          <w:lang w:eastAsia="lv-LV"/>
        </w:rPr>
        <w:t xml:space="preserve"> universitātēs, kā piemēram, Tartu Universitātē, Tallinas Tehnoloģiju universitātē, Tallinas universitātē un Igaunijas Dzīvības zinātņu universitātē u.c. Tomēr ir arī vairākas zinātniskās institūcijas, kas nodrošina augsta līmeņa pētījumu īstenošanu, kā</w:t>
      </w:r>
      <w:r w:rsidR="000626EE">
        <w:rPr>
          <w:rFonts w:ascii="Times New Roman" w:hAnsi="Times New Roman"/>
          <w:color w:val="000000"/>
          <w:sz w:val="24"/>
          <w:szCs w:val="24"/>
          <w:lang w:eastAsia="lv-LV"/>
        </w:rPr>
        <w:t>,</w:t>
      </w:r>
      <w:r w:rsidRPr="00C07278">
        <w:rPr>
          <w:rFonts w:ascii="Times New Roman" w:hAnsi="Times New Roman"/>
          <w:color w:val="000000"/>
          <w:sz w:val="24"/>
          <w:szCs w:val="24"/>
          <w:lang w:eastAsia="lv-LV"/>
        </w:rPr>
        <w:t xml:space="preserve"> piemēram, lielākais valsts zinātniskais institūts </w:t>
      </w:r>
      <w:r w:rsidR="000626EE">
        <w:rPr>
          <w:rFonts w:ascii="Times New Roman" w:hAnsi="Times New Roman"/>
          <w:color w:val="000000"/>
          <w:sz w:val="24"/>
          <w:szCs w:val="24"/>
          <w:lang w:eastAsia="lv-LV"/>
        </w:rPr>
        <w:t>–</w:t>
      </w:r>
      <w:r w:rsidRPr="00C07278">
        <w:rPr>
          <w:rFonts w:ascii="Times New Roman" w:hAnsi="Times New Roman"/>
          <w:color w:val="000000"/>
          <w:sz w:val="24"/>
          <w:szCs w:val="24"/>
          <w:lang w:eastAsia="lv-LV"/>
        </w:rPr>
        <w:t xml:space="preserve"> Igaunijas </w:t>
      </w:r>
      <w:proofErr w:type="spellStart"/>
      <w:r w:rsidRPr="00C07278">
        <w:rPr>
          <w:rFonts w:ascii="Times New Roman" w:hAnsi="Times New Roman"/>
          <w:color w:val="000000"/>
          <w:sz w:val="24"/>
          <w:szCs w:val="24"/>
          <w:lang w:eastAsia="lv-LV"/>
        </w:rPr>
        <w:t>Biocentrs</w:t>
      </w:r>
      <w:proofErr w:type="spellEnd"/>
      <w:r w:rsidRPr="00C07278">
        <w:rPr>
          <w:rFonts w:ascii="Times New Roman" w:hAnsi="Times New Roman"/>
          <w:color w:val="000000"/>
          <w:sz w:val="24"/>
          <w:szCs w:val="24"/>
          <w:lang w:eastAsia="lv-LV"/>
        </w:rPr>
        <w:t>, Tartu observatorija, Igaunijas Literatūras muzejs un Igaunijas valodas institūts. Fundamentālie pētījumi galvenokārt tiek veikti valsts zinātniskajās institūcijās un universitātēs, t.i.</w:t>
      </w:r>
      <w:r w:rsidR="000626EE">
        <w:rPr>
          <w:rFonts w:ascii="Times New Roman" w:hAnsi="Times New Roman"/>
          <w:color w:val="000000"/>
          <w:sz w:val="24"/>
          <w:szCs w:val="24"/>
          <w:lang w:eastAsia="lv-LV"/>
        </w:rPr>
        <w:t>,</w:t>
      </w:r>
      <w:r w:rsidRPr="00C07278">
        <w:rPr>
          <w:rFonts w:ascii="Times New Roman" w:hAnsi="Times New Roman"/>
          <w:color w:val="000000"/>
          <w:sz w:val="24"/>
          <w:szCs w:val="24"/>
          <w:lang w:eastAsia="lv-LV"/>
        </w:rPr>
        <w:t xml:space="preserve"> publiskajā sektorā, savukārt privātajā sektorā pētījumi galvenokārt vērsti uz praktiskajiem pētījumiem, kas sekmē jaunu produktu izstrādi</w:t>
      </w:r>
      <w:r w:rsidRPr="00C07278">
        <w:rPr>
          <w:rStyle w:val="FootnoteReference"/>
          <w:rFonts w:ascii="Times New Roman" w:hAnsi="Times New Roman"/>
          <w:color w:val="000000"/>
          <w:sz w:val="24"/>
          <w:szCs w:val="24"/>
          <w:lang w:eastAsia="lv-LV"/>
        </w:rPr>
        <w:footnoteReference w:id="9"/>
      </w:r>
      <w:r w:rsidRPr="00C07278">
        <w:rPr>
          <w:rFonts w:ascii="Times New Roman" w:hAnsi="Times New Roman"/>
          <w:color w:val="000000"/>
          <w:sz w:val="24"/>
          <w:szCs w:val="24"/>
          <w:lang w:eastAsia="lv-LV"/>
        </w:rPr>
        <w:t>.</w:t>
      </w:r>
    </w:p>
    <w:p w:rsidR="004A156B" w:rsidRPr="00C07278" w:rsidRDefault="004A156B" w:rsidP="00B07018">
      <w:pPr>
        <w:tabs>
          <w:tab w:val="left" w:pos="0"/>
          <w:tab w:val="left" w:pos="567"/>
        </w:tabs>
        <w:ind w:left="0"/>
        <w:rPr>
          <w:rFonts w:ascii="Times New Roman" w:hAnsi="Times New Roman"/>
          <w:color w:val="000000"/>
          <w:sz w:val="24"/>
          <w:szCs w:val="24"/>
          <w:lang w:eastAsia="lv-LV"/>
        </w:rPr>
      </w:pPr>
      <w:r w:rsidRPr="00C07278">
        <w:rPr>
          <w:rFonts w:ascii="Times New Roman" w:hAnsi="Times New Roman"/>
          <w:color w:val="000000"/>
          <w:sz w:val="24"/>
          <w:szCs w:val="24"/>
          <w:lang w:eastAsia="lv-LV"/>
        </w:rPr>
        <w:tab/>
        <w:t>Saskaņā ar likumu, kas Igaunijā regulē pētniecību un attīstību</w:t>
      </w:r>
      <w:r w:rsidRPr="00C07278">
        <w:rPr>
          <w:rStyle w:val="FootnoteReference"/>
          <w:rFonts w:ascii="Times New Roman" w:hAnsi="Times New Roman"/>
          <w:color w:val="000000"/>
          <w:sz w:val="24"/>
          <w:szCs w:val="24"/>
          <w:lang w:eastAsia="lv-LV"/>
        </w:rPr>
        <w:footnoteReference w:id="10"/>
      </w:r>
      <w:r w:rsidRPr="00C07278">
        <w:rPr>
          <w:rFonts w:ascii="Times New Roman" w:hAnsi="Times New Roman"/>
          <w:color w:val="000000"/>
          <w:sz w:val="24"/>
          <w:szCs w:val="24"/>
          <w:lang w:eastAsia="lv-LV"/>
        </w:rPr>
        <w:t>, zinātniskās institūcijas uz valsts budžeta finansējumu var pretendēt gadījumā, ja tās savas zinātniskās darbības izvērtējumā ir saņēmušas pozitīvu vērtējumu vismaz vienā jomā. Pozitīvu novērtējum</w:t>
      </w:r>
      <w:r w:rsidR="00916048">
        <w:rPr>
          <w:rFonts w:ascii="Times New Roman" w:hAnsi="Times New Roman"/>
          <w:color w:val="000000"/>
          <w:sz w:val="24"/>
          <w:szCs w:val="24"/>
          <w:lang w:eastAsia="lv-LV"/>
        </w:rPr>
        <w:t>u saņēmušas 18 institūcijas, tajā</w:t>
      </w:r>
      <w:r w:rsidRPr="00C07278">
        <w:rPr>
          <w:rFonts w:ascii="Times New Roman" w:hAnsi="Times New Roman"/>
          <w:color w:val="000000"/>
          <w:sz w:val="24"/>
          <w:szCs w:val="24"/>
          <w:lang w:eastAsia="lv-LV"/>
        </w:rPr>
        <w:t xml:space="preserve"> skaitā, 7 universitātes, 8 zinātniskās institūcijas, 2 privāto tiesību juridisko personu dibinātas institūcijas un Vēža izpētes kompetences centrs.</w:t>
      </w:r>
    </w:p>
    <w:p w:rsidR="004A156B" w:rsidRPr="00C07278" w:rsidRDefault="004A156B" w:rsidP="00B07018">
      <w:pPr>
        <w:ind w:left="0" w:firstLine="567"/>
        <w:rPr>
          <w:rFonts w:ascii="Times New Roman" w:hAnsi="Times New Roman"/>
          <w:color w:val="000000"/>
          <w:sz w:val="24"/>
          <w:szCs w:val="24"/>
          <w:lang w:eastAsia="lv-LV"/>
        </w:rPr>
      </w:pPr>
      <w:r w:rsidRPr="00C07278">
        <w:rPr>
          <w:rFonts w:ascii="Times New Roman" w:hAnsi="Times New Roman"/>
          <w:color w:val="000000"/>
          <w:sz w:val="24"/>
          <w:szCs w:val="24"/>
          <w:lang w:eastAsia="lv-LV"/>
        </w:rPr>
        <w:t>Lai veicinātu Igaunijas pētniecības un attīstības starptautisko konkurētspēju ES līmenī un starptautisko sadarbību Eiropas pētniecības telpas ietvaros, radītu mehānismu inovatīvu ideju izstrādāšanai, attīstīšanai un ieviešanai un sniegtu atbalstu augsta līmeņa pētījumu veikšanai, no 2008.</w:t>
      </w:r>
      <w:r w:rsidR="000626EE">
        <w:rPr>
          <w:rFonts w:ascii="Times New Roman" w:hAnsi="Times New Roman"/>
          <w:color w:val="000000"/>
          <w:sz w:val="24"/>
          <w:szCs w:val="24"/>
          <w:lang w:eastAsia="lv-LV"/>
        </w:rPr>
        <w:t xml:space="preserve"> </w:t>
      </w:r>
      <w:r w:rsidRPr="00C07278">
        <w:rPr>
          <w:rFonts w:ascii="Times New Roman" w:hAnsi="Times New Roman"/>
          <w:color w:val="000000"/>
          <w:sz w:val="24"/>
          <w:szCs w:val="24"/>
          <w:lang w:eastAsia="lv-LV"/>
        </w:rPr>
        <w:t>gada līdz 2015.</w:t>
      </w:r>
      <w:r w:rsidR="000626EE">
        <w:rPr>
          <w:rFonts w:ascii="Times New Roman" w:hAnsi="Times New Roman"/>
          <w:color w:val="000000"/>
          <w:sz w:val="24"/>
          <w:szCs w:val="24"/>
          <w:lang w:eastAsia="lv-LV"/>
        </w:rPr>
        <w:t xml:space="preserve"> </w:t>
      </w:r>
      <w:r w:rsidRPr="00C07278">
        <w:rPr>
          <w:rFonts w:ascii="Times New Roman" w:hAnsi="Times New Roman"/>
          <w:color w:val="000000"/>
          <w:sz w:val="24"/>
          <w:szCs w:val="24"/>
          <w:lang w:eastAsia="lv-LV"/>
        </w:rPr>
        <w:t xml:space="preserve">gadam izveidoti 12 Ekselences centri, kuru ietvaros tiek veikti fundamentālie pētījumi galvenokārt centru veidojošajās universitātēs un zinātniskajās institūcijās, tādējādi veicinot sadarbību starp pētniecības grupām, kas darbojas papildinošās zinātnes jomās un sfērās. </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Bioloģiskās daudzveidības pētniecības ekselences centrs jomā (</w:t>
      </w:r>
      <w:proofErr w:type="spellStart"/>
      <w:r w:rsidRPr="00C07278">
        <w:rPr>
          <w:rFonts w:cs="Times New Roman"/>
          <w:i/>
          <w:color w:val="000000"/>
          <w:lang w:eastAsia="lv-LV"/>
        </w:rPr>
        <w:t>Centre</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of</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Excellence</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in</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Biodiversity</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Research</w:t>
      </w:r>
      <w:proofErr w:type="spellEnd"/>
      <w:r w:rsidRPr="00C07278">
        <w:rPr>
          <w:rFonts w:cs="Times New Roman"/>
          <w:color w:val="000000"/>
          <w:lang w:eastAsia="lv-LV"/>
        </w:rPr>
        <w:t>) – zemes zinātnes, lauksaimniecības zinātnes;</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 xml:space="preserve">Ekselences centrs </w:t>
      </w:r>
      <w:proofErr w:type="spellStart"/>
      <w:r w:rsidRPr="00C07278">
        <w:rPr>
          <w:rFonts w:cs="Times New Roman"/>
          <w:color w:val="000000"/>
          <w:lang w:eastAsia="lv-LV"/>
        </w:rPr>
        <w:t>genomikā</w:t>
      </w:r>
      <w:proofErr w:type="spellEnd"/>
      <w:r w:rsidRPr="00C07278">
        <w:rPr>
          <w:rFonts w:cs="Times New Roman"/>
          <w:color w:val="000000"/>
          <w:lang w:eastAsia="lv-LV"/>
        </w:rPr>
        <w:t xml:space="preserve"> (</w:t>
      </w:r>
      <w:r w:rsidRPr="00C07278">
        <w:rPr>
          <w:rFonts w:cs="Times New Roman"/>
          <w:i/>
          <w:color w:val="000000"/>
          <w:lang w:val="en-US" w:eastAsia="lv-LV"/>
        </w:rPr>
        <w:t>Centre of Excellence in Genomics</w:t>
      </w:r>
      <w:r w:rsidRPr="00C07278">
        <w:rPr>
          <w:rFonts w:cs="Times New Roman"/>
          <w:color w:val="000000"/>
          <w:lang w:eastAsia="lv-LV"/>
        </w:rPr>
        <w:t>) – medicīnas zinātnes, ķīmija un molekulārā bioloģija;</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Praktiskās medicīnas ekselences centrs (</w:t>
      </w:r>
      <w:r w:rsidRPr="00C07278">
        <w:rPr>
          <w:rFonts w:cs="Times New Roman"/>
          <w:i/>
          <w:color w:val="000000"/>
          <w:lang w:val="en-US" w:eastAsia="lv-LV"/>
        </w:rPr>
        <w:t>Centre of Excellence for Translational Medicine</w:t>
      </w:r>
      <w:r w:rsidRPr="00C07278">
        <w:rPr>
          <w:rFonts w:cs="Times New Roman"/>
          <w:color w:val="000000"/>
          <w:lang w:eastAsia="lv-LV"/>
        </w:rPr>
        <w:t>) – medicīnas zinātnes;</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lastRenderedPageBreak/>
        <w:t>Ekselences centrs datorzinātnēs (</w:t>
      </w:r>
      <w:r w:rsidRPr="00C07278">
        <w:rPr>
          <w:rFonts w:cs="Times New Roman"/>
          <w:i/>
          <w:color w:val="000000"/>
          <w:lang w:val="en-US" w:eastAsia="lv-LV"/>
        </w:rPr>
        <w:t>Centre of Excellence in Computer Science</w:t>
      </w:r>
      <w:r w:rsidRPr="00C07278">
        <w:rPr>
          <w:rFonts w:cs="Times New Roman"/>
          <w:color w:val="000000"/>
          <w:lang w:eastAsia="lv-LV"/>
        </w:rPr>
        <w:t>) – tehniskās zinātnes;</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Ekselences centrs ķīmiskajā bioloģijā (</w:t>
      </w:r>
      <w:r w:rsidRPr="00C07278">
        <w:rPr>
          <w:rFonts w:cs="Times New Roman"/>
          <w:i/>
          <w:color w:val="000000"/>
          <w:lang w:val="en-US" w:eastAsia="lv-LV"/>
        </w:rPr>
        <w:t>Centre of Excellence in Chemical Biology</w:t>
      </w:r>
      <w:r w:rsidRPr="00C07278">
        <w:rPr>
          <w:rFonts w:cs="Times New Roman"/>
          <w:color w:val="000000"/>
          <w:lang w:eastAsia="lv-LV"/>
        </w:rPr>
        <w:t>) – ķīmija un molekulārā bioloģija;</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Kultūras teorijas ekselences centrs</w:t>
      </w:r>
      <w:r w:rsidRPr="00C07278">
        <w:rPr>
          <w:rFonts w:cs="Times New Roman"/>
          <w:lang w:eastAsia="lv-LV"/>
        </w:rPr>
        <w:t> (</w:t>
      </w:r>
      <w:r w:rsidRPr="00C07278">
        <w:rPr>
          <w:rFonts w:cs="Times New Roman"/>
          <w:i/>
          <w:color w:val="000000"/>
          <w:lang w:val="en-US" w:eastAsia="lv-LV"/>
        </w:rPr>
        <w:t>Centre of Excellence in Cultural Theory)</w:t>
      </w:r>
      <w:r w:rsidRPr="00C07278">
        <w:rPr>
          <w:rFonts w:cs="Times New Roman"/>
          <w:color w:val="000000"/>
          <w:lang w:val="en-US" w:eastAsia="lv-LV"/>
        </w:rPr>
        <w:t xml:space="preserve"> – </w:t>
      </w:r>
      <w:r w:rsidRPr="00C07278">
        <w:rPr>
          <w:rFonts w:cs="Times New Roman"/>
          <w:color w:val="000000"/>
          <w:lang w:eastAsia="lv-LV"/>
        </w:rPr>
        <w:t>sociālās un humanitārās zinātnes;</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Integrēto elektronisko sistēmu un biomedicīnas inženierijas ekselences centrs (</w:t>
      </w:r>
      <w:r w:rsidRPr="00C07278">
        <w:rPr>
          <w:rFonts w:cs="Times New Roman"/>
          <w:i/>
          <w:color w:val="000000"/>
          <w:lang w:val="en-US" w:eastAsia="lv-LV"/>
        </w:rPr>
        <w:t>Centre of Excellence in Integrated Electronic Systems and Biomedical Engineering</w:t>
      </w:r>
      <w:r w:rsidR="009A5D91">
        <w:rPr>
          <w:rFonts w:cs="Times New Roman"/>
          <w:color w:val="000000"/>
          <w:lang w:val="en-US" w:eastAsia="lv-LV"/>
        </w:rPr>
        <w:t xml:space="preserve">) – </w:t>
      </w:r>
      <w:r w:rsidRPr="00C07278">
        <w:rPr>
          <w:rFonts w:cs="Times New Roman"/>
          <w:color w:val="000000"/>
          <w:lang w:eastAsia="lv-LV"/>
        </w:rPr>
        <w:t>tehniskās zinātnes</w:t>
      </w:r>
      <w:r w:rsidRPr="00C07278">
        <w:rPr>
          <w:rFonts w:cs="Times New Roman"/>
          <w:color w:val="000000"/>
          <w:lang w:val="en-US" w:eastAsia="lv-LV"/>
        </w:rPr>
        <w:t>;</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Ekselences centrs pētījumiem par pielāgošanās vides pārmaiņām</w:t>
      </w:r>
      <w:r w:rsidRPr="002D7733">
        <w:rPr>
          <w:rStyle w:val="apple-converted-space"/>
          <w:rFonts w:cs="Times New Roman"/>
          <w:color w:val="545454"/>
          <w:shd w:val="clear" w:color="auto" w:fill="FFFFFF"/>
        </w:rPr>
        <w:t> </w:t>
      </w:r>
      <w:r w:rsidRPr="00C07278">
        <w:rPr>
          <w:rFonts w:cs="Times New Roman"/>
          <w:color w:val="000000"/>
          <w:lang w:eastAsia="lv-LV"/>
        </w:rPr>
        <w:t xml:space="preserve"> (</w:t>
      </w:r>
      <w:proofErr w:type="spellStart"/>
      <w:r w:rsidRPr="00C07278">
        <w:rPr>
          <w:rFonts w:cs="Times New Roman"/>
          <w:i/>
          <w:color w:val="000000"/>
          <w:lang w:eastAsia="lv-LV"/>
        </w:rPr>
        <w:t>Centre</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of</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Excellence</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in</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Environmental</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Adaptation</w:t>
      </w:r>
      <w:proofErr w:type="spellEnd"/>
      <w:r w:rsidRPr="00C07278">
        <w:rPr>
          <w:rFonts w:cs="Times New Roman"/>
          <w:color w:val="000000"/>
          <w:lang w:eastAsia="lv-LV"/>
        </w:rPr>
        <w:t>) – zemes zinātnes, lauksaimniecības zinātnes;</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 xml:space="preserve"> Ilgtspējīgas attīstības augsto tehnoloģiju materiālu ekselences centrs (</w:t>
      </w:r>
      <w:proofErr w:type="spellStart"/>
      <w:r w:rsidRPr="00C07278">
        <w:rPr>
          <w:rFonts w:cs="Times New Roman"/>
          <w:i/>
          <w:color w:val="000000"/>
          <w:lang w:eastAsia="lv-LV"/>
        </w:rPr>
        <w:t>High-Technology</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Materials</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for</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Sustainable</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Development</w:t>
      </w:r>
      <w:proofErr w:type="spellEnd"/>
      <w:r w:rsidRPr="00C07278">
        <w:rPr>
          <w:rFonts w:cs="Times New Roman"/>
          <w:color w:val="000000"/>
          <w:lang w:eastAsia="lv-LV"/>
        </w:rPr>
        <w:t>) – ķīmija un molekulārā bioloģija, eksaktās zinātnes, tehniskās zinātnes;</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Kosmoloģijas un elementārdaļiņu fizikas ekselences centrs (</w:t>
      </w:r>
      <w:r w:rsidRPr="00C07278">
        <w:rPr>
          <w:rFonts w:cs="Times New Roman"/>
          <w:i/>
          <w:color w:val="000000"/>
          <w:lang w:eastAsia="lv-LV"/>
        </w:rPr>
        <w:t>Dark-</w:t>
      </w:r>
      <w:proofErr w:type="spellStart"/>
      <w:r w:rsidRPr="00C07278">
        <w:rPr>
          <w:rFonts w:cs="Times New Roman"/>
          <w:i/>
          <w:color w:val="000000"/>
          <w:lang w:eastAsia="lv-LV"/>
        </w:rPr>
        <w:t>Matter</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in</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Astro</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praticle</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Pyhsics</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and</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Cosmology</w:t>
      </w:r>
      <w:proofErr w:type="spellEnd"/>
      <w:r w:rsidRPr="00C07278">
        <w:rPr>
          <w:rFonts w:cs="Times New Roman"/>
          <w:color w:val="000000"/>
          <w:lang w:eastAsia="lv-LV"/>
        </w:rPr>
        <w:t>) – eksaktās zinātnes;</w:t>
      </w:r>
    </w:p>
    <w:p w:rsidR="004A156B" w:rsidRPr="009A5D91" w:rsidRDefault="004A156B" w:rsidP="00B07018">
      <w:pPr>
        <w:pStyle w:val="ListParagraph"/>
        <w:numPr>
          <w:ilvl w:val="0"/>
          <w:numId w:val="6"/>
        </w:numPr>
        <w:ind w:left="993" w:hanging="426"/>
        <w:rPr>
          <w:rFonts w:cs="Times New Roman"/>
          <w:color w:val="000000"/>
          <w:lang w:eastAsia="lv-LV"/>
        </w:rPr>
      </w:pPr>
      <w:proofErr w:type="spellStart"/>
      <w:r w:rsidRPr="009A5D91">
        <w:rPr>
          <w:rFonts w:cs="Times New Roman"/>
          <w:color w:val="000000"/>
          <w:lang w:eastAsia="lv-LV"/>
        </w:rPr>
        <w:t>Mezosistēmas</w:t>
      </w:r>
      <w:proofErr w:type="spellEnd"/>
      <w:r w:rsidRPr="009A5D91">
        <w:rPr>
          <w:rFonts w:cs="Times New Roman"/>
          <w:color w:val="000000"/>
          <w:lang w:eastAsia="lv-LV"/>
        </w:rPr>
        <w:t xml:space="preserve"> teorijas un pielietojuma ekselences centrs (</w:t>
      </w:r>
      <w:r w:rsidRPr="009A5D91">
        <w:rPr>
          <w:rFonts w:cs="Times New Roman"/>
          <w:i/>
          <w:color w:val="000000"/>
          <w:lang w:val="en-US" w:eastAsia="lv-LV"/>
        </w:rPr>
        <w:t>Theory and Applications of Mesosystems</w:t>
      </w:r>
      <w:r w:rsidRPr="009A5D91">
        <w:rPr>
          <w:rFonts w:cs="Times New Roman"/>
          <w:color w:val="000000"/>
          <w:lang w:eastAsia="lv-LV"/>
        </w:rPr>
        <w:t>) – eksaktās zinātnes.</w:t>
      </w:r>
    </w:p>
    <w:p w:rsidR="004A156B" w:rsidRPr="009A5D91" w:rsidRDefault="004A156B" w:rsidP="00B07018">
      <w:pPr>
        <w:pStyle w:val="ListParagraph"/>
        <w:numPr>
          <w:ilvl w:val="0"/>
          <w:numId w:val="6"/>
        </w:numPr>
        <w:ind w:left="993" w:hanging="426"/>
        <w:rPr>
          <w:rFonts w:cs="Times New Roman"/>
          <w:color w:val="000000"/>
          <w:lang w:eastAsia="lv-LV"/>
        </w:rPr>
      </w:pPr>
      <w:r w:rsidRPr="009A5D91">
        <w:rPr>
          <w:rFonts w:cs="Times New Roman"/>
        </w:rPr>
        <w:t>Nelineāro pētījumu centrs</w:t>
      </w:r>
      <w:r w:rsidRPr="009A5D91">
        <w:rPr>
          <w:rFonts w:cs="Times New Roman"/>
          <w:i/>
          <w:color w:val="000000"/>
          <w:lang w:val="en-US" w:eastAsia="lv-LV"/>
        </w:rPr>
        <w:t xml:space="preserve"> (Centre of Nonlinear Studies)</w:t>
      </w:r>
      <w:r w:rsidRPr="009A5D91">
        <w:rPr>
          <w:rFonts w:cs="Times New Roman"/>
          <w:color w:val="000000"/>
          <w:lang w:eastAsia="lv-LV"/>
        </w:rPr>
        <w:t xml:space="preserve"> – tehniskās zinātnes.</w:t>
      </w:r>
    </w:p>
    <w:p w:rsidR="004A156B" w:rsidRPr="00C07278" w:rsidRDefault="004A156B" w:rsidP="00B07018">
      <w:pPr>
        <w:tabs>
          <w:tab w:val="left" w:pos="0"/>
          <w:tab w:val="left" w:pos="567"/>
        </w:tabs>
        <w:ind w:left="0"/>
        <w:rPr>
          <w:rFonts w:ascii="Times New Roman" w:hAnsi="Times New Roman"/>
          <w:color w:val="000000"/>
          <w:sz w:val="24"/>
          <w:szCs w:val="24"/>
          <w:lang w:eastAsia="lv-LV"/>
        </w:rPr>
      </w:pPr>
      <w:r w:rsidRPr="00C07278">
        <w:rPr>
          <w:rFonts w:ascii="Times New Roman" w:hAnsi="Times New Roman"/>
          <w:color w:val="000000"/>
          <w:sz w:val="24"/>
          <w:szCs w:val="24"/>
          <w:lang w:eastAsia="lv-LV"/>
        </w:rPr>
        <w:tab/>
        <w:t>ES struktūrfondu 2007.</w:t>
      </w:r>
      <w:r w:rsidR="009A5D91">
        <w:rPr>
          <w:rFonts w:ascii="Times New Roman" w:hAnsi="Times New Roman"/>
          <w:sz w:val="24"/>
          <w:szCs w:val="24"/>
        </w:rPr>
        <w:t>–</w:t>
      </w:r>
      <w:r w:rsidRPr="00C07278">
        <w:rPr>
          <w:rFonts w:ascii="Times New Roman" w:hAnsi="Times New Roman"/>
          <w:color w:val="000000"/>
          <w:sz w:val="24"/>
          <w:szCs w:val="24"/>
          <w:lang w:eastAsia="lv-LV"/>
        </w:rPr>
        <w:t>2013.</w:t>
      </w:r>
      <w:r w:rsidR="006B78C0">
        <w:rPr>
          <w:rFonts w:ascii="Times New Roman" w:hAnsi="Times New Roman"/>
          <w:color w:val="000000"/>
          <w:sz w:val="24"/>
          <w:szCs w:val="24"/>
          <w:lang w:eastAsia="lv-LV"/>
        </w:rPr>
        <w:t xml:space="preserve"> </w:t>
      </w:r>
      <w:r w:rsidRPr="00C07278">
        <w:rPr>
          <w:rFonts w:ascii="Times New Roman" w:hAnsi="Times New Roman"/>
          <w:color w:val="000000"/>
          <w:sz w:val="24"/>
          <w:szCs w:val="24"/>
          <w:lang w:eastAsia="lv-LV"/>
        </w:rPr>
        <w:t xml:space="preserve">gada plānošanas periodā Ekselences centru izveidē un attīstībā ieguldīts ERAF finansējums aptuveni 44,74 milj. </w:t>
      </w:r>
      <w:r w:rsidRPr="00C07278">
        <w:rPr>
          <w:rFonts w:ascii="Times New Roman" w:hAnsi="Times New Roman"/>
          <w:i/>
          <w:color w:val="000000"/>
          <w:sz w:val="24"/>
          <w:szCs w:val="24"/>
          <w:lang w:eastAsia="lv-LV"/>
        </w:rPr>
        <w:t>euro</w:t>
      </w:r>
      <w:r w:rsidRPr="00C07278">
        <w:rPr>
          <w:rStyle w:val="FootnoteReference"/>
          <w:rFonts w:ascii="Times New Roman" w:hAnsi="Times New Roman"/>
          <w:color w:val="000000"/>
          <w:sz w:val="24"/>
          <w:szCs w:val="24"/>
          <w:lang w:eastAsia="lv-LV"/>
        </w:rPr>
        <w:footnoteReference w:id="11"/>
      </w:r>
      <w:r w:rsidRPr="00C07278">
        <w:rPr>
          <w:rFonts w:ascii="Times New Roman" w:hAnsi="Times New Roman"/>
          <w:color w:val="000000"/>
          <w:sz w:val="24"/>
          <w:szCs w:val="24"/>
          <w:lang w:eastAsia="lv-LV"/>
        </w:rPr>
        <w:t>. Pasākuma ietvaros atbalsts sniegts pētījumu veikšanai, infrastruktūras un aprīkojuma iegādei, pētnieku mobilitātei, apmācībām un pieredzes apmaiņai un pētījumu īstenošanai citās pētniecības institūcijās, inovatīvu ideju izstrādei, kā arī sabiedrības informēšanai par pētījumu ietvaros sasniegtajiem rezultātiem</w:t>
      </w:r>
      <w:r w:rsidRPr="00C07278">
        <w:rPr>
          <w:rStyle w:val="FootnoteReference"/>
          <w:rFonts w:ascii="Times New Roman" w:hAnsi="Times New Roman"/>
          <w:color w:val="000000"/>
          <w:sz w:val="24"/>
          <w:szCs w:val="24"/>
          <w:lang w:eastAsia="lv-LV"/>
        </w:rPr>
        <w:footnoteReference w:id="12"/>
      </w:r>
      <w:r w:rsidRPr="00C07278">
        <w:rPr>
          <w:rFonts w:ascii="Times New Roman" w:hAnsi="Times New Roman"/>
          <w:color w:val="000000"/>
          <w:sz w:val="24"/>
          <w:szCs w:val="24"/>
          <w:lang w:eastAsia="lv-LV"/>
        </w:rPr>
        <w:t>.</w:t>
      </w:r>
    </w:p>
    <w:p w:rsidR="004A156B" w:rsidRPr="00C07278" w:rsidRDefault="004A156B" w:rsidP="00B07018">
      <w:pPr>
        <w:ind w:left="0" w:firstLine="567"/>
        <w:rPr>
          <w:rFonts w:ascii="Times New Roman" w:hAnsi="Times New Roman"/>
          <w:color w:val="000000"/>
          <w:sz w:val="24"/>
          <w:szCs w:val="24"/>
          <w:lang w:eastAsia="lv-LV"/>
        </w:rPr>
      </w:pPr>
      <w:r w:rsidRPr="00C07278">
        <w:rPr>
          <w:rFonts w:ascii="Times New Roman" w:hAnsi="Times New Roman"/>
          <w:color w:val="000000"/>
          <w:sz w:val="24"/>
          <w:szCs w:val="24"/>
          <w:lang w:eastAsia="lv-LV"/>
        </w:rPr>
        <w:t>Lai stiprinātu sadarbību starp zinātniskajām institūcijām un uzņēmējdarbības sektora pārstāvjiem un veidotu zināšanu bāzi un nepieciešamos cilvēkresursus, stiprinātu rūpnieciskās pētniecības jaudas palielināšanos, kā arī veicinātu starptautisko atpazīstamību un sadarbību, sākot ar 2003.</w:t>
      </w:r>
      <w:r w:rsidR="007B1142">
        <w:rPr>
          <w:rFonts w:ascii="Times New Roman" w:hAnsi="Times New Roman"/>
          <w:color w:val="000000"/>
          <w:sz w:val="24"/>
          <w:szCs w:val="24"/>
          <w:lang w:eastAsia="lv-LV"/>
        </w:rPr>
        <w:t> </w:t>
      </w:r>
      <w:r w:rsidRPr="00C07278">
        <w:rPr>
          <w:rFonts w:ascii="Times New Roman" w:hAnsi="Times New Roman"/>
          <w:color w:val="000000"/>
          <w:sz w:val="24"/>
          <w:szCs w:val="24"/>
          <w:lang w:eastAsia="lv-LV"/>
        </w:rPr>
        <w:t>gadu Igaunijā tika izveidoti 8 kompetences centri, kas orientēti uz praktisku pētījumu īstenošanu:</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Veselīgu piena produktu kompetences centrs (</w:t>
      </w:r>
      <w:proofErr w:type="spellStart"/>
      <w:r w:rsidRPr="00C07278">
        <w:rPr>
          <w:rFonts w:cs="Times New Roman"/>
          <w:i/>
          <w:color w:val="000000"/>
          <w:lang w:eastAsia="lv-LV"/>
        </w:rPr>
        <w:t>Bio-Competence</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Centre</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of</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Healthy</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Dairy</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Products</w:t>
      </w:r>
      <w:proofErr w:type="spellEnd"/>
      <w:r w:rsidRPr="00C07278">
        <w:rPr>
          <w:rFonts w:cs="Times New Roman"/>
          <w:color w:val="000000"/>
          <w:lang w:eastAsia="lv-LV"/>
        </w:rPr>
        <w:t>) – medicīnas zinātnes, tehniskās zināt</w:t>
      </w:r>
      <w:r w:rsidR="009A5D91">
        <w:rPr>
          <w:rFonts w:cs="Times New Roman"/>
          <w:color w:val="000000"/>
          <w:lang w:eastAsia="lv-LV"/>
        </w:rPr>
        <w:t>nes, lauksaimniecības zinātnes,</w:t>
      </w:r>
      <w:r w:rsidRPr="00C07278">
        <w:rPr>
          <w:rFonts w:cs="Times New Roman"/>
          <w:color w:val="000000"/>
          <w:lang w:eastAsia="lv-LV"/>
        </w:rPr>
        <w:t xml:space="preserve"> zemes zinātnes;</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Vēža izpētes kompetences centrs (</w:t>
      </w:r>
      <w:r w:rsidRPr="00C07278">
        <w:rPr>
          <w:rFonts w:cs="Times New Roman"/>
          <w:i/>
          <w:color w:val="000000"/>
          <w:lang w:val="en-US" w:eastAsia="lv-LV"/>
        </w:rPr>
        <w:t>Competence Centre for Cancer Research</w:t>
      </w:r>
      <w:r w:rsidRPr="00C07278">
        <w:rPr>
          <w:rFonts w:cs="Times New Roman"/>
          <w:color w:val="000000"/>
          <w:lang w:eastAsia="lv-LV"/>
        </w:rPr>
        <w:t>) – medicīnas zinātne;</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Pārtikas un fermentācijas tehnoloģiju kompetences centrs (</w:t>
      </w:r>
      <w:proofErr w:type="spellStart"/>
      <w:r w:rsidRPr="00C07278">
        <w:rPr>
          <w:rFonts w:cs="Times New Roman"/>
          <w:i/>
          <w:color w:val="000000"/>
          <w:lang w:eastAsia="lv-LV"/>
        </w:rPr>
        <w:t>Competence</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Centre</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of</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Food</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And</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Fermentation</w:t>
      </w:r>
      <w:proofErr w:type="spellEnd"/>
      <w:r w:rsidRPr="00C07278">
        <w:rPr>
          <w:rFonts w:cs="Times New Roman"/>
          <w:i/>
          <w:color w:val="000000"/>
          <w:lang w:eastAsia="lv-LV"/>
        </w:rPr>
        <w:t xml:space="preserve"> Technologies</w:t>
      </w:r>
      <w:r w:rsidRPr="00C07278">
        <w:rPr>
          <w:rFonts w:cs="Times New Roman"/>
          <w:color w:val="000000"/>
          <w:lang w:eastAsia="lv-LV"/>
        </w:rPr>
        <w:t>) – tehniskās zinātnes, lauksaimniecības zinātnes, zemes zinātnes;</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Elektronikas, informācijas un komunikāciju tehnoloģiju kompetences centrs (</w:t>
      </w:r>
      <w:r w:rsidRPr="00C07278">
        <w:rPr>
          <w:rFonts w:cs="Times New Roman"/>
          <w:i/>
          <w:color w:val="000000"/>
          <w:lang w:eastAsia="lv-LV"/>
        </w:rPr>
        <w:t xml:space="preserve">ELIKO </w:t>
      </w:r>
      <w:proofErr w:type="spellStart"/>
      <w:r w:rsidRPr="00C07278">
        <w:rPr>
          <w:rFonts w:cs="Times New Roman"/>
          <w:i/>
          <w:color w:val="000000"/>
          <w:lang w:eastAsia="lv-LV"/>
        </w:rPr>
        <w:t>Technology</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Competence</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Centre</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in</w:t>
      </w:r>
      <w:proofErr w:type="spellEnd"/>
      <w:r w:rsidRPr="00C07278">
        <w:rPr>
          <w:rFonts w:cs="Times New Roman"/>
          <w:i/>
          <w:color w:val="000000"/>
          <w:lang w:eastAsia="lv-LV"/>
        </w:rPr>
        <w:t xml:space="preserve"> Electronics, </w:t>
      </w:r>
      <w:proofErr w:type="spellStart"/>
      <w:r w:rsidRPr="00C07278">
        <w:rPr>
          <w:rFonts w:cs="Times New Roman"/>
          <w:i/>
          <w:color w:val="000000"/>
          <w:lang w:eastAsia="lv-LV"/>
        </w:rPr>
        <w:t>Information</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and</w:t>
      </w:r>
      <w:proofErr w:type="spellEnd"/>
      <w:r w:rsidRPr="00C07278">
        <w:rPr>
          <w:rFonts w:cs="Times New Roman"/>
          <w:i/>
          <w:color w:val="000000"/>
          <w:lang w:eastAsia="lv-LV"/>
        </w:rPr>
        <w:t xml:space="preserve"> </w:t>
      </w:r>
      <w:proofErr w:type="spellStart"/>
      <w:r w:rsidRPr="00C07278">
        <w:rPr>
          <w:rFonts w:cs="Times New Roman"/>
          <w:i/>
          <w:color w:val="000000"/>
          <w:lang w:eastAsia="lv-LV"/>
        </w:rPr>
        <w:t>Communication</w:t>
      </w:r>
      <w:proofErr w:type="spellEnd"/>
      <w:r w:rsidRPr="00C07278">
        <w:rPr>
          <w:rFonts w:cs="Times New Roman"/>
          <w:i/>
          <w:color w:val="000000"/>
          <w:lang w:eastAsia="lv-LV"/>
        </w:rPr>
        <w:t xml:space="preserve"> Technologies</w:t>
      </w:r>
      <w:r w:rsidRPr="00C07278">
        <w:rPr>
          <w:rFonts w:cs="Times New Roman"/>
          <w:color w:val="000000"/>
          <w:lang w:eastAsia="lv-LV"/>
        </w:rPr>
        <w:t>) – tehniskās zinātnes, eksaktās zinātnes;</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 xml:space="preserve">Igaunijas </w:t>
      </w:r>
      <w:proofErr w:type="spellStart"/>
      <w:r w:rsidRPr="00C07278">
        <w:rPr>
          <w:rFonts w:cs="Times New Roman"/>
          <w:color w:val="000000"/>
          <w:lang w:eastAsia="lv-LV"/>
        </w:rPr>
        <w:t>nanotehnoloģiju</w:t>
      </w:r>
      <w:proofErr w:type="spellEnd"/>
      <w:r w:rsidRPr="00C07278">
        <w:rPr>
          <w:rFonts w:cs="Times New Roman"/>
          <w:color w:val="000000"/>
          <w:lang w:eastAsia="lv-LV"/>
        </w:rPr>
        <w:t xml:space="preserve"> kompetences centrs (</w:t>
      </w:r>
      <w:r w:rsidRPr="00C07278">
        <w:rPr>
          <w:rFonts w:cs="Times New Roman"/>
          <w:i/>
          <w:color w:val="000000"/>
          <w:lang w:val="en-US" w:eastAsia="lv-LV"/>
        </w:rPr>
        <w:t>Estonian Nanotechnology Competence Centre</w:t>
      </w:r>
      <w:r w:rsidRPr="00C07278">
        <w:rPr>
          <w:rFonts w:cs="Times New Roman"/>
          <w:color w:val="000000"/>
          <w:lang w:eastAsia="lv-LV"/>
        </w:rPr>
        <w:t>) – tehniskās zinātnes, eksaktās zinātnes;</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Reproduktīvās medicīnas un bioloģijas kompetences centrs (</w:t>
      </w:r>
      <w:r w:rsidRPr="00C07278">
        <w:rPr>
          <w:rFonts w:cs="Times New Roman"/>
          <w:i/>
          <w:color w:val="000000"/>
          <w:lang w:val="en-US" w:eastAsia="lv-LV"/>
        </w:rPr>
        <w:t>Competence Centre on Reproductive Medicine and Biology</w:t>
      </w:r>
      <w:r w:rsidRPr="00C07278">
        <w:rPr>
          <w:rFonts w:cs="Times New Roman"/>
          <w:color w:val="000000"/>
          <w:lang w:eastAsia="lv-LV"/>
        </w:rPr>
        <w:t>) – medicīnas zinātne, lauksaimniecības zinātnes;</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t>Inovatīvo ražošanas inženiertehnisko sistēmu kompetences centrs (</w:t>
      </w:r>
      <w:r w:rsidRPr="00C07278">
        <w:rPr>
          <w:rFonts w:cs="Times New Roman"/>
          <w:i/>
          <w:color w:val="000000"/>
          <w:lang w:val="en-US" w:eastAsia="lv-LV"/>
        </w:rPr>
        <w:t>Innovative Manufacturing Engineering Systems Competence Centre</w:t>
      </w:r>
      <w:r w:rsidRPr="00C07278">
        <w:rPr>
          <w:rFonts w:cs="Times New Roman"/>
          <w:color w:val="000000"/>
          <w:lang w:eastAsia="lv-LV"/>
        </w:rPr>
        <w:t>) – tehniskās zinātnes;</w:t>
      </w:r>
    </w:p>
    <w:p w:rsidR="004A156B" w:rsidRPr="00C07278" w:rsidRDefault="004A156B" w:rsidP="00B07018">
      <w:pPr>
        <w:pStyle w:val="ListParagraph"/>
        <w:numPr>
          <w:ilvl w:val="0"/>
          <w:numId w:val="6"/>
        </w:numPr>
        <w:ind w:left="993" w:hanging="426"/>
        <w:rPr>
          <w:rFonts w:cs="Times New Roman"/>
          <w:color w:val="000000"/>
          <w:lang w:eastAsia="lv-LV"/>
        </w:rPr>
      </w:pPr>
      <w:r w:rsidRPr="00C07278">
        <w:rPr>
          <w:rFonts w:cs="Times New Roman"/>
          <w:color w:val="000000"/>
          <w:lang w:eastAsia="lv-LV"/>
        </w:rPr>
        <w:lastRenderedPageBreak/>
        <w:t>Programmatūru tehnoloģiju un pielietojuma kompetences centrs (</w:t>
      </w:r>
      <w:r w:rsidRPr="00C07278">
        <w:rPr>
          <w:rFonts w:cs="Times New Roman"/>
          <w:i/>
          <w:color w:val="000000"/>
          <w:lang w:val="en-US" w:eastAsia="lv-LV"/>
        </w:rPr>
        <w:t>Software Technology and Applications Competence Centre</w:t>
      </w:r>
      <w:r w:rsidRPr="00C07278">
        <w:rPr>
          <w:rFonts w:cs="Times New Roman"/>
          <w:color w:val="000000"/>
          <w:lang w:eastAsia="lv-LV"/>
        </w:rPr>
        <w:t>) – tehniskās zinātnes, eksaktās zinātnes</w:t>
      </w:r>
      <w:r w:rsidRPr="00C07278">
        <w:rPr>
          <w:rStyle w:val="FootnoteReference"/>
          <w:rFonts w:cs="Times New Roman"/>
          <w:color w:val="000000"/>
          <w:lang w:eastAsia="lv-LV"/>
        </w:rPr>
        <w:footnoteReference w:id="13"/>
      </w:r>
      <w:r w:rsidRPr="00C07278">
        <w:rPr>
          <w:rFonts w:cs="Times New Roman"/>
          <w:color w:val="000000"/>
          <w:lang w:eastAsia="lv-LV"/>
        </w:rPr>
        <w:t>.</w:t>
      </w:r>
    </w:p>
    <w:p w:rsidR="004A156B" w:rsidRPr="00C07278" w:rsidRDefault="004A156B" w:rsidP="00B07018">
      <w:pPr>
        <w:ind w:left="0" w:firstLine="567"/>
        <w:rPr>
          <w:rFonts w:ascii="Times New Roman" w:hAnsi="Times New Roman"/>
          <w:color w:val="000000"/>
          <w:sz w:val="24"/>
          <w:szCs w:val="24"/>
          <w:lang w:eastAsia="lv-LV"/>
        </w:rPr>
      </w:pPr>
      <w:r w:rsidRPr="00C07278">
        <w:rPr>
          <w:rFonts w:ascii="Times New Roman" w:hAnsi="Times New Roman"/>
          <w:color w:val="000000"/>
          <w:sz w:val="24"/>
          <w:szCs w:val="24"/>
          <w:lang w:eastAsia="lv-LV"/>
        </w:rPr>
        <w:t>Kompetences centru programmas ieviešanai ES struktūrfondu 2007.</w:t>
      </w:r>
      <w:r w:rsidR="009A5D91">
        <w:rPr>
          <w:rFonts w:ascii="Times New Roman" w:hAnsi="Times New Roman"/>
          <w:sz w:val="24"/>
          <w:szCs w:val="24"/>
        </w:rPr>
        <w:t>–</w:t>
      </w:r>
      <w:r w:rsidRPr="00C07278">
        <w:rPr>
          <w:rFonts w:ascii="Times New Roman" w:hAnsi="Times New Roman"/>
          <w:color w:val="000000"/>
          <w:sz w:val="24"/>
          <w:szCs w:val="24"/>
          <w:lang w:eastAsia="lv-LV"/>
        </w:rPr>
        <w:t xml:space="preserve">2013.gada plānošanas periodā piesaistīts ERAF finansējums 62,9 milj. </w:t>
      </w:r>
      <w:r w:rsidRPr="00C07278">
        <w:rPr>
          <w:rFonts w:ascii="Times New Roman" w:hAnsi="Times New Roman"/>
          <w:i/>
          <w:color w:val="000000"/>
          <w:sz w:val="24"/>
          <w:szCs w:val="24"/>
          <w:lang w:eastAsia="lv-LV"/>
        </w:rPr>
        <w:t>euro</w:t>
      </w:r>
      <w:r w:rsidRPr="00C07278">
        <w:rPr>
          <w:rFonts w:ascii="Times New Roman" w:hAnsi="Times New Roman"/>
          <w:color w:val="000000"/>
          <w:sz w:val="24"/>
          <w:szCs w:val="24"/>
          <w:lang w:eastAsia="lv-LV"/>
        </w:rPr>
        <w:t xml:space="preserve"> apmērā</w:t>
      </w:r>
      <w:r w:rsidRPr="00C07278">
        <w:rPr>
          <w:rStyle w:val="FootnoteReference"/>
          <w:rFonts w:ascii="Times New Roman" w:hAnsi="Times New Roman"/>
          <w:color w:val="000000"/>
          <w:sz w:val="24"/>
          <w:szCs w:val="24"/>
          <w:lang w:eastAsia="lv-LV"/>
        </w:rPr>
        <w:footnoteReference w:id="14"/>
      </w:r>
      <w:r w:rsidRPr="00C07278">
        <w:rPr>
          <w:rFonts w:ascii="Times New Roman" w:hAnsi="Times New Roman"/>
          <w:color w:val="000000"/>
          <w:sz w:val="24"/>
          <w:szCs w:val="24"/>
          <w:lang w:eastAsia="lv-LV"/>
        </w:rPr>
        <w:t>.</w:t>
      </w:r>
    </w:p>
    <w:p w:rsidR="004A156B" w:rsidRPr="00C07278" w:rsidRDefault="004A156B" w:rsidP="00B07018">
      <w:pPr>
        <w:ind w:left="0" w:firstLine="567"/>
        <w:rPr>
          <w:rFonts w:ascii="Times New Roman" w:hAnsi="Times New Roman"/>
          <w:color w:val="000000"/>
          <w:sz w:val="24"/>
          <w:szCs w:val="24"/>
          <w:lang w:eastAsia="lv-LV"/>
        </w:rPr>
      </w:pPr>
      <w:r w:rsidRPr="00C07278">
        <w:rPr>
          <w:rFonts w:ascii="Times New Roman" w:hAnsi="Times New Roman"/>
          <w:color w:val="000000"/>
          <w:sz w:val="24"/>
          <w:szCs w:val="24"/>
          <w:lang w:eastAsia="lv-LV"/>
        </w:rPr>
        <w:t>Lai sekmētu Igaunijas pētniecības institūciju iekļaušanos ESFRI objektos un veicinātu starptautisko sadarbību, Igaunija pētniecības, attīstības un inovāciju stratēģijas ”Uz zi</w:t>
      </w:r>
      <w:r w:rsidR="007B1142">
        <w:rPr>
          <w:rFonts w:ascii="Times New Roman" w:hAnsi="Times New Roman"/>
          <w:color w:val="000000"/>
          <w:sz w:val="24"/>
          <w:szCs w:val="24"/>
          <w:lang w:eastAsia="lv-LV"/>
        </w:rPr>
        <w:t>nāšanām balstīta Igaunija 2014.</w:t>
      </w:r>
      <w:r w:rsidR="009A5D91">
        <w:rPr>
          <w:rFonts w:ascii="Times New Roman" w:hAnsi="Times New Roman"/>
          <w:sz w:val="24"/>
          <w:szCs w:val="24"/>
        </w:rPr>
        <w:t>–</w:t>
      </w:r>
      <w:r w:rsidRPr="00C07278">
        <w:rPr>
          <w:rFonts w:ascii="Times New Roman" w:hAnsi="Times New Roman"/>
          <w:color w:val="000000"/>
          <w:sz w:val="24"/>
          <w:szCs w:val="24"/>
          <w:lang w:eastAsia="lv-LV"/>
        </w:rPr>
        <w:t>2020.” ieviešanas plānā</w:t>
      </w:r>
      <w:r w:rsidRPr="00C07278">
        <w:rPr>
          <w:rStyle w:val="FootnoteReference"/>
          <w:rFonts w:ascii="Times New Roman" w:hAnsi="Times New Roman"/>
          <w:color w:val="000000"/>
          <w:sz w:val="24"/>
          <w:szCs w:val="24"/>
          <w:lang w:eastAsia="lv-LV"/>
        </w:rPr>
        <w:footnoteReference w:id="15"/>
      </w:r>
      <w:r w:rsidRPr="00C07278">
        <w:rPr>
          <w:rFonts w:ascii="Times New Roman" w:hAnsi="Times New Roman"/>
          <w:color w:val="000000"/>
          <w:sz w:val="24"/>
          <w:szCs w:val="24"/>
          <w:lang w:eastAsia="lv-LV"/>
        </w:rPr>
        <w:t xml:space="preserve"> iekļāvusi 20 nacionālas nozīmes pētniecības infrastruktūras objektus</w:t>
      </w:r>
      <w:r w:rsidRPr="00C07278">
        <w:rPr>
          <w:rStyle w:val="FootnoteReference"/>
          <w:rFonts w:ascii="Times New Roman" w:hAnsi="Times New Roman"/>
          <w:color w:val="000000"/>
          <w:sz w:val="24"/>
          <w:szCs w:val="24"/>
          <w:lang w:eastAsia="lv-LV"/>
        </w:rPr>
        <w:footnoteReference w:id="16"/>
      </w:r>
      <w:r w:rsidRPr="00C07278">
        <w:rPr>
          <w:rFonts w:ascii="Times New Roman" w:hAnsi="Times New Roman"/>
          <w:color w:val="000000"/>
          <w:sz w:val="24"/>
          <w:szCs w:val="24"/>
          <w:lang w:eastAsia="lv-LV"/>
        </w:rPr>
        <w:t xml:space="preserve">, kā arī norādījusi, kuros ESFRI infrastruktūras objektos Igaunija piedalās, t.i., ELIXIR, ESS, BBMRI, CLARIN, </w:t>
      </w:r>
      <w:r w:rsidR="00795CCC">
        <w:rPr>
          <w:rFonts w:ascii="Times New Roman" w:hAnsi="Times New Roman"/>
          <w:color w:val="000000"/>
          <w:sz w:val="24"/>
          <w:szCs w:val="24"/>
        </w:rPr>
        <w:t>Eiropas atskaldīto neitronu avots (</w:t>
      </w:r>
      <w:proofErr w:type="spellStart"/>
      <w:r w:rsidR="00795CCC" w:rsidRPr="00C07278">
        <w:rPr>
          <w:rFonts w:ascii="Times New Roman" w:hAnsi="Times New Roman"/>
          <w:color w:val="000000"/>
          <w:sz w:val="24"/>
          <w:szCs w:val="24"/>
        </w:rPr>
        <w:t>ESSneutron</w:t>
      </w:r>
      <w:proofErr w:type="spellEnd"/>
      <w:r w:rsidR="00795CCC">
        <w:rPr>
          <w:rFonts w:ascii="Times New Roman" w:hAnsi="Times New Roman"/>
          <w:color w:val="000000"/>
          <w:sz w:val="24"/>
          <w:szCs w:val="24"/>
        </w:rPr>
        <w:t>) un</w:t>
      </w:r>
      <w:r w:rsidRPr="00C07278">
        <w:rPr>
          <w:rFonts w:ascii="Times New Roman" w:hAnsi="Times New Roman"/>
          <w:color w:val="000000"/>
          <w:sz w:val="24"/>
          <w:szCs w:val="24"/>
        </w:rPr>
        <w:t xml:space="preserve"> </w:t>
      </w:r>
      <w:r w:rsidRPr="00C07278">
        <w:rPr>
          <w:rFonts w:ascii="Times New Roman" w:hAnsi="Times New Roman"/>
          <w:color w:val="000000"/>
          <w:sz w:val="24"/>
          <w:szCs w:val="24"/>
          <w:lang w:eastAsia="lv-LV"/>
        </w:rPr>
        <w:t xml:space="preserve">Eiropas augstākā līmeņa infrastruktūra pētniecības atklājumu praktiskai izmantošanai medicīnā (EATRIS ERIC). </w:t>
      </w:r>
    </w:p>
    <w:p w:rsidR="004A156B" w:rsidRPr="00C07278" w:rsidRDefault="004A156B" w:rsidP="00B07018">
      <w:pPr>
        <w:ind w:left="0" w:firstLine="567"/>
        <w:rPr>
          <w:rFonts w:ascii="Times New Roman" w:hAnsi="Times New Roman"/>
          <w:color w:val="000000"/>
          <w:sz w:val="24"/>
          <w:szCs w:val="24"/>
          <w:lang w:eastAsia="lv-LV"/>
        </w:rPr>
      </w:pPr>
      <w:r w:rsidRPr="00C07278">
        <w:rPr>
          <w:rFonts w:ascii="Times New Roman" w:hAnsi="Times New Roman"/>
          <w:color w:val="000000"/>
          <w:sz w:val="24"/>
          <w:szCs w:val="24"/>
          <w:lang w:eastAsia="lv-LV"/>
        </w:rPr>
        <w:t>Saskaņā ar pētniecības, attī</w:t>
      </w:r>
      <w:r w:rsidR="006B78C0">
        <w:rPr>
          <w:rFonts w:ascii="Times New Roman" w:hAnsi="Times New Roman"/>
          <w:color w:val="000000"/>
          <w:sz w:val="24"/>
          <w:szCs w:val="24"/>
          <w:lang w:eastAsia="lv-LV"/>
        </w:rPr>
        <w:t>stības un inovāciju stratēģijā “</w:t>
      </w:r>
      <w:r w:rsidRPr="00C07278">
        <w:rPr>
          <w:rFonts w:ascii="Times New Roman" w:hAnsi="Times New Roman"/>
          <w:color w:val="000000"/>
          <w:sz w:val="24"/>
          <w:szCs w:val="24"/>
          <w:lang w:eastAsia="lv-LV"/>
        </w:rPr>
        <w:t>Uz zināšanām balstīta Igaunija 2014.</w:t>
      </w:r>
      <w:r w:rsidR="009A5D91">
        <w:rPr>
          <w:rFonts w:ascii="Times New Roman" w:hAnsi="Times New Roman"/>
          <w:sz w:val="24"/>
          <w:szCs w:val="24"/>
        </w:rPr>
        <w:t>–</w:t>
      </w:r>
      <w:r w:rsidRPr="00C07278">
        <w:rPr>
          <w:rFonts w:ascii="Times New Roman" w:hAnsi="Times New Roman"/>
          <w:color w:val="000000"/>
          <w:sz w:val="24"/>
          <w:szCs w:val="24"/>
          <w:lang w:eastAsia="lv-LV"/>
        </w:rPr>
        <w:t>2020.”</w:t>
      </w:r>
      <w:r w:rsidRPr="00C07278">
        <w:rPr>
          <w:rStyle w:val="FootnoteReference"/>
          <w:rFonts w:ascii="Times New Roman" w:hAnsi="Times New Roman"/>
          <w:color w:val="000000"/>
          <w:sz w:val="24"/>
          <w:szCs w:val="24"/>
          <w:lang w:eastAsia="lv-LV"/>
        </w:rPr>
        <w:footnoteReference w:id="17"/>
      </w:r>
      <w:r w:rsidRPr="00C07278">
        <w:rPr>
          <w:rFonts w:ascii="Times New Roman" w:hAnsi="Times New Roman"/>
          <w:color w:val="000000"/>
          <w:sz w:val="24"/>
          <w:szCs w:val="24"/>
          <w:lang w:eastAsia="lv-LV"/>
        </w:rPr>
        <w:t xml:space="preserve"> norād</w:t>
      </w:r>
      <w:r w:rsidR="007B1142">
        <w:rPr>
          <w:rFonts w:ascii="Times New Roman" w:hAnsi="Times New Roman"/>
          <w:color w:val="000000"/>
          <w:sz w:val="24"/>
          <w:szCs w:val="24"/>
          <w:lang w:eastAsia="lv-LV"/>
        </w:rPr>
        <w:t>īto informāciju, Igaunija 2014.</w:t>
      </w:r>
      <w:r w:rsidR="009A5D91">
        <w:rPr>
          <w:rFonts w:ascii="Times New Roman" w:hAnsi="Times New Roman"/>
          <w:sz w:val="24"/>
          <w:szCs w:val="24"/>
        </w:rPr>
        <w:t>–</w:t>
      </w:r>
      <w:r w:rsidRPr="00C07278">
        <w:rPr>
          <w:rFonts w:ascii="Times New Roman" w:hAnsi="Times New Roman"/>
          <w:color w:val="000000"/>
          <w:sz w:val="24"/>
          <w:szCs w:val="24"/>
          <w:lang w:eastAsia="lv-LV"/>
        </w:rPr>
        <w:t xml:space="preserve">2020.gada plānošanas periodā plāno nodrošināt sistemātisku pētniecības un attīstības infrastruktūras, </w:t>
      </w:r>
      <w:r w:rsidR="007B1142">
        <w:rPr>
          <w:rFonts w:ascii="Times New Roman" w:hAnsi="Times New Roman"/>
          <w:color w:val="000000"/>
          <w:sz w:val="24"/>
          <w:szCs w:val="24"/>
          <w:lang w:eastAsia="lv-LV"/>
        </w:rPr>
        <w:t>tai skaitā</w:t>
      </w:r>
      <w:r w:rsidRPr="00C07278">
        <w:rPr>
          <w:rFonts w:ascii="Times New Roman" w:hAnsi="Times New Roman"/>
          <w:color w:val="000000"/>
          <w:sz w:val="24"/>
          <w:szCs w:val="24"/>
          <w:lang w:eastAsia="lv-LV"/>
        </w:rPr>
        <w:t xml:space="preserve"> digitālās infrastruktūras attīstību, veicināt kopīgu pētniecības un attīstības infrastruktūras izmatošanu starp zinātniskajām institūcijām un uzņēmējdarbības sektora pārstāvjiem. Lai veicinātu zināšanu ietilpīgu ekonomiku, Igaunija izvērtējot pieejamo zināšanu bāzi, cilvēkkapitālu un attiecīgo pētniecības un attīstības infrastruktūru un analizējot pētniecības institūciju sadarbību ar uzņēmējdarbības sektora pārstāvjiem, noteikusi sekojošas izaugsmes jomas: informācijas un komunikāciju tehnoloģijas (horizontālā joma)</w:t>
      </w:r>
      <w:r w:rsidRPr="00C07278">
        <w:rPr>
          <w:rStyle w:val="FootnoteReference"/>
          <w:rFonts w:ascii="Times New Roman" w:hAnsi="Times New Roman"/>
          <w:color w:val="000000"/>
          <w:sz w:val="24"/>
          <w:szCs w:val="24"/>
          <w:lang w:eastAsia="lv-LV"/>
        </w:rPr>
        <w:footnoteReference w:id="18"/>
      </w:r>
      <w:r w:rsidRPr="00C07278">
        <w:rPr>
          <w:rFonts w:ascii="Times New Roman" w:hAnsi="Times New Roman"/>
          <w:color w:val="000000"/>
          <w:sz w:val="24"/>
          <w:szCs w:val="24"/>
          <w:lang w:eastAsia="lv-LV"/>
        </w:rPr>
        <w:t>, veselības tehnoloģijas un pakalpojumi</w:t>
      </w:r>
      <w:r w:rsidRPr="00C07278">
        <w:rPr>
          <w:rStyle w:val="FootnoteReference"/>
          <w:rFonts w:ascii="Times New Roman" w:hAnsi="Times New Roman"/>
          <w:color w:val="000000"/>
          <w:sz w:val="24"/>
          <w:szCs w:val="24"/>
          <w:lang w:eastAsia="lv-LV"/>
        </w:rPr>
        <w:footnoteReference w:id="19"/>
      </w:r>
      <w:r w:rsidRPr="00C07278">
        <w:rPr>
          <w:rFonts w:ascii="Times New Roman" w:hAnsi="Times New Roman"/>
          <w:color w:val="000000"/>
          <w:sz w:val="24"/>
          <w:szCs w:val="24"/>
          <w:lang w:eastAsia="lv-LV"/>
        </w:rPr>
        <w:t>, efektīvāka resursu pārvaldība</w:t>
      </w:r>
      <w:r w:rsidRPr="00C07278">
        <w:rPr>
          <w:rStyle w:val="FootnoteReference"/>
          <w:rFonts w:ascii="Times New Roman" w:hAnsi="Times New Roman"/>
          <w:color w:val="000000"/>
          <w:sz w:val="24"/>
          <w:szCs w:val="24"/>
          <w:lang w:eastAsia="lv-LV"/>
        </w:rPr>
        <w:footnoteReference w:id="20"/>
      </w:r>
      <w:r w:rsidRPr="00C07278">
        <w:rPr>
          <w:rFonts w:ascii="Times New Roman" w:hAnsi="Times New Roman"/>
          <w:color w:val="000000"/>
          <w:sz w:val="24"/>
          <w:szCs w:val="24"/>
          <w:lang w:eastAsia="lv-LV"/>
        </w:rPr>
        <w:t>.</w:t>
      </w:r>
    </w:p>
    <w:p w:rsidR="000259A9" w:rsidRDefault="000259A9" w:rsidP="00B07018"/>
    <w:sectPr w:rsidR="000259A9" w:rsidSect="00313077">
      <w:headerReference w:type="default" r:id="rId9"/>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56B" w:rsidRDefault="004A156B" w:rsidP="004A156B">
      <w:r>
        <w:separator/>
      </w:r>
    </w:p>
  </w:endnote>
  <w:endnote w:type="continuationSeparator" w:id="0">
    <w:p w:rsidR="004A156B" w:rsidRDefault="004A156B" w:rsidP="004A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Narrow">
    <w:panose1 w:val="020B0606020202030204"/>
    <w:charset w:val="BA"/>
    <w:family w:val="swiss"/>
    <w:pitch w:val="variable"/>
    <w:sig w:usb0="00000287" w:usb1="000008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5" w:rsidRDefault="00412225" w:rsidP="00412225">
    <w:pPr>
      <w:pStyle w:val="Header"/>
      <w:ind w:left="0"/>
    </w:pPr>
    <w:r w:rsidRPr="00C324FE">
      <w:rPr>
        <w:rFonts w:ascii="Times New Roman" w:hAnsi="Times New Roman"/>
        <w:sz w:val="20"/>
        <w:szCs w:val="20"/>
      </w:rPr>
      <w:fldChar w:fldCharType="begin"/>
    </w:r>
    <w:r w:rsidRPr="00C324FE">
      <w:rPr>
        <w:rFonts w:ascii="Times New Roman" w:hAnsi="Times New Roman"/>
        <w:sz w:val="20"/>
        <w:szCs w:val="20"/>
      </w:rPr>
      <w:instrText xml:space="preserve"> FILENAME   \* MERGEFORMAT </w:instrText>
    </w:r>
    <w:r w:rsidRPr="00C324FE">
      <w:rPr>
        <w:rFonts w:ascii="Times New Roman" w:hAnsi="Times New Roman"/>
        <w:sz w:val="20"/>
        <w:szCs w:val="20"/>
      </w:rPr>
      <w:fldChar w:fldCharType="separate"/>
    </w:r>
    <w:r w:rsidR="00F60BB8">
      <w:rPr>
        <w:rFonts w:ascii="Times New Roman" w:hAnsi="Times New Roman"/>
        <w:noProof/>
        <w:sz w:val="20"/>
        <w:szCs w:val="20"/>
      </w:rPr>
      <w:t>IZMzino_pielikumsNr13_110816</w:t>
    </w:r>
    <w:r w:rsidRPr="00C324FE">
      <w:rPr>
        <w:rFonts w:ascii="Times New Roman" w:hAnsi="Times New Roman"/>
        <w:sz w:val="20"/>
        <w:szCs w:val="20"/>
      </w:rPr>
      <w:fldChar w:fldCharType="end"/>
    </w:r>
    <w:r w:rsidRPr="00C324FE">
      <w:rPr>
        <w:rFonts w:ascii="Times New Roman" w:hAnsi="Times New Roman"/>
        <w:sz w:val="20"/>
        <w:szCs w:val="20"/>
      </w:rPr>
      <w:t>; Informatīvais ziņojum</w:t>
    </w:r>
    <w:r>
      <w:rPr>
        <w:rFonts w:ascii="Times New Roman" w:hAnsi="Times New Roman"/>
        <w:sz w:val="20"/>
        <w:szCs w:val="20"/>
      </w:rPr>
      <w:t>a</w:t>
    </w:r>
    <w:r w:rsidRPr="00C324FE">
      <w:rPr>
        <w:rFonts w:ascii="Times New Roman" w:hAnsi="Times New Roman"/>
        <w:sz w:val="20"/>
        <w:szCs w:val="20"/>
      </w:rPr>
      <w:t xml:space="preserve"> “Par pētniecības un inovācijas infrastruktūras un pētnieciskās darbības koncentrācijas teritoriālo kartējumu” (VSS – 335)</w:t>
    </w:r>
    <w:r>
      <w:rPr>
        <w:rFonts w:ascii="Times New Roman" w:hAnsi="Times New Roman"/>
        <w:sz w:val="20"/>
        <w:szCs w:val="20"/>
      </w:rPr>
      <w:t xml:space="preserve"> 1</w:t>
    </w:r>
    <w:r w:rsidR="006C026C">
      <w:rPr>
        <w:rFonts w:ascii="Times New Roman" w:hAnsi="Times New Roman"/>
        <w:sz w:val="20"/>
        <w:szCs w:val="20"/>
      </w:rPr>
      <w:t>3</w:t>
    </w:r>
    <w:r>
      <w:rPr>
        <w:rFonts w:ascii="Times New Roman" w:hAnsi="Times New Roman"/>
        <w:sz w:val="20"/>
        <w:szCs w:val="20"/>
      </w:rPr>
      <w:t>.</w:t>
    </w:r>
    <w:r w:rsidR="007B1142">
      <w:rPr>
        <w:rFonts w:ascii="Times New Roman" w:hAnsi="Times New Roman"/>
        <w:sz w:val="20"/>
        <w:szCs w:val="20"/>
      </w:rPr>
      <w:t> </w:t>
    </w:r>
    <w:r>
      <w:rPr>
        <w:rFonts w:ascii="Times New Roman" w:hAnsi="Times New Roman"/>
        <w:sz w:val="20"/>
        <w:szCs w:val="20"/>
      </w:rPr>
      <w:t>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56B" w:rsidRDefault="004A156B" w:rsidP="004A156B">
      <w:r>
        <w:separator/>
      </w:r>
    </w:p>
  </w:footnote>
  <w:footnote w:type="continuationSeparator" w:id="0">
    <w:p w:rsidR="004A156B" w:rsidRDefault="004A156B" w:rsidP="004A156B">
      <w:r>
        <w:continuationSeparator/>
      </w:r>
    </w:p>
  </w:footnote>
  <w:footnote w:id="1">
    <w:p w:rsidR="004A156B" w:rsidRPr="000626EE" w:rsidRDefault="004A156B" w:rsidP="004A156B">
      <w:pPr>
        <w:pStyle w:val="FootnoteText"/>
        <w:ind w:left="0"/>
        <w:rPr>
          <w:rFonts w:ascii="Times New Roman" w:hAnsi="Times New Roman"/>
        </w:rPr>
      </w:pPr>
      <w:r w:rsidRPr="000626EE">
        <w:rPr>
          <w:rStyle w:val="FootnoteReference"/>
          <w:rFonts w:ascii="Times New Roman" w:hAnsi="Times New Roman"/>
        </w:rPr>
        <w:footnoteRef/>
      </w:r>
      <w:r w:rsidRPr="000626EE">
        <w:rPr>
          <w:rFonts w:ascii="Times New Roman" w:hAnsi="Times New Roman"/>
        </w:rPr>
        <w:t xml:space="preserve"> Zinātnes, inovāciju un tehnoloģiju aģentūras interneta tīmekļa vietne </w:t>
      </w:r>
      <w:hyperlink r:id="rId1" w:history="1">
        <w:r w:rsidRPr="000626EE">
          <w:rPr>
            <w:rStyle w:val="Hyperlink"/>
            <w:rFonts w:ascii="Times New Roman" w:hAnsi="Times New Roman"/>
          </w:rPr>
          <w:t>http://www.mita.lt/en/activities/lithuanian-rampd-institutions/</w:t>
        </w:r>
      </w:hyperlink>
    </w:p>
  </w:footnote>
  <w:footnote w:id="2">
    <w:p w:rsidR="004A156B" w:rsidRPr="000626EE" w:rsidRDefault="004A156B" w:rsidP="004A156B">
      <w:pPr>
        <w:tabs>
          <w:tab w:val="left" w:pos="-720"/>
          <w:tab w:val="left" w:pos="0"/>
          <w:tab w:val="left" w:pos="720"/>
          <w:tab w:val="left" w:pos="1440"/>
          <w:tab w:val="left" w:pos="2160"/>
          <w:tab w:val="left" w:pos="2880"/>
          <w:tab w:val="left" w:pos="3600"/>
          <w:tab w:val="left" w:pos="4320"/>
        </w:tabs>
        <w:autoSpaceDE w:val="0"/>
        <w:autoSpaceDN w:val="0"/>
        <w:adjustRightInd w:val="0"/>
        <w:ind w:left="0"/>
        <w:jc w:val="left"/>
        <w:rPr>
          <w:rFonts w:ascii="Times New Roman" w:eastAsiaTheme="minorHAnsi" w:hAnsi="Times New Roman"/>
          <w:color w:val="000000"/>
          <w:sz w:val="20"/>
          <w:szCs w:val="20"/>
        </w:rPr>
      </w:pPr>
      <w:r w:rsidRPr="000626EE">
        <w:rPr>
          <w:rStyle w:val="FootnoteReference"/>
          <w:rFonts w:ascii="Times New Roman" w:hAnsi="Times New Roman"/>
          <w:sz w:val="20"/>
          <w:szCs w:val="20"/>
        </w:rPr>
        <w:footnoteRef/>
      </w:r>
      <w:r w:rsidRPr="000626EE">
        <w:rPr>
          <w:rFonts w:ascii="Times New Roman" w:hAnsi="Times New Roman"/>
          <w:sz w:val="20"/>
          <w:szCs w:val="20"/>
        </w:rPr>
        <w:t xml:space="preserve"> </w:t>
      </w:r>
      <w:r w:rsidRPr="000626EE">
        <w:rPr>
          <w:rFonts w:ascii="Times New Roman" w:hAnsi="Times New Roman"/>
          <w:sz w:val="20"/>
          <w:szCs w:val="20"/>
          <w:lang w:val="en-GB"/>
        </w:rPr>
        <w:t>Roadmap for research infrastructures of Lithuania</w:t>
      </w:r>
      <w:r w:rsidRPr="000626EE">
        <w:rPr>
          <w:rFonts w:ascii="Times New Roman" w:hAnsi="Times New Roman"/>
          <w:sz w:val="20"/>
          <w:szCs w:val="20"/>
        </w:rPr>
        <w:t xml:space="preserve"> </w:t>
      </w:r>
      <w:hyperlink r:id="rId2" w:history="1">
        <w:r w:rsidRPr="000626EE">
          <w:rPr>
            <w:rStyle w:val="Hyperlink"/>
            <w:rFonts w:ascii="Times New Roman" w:eastAsiaTheme="minorHAnsi" w:hAnsi="Times New Roman"/>
            <w:sz w:val="20"/>
            <w:szCs w:val="20"/>
          </w:rPr>
          <w:t>http://www.google.lv/url?sa=t&amp;rct=j&amp;q=&amp;esrc=s&amp;frm=1&amp;source=web&amp;cd=3&amp;ved=0CC8QFjAC&amp;url=http%3A%2F%2Fwww.lmt.lt%2Fdownload%2F1367%2F2011_kelrodis_lmtik-b5-en-spreads.pdf&amp;ei=e0HsVMWaOofjywOcgoKIDA&amp;usg=AFQjCNEsqk7FsC_owUJJ56Gb77NtNREpEg&amp;sig2=B9GJ_v1xfuxb9YFjfoVMgQ</w:t>
        </w:r>
      </w:hyperlink>
    </w:p>
  </w:footnote>
  <w:footnote w:id="3">
    <w:p w:rsidR="004A156B" w:rsidRPr="000626EE" w:rsidRDefault="004A156B" w:rsidP="004A156B">
      <w:pPr>
        <w:ind w:left="0"/>
        <w:rPr>
          <w:rFonts w:ascii="Times New Roman" w:hAnsi="Times New Roman"/>
          <w:sz w:val="20"/>
          <w:szCs w:val="20"/>
        </w:rPr>
      </w:pPr>
      <w:r w:rsidRPr="000626EE">
        <w:rPr>
          <w:rStyle w:val="FootnoteReference"/>
          <w:rFonts w:ascii="Times New Roman" w:hAnsi="Times New Roman"/>
          <w:sz w:val="20"/>
          <w:szCs w:val="20"/>
        </w:rPr>
        <w:footnoteRef/>
      </w:r>
      <w:r w:rsidRPr="000626EE">
        <w:rPr>
          <w:rFonts w:ascii="Times New Roman" w:hAnsi="Times New Roman"/>
          <w:sz w:val="20"/>
          <w:szCs w:val="20"/>
        </w:rPr>
        <w:t xml:space="preserve"> </w:t>
      </w:r>
      <w:proofErr w:type="spellStart"/>
      <w:r w:rsidRPr="000626EE">
        <w:rPr>
          <w:rFonts w:ascii="Times New Roman" w:hAnsi="Times New Roman"/>
          <w:sz w:val="20"/>
          <w:szCs w:val="20"/>
        </w:rPr>
        <w:t>European</w:t>
      </w:r>
      <w:proofErr w:type="spellEnd"/>
      <w:r w:rsidRPr="000626EE">
        <w:rPr>
          <w:rFonts w:ascii="Times New Roman" w:hAnsi="Times New Roman"/>
          <w:sz w:val="20"/>
          <w:szCs w:val="20"/>
        </w:rPr>
        <w:t xml:space="preserve"> </w:t>
      </w:r>
      <w:proofErr w:type="spellStart"/>
      <w:r w:rsidRPr="000626EE">
        <w:rPr>
          <w:rFonts w:ascii="Times New Roman" w:hAnsi="Times New Roman"/>
          <w:sz w:val="20"/>
          <w:szCs w:val="20"/>
        </w:rPr>
        <w:t>research</w:t>
      </w:r>
      <w:proofErr w:type="spellEnd"/>
      <w:r w:rsidRPr="000626EE">
        <w:rPr>
          <w:rFonts w:ascii="Times New Roman" w:hAnsi="Times New Roman"/>
          <w:sz w:val="20"/>
          <w:szCs w:val="20"/>
        </w:rPr>
        <w:t xml:space="preserve"> </w:t>
      </w:r>
      <w:proofErr w:type="spellStart"/>
      <w:r w:rsidRPr="000626EE">
        <w:rPr>
          <w:rFonts w:ascii="Times New Roman" w:hAnsi="Times New Roman"/>
          <w:sz w:val="20"/>
          <w:szCs w:val="20"/>
        </w:rPr>
        <w:t>area</w:t>
      </w:r>
      <w:proofErr w:type="spellEnd"/>
      <w:r w:rsidRPr="000626EE">
        <w:rPr>
          <w:rFonts w:ascii="Times New Roman" w:hAnsi="Times New Roman"/>
          <w:sz w:val="20"/>
          <w:szCs w:val="20"/>
        </w:rPr>
        <w:t xml:space="preserve"> </w:t>
      </w:r>
      <w:proofErr w:type="spellStart"/>
      <w:r w:rsidRPr="000626EE">
        <w:rPr>
          <w:rFonts w:ascii="Times New Roman" w:hAnsi="Times New Roman"/>
          <w:sz w:val="20"/>
          <w:szCs w:val="20"/>
        </w:rPr>
        <w:t>facts</w:t>
      </w:r>
      <w:proofErr w:type="spellEnd"/>
      <w:r w:rsidRPr="000626EE">
        <w:rPr>
          <w:rFonts w:ascii="Times New Roman" w:hAnsi="Times New Roman"/>
          <w:sz w:val="20"/>
          <w:szCs w:val="20"/>
        </w:rPr>
        <w:t xml:space="preserve"> </w:t>
      </w:r>
      <w:proofErr w:type="spellStart"/>
      <w:r w:rsidRPr="000626EE">
        <w:rPr>
          <w:rFonts w:ascii="Times New Roman" w:hAnsi="Times New Roman"/>
          <w:sz w:val="20"/>
          <w:szCs w:val="20"/>
        </w:rPr>
        <w:t>and</w:t>
      </w:r>
      <w:proofErr w:type="spellEnd"/>
      <w:r w:rsidRPr="000626EE">
        <w:rPr>
          <w:rFonts w:ascii="Times New Roman" w:hAnsi="Times New Roman"/>
          <w:sz w:val="20"/>
          <w:szCs w:val="20"/>
        </w:rPr>
        <w:t xml:space="preserve"> </w:t>
      </w:r>
      <w:proofErr w:type="spellStart"/>
      <w:r w:rsidRPr="000626EE">
        <w:rPr>
          <w:rFonts w:ascii="Times New Roman" w:hAnsi="Times New Roman"/>
          <w:sz w:val="20"/>
          <w:szCs w:val="20"/>
        </w:rPr>
        <w:t>figures</w:t>
      </w:r>
      <w:proofErr w:type="spellEnd"/>
      <w:r w:rsidRPr="000626EE">
        <w:rPr>
          <w:rFonts w:ascii="Times New Roman" w:hAnsi="Times New Roman"/>
          <w:sz w:val="20"/>
          <w:szCs w:val="20"/>
        </w:rPr>
        <w:t xml:space="preserve"> 2013 – </w:t>
      </w:r>
      <w:proofErr w:type="spellStart"/>
      <w:r w:rsidRPr="000626EE">
        <w:rPr>
          <w:rFonts w:ascii="Times New Roman" w:hAnsi="Times New Roman"/>
          <w:sz w:val="20"/>
          <w:szCs w:val="20"/>
        </w:rPr>
        <w:t>Lithuania</w:t>
      </w:r>
      <w:proofErr w:type="spellEnd"/>
    </w:p>
    <w:p w:rsidR="004A156B" w:rsidRPr="000626EE" w:rsidRDefault="00F60BB8" w:rsidP="004A156B">
      <w:pPr>
        <w:ind w:left="0"/>
        <w:rPr>
          <w:rFonts w:ascii="Times New Roman" w:hAnsi="Times New Roman"/>
          <w:sz w:val="20"/>
          <w:szCs w:val="20"/>
        </w:rPr>
      </w:pPr>
      <w:hyperlink r:id="rId3" w:history="1">
        <w:r w:rsidR="004A156B" w:rsidRPr="000626EE">
          <w:rPr>
            <w:rStyle w:val="Hyperlink"/>
            <w:rFonts w:ascii="Times New Roman" w:hAnsi="Times New Roman"/>
            <w:sz w:val="20"/>
            <w:szCs w:val="20"/>
          </w:rPr>
          <w:t>http://ec.europa.eu/lietuva/ziniasklaidai/23092013_era_lithuania_%282%29.pdf</w:t>
        </w:r>
      </w:hyperlink>
    </w:p>
  </w:footnote>
  <w:footnote w:id="4">
    <w:p w:rsidR="004A156B" w:rsidRPr="000626EE" w:rsidRDefault="004A156B" w:rsidP="004A156B">
      <w:pPr>
        <w:pStyle w:val="FootnoteText"/>
        <w:ind w:left="0"/>
        <w:rPr>
          <w:rFonts w:ascii="Times New Roman" w:hAnsi="Times New Roman"/>
        </w:rPr>
      </w:pPr>
      <w:r w:rsidRPr="000626EE">
        <w:rPr>
          <w:rStyle w:val="FootnoteReference"/>
          <w:rFonts w:ascii="Times New Roman" w:hAnsi="Times New Roman"/>
        </w:rPr>
        <w:footnoteRef/>
      </w:r>
      <w:r w:rsidRPr="000626EE">
        <w:rPr>
          <w:rFonts w:ascii="Times New Roman" w:hAnsi="Times New Roman"/>
        </w:rPr>
        <w:t xml:space="preserve"> Lietuvas Izglītības un zinātnes ministrijas interneta tīmekļa vietne </w:t>
      </w:r>
      <w:hyperlink r:id="rId4" w:history="1">
        <w:r w:rsidRPr="000626EE">
          <w:rPr>
            <w:rStyle w:val="Hyperlink"/>
            <w:rFonts w:ascii="Times New Roman" w:hAnsi="Times New Roman"/>
          </w:rPr>
          <w:t>http://www.smm.lt/web/en/science1/science_1</w:t>
        </w:r>
      </w:hyperlink>
    </w:p>
  </w:footnote>
  <w:footnote w:id="5">
    <w:p w:rsidR="004A156B" w:rsidRPr="000626EE" w:rsidRDefault="004A156B" w:rsidP="004A156B">
      <w:pPr>
        <w:pStyle w:val="FootnoteText"/>
        <w:ind w:left="0"/>
        <w:rPr>
          <w:rFonts w:ascii="Times New Roman" w:hAnsi="Times New Roman"/>
        </w:rPr>
      </w:pPr>
      <w:r w:rsidRPr="000626EE">
        <w:rPr>
          <w:rStyle w:val="FootnoteReference"/>
          <w:rFonts w:ascii="Times New Roman" w:hAnsi="Times New Roman"/>
        </w:rPr>
        <w:footnoteRef/>
      </w:r>
      <w:r w:rsidR="00761D6F">
        <w:rPr>
          <w:rFonts w:ascii="Times New Roman" w:hAnsi="Times New Roman"/>
        </w:rPr>
        <w:t xml:space="preserve"> Lietuvas Izglītības un z</w:t>
      </w:r>
      <w:r w:rsidR="004C4EE9">
        <w:rPr>
          <w:rFonts w:ascii="Times New Roman" w:hAnsi="Times New Roman"/>
        </w:rPr>
        <w:t>inā</w:t>
      </w:r>
      <w:r w:rsidRPr="000626EE">
        <w:rPr>
          <w:rFonts w:ascii="Times New Roman" w:hAnsi="Times New Roman"/>
        </w:rPr>
        <w:t xml:space="preserve">tnes ministrijas interneta tīmekļa vietne </w:t>
      </w:r>
      <w:hyperlink r:id="rId5" w:history="1">
        <w:r w:rsidRPr="000626EE">
          <w:rPr>
            <w:rStyle w:val="Hyperlink"/>
            <w:rFonts w:ascii="Times New Roman" w:hAnsi="Times New Roman"/>
          </w:rPr>
          <w:t>http://www.smm.lt/web/en/science1/science_1</w:t>
        </w:r>
      </w:hyperlink>
    </w:p>
  </w:footnote>
  <w:footnote w:id="6">
    <w:p w:rsidR="004A156B" w:rsidRPr="000626EE" w:rsidRDefault="004A156B" w:rsidP="004A156B">
      <w:pPr>
        <w:pStyle w:val="FootnoteText"/>
        <w:ind w:left="0"/>
        <w:rPr>
          <w:rFonts w:ascii="Times New Roman" w:hAnsi="Times New Roman"/>
        </w:rPr>
      </w:pPr>
      <w:r w:rsidRPr="000626EE">
        <w:rPr>
          <w:rStyle w:val="FootnoteReference"/>
          <w:rFonts w:ascii="Times New Roman" w:hAnsi="Times New Roman"/>
        </w:rPr>
        <w:footnoteRef/>
      </w:r>
      <w:r w:rsidRPr="000626EE">
        <w:rPr>
          <w:rFonts w:ascii="Times New Roman" w:hAnsi="Times New Roman"/>
        </w:rPr>
        <w:t xml:space="preserve"> Lietuvas Izglītības un zinātnes ministrijas interneta tīmekļa vietne </w:t>
      </w:r>
      <w:hyperlink r:id="rId6" w:history="1">
        <w:r w:rsidRPr="000626EE">
          <w:rPr>
            <w:rStyle w:val="Hyperlink"/>
            <w:rFonts w:ascii="Times New Roman" w:hAnsi="Times New Roman"/>
          </w:rPr>
          <w:t>http://www.smm.lt/web/en/science1/science_1</w:t>
        </w:r>
      </w:hyperlink>
    </w:p>
  </w:footnote>
  <w:footnote w:id="7">
    <w:p w:rsidR="004A156B" w:rsidRPr="000626EE" w:rsidRDefault="004A156B" w:rsidP="004A156B">
      <w:pPr>
        <w:pStyle w:val="FootnoteText"/>
        <w:ind w:left="0"/>
        <w:rPr>
          <w:rFonts w:ascii="Times New Roman" w:hAnsi="Times New Roman"/>
          <w:color w:val="0000FF"/>
          <w:u w:val="single"/>
        </w:rPr>
      </w:pPr>
      <w:r w:rsidRPr="000626EE">
        <w:rPr>
          <w:rFonts w:ascii="Times New Roman" w:hAnsi="Times New Roman"/>
          <w:vertAlign w:val="superscript"/>
        </w:rPr>
        <w:footnoteRef/>
      </w:r>
      <w:r w:rsidRPr="000626EE">
        <w:rPr>
          <w:rFonts w:ascii="Times New Roman" w:hAnsi="Times New Roman"/>
        </w:rPr>
        <w:t xml:space="preserve"> </w:t>
      </w:r>
      <w:proofErr w:type="spellStart"/>
      <w:r w:rsidRPr="000626EE">
        <w:rPr>
          <w:rFonts w:ascii="Times New Roman" w:hAnsi="Times New Roman"/>
          <w:i/>
        </w:rPr>
        <w:t>Open</w:t>
      </w:r>
      <w:proofErr w:type="spellEnd"/>
      <w:r w:rsidRPr="000626EE">
        <w:rPr>
          <w:rFonts w:ascii="Times New Roman" w:hAnsi="Times New Roman"/>
          <w:i/>
        </w:rPr>
        <w:t xml:space="preserve"> </w:t>
      </w:r>
      <w:proofErr w:type="spellStart"/>
      <w:r w:rsidRPr="000626EE">
        <w:rPr>
          <w:rFonts w:ascii="Times New Roman" w:hAnsi="Times New Roman"/>
          <w:i/>
        </w:rPr>
        <w:t>access</w:t>
      </w:r>
      <w:proofErr w:type="spellEnd"/>
      <w:r w:rsidRPr="000626EE">
        <w:rPr>
          <w:rFonts w:ascii="Times New Roman" w:hAnsi="Times New Roman"/>
          <w:i/>
        </w:rPr>
        <w:t xml:space="preserve"> </w:t>
      </w:r>
      <w:proofErr w:type="spellStart"/>
      <w:r w:rsidRPr="000626EE">
        <w:rPr>
          <w:rFonts w:ascii="Times New Roman" w:hAnsi="Times New Roman"/>
          <w:i/>
        </w:rPr>
        <w:t>centres</w:t>
      </w:r>
      <w:proofErr w:type="spellEnd"/>
      <w:r w:rsidRPr="000626EE">
        <w:rPr>
          <w:rFonts w:ascii="Times New Roman" w:hAnsi="Times New Roman"/>
        </w:rPr>
        <w:t xml:space="preserve"> interneta tīmekļa vietne </w:t>
      </w:r>
      <w:hyperlink r:id="rId7" w:history="1">
        <w:r w:rsidRPr="000626EE">
          <w:rPr>
            <w:rStyle w:val="Hyperlink"/>
            <w:rFonts w:ascii="Times New Roman" w:hAnsi="Times New Roman"/>
          </w:rPr>
          <w:t>http://apc.mita.lt/open-access-centres</w:t>
        </w:r>
      </w:hyperlink>
    </w:p>
  </w:footnote>
  <w:footnote w:id="8">
    <w:p w:rsidR="004A156B" w:rsidRPr="000626EE" w:rsidRDefault="004A156B" w:rsidP="000626EE">
      <w:pPr>
        <w:pStyle w:val="FootnoteText"/>
        <w:ind w:left="0"/>
        <w:jc w:val="left"/>
        <w:rPr>
          <w:rFonts w:ascii="Times New Roman" w:hAnsi="Times New Roman"/>
        </w:rPr>
      </w:pPr>
      <w:r w:rsidRPr="000626EE">
        <w:rPr>
          <w:rStyle w:val="FootnoteReference"/>
          <w:rFonts w:ascii="Times New Roman" w:hAnsi="Times New Roman"/>
        </w:rPr>
        <w:footnoteRef/>
      </w:r>
      <w:r w:rsidRPr="000626EE">
        <w:rPr>
          <w:rFonts w:ascii="Times New Roman" w:hAnsi="Times New Roman"/>
        </w:rPr>
        <w:t xml:space="preserve"> Lietuvas pētniecības infrastruktūras ceļa karte</w:t>
      </w:r>
      <w:r w:rsidR="000626EE">
        <w:rPr>
          <w:rFonts w:ascii="Times New Roman" w:hAnsi="Times New Roman"/>
        </w:rPr>
        <w:t>:</w:t>
      </w:r>
      <w:r w:rsidRPr="000626EE">
        <w:rPr>
          <w:rFonts w:ascii="Times New Roman" w:hAnsi="Times New Roman"/>
        </w:rPr>
        <w:t xml:space="preserve"> </w:t>
      </w:r>
      <w:r w:rsidR="000626EE">
        <w:rPr>
          <w:rFonts w:ascii="Times New Roman" w:hAnsi="Times New Roman"/>
        </w:rPr>
        <w:t>j</w:t>
      </w:r>
      <w:hyperlink r:id="rId8" w:history="1">
        <w:r w:rsidRPr="000626EE">
          <w:rPr>
            <w:rStyle w:val="Hyperlink"/>
            <w:rFonts w:ascii="Times New Roman" w:hAnsi="Times New Roman"/>
          </w:rPr>
          <w:t>file:///C:/Users/azilinska/Downloads/2011_kelrodis_lmtik-b5-en-spreads%20(6).pdf</w:t>
        </w:r>
      </w:hyperlink>
    </w:p>
  </w:footnote>
  <w:footnote w:id="9">
    <w:p w:rsidR="004A156B" w:rsidRPr="000626EE" w:rsidRDefault="004A156B" w:rsidP="004A156B">
      <w:pPr>
        <w:pStyle w:val="FootnoteText"/>
        <w:ind w:left="0"/>
        <w:rPr>
          <w:rFonts w:ascii="Times New Roman" w:hAnsi="Times New Roman"/>
        </w:rPr>
      </w:pPr>
      <w:r w:rsidRPr="000626EE">
        <w:rPr>
          <w:rFonts w:ascii="Times New Roman" w:hAnsi="Times New Roman"/>
          <w:vertAlign w:val="superscript"/>
        </w:rPr>
        <w:footnoteRef/>
      </w:r>
      <w:r w:rsidRPr="000626EE">
        <w:rPr>
          <w:rFonts w:ascii="Times New Roman" w:hAnsi="Times New Roman"/>
          <w:vertAlign w:val="superscript"/>
        </w:rPr>
        <w:t xml:space="preserve"> </w:t>
      </w:r>
      <w:r w:rsidRPr="000626EE">
        <w:rPr>
          <w:rFonts w:ascii="Times New Roman" w:hAnsi="Times New Roman"/>
        </w:rPr>
        <w:t xml:space="preserve">Igaunijas Zinātnes portāla interneta tīmekļa vietne - </w:t>
      </w:r>
      <w:hyperlink r:id="rId9" w:history="1">
        <w:r w:rsidRPr="000626EE">
          <w:rPr>
            <w:rStyle w:val="Hyperlink"/>
            <w:rFonts w:ascii="Times New Roman" w:hAnsi="Times New Roman"/>
          </w:rPr>
          <w:t>https://www.etis.ee/portal/Portaal/etas.aspx?lang=en</w:t>
        </w:r>
      </w:hyperlink>
    </w:p>
  </w:footnote>
  <w:footnote w:id="10">
    <w:p w:rsidR="004A156B" w:rsidRPr="000626EE" w:rsidRDefault="004A156B" w:rsidP="004A156B">
      <w:pPr>
        <w:pStyle w:val="FootnoteText"/>
        <w:ind w:left="0"/>
        <w:rPr>
          <w:rFonts w:ascii="Times New Roman" w:hAnsi="Times New Roman"/>
        </w:rPr>
      </w:pPr>
      <w:r w:rsidRPr="000626EE">
        <w:rPr>
          <w:rStyle w:val="FootnoteReference"/>
          <w:rFonts w:ascii="Times New Roman" w:hAnsi="Times New Roman"/>
        </w:rPr>
        <w:footnoteRef/>
      </w:r>
      <w:hyperlink r:id="rId10" w:history="1">
        <w:r w:rsidRPr="000626EE">
          <w:rPr>
            <w:rStyle w:val="Hyperlink"/>
            <w:rFonts w:ascii="Times New Roman" w:hAnsi="Times New Roman"/>
          </w:rPr>
          <w:t>http://www.legaltext.ee/et/andmebaas/tekst.asp?loc=text&amp;dok=X60038K5&amp;keel=en&amp;pg=1&amp;ptyyp=RT&amp;tyyp=X&amp;query=teadus-+ja</w:t>
        </w:r>
      </w:hyperlink>
      <w:r w:rsidRPr="000626EE">
        <w:rPr>
          <w:rFonts w:ascii="Times New Roman" w:hAnsi="Times New Roman"/>
        </w:rPr>
        <w:t>+</w:t>
      </w:r>
    </w:p>
  </w:footnote>
  <w:footnote w:id="11">
    <w:p w:rsidR="004A156B" w:rsidRPr="000626EE" w:rsidRDefault="004A156B" w:rsidP="004A156B">
      <w:pPr>
        <w:pStyle w:val="FootnoteText"/>
        <w:ind w:left="0"/>
        <w:rPr>
          <w:rFonts w:ascii="Times New Roman" w:hAnsi="Times New Roman"/>
        </w:rPr>
      </w:pPr>
      <w:r w:rsidRPr="000626EE">
        <w:rPr>
          <w:rStyle w:val="FootnoteReference"/>
          <w:rFonts w:ascii="Times New Roman" w:hAnsi="Times New Roman"/>
        </w:rPr>
        <w:footnoteRef/>
      </w:r>
      <w:r w:rsidRPr="000626EE">
        <w:rPr>
          <w:rFonts w:ascii="Times New Roman" w:hAnsi="Times New Roman"/>
        </w:rPr>
        <w:t xml:space="preserve"> Igaunijas Izglītības un zinātnes ministrijas interneta tīmekļa vietne - </w:t>
      </w:r>
      <w:hyperlink r:id="rId11" w:history="1">
        <w:r w:rsidRPr="000626EE">
          <w:rPr>
            <w:rStyle w:val="Hyperlink"/>
            <w:rFonts w:ascii="Times New Roman" w:hAnsi="Times New Roman"/>
          </w:rPr>
          <w:t>http://www.hm.ee/en/activities/research-and-development/base-funding-and-centres-excellence</w:t>
        </w:r>
      </w:hyperlink>
    </w:p>
  </w:footnote>
  <w:footnote w:id="12">
    <w:p w:rsidR="004A156B" w:rsidRPr="000626EE" w:rsidRDefault="004A156B" w:rsidP="004A156B">
      <w:pPr>
        <w:pStyle w:val="FootnoteText"/>
        <w:ind w:left="0"/>
        <w:rPr>
          <w:rFonts w:ascii="Times New Roman" w:hAnsi="Times New Roman"/>
        </w:rPr>
      </w:pPr>
      <w:r w:rsidRPr="000626EE">
        <w:rPr>
          <w:rFonts w:ascii="Times New Roman" w:hAnsi="Times New Roman"/>
          <w:vertAlign w:val="superscript"/>
        </w:rPr>
        <w:footnoteRef/>
      </w:r>
      <w:r w:rsidRPr="000626EE">
        <w:rPr>
          <w:rFonts w:ascii="Times New Roman" w:hAnsi="Times New Roman"/>
        </w:rPr>
        <w:t xml:space="preserve"> Turpat.</w:t>
      </w:r>
    </w:p>
  </w:footnote>
  <w:footnote w:id="13">
    <w:p w:rsidR="004A156B" w:rsidRPr="000626EE" w:rsidRDefault="004A156B" w:rsidP="004A156B">
      <w:pPr>
        <w:pStyle w:val="FootnoteText"/>
        <w:ind w:left="0"/>
        <w:rPr>
          <w:rFonts w:ascii="Times New Roman" w:hAnsi="Times New Roman"/>
        </w:rPr>
      </w:pPr>
      <w:r w:rsidRPr="000626EE">
        <w:rPr>
          <w:rStyle w:val="FootnoteReference"/>
          <w:rFonts w:ascii="Times New Roman" w:hAnsi="Times New Roman"/>
        </w:rPr>
        <w:footnoteRef/>
      </w:r>
      <w:r w:rsidRPr="000626EE">
        <w:rPr>
          <w:rFonts w:ascii="Times New Roman" w:hAnsi="Times New Roman"/>
        </w:rPr>
        <w:t xml:space="preserve"> Zinātne Iga</w:t>
      </w:r>
      <w:r w:rsidR="004F713D">
        <w:rPr>
          <w:rFonts w:ascii="Times New Roman" w:hAnsi="Times New Roman"/>
        </w:rPr>
        <w:t>unijā interneta tīmekļa vietne:</w:t>
      </w:r>
      <w:r w:rsidRPr="000626EE">
        <w:rPr>
          <w:rFonts w:ascii="Times New Roman" w:hAnsi="Times New Roman"/>
        </w:rPr>
        <w:t xml:space="preserve"> </w:t>
      </w:r>
      <w:hyperlink r:id="rId12" w:history="1">
        <w:r w:rsidRPr="000626EE">
          <w:rPr>
            <w:rStyle w:val="Hyperlink"/>
            <w:rFonts w:ascii="Times New Roman" w:hAnsi="Times New Roman"/>
          </w:rPr>
          <w:t>http://researchinestonia.eu/science-scene/competence-centers/</w:t>
        </w:r>
      </w:hyperlink>
    </w:p>
  </w:footnote>
  <w:footnote w:id="14">
    <w:p w:rsidR="004A156B" w:rsidRPr="000626EE" w:rsidRDefault="004A156B" w:rsidP="004A156B">
      <w:pPr>
        <w:pStyle w:val="FootnoteText"/>
        <w:ind w:left="0"/>
        <w:rPr>
          <w:rFonts w:ascii="Times New Roman" w:hAnsi="Times New Roman"/>
        </w:rPr>
      </w:pPr>
      <w:r w:rsidRPr="000626EE">
        <w:rPr>
          <w:rStyle w:val="FootnoteReference"/>
          <w:rFonts w:ascii="Times New Roman" w:hAnsi="Times New Roman"/>
        </w:rPr>
        <w:footnoteRef/>
      </w:r>
      <w:r w:rsidRPr="000626EE">
        <w:rPr>
          <w:rFonts w:ascii="Times New Roman" w:hAnsi="Times New Roman"/>
        </w:rPr>
        <w:t xml:space="preserve"> Uzņēmējdarbība Igaunijā interneta tīmekļa vietne</w:t>
      </w:r>
      <w:r w:rsidR="004F713D">
        <w:rPr>
          <w:rFonts w:ascii="Times New Roman" w:hAnsi="Times New Roman"/>
        </w:rPr>
        <w:t xml:space="preserve">: </w:t>
      </w:r>
      <w:hyperlink r:id="rId13" w:history="1">
        <w:r w:rsidRPr="000626EE">
          <w:rPr>
            <w:rStyle w:val="Hyperlink"/>
            <w:rFonts w:ascii="Times New Roman" w:hAnsi="Times New Roman"/>
          </w:rPr>
          <w:t>http://www.eas.ee/en/for-public-and-non-profit-sectors/universities/competence-centre-programme</w:t>
        </w:r>
      </w:hyperlink>
    </w:p>
  </w:footnote>
  <w:footnote w:id="15">
    <w:p w:rsidR="004A156B" w:rsidRPr="000626EE" w:rsidRDefault="004A156B" w:rsidP="004A156B">
      <w:pPr>
        <w:pStyle w:val="FootnoteText"/>
        <w:ind w:left="0"/>
        <w:rPr>
          <w:rFonts w:ascii="Times New Roman" w:hAnsi="Times New Roman"/>
        </w:rPr>
      </w:pPr>
      <w:r w:rsidRPr="000626EE">
        <w:rPr>
          <w:rStyle w:val="FootnoteReference"/>
          <w:rFonts w:ascii="Times New Roman" w:hAnsi="Times New Roman"/>
        </w:rPr>
        <w:footnoteRef/>
      </w:r>
      <w:r w:rsidRPr="000626EE">
        <w:rPr>
          <w:rFonts w:ascii="Times New Roman" w:hAnsi="Times New Roman"/>
        </w:rPr>
        <w:t xml:space="preserve"> </w:t>
      </w:r>
      <w:r w:rsidRPr="000626EE">
        <w:rPr>
          <w:rFonts w:ascii="Times New Roman" w:hAnsi="Times New Roman"/>
          <w:color w:val="000000"/>
          <w:lang w:eastAsia="lv-LV"/>
        </w:rPr>
        <w:t xml:space="preserve">Pētniecības, attīstības un inovāciju stratēģijas ”Uz zināšanām balstīta Igaunija 2014.-2020.” ieviešanas plāns 2014.-2017.gada periodam (apstiprināts 2014.gada 3.septembrī) </w:t>
      </w:r>
      <w:hyperlink r:id="rId14" w:history="1">
        <w:r w:rsidRPr="000626EE">
          <w:rPr>
            <w:rStyle w:val="Hyperlink"/>
            <w:rFonts w:ascii="Times New Roman" w:hAnsi="Times New Roman"/>
          </w:rPr>
          <w:t>https://www.hm.ee/sites/default/files/teekaardi_objektide_loend_-_ingl.pdf</w:t>
        </w:r>
      </w:hyperlink>
    </w:p>
  </w:footnote>
  <w:footnote w:id="16">
    <w:p w:rsidR="004A156B" w:rsidRPr="000626EE" w:rsidRDefault="004A156B" w:rsidP="004A156B">
      <w:pPr>
        <w:pStyle w:val="FootnoteText"/>
        <w:ind w:left="0"/>
        <w:rPr>
          <w:rFonts w:ascii="Times New Roman" w:hAnsi="Times New Roman"/>
        </w:rPr>
      </w:pPr>
      <w:r w:rsidRPr="000626EE">
        <w:rPr>
          <w:rStyle w:val="FootnoteReference"/>
          <w:rFonts w:ascii="Times New Roman" w:hAnsi="Times New Roman"/>
        </w:rPr>
        <w:footnoteRef/>
      </w:r>
      <w:r w:rsidRPr="000626EE">
        <w:rPr>
          <w:rFonts w:ascii="Times New Roman" w:hAnsi="Times New Roman"/>
        </w:rPr>
        <w:t xml:space="preserve"> Igaunijas pētniecības infrastruktūras ceļa karte </w:t>
      </w:r>
      <w:hyperlink r:id="rId15" w:history="1">
        <w:r w:rsidRPr="000626EE">
          <w:rPr>
            <w:rStyle w:val="Hyperlink"/>
            <w:rFonts w:ascii="Times New Roman" w:hAnsi="Times New Roman"/>
          </w:rPr>
          <w:t>http://www.etag.ee/wp-content/uploads/2012/05/Teekaart.pdf</w:t>
        </w:r>
      </w:hyperlink>
    </w:p>
  </w:footnote>
  <w:footnote w:id="17">
    <w:p w:rsidR="004A156B" w:rsidRPr="000626EE" w:rsidRDefault="004A156B" w:rsidP="004A156B">
      <w:pPr>
        <w:pStyle w:val="FootnoteText"/>
        <w:ind w:left="0"/>
        <w:rPr>
          <w:rFonts w:ascii="Times New Roman" w:hAnsi="Times New Roman"/>
          <w:color w:val="000000"/>
          <w:lang w:eastAsia="lv-LV"/>
        </w:rPr>
      </w:pPr>
      <w:r w:rsidRPr="000626EE">
        <w:rPr>
          <w:rStyle w:val="FootnoteReference"/>
          <w:rFonts w:ascii="Times New Roman" w:hAnsi="Times New Roman"/>
        </w:rPr>
        <w:footnoteRef/>
      </w:r>
      <w:r w:rsidRPr="000626EE">
        <w:rPr>
          <w:rFonts w:ascii="Times New Roman" w:hAnsi="Times New Roman"/>
        </w:rPr>
        <w:t xml:space="preserve"> </w:t>
      </w:r>
      <w:r w:rsidRPr="000626EE">
        <w:rPr>
          <w:rFonts w:ascii="Times New Roman" w:hAnsi="Times New Roman"/>
          <w:color w:val="000000"/>
          <w:lang w:eastAsia="lv-LV"/>
        </w:rPr>
        <w:t xml:space="preserve">Pētniecības, attīstības un inovāciju stratēģijā ”Uz zināšanām balstīta Igaunija 2014.-2020.” </w:t>
      </w:r>
      <w:hyperlink r:id="rId16" w:history="1">
        <w:r w:rsidRPr="000626EE">
          <w:rPr>
            <w:rStyle w:val="Hyperlink"/>
            <w:rFonts w:ascii="Times New Roman" w:hAnsi="Times New Roman"/>
            <w:lang w:eastAsia="lv-LV"/>
          </w:rPr>
          <w:t>https://www.hm.ee/sites/default/files/estonian_rdi_strategy_2014-2020.pdf</w:t>
        </w:r>
      </w:hyperlink>
    </w:p>
  </w:footnote>
  <w:footnote w:id="18">
    <w:p w:rsidR="004A156B" w:rsidRPr="000626EE" w:rsidRDefault="004A156B" w:rsidP="004A156B">
      <w:pPr>
        <w:pStyle w:val="FootnoteText"/>
        <w:ind w:left="0"/>
        <w:rPr>
          <w:rFonts w:ascii="Times New Roman" w:hAnsi="Times New Roman"/>
          <w:i/>
          <w:noProof/>
        </w:rPr>
      </w:pPr>
      <w:r w:rsidRPr="000626EE">
        <w:rPr>
          <w:rStyle w:val="FootnoteReference"/>
          <w:rFonts w:ascii="Times New Roman" w:hAnsi="Times New Roman"/>
        </w:rPr>
        <w:footnoteRef/>
      </w:r>
      <w:r w:rsidRPr="000626EE">
        <w:rPr>
          <w:rFonts w:ascii="Times New Roman" w:hAnsi="Times New Roman"/>
        </w:rPr>
        <w:t xml:space="preserve">  </w:t>
      </w:r>
      <w:r w:rsidRPr="000626EE">
        <w:rPr>
          <w:rFonts w:ascii="Times New Roman" w:hAnsi="Times New Roman"/>
          <w:i/>
          <w:lang w:val="en-GB"/>
        </w:rPr>
        <w:t>Information and communication technology (ICT) horizontally through other sectors, e.g.</w:t>
      </w:r>
      <w:r w:rsidRPr="000626EE">
        <w:rPr>
          <w:rFonts w:ascii="Times New Roman" w:hAnsi="Times New Roman"/>
          <w:i/>
          <w:noProof/>
        </w:rPr>
        <w:t xml:space="preserve"> use of ICT in industry (incl. automatisation and robotics), cybersecurity, software development.</w:t>
      </w:r>
      <w:r w:rsidRPr="000626EE">
        <w:rPr>
          <w:rFonts w:ascii="Times New Roman" w:hAnsi="Times New Roman"/>
          <w:i/>
          <w:lang w:val="en-GB"/>
        </w:rPr>
        <w:t xml:space="preserve"> </w:t>
      </w:r>
    </w:p>
  </w:footnote>
  <w:footnote w:id="19">
    <w:p w:rsidR="004A156B" w:rsidRPr="000626EE" w:rsidRDefault="004A156B" w:rsidP="004A156B">
      <w:pPr>
        <w:pStyle w:val="Allmrkus1"/>
        <w:shd w:val="clear" w:color="auto" w:fill="auto"/>
        <w:tabs>
          <w:tab w:val="left" w:pos="136"/>
        </w:tabs>
        <w:spacing w:line="240" w:lineRule="auto"/>
        <w:jc w:val="left"/>
        <w:rPr>
          <w:rFonts w:ascii="Times New Roman" w:hAnsi="Times New Roman" w:cs="Times New Roman"/>
          <w:i/>
          <w:noProof/>
          <w:sz w:val="20"/>
          <w:szCs w:val="20"/>
        </w:rPr>
      </w:pPr>
      <w:r w:rsidRPr="000626EE">
        <w:rPr>
          <w:rStyle w:val="FootnoteReference"/>
          <w:rFonts w:ascii="Times New Roman" w:hAnsi="Times New Roman" w:cs="Times New Roman"/>
          <w:sz w:val="20"/>
          <w:szCs w:val="20"/>
        </w:rPr>
        <w:footnoteRef/>
      </w:r>
      <w:r w:rsidRPr="000626EE">
        <w:rPr>
          <w:rFonts w:ascii="Times New Roman" w:hAnsi="Times New Roman" w:cs="Times New Roman"/>
          <w:i/>
          <w:sz w:val="20"/>
          <w:szCs w:val="20"/>
        </w:rPr>
        <w:t xml:space="preserve"> </w:t>
      </w:r>
      <w:r w:rsidRPr="000626EE">
        <w:rPr>
          <w:rFonts w:ascii="Times New Roman" w:hAnsi="Times New Roman" w:cs="Times New Roman"/>
          <w:i/>
          <w:sz w:val="20"/>
          <w:szCs w:val="20"/>
          <w:lang w:val="en-GB"/>
        </w:rPr>
        <w:t xml:space="preserve">Health technologies and services, </w:t>
      </w:r>
      <w:r w:rsidRPr="000626EE">
        <w:rPr>
          <w:rFonts w:ascii="Times New Roman" w:hAnsi="Times New Roman" w:cs="Times New Roman"/>
          <w:i/>
          <w:sz w:val="20"/>
          <w:szCs w:val="20"/>
        </w:rPr>
        <w:t xml:space="preserve">e.g. </w:t>
      </w:r>
      <w:r w:rsidRPr="000626EE">
        <w:rPr>
          <w:rFonts w:ascii="Times New Roman" w:hAnsi="Times New Roman" w:cs="Times New Roman"/>
          <w:i/>
          <w:noProof/>
          <w:sz w:val="20"/>
          <w:szCs w:val="20"/>
        </w:rPr>
        <w:t xml:space="preserve"> biotechnology, e-health (use of IT for the development of medical services and products)</w:t>
      </w:r>
    </w:p>
  </w:footnote>
  <w:footnote w:id="20">
    <w:p w:rsidR="004A156B" w:rsidRPr="000626EE" w:rsidRDefault="004A156B" w:rsidP="004A156B">
      <w:pPr>
        <w:pStyle w:val="Allmrkus1"/>
        <w:shd w:val="clear" w:color="auto" w:fill="auto"/>
        <w:tabs>
          <w:tab w:val="left" w:pos="140"/>
        </w:tabs>
        <w:spacing w:line="240" w:lineRule="auto"/>
        <w:jc w:val="left"/>
        <w:rPr>
          <w:rFonts w:ascii="Times New Roman" w:hAnsi="Times New Roman" w:cs="Times New Roman"/>
          <w:sz w:val="20"/>
          <w:szCs w:val="20"/>
        </w:rPr>
      </w:pPr>
      <w:r w:rsidRPr="000626EE">
        <w:rPr>
          <w:rStyle w:val="FootnoteReference"/>
          <w:rFonts w:ascii="Times New Roman" w:hAnsi="Times New Roman" w:cs="Times New Roman"/>
          <w:sz w:val="20"/>
          <w:szCs w:val="20"/>
        </w:rPr>
        <w:footnoteRef/>
      </w:r>
      <w:r w:rsidRPr="000626EE">
        <w:rPr>
          <w:rFonts w:ascii="Times New Roman" w:hAnsi="Times New Roman" w:cs="Times New Roman"/>
          <w:sz w:val="20"/>
          <w:szCs w:val="20"/>
        </w:rPr>
        <w:t xml:space="preserve"> </w:t>
      </w:r>
      <w:r w:rsidRPr="000626EE">
        <w:rPr>
          <w:rFonts w:ascii="Times New Roman" w:hAnsi="Times New Roman" w:cs="Times New Roman"/>
          <w:i/>
          <w:sz w:val="20"/>
          <w:szCs w:val="20"/>
          <w:lang w:val="en-GB"/>
        </w:rPr>
        <w:t>More effective use of resources, e</w:t>
      </w:r>
      <w:r w:rsidRPr="000626EE">
        <w:rPr>
          <w:rFonts w:ascii="Times New Roman" w:hAnsi="Times New Roman" w:cs="Times New Roman"/>
          <w:i/>
          <w:sz w:val="20"/>
          <w:szCs w:val="20"/>
        </w:rPr>
        <w:t xml:space="preserve">.g. </w:t>
      </w:r>
      <w:r w:rsidRPr="000626EE">
        <w:rPr>
          <w:rFonts w:ascii="Times New Roman" w:hAnsi="Times New Roman" w:cs="Times New Roman"/>
          <w:i/>
          <w:noProof/>
          <w:sz w:val="20"/>
          <w:szCs w:val="20"/>
        </w:rPr>
        <w:t>materials science and industry, innovative construction, i.e. “smart house”, health-supporting food, chemical industry (more effective use of oil shale)</w:t>
      </w:r>
      <w:bookmarkStart w:id="2" w:name="_GoBack"/>
      <w:bookmarkEnd w:id="2"/>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5164988"/>
      <w:docPartObj>
        <w:docPartGallery w:val="Page Numbers (Top of Page)"/>
        <w:docPartUnique/>
      </w:docPartObj>
    </w:sdtPr>
    <w:sdtEndPr>
      <w:rPr>
        <w:rFonts w:ascii="Times New Roman" w:hAnsi="Times New Roman"/>
        <w:noProof/>
        <w:sz w:val="20"/>
        <w:szCs w:val="20"/>
      </w:rPr>
    </w:sdtEndPr>
    <w:sdtContent>
      <w:p w:rsidR="00FA1FB6" w:rsidRPr="00FA1FB6" w:rsidRDefault="00FA1FB6">
        <w:pPr>
          <w:pStyle w:val="Header"/>
          <w:jc w:val="center"/>
          <w:rPr>
            <w:rFonts w:ascii="Times New Roman" w:hAnsi="Times New Roman"/>
            <w:sz w:val="20"/>
            <w:szCs w:val="20"/>
          </w:rPr>
        </w:pPr>
        <w:r w:rsidRPr="00FA1FB6">
          <w:rPr>
            <w:rFonts w:ascii="Times New Roman" w:hAnsi="Times New Roman"/>
            <w:sz w:val="20"/>
            <w:szCs w:val="20"/>
          </w:rPr>
          <w:fldChar w:fldCharType="begin"/>
        </w:r>
        <w:r w:rsidRPr="00FA1FB6">
          <w:rPr>
            <w:rFonts w:ascii="Times New Roman" w:hAnsi="Times New Roman"/>
            <w:sz w:val="20"/>
            <w:szCs w:val="20"/>
          </w:rPr>
          <w:instrText xml:space="preserve"> PAGE   \* MERGEFORMAT </w:instrText>
        </w:r>
        <w:r w:rsidRPr="00FA1FB6">
          <w:rPr>
            <w:rFonts w:ascii="Times New Roman" w:hAnsi="Times New Roman"/>
            <w:sz w:val="20"/>
            <w:szCs w:val="20"/>
          </w:rPr>
          <w:fldChar w:fldCharType="separate"/>
        </w:r>
        <w:r w:rsidR="00F60BB8">
          <w:rPr>
            <w:rFonts w:ascii="Times New Roman" w:hAnsi="Times New Roman"/>
            <w:noProof/>
            <w:sz w:val="20"/>
            <w:szCs w:val="20"/>
          </w:rPr>
          <w:t>7</w:t>
        </w:r>
        <w:r w:rsidRPr="00FA1FB6">
          <w:rPr>
            <w:rFonts w:ascii="Times New Roman" w:hAnsi="Times New Roman"/>
            <w:noProof/>
            <w:sz w:val="20"/>
            <w:szCs w:val="20"/>
          </w:rPr>
          <w:fldChar w:fldCharType="end"/>
        </w:r>
      </w:p>
    </w:sdtContent>
  </w:sdt>
  <w:p w:rsidR="00FA1FB6" w:rsidRDefault="00FA1F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23E3F"/>
    <w:multiLevelType w:val="hybridMultilevel"/>
    <w:tmpl w:val="4F807762"/>
    <w:lvl w:ilvl="0" w:tplc="73BA46C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nsid w:val="12197359"/>
    <w:multiLevelType w:val="multilevel"/>
    <w:tmpl w:val="22463F0A"/>
    <w:lvl w:ilvl="0">
      <w:start w:val="1"/>
      <w:numFmt w:val="decimal"/>
      <w:lvlText w:val="%1."/>
      <w:lvlJc w:val="left"/>
      <w:pPr>
        <w:ind w:left="360" w:hanging="360"/>
      </w:pPr>
      <w:rPr>
        <w:rFonts w:hint="default"/>
      </w:rPr>
    </w:lvl>
    <w:lvl w:ilvl="1">
      <w:start w:val="1"/>
      <w:numFmt w:val="decimal"/>
      <w:isLgl/>
      <w:lvlText w:val="%1.%2."/>
      <w:lvlJc w:val="left"/>
      <w:pPr>
        <w:ind w:left="1288" w:hanging="720"/>
      </w:pPr>
      <w:rPr>
        <w:rFonts w:ascii="Times New Roman" w:hAnsi="Times New Roman" w:cs="Times New Roman" w:hint="default"/>
        <w:b/>
        <w:color w:val="auto"/>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15410B0E"/>
    <w:multiLevelType w:val="hybridMultilevel"/>
    <w:tmpl w:val="AE208D4A"/>
    <w:lvl w:ilvl="0" w:tplc="725CB0FC">
      <w:start w:val="9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24E1000D"/>
    <w:multiLevelType w:val="hybridMultilevel"/>
    <w:tmpl w:val="56BE2828"/>
    <w:lvl w:ilvl="0" w:tplc="725CB0FC">
      <w:start w:val="9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7AD0A6D"/>
    <w:multiLevelType w:val="hybridMultilevel"/>
    <w:tmpl w:val="B5E2514E"/>
    <w:lvl w:ilvl="0" w:tplc="356E3410">
      <w:numFmt w:val="bullet"/>
      <w:lvlText w:val="-"/>
      <w:lvlJc w:val="left"/>
      <w:pPr>
        <w:ind w:left="1647" w:hanging="360"/>
      </w:pPr>
      <w:rPr>
        <w:rFonts w:ascii="Times New Roman" w:eastAsia="Calibri" w:hAnsi="Times New Roman" w:cs="Times New Roman"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5">
    <w:nsid w:val="6F525B8B"/>
    <w:multiLevelType w:val="hybridMultilevel"/>
    <w:tmpl w:val="4CE4210E"/>
    <w:lvl w:ilvl="0" w:tplc="725CB0FC">
      <w:start w:val="9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7B5F2E85"/>
    <w:multiLevelType w:val="hybridMultilevel"/>
    <w:tmpl w:val="C930B7E2"/>
    <w:lvl w:ilvl="0" w:tplc="725CB0FC">
      <w:start w:val="9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56B"/>
    <w:rsid w:val="0002393A"/>
    <w:rsid w:val="000259A9"/>
    <w:rsid w:val="000626EE"/>
    <w:rsid w:val="00092936"/>
    <w:rsid w:val="000B5181"/>
    <w:rsid w:val="00250BF3"/>
    <w:rsid w:val="00313077"/>
    <w:rsid w:val="003C108B"/>
    <w:rsid w:val="00412225"/>
    <w:rsid w:val="004A156B"/>
    <w:rsid w:val="004C4EE9"/>
    <w:rsid w:val="004D3BEE"/>
    <w:rsid w:val="004F713D"/>
    <w:rsid w:val="0065127E"/>
    <w:rsid w:val="006B78C0"/>
    <w:rsid w:val="006C026C"/>
    <w:rsid w:val="00761D6F"/>
    <w:rsid w:val="00780F77"/>
    <w:rsid w:val="00795CCC"/>
    <w:rsid w:val="007B1142"/>
    <w:rsid w:val="007B5405"/>
    <w:rsid w:val="00916048"/>
    <w:rsid w:val="0097538C"/>
    <w:rsid w:val="009A5D91"/>
    <w:rsid w:val="009B0817"/>
    <w:rsid w:val="00A63842"/>
    <w:rsid w:val="00B07018"/>
    <w:rsid w:val="00B15A94"/>
    <w:rsid w:val="00C10130"/>
    <w:rsid w:val="00D940C5"/>
    <w:rsid w:val="00DF7C9E"/>
    <w:rsid w:val="00EB781C"/>
    <w:rsid w:val="00F5010A"/>
    <w:rsid w:val="00F60BB8"/>
    <w:rsid w:val="00F931BB"/>
    <w:rsid w:val="00FA1F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CDF336-F87A-421B-9D77-0F30DE64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56B"/>
    <w:pPr>
      <w:spacing w:after="0" w:line="240" w:lineRule="auto"/>
      <w:ind w:left="425"/>
      <w:jc w:val="both"/>
    </w:pPr>
    <w:rPr>
      <w:rFonts w:ascii="Calibri" w:eastAsia="Calibri" w:hAnsi="Calibri" w:cs="Times New Roman"/>
    </w:rPr>
  </w:style>
  <w:style w:type="paragraph" w:styleId="Heading1">
    <w:name w:val="heading 1"/>
    <w:basedOn w:val="Normal"/>
    <w:next w:val="Normal"/>
    <w:link w:val="Heading1Char"/>
    <w:qFormat/>
    <w:rsid w:val="004A156B"/>
    <w:pPr>
      <w:keepNext/>
      <w:keepLines/>
      <w:spacing w:before="480"/>
      <w:ind w:left="0"/>
      <w:jc w:val="left"/>
      <w:outlineLvl w:val="0"/>
    </w:pPr>
    <w:rPr>
      <w:rFonts w:ascii="Cambria" w:eastAsia="Times New Roman" w:hAnsi="Cambria"/>
      <w:b/>
      <w:bCs/>
      <w:color w:val="365F91"/>
      <w:sz w:val="28"/>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56B"/>
    <w:rPr>
      <w:rFonts w:ascii="Cambria" w:eastAsia="Times New Roman" w:hAnsi="Cambria" w:cs="Times New Roman"/>
      <w:b/>
      <w:bCs/>
      <w:color w:val="365F91"/>
      <w:sz w:val="28"/>
      <w:szCs w:val="28"/>
      <w:lang w:eastAsia="lv-LV"/>
    </w:rPr>
  </w:style>
  <w:style w:type="character" w:styleId="Hyperlink">
    <w:name w:val="Hyperlink"/>
    <w:uiPriority w:val="99"/>
    <w:unhideWhenUsed/>
    <w:rsid w:val="004A156B"/>
    <w:rPr>
      <w:color w:val="0000FF"/>
      <w:u w:val="single"/>
    </w:rPr>
  </w:style>
  <w:style w:type="paragraph" w:styleId="FootnoteText">
    <w:name w:val="footnote text"/>
    <w:aliases w:val="Footnote Text Char Char,Footnote Text Char1 Char Char,Footnote Text Char Char Char Char,Footnote Text Char1 Char Char1 Char Char,Footnote Text Char Char Char Char Char Char,Footnote Text Char1 Char Char1 Char,Footnote,f,Footnote Text Char1"/>
    <w:basedOn w:val="Normal"/>
    <w:link w:val="FootnoteTextChar"/>
    <w:uiPriority w:val="99"/>
    <w:unhideWhenUsed/>
    <w:rsid w:val="004A156B"/>
    <w:rPr>
      <w:sz w:val="20"/>
      <w:szCs w:val="20"/>
    </w:rPr>
  </w:style>
  <w:style w:type="character" w:customStyle="1" w:styleId="FootnoteTextChar">
    <w:name w:val="Footnote Text Char"/>
    <w:aliases w:val="Footnote Text Char Char Char,Footnote Text Char1 Char Char Char,Footnote Text Char Char Char Char Char,Footnote Text Char1 Char Char1 Char Char Char,Footnote Text Char Char Char Char Char Char Char,Footnote Char,f Char"/>
    <w:basedOn w:val="DefaultParagraphFont"/>
    <w:link w:val="FootnoteText"/>
    <w:uiPriority w:val="99"/>
    <w:rsid w:val="004A156B"/>
    <w:rPr>
      <w:rFonts w:ascii="Calibri" w:eastAsia="Calibri" w:hAnsi="Calibri"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link w:val="CharCharCharChar"/>
    <w:uiPriority w:val="99"/>
    <w:unhideWhenUsed/>
    <w:rsid w:val="004A156B"/>
    <w:rPr>
      <w:vertAlign w:val="superscript"/>
    </w:rPr>
  </w:style>
  <w:style w:type="character" w:customStyle="1" w:styleId="ListParagraphChar">
    <w:name w:val="List Paragraph Char"/>
    <w:aliases w:val="2 Char,Strip Char,H&amp;P List Paragraph Char,Colorful List - Accent 12 Char,Akapit z listą BS Char"/>
    <w:link w:val="ListParagraph"/>
    <w:uiPriority w:val="34"/>
    <w:qFormat/>
    <w:locked/>
    <w:rsid w:val="004A156B"/>
    <w:rPr>
      <w:rFonts w:ascii="Times New Roman" w:eastAsia="Times New Roman" w:hAnsi="Times New Roman"/>
      <w:sz w:val="24"/>
      <w:szCs w:val="24"/>
    </w:rPr>
  </w:style>
  <w:style w:type="paragraph" w:styleId="ListParagraph">
    <w:name w:val="List Paragraph"/>
    <w:aliases w:val="2,Strip,H&amp;P List Paragraph,Colorful List - Accent 12,Akapit z listą BS"/>
    <w:basedOn w:val="Normal"/>
    <w:link w:val="ListParagraphChar"/>
    <w:uiPriority w:val="34"/>
    <w:qFormat/>
    <w:rsid w:val="004A156B"/>
    <w:pPr>
      <w:spacing w:before="60"/>
      <w:ind w:left="720" w:firstLine="709"/>
      <w:contextualSpacing/>
    </w:pPr>
    <w:rPr>
      <w:rFonts w:ascii="Times New Roman" w:eastAsia="Times New Roman" w:hAnsi="Times New Roman" w:cstheme="minorBidi"/>
      <w:sz w:val="24"/>
      <w:szCs w:val="24"/>
    </w:rPr>
  </w:style>
  <w:style w:type="character" w:customStyle="1" w:styleId="apple-converted-space">
    <w:name w:val="apple-converted-space"/>
    <w:rsid w:val="004A156B"/>
  </w:style>
  <w:style w:type="table" w:styleId="TableGrid">
    <w:name w:val="Table Grid"/>
    <w:basedOn w:val="TableNormal"/>
    <w:uiPriority w:val="59"/>
    <w:rsid w:val="004A156B"/>
    <w:pPr>
      <w:spacing w:after="0" w:line="240" w:lineRule="auto"/>
    </w:pPr>
    <w:rPr>
      <w:rFonts w:ascii="Calibri" w:eastAsia="Calibri" w:hAnsi="Calibri"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4A156B"/>
    <w:rPr>
      <w:i/>
      <w:iCs/>
    </w:rPr>
  </w:style>
  <w:style w:type="paragraph" w:customStyle="1" w:styleId="CharCharCharChar">
    <w:name w:val="Char Char Char Char"/>
    <w:aliases w:val="Char2"/>
    <w:basedOn w:val="Normal"/>
    <w:next w:val="Normal"/>
    <w:link w:val="FootnoteReference"/>
    <w:uiPriority w:val="99"/>
    <w:rsid w:val="004A156B"/>
    <w:pPr>
      <w:spacing w:after="160" w:line="240" w:lineRule="exact"/>
      <w:ind w:left="0"/>
    </w:pPr>
    <w:rPr>
      <w:rFonts w:asciiTheme="minorHAnsi" w:eastAsiaTheme="minorHAnsi" w:hAnsiTheme="minorHAnsi" w:cstheme="minorBidi"/>
      <w:vertAlign w:val="superscript"/>
    </w:rPr>
  </w:style>
  <w:style w:type="paragraph" w:customStyle="1" w:styleId="Allmrkus1">
    <w:name w:val="Allmärkus1"/>
    <w:basedOn w:val="Normal"/>
    <w:rsid w:val="004A156B"/>
    <w:pPr>
      <w:widowControl w:val="0"/>
      <w:shd w:val="clear" w:color="auto" w:fill="FFFFFF"/>
      <w:spacing w:line="188" w:lineRule="exact"/>
      <w:ind w:left="0"/>
    </w:pPr>
    <w:rPr>
      <w:rFonts w:ascii="Arial Narrow" w:eastAsia="Times New Roman" w:hAnsi="Arial Narrow" w:cs="Arial Narrow"/>
      <w:color w:val="000000"/>
      <w:sz w:val="15"/>
      <w:szCs w:val="15"/>
      <w:lang w:val="et-EE" w:eastAsia="et-EE"/>
    </w:rPr>
  </w:style>
  <w:style w:type="character" w:customStyle="1" w:styleId="hps">
    <w:name w:val="hps"/>
    <w:basedOn w:val="DefaultParagraphFont"/>
    <w:rsid w:val="004A156B"/>
  </w:style>
  <w:style w:type="paragraph" w:styleId="Caption">
    <w:name w:val="caption"/>
    <w:basedOn w:val="Normal"/>
    <w:next w:val="Normal"/>
    <w:uiPriority w:val="35"/>
    <w:unhideWhenUsed/>
    <w:qFormat/>
    <w:rsid w:val="004A156B"/>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0B51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181"/>
    <w:rPr>
      <w:rFonts w:ascii="Segoe UI" w:eastAsia="Calibri" w:hAnsi="Segoe UI" w:cs="Segoe UI"/>
      <w:sz w:val="18"/>
      <w:szCs w:val="18"/>
    </w:rPr>
  </w:style>
  <w:style w:type="paragraph" w:styleId="Header">
    <w:name w:val="header"/>
    <w:basedOn w:val="Normal"/>
    <w:link w:val="HeaderChar"/>
    <w:uiPriority w:val="99"/>
    <w:unhideWhenUsed/>
    <w:rsid w:val="00412225"/>
    <w:pPr>
      <w:tabs>
        <w:tab w:val="center" w:pos="4153"/>
        <w:tab w:val="right" w:pos="8306"/>
      </w:tabs>
    </w:pPr>
  </w:style>
  <w:style w:type="character" w:customStyle="1" w:styleId="HeaderChar">
    <w:name w:val="Header Char"/>
    <w:basedOn w:val="DefaultParagraphFont"/>
    <w:link w:val="Header"/>
    <w:uiPriority w:val="99"/>
    <w:rsid w:val="00412225"/>
    <w:rPr>
      <w:rFonts w:ascii="Calibri" w:eastAsia="Calibri" w:hAnsi="Calibri" w:cs="Times New Roman"/>
    </w:rPr>
  </w:style>
  <w:style w:type="paragraph" w:styleId="Footer">
    <w:name w:val="footer"/>
    <w:basedOn w:val="Normal"/>
    <w:link w:val="FooterChar"/>
    <w:uiPriority w:val="99"/>
    <w:unhideWhenUsed/>
    <w:rsid w:val="00412225"/>
    <w:pPr>
      <w:tabs>
        <w:tab w:val="center" w:pos="4153"/>
        <w:tab w:val="right" w:pos="8306"/>
      </w:tabs>
    </w:pPr>
  </w:style>
  <w:style w:type="character" w:customStyle="1" w:styleId="FooterChar">
    <w:name w:val="Footer Char"/>
    <w:basedOn w:val="DefaultParagraphFont"/>
    <w:link w:val="Footer"/>
    <w:uiPriority w:val="99"/>
    <w:rsid w:val="00412225"/>
    <w:rPr>
      <w:rFonts w:ascii="Calibri" w:eastAsia="Calibri" w:hAnsi="Calibri" w:cs="Times New Roman"/>
    </w:rPr>
  </w:style>
  <w:style w:type="character" w:styleId="FollowedHyperlink">
    <w:name w:val="FollowedHyperlink"/>
    <w:basedOn w:val="DefaultParagraphFont"/>
    <w:uiPriority w:val="99"/>
    <w:semiHidden/>
    <w:unhideWhenUsed/>
    <w:rsid w:val="007B11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file:///C:/Users/azilinska/Downloads/2011_kelrodis_lmtik-b5-en-spreads%20(6).pdf" TargetMode="External"/><Relationship Id="rId13" Type="http://schemas.openxmlformats.org/officeDocument/2006/relationships/hyperlink" Target="http://www.eas.ee/en/for-public-and-non-profit-sectors/universities/competence-centre-programme" TargetMode="External"/><Relationship Id="rId3" Type="http://schemas.openxmlformats.org/officeDocument/2006/relationships/hyperlink" Target="http://ec.europa.eu/lietuva/ziniasklaidai/23092013_era_lithuania_%282%29.pdf" TargetMode="External"/><Relationship Id="rId7" Type="http://schemas.openxmlformats.org/officeDocument/2006/relationships/hyperlink" Target="http://apc.mita.lt/open-access-centres" TargetMode="External"/><Relationship Id="rId12" Type="http://schemas.openxmlformats.org/officeDocument/2006/relationships/hyperlink" Target="http://researchinestonia.eu/science-scene/competence-centers/" TargetMode="External"/><Relationship Id="rId2" Type="http://schemas.openxmlformats.org/officeDocument/2006/relationships/hyperlink" Target="http://www.google.lv/url?sa=t&amp;rct=j&amp;q=&amp;esrc=s&amp;frm=1&amp;source=web&amp;cd=3&amp;ved=0CC8QFjAC&amp;url=http%3A%2F%2Fwww.lmt.lt%2Fdownload%2F1367%2F2011_kelrodis_lmtik-b5-en-spreads.pdf&amp;ei=e0HsVMWaOofjywOcgoKIDA&amp;usg=AFQjCNEsqk7FsC_owUJJ56Gb77NtNREpEg&amp;sig2=B9GJ_v1xfuxb9YFjfoVMgQ" TargetMode="External"/><Relationship Id="rId16" Type="http://schemas.openxmlformats.org/officeDocument/2006/relationships/hyperlink" Target="https://www.hm.ee/sites/default/files/estonian_rdi_strategy_2014-2020.pdf" TargetMode="External"/><Relationship Id="rId1" Type="http://schemas.openxmlformats.org/officeDocument/2006/relationships/hyperlink" Target="http://www.mita.lt/en/activities/lithuanian-rampd-institutions/" TargetMode="External"/><Relationship Id="rId6" Type="http://schemas.openxmlformats.org/officeDocument/2006/relationships/hyperlink" Target="http://www.smm.lt/web/en/science1/science_1" TargetMode="External"/><Relationship Id="rId11" Type="http://schemas.openxmlformats.org/officeDocument/2006/relationships/hyperlink" Target="http://www.hm.ee/en/activities/research-and-development/base-funding-and-centres-excellence" TargetMode="External"/><Relationship Id="rId5" Type="http://schemas.openxmlformats.org/officeDocument/2006/relationships/hyperlink" Target="http://www.smm.lt/web/en/science1/science_1" TargetMode="External"/><Relationship Id="rId15" Type="http://schemas.openxmlformats.org/officeDocument/2006/relationships/hyperlink" Target="http://www.etag.ee/wp-content/uploads/2012/05/Teekaart.pdf" TargetMode="External"/><Relationship Id="rId10" Type="http://schemas.openxmlformats.org/officeDocument/2006/relationships/hyperlink" Target="http://www.legaltext.ee/et/andmebaas/tekst.asp?loc=text&amp;dok=X60038K5&amp;keel=en&amp;pg=1&amp;ptyyp=RT&amp;tyyp=X&amp;query=teadus-+ja" TargetMode="External"/><Relationship Id="rId4" Type="http://schemas.openxmlformats.org/officeDocument/2006/relationships/hyperlink" Target="http://www.smm.lt/web/en/science1/science_1" TargetMode="External"/><Relationship Id="rId9" Type="http://schemas.openxmlformats.org/officeDocument/2006/relationships/hyperlink" Target="https://www.etis.ee/portal/Portaal/etas.aspx?lang=en" TargetMode="External"/><Relationship Id="rId14" Type="http://schemas.openxmlformats.org/officeDocument/2006/relationships/hyperlink" Target="https://www.hm.ee/sites/default/files/teekaardi_objektide_loend_-_ingl.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azilinska\Desktop\Prezentacijam_grafiki.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03297664714988E-2"/>
          <c:y val="3.3898305084745763E-2"/>
          <c:w val="0.35229726091930819"/>
          <c:h val="0.93149784243071321"/>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Lbls>
            <c:dLbl>
              <c:idx val="5"/>
              <c:layout>
                <c:manualLayout>
                  <c:x val="6.0283370967930724E-2"/>
                  <c:y val="2.4378835950629313E-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Sheet6!$A$1:$A$8</c:f>
              <c:strCache>
                <c:ptCount val="8"/>
                <c:pt idx="0">
                  <c:v>IKT</c:v>
                </c:pt>
                <c:pt idx="1">
                  <c:v>Bioloģija un medicīna</c:v>
                </c:pt>
                <c:pt idx="2">
                  <c:v>Zemes un vides zinātnes</c:v>
                </c:pt>
                <c:pt idx="3">
                  <c:v>Fizika, astronomija, astrofizika un matemātika</c:v>
                </c:pt>
                <c:pt idx="4">
                  <c:v>Ķīmija un materiālzinātnēs</c:v>
                </c:pt>
                <c:pt idx="5">
                  <c:v>Inženierzinātnes un enerģētika</c:v>
                </c:pt>
                <c:pt idx="6">
                  <c:v>Sociālās zinātnes</c:v>
                </c:pt>
                <c:pt idx="7">
                  <c:v>Humanitārās zinātnes un māksla</c:v>
                </c:pt>
              </c:strCache>
            </c:strRef>
          </c:cat>
          <c:val>
            <c:numRef>
              <c:f>Sheet6!$B$1:$B$8</c:f>
              <c:numCache>
                <c:formatCode>General</c:formatCode>
                <c:ptCount val="8"/>
                <c:pt idx="0">
                  <c:v>5</c:v>
                </c:pt>
                <c:pt idx="1">
                  <c:v>10</c:v>
                </c:pt>
                <c:pt idx="2">
                  <c:v>5</c:v>
                </c:pt>
                <c:pt idx="3">
                  <c:v>8</c:v>
                </c:pt>
                <c:pt idx="4">
                  <c:v>13</c:v>
                </c:pt>
                <c:pt idx="5">
                  <c:v>10</c:v>
                </c:pt>
                <c:pt idx="6">
                  <c:v>4</c:v>
                </c:pt>
                <c:pt idx="7">
                  <c:v>2</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manualLayout>
          <c:xMode val="edge"/>
          <c:yMode val="edge"/>
          <c:x val="0.511605929066559"/>
          <c:y val="3.4308236554042783E-2"/>
          <c:w val="0.46492613904031227"/>
          <c:h val="0.94237976105829602"/>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lv-LV"/>
        </a:p>
      </c:txPr>
    </c:legend>
    <c:plotVisOnly val="1"/>
    <c:dispBlanksAs val="zero"/>
    <c:showDLblsOverMax val="0"/>
  </c:chart>
  <c:spPr>
    <a:solidFill>
      <a:schemeClr val="bg1"/>
    </a:solidFill>
    <a:ln w="9525" cap="flat" cmpd="sng" algn="ctr">
      <a:solidFill>
        <a:schemeClr val="bg1"/>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8</Pages>
  <Words>2176</Words>
  <Characters>16740</Characters>
  <Application>Microsoft Office Word</Application>
  <DocSecurity>0</DocSecurity>
  <Lines>577</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Evija Zača</dc:creator>
  <cp:keywords/>
  <dc:description/>
  <cp:lastModifiedBy>Antra Žilinska</cp:lastModifiedBy>
  <cp:revision>30</cp:revision>
  <cp:lastPrinted>2016-08-10T15:33:00Z</cp:lastPrinted>
  <dcterms:created xsi:type="dcterms:W3CDTF">2016-03-03T14:27:00Z</dcterms:created>
  <dcterms:modified xsi:type="dcterms:W3CDTF">2016-08-10T15:33:00Z</dcterms:modified>
</cp:coreProperties>
</file>