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40385" w14:textId="0C90A637" w:rsidR="0016547D" w:rsidRPr="00D067BC" w:rsidRDefault="0016547D" w:rsidP="007D4962">
      <w:pPr>
        <w:jc w:val="center"/>
        <w:rPr>
          <w:b/>
        </w:rPr>
      </w:pPr>
      <w:r w:rsidRPr="00970081">
        <w:rPr>
          <w:b/>
        </w:rPr>
        <w:t>Ministru kabineta noteikumu projekt</w:t>
      </w:r>
      <w:r>
        <w:rPr>
          <w:b/>
        </w:rPr>
        <w:t>a</w:t>
      </w:r>
      <w:r w:rsidRPr="00970081">
        <w:rPr>
          <w:b/>
        </w:rPr>
        <w:t xml:space="preserve"> </w:t>
      </w:r>
      <w:r w:rsidRPr="001E18D4">
        <w:rPr>
          <w:b/>
        </w:rPr>
        <w:t>„</w:t>
      </w:r>
      <w:r w:rsidR="00EE546A" w:rsidRPr="007D6ECA">
        <w:rPr>
          <w:b/>
          <w:lang w:eastAsia="lv-LV"/>
        </w:rPr>
        <w:t>Iepriekšējās piekrišanas dokumenta šaujamieroču un munīcijas vai sprāgstvielu pārvietošanai starp Eiropas Savienības dalībvalstīm izsniegšanas, apturēšanas un anulēšanas prasības</w:t>
      </w:r>
      <w:r w:rsidRPr="001E18D4">
        <w:rPr>
          <w:b/>
        </w:rPr>
        <w:t>”</w:t>
      </w:r>
      <w:r w:rsidR="009058BD">
        <w:rPr>
          <w:b/>
        </w:rPr>
        <w:t xml:space="preserve"> </w:t>
      </w:r>
      <w:r w:rsidRPr="00D067BC">
        <w:rPr>
          <w:b/>
        </w:rPr>
        <w:t xml:space="preserve">sākotnējās ietekmes novērtējuma </w:t>
      </w:r>
      <w:smartTag w:uri="schemas-tilde-lv/tildestengine" w:element="veidnes">
        <w:smartTagPr>
          <w:attr w:name="id" w:val="-1"/>
          <w:attr w:name="baseform" w:val="akts"/>
          <w:attr w:name="text" w:val="akts"/>
        </w:smartTagPr>
        <w:smartTag w:uri="schemas-tilde-lv/tildestengine" w:element="veidnes">
          <w:smartTagPr>
            <w:attr w:name="id" w:val="-1"/>
            <w:attr w:name="baseform" w:val="ziņojums"/>
            <w:attr w:name="text" w:val="ziņojums"/>
          </w:smartTagPr>
          <w:r w:rsidRPr="00D067BC">
            <w:rPr>
              <w:b/>
            </w:rPr>
            <w:t>ziņojums</w:t>
          </w:r>
        </w:smartTag>
        <w:r w:rsidRPr="00D067BC">
          <w:rPr>
            <w:b/>
          </w:rPr>
          <w:t xml:space="preserve"> </w:t>
        </w:r>
      </w:smartTag>
      <w:r w:rsidRPr="00D067BC">
        <w:rPr>
          <w:b/>
        </w:rPr>
        <w:t>(anotācija)</w:t>
      </w:r>
    </w:p>
    <w:p w14:paraId="1407E42E" w14:textId="77777777" w:rsidR="0016547D" w:rsidRPr="00D067BC" w:rsidRDefault="0016547D" w:rsidP="00616AA6">
      <w:pPr>
        <w:pStyle w:val="Footer"/>
        <w:jc w:val="center"/>
        <w:rPr>
          <w:b/>
          <w:sz w:val="28"/>
          <w:szCs w:val="28"/>
        </w:rPr>
      </w:pPr>
    </w:p>
    <w:tbl>
      <w:tblPr>
        <w:tblpPr w:leftFromText="180" w:rightFromText="180" w:vertAnchor="text" w:horzAnchor="margin" w:tblpXSpec="center" w:tblpY="149"/>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555"/>
        <w:gridCol w:w="6855"/>
      </w:tblGrid>
      <w:tr w:rsidR="0016547D" w:rsidRPr="00D067BC" w14:paraId="030EC1B3" w14:textId="77777777" w:rsidTr="00C33920">
        <w:trPr>
          <w:trHeight w:val="419"/>
        </w:trPr>
        <w:tc>
          <w:tcPr>
            <w:tcW w:w="5000" w:type="pct"/>
            <w:gridSpan w:val="3"/>
            <w:vAlign w:val="center"/>
          </w:tcPr>
          <w:p w14:paraId="0DC96AB1" w14:textId="77777777" w:rsidR="0016547D" w:rsidRPr="00D067BC" w:rsidRDefault="0016547D" w:rsidP="00014DEC">
            <w:pPr>
              <w:pStyle w:val="naisnod"/>
              <w:spacing w:before="0" w:beforeAutospacing="0" w:after="0" w:afterAutospacing="0"/>
              <w:ind w:left="57" w:right="57"/>
              <w:jc w:val="center"/>
              <w:rPr>
                <w:b/>
              </w:rPr>
            </w:pPr>
            <w:r w:rsidRPr="00D067BC">
              <w:rPr>
                <w:b/>
              </w:rPr>
              <w:t>I. Tiesību akta projekta izstrādes nepieciešamība</w:t>
            </w:r>
          </w:p>
        </w:tc>
      </w:tr>
      <w:tr w:rsidR="0016547D" w:rsidRPr="00D067BC" w14:paraId="42279247" w14:textId="77777777" w:rsidTr="00AB50EF">
        <w:trPr>
          <w:trHeight w:val="415"/>
        </w:trPr>
        <w:tc>
          <w:tcPr>
            <w:tcW w:w="212" w:type="pct"/>
          </w:tcPr>
          <w:p w14:paraId="6829A8BF" w14:textId="77777777" w:rsidR="0016547D" w:rsidRPr="00D067BC" w:rsidRDefault="0016547D" w:rsidP="00014DEC">
            <w:pPr>
              <w:pStyle w:val="naiskr"/>
              <w:spacing w:before="0" w:beforeAutospacing="0" w:after="0" w:afterAutospacing="0"/>
              <w:ind w:left="57" w:right="57"/>
              <w:jc w:val="center"/>
            </w:pPr>
            <w:r w:rsidRPr="00D067BC">
              <w:t>1.</w:t>
            </w:r>
          </w:p>
        </w:tc>
        <w:tc>
          <w:tcPr>
            <w:tcW w:w="1300" w:type="pct"/>
          </w:tcPr>
          <w:p w14:paraId="213B947D" w14:textId="77777777" w:rsidR="0016547D" w:rsidRPr="00D067BC" w:rsidRDefault="0016547D" w:rsidP="00752214">
            <w:pPr>
              <w:pStyle w:val="naiskr"/>
              <w:spacing w:before="0" w:beforeAutospacing="0" w:after="0" w:afterAutospacing="0"/>
              <w:ind w:left="57" w:right="57"/>
            </w:pPr>
            <w:r w:rsidRPr="00D067BC">
              <w:t>Pamatojums</w:t>
            </w:r>
          </w:p>
        </w:tc>
        <w:tc>
          <w:tcPr>
            <w:tcW w:w="3488" w:type="pct"/>
          </w:tcPr>
          <w:p w14:paraId="5529432F" w14:textId="5F1C2DA5" w:rsidR="00B54E6E" w:rsidRDefault="00B54E6E" w:rsidP="00B54E6E">
            <w:pPr>
              <w:ind w:right="50" w:firstLine="285"/>
              <w:jc w:val="both"/>
              <w:rPr>
                <w:lang w:eastAsia="lv-LV"/>
              </w:rPr>
            </w:pPr>
            <w:r w:rsidRPr="001634F6">
              <w:rPr>
                <w:lang w:eastAsia="lv-LV"/>
              </w:rPr>
              <w:t xml:space="preserve">Normatīvā akta projekts (turpmāk – Projekts) </w:t>
            </w:r>
            <w:r>
              <w:rPr>
                <w:lang w:eastAsia="lv-LV"/>
              </w:rPr>
              <w:t>izstrādāts</w:t>
            </w:r>
            <w:r w:rsidRPr="001634F6">
              <w:rPr>
                <w:lang w:eastAsia="lv-LV"/>
              </w:rPr>
              <w:t xml:space="preserve">, </w:t>
            </w:r>
            <w:r w:rsidRPr="00D64794">
              <w:rPr>
                <w:bCs/>
                <w:lang w:eastAsia="lv-LV"/>
              </w:rPr>
              <w:t xml:space="preserve">lai ieviestu Latvijas Republikas tiesību aktos </w:t>
            </w:r>
            <w:r w:rsidRPr="00D64794">
              <w:rPr>
                <w:lang w:eastAsia="lv-LV"/>
              </w:rPr>
              <w:t>Eiro</w:t>
            </w:r>
            <w:r>
              <w:rPr>
                <w:lang w:eastAsia="lv-LV"/>
              </w:rPr>
              <w:t xml:space="preserve">pas Parlamenta un Padomes </w:t>
            </w:r>
            <w:proofErr w:type="gramStart"/>
            <w:r>
              <w:rPr>
                <w:lang w:eastAsia="lv-LV"/>
              </w:rPr>
              <w:t>2014.</w:t>
            </w:r>
            <w:r w:rsidRPr="00D64794">
              <w:rPr>
                <w:lang w:eastAsia="lv-LV"/>
              </w:rPr>
              <w:t>gada</w:t>
            </w:r>
            <w:proofErr w:type="gramEnd"/>
            <w:r w:rsidRPr="00D64794">
              <w:rPr>
                <w:lang w:eastAsia="lv-LV"/>
              </w:rPr>
              <w:t xml:space="preserve"> 26.februāra direktīvas 2014/28/ES par dalībvalstu tiesību aktu saskaņošanu attiecībā uz civilām vajadzībām paredzēto sprāgstvielu pieejamību tirgū un pārraudzību (turpmāk – Direktīv</w:t>
            </w:r>
            <w:r>
              <w:rPr>
                <w:lang w:eastAsia="lv-LV"/>
              </w:rPr>
              <w:t>a</w:t>
            </w:r>
            <w:r w:rsidR="00430439">
              <w:rPr>
                <w:lang w:eastAsia="lv-LV"/>
              </w:rPr>
              <w:t xml:space="preserve"> </w:t>
            </w:r>
            <w:r w:rsidR="00430439" w:rsidRPr="00D64794">
              <w:rPr>
                <w:lang w:eastAsia="lv-LV"/>
              </w:rPr>
              <w:t>2014/28/ES</w:t>
            </w:r>
            <w:r>
              <w:rPr>
                <w:lang w:eastAsia="lv-LV"/>
              </w:rPr>
              <w:t>)</w:t>
            </w:r>
            <w:r w:rsidR="00810788">
              <w:rPr>
                <w:lang w:eastAsia="lv-LV"/>
              </w:rPr>
              <w:t xml:space="preserve"> 11., 12., 13. un 14.panta</w:t>
            </w:r>
            <w:r>
              <w:rPr>
                <w:lang w:eastAsia="lv-LV"/>
              </w:rPr>
              <w:t xml:space="preserve"> normas.</w:t>
            </w:r>
          </w:p>
          <w:p w14:paraId="2B034EF2" w14:textId="2FD2B180" w:rsidR="00B54E6E" w:rsidRDefault="00B54E6E" w:rsidP="00B54E6E">
            <w:pPr>
              <w:ind w:right="50" w:firstLine="285"/>
              <w:jc w:val="both"/>
              <w:rPr>
                <w:lang w:eastAsia="lv-LV"/>
              </w:rPr>
            </w:pPr>
            <w:r>
              <w:rPr>
                <w:lang w:eastAsia="lv-LV"/>
              </w:rPr>
              <w:t>Šobrīd spēkā ir 2007.gada 6.novembra Ministru kabineta noteikumi Nr.736 „Kārtība, kādā Valsts policija izsniedz iepriekšējās piekrišanas dokumentus šaujamieroču un munīcijas vai sprāgstvielu pārvietošanai starp Eiropas Savienības dalībvalstīm”</w:t>
            </w:r>
            <w:r>
              <w:rPr>
                <w:sz w:val="23"/>
                <w:szCs w:val="23"/>
              </w:rPr>
              <w:t xml:space="preserve"> (turpmāk - </w:t>
            </w:r>
            <w:r w:rsidRPr="00FE7ECF">
              <w:t>MK noteikumi Nr.</w:t>
            </w:r>
            <w:r>
              <w:t>736)</w:t>
            </w:r>
            <w:r>
              <w:rPr>
                <w:lang w:eastAsia="lv-LV"/>
              </w:rPr>
              <w:t xml:space="preserve">, taču ir nepieciešams ieviest jaunu normatīvo aktu, kas regulē šo jomu. </w:t>
            </w:r>
            <w:r w:rsidRPr="001634F6">
              <w:rPr>
                <w:lang w:eastAsia="lv-LV"/>
              </w:rPr>
              <w:t>Nepieciešamība sagatavot jaunu normatīvo aktu izriet no tā, ka</w:t>
            </w:r>
            <w:r>
              <w:rPr>
                <w:lang w:eastAsia="lv-LV"/>
              </w:rPr>
              <w:t xml:space="preserve"> </w:t>
            </w:r>
            <w:proofErr w:type="gramStart"/>
            <w:r>
              <w:rPr>
                <w:lang w:eastAsia="lv-LV"/>
              </w:rPr>
              <w:t>2016.gada</w:t>
            </w:r>
            <w:proofErr w:type="gramEnd"/>
            <w:r w:rsidR="00EF050B">
              <w:rPr>
                <w:lang w:eastAsia="lv-LV"/>
              </w:rPr>
              <w:t xml:space="preserve"> 31.ma</w:t>
            </w:r>
            <w:r w:rsidR="00A564E2">
              <w:rPr>
                <w:lang w:eastAsia="lv-LV"/>
              </w:rPr>
              <w:t>r</w:t>
            </w:r>
            <w:r w:rsidR="00EF050B">
              <w:rPr>
                <w:lang w:eastAsia="lv-LV"/>
              </w:rPr>
              <w:t xml:space="preserve">tā </w:t>
            </w:r>
            <w:r>
              <w:rPr>
                <w:lang w:eastAsia="lv-LV"/>
              </w:rPr>
              <w:t xml:space="preserve">izdarītie grozījumi likuma “Stratēģiskas nozīmes preču aprites likums” (turpmāk – Likums) 7.panta otrajā daļā, </w:t>
            </w:r>
            <w:r w:rsidR="000F1605">
              <w:rPr>
                <w:lang w:eastAsia="lv-LV"/>
              </w:rPr>
              <w:t xml:space="preserve">kas stājas spēkā no 2016.gada 27.aprīļa, </w:t>
            </w:r>
            <w:r>
              <w:rPr>
                <w:lang w:eastAsia="lv-LV"/>
              </w:rPr>
              <w:t xml:space="preserve">paplašina deleģējumu Ministru kabinetam. Paplašinātais deleģējums paredz to, ka Ministru kabinets nosaka ne tikai iepriekšējās piekrišanas dokumentu šaujamieroču un munīcijas vai sprāgstvielu pārvietošanai starp Eiropas Savienības dalībvalstīm izsniegšanas </w:t>
            </w:r>
            <w:r w:rsidR="000F1605">
              <w:rPr>
                <w:lang w:eastAsia="lv-LV"/>
              </w:rPr>
              <w:t>kārtību, kā tas bija līdz šim</w:t>
            </w:r>
            <w:r>
              <w:rPr>
                <w:lang w:eastAsia="lv-LV"/>
              </w:rPr>
              <w:t xml:space="preserve">, bet </w:t>
            </w:r>
            <w:r w:rsidR="00A564E2">
              <w:rPr>
                <w:lang w:eastAsia="lv-LV"/>
              </w:rPr>
              <w:t xml:space="preserve">nosaka </w:t>
            </w:r>
            <w:r>
              <w:rPr>
                <w:lang w:eastAsia="lv-LV"/>
              </w:rPr>
              <w:t>arī to apturēšanas un anulēšanas prasības.</w:t>
            </w:r>
          </w:p>
          <w:p w14:paraId="403E7463" w14:textId="77777777" w:rsidR="0018196C" w:rsidRDefault="00B54E6E" w:rsidP="00B54E6E">
            <w:pPr>
              <w:ind w:right="50" w:firstLine="285"/>
              <w:jc w:val="both"/>
            </w:pPr>
            <w:r>
              <w:rPr>
                <w:lang w:eastAsia="lv-LV"/>
              </w:rPr>
              <w:t xml:space="preserve">Tāpat ar minētajiem Likuma grozījumiem tā pārejas noteikumi tika papildināti ar 11.punktu, kas nosaka, ka Ministru kabinets līdz 2016.gada 31.maijam </w:t>
            </w:r>
            <w:r w:rsidRPr="00EF050B">
              <w:t>izdod Likuma 7.panta otrajā daļā minētos noteikumus un līdz to spēkā stāšanās dienai ir piemērojami MK noteikumi Nr.736, ciktāl tie nav pretrunā ar L</w:t>
            </w:r>
            <w:r w:rsidRPr="00EF050B">
              <w:rPr>
                <w:lang w:eastAsia="lv-LV"/>
              </w:rPr>
              <w:t>ikumu</w:t>
            </w:r>
            <w:r w:rsidRPr="00EF050B">
              <w:t>.</w:t>
            </w:r>
            <w:r>
              <w:rPr>
                <w:sz w:val="23"/>
                <w:szCs w:val="23"/>
              </w:rPr>
              <w:t xml:space="preserve"> </w:t>
            </w:r>
            <w:r w:rsidRPr="001634F6">
              <w:t xml:space="preserve">Tādējādi Projekts izstrādāts, ievērojot arī Oficiālo publikāciju un tiesiskās informācijas likuma </w:t>
            </w:r>
            <w:proofErr w:type="gramStart"/>
            <w:r w:rsidRPr="001634F6">
              <w:t>9.panta</w:t>
            </w:r>
            <w:proofErr w:type="gramEnd"/>
            <w:r w:rsidRPr="001634F6">
              <w:t xml:space="preserve"> piektās daļas nosacījumu, kas nosaka, ka, ja spēku zaudē normatīvā akta izdošanas tiesiskais pamats, tad spēku zaudē arī uz šā pamata izdotais normatīvais akts.</w:t>
            </w:r>
          </w:p>
          <w:p w14:paraId="38F870D5" w14:textId="5F6BB6FE" w:rsidR="00B54E6E" w:rsidRPr="00E93BAA" w:rsidRDefault="0018196C" w:rsidP="00B54E6E">
            <w:pPr>
              <w:ind w:right="50" w:firstLine="285"/>
              <w:jc w:val="both"/>
              <w:rPr>
                <w:sz w:val="23"/>
                <w:szCs w:val="23"/>
              </w:rPr>
            </w:pPr>
            <w:r>
              <w:t xml:space="preserve">Projekts </w:t>
            </w:r>
            <w:r w:rsidR="00C72FD5">
              <w:t xml:space="preserve">satur </w:t>
            </w:r>
            <w:r>
              <w:t xml:space="preserve">arī </w:t>
            </w:r>
            <w:r w:rsidR="00C72FD5">
              <w:t xml:space="preserve">normas ar kurām tiek </w:t>
            </w:r>
            <w:r>
              <w:t>pārņemt</w:t>
            </w:r>
            <w:r w:rsidR="00C72FD5">
              <w:t>a</w:t>
            </w:r>
            <w:r>
              <w:t xml:space="preserve"> </w:t>
            </w:r>
            <w:r w:rsidRPr="00F24C77">
              <w:rPr>
                <w:lang w:eastAsia="lv-LV"/>
              </w:rPr>
              <w:t xml:space="preserve">Padomes </w:t>
            </w:r>
            <w:proofErr w:type="gramStart"/>
            <w:r w:rsidRPr="00F24C77">
              <w:rPr>
                <w:lang w:eastAsia="lv-LV"/>
              </w:rPr>
              <w:t>1991.gada</w:t>
            </w:r>
            <w:proofErr w:type="gramEnd"/>
            <w:r w:rsidRPr="00F24C77">
              <w:rPr>
                <w:lang w:eastAsia="lv-LV"/>
              </w:rPr>
              <w:t xml:space="preserve"> 18.jūnija Direktīv</w:t>
            </w:r>
            <w:r w:rsidR="00C72FD5">
              <w:rPr>
                <w:lang w:eastAsia="lv-LV"/>
              </w:rPr>
              <w:t>a</w:t>
            </w:r>
            <w:r w:rsidRPr="00F24C77">
              <w:rPr>
                <w:lang w:eastAsia="lv-LV"/>
              </w:rPr>
              <w:t xml:space="preserve"> </w:t>
            </w:r>
            <w:hyperlink r:id="rId8" w:tgtFrame="_blank" w:history="1">
              <w:r w:rsidRPr="00F24C77">
                <w:rPr>
                  <w:lang w:eastAsia="lv-LV"/>
                </w:rPr>
                <w:t>91/477/EEK</w:t>
              </w:r>
            </w:hyperlink>
            <w:r w:rsidRPr="00F24C77">
              <w:rPr>
                <w:lang w:eastAsia="lv-LV"/>
              </w:rPr>
              <w:t xml:space="preserve"> par ieroču iegādes un glabāšanas kontroli</w:t>
            </w:r>
            <w:r w:rsidR="00430439">
              <w:rPr>
                <w:lang w:eastAsia="lv-LV"/>
              </w:rPr>
              <w:t xml:space="preserve"> (turpmāk - </w:t>
            </w:r>
            <w:r w:rsidR="00430439" w:rsidRPr="00F24C77">
              <w:rPr>
                <w:lang w:eastAsia="lv-LV"/>
              </w:rPr>
              <w:t>Direktīv</w:t>
            </w:r>
            <w:r w:rsidR="00430439">
              <w:rPr>
                <w:lang w:eastAsia="lv-LV"/>
              </w:rPr>
              <w:t>a</w:t>
            </w:r>
            <w:r w:rsidR="00430439" w:rsidRPr="00F24C77">
              <w:rPr>
                <w:lang w:eastAsia="lv-LV"/>
              </w:rPr>
              <w:t xml:space="preserve"> </w:t>
            </w:r>
            <w:hyperlink r:id="rId9" w:tgtFrame="_blank" w:history="1">
              <w:r w:rsidR="00430439" w:rsidRPr="00F24C77">
                <w:rPr>
                  <w:lang w:eastAsia="lv-LV"/>
                </w:rPr>
                <w:t>91/477/EEK</w:t>
              </w:r>
            </w:hyperlink>
            <w:r w:rsidR="00430439">
              <w:rPr>
                <w:lang w:eastAsia="lv-LV"/>
              </w:rPr>
              <w:t>)</w:t>
            </w:r>
            <w:r>
              <w:t>.</w:t>
            </w:r>
          </w:p>
          <w:p w14:paraId="205D9B9D" w14:textId="2AF6AFBB" w:rsidR="003D1256" w:rsidRPr="001634F6" w:rsidRDefault="003D1256" w:rsidP="00542B03">
            <w:pPr>
              <w:ind w:right="50"/>
              <w:jc w:val="both"/>
              <w:rPr>
                <w:sz w:val="22"/>
                <w:szCs w:val="22"/>
                <w:lang w:eastAsia="lv-LV"/>
              </w:rPr>
            </w:pPr>
          </w:p>
        </w:tc>
      </w:tr>
      <w:tr w:rsidR="0016547D" w:rsidRPr="00D067BC" w14:paraId="2B1AB6A7" w14:textId="77777777" w:rsidTr="00AB50EF">
        <w:trPr>
          <w:trHeight w:val="415"/>
        </w:trPr>
        <w:tc>
          <w:tcPr>
            <w:tcW w:w="212" w:type="pct"/>
          </w:tcPr>
          <w:p w14:paraId="03238922" w14:textId="77777777" w:rsidR="0016547D" w:rsidRPr="00D067BC" w:rsidRDefault="0016547D" w:rsidP="00014DEC">
            <w:pPr>
              <w:pStyle w:val="naiskr"/>
              <w:spacing w:before="0" w:beforeAutospacing="0" w:after="0" w:afterAutospacing="0"/>
              <w:ind w:left="57" w:right="57"/>
              <w:jc w:val="center"/>
            </w:pPr>
            <w:r w:rsidRPr="00D067BC">
              <w:t>2.</w:t>
            </w:r>
          </w:p>
        </w:tc>
        <w:tc>
          <w:tcPr>
            <w:tcW w:w="1300" w:type="pct"/>
          </w:tcPr>
          <w:p w14:paraId="0550A0F1" w14:textId="77777777" w:rsidR="0016547D" w:rsidRPr="00D067BC" w:rsidRDefault="0016547D" w:rsidP="00752214">
            <w:pPr>
              <w:pStyle w:val="naiskr"/>
              <w:spacing w:before="0" w:beforeAutospacing="0" w:after="0" w:afterAutospacing="0"/>
              <w:ind w:left="57" w:right="57"/>
            </w:pPr>
            <w:r w:rsidRPr="00D067BC">
              <w:rPr>
                <w:szCs w:val="28"/>
              </w:rPr>
              <w:t>Pašreizējā situācija un problēmas, kuru risināšanai tiesību akta projekts izstrādāts, tiesiskā regulējuma mērķis un būtība</w:t>
            </w:r>
          </w:p>
        </w:tc>
        <w:tc>
          <w:tcPr>
            <w:tcW w:w="3488" w:type="pct"/>
          </w:tcPr>
          <w:p w14:paraId="59008CBD" w14:textId="549A5CF0" w:rsidR="00B67A4F" w:rsidRDefault="00542B03" w:rsidP="007319A2">
            <w:pPr>
              <w:ind w:right="50" w:firstLine="285"/>
              <w:jc w:val="both"/>
              <w:rPr>
                <w:lang w:eastAsia="lv-LV"/>
              </w:rPr>
            </w:pPr>
            <w:r>
              <w:rPr>
                <w:lang w:eastAsia="lv-LV"/>
              </w:rPr>
              <w:t xml:space="preserve">Šobrīd </w:t>
            </w:r>
            <w:r w:rsidRPr="00542B03">
              <w:rPr>
                <w:lang w:eastAsia="lv-LV"/>
              </w:rPr>
              <w:t>iepriekšējās piekrišanas dokumentu šaujamieroču un munīcijas vai sprāgstvielu pārvietošanai starp Eiropas Savienības dalībvalstīm</w:t>
            </w:r>
            <w:r>
              <w:rPr>
                <w:lang w:eastAsia="lv-LV"/>
              </w:rPr>
              <w:t xml:space="preserve"> izsniegšanu </w:t>
            </w:r>
            <w:r w:rsidRPr="00542B03">
              <w:rPr>
                <w:lang w:eastAsia="lv-LV"/>
              </w:rPr>
              <w:t xml:space="preserve">regulē </w:t>
            </w:r>
            <w:r w:rsidR="003D0E12" w:rsidRPr="00542B03">
              <w:rPr>
                <w:bCs/>
                <w:lang w:eastAsia="lv-LV"/>
              </w:rPr>
              <w:t>MK noteikumi Nr.</w:t>
            </w:r>
            <w:r w:rsidR="003D0E12">
              <w:rPr>
                <w:bCs/>
                <w:lang w:eastAsia="lv-LV"/>
              </w:rPr>
              <w:t xml:space="preserve">736 un </w:t>
            </w:r>
            <w:r w:rsidRPr="00542B03">
              <w:rPr>
                <w:lang w:eastAsia="lv-LV"/>
              </w:rPr>
              <w:t>Likums</w:t>
            </w:r>
            <w:r w:rsidR="007319A2">
              <w:rPr>
                <w:lang w:eastAsia="lv-LV"/>
              </w:rPr>
              <w:t xml:space="preserve">, kura </w:t>
            </w:r>
            <w:proofErr w:type="gramStart"/>
            <w:r w:rsidR="007319A2">
              <w:rPr>
                <w:lang w:eastAsia="lv-LV"/>
              </w:rPr>
              <w:t>7.panta</w:t>
            </w:r>
            <w:proofErr w:type="gramEnd"/>
            <w:r w:rsidR="007319A2">
              <w:rPr>
                <w:lang w:eastAsia="lv-LV"/>
              </w:rPr>
              <w:t xml:space="preserve"> otrajā daļā deleģējums</w:t>
            </w:r>
            <w:r>
              <w:rPr>
                <w:lang w:eastAsia="lv-LV"/>
              </w:rPr>
              <w:t xml:space="preserve"> </w:t>
            </w:r>
            <w:r w:rsidR="007319A2">
              <w:rPr>
                <w:lang w:eastAsia="lv-LV"/>
              </w:rPr>
              <w:t xml:space="preserve">Ministru kabinetam ir paplašināts atbilstoši Direktīvas </w:t>
            </w:r>
            <w:r w:rsidR="00430439" w:rsidRPr="00D64794">
              <w:rPr>
                <w:lang w:eastAsia="lv-LV"/>
              </w:rPr>
              <w:t>2014/28/ES</w:t>
            </w:r>
            <w:r w:rsidR="00430439">
              <w:rPr>
                <w:lang w:eastAsia="lv-LV"/>
              </w:rPr>
              <w:t xml:space="preserve"> </w:t>
            </w:r>
            <w:r w:rsidR="007319A2">
              <w:rPr>
                <w:lang w:eastAsia="lv-LV"/>
              </w:rPr>
              <w:t>prasībām</w:t>
            </w:r>
            <w:r w:rsidRPr="00542B03">
              <w:rPr>
                <w:bCs/>
                <w:lang w:eastAsia="lv-LV"/>
              </w:rPr>
              <w:t>.</w:t>
            </w:r>
            <w:r w:rsidR="007319A2">
              <w:rPr>
                <w:bCs/>
                <w:lang w:eastAsia="lv-LV"/>
              </w:rPr>
              <w:t xml:space="preserve"> </w:t>
            </w:r>
            <w:r w:rsidR="00810788">
              <w:rPr>
                <w:bCs/>
                <w:lang w:eastAsia="lv-LV"/>
              </w:rPr>
              <w:t xml:space="preserve">Direktīvas </w:t>
            </w:r>
            <w:r w:rsidR="00430439" w:rsidRPr="00D64794">
              <w:rPr>
                <w:lang w:eastAsia="lv-LV"/>
              </w:rPr>
              <w:t>2014/28/ES</w:t>
            </w:r>
            <w:r w:rsidR="00430439">
              <w:rPr>
                <w:lang w:eastAsia="lv-LV"/>
              </w:rPr>
              <w:t xml:space="preserve"> </w:t>
            </w:r>
            <w:r w:rsidR="00810788">
              <w:rPr>
                <w:lang w:eastAsia="lv-LV"/>
              </w:rPr>
              <w:t xml:space="preserve">11., 12., 13. un </w:t>
            </w:r>
            <w:proofErr w:type="gramStart"/>
            <w:r w:rsidR="00810788">
              <w:rPr>
                <w:lang w:eastAsia="lv-LV"/>
              </w:rPr>
              <w:t>14.pants</w:t>
            </w:r>
            <w:proofErr w:type="gramEnd"/>
            <w:r w:rsidR="00810788">
              <w:rPr>
                <w:lang w:eastAsia="lv-LV"/>
              </w:rPr>
              <w:t xml:space="preserve"> paredz ne tikai </w:t>
            </w:r>
            <w:r w:rsidR="00810788" w:rsidRPr="00542B03">
              <w:rPr>
                <w:lang w:eastAsia="lv-LV"/>
              </w:rPr>
              <w:t>iepriekšējās piekrišanas dokumentu šaujami</w:t>
            </w:r>
            <w:bookmarkStart w:id="0" w:name="_GoBack"/>
            <w:bookmarkEnd w:id="0"/>
            <w:r w:rsidR="00810788" w:rsidRPr="00542B03">
              <w:rPr>
                <w:lang w:eastAsia="lv-LV"/>
              </w:rPr>
              <w:t>eroču un munīcijas vai sprāgstvielu pārvietošanai starp Eiropas Savienības dalībvalstīm</w:t>
            </w:r>
            <w:r w:rsidR="00810788">
              <w:rPr>
                <w:lang w:eastAsia="lv-LV"/>
              </w:rPr>
              <w:t xml:space="preserve"> izsniegšan</w:t>
            </w:r>
            <w:r w:rsidR="00C71640">
              <w:rPr>
                <w:lang w:eastAsia="lv-LV"/>
              </w:rPr>
              <w:t xml:space="preserve">as </w:t>
            </w:r>
            <w:r w:rsidR="000F1605">
              <w:rPr>
                <w:lang w:eastAsia="lv-LV"/>
              </w:rPr>
              <w:t>kārtību</w:t>
            </w:r>
            <w:r w:rsidR="00810788">
              <w:rPr>
                <w:lang w:eastAsia="lv-LV"/>
              </w:rPr>
              <w:t xml:space="preserve">, bet arī </w:t>
            </w:r>
            <w:r w:rsidR="00C71640">
              <w:rPr>
                <w:lang w:eastAsia="lv-LV"/>
              </w:rPr>
              <w:t xml:space="preserve">kompetento iestāžu tiesības noteiktos gadījumos apturēt vai anulēt izsniegtā </w:t>
            </w:r>
            <w:r w:rsidR="00C71640">
              <w:rPr>
                <w:lang w:eastAsia="lv-LV"/>
              </w:rPr>
              <w:lastRenderedPageBreak/>
              <w:t xml:space="preserve">iepriekšējās piekrišanas dokumenta darbību. Tāpat </w:t>
            </w:r>
            <w:r w:rsidR="003D0E12">
              <w:rPr>
                <w:bCs/>
                <w:lang w:eastAsia="lv-LV"/>
              </w:rPr>
              <w:t xml:space="preserve">Direktīvas </w:t>
            </w:r>
            <w:r w:rsidR="00430439" w:rsidRPr="00D64794">
              <w:rPr>
                <w:lang w:eastAsia="lv-LV"/>
              </w:rPr>
              <w:t>2014/28/ES</w:t>
            </w:r>
            <w:r w:rsidR="00430439">
              <w:rPr>
                <w:lang w:eastAsia="lv-LV"/>
              </w:rPr>
              <w:t xml:space="preserve"> </w:t>
            </w:r>
            <w:r w:rsidR="003D0E12">
              <w:rPr>
                <w:lang w:eastAsia="lv-LV"/>
              </w:rPr>
              <w:t xml:space="preserve">11., 12., 13. un </w:t>
            </w:r>
            <w:proofErr w:type="gramStart"/>
            <w:r w:rsidR="003D0E12">
              <w:rPr>
                <w:lang w:eastAsia="lv-LV"/>
              </w:rPr>
              <w:t>14.pants</w:t>
            </w:r>
            <w:proofErr w:type="gramEnd"/>
            <w:r w:rsidR="00C71640">
              <w:rPr>
                <w:lang w:eastAsia="lv-LV"/>
              </w:rPr>
              <w:t xml:space="preserve"> paredz prasības attiecībā uz citu Eiropas Savienības dalībvalstu un Eiropas Komisijas informēšanu par veiktajiem pasākumiem saistībā ar iepriekšējās piekrišanas dokumenta izsniegšanu, </w:t>
            </w:r>
            <w:r w:rsidR="00810788">
              <w:rPr>
                <w:lang w:eastAsia="lv-LV"/>
              </w:rPr>
              <w:t xml:space="preserve">apturēšanu </w:t>
            </w:r>
            <w:r w:rsidR="00C71640">
              <w:rPr>
                <w:lang w:eastAsia="lv-LV"/>
              </w:rPr>
              <w:t>vai</w:t>
            </w:r>
            <w:r w:rsidR="00810788">
              <w:rPr>
                <w:lang w:eastAsia="lv-LV"/>
              </w:rPr>
              <w:t xml:space="preserve"> anulēšanu</w:t>
            </w:r>
            <w:r w:rsidR="00C71640">
              <w:rPr>
                <w:lang w:eastAsia="lv-LV"/>
              </w:rPr>
              <w:t>.</w:t>
            </w:r>
            <w:r w:rsidR="00810788">
              <w:rPr>
                <w:lang w:eastAsia="lv-LV"/>
              </w:rPr>
              <w:t xml:space="preserve"> </w:t>
            </w:r>
            <w:r w:rsidR="007319A2">
              <w:rPr>
                <w:lang w:eastAsia="lv-LV"/>
              </w:rPr>
              <w:t>MK noteikumi Nr.736</w:t>
            </w:r>
            <w:r w:rsidR="007319A2" w:rsidRPr="00542B03">
              <w:rPr>
                <w:lang w:eastAsia="lv-LV"/>
              </w:rPr>
              <w:t xml:space="preserve"> pašreizējā redakcijā nenodrošina Direktīvas </w:t>
            </w:r>
            <w:r w:rsidR="00430439" w:rsidRPr="00D64794">
              <w:rPr>
                <w:lang w:eastAsia="lv-LV"/>
              </w:rPr>
              <w:t>2014/28/ES</w:t>
            </w:r>
            <w:r w:rsidR="00430439">
              <w:rPr>
                <w:lang w:eastAsia="lv-LV"/>
              </w:rPr>
              <w:t xml:space="preserve"> </w:t>
            </w:r>
            <w:r w:rsidR="007319A2">
              <w:rPr>
                <w:lang w:eastAsia="lv-LV"/>
              </w:rPr>
              <w:t xml:space="preserve">un Likuma </w:t>
            </w:r>
            <w:r w:rsidR="007319A2" w:rsidRPr="00542B03">
              <w:rPr>
                <w:lang w:eastAsia="lv-LV"/>
              </w:rPr>
              <w:t>prasību izpildi</w:t>
            </w:r>
            <w:r w:rsidR="007319A2">
              <w:rPr>
                <w:lang w:eastAsia="lv-LV"/>
              </w:rPr>
              <w:t>, līdz ar to ir nepieciešams i</w:t>
            </w:r>
            <w:r w:rsidR="003D0E12">
              <w:rPr>
                <w:lang w:eastAsia="lv-LV"/>
              </w:rPr>
              <w:t>eviest</w:t>
            </w:r>
            <w:r w:rsidR="007319A2">
              <w:rPr>
                <w:lang w:eastAsia="lv-LV"/>
              </w:rPr>
              <w:t xml:space="preserve"> jaunu normatīvo aktu, lai </w:t>
            </w:r>
            <w:r w:rsidR="00487D68">
              <w:rPr>
                <w:lang w:eastAsia="lv-LV"/>
              </w:rPr>
              <w:t xml:space="preserve">pilnvērtīgi </w:t>
            </w:r>
            <w:r w:rsidR="007319A2">
              <w:rPr>
                <w:lang w:eastAsia="lv-LV"/>
              </w:rPr>
              <w:t xml:space="preserve">pārņemtu </w:t>
            </w:r>
            <w:r w:rsidR="0073199E">
              <w:rPr>
                <w:lang w:eastAsia="lv-LV"/>
              </w:rPr>
              <w:t xml:space="preserve">arī </w:t>
            </w:r>
            <w:r w:rsidR="007319A2">
              <w:rPr>
                <w:lang w:eastAsia="lv-LV"/>
              </w:rPr>
              <w:t xml:space="preserve">Direktīvas </w:t>
            </w:r>
            <w:r w:rsidR="00430439" w:rsidRPr="00D64794">
              <w:rPr>
                <w:lang w:eastAsia="lv-LV"/>
              </w:rPr>
              <w:t>2014/28/ES</w:t>
            </w:r>
            <w:r w:rsidR="00430439">
              <w:rPr>
                <w:lang w:eastAsia="lv-LV"/>
              </w:rPr>
              <w:t xml:space="preserve"> </w:t>
            </w:r>
            <w:r w:rsidR="003D0E12">
              <w:rPr>
                <w:lang w:eastAsia="lv-LV"/>
              </w:rPr>
              <w:t xml:space="preserve">11., 12., 13. un </w:t>
            </w:r>
            <w:proofErr w:type="gramStart"/>
            <w:r w:rsidR="003D0E12">
              <w:rPr>
                <w:lang w:eastAsia="lv-LV"/>
              </w:rPr>
              <w:t>14.panta</w:t>
            </w:r>
            <w:proofErr w:type="gramEnd"/>
            <w:r w:rsidR="003D0E12">
              <w:rPr>
                <w:lang w:eastAsia="lv-LV"/>
              </w:rPr>
              <w:t xml:space="preserve"> </w:t>
            </w:r>
            <w:r w:rsidR="007319A2">
              <w:rPr>
                <w:lang w:eastAsia="lv-LV"/>
              </w:rPr>
              <w:t>prasības</w:t>
            </w:r>
            <w:r w:rsidR="003D0E12">
              <w:rPr>
                <w:lang w:eastAsia="lv-LV"/>
              </w:rPr>
              <w:t xml:space="preserve">. </w:t>
            </w:r>
            <w:r w:rsidR="0001297F" w:rsidRPr="0001297F">
              <w:rPr>
                <w:lang w:eastAsia="lv-LV"/>
              </w:rPr>
              <w:t>Projekts izstrādāts, lai nodrošinātu Direktīvas normu pārņemšanu.</w:t>
            </w:r>
            <w:r w:rsidR="0001297F">
              <w:rPr>
                <w:lang w:eastAsia="lv-LV"/>
              </w:rPr>
              <w:t xml:space="preserve"> </w:t>
            </w:r>
            <w:r w:rsidR="00B67A4F">
              <w:rPr>
                <w:lang w:eastAsia="lv-LV"/>
              </w:rPr>
              <w:t>Projekts</w:t>
            </w:r>
            <w:r w:rsidR="003D0E12">
              <w:rPr>
                <w:lang w:eastAsia="lv-LV"/>
              </w:rPr>
              <w:t xml:space="preserve"> ir izstrādāts</w:t>
            </w:r>
            <w:r w:rsidR="00B67A4F">
              <w:rPr>
                <w:lang w:eastAsia="lv-LV"/>
              </w:rPr>
              <w:t xml:space="preserve"> balstoties uz </w:t>
            </w:r>
            <w:r w:rsidR="00B67A4F" w:rsidRPr="00FE7ECF">
              <w:t>MK noteikum</w:t>
            </w:r>
            <w:r w:rsidR="00B67A4F">
              <w:t>u</w:t>
            </w:r>
            <w:r w:rsidR="00B67A4F" w:rsidRPr="00FE7ECF">
              <w:t xml:space="preserve"> Nr.</w:t>
            </w:r>
            <w:r w:rsidR="00B67A4F">
              <w:t>736</w:t>
            </w:r>
            <w:r w:rsidR="003D0E12">
              <w:rPr>
                <w:lang w:eastAsia="lv-LV"/>
              </w:rPr>
              <w:t xml:space="preserve"> </w:t>
            </w:r>
            <w:r w:rsidR="00B67A4F">
              <w:rPr>
                <w:lang w:eastAsia="lv-LV"/>
              </w:rPr>
              <w:t>saturu</w:t>
            </w:r>
            <w:r w:rsidR="0073199E">
              <w:rPr>
                <w:lang w:eastAsia="lv-LV"/>
              </w:rPr>
              <w:t>, kuri nosaka iepriekšējās piekrišanas dokumentu šaujamieroču un munīcijas vai sprāgstvielu pārvietošanai starp Eiropas Savienības dalī</w:t>
            </w:r>
            <w:r w:rsidR="004D6B06">
              <w:rPr>
                <w:lang w:eastAsia="lv-LV"/>
              </w:rPr>
              <w:t xml:space="preserve">bvalstīm izsniegšanas prasības un </w:t>
            </w:r>
            <w:r w:rsidR="00B67A4F">
              <w:rPr>
                <w:lang w:eastAsia="lv-LV"/>
              </w:rPr>
              <w:t>ir papildināts ar normām par:</w:t>
            </w:r>
          </w:p>
          <w:p w14:paraId="74F35A96" w14:textId="63561CCE" w:rsidR="0073199E" w:rsidRDefault="00B67A4F" w:rsidP="007319A2">
            <w:pPr>
              <w:ind w:right="50" w:firstLine="285"/>
              <w:jc w:val="both"/>
              <w:rPr>
                <w:lang w:eastAsia="lv-LV"/>
              </w:rPr>
            </w:pPr>
            <w:r>
              <w:rPr>
                <w:lang w:eastAsia="lv-LV"/>
              </w:rPr>
              <w:t xml:space="preserve">- kompetento iestāžu tiesībām noteiktos gadījumos </w:t>
            </w:r>
            <w:r w:rsidR="0073199E">
              <w:rPr>
                <w:lang w:eastAsia="lv-LV"/>
              </w:rPr>
              <w:t xml:space="preserve">atteikt izsniegt, </w:t>
            </w:r>
            <w:r>
              <w:rPr>
                <w:lang w:eastAsia="lv-LV"/>
              </w:rPr>
              <w:t>apturēt vai anulēt iepriekšējās piekrišanas dokumenta darbību un kritērijiem šādu lēmumu pieņemšanai</w:t>
            </w:r>
            <w:r w:rsidR="004D6B06">
              <w:rPr>
                <w:lang w:eastAsia="lv-LV"/>
              </w:rPr>
              <w:t>, tajā skaitā, īpašos gadījumos, kad var tikt apdraudēta sabiedriskā drošība</w:t>
            </w:r>
            <w:r w:rsidR="0073199E">
              <w:rPr>
                <w:lang w:eastAsia="lv-LV"/>
              </w:rPr>
              <w:t>;</w:t>
            </w:r>
          </w:p>
          <w:p w14:paraId="03628E7C" w14:textId="59CDB557" w:rsidR="007319A2" w:rsidRDefault="0073199E" w:rsidP="007319A2">
            <w:pPr>
              <w:ind w:right="50" w:firstLine="285"/>
              <w:jc w:val="both"/>
              <w:rPr>
                <w:lang w:eastAsia="lv-LV"/>
              </w:rPr>
            </w:pPr>
            <w:r>
              <w:rPr>
                <w:lang w:eastAsia="lv-LV"/>
              </w:rPr>
              <w:t xml:space="preserve">- </w:t>
            </w:r>
            <w:r w:rsidR="00B67A4F">
              <w:rPr>
                <w:lang w:eastAsia="lv-LV"/>
              </w:rPr>
              <w:t xml:space="preserve">prasībām attiecībā uz citu Eiropas Savienības dalībvalstu un Eiropas Komisijas informēšanu par veiktajiem pasākumiem saistībā ar iepriekšējās piekrišanas dokumenta izsniegšanu, </w:t>
            </w:r>
            <w:r>
              <w:rPr>
                <w:lang w:eastAsia="lv-LV"/>
              </w:rPr>
              <w:t xml:space="preserve">neizsniegšanu, </w:t>
            </w:r>
            <w:r w:rsidR="00B67A4F">
              <w:rPr>
                <w:lang w:eastAsia="lv-LV"/>
              </w:rPr>
              <w:t>apturēšanu vai anulēšanu</w:t>
            </w:r>
            <w:r w:rsidR="004D6B06">
              <w:rPr>
                <w:lang w:eastAsia="lv-LV"/>
              </w:rPr>
              <w:t>, tajā skaitā, īpašos gadījumos, kad var tikt apdraudēta sabiedriskā drošība;</w:t>
            </w:r>
          </w:p>
          <w:p w14:paraId="17A462A2" w14:textId="77777777" w:rsidR="003823D7" w:rsidRDefault="0073199E" w:rsidP="007319A2">
            <w:pPr>
              <w:ind w:right="50" w:firstLine="285"/>
              <w:jc w:val="both"/>
              <w:rPr>
                <w:lang w:eastAsia="lv-LV"/>
              </w:rPr>
            </w:pPr>
            <w:r>
              <w:rPr>
                <w:lang w:eastAsia="lv-LV"/>
              </w:rPr>
              <w:t>- informācijas glabāšanu</w:t>
            </w:r>
            <w:r w:rsidRPr="0073199E">
              <w:rPr>
                <w:lang w:eastAsia="lv-LV"/>
              </w:rPr>
              <w:t xml:space="preserve"> par spēkā esošajiem </w:t>
            </w:r>
            <w:bookmarkStart w:id="1" w:name="147469"/>
            <w:bookmarkEnd w:id="1"/>
            <w:r w:rsidRPr="0073199E">
              <w:rPr>
                <w:lang w:eastAsia="lv-LV"/>
              </w:rPr>
              <w:t>iepriekšējās piekrišanas dokumentiem šaujamieroču un munīcijas vai sprāgstvielu pārvietošanai starp Eiropas Savienības dalībvalstīm</w:t>
            </w:r>
            <w:r w:rsidR="003823D7">
              <w:rPr>
                <w:lang w:eastAsia="lv-LV"/>
              </w:rPr>
              <w:t>;</w:t>
            </w:r>
          </w:p>
          <w:p w14:paraId="2E45D494" w14:textId="0814516A" w:rsidR="0004153C" w:rsidRDefault="0004153C" w:rsidP="007319A2">
            <w:pPr>
              <w:ind w:right="50" w:firstLine="285"/>
              <w:jc w:val="both"/>
              <w:rPr>
                <w:lang w:eastAsia="lv-LV"/>
              </w:rPr>
            </w:pPr>
            <w:r>
              <w:rPr>
                <w:lang w:eastAsia="lv-LV"/>
              </w:rPr>
              <w:t>- kompetentās iestādes tiesībām izdot apstiprinājumu, kas pieļauj konkrētu sprāgstvielu pārvietošanu bez iepriekšējās piekrišanas dokumenta sagatavošanas;</w:t>
            </w:r>
          </w:p>
          <w:p w14:paraId="7199C8C5" w14:textId="799BF2D5" w:rsidR="0073199E" w:rsidRDefault="003823D7" w:rsidP="007319A2">
            <w:pPr>
              <w:ind w:right="50" w:firstLine="285"/>
              <w:jc w:val="both"/>
              <w:rPr>
                <w:lang w:eastAsia="lv-LV"/>
              </w:rPr>
            </w:pPr>
            <w:r>
              <w:rPr>
                <w:lang w:eastAsia="lv-LV"/>
              </w:rPr>
              <w:t>- šaujamieroču un munīcijas nosūtītājvalsts kompetentās iestādes pienākumu</w:t>
            </w:r>
            <w:r w:rsidRPr="00FD3CB3">
              <w:rPr>
                <w:lang w:eastAsia="lv-LV"/>
              </w:rPr>
              <w:t xml:space="preserve"> </w:t>
            </w:r>
            <w:r>
              <w:rPr>
                <w:lang w:eastAsia="lv-LV"/>
              </w:rPr>
              <w:t xml:space="preserve">nosūtīt tās rīcībā esošo lietderīgo informāciju tai </w:t>
            </w:r>
            <w:r w:rsidRPr="00F24C77">
              <w:rPr>
                <w:lang w:eastAsia="lv-LV"/>
              </w:rPr>
              <w:t xml:space="preserve">Eiropas Savienības </w:t>
            </w:r>
            <w:r>
              <w:rPr>
                <w:lang w:eastAsia="lv-LV"/>
              </w:rPr>
              <w:t>dalībvalstij, uz kuras teritoriju notiek pārvietošana un ja nepieciešams arī tranzīta dalībvalstīm</w:t>
            </w:r>
            <w:r w:rsidR="0004153C">
              <w:rPr>
                <w:lang w:eastAsia="lv-LV"/>
              </w:rPr>
              <w:t>,</w:t>
            </w:r>
            <w:r w:rsidR="00430439">
              <w:rPr>
                <w:lang w:eastAsia="lv-LV"/>
              </w:rPr>
              <w:t xml:space="preserve"> atbilstoši </w:t>
            </w:r>
            <w:r w:rsidR="00430439" w:rsidRPr="00F24C77">
              <w:rPr>
                <w:lang w:eastAsia="lv-LV"/>
              </w:rPr>
              <w:t>Direktīv</w:t>
            </w:r>
            <w:r w:rsidR="00430439">
              <w:rPr>
                <w:lang w:eastAsia="lv-LV"/>
              </w:rPr>
              <w:t>as</w:t>
            </w:r>
            <w:r w:rsidR="00430439" w:rsidRPr="00F24C77">
              <w:rPr>
                <w:lang w:eastAsia="lv-LV"/>
              </w:rPr>
              <w:t xml:space="preserve"> </w:t>
            </w:r>
            <w:hyperlink r:id="rId10" w:tgtFrame="_blank" w:history="1">
              <w:r w:rsidR="00430439" w:rsidRPr="00F24C77">
                <w:rPr>
                  <w:lang w:eastAsia="lv-LV"/>
                </w:rPr>
                <w:t>91/477/EEK</w:t>
              </w:r>
            </w:hyperlink>
            <w:r w:rsidR="00430439">
              <w:rPr>
                <w:lang w:eastAsia="lv-LV"/>
              </w:rPr>
              <w:t xml:space="preserve"> prasībām</w:t>
            </w:r>
            <w:r>
              <w:rPr>
                <w:lang w:eastAsia="lv-LV"/>
              </w:rPr>
              <w:t>.</w:t>
            </w:r>
          </w:p>
          <w:p w14:paraId="317ACA35" w14:textId="77777777" w:rsidR="007C5470" w:rsidRDefault="007C5470" w:rsidP="007319A2">
            <w:pPr>
              <w:ind w:right="50" w:firstLine="285"/>
              <w:jc w:val="both"/>
              <w:rPr>
                <w:lang w:eastAsia="lv-LV"/>
              </w:rPr>
            </w:pPr>
          </w:p>
          <w:p w14:paraId="63D871CE" w14:textId="6B3C16FD" w:rsidR="008E0D7B" w:rsidRDefault="00430439" w:rsidP="007319A2">
            <w:pPr>
              <w:ind w:right="50" w:firstLine="285"/>
              <w:jc w:val="both"/>
              <w:rPr>
                <w:lang w:eastAsia="lv-LV"/>
              </w:rPr>
            </w:pPr>
            <w:r>
              <w:rPr>
                <w:lang w:eastAsia="lv-LV"/>
              </w:rPr>
              <w:t xml:space="preserve">Atbilstoši </w:t>
            </w:r>
            <w:r w:rsidR="00CA77A9" w:rsidRPr="00F24C77">
              <w:rPr>
                <w:lang w:eastAsia="lv-LV"/>
              </w:rPr>
              <w:t>Direktīv</w:t>
            </w:r>
            <w:r w:rsidR="00CA77A9">
              <w:rPr>
                <w:lang w:eastAsia="lv-LV"/>
              </w:rPr>
              <w:t>as</w:t>
            </w:r>
            <w:r w:rsidR="00CA77A9" w:rsidRPr="00F24C77">
              <w:rPr>
                <w:lang w:eastAsia="lv-LV"/>
              </w:rPr>
              <w:t xml:space="preserve"> </w:t>
            </w:r>
            <w:r w:rsidR="00CA77A9" w:rsidRPr="00D64794">
              <w:rPr>
                <w:lang w:eastAsia="lv-LV"/>
              </w:rPr>
              <w:t>2014/28/ES</w:t>
            </w:r>
            <w:r w:rsidR="00CA77A9">
              <w:rPr>
                <w:lang w:eastAsia="lv-LV"/>
              </w:rPr>
              <w:t xml:space="preserve"> </w:t>
            </w:r>
            <w:proofErr w:type="gramStart"/>
            <w:r w:rsidR="00CA77A9">
              <w:rPr>
                <w:lang w:eastAsia="lv-LV"/>
              </w:rPr>
              <w:t>12.panta</w:t>
            </w:r>
            <w:proofErr w:type="gramEnd"/>
            <w:r w:rsidR="00CA77A9">
              <w:rPr>
                <w:lang w:eastAsia="lv-LV"/>
              </w:rPr>
              <w:t xml:space="preserve"> </w:t>
            </w:r>
            <w:r w:rsidR="00565813">
              <w:rPr>
                <w:lang w:eastAsia="lv-LV"/>
              </w:rPr>
              <w:t>1.punkt</w:t>
            </w:r>
            <w:r w:rsidR="00CA77A9">
              <w:rPr>
                <w:lang w:eastAsia="lv-LV"/>
              </w:rPr>
              <w:t xml:space="preserve">ā un Direktīvas </w:t>
            </w:r>
            <w:hyperlink r:id="rId11" w:tgtFrame="_blank" w:history="1">
              <w:r w:rsidR="00CA77A9" w:rsidRPr="00F24C77">
                <w:rPr>
                  <w:lang w:eastAsia="lv-LV"/>
                </w:rPr>
                <w:t>91/477/EEK</w:t>
              </w:r>
            </w:hyperlink>
            <w:r w:rsidR="00CA77A9">
              <w:rPr>
                <w:lang w:eastAsia="lv-LV"/>
              </w:rPr>
              <w:t xml:space="preserve"> 11.panta </w:t>
            </w:r>
            <w:r w:rsidR="00565813">
              <w:rPr>
                <w:lang w:eastAsia="lv-LV"/>
              </w:rPr>
              <w:t xml:space="preserve">1.punktā </w:t>
            </w:r>
            <w:r w:rsidR="00CA77A9">
              <w:rPr>
                <w:lang w:eastAsia="lv-LV"/>
              </w:rPr>
              <w:t xml:space="preserve">noteiktajam </w:t>
            </w:r>
            <w:r w:rsidR="00870518">
              <w:rPr>
                <w:lang w:eastAsia="lv-LV"/>
              </w:rPr>
              <w:t>Projekta 1.punkts ir papildināts ar normu, ka šo noteikumu prasības attiecas arī</w:t>
            </w:r>
            <w:r w:rsidR="00CA77A9">
              <w:rPr>
                <w:lang w:eastAsia="lv-LV"/>
              </w:rPr>
              <w:t xml:space="preserve"> uz tirdzniecību pa pastu, gadījumos, kad tiek pārsūtīti ieroči vai munīcija.</w:t>
            </w:r>
          </w:p>
          <w:p w14:paraId="7C0F6F97" w14:textId="59EFC120" w:rsidR="00445E4C" w:rsidRDefault="00445E4C" w:rsidP="007319A2">
            <w:pPr>
              <w:ind w:right="50" w:firstLine="285"/>
              <w:jc w:val="both"/>
              <w:rPr>
                <w:lang w:eastAsia="lv-LV"/>
              </w:rPr>
            </w:pPr>
            <w:r>
              <w:rPr>
                <w:lang w:eastAsia="lv-LV"/>
              </w:rPr>
              <w:t xml:space="preserve">Atbilstoši Direktīvas </w:t>
            </w:r>
            <w:r w:rsidR="00D96076" w:rsidRPr="00D64794">
              <w:rPr>
                <w:lang w:eastAsia="lv-LV"/>
              </w:rPr>
              <w:t>2014/28/ES</w:t>
            </w:r>
            <w:r w:rsidR="00D96076">
              <w:rPr>
                <w:lang w:eastAsia="lv-LV"/>
              </w:rPr>
              <w:t xml:space="preserve"> </w:t>
            </w:r>
            <w:proofErr w:type="gramStart"/>
            <w:r>
              <w:rPr>
                <w:lang w:eastAsia="lv-LV"/>
              </w:rPr>
              <w:t>11.panta</w:t>
            </w:r>
            <w:proofErr w:type="gramEnd"/>
            <w:r>
              <w:rPr>
                <w:lang w:eastAsia="lv-LV"/>
              </w:rPr>
              <w:t xml:space="preserve"> 7.punktam Projekta 7.punkts ir papildināts ar normu par sprāgstvielu saņēmēja pienākumu p</w:t>
            </w:r>
            <w:r w:rsidRPr="00C3580F">
              <w:rPr>
                <w:lang w:eastAsia="lv-LV"/>
              </w:rPr>
              <w:t>ēc kompetent</w:t>
            </w:r>
            <w:r>
              <w:rPr>
                <w:lang w:eastAsia="lv-LV"/>
              </w:rPr>
              <w:t xml:space="preserve">o iestāžu pieprasījuma </w:t>
            </w:r>
            <w:r w:rsidRPr="00C3580F">
              <w:rPr>
                <w:lang w:eastAsia="lv-LV"/>
              </w:rPr>
              <w:t>nosūt</w:t>
            </w:r>
            <w:r>
              <w:rPr>
                <w:lang w:eastAsia="lv-LV"/>
              </w:rPr>
              <w:t>īt</w:t>
            </w:r>
            <w:r w:rsidRPr="00C3580F">
              <w:rPr>
                <w:lang w:eastAsia="lv-LV"/>
              </w:rPr>
              <w:t xml:space="preserve"> nosūtītājas dalībvalsts un tranzīta dalībvalsts iestādēm visu to būtisko informāciju, kas ir viņ</w:t>
            </w:r>
            <w:r>
              <w:rPr>
                <w:lang w:eastAsia="lv-LV"/>
              </w:rPr>
              <w:t>a</w:t>
            </w:r>
            <w:r w:rsidRPr="00C3580F">
              <w:rPr>
                <w:lang w:eastAsia="lv-LV"/>
              </w:rPr>
              <w:t xml:space="preserve"> rīcībā par sprāgstvielu pārsūtīšanu</w:t>
            </w:r>
            <w:r>
              <w:rPr>
                <w:lang w:eastAsia="lv-LV"/>
              </w:rPr>
              <w:t>.</w:t>
            </w:r>
          </w:p>
          <w:p w14:paraId="6761E5EB" w14:textId="77777777" w:rsidR="005B2DC9" w:rsidRDefault="00A205B4" w:rsidP="00B0121E">
            <w:pPr>
              <w:ind w:right="50" w:firstLine="285"/>
              <w:jc w:val="both"/>
              <w:rPr>
                <w:lang w:eastAsia="lv-LV"/>
              </w:rPr>
            </w:pPr>
            <w:r>
              <w:rPr>
                <w:lang w:eastAsia="lv-LV"/>
              </w:rPr>
              <w:t xml:space="preserve">Projekta </w:t>
            </w:r>
            <w:r w:rsidR="000B4D98">
              <w:rPr>
                <w:lang w:eastAsia="lv-LV"/>
              </w:rPr>
              <w:t xml:space="preserve">9.punkts </w:t>
            </w:r>
            <w:r w:rsidR="00565813">
              <w:rPr>
                <w:lang w:eastAsia="lv-LV"/>
              </w:rPr>
              <w:t>paredz</w:t>
            </w:r>
            <w:r w:rsidR="000B4D98">
              <w:rPr>
                <w:lang w:eastAsia="lv-LV"/>
              </w:rPr>
              <w:t xml:space="preserve"> </w:t>
            </w:r>
            <w:r w:rsidR="00652C73">
              <w:rPr>
                <w:lang w:eastAsia="lv-LV"/>
              </w:rPr>
              <w:t>Valsts policijas rīcību izskatot iesniegumu i</w:t>
            </w:r>
            <w:r w:rsidR="00652C73" w:rsidRPr="00F24C77">
              <w:rPr>
                <w:lang w:eastAsia="lv-LV"/>
              </w:rPr>
              <w:t>epriekšējās piekrišanas dokument</w:t>
            </w:r>
            <w:r w:rsidR="00652C73">
              <w:rPr>
                <w:lang w:eastAsia="lv-LV"/>
              </w:rPr>
              <w:t xml:space="preserve">a saņemšanai, kad atbilstoši Direktīvas </w:t>
            </w:r>
            <w:r w:rsidR="00565813" w:rsidRPr="00D64794">
              <w:rPr>
                <w:lang w:eastAsia="lv-LV"/>
              </w:rPr>
              <w:t>2014/28/ES</w:t>
            </w:r>
            <w:r w:rsidR="00565813">
              <w:rPr>
                <w:lang w:eastAsia="lv-LV"/>
              </w:rPr>
              <w:t xml:space="preserve"> </w:t>
            </w:r>
            <w:proofErr w:type="gramStart"/>
            <w:r w:rsidR="00652C73">
              <w:rPr>
                <w:lang w:eastAsia="lv-LV"/>
              </w:rPr>
              <w:t>11.panta</w:t>
            </w:r>
            <w:proofErr w:type="gramEnd"/>
            <w:r w:rsidR="00652C73">
              <w:rPr>
                <w:lang w:eastAsia="lv-LV"/>
              </w:rPr>
              <w:t xml:space="preserve"> 5.punktam</w:t>
            </w:r>
            <w:r w:rsidR="00565813">
              <w:rPr>
                <w:lang w:eastAsia="lv-LV"/>
              </w:rPr>
              <w:t xml:space="preserve">, 12.panta 2.punktam un Direktīvas </w:t>
            </w:r>
            <w:hyperlink r:id="rId12" w:tgtFrame="_blank" w:history="1">
              <w:r w:rsidR="00565813" w:rsidRPr="00F24C77">
                <w:rPr>
                  <w:lang w:eastAsia="lv-LV"/>
                </w:rPr>
                <w:t>91/477/EEK</w:t>
              </w:r>
            </w:hyperlink>
            <w:r w:rsidR="00565813">
              <w:rPr>
                <w:lang w:eastAsia="lv-LV"/>
              </w:rPr>
              <w:t xml:space="preserve"> 11.panta 2.punktam </w:t>
            </w:r>
            <w:r w:rsidR="00652C73">
              <w:rPr>
                <w:lang w:eastAsia="lv-LV"/>
              </w:rPr>
              <w:t xml:space="preserve">tiek pārbaudīta atbilstība </w:t>
            </w:r>
            <w:r w:rsidR="00565813" w:rsidRPr="00695FDE">
              <w:rPr>
                <w:lang w:eastAsia="lv-LV"/>
              </w:rPr>
              <w:t xml:space="preserve"> šaujamieroču un munīcijas vai sprāgstvielu </w:t>
            </w:r>
            <w:r w:rsidR="00565813">
              <w:rPr>
                <w:lang w:eastAsia="lv-LV"/>
              </w:rPr>
              <w:t>pārvietošanas</w:t>
            </w:r>
            <w:r w:rsidR="00652C73">
              <w:rPr>
                <w:lang w:eastAsia="lv-LV"/>
              </w:rPr>
              <w:t xml:space="preserve"> prasībām</w:t>
            </w:r>
            <w:r w:rsidR="00565813">
              <w:rPr>
                <w:lang w:eastAsia="lv-LV"/>
              </w:rPr>
              <w:t>.</w:t>
            </w:r>
          </w:p>
          <w:p w14:paraId="61B6F84D" w14:textId="005D2FC6" w:rsidR="00D20B9E" w:rsidRDefault="00565813" w:rsidP="00B0121E">
            <w:pPr>
              <w:ind w:right="50" w:firstLine="285"/>
              <w:jc w:val="both"/>
              <w:rPr>
                <w:lang w:eastAsia="lv-LV"/>
              </w:rPr>
            </w:pPr>
            <w:r>
              <w:rPr>
                <w:lang w:eastAsia="lv-LV"/>
              </w:rPr>
              <w:t xml:space="preserve">Projekta </w:t>
            </w:r>
            <w:r w:rsidR="00EA3F26">
              <w:rPr>
                <w:lang w:eastAsia="lv-LV"/>
              </w:rPr>
              <w:t>10</w:t>
            </w:r>
            <w:r>
              <w:rPr>
                <w:lang w:eastAsia="lv-LV"/>
              </w:rPr>
              <w:t>.punkts paredz</w:t>
            </w:r>
            <w:r w:rsidR="00D20B9E">
              <w:rPr>
                <w:lang w:eastAsia="lv-LV"/>
              </w:rPr>
              <w:t xml:space="preserve"> </w:t>
            </w:r>
            <w:r w:rsidR="000B4D98">
              <w:rPr>
                <w:lang w:eastAsia="lv-LV"/>
              </w:rPr>
              <w:t>Valsts policijas pienākumu informēt Eiropas Komisiju, ja tai nav iespēju pārliecināties par saņēmēja tiesībām iegūt sprāgstvielas</w:t>
            </w:r>
            <w:r w:rsidR="00B06F3B">
              <w:rPr>
                <w:lang w:eastAsia="lv-LV"/>
              </w:rPr>
              <w:t xml:space="preserve">, atbilstoši Direktīvas </w:t>
            </w:r>
            <w:r w:rsidRPr="00D64794">
              <w:rPr>
                <w:lang w:eastAsia="lv-LV"/>
              </w:rPr>
              <w:t>2014/28/ES</w:t>
            </w:r>
            <w:r>
              <w:rPr>
                <w:lang w:eastAsia="lv-LV"/>
              </w:rPr>
              <w:t xml:space="preserve"> </w:t>
            </w:r>
            <w:proofErr w:type="gramStart"/>
            <w:r w:rsidR="00B06F3B">
              <w:rPr>
                <w:lang w:eastAsia="lv-LV"/>
              </w:rPr>
              <w:t>11.panta</w:t>
            </w:r>
            <w:proofErr w:type="gramEnd"/>
            <w:r w:rsidR="00B06F3B">
              <w:rPr>
                <w:lang w:eastAsia="lv-LV"/>
              </w:rPr>
              <w:t xml:space="preserve"> </w:t>
            </w:r>
            <w:r w:rsidR="00B06F3B">
              <w:rPr>
                <w:lang w:eastAsia="lv-LV"/>
              </w:rPr>
              <w:lastRenderedPageBreak/>
              <w:t>3.punktam</w:t>
            </w:r>
            <w:r w:rsidR="000B4D98">
              <w:rPr>
                <w:lang w:eastAsia="lv-LV"/>
              </w:rPr>
              <w:t xml:space="preserve">, </w:t>
            </w:r>
            <w:r w:rsidR="005B2DC9">
              <w:rPr>
                <w:lang w:eastAsia="lv-LV"/>
              </w:rPr>
              <w:t xml:space="preserve">kā arī nosacījumu, ka </w:t>
            </w:r>
            <w:r w:rsidR="00D20B9E">
              <w:rPr>
                <w:lang w:eastAsia="lv-LV"/>
              </w:rPr>
              <w:t>u</w:t>
            </w:r>
            <w:r w:rsidR="00D20B9E" w:rsidRPr="00B67D73">
              <w:rPr>
                <w:lang w:eastAsia="lv-LV"/>
              </w:rPr>
              <w:t xml:space="preserve">zņēmējs drīkst </w:t>
            </w:r>
            <w:r w:rsidR="005B2DC9">
              <w:rPr>
                <w:lang w:eastAsia="lv-LV"/>
              </w:rPr>
              <w:t>pārvietot</w:t>
            </w:r>
            <w:r w:rsidR="005B2DC9" w:rsidRPr="00B67D73">
              <w:rPr>
                <w:lang w:eastAsia="lv-LV"/>
              </w:rPr>
              <w:t xml:space="preserve"> </w:t>
            </w:r>
            <w:r w:rsidR="00D20B9E" w:rsidRPr="00B67D73">
              <w:rPr>
                <w:lang w:eastAsia="lv-LV"/>
              </w:rPr>
              <w:t xml:space="preserve"> sprāgstvielas tikai tad, ja kravas saņēmējs ir saņēmis atļauj</w:t>
            </w:r>
            <w:r w:rsidR="00D20B9E">
              <w:rPr>
                <w:lang w:eastAsia="lv-LV"/>
              </w:rPr>
              <w:t>u</w:t>
            </w:r>
            <w:r w:rsidR="00D20B9E" w:rsidRPr="00B67D73">
              <w:rPr>
                <w:lang w:eastAsia="lv-LV"/>
              </w:rPr>
              <w:t xml:space="preserve"> </w:t>
            </w:r>
            <w:r w:rsidR="00D20B9E">
              <w:rPr>
                <w:lang w:eastAsia="lv-LV"/>
              </w:rPr>
              <w:t xml:space="preserve">sprāgstvielu </w:t>
            </w:r>
            <w:r w:rsidR="005B2DC9">
              <w:rPr>
                <w:lang w:eastAsia="lv-LV"/>
              </w:rPr>
              <w:t xml:space="preserve"> pārvietoš</w:t>
            </w:r>
            <w:r w:rsidR="00D20B9E" w:rsidRPr="00B67D73">
              <w:rPr>
                <w:lang w:eastAsia="lv-LV"/>
              </w:rPr>
              <w:t>anai</w:t>
            </w:r>
            <w:r w:rsidR="00B06F3B">
              <w:rPr>
                <w:lang w:eastAsia="lv-LV"/>
              </w:rPr>
              <w:t>, atbilstoši Direktīvas 11.panta 8.punktam</w:t>
            </w:r>
            <w:r w:rsidR="00D20B9E">
              <w:rPr>
                <w:lang w:eastAsia="lv-LV"/>
              </w:rPr>
              <w:t>.</w:t>
            </w:r>
          </w:p>
          <w:p w14:paraId="19DEE593" w14:textId="53A58D6A" w:rsidR="002D2779" w:rsidRDefault="005E73DF" w:rsidP="00B0121E">
            <w:pPr>
              <w:ind w:right="50" w:firstLine="285"/>
              <w:jc w:val="both"/>
              <w:rPr>
                <w:lang w:eastAsia="lv-LV"/>
              </w:rPr>
            </w:pPr>
            <w:r>
              <w:rPr>
                <w:lang w:eastAsia="lv-LV"/>
              </w:rPr>
              <w:t xml:space="preserve">Atbilstoši Direktīvas </w:t>
            </w:r>
            <w:r w:rsidR="005B2DC9" w:rsidRPr="00D64794">
              <w:rPr>
                <w:lang w:eastAsia="lv-LV"/>
              </w:rPr>
              <w:t>2014/28/ES</w:t>
            </w:r>
            <w:r w:rsidR="005B2DC9">
              <w:rPr>
                <w:lang w:eastAsia="lv-LV"/>
              </w:rPr>
              <w:t xml:space="preserve"> </w:t>
            </w:r>
            <w:proofErr w:type="gramStart"/>
            <w:r>
              <w:rPr>
                <w:lang w:eastAsia="lv-LV"/>
              </w:rPr>
              <w:t>12.panta</w:t>
            </w:r>
            <w:proofErr w:type="gramEnd"/>
            <w:r>
              <w:rPr>
                <w:lang w:eastAsia="lv-LV"/>
              </w:rPr>
              <w:t xml:space="preserve"> 5.punktam </w:t>
            </w:r>
            <w:r w:rsidR="005B2DC9">
              <w:rPr>
                <w:lang w:eastAsia="lv-LV"/>
              </w:rPr>
              <w:t xml:space="preserve">un  Direktīvas </w:t>
            </w:r>
            <w:hyperlink r:id="rId13" w:tgtFrame="_blank" w:history="1">
              <w:r w:rsidR="005B2DC9" w:rsidRPr="00F24C77">
                <w:rPr>
                  <w:lang w:eastAsia="lv-LV"/>
                </w:rPr>
                <w:t>91/477/EEK</w:t>
              </w:r>
            </w:hyperlink>
            <w:r w:rsidR="005B2DC9">
              <w:rPr>
                <w:lang w:eastAsia="lv-LV"/>
              </w:rPr>
              <w:t xml:space="preserve"> </w:t>
            </w:r>
            <w:r w:rsidR="00684214">
              <w:rPr>
                <w:lang w:eastAsia="lv-LV"/>
              </w:rPr>
              <w:t>13.panta 1. un 2.punktam</w:t>
            </w:r>
            <w:r w:rsidR="005B2DC9">
              <w:rPr>
                <w:lang w:eastAsia="lv-LV"/>
              </w:rPr>
              <w:t xml:space="preserve"> </w:t>
            </w:r>
            <w:r w:rsidR="002D2779">
              <w:rPr>
                <w:lang w:eastAsia="lv-LV"/>
              </w:rPr>
              <w:t>Projekta 1</w:t>
            </w:r>
            <w:r w:rsidR="00A37E53">
              <w:rPr>
                <w:lang w:eastAsia="lv-LV"/>
              </w:rPr>
              <w:t>1</w:t>
            </w:r>
            <w:r w:rsidR="002D2779">
              <w:rPr>
                <w:lang w:eastAsia="lv-LV"/>
              </w:rPr>
              <w:t xml:space="preserve">.punkts ir papildināts ar normu, kas nosaka Valsts policijas pienākumu </w:t>
            </w:r>
            <w:r w:rsidR="008D0382">
              <w:rPr>
                <w:lang w:eastAsia="lv-LV"/>
              </w:rPr>
              <w:t>sav</w:t>
            </w:r>
            <w:r w:rsidR="00684214">
              <w:rPr>
                <w:lang w:eastAsia="lv-LV"/>
              </w:rPr>
              <w:t xml:space="preserve">laicīgi </w:t>
            </w:r>
            <w:r w:rsidR="002D2779">
              <w:rPr>
                <w:lang w:eastAsia="lv-LV"/>
              </w:rPr>
              <w:t xml:space="preserve">nosūtīt tās rīcībā esošo lietderīgo informāciju </w:t>
            </w:r>
            <w:r w:rsidR="00DB0B50">
              <w:rPr>
                <w:lang w:eastAsia="lv-LV"/>
              </w:rPr>
              <w:t xml:space="preserve">par </w:t>
            </w:r>
            <w:r w:rsidR="005B2DC9" w:rsidRPr="00FD3CB3">
              <w:rPr>
                <w:lang w:eastAsia="lv-LV"/>
              </w:rPr>
              <w:t xml:space="preserve"> </w:t>
            </w:r>
            <w:r w:rsidR="005B2DC9">
              <w:rPr>
                <w:lang w:eastAsia="lv-LV"/>
              </w:rPr>
              <w:t>šaujamieroču un munīcijas</w:t>
            </w:r>
            <w:r w:rsidR="005B2DC9" w:rsidRPr="00DA78D0">
              <w:rPr>
                <w:lang w:eastAsia="lv-LV"/>
              </w:rPr>
              <w:t xml:space="preserve"> </w:t>
            </w:r>
            <w:r w:rsidR="00DB0B50">
              <w:rPr>
                <w:lang w:eastAsia="lv-LV"/>
              </w:rPr>
              <w:t xml:space="preserve"> </w:t>
            </w:r>
            <w:r w:rsidR="005B2DC9">
              <w:rPr>
                <w:lang w:eastAsia="lv-LV"/>
              </w:rPr>
              <w:t>pārvieto</w:t>
            </w:r>
            <w:r w:rsidR="00DB0B50">
              <w:rPr>
                <w:lang w:eastAsia="lv-LV"/>
              </w:rPr>
              <w:t xml:space="preserve">šanu </w:t>
            </w:r>
            <w:r w:rsidR="002D2779">
              <w:rPr>
                <w:lang w:eastAsia="lv-LV"/>
              </w:rPr>
              <w:t xml:space="preserve">tai </w:t>
            </w:r>
            <w:r w:rsidR="002D2779" w:rsidRPr="00F24C77">
              <w:rPr>
                <w:lang w:eastAsia="lv-LV"/>
              </w:rPr>
              <w:t xml:space="preserve">Eiropas Savienības </w:t>
            </w:r>
            <w:r w:rsidR="002D2779">
              <w:rPr>
                <w:lang w:eastAsia="lv-LV"/>
              </w:rPr>
              <w:t xml:space="preserve">dalībvalstij, uz kuras teritoriju tiek veikta </w:t>
            </w:r>
            <w:r w:rsidR="005B2DC9">
              <w:rPr>
                <w:lang w:eastAsia="lv-LV"/>
              </w:rPr>
              <w:t xml:space="preserve"> pārvieto</w:t>
            </w:r>
            <w:r w:rsidR="002D2779">
              <w:rPr>
                <w:lang w:eastAsia="lv-LV"/>
              </w:rPr>
              <w:t>šana un</w:t>
            </w:r>
            <w:r w:rsidR="00DB0B50">
              <w:rPr>
                <w:lang w:eastAsia="lv-LV"/>
              </w:rPr>
              <w:t>,</w:t>
            </w:r>
            <w:r w:rsidR="002D2779">
              <w:rPr>
                <w:lang w:eastAsia="lv-LV"/>
              </w:rPr>
              <w:t xml:space="preserve"> ja nepieciešams</w:t>
            </w:r>
            <w:r w:rsidR="00DB0B50">
              <w:rPr>
                <w:lang w:eastAsia="lv-LV"/>
              </w:rPr>
              <w:t>,</w:t>
            </w:r>
            <w:r w:rsidR="002D2779">
              <w:rPr>
                <w:lang w:eastAsia="lv-LV"/>
              </w:rPr>
              <w:t xml:space="preserve"> arī tranzīta dalībvalstīm.</w:t>
            </w:r>
          </w:p>
          <w:p w14:paraId="0AD18CE2" w14:textId="324E770C" w:rsidR="00FF01BE" w:rsidRDefault="000C08E4" w:rsidP="00FF01BE">
            <w:pPr>
              <w:ind w:right="50" w:firstLine="285"/>
              <w:jc w:val="both"/>
              <w:rPr>
                <w:lang w:eastAsia="lv-LV"/>
              </w:rPr>
            </w:pPr>
            <w:r>
              <w:rPr>
                <w:lang w:eastAsia="lv-LV"/>
              </w:rPr>
              <w:t xml:space="preserve">Atbilstoši Direktīvas </w:t>
            </w:r>
            <w:r w:rsidRPr="00D64794">
              <w:rPr>
                <w:lang w:eastAsia="lv-LV"/>
              </w:rPr>
              <w:t>2014/28/ES</w:t>
            </w:r>
            <w:r>
              <w:rPr>
                <w:lang w:eastAsia="lv-LV"/>
              </w:rPr>
              <w:t xml:space="preserve"> </w:t>
            </w:r>
            <w:proofErr w:type="gramStart"/>
            <w:r>
              <w:rPr>
                <w:lang w:eastAsia="lv-LV"/>
              </w:rPr>
              <w:t>11.panta</w:t>
            </w:r>
            <w:proofErr w:type="gramEnd"/>
            <w:r>
              <w:rPr>
                <w:lang w:eastAsia="lv-LV"/>
              </w:rPr>
              <w:t xml:space="preserve"> 6.punktam</w:t>
            </w:r>
            <w:r w:rsidR="00EF4CD4">
              <w:rPr>
                <w:lang w:eastAsia="lv-LV"/>
              </w:rPr>
              <w:t xml:space="preserve"> Projekts ir papildināts ar 13.punktu, kas paredz iespēju Valsts policijai izdot speciālu apstiprinājumu, lai vienkāršotu konkrētu sprāgstvielu pārvadājumus. Šādu apstiprinājumu Valsts policija var izdot, ja atsevišķu sprāgstvielu pārvietošanai Latvijas teritorijā nesaskata par nepieciešamu Projekta 5.punktā minētā iesnieguma iesniegšanu un iepriekšējās piekrišanas dokumenta izsniegšanu. Pārvietojot sprāgstvielas bez iepriekšējās piekrišanas dokumenta, pie tām ir jābūt </w:t>
            </w:r>
            <w:r w:rsidR="00EC1230">
              <w:rPr>
                <w:lang w:eastAsia="lv-LV"/>
              </w:rPr>
              <w:t xml:space="preserve">pieejamai </w:t>
            </w:r>
            <w:r w:rsidR="00EF4CD4">
              <w:rPr>
                <w:lang w:eastAsia="lv-LV"/>
              </w:rPr>
              <w:t>Valsts policijas izdotā apstiprinājuma oficiāli apstiprinātai kopijai.</w:t>
            </w:r>
            <w:r w:rsidR="007E7F28">
              <w:rPr>
                <w:lang w:eastAsia="lv-LV"/>
              </w:rPr>
              <w:t xml:space="preserve"> </w:t>
            </w:r>
            <w:r w:rsidR="00AB7D10">
              <w:rPr>
                <w:lang w:eastAsia="lv-LV"/>
              </w:rPr>
              <w:t>Mainoties apstākļiem, kas ietekmē šādu sprāgstvielu pārvietošanu, Va</w:t>
            </w:r>
            <w:r w:rsidR="007E7F28">
              <w:rPr>
                <w:lang w:eastAsia="lv-LV"/>
              </w:rPr>
              <w:t xml:space="preserve">lsts policija </w:t>
            </w:r>
            <w:r w:rsidR="00AB7D10">
              <w:rPr>
                <w:lang w:eastAsia="lv-LV"/>
              </w:rPr>
              <w:t xml:space="preserve">šo apstiprinājumu </w:t>
            </w:r>
            <w:r w:rsidR="007E7F28">
              <w:rPr>
                <w:lang w:eastAsia="lv-LV"/>
              </w:rPr>
              <w:t>var arī apturēt vai anulēt, pieņemot pamatotu lēmumu.</w:t>
            </w:r>
          </w:p>
          <w:p w14:paraId="5D79AD48" w14:textId="4888D066" w:rsidR="0001297F" w:rsidRDefault="00B94B1B" w:rsidP="00FF01BE">
            <w:pPr>
              <w:ind w:right="50" w:firstLine="285"/>
              <w:jc w:val="both"/>
            </w:pPr>
            <w:r>
              <w:rPr>
                <w:lang w:eastAsia="lv-LV"/>
              </w:rPr>
              <w:t>Direktīvas</w:t>
            </w:r>
            <w:r w:rsidR="00A74C44">
              <w:rPr>
                <w:lang w:eastAsia="lv-LV"/>
              </w:rPr>
              <w:t xml:space="preserve"> </w:t>
            </w:r>
            <w:r w:rsidR="00A74C44" w:rsidRPr="00D64794">
              <w:rPr>
                <w:lang w:eastAsia="lv-LV"/>
              </w:rPr>
              <w:t>2014/28/ES</w:t>
            </w:r>
            <w:r w:rsidR="00A74C44">
              <w:rPr>
                <w:lang w:eastAsia="lv-LV"/>
              </w:rPr>
              <w:t xml:space="preserve"> </w:t>
            </w:r>
            <w:proofErr w:type="gramStart"/>
            <w:r w:rsidR="007B70B0">
              <w:rPr>
                <w:lang w:eastAsia="lv-LV"/>
              </w:rPr>
              <w:t>13.pants</w:t>
            </w:r>
            <w:proofErr w:type="gramEnd"/>
            <w:r w:rsidR="007B70B0">
              <w:rPr>
                <w:lang w:eastAsia="lv-LV"/>
              </w:rPr>
              <w:t xml:space="preserve"> paredz, ka</w:t>
            </w:r>
            <w:r w:rsidR="007B70B0">
              <w:t xml:space="preserve"> gadījumos, </w:t>
            </w:r>
            <w:r w:rsidR="007B70B0" w:rsidRPr="007B70B0">
              <w:rPr>
                <w:lang w:eastAsia="lv-LV"/>
              </w:rPr>
              <w:t>ja pastāv nopietn</w:t>
            </w:r>
            <w:r w:rsidR="007B70B0">
              <w:rPr>
                <w:lang w:eastAsia="lv-LV"/>
              </w:rPr>
              <w:t>i draudi sabiedriskajai drošībai</w:t>
            </w:r>
            <w:r w:rsidR="007B70B0" w:rsidRPr="007B70B0">
              <w:rPr>
                <w:lang w:eastAsia="lv-LV"/>
              </w:rPr>
              <w:t xml:space="preserve"> vai notiek uzbrukums sabiedriskai drošībai, kas rodas sprāgstvielu vai munīcijas nelikumīgas turēšanas vai izmantošanas rezultātā, </w:t>
            </w:r>
            <w:r w:rsidR="007B70B0">
              <w:rPr>
                <w:lang w:eastAsia="lv-LV"/>
              </w:rPr>
              <w:t xml:space="preserve">dalībvalstis </w:t>
            </w:r>
            <w:r w:rsidR="007B70B0" w:rsidRPr="007B70B0">
              <w:rPr>
                <w:lang w:eastAsia="lv-LV"/>
              </w:rPr>
              <w:t>var veikt visus nepieciešamos pasākumus, kas attiecas uz sprāgstvielu vai munīcijas pārsūtīšanu, lai novērstu šādu nelikumīgu turēšanu vai lietošanu.</w:t>
            </w:r>
            <w:r w:rsidR="007B70B0">
              <w:rPr>
                <w:lang w:eastAsia="lv-LV"/>
              </w:rPr>
              <w:t xml:space="preserve"> P</w:t>
            </w:r>
            <w:r w:rsidR="007B70B0" w:rsidRPr="00222CCE">
              <w:t xml:space="preserve">rojektā ir ietverts regulējums, kas paredz, </w:t>
            </w:r>
            <w:r w:rsidR="007B70B0">
              <w:t>ka</w:t>
            </w:r>
            <w:r w:rsidR="007B70B0" w:rsidRPr="00222CCE">
              <w:t xml:space="preserve"> Valsts policija var pieņemt lēmumu neizsniegt iepriekšējās piekrišanas dokumentu (</w:t>
            </w:r>
            <w:r w:rsidR="006E2F7D">
              <w:t>P</w:t>
            </w:r>
            <w:r w:rsidR="007B70B0" w:rsidRPr="00222CCE">
              <w:t>rojekta 1</w:t>
            </w:r>
            <w:r w:rsidR="00B075AA">
              <w:t>4</w:t>
            </w:r>
            <w:r w:rsidR="007B70B0" w:rsidRPr="00222CCE">
              <w:t xml:space="preserve">.4.apakšpunkts) </w:t>
            </w:r>
            <w:r w:rsidR="0061531B">
              <w:t>vai</w:t>
            </w:r>
            <w:r w:rsidR="007B70B0" w:rsidRPr="00222CCE">
              <w:t xml:space="preserve"> anulēt iepriekšējās piekriša</w:t>
            </w:r>
            <w:r w:rsidR="006E2F7D">
              <w:t>nas dokumentu (P</w:t>
            </w:r>
            <w:r w:rsidR="007B70B0" w:rsidRPr="00222CCE">
              <w:t>rojekta 1</w:t>
            </w:r>
            <w:r w:rsidR="00B075AA">
              <w:t>6</w:t>
            </w:r>
            <w:r w:rsidR="007B70B0" w:rsidRPr="00222CCE">
              <w:t xml:space="preserve">.3.apakšpunkts), ja </w:t>
            </w:r>
            <w:r w:rsidR="007B70B0" w:rsidRPr="002144A8">
              <w:t>tiek konstatēts</w:t>
            </w:r>
            <w:r w:rsidR="007B70B0" w:rsidRPr="00222CCE">
              <w:t xml:space="preserve">, ka šaujamieroči, munīcija vai sprāgstvielas var tikt vai tiek izmantoti nelikumīgi, un tā rezultātā tiek apdraudēta sabiedriskā drošība. Savukārt lēmums par iepriekšējās piekrišanas dokumenta apturēšanu tiek pieņemts, ja </w:t>
            </w:r>
            <w:r w:rsidR="007B70B0" w:rsidRPr="002144A8">
              <w:t>pastāv pamatotas aizdomas</w:t>
            </w:r>
            <w:r w:rsidR="007B70B0" w:rsidRPr="00222CCE">
              <w:t xml:space="preserve">, ka šaujamieroči, munīcija vai sprāgstvielas tiks izmantoti nelikumīgi un tā rezultātā tiks apdraudēta </w:t>
            </w:r>
            <w:r w:rsidR="006E2F7D">
              <w:t>sabiedriskā drošība (P</w:t>
            </w:r>
            <w:r w:rsidR="007B70B0" w:rsidRPr="00222CCE">
              <w:t>rojekta 1</w:t>
            </w:r>
            <w:r w:rsidR="00B075AA">
              <w:t>5</w:t>
            </w:r>
            <w:r w:rsidR="007B70B0" w:rsidRPr="00222CCE">
              <w:t>.3.apakšpunkts).</w:t>
            </w:r>
            <w:r w:rsidR="00597187">
              <w:t xml:space="preserve"> Pamats šāda l</w:t>
            </w:r>
            <w:r w:rsidR="002454B7">
              <w:t xml:space="preserve">ēmuma </w:t>
            </w:r>
            <w:r w:rsidR="00FF01BE" w:rsidRPr="00222CCE">
              <w:t>par iepriekšējās piekrišanas dokumenta apturēšanu</w:t>
            </w:r>
            <w:r w:rsidR="00FF01BE">
              <w:t xml:space="preserve"> </w:t>
            </w:r>
            <w:r w:rsidR="002454B7">
              <w:t xml:space="preserve">pieņemšanai </w:t>
            </w:r>
            <w:r w:rsidR="00597187">
              <w:t>ir</w:t>
            </w:r>
            <w:r w:rsidR="002454B7">
              <w:t xml:space="preserve"> fakts, ka </w:t>
            </w:r>
            <w:r w:rsidR="002454B7" w:rsidRPr="007B70B0">
              <w:rPr>
                <w:lang w:eastAsia="lv-LV"/>
              </w:rPr>
              <w:t>pastāv nopietn</w:t>
            </w:r>
            <w:r w:rsidR="002454B7">
              <w:rPr>
                <w:lang w:eastAsia="lv-LV"/>
              </w:rPr>
              <w:t>i draudi sabiedriskajai drošībai</w:t>
            </w:r>
            <w:r w:rsidR="002454B7" w:rsidRPr="007B70B0">
              <w:rPr>
                <w:lang w:eastAsia="lv-LV"/>
              </w:rPr>
              <w:t xml:space="preserve"> </w:t>
            </w:r>
            <w:r w:rsidR="002454B7">
              <w:rPr>
                <w:lang w:eastAsia="lv-LV"/>
              </w:rPr>
              <w:t xml:space="preserve">un ir pamatotas aizdomas, ka </w:t>
            </w:r>
            <w:r w:rsidR="006E2F7D">
              <w:rPr>
                <w:lang w:eastAsia="lv-LV"/>
              </w:rPr>
              <w:t xml:space="preserve">konkrētie </w:t>
            </w:r>
            <w:r w:rsidR="002454B7" w:rsidRPr="00222CCE">
              <w:t>šaujamieroči, munīcija vai sprāgstvielas tiks izmantoti nelikumīgi</w:t>
            </w:r>
            <w:r w:rsidR="006E2F7D">
              <w:t xml:space="preserve">, lai </w:t>
            </w:r>
            <w:r w:rsidR="00B075AA">
              <w:t xml:space="preserve">šos </w:t>
            </w:r>
            <w:r w:rsidR="006E2F7D">
              <w:t xml:space="preserve">pastāvošos draudus sabiedriskajai drošībai </w:t>
            </w:r>
            <w:r w:rsidR="000159C7">
              <w:t xml:space="preserve">realizētu </w:t>
            </w:r>
            <w:r w:rsidR="00597187">
              <w:t xml:space="preserve">jau </w:t>
            </w:r>
            <w:r w:rsidR="006E2F7D">
              <w:t>faktiskā kaitējumā. I</w:t>
            </w:r>
            <w:r w:rsidR="006E2F7D" w:rsidRPr="00222CCE">
              <w:t>epriekšējās piekrišanas dokumenta</w:t>
            </w:r>
            <w:r w:rsidR="006E2F7D">
              <w:t xml:space="preserve"> neizsniegšanas</w:t>
            </w:r>
            <w:r w:rsidR="00B0121E">
              <w:t xml:space="preserve"> </w:t>
            </w:r>
            <w:r w:rsidR="006E2F7D">
              <w:t>vai anulēšanas gadījumā</w:t>
            </w:r>
            <w:r w:rsidR="00B0121E">
              <w:t xml:space="preserve"> ir nepieciešama fakta konstatācija, ka </w:t>
            </w:r>
            <w:r w:rsidR="00B0121E" w:rsidRPr="00222CCE">
              <w:t>šaujamieroči, munīcija vai sprāgstvielas var tikt vai tiek izmantoti nelikumīgi, un tā rezultātā tiek apdraudēta sabiedriskā drošība.</w:t>
            </w:r>
            <w:r w:rsidR="00B0121E">
              <w:t xml:space="preserve"> Savukārt i</w:t>
            </w:r>
            <w:r w:rsidR="00B0121E" w:rsidRPr="00222CCE">
              <w:t>epriekšējās piekrišanas dokumenta</w:t>
            </w:r>
            <w:r w:rsidR="00B0121E">
              <w:t xml:space="preserve"> apturēšanai pietiekams pamats ir pamatotas aizdomas,</w:t>
            </w:r>
            <w:r w:rsidR="00B0121E" w:rsidRPr="00222CCE">
              <w:t xml:space="preserve"> ka šaujamieroči, munīcija vai sprāgstvielas tiks izmantoti nelikumīgi un tā rezultātā tiks apdraudēta </w:t>
            </w:r>
            <w:r w:rsidR="00B0121E">
              <w:t>sabiedriskā drošība</w:t>
            </w:r>
            <w:r w:rsidR="0061531B">
              <w:t xml:space="preserve">, tādējādi </w:t>
            </w:r>
            <w:r w:rsidR="008548CA">
              <w:t xml:space="preserve">faktiski </w:t>
            </w:r>
            <w:r w:rsidR="0061531B" w:rsidRPr="007B70B0">
              <w:rPr>
                <w:lang w:eastAsia="lv-LV"/>
              </w:rPr>
              <w:t>pastāv</w:t>
            </w:r>
            <w:r w:rsidR="0061531B">
              <w:rPr>
                <w:lang w:eastAsia="lv-LV"/>
              </w:rPr>
              <w:t>ot</w:t>
            </w:r>
            <w:r w:rsidR="0061531B" w:rsidRPr="007B70B0">
              <w:rPr>
                <w:lang w:eastAsia="lv-LV"/>
              </w:rPr>
              <w:t xml:space="preserve"> nopietn</w:t>
            </w:r>
            <w:r w:rsidR="0061531B">
              <w:rPr>
                <w:lang w:eastAsia="lv-LV"/>
              </w:rPr>
              <w:t>iem draudiem sabiedriskajai drošībai</w:t>
            </w:r>
            <w:r w:rsidR="000159C7">
              <w:t>. Šāds pamatojums ir paredzēts</w:t>
            </w:r>
            <w:r w:rsidR="00B0121E">
              <w:t xml:space="preserve">, lai </w:t>
            </w:r>
            <w:r w:rsidR="003336AC">
              <w:t>pastāvētu iespēja</w:t>
            </w:r>
            <w:r w:rsidR="000159C7">
              <w:t xml:space="preserve"> </w:t>
            </w:r>
            <w:r w:rsidR="00B0121E">
              <w:t>savlaicīgi nov</w:t>
            </w:r>
            <w:r w:rsidR="000159C7">
              <w:t>ērst</w:t>
            </w:r>
            <w:r w:rsidR="00B0121E">
              <w:t xml:space="preserve"> kaitīgās sekas, kas var </w:t>
            </w:r>
            <w:r w:rsidR="00B0121E">
              <w:lastRenderedPageBreak/>
              <w:t>iestāties pastāvo</w:t>
            </w:r>
            <w:r w:rsidR="00D011DE">
              <w:t>t nopietniem draudiem sabiedriskajai drošībai</w:t>
            </w:r>
            <w:r w:rsidR="0003548F">
              <w:t>, atbilstoši</w:t>
            </w:r>
            <w:r w:rsidR="000159C7">
              <w:t xml:space="preserve"> Direktīvas </w:t>
            </w:r>
            <w:r w:rsidR="00A74C44" w:rsidRPr="00D64794">
              <w:rPr>
                <w:lang w:eastAsia="lv-LV"/>
              </w:rPr>
              <w:t>2014/28/ES</w:t>
            </w:r>
            <w:r w:rsidR="00A74C44">
              <w:t xml:space="preserve"> </w:t>
            </w:r>
            <w:proofErr w:type="gramStart"/>
            <w:r w:rsidR="000159C7">
              <w:t>13.pantam</w:t>
            </w:r>
            <w:proofErr w:type="gramEnd"/>
            <w:r w:rsidR="003336AC">
              <w:t>, pirms šo kaitīgo seku iestāšanās.</w:t>
            </w:r>
            <w:r w:rsidR="0003548F">
              <w:t xml:space="preserve"> I</w:t>
            </w:r>
            <w:r w:rsidR="0003548F" w:rsidRPr="00222CCE">
              <w:t>epriekšējās piekrišanas dokumenta</w:t>
            </w:r>
            <w:r w:rsidR="0003548F">
              <w:t xml:space="preserve"> apturēšanai ir atšķirīgs pamatojums no </w:t>
            </w:r>
            <w:r w:rsidR="008548CA">
              <w:t xml:space="preserve">tā </w:t>
            </w:r>
            <w:r w:rsidR="0003548F">
              <w:t xml:space="preserve">atteikšanas vai anulēšanas </w:t>
            </w:r>
            <w:r w:rsidR="00345158">
              <w:t xml:space="preserve">gadījumiem </w:t>
            </w:r>
            <w:r w:rsidR="0003548F">
              <w:t xml:space="preserve">arī tādēļ, ka </w:t>
            </w:r>
            <w:r w:rsidR="00040C8B">
              <w:t xml:space="preserve">apturēšana var tikt pārtraukta un tai nav neatgriezenisks raksturs, </w:t>
            </w:r>
            <w:r w:rsidR="00F04438">
              <w:t>kā arī t</w:t>
            </w:r>
            <w:r w:rsidR="00040C8B">
              <w:t>ā</w:t>
            </w:r>
            <w:r w:rsidR="00F04438">
              <w:t xml:space="preserve"> nerada </w:t>
            </w:r>
            <w:r w:rsidR="00040C8B">
              <w:t>tik būtisku ierobežojumu</w:t>
            </w:r>
            <w:r w:rsidR="00F04438">
              <w:t>,</w:t>
            </w:r>
            <w:r w:rsidR="00040C8B">
              <w:t xml:space="preserve"> kā </w:t>
            </w:r>
            <w:r w:rsidR="00C75F80">
              <w:t xml:space="preserve">tas ir </w:t>
            </w:r>
            <w:r w:rsidR="00040C8B">
              <w:t>atteikšanas vai anulēšanas gadījumā. I</w:t>
            </w:r>
            <w:r w:rsidR="00040C8B" w:rsidRPr="00222CCE">
              <w:t>epriekšējās piekrišanas dokumenta</w:t>
            </w:r>
            <w:r w:rsidR="00040C8B">
              <w:t xml:space="preserve"> apturē</w:t>
            </w:r>
            <w:r w:rsidR="00C75F80">
              <w:t>šana tiks veikta</w:t>
            </w:r>
            <w:r w:rsidR="00F04438">
              <w:t>,</w:t>
            </w:r>
            <w:r w:rsidR="0061531B">
              <w:t xml:space="preserve"> </w:t>
            </w:r>
            <w:r w:rsidR="00C75F80">
              <w:t>pamato</w:t>
            </w:r>
            <w:r w:rsidR="0061531B">
              <w:t>jot</w:t>
            </w:r>
            <w:r w:rsidR="00C75F80">
              <w:t xml:space="preserve">ies uz Valsts policijas veikto profilaktisko pārbaužu rezultātiem </w:t>
            </w:r>
            <w:r w:rsidR="00AF4851">
              <w:t>un</w:t>
            </w:r>
            <w:r w:rsidR="00C75F80">
              <w:t xml:space="preserve"> </w:t>
            </w:r>
            <w:r w:rsidR="00345158">
              <w:t xml:space="preserve">pamatojoties uz </w:t>
            </w:r>
            <w:r w:rsidR="00C75F80">
              <w:t>Valsts policijas rīcībā esoš</w:t>
            </w:r>
            <w:r w:rsidR="0061531B">
              <w:t>ās</w:t>
            </w:r>
            <w:r w:rsidR="00C75F80">
              <w:t xml:space="preserve"> inform</w:t>
            </w:r>
            <w:r w:rsidR="003907AC">
              <w:t>ācij</w:t>
            </w:r>
            <w:r w:rsidR="0061531B">
              <w:t>as analīzi</w:t>
            </w:r>
            <w:r w:rsidR="00C75F80">
              <w:t xml:space="preserve"> par izdarītajiem likumpārkāpumiem un sagatavošanos likumpārkāpumu izdarī</w:t>
            </w:r>
            <w:r w:rsidR="003907AC">
              <w:t>šanai.</w:t>
            </w:r>
          </w:p>
          <w:p w14:paraId="079CF2C9" w14:textId="43C7A7B5" w:rsidR="003336AC" w:rsidRPr="00D067BC" w:rsidRDefault="003336AC" w:rsidP="00273925">
            <w:pPr>
              <w:ind w:right="50"/>
              <w:jc w:val="both"/>
            </w:pPr>
          </w:p>
        </w:tc>
      </w:tr>
      <w:tr w:rsidR="0016547D" w:rsidRPr="00D067BC" w14:paraId="35B9179E" w14:textId="77777777" w:rsidTr="00396E8C">
        <w:trPr>
          <w:trHeight w:val="484"/>
        </w:trPr>
        <w:tc>
          <w:tcPr>
            <w:tcW w:w="212" w:type="pct"/>
          </w:tcPr>
          <w:p w14:paraId="3ADDEFE6" w14:textId="18688FE9" w:rsidR="0016547D" w:rsidRPr="00D067BC" w:rsidRDefault="0016547D" w:rsidP="00014DEC">
            <w:pPr>
              <w:pStyle w:val="naiskr"/>
              <w:spacing w:before="0" w:beforeAutospacing="0" w:after="0" w:afterAutospacing="0"/>
              <w:ind w:left="57" w:right="57"/>
              <w:jc w:val="center"/>
            </w:pPr>
            <w:r w:rsidRPr="00D067BC">
              <w:lastRenderedPageBreak/>
              <w:t>3.</w:t>
            </w:r>
          </w:p>
        </w:tc>
        <w:tc>
          <w:tcPr>
            <w:tcW w:w="1300" w:type="pct"/>
          </w:tcPr>
          <w:p w14:paraId="6F490C1D" w14:textId="77777777" w:rsidR="0016547D" w:rsidRPr="00D067BC" w:rsidRDefault="0016547D" w:rsidP="00014DEC">
            <w:pPr>
              <w:pStyle w:val="naiskr"/>
              <w:spacing w:before="0" w:beforeAutospacing="0" w:after="0" w:afterAutospacing="0"/>
              <w:ind w:left="57" w:right="57"/>
            </w:pPr>
            <w:r w:rsidRPr="00D067BC">
              <w:t>Projekta izstrādē iesaistītās institūcijas</w:t>
            </w:r>
          </w:p>
        </w:tc>
        <w:tc>
          <w:tcPr>
            <w:tcW w:w="3488" w:type="pct"/>
          </w:tcPr>
          <w:p w14:paraId="455DACC0" w14:textId="7F930B58" w:rsidR="0016547D" w:rsidRPr="00B54E6E" w:rsidRDefault="0016547D" w:rsidP="00487D68">
            <w:pPr>
              <w:ind w:left="57" w:right="57" w:firstLine="228"/>
              <w:rPr>
                <w:b/>
                <w:color w:val="FF0000"/>
              </w:rPr>
            </w:pPr>
            <w:r w:rsidRPr="002B7C7F">
              <w:t>Iekšlietu ministrija, Valsts policija.</w:t>
            </w:r>
          </w:p>
        </w:tc>
      </w:tr>
      <w:tr w:rsidR="0016547D" w:rsidRPr="00D067BC" w14:paraId="7DA0FF6A" w14:textId="77777777" w:rsidTr="00C974AC">
        <w:trPr>
          <w:trHeight w:val="395"/>
        </w:trPr>
        <w:tc>
          <w:tcPr>
            <w:tcW w:w="212" w:type="pct"/>
          </w:tcPr>
          <w:p w14:paraId="18CBE862" w14:textId="77777777" w:rsidR="0016547D" w:rsidRPr="00D067BC" w:rsidRDefault="0016547D" w:rsidP="00014DEC">
            <w:pPr>
              <w:pStyle w:val="naiskr"/>
              <w:spacing w:before="0" w:beforeAutospacing="0" w:after="0" w:afterAutospacing="0"/>
              <w:ind w:left="57" w:right="57"/>
              <w:jc w:val="center"/>
            </w:pPr>
            <w:r w:rsidRPr="00D067BC">
              <w:t>4.</w:t>
            </w:r>
          </w:p>
        </w:tc>
        <w:tc>
          <w:tcPr>
            <w:tcW w:w="1300" w:type="pct"/>
          </w:tcPr>
          <w:p w14:paraId="619EC53A" w14:textId="77777777" w:rsidR="0016547D" w:rsidRPr="00D067BC" w:rsidRDefault="0016547D" w:rsidP="00014DEC">
            <w:pPr>
              <w:pStyle w:val="naiskr"/>
              <w:spacing w:before="0" w:beforeAutospacing="0" w:after="0" w:afterAutospacing="0"/>
              <w:ind w:left="57" w:right="57"/>
            </w:pPr>
            <w:r w:rsidRPr="00D067BC">
              <w:t>Cita informācija</w:t>
            </w:r>
          </w:p>
        </w:tc>
        <w:tc>
          <w:tcPr>
            <w:tcW w:w="3488" w:type="pct"/>
          </w:tcPr>
          <w:p w14:paraId="230122CE" w14:textId="25A5197E" w:rsidR="0016547D" w:rsidRPr="00B54E6E" w:rsidRDefault="00487D68" w:rsidP="00487D68">
            <w:pPr>
              <w:ind w:right="50" w:firstLine="285"/>
              <w:jc w:val="both"/>
              <w:rPr>
                <w:color w:val="FF0000"/>
              </w:rPr>
            </w:pPr>
            <w:r w:rsidRPr="00487D68">
              <w:t>Nav</w:t>
            </w:r>
          </w:p>
        </w:tc>
      </w:tr>
    </w:tbl>
    <w:p w14:paraId="247389C2" w14:textId="77777777" w:rsidR="0016547D" w:rsidRPr="00D067BC" w:rsidRDefault="0016547D" w:rsidP="00E56BB0"/>
    <w:tbl>
      <w:tblPr>
        <w:tblpPr w:leftFromText="180" w:rightFromText="180" w:vertAnchor="text" w:horzAnchor="margin" w:tblpXSpec="center" w:tblpY="11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551"/>
        <w:gridCol w:w="6753"/>
      </w:tblGrid>
      <w:tr w:rsidR="0016547D" w:rsidRPr="00D067BC" w14:paraId="2A465CFF" w14:textId="77777777" w:rsidTr="00C33920">
        <w:trPr>
          <w:trHeight w:val="556"/>
        </w:trPr>
        <w:tc>
          <w:tcPr>
            <w:tcW w:w="9725" w:type="dxa"/>
            <w:gridSpan w:val="3"/>
            <w:vAlign w:val="center"/>
          </w:tcPr>
          <w:p w14:paraId="7F78A1E0" w14:textId="77777777" w:rsidR="0016547D" w:rsidRPr="00D067BC" w:rsidRDefault="0016547D" w:rsidP="001811E7">
            <w:pPr>
              <w:pStyle w:val="naisnod"/>
              <w:spacing w:before="0" w:beforeAutospacing="0" w:after="0" w:afterAutospacing="0"/>
              <w:ind w:left="57" w:right="57"/>
              <w:jc w:val="center"/>
              <w:rPr>
                <w:b/>
              </w:rPr>
            </w:pPr>
            <w:r w:rsidRPr="00D067BC">
              <w:rPr>
                <w:b/>
              </w:rPr>
              <w:t>II. Tiesību akta projekta ietekme uz sabiedrību, tautsaimniecības attīstību</w:t>
            </w:r>
          </w:p>
          <w:p w14:paraId="51E71CBD" w14:textId="5B72D5A7" w:rsidR="0016547D" w:rsidRPr="00D067BC" w:rsidRDefault="0016547D" w:rsidP="002B7C7F">
            <w:pPr>
              <w:pStyle w:val="naisnod"/>
              <w:spacing w:before="0" w:beforeAutospacing="0" w:after="0" w:afterAutospacing="0"/>
              <w:ind w:left="57" w:right="57"/>
              <w:jc w:val="center"/>
              <w:rPr>
                <w:b/>
              </w:rPr>
            </w:pPr>
            <w:r w:rsidRPr="00D067BC">
              <w:rPr>
                <w:b/>
              </w:rPr>
              <w:t>un administratīvo slogu</w:t>
            </w:r>
          </w:p>
        </w:tc>
      </w:tr>
      <w:tr w:rsidR="0016547D" w:rsidRPr="00D067BC" w14:paraId="487191E4" w14:textId="77777777" w:rsidTr="00AB50EF">
        <w:trPr>
          <w:trHeight w:val="467"/>
        </w:trPr>
        <w:tc>
          <w:tcPr>
            <w:tcW w:w="421" w:type="dxa"/>
          </w:tcPr>
          <w:p w14:paraId="686A7069" w14:textId="77777777" w:rsidR="0016547D" w:rsidRPr="00D067BC" w:rsidRDefault="0016547D" w:rsidP="00014DEC">
            <w:pPr>
              <w:pStyle w:val="naiskr"/>
              <w:spacing w:before="0" w:beforeAutospacing="0" w:after="0" w:afterAutospacing="0"/>
              <w:ind w:left="57" w:right="57"/>
              <w:jc w:val="both"/>
            </w:pPr>
            <w:r w:rsidRPr="00D067BC">
              <w:t>1.</w:t>
            </w:r>
          </w:p>
        </w:tc>
        <w:tc>
          <w:tcPr>
            <w:tcW w:w="2551" w:type="dxa"/>
          </w:tcPr>
          <w:p w14:paraId="56675AD0" w14:textId="77777777" w:rsidR="0016547D" w:rsidRPr="00D067BC" w:rsidRDefault="0016547D" w:rsidP="00014DEC">
            <w:pPr>
              <w:pStyle w:val="naiskr"/>
              <w:spacing w:before="0" w:beforeAutospacing="0" w:after="0" w:afterAutospacing="0"/>
              <w:ind w:left="57" w:right="57"/>
            </w:pPr>
            <w:r w:rsidRPr="00D067BC">
              <w:t>Sabiedrības mērķgrupas, kuras tiesiskais regulējums ietekmē vai varētu ietekmēt</w:t>
            </w:r>
          </w:p>
        </w:tc>
        <w:tc>
          <w:tcPr>
            <w:tcW w:w="6753" w:type="dxa"/>
          </w:tcPr>
          <w:p w14:paraId="4F108956" w14:textId="68EC0481" w:rsidR="0016547D" w:rsidRPr="00B54E6E" w:rsidRDefault="0016547D" w:rsidP="00F66012">
            <w:pPr>
              <w:spacing w:after="120"/>
              <w:ind w:right="91" w:firstLine="284"/>
              <w:jc w:val="both"/>
              <w:rPr>
                <w:color w:val="FF0000"/>
              </w:rPr>
            </w:pPr>
            <w:bookmarkStart w:id="2" w:name="p21"/>
            <w:bookmarkEnd w:id="2"/>
            <w:r w:rsidRPr="00F66012">
              <w:rPr>
                <w:szCs w:val="19"/>
              </w:rPr>
              <w:t xml:space="preserve">Sabiedrības mērķgrupas galvenokārt ir komersanti, kas veic </w:t>
            </w:r>
            <w:r w:rsidR="00F66012" w:rsidRPr="00F66012">
              <w:rPr>
                <w:szCs w:val="19"/>
              </w:rPr>
              <w:t xml:space="preserve">ieroču, munīcijas un </w:t>
            </w:r>
            <w:r w:rsidR="00C00A39" w:rsidRPr="00F66012">
              <w:rPr>
                <w:szCs w:val="19"/>
              </w:rPr>
              <w:t>sprāgstvielu</w:t>
            </w:r>
            <w:r w:rsidR="00421CF7" w:rsidRPr="00F66012">
              <w:rPr>
                <w:bCs/>
                <w:lang w:eastAsia="lv-LV"/>
              </w:rPr>
              <w:t xml:space="preserve"> </w:t>
            </w:r>
            <w:r w:rsidR="00F66012" w:rsidRPr="00F66012">
              <w:rPr>
                <w:bCs/>
                <w:lang w:eastAsia="lv-LV"/>
              </w:rPr>
              <w:t xml:space="preserve">pārvadājumus starp Eiropas Savienības dalībvalstīm. </w:t>
            </w:r>
          </w:p>
        </w:tc>
      </w:tr>
      <w:tr w:rsidR="0016547D" w:rsidRPr="00D067BC" w14:paraId="2C0777B4" w14:textId="77777777" w:rsidTr="00AB50EF">
        <w:trPr>
          <w:trHeight w:val="523"/>
        </w:trPr>
        <w:tc>
          <w:tcPr>
            <w:tcW w:w="421" w:type="dxa"/>
          </w:tcPr>
          <w:p w14:paraId="47F6B603" w14:textId="77777777" w:rsidR="0016547D" w:rsidRPr="00D067BC" w:rsidRDefault="0016547D" w:rsidP="00014DEC">
            <w:pPr>
              <w:pStyle w:val="naiskr"/>
              <w:spacing w:before="0" w:beforeAutospacing="0" w:after="0" w:afterAutospacing="0"/>
              <w:ind w:left="57" w:right="57"/>
              <w:jc w:val="both"/>
            </w:pPr>
            <w:r w:rsidRPr="00D067BC">
              <w:t>2.</w:t>
            </w:r>
          </w:p>
        </w:tc>
        <w:tc>
          <w:tcPr>
            <w:tcW w:w="2551" w:type="dxa"/>
          </w:tcPr>
          <w:p w14:paraId="5EB1774A" w14:textId="77777777" w:rsidR="0016547D" w:rsidRPr="00396E8C" w:rsidRDefault="0016547D" w:rsidP="00396E8C">
            <w:pPr>
              <w:pStyle w:val="naispant"/>
              <w:spacing w:before="0" w:after="0"/>
              <w:ind w:left="0" w:firstLine="0"/>
              <w:jc w:val="left"/>
              <w:rPr>
                <w:b w:val="0"/>
                <w:bCs w:val="0"/>
              </w:rPr>
            </w:pPr>
            <w:r w:rsidRPr="00396E8C">
              <w:rPr>
                <w:b w:val="0"/>
                <w:bCs w:val="0"/>
              </w:rPr>
              <w:t>Tiesiskā regulējuma ietekme uz tautsaimniecību un administratīvo slogu</w:t>
            </w:r>
          </w:p>
        </w:tc>
        <w:tc>
          <w:tcPr>
            <w:tcW w:w="6753" w:type="dxa"/>
          </w:tcPr>
          <w:p w14:paraId="593A48CB" w14:textId="002A708C" w:rsidR="002D6CFF" w:rsidRPr="00B54E6E" w:rsidRDefault="00106DC1" w:rsidP="003360CF">
            <w:pPr>
              <w:pStyle w:val="naispant"/>
              <w:spacing w:before="0" w:after="0"/>
              <w:ind w:left="0" w:firstLine="284"/>
              <w:rPr>
                <w:b w:val="0"/>
                <w:bCs w:val="0"/>
                <w:color w:val="FF0000"/>
              </w:rPr>
            </w:pPr>
            <w:r w:rsidRPr="00F66012">
              <w:rPr>
                <w:b w:val="0"/>
                <w:bCs w:val="0"/>
              </w:rPr>
              <w:t xml:space="preserve">Nav saskatāma tiesiskā regulējuma ietekme uz tautsaimniecību un administratīvo slogu, jo </w:t>
            </w:r>
            <w:r w:rsidR="00507C0A" w:rsidRPr="00F66012">
              <w:rPr>
                <w:b w:val="0"/>
                <w:bCs w:val="0"/>
              </w:rPr>
              <w:t>P</w:t>
            </w:r>
            <w:r w:rsidR="002D6CFF" w:rsidRPr="00F66012">
              <w:rPr>
                <w:b w:val="0"/>
                <w:bCs w:val="0"/>
              </w:rPr>
              <w:t>rojektā paredzēt</w:t>
            </w:r>
            <w:r w:rsidR="00017913">
              <w:rPr>
                <w:b w:val="0"/>
                <w:bCs w:val="0"/>
              </w:rPr>
              <w:t>ā</w:t>
            </w:r>
            <w:r w:rsidRPr="00F66012">
              <w:rPr>
                <w:b w:val="0"/>
                <w:bCs w:val="0"/>
              </w:rPr>
              <w:t>s</w:t>
            </w:r>
            <w:r w:rsidR="002D6CFF" w:rsidRPr="00F66012">
              <w:rPr>
                <w:b w:val="0"/>
                <w:bCs w:val="0"/>
              </w:rPr>
              <w:t xml:space="preserve"> </w:t>
            </w:r>
            <w:r w:rsidRPr="00F66012">
              <w:rPr>
                <w:b w:val="0"/>
                <w:bCs w:val="0"/>
              </w:rPr>
              <w:t>prasības</w:t>
            </w:r>
            <w:r w:rsidR="002D6CFF" w:rsidRPr="00F66012">
              <w:rPr>
                <w:b w:val="0"/>
                <w:bCs w:val="0"/>
              </w:rPr>
              <w:t xml:space="preserve"> tieši </w:t>
            </w:r>
            <w:r w:rsidR="00450285" w:rsidRPr="00F66012">
              <w:rPr>
                <w:b w:val="0"/>
                <w:bCs w:val="0"/>
              </w:rPr>
              <w:t>administratīvo slogu</w:t>
            </w:r>
            <w:r w:rsidR="00206ED0" w:rsidRPr="00F66012">
              <w:rPr>
                <w:b w:val="0"/>
                <w:bCs w:val="0"/>
              </w:rPr>
              <w:t xml:space="preserve"> nepalielinās</w:t>
            </w:r>
            <w:r w:rsidR="00450285" w:rsidRPr="00F66012">
              <w:rPr>
                <w:b w:val="0"/>
                <w:bCs w:val="0"/>
              </w:rPr>
              <w:t xml:space="preserve">. </w:t>
            </w:r>
          </w:p>
        </w:tc>
      </w:tr>
      <w:tr w:rsidR="0016547D" w:rsidRPr="00D067BC" w14:paraId="1C0DB2FA" w14:textId="77777777" w:rsidTr="00AB50EF">
        <w:trPr>
          <w:trHeight w:val="523"/>
        </w:trPr>
        <w:tc>
          <w:tcPr>
            <w:tcW w:w="421" w:type="dxa"/>
          </w:tcPr>
          <w:p w14:paraId="3587F3B5" w14:textId="77777777" w:rsidR="0016547D" w:rsidRPr="00D067BC" w:rsidRDefault="0016547D" w:rsidP="00014DEC">
            <w:pPr>
              <w:pStyle w:val="CharCharCharChar"/>
              <w:spacing w:after="0"/>
              <w:ind w:left="57" w:right="57"/>
              <w:jc w:val="both"/>
              <w:rPr>
                <w:rFonts w:ascii="Times New Roman" w:hAnsi="Times New Roman"/>
                <w:sz w:val="24"/>
                <w:szCs w:val="24"/>
              </w:rPr>
            </w:pPr>
            <w:r w:rsidRPr="00D067BC">
              <w:rPr>
                <w:rFonts w:ascii="Times New Roman" w:hAnsi="Times New Roman"/>
                <w:sz w:val="24"/>
                <w:szCs w:val="24"/>
              </w:rPr>
              <w:t>3.</w:t>
            </w:r>
          </w:p>
        </w:tc>
        <w:tc>
          <w:tcPr>
            <w:tcW w:w="2551" w:type="dxa"/>
          </w:tcPr>
          <w:p w14:paraId="3B9D2CE3" w14:textId="77777777" w:rsidR="0016547D" w:rsidRPr="00D067BC" w:rsidRDefault="0016547D" w:rsidP="00014DEC">
            <w:pPr>
              <w:pStyle w:val="CharCharCharChar"/>
              <w:spacing w:after="0"/>
              <w:ind w:left="57" w:right="57"/>
              <w:rPr>
                <w:rFonts w:ascii="Times New Roman" w:hAnsi="Times New Roman"/>
                <w:sz w:val="24"/>
                <w:szCs w:val="24"/>
                <w:lang w:eastAsia="lv-LV"/>
              </w:rPr>
            </w:pPr>
            <w:r w:rsidRPr="00D067BC">
              <w:rPr>
                <w:rFonts w:ascii="Times New Roman" w:hAnsi="Times New Roman"/>
                <w:sz w:val="24"/>
                <w:szCs w:val="24"/>
                <w:lang w:eastAsia="lv-LV"/>
              </w:rPr>
              <w:t>Administratīvo izmaksu monetārs novērtējums</w:t>
            </w:r>
          </w:p>
        </w:tc>
        <w:tc>
          <w:tcPr>
            <w:tcW w:w="6753" w:type="dxa"/>
          </w:tcPr>
          <w:p w14:paraId="17CFDAE8" w14:textId="77777777" w:rsidR="0016547D" w:rsidRPr="00F66012" w:rsidRDefault="0016547D" w:rsidP="00487D68">
            <w:pPr>
              <w:ind w:firstLine="284"/>
            </w:pPr>
            <w:r w:rsidRPr="00F66012">
              <w:t>Projekts šo jomu neskar.</w:t>
            </w:r>
          </w:p>
        </w:tc>
      </w:tr>
      <w:tr w:rsidR="0016547D" w:rsidRPr="00D067BC" w14:paraId="7F506E77" w14:textId="77777777" w:rsidTr="00AB50EF">
        <w:trPr>
          <w:trHeight w:val="357"/>
        </w:trPr>
        <w:tc>
          <w:tcPr>
            <w:tcW w:w="421" w:type="dxa"/>
          </w:tcPr>
          <w:p w14:paraId="5497D93E" w14:textId="77777777" w:rsidR="0016547D" w:rsidRPr="00D067BC" w:rsidRDefault="0016547D" w:rsidP="00014DEC">
            <w:pPr>
              <w:pStyle w:val="CharCharCharChar"/>
              <w:spacing w:after="0"/>
              <w:ind w:left="57" w:right="57"/>
              <w:jc w:val="both"/>
              <w:rPr>
                <w:rFonts w:ascii="Times New Roman" w:hAnsi="Times New Roman"/>
                <w:sz w:val="24"/>
                <w:szCs w:val="24"/>
              </w:rPr>
            </w:pPr>
            <w:r w:rsidRPr="00D067BC">
              <w:rPr>
                <w:rFonts w:ascii="Times New Roman" w:hAnsi="Times New Roman"/>
                <w:sz w:val="24"/>
                <w:szCs w:val="24"/>
              </w:rPr>
              <w:t>4.</w:t>
            </w:r>
          </w:p>
        </w:tc>
        <w:tc>
          <w:tcPr>
            <w:tcW w:w="2551" w:type="dxa"/>
          </w:tcPr>
          <w:p w14:paraId="6075F0BE" w14:textId="77777777" w:rsidR="0016547D" w:rsidRPr="00D067BC" w:rsidRDefault="0016547D" w:rsidP="00014DEC">
            <w:pPr>
              <w:pStyle w:val="CharCharCharChar"/>
              <w:spacing w:after="0"/>
              <w:ind w:left="57" w:right="57"/>
              <w:rPr>
                <w:rFonts w:ascii="Times New Roman" w:hAnsi="Times New Roman"/>
                <w:sz w:val="24"/>
                <w:szCs w:val="24"/>
                <w:lang w:eastAsia="lv-LV"/>
              </w:rPr>
            </w:pPr>
            <w:r w:rsidRPr="00D067BC">
              <w:rPr>
                <w:rFonts w:ascii="Times New Roman" w:hAnsi="Times New Roman"/>
                <w:sz w:val="24"/>
                <w:szCs w:val="24"/>
                <w:lang w:eastAsia="lv-LV"/>
              </w:rPr>
              <w:t>Cita informācija</w:t>
            </w:r>
          </w:p>
        </w:tc>
        <w:tc>
          <w:tcPr>
            <w:tcW w:w="6753" w:type="dxa"/>
          </w:tcPr>
          <w:p w14:paraId="27A1A555" w14:textId="006362BE" w:rsidR="0016547D" w:rsidRPr="00F66012" w:rsidRDefault="00C90CC1" w:rsidP="00487D68">
            <w:pPr>
              <w:spacing w:before="60" w:after="60"/>
              <w:ind w:firstLine="284"/>
              <w:jc w:val="both"/>
            </w:pPr>
            <w:r w:rsidRPr="00F66012">
              <w:t>Nav</w:t>
            </w:r>
          </w:p>
        </w:tc>
      </w:tr>
    </w:tbl>
    <w:p w14:paraId="4BAABB19" w14:textId="77777777" w:rsidR="0016547D" w:rsidRPr="00D067BC" w:rsidRDefault="0016547D" w:rsidP="00E56BB0">
      <w:pPr>
        <w:rPr>
          <w:i/>
          <w:lang w:eastAsia="lv-LV"/>
        </w:rPr>
      </w:pPr>
    </w:p>
    <w:p w14:paraId="328C7170" w14:textId="77777777" w:rsidR="0016547D" w:rsidRPr="00D067BC" w:rsidRDefault="0016547D" w:rsidP="00165E54">
      <w:pPr>
        <w:jc w:val="both"/>
        <w:rPr>
          <w:lang w:eastAsia="lv-LV"/>
        </w:rPr>
      </w:pPr>
    </w:p>
    <w:tbl>
      <w:tblPr>
        <w:tblW w:w="5476" w:type="pct"/>
        <w:tblInd w:w="-43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2"/>
        <w:gridCol w:w="240"/>
        <w:gridCol w:w="1560"/>
        <w:gridCol w:w="391"/>
        <w:gridCol w:w="1528"/>
        <w:gridCol w:w="905"/>
        <w:gridCol w:w="1213"/>
        <w:gridCol w:w="685"/>
        <w:gridCol w:w="3350"/>
      </w:tblGrid>
      <w:tr w:rsidR="0016547D" w:rsidRPr="00D067BC" w14:paraId="0A719668" w14:textId="77777777" w:rsidTr="00620AD3">
        <w:trPr>
          <w:gridBefore w:val="1"/>
          <w:wBefore w:w="26" w:type="pct"/>
        </w:trPr>
        <w:tc>
          <w:tcPr>
            <w:tcW w:w="4974" w:type="pct"/>
            <w:gridSpan w:val="8"/>
            <w:tcBorders>
              <w:top w:val="single" w:sz="4" w:space="0" w:color="auto"/>
              <w:left w:val="single" w:sz="4" w:space="0" w:color="auto"/>
              <w:bottom w:val="outset" w:sz="6" w:space="0" w:color="000000"/>
              <w:right w:val="single" w:sz="4" w:space="0" w:color="auto"/>
            </w:tcBorders>
          </w:tcPr>
          <w:p w14:paraId="50E8B4EC" w14:textId="77777777" w:rsidR="0016547D" w:rsidRPr="00D067BC" w:rsidRDefault="0016547D" w:rsidP="00200E9E">
            <w:pPr>
              <w:jc w:val="center"/>
              <w:rPr>
                <w:b/>
                <w:bCs/>
              </w:rPr>
            </w:pPr>
            <w:r w:rsidRPr="00D067BC">
              <w:rPr>
                <w:b/>
                <w:bCs/>
              </w:rPr>
              <w:t>V. Tiesību akta projekta atbilstība Latvijas Republikas starptautiskajām saistībām</w:t>
            </w:r>
          </w:p>
        </w:tc>
      </w:tr>
      <w:tr w:rsidR="0016547D" w:rsidRPr="00D067BC" w14:paraId="2A4976A7" w14:textId="77777777" w:rsidTr="00620AD3">
        <w:trPr>
          <w:gridBefore w:val="1"/>
          <w:wBefore w:w="26" w:type="pct"/>
        </w:trPr>
        <w:tc>
          <w:tcPr>
            <w:tcW w:w="121" w:type="pct"/>
            <w:tcBorders>
              <w:top w:val="outset" w:sz="6" w:space="0" w:color="000000"/>
              <w:bottom w:val="outset" w:sz="6" w:space="0" w:color="000000"/>
              <w:right w:val="outset" w:sz="6" w:space="0" w:color="000000"/>
            </w:tcBorders>
          </w:tcPr>
          <w:p w14:paraId="42A3D0FF" w14:textId="77777777" w:rsidR="0016547D" w:rsidRPr="00D067BC" w:rsidRDefault="0016547D" w:rsidP="00200E9E">
            <w:r w:rsidRPr="00D067BC">
              <w:t>1.</w:t>
            </w:r>
          </w:p>
        </w:tc>
        <w:tc>
          <w:tcPr>
            <w:tcW w:w="786" w:type="pct"/>
            <w:tcBorders>
              <w:top w:val="outset" w:sz="6" w:space="0" w:color="000000"/>
              <w:left w:val="outset" w:sz="6" w:space="0" w:color="000000"/>
              <w:bottom w:val="outset" w:sz="6" w:space="0" w:color="000000"/>
              <w:right w:val="outset" w:sz="6" w:space="0" w:color="000000"/>
            </w:tcBorders>
          </w:tcPr>
          <w:p w14:paraId="2195AFD7" w14:textId="77777777" w:rsidR="0016547D" w:rsidRPr="00D067BC" w:rsidRDefault="0016547D" w:rsidP="00200E9E">
            <w:pPr>
              <w:jc w:val="both"/>
            </w:pPr>
            <w:r w:rsidRPr="00D067BC">
              <w:t>Saistības pret Eiropas Savienību</w:t>
            </w:r>
          </w:p>
        </w:tc>
        <w:tc>
          <w:tcPr>
            <w:tcW w:w="4067" w:type="pct"/>
            <w:gridSpan w:val="6"/>
            <w:tcBorders>
              <w:top w:val="outset" w:sz="6" w:space="0" w:color="000000"/>
              <w:left w:val="outset" w:sz="6" w:space="0" w:color="000000"/>
              <w:bottom w:val="outset" w:sz="6" w:space="0" w:color="000000"/>
            </w:tcBorders>
          </w:tcPr>
          <w:p w14:paraId="06877F7C" w14:textId="7ED44CFB" w:rsidR="0016547D" w:rsidRPr="00017913" w:rsidRDefault="0016547D" w:rsidP="00066148">
            <w:pPr>
              <w:ind w:firstLine="245"/>
              <w:jc w:val="both"/>
            </w:pPr>
            <w:r w:rsidRPr="00017913">
              <w:t xml:space="preserve">Ar </w:t>
            </w:r>
            <w:r w:rsidR="00A32E03" w:rsidRPr="00017913">
              <w:t>P</w:t>
            </w:r>
            <w:r w:rsidRPr="00017913">
              <w:t xml:space="preserve">rojektu tiek pārņemtas Direktīvas </w:t>
            </w:r>
            <w:r w:rsidR="00A74C44" w:rsidRPr="00D64794">
              <w:rPr>
                <w:lang w:eastAsia="lv-LV"/>
              </w:rPr>
              <w:t>2014/28/ES</w:t>
            </w:r>
            <w:r w:rsidR="00A74C44">
              <w:rPr>
                <w:lang w:eastAsia="lv-LV"/>
              </w:rPr>
              <w:t xml:space="preserve"> </w:t>
            </w:r>
            <w:r w:rsidR="005103DC">
              <w:rPr>
                <w:lang w:eastAsia="lv-LV"/>
              </w:rPr>
              <w:t xml:space="preserve">11., 12., 13. un </w:t>
            </w:r>
            <w:proofErr w:type="gramStart"/>
            <w:r w:rsidR="005103DC">
              <w:rPr>
                <w:lang w:eastAsia="lv-LV"/>
              </w:rPr>
              <w:t>14.panta</w:t>
            </w:r>
            <w:proofErr w:type="gramEnd"/>
            <w:r w:rsidR="005103DC">
              <w:rPr>
                <w:lang w:eastAsia="lv-LV"/>
              </w:rPr>
              <w:t xml:space="preserve"> prasības</w:t>
            </w:r>
            <w:r w:rsidR="00A74C44">
              <w:t xml:space="preserve"> un </w:t>
            </w:r>
            <w:r w:rsidR="00A74C44">
              <w:rPr>
                <w:lang w:eastAsia="lv-LV"/>
              </w:rPr>
              <w:t xml:space="preserve">Direktīvas </w:t>
            </w:r>
            <w:hyperlink r:id="rId14" w:tgtFrame="_blank" w:history="1">
              <w:r w:rsidR="00A74C44" w:rsidRPr="00F24C77">
                <w:rPr>
                  <w:lang w:eastAsia="lv-LV"/>
                </w:rPr>
                <w:t>91/477/EEK</w:t>
              </w:r>
            </w:hyperlink>
            <w:r w:rsidR="00A74C44">
              <w:rPr>
                <w:lang w:eastAsia="lv-LV"/>
              </w:rPr>
              <w:t xml:space="preserve"> 11. un 13.panta </w:t>
            </w:r>
            <w:r w:rsidR="00A74C44">
              <w:t>prasības</w:t>
            </w:r>
            <w:r w:rsidRPr="00017913">
              <w:t>.</w:t>
            </w:r>
          </w:p>
          <w:p w14:paraId="2CD2B3D3" w14:textId="79435C68" w:rsidR="0016547D" w:rsidRPr="00017913" w:rsidRDefault="0016547D" w:rsidP="00001F00">
            <w:pPr>
              <w:jc w:val="both"/>
            </w:pPr>
            <w:r w:rsidRPr="00017913">
              <w:t xml:space="preserve"> </w:t>
            </w:r>
          </w:p>
        </w:tc>
      </w:tr>
      <w:tr w:rsidR="0016547D" w:rsidRPr="00D067BC" w14:paraId="4388ADB1" w14:textId="77777777" w:rsidTr="00620AD3">
        <w:trPr>
          <w:gridBefore w:val="1"/>
          <w:wBefore w:w="26" w:type="pct"/>
        </w:trPr>
        <w:tc>
          <w:tcPr>
            <w:tcW w:w="121" w:type="pct"/>
            <w:tcBorders>
              <w:top w:val="outset" w:sz="6" w:space="0" w:color="000000"/>
              <w:bottom w:val="outset" w:sz="6" w:space="0" w:color="000000"/>
              <w:right w:val="outset" w:sz="6" w:space="0" w:color="000000"/>
            </w:tcBorders>
          </w:tcPr>
          <w:p w14:paraId="5F59A5B4" w14:textId="218D785B" w:rsidR="0016547D" w:rsidRPr="00D067BC" w:rsidRDefault="0016547D" w:rsidP="00200E9E">
            <w:r w:rsidRPr="00D067BC">
              <w:t>2.</w:t>
            </w:r>
          </w:p>
        </w:tc>
        <w:tc>
          <w:tcPr>
            <w:tcW w:w="786" w:type="pct"/>
            <w:tcBorders>
              <w:top w:val="outset" w:sz="6" w:space="0" w:color="000000"/>
              <w:left w:val="outset" w:sz="6" w:space="0" w:color="000000"/>
              <w:bottom w:val="outset" w:sz="6" w:space="0" w:color="000000"/>
              <w:right w:val="outset" w:sz="6" w:space="0" w:color="000000"/>
            </w:tcBorders>
          </w:tcPr>
          <w:p w14:paraId="0D36DDB5" w14:textId="77777777" w:rsidR="0016547D" w:rsidRPr="00D067BC" w:rsidRDefault="0016547D" w:rsidP="00200E9E">
            <w:pPr>
              <w:jc w:val="both"/>
            </w:pPr>
            <w:r w:rsidRPr="00D067BC">
              <w:t>Citas starptautiskās saistības</w:t>
            </w:r>
          </w:p>
        </w:tc>
        <w:tc>
          <w:tcPr>
            <w:tcW w:w="4067" w:type="pct"/>
            <w:gridSpan w:val="6"/>
            <w:tcBorders>
              <w:top w:val="outset" w:sz="6" w:space="0" w:color="000000"/>
              <w:left w:val="outset" w:sz="6" w:space="0" w:color="000000"/>
              <w:bottom w:val="outset" w:sz="6" w:space="0" w:color="000000"/>
            </w:tcBorders>
          </w:tcPr>
          <w:p w14:paraId="0CE43123" w14:textId="77777777" w:rsidR="0016547D" w:rsidRPr="00017913" w:rsidRDefault="0016547D" w:rsidP="00200E9E">
            <w:pPr>
              <w:ind w:firstLine="245"/>
            </w:pPr>
            <w:r w:rsidRPr="00017913">
              <w:t>Projekts šo jomu neskar.</w:t>
            </w:r>
          </w:p>
          <w:p w14:paraId="293DD106" w14:textId="77777777" w:rsidR="0016547D" w:rsidRPr="00017913" w:rsidRDefault="0016547D" w:rsidP="00200E9E"/>
        </w:tc>
      </w:tr>
      <w:tr w:rsidR="0016547D" w:rsidRPr="00D067BC" w14:paraId="1753E4D8" w14:textId="77777777" w:rsidTr="00620AD3">
        <w:trPr>
          <w:gridBefore w:val="1"/>
          <w:wBefore w:w="26" w:type="pct"/>
        </w:trPr>
        <w:tc>
          <w:tcPr>
            <w:tcW w:w="121" w:type="pct"/>
            <w:tcBorders>
              <w:top w:val="outset" w:sz="6" w:space="0" w:color="000000"/>
              <w:bottom w:val="outset" w:sz="6" w:space="0" w:color="000000"/>
              <w:right w:val="outset" w:sz="6" w:space="0" w:color="000000"/>
            </w:tcBorders>
          </w:tcPr>
          <w:p w14:paraId="6D7C4952" w14:textId="77777777" w:rsidR="0016547D" w:rsidRPr="00D067BC" w:rsidRDefault="0016547D" w:rsidP="00200E9E">
            <w:r w:rsidRPr="00D067BC">
              <w:t>3.</w:t>
            </w:r>
          </w:p>
        </w:tc>
        <w:tc>
          <w:tcPr>
            <w:tcW w:w="786" w:type="pct"/>
            <w:tcBorders>
              <w:top w:val="outset" w:sz="6" w:space="0" w:color="000000"/>
              <w:left w:val="outset" w:sz="6" w:space="0" w:color="000000"/>
              <w:bottom w:val="outset" w:sz="6" w:space="0" w:color="000000"/>
              <w:right w:val="outset" w:sz="6" w:space="0" w:color="000000"/>
            </w:tcBorders>
          </w:tcPr>
          <w:p w14:paraId="5415CFD1" w14:textId="77777777" w:rsidR="0016547D" w:rsidRPr="00D067BC" w:rsidRDefault="0016547D" w:rsidP="00200E9E">
            <w:pPr>
              <w:jc w:val="both"/>
            </w:pPr>
            <w:r w:rsidRPr="00D067BC">
              <w:t>Cita informācija</w:t>
            </w:r>
          </w:p>
        </w:tc>
        <w:tc>
          <w:tcPr>
            <w:tcW w:w="4067" w:type="pct"/>
            <w:gridSpan w:val="6"/>
            <w:tcBorders>
              <w:top w:val="outset" w:sz="6" w:space="0" w:color="000000"/>
              <w:left w:val="outset" w:sz="6" w:space="0" w:color="000000"/>
              <w:bottom w:val="outset" w:sz="6" w:space="0" w:color="000000"/>
            </w:tcBorders>
          </w:tcPr>
          <w:p w14:paraId="63D256AC" w14:textId="4E3795C4" w:rsidR="0016547D" w:rsidRPr="00017913" w:rsidRDefault="00C90CC1" w:rsidP="00200E9E">
            <w:pPr>
              <w:ind w:firstLine="245"/>
            </w:pPr>
            <w:r w:rsidRPr="00017913">
              <w:t>Nav</w:t>
            </w:r>
          </w:p>
        </w:tc>
      </w:tr>
      <w:tr w:rsidR="0016547D" w:rsidRPr="00D067BC" w14:paraId="0AAC5F88"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523"/>
          <w:jc w:val="center"/>
        </w:trPr>
        <w:tc>
          <w:tcPr>
            <w:tcW w:w="4974" w:type="pct"/>
            <w:gridSpan w:val="8"/>
            <w:tcBorders>
              <w:left w:val="nil"/>
              <w:right w:val="nil"/>
            </w:tcBorders>
            <w:vAlign w:val="center"/>
          </w:tcPr>
          <w:p w14:paraId="087EFC94" w14:textId="77777777" w:rsidR="0016547D" w:rsidRPr="00D067BC" w:rsidRDefault="0016547D" w:rsidP="006E73CF">
            <w:pPr>
              <w:pStyle w:val="naisnod"/>
              <w:spacing w:before="0" w:after="0"/>
              <w:jc w:val="center"/>
              <w:rPr>
                <w:b/>
              </w:rPr>
            </w:pPr>
          </w:p>
        </w:tc>
      </w:tr>
      <w:tr w:rsidR="0016547D" w:rsidRPr="00D067BC" w14:paraId="577078B4"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523"/>
          <w:jc w:val="center"/>
        </w:trPr>
        <w:tc>
          <w:tcPr>
            <w:tcW w:w="4974" w:type="pct"/>
            <w:gridSpan w:val="8"/>
            <w:vAlign w:val="center"/>
          </w:tcPr>
          <w:p w14:paraId="11D9ACDD" w14:textId="77777777" w:rsidR="0016547D" w:rsidRPr="00D067BC" w:rsidRDefault="0016547D" w:rsidP="005D1583">
            <w:pPr>
              <w:pStyle w:val="naisnod"/>
              <w:spacing w:before="0" w:beforeAutospacing="0" w:after="0" w:afterAutospacing="0"/>
              <w:jc w:val="center"/>
              <w:rPr>
                <w:b/>
              </w:rPr>
            </w:pPr>
            <w:r w:rsidRPr="00D067BC">
              <w:rPr>
                <w:b/>
              </w:rPr>
              <w:t>1.tabula</w:t>
            </w:r>
          </w:p>
          <w:p w14:paraId="66C9668F" w14:textId="77777777" w:rsidR="0016547D" w:rsidRPr="00D067BC" w:rsidRDefault="0016547D" w:rsidP="005D1583">
            <w:pPr>
              <w:pStyle w:val="naisnod"/>
              <w:spacing w:before="0" w:beforeAutospacing="0" w:after="0" w:afterAutospacing="0"/>
              <w:jc w:val="center"/>
              <w:rPr>
                <w:i/>
              </w:rPr>
            </w:pPr>
            <w:r w:rsidRPr="00D067BC">
              <w:rPr>
                <w:b/>
              </w:rPr>
              <w:t>Tiesību akta projekta atbilstība ES tiesību aktiem</w:t>
            </w:r>
          </w:p>
        </w:tc>
      </w:tr>
      <w:tr w:rsidR="0016547D" w:rsidRPr="00D067BC" w14:paraId="7CCCB708"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906"/>
          <w:jc w:val="center"/>
        </w:trPr>
        <w:tc>
          <w:tcPr>
            <w:tcW w:w="1104" w:type="pct"/>
            <w:gridSpan w:val="3"/>
            <w:vAlign w:val="center"/>
          </w:tcPr>
          <w:p w14:paraId="10D37BCB" w14:textId="77777777" w:rsidR="0016547D" w:rsidRPr="00D067BC" w:rsidRDefault="0016547D" w:rsidP="00200E9E">
            <w:pPr>
              <w:pStyle w:val="naiskr"/>
              <w:spacing w:before="0" w:beforeAutospacing="0" w:after="0" w:afterAutospacing="0"/>
              <w:ind w:hanging="10"/>
              <w:jc w:val="center"/>
            </w:pPr>
            <w:r w:rsidRPr="00D067BC">
              <w:t>Attiecīgā ES tiesību akta datums, numurs un nosaukums</w:t>
            </w:r>
          </w:p>
        </w:tc>
        <w:tc>
          <w:tcPr>
            <w:tcW w:w="3870" w:type="pct"/>
            <w:gridSpan w:val="5"/>
          </w:tcPr>
          <w:p w14:paraId="1C40CB87" w14:textId="319A1E28" w:rsidR="0016547D" w:rsidRPr="00D067BC" w:rsidRDefault="00463371" w:rsidP="00463371">
            <w:pPr>
              <w:pStyle w:val="naiskr"/>
              <w:spacing w:before="0" w:beforeAutospacing="0" w:after="0" w:afterAutospacing="0"/>
              <w:jc w:val="both"/>
            </w:pPr>
            <w:r w:rsidRPr="00017913">
              <w:t xml:space="preserve">Eiropas Parlamenta un Padomes </w:t>
            </w:r>
            <w:proofErr w:type="gramStart"/>
            <w:r w:rsidRPr="00017913">
              <w:t>2014.gada</w:t>
            </w:r>
            <w:proofErr w:type="gramEnd"/>
            <w:r w:rsidRPr="00017913">
              <w:t xml:space="preserve"> 26.februāra direktīva 2014/28/ES par dalībvalstu tiesību aktu saskaņošanu attiecībā uz civilām vajadzībām paredzēto sprāgstvielu pieejamību tirgū un pārraudzību</w:t>
            </w:r>
            <w:r w:rsidR="0016547D" w:rsidRPr="00017913">
              <w:t>.</w:t>
            </w:r>
          </w:p>
        </w:tc>
      </w:tr>
      <w:tr w:rsidR="00D41F72" w:rsidRPr="00D067BC" w14:paraId="59B3C674"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65"/>
          <w:jc w:val="center"/>
        </w:trPr>
        <w:tc>
          <w:tcPr>
            <w:tcW w:w="1104" w:type="pct"/>
            <w:gridSpan w:val="3"/>
            <w:vAlign w:val="center"/>
          </w:tcPr>
          <w:p w14:paraId="5496A890" w14:textId="77777777" w:rsidR="0016547D" w:rsidRPr="00D067BC" w:rsidRDefault="0016547D" w:rsidP="00200E9E">
            <w:pPr>
              <w:pStyle w:val="naiskr"/>
              <w:spacing w:before="0" w:beforeAutospacing="0" w:after="0" w:afterAutospacing="0"/>
              <w:jc w:val="center"/>
            </w:pPr>
            <w:r w:rsidRPr="00D067BC">
              <w:t>A</w:t>
            </w:r>
          </w:p>
        </w:tc>
        <w:tc>
          <w:tcPr>
            <w:tcW w:w="1226" w:type="pct"/>
            <w:gridSpan w:val="2"/>
            <w:vAlign w:val="center"/>
          </w:tcPr>
          <w:p w14:paraId="32CD837D" w14:textId="77777777" w:rsidR="0016547D" w:rsidRPr="00D067BC" w:rsidRDefault="0016547D" w:rsidP="00200E9E">
            <w:pPr>
              <w:pStyle w:val="naiskr"/>
              <w:spacing w:before="0" w:beforeAutospacing="0" w:after="0" w:afterAutospacing="0"/>
              <w:jc w:val="center"/>
            </w:pPr>
            <w:r w:rsidRPr="00D067BC">
              <w:t>B</w:t>
            </w:r>
          </w:p>
        </w:tc>
        <w:tc>
          <w:tcPr>
            <w:tcW w:w="956" w:type="pct"/>
            <w:gridSpan w:val="2"/>
            <w:vAlign w:val="center"/>
          </w:tcPr>
          <w:p w14:paraId="113A30D3" w14:textId="77777777" w:rsidR="0016547D" w:rsidRPr="00D067BC" w:rsidRDefault="0016547D" w:rsidP="00200E9E">
            <w:pPr>
              <w:pStyle w:val="naiskr"/>
              <w:spacing w:before="0" w:beforeAutospacing="0" w:after="0" w:afterAutospacing="0"/>
              <w:jc w:val="center"/>
            </w:pPr>
            <w:r w:rsidRPr="00D067BC">
              <w:t>C</w:t>
            </w:r>
          </w:p>
        </w:tc>
        <w:tc>
          <w:tcPr>
            <w:tcW w:w="1688" w:type="pct"/>
            <w:vAlign w:val="center"/>
          </w:tcPr>
          <w:p w14:paraId="006FBD0A" w14:textId="77777777" w:rsidR="0016547D" w:rsidRPr="00D067BC" w:rsidRDefault="0016547D" w:rsidP="00200E9E">
            <w:pPr>
              <w:pStyle w:val="naiskr"/>
              <w:spacing w:before="0" w:beforeAutospacing="0" w:after="0" w:afterAutospacing="0"/>
              <w:jc w:val="center"/>
            </w:pPr>
            <w:r w:rsidRPr="00D067BC">
              <w:t>D</w:t>
            </w:r>
          </w:p>
        </w:tc>
      </w:tr>
      <w:tr w:rsidR="00D41F72" w:rsidRPr="00D067BC" w14:paraId="5B585C14"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65"/>
          <w:jc w:val="center"/>
        </w:trPr>
        <w:tc>
          <w:tcPr>
            <w:tcW w:w="1104" w:type="pct"/>
            <w:gridSpan w:val="3"/>
          </w:tcPr>
          <w:p w14:paraId="60D13538" w14:textId="77777777" w:rsidR="0016547D" w:rsidRPr="00D067BC" w:rsidRDefault="0016547D" w:rsidP="00200E9E">
            <w:pPr>
              <w:pStyle w:val="naiskr"/>
              <w:spacing w:before="0" w:beforeAutospacing="0" w:after="0" w:afterAutospacing="0"/>
              <w:jc w:val="both"/>
            </w:pPr>
            <w:r w:rsidRPr="00D067BC">
              <w:lastRenderedPageBreak/>
              <w:t>Attiecīgā ES tiesību akta panta numurs (uzskaitot katru tiesību akta vienību – pantu, daļu, punktu, apakšpunktu)</w:t>
            </w:r>
          </w:p>
        </w:tc>
        <w:tc>
          <w:tcPr>
            <w:tcW w:w="1226" w:type="pct"/>
            <w:gridSpan w:val="2"/>
          </w:tcPr>
          <w:p w14:paraId="54F38BEB" w14:textId="77777777" w:rsidR="0016547D" w:rsidRPr="00D067BC" w:rsidRDefault="0016547D" w:rsidP="00200E9E">
            <w:pPr>
              <w:pStyle w:val="naiskr"/>
              <w:spacing w:before="0" w:beforeAutospacing="0" w:after="0" w:afterAutospacing="0"/>
              <w:jc w:val="both"/>
            </w:pPr>
            <w:r w:rsidRPr="00D067BC">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D067BC">
                <w:t>akts</w:t>
              </w:r>
            </w:smartTag>
            <w:r w:rsidRPr="00D067BC">
              <w:t>, kur attiecīgā ES tiesību akta vienība pārņemta vai ieviesta</w:t>
            </w:r>
          </w:p>
        </w:tc>
        <w:tc>
          <w:tcPr>
            <w:tcW w:w="956" w:type="pct"/>
            <w:gridSpan w:val="2"/>
          </w:tcPr>
          <w:p w14:paraId="1E4BA9C3" w14:textId="77777777" w:rsidR="0016547D" w:rsidRPr="00D067BC" w:rsidRDefault="0016547D" w:rsidP="00200E9E">
            <w:pPr>
              <w:pStyle w:val="naiskr"/>
              <w:spacing w:before="0" w:beforeAutospacing="0" w:after="0" w:afterAutospacing="0"/>
              <w:jc w:val="both"/>
            </w:pPr>
            <w:r w:rsidRPr="00D067BC">
              <w:t>Informācija par to, vai šīs tabulas A ailē minētās ES tiesību akta vienības tiek pārņemtas vai ieviestas pilnībā vai daļēji.</w:t>
            </w:r>
          </w:p>
          <w:p w14:paraId="57BC6D30" w14:textId="77777777" w:rsidR="0016547D" w:rsidRPr="00D067BC" w:rsidRDefault="0016547D" w:rsidP="00200E9E">
            <w:pPr>
              <w:pStyle w:val="naiskr"/>
              <w:spacing w:before="0" w:beforeAutospacing="0" w:after="0" w:afterAutospacing="0"/>
              <w:jc w:val="both"/>
            </w:pPr>
            <w:r w:rsidRPr="00D067BC">
              <w:t>Ja attiecīgā ES tiesību akta vienība tiek pārņemta vai ieviesta daļēji,</w:t>
            </w:r>
            <w:proofErr w:type="gramStart"/>
            <w:r w:rsidRPr="00D067BC">
              <w:t xml:space="preserve">  </w:t>
            </w:r>
            <w:proofErr w:type="gramEnd"/>
            <w:r w:rsidRPr="00D067BC">
              <w:t>sniedz attiecīgu skaidrojumu, kā arī precīzi norāda, kad un kādā veidā ES tiesību akta vienība tiks pārņemta vai ieviesta pilnībā.</w:t>
            </w:r>
          </w:p>
          <w:p w14:paraId="72B5B1FC" w14:textId="77777777" w:rsidR="0016547D" w:rsidRPr="00D067BC" w:rsidRDefault="0016547D" w:rsidP="00200E9E">
            <w:pPr>
              <w:pStyle w:val="naiskr"/>
              <w:spacing w:before="0" w:beforeAutospacing="0" w:after="0" w:afterAutospacing="0"/>
              <w:jc w:val="both"/>
            </w:pPr>
            <w:r w:rsidRPr="00D067BC">
              <w:t>Norāda institūciju, kas ir atbildīga par šo saistību izpildi pilnībā</w:t>
            </w:r>
          </w:p>
        </w:tc>
        <w:tc>
          <w:tcPr>
            <w:tcW w:w="1688" w:type="pct"/>
            <w:vAlign w:val="center"/>
          </w:tcPr>
          <w:p w14:paraId="3F7A11CC" w14:textId="77777777" w:rsidR="0016547D" w:rsidRPr="00D067BC" w:rsidRDefault="0016547D" w:rsidP="00200E9E">
            <w:pPr>
              <w:pStyle w:val="naiskr"/>
              <w:spacing w:before="0" w:beforeAutospacing="0" w:after="0" w:afterAutospacing="0"/>
              <w:jc w:val="both"/>
            </w:pPr>
            <w:r w:rsidRPr="00D067BC">
              <w:t>Informācija par to, vai šīs tabulas B ailē minētās projekta vienības paredz stingrākas prasības nekā šīs tabulas A ailē minētās ES tiesību akta vienības.</w:t>
            </w:r>
          </w:p>
          <w:p w14:paraId="4909A5B0" w14:textId="77777777" w:rsidR="0016547D" w:rsidRPr="00D067BC" w:rsidRDefault="0016547D" w:rsidP="00200E9E">
            <w:pPr>
              <w:pStyle w:val="naiskr"/>
              <w:spacing w:before="0" w:beforeAutospacing="0" w:after="0" w:afterAutospacing="0"/>
              <w:jc w:val="both"/>
            </w:pPr>
            <w:r w:rsidRPr="00D067BC">
              <w:t xml:space="preserve">Ja projekts satur stingrākas prasības nekā attiecīgais ES tiesību </w:t>
            </w:r>
            <w:smartTag w:uri="schemas-tilde-lv/tildestengine" w:element="veidnes">
              <w:smartTagPr>
                <w:attr w:name="id" w:val="-1"/>
                <w:attr w:name="baseform" w:val="akts"/>
                <w:attr w:name="text" w:val="akts"/>
              </w:smartTagPr>
              <w:r w:rsidRPr="00D067BC">
                <w:t>akts</w:t>
              </w:r>
            </w:smartTag>
            <w:r w:rsidRPr="00D067BC">
              <w:t>, norāda pamatojumu un samērīgumu.</w:t>
            </w:r>
          </w:p>
          <w:p w14:paraId="12261DF8" w14:textId="77777777" w:rsidR="0016547D" w:rsidRPr="00D067BC" w:rsidRDefault="0016547D" w:rsidP="00200E9E">
            <w:pPr>
              <w:pStyle w:val="naiskr"/>
              <w:spacing w:before="0" w:beforeAutospacing="0" w:after="0" w:afterAutospacing="0"/>
              <w:jc w:val="both"/>
            </w:pPr>
            <w:r w:rsidRPr="00D067BC">
              <w:t>Norāda iespējamās alternatīvas (t.sk. alternatīvas, kas neparedz tiesiskā regulējuma izstrādi) – kādos gadījumos būtu iespējams izvairīties no stingrāku prasību noteikšanas, nekā paredzēts attiecīgajos ES tiesību aktos</w:t>
            </w:r>
          </w:p>
        </w:tc>
      </w:tr>
      <w:tr w:rsidR="000C01C3" w:rsidRPr="00D067BC" w14:paraId="0AD58B45"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67D152D0" w14:textId="13044BA2" w:rsidR="000C01C3" w:rsidRPr="00EB22F7" w:rsidRDefault="006B6B2F" w:rsidP="000C01C3">
            <w:pPr>
              <w:jc w:val="both"/>
            </w:pPr>
            <w:r w:rsidRPr="00EB22F7">
              <w:t>11</w:t>
            </w:r>
            <w:r w:rsidR="000C01C3" w:rsidRPr="00EB22F7">
              <w:t>. panta 1. punkts</w:t>
            </w:r>
          </w:p>
        </w:tc>
        <w:tc>
          <w:tcPr>
            <w:tcW w:w="1226" w:type="pct"/>
            <w:gridSpan w:val="2"/>
          </w:tcPr>
          <w:p w14:paraId="6462F6D0" w14:textId="67EADA36" w:rsidR="000C01C3" w:rsidRPr="00EB22F7" w:rsidRDefault="000C01C3" w:rsidP="006B6B2F">
            <w:pPr>
              <w:pStyle w:val="naiskr"/>
              <w:spacing w:before="0" w:beforeAutospacing="0" w:after="0" w:afterAutospacing="0"/>
              <w:rPr>
                <w:spacing w:val="-3"/>
                <w:lang w:eastAsia="en-US"/>
              </w:rPr>
            </w:pPr>
            <w:r w:rsidRPr="00EB22F7">
              <w:t xml:space="preserve">Projekta </w:t>
            </w:r>
            <w:r w:rsidR="006B6B2F" w:rsidRPr="00EB22F7">
              <w:t>5</w:t>
            </w:r>
            <w:r w:rsidRPr="00EB22F7">
              <w:t>.punkts</w:t>
            </w:r>
          </w:p>
        </w:tc>
        <w:tc>
          <w:tcPr>
            <w:tcW w:w="956" w:type="pct"/>
            <w:gridSpan w:val="2"/>
          </w:tcPr>
          <w:p w14:paraId="575FFFA0" w14:textId="77777777" w:rsidR="000C01C3" w:rsidRPr="00EB22F7" w:rsidRDefault="000C01C3" w:rsidP="000C01C3">
            <w:pPr>
              <w:pStyle w:val="naiskr"/>
              <w:spacing w:before="0" w:beforeAutospacing="0" w:after="0" w:afterAutospacing="0"/>
            </w:pPr>
            <w:r w:rsidRPr="00EB22F7">
              <w:t>Direktīvas norma ieviesta pilnībā</w:t>
            </w:r>
          </w:p>
          <w:p w14:paraId="43A37011" w14:textId="3A8DEF42" w:rsidR="000C01C3" w:rsidRPr="00EB22F7" w:rsidRDefault="000C01C3" w:rsidP="000C01C3">
            <w:pPr>
              <w:pStyle w:val="naiskr"/>
              <w:spacing w:before="0" w:beforeAutospacing="0" w:after="0" w:afterAutospacing="0"/>
            </w:pPr>
          </w:p>
        </w:tc>
        <w:tc>
          <w:tcPr>
            <w:tcW w:w="1688" w:type="pct"/>
          </w:tcPr>
          <w:p w14:paraId="700F023B" w14:textId="18DE8F78" w:rsidR="000C01C3" w:rsidRPr="00EB22F7" w:rsidRDefault="000C01C3" w:rsidP="000C01C3">
            <w:pPr>
              <w:pStyle w:val="naiskr"/>
              <w:spacing w:before="0" w:beforeAutospacing="0" w:after="0" w:afterAutospacing="0"/>
            </w:pPr>
            <w:r w:rsidRPr="00EB22F7">
              <w:t>Projekts neparedz stingrākas prasības</w:t>
            </w:r>
          </w:p>
        </w:tc>
      </w:tr>
      <w:tr w:rsidR="000C01C3" w:rsidRPr="00D067BC" w14:paraId="1F1EF49A"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3D4C9708" w14:textId="0B9FB088" w:rsidR="000C01C3" w:rsidRPr="00EB22F7" w:rsidRDefault="006B6B2F" w:rsidP="000C01C3">
            <w:pPr>
              <w:jc w:val="both"/>
            </w:pPr>
            <w:r w:rsidRPr="00EB22F7">
              <w:t>11</w:t>
            </w:r>
            <w:r w:rsidR="000C01C3" w:rsidRPr="00EB22F7">
              <w:t>. panta 2. punkts</w:t>
            </w:r>
          </w:p>
        </w:tc>
        <w:tc>
          <w:tcPr>
            <w:tcW w:w="1226" w:type="pct"/>
            <w:gridSpan w:val="2"/>
          </w:tcPr>
          <w:p w14:paraId="3E4AD3E4" w14:textId="1B454A3D" w:rsidR="000C01C3" w:rsidRPr="00EB22F7" w:rsidRDefault="000C01C3" w:rsidP="005103DC">
            <w:pPr>
              <w:pStyle w:val="naiskr"/>
              <w:spacing w:before="0" w:beforeAutospacing="0" w:after="0" w:afterAutospacing="0"/>
              <w:rPr>
                <w:spacing w:val="-3"/>
                <w:lang w:eastAsia="en-US"/>
              </w:rPr>
            </w:pPr>
            <w:r w:rsidRPr="00EB22F7">
              <w:t xml:space="preserve">Projekta </w:t>
            </w:r>
            <w:r w:rsidR="00B26D54">
              <w:t xml:space="preserve">2., </w:t>
            </w:r>
            <w:r w:rsidR="006B6B2F" w:rsidRPr="00EB22F7">
              <w:t>5.</w:t>
            </w:r>
            <w:r w:rsidR="005103DC">
              <w:t>, 6.,</w:t>
            </w:r>
            <w:r w:rsidR="006B6B2F" w:rsidRPr="00EB22F7">
              <w:t>7.</w:t>
            </w:r>
            <w:r w:rsidR="005103DC">
              <w:t xml:space="preserve"> un 9.</w:t>
            </w:r>
            <w:r w:rsidRPr="00EB22F7">
              <w:t>punkts</w:t>
            </w:r>
          </w:p>
        </w:tc>
        <w:tc>
          <w:tcPr>
            <w:tcW w:w="956" w:type="pct"/>
            <w:gridSpan w:val="2"/>
          </w:tcPr>
          <w:p w14:paraId="502EF23A" w14:textId="77777777" w:rsidR="000C01C3" w:rsidRPr="00EB22F7" w:rsidRDefault="000C01C3" w:rsidP="000C01C3">
            <w:pPr>
              <w:pStyle w:val="naiskr"/>
              <w:spacing w:before="0" w:beforeAutospacing="0" w:after="0" w:afterAutospacing="0"/>
            </w:pPr>
            <w:r w:rsidRPr="00EB22F7">
              <w:t>Direktīvas norma ieviesta pilnībā</w:t>
            </w:r>
          </w:p>
          <w:p w14:paraId="57AF9E54" w14:textId="6D372171" w:rsidR="000C01C3" w:rsidRPr="00EB22F7" w:rsidRDefault="000C01C3" w:rsidP="000C01C3">
            <w:pPr>
              <w:pStyle w:val="naiskr"/>
              <w:spacing w:before="0" w:beforeAutospacing="0" w:after="0" w:afterAutospacing="0"/>
            </w:pPr>
          </w:p>
        </w:tc>
        <w:tc>
          <w:tcPr>
            <w:tcW w:w="1688" w:type="pct"/>
          </w:tcPr>
          <w:p w14:paraId="0759E7D1" w14:textId="340F889E" w:rsidR="000C01C3" w:rsidRPr="00EB22F7" w:rsidRDefault="000C01C3" w:rsidP="000C01C3">
            <w:pPr>
              <w:pStyle w:val="naiskr"/>
              <w:spacing w:before="0" w:beforeAutospacing="0" w:after="0" w:afterAutospacing="0"/>
            </w:pPr>
            <w:r w:rsidRPr="00EB22F7">
              <w:t>Projekts neparedz stingrākas prasības</w:t>
            </w:r>
          </w:p>
        </w:tc>
      </w:tr>
      <w:tr w:rsidR="000C01C3" w:rsidRPr="00D067BC" w14:paraId="4AA6074E"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019A69DA" w14:textId="5A19BDE9" w:rsidR="000C01C3" w:rsidRPr="00EB22F7" w:rsidRDefault="006B6B2F" w:rsidP="000C01C3">
            <w:pPr>
              <w:jc w:val="both"/>
            </w:pPr>
            <w:r w:rsidRPr="00EB22F7">
              <w:t>11</w:t>
            </w:r>
            <w:r w:rsidR="000C01C3" w:rsidRPr="00EB22F7">
              <w:t>. panta 3. punkts</w:t>
            </w:r>
          </w:p>
        </w:tc>
        <w:tc>
          <w:tcPr>
            <w:tcW w:w="1226" w:type="pct"/>
            <w:gridSpan w:val="2"/>
          </w:tcPr>
          <w:p w14:paraId="1BDB82A0" w14:textId="237E2C76" w:rsidR="000C01C3" w:rsidRPr="00EB22F7" w:rsidRDefault="006836AB" w:rsidP="00D85BBC">
            <w:r w:rsidRPr="00EB22F7">
              <w:t xml:space="preserve">Projekta </w:t>
            </w:r>
            <w:r w:rsidR="00D85BBC">
              <w:t>10</w:t>
            </w:r>
            <w:r w:rsidR="000C01C3" w:rsidRPr="00EB22F7">
              <w:t>.punkts</w:t>
            </w:r>
          </w:p>
        </w:tc>
        <w:tc>
          <w:tcPr>
            <w:tcW w:w="956" w:type="pct"/>
            <w:gridSpan w:val="2"/>
          </w:tcPr>
          <w:p w14:paraId="52F8DE4E" w14:textId="77777777" w:rsidR="000C01C3" w:rsidRPr="00EB22F7" w:rsidRDefault="000C01C3" w:rsidP="000C01C3">
            <w:pPr>
              <w:pStyle w:val="naiskr"/>
              <w:spacing w:before="0" w:beforeAutospacing="0" w:after="0" w:afterAutospacing="0"/>
            </w:pPr>
            <w:r w:rsidRPr="00EB22F7">
              <w:t>Direktīvas norma ieviesta pilnībā</w:t>
            </w:r>
          </w:p>
          <w:p w14:paraId="4F2EF0F8" w14:textId="5A27A962" w:rsidR="000C01C3" w:rsidRPr="00EB22F7" w:rsidRDefault="000C01C3" w:rsidP="000C01C3">
            <w:pPr>
              <w:pStyle w:val="naiskr"/>
              <w:spacing w:before="0" w:beforeAutospacing="0" w:after="0" w:afterAutospacing="0"/>
            </w:pPr>
          </w:p>
        </w:tc>
        <w:tc>
          <w:tcPr>
            <w:tcW w:w="1688" w:type="pct"/>
          </w:tcPr>
          <w:p w14:paraId="56DF2BF4" w14:textId="30752610" w:rsidR="000C01C3" w:rsidRPr="00EB22F7" w:rsidRDefault="000C01C3" w:rsidP="000C01C3">
            <w:pPr>
              <w:pStyle w:val="naiskr"/>
              <w:spacing w:before="0" w:beforeAutospacing="0" w:after="0" w:afterAutospacing="0"/>
            </w:pPr>
            <w:r w:rsidRPr="00EB22F7">
              <w:t>Projekts neparedz stingrākas prasības</w:t>
            </w:r>
          </w:p>
        </w:tc>
      </w:tr>
      <w:tr w:rsidR="000C01C3" w:rsidRPr="00D067BC" w14:paraId="610D9297"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5E73291B" w14:textId="57FBF56E" w:rsidR="000C01C3" w:rsidRPr="00EB22F7" w:rsidRDefault="006B6B2F" w:rsidP="000C01C3">
            <w:pPr>
              <w:jc w:val="both"/>
            </w:pPr>
            <w:r w:rsidRPr="00EB22F7">
              <w:t>11</w:t>
            </w:r>
            <w:r w:rsidR="000C01C3" w:rsidRPr="00EB22F7">
              <w:t>. panta 4. punkts</w:t>
            </w:r>
          </w:p>
        </w:tc>
        <w:tc>
          <w:tcPr>
            <w:tcW w:w="1226" w:type="pct"/>
            <w:gridSpan w:val="2"/>
          </w:tcPr>
          <w:p w14:paraId="02FCCE9F" w14:textId="0FA4364C" w:rsidR="000C01C3" w:rsidRPr="00EB22F7" w:rsidRDefault="00A73DA7" w:rsidP="00EB5BB4">
            <w:pPr>
              <w:pStyle w:val="naiskr"/>
              <w:spacing w:before="0" w:beforeAutospacing="0" w:after="0" w:afterAutospacing="0"/>
              <w:rPr>
                <w:spacing w:val="-3"/>
                <w:lang w:eastAsia="en-US"/>
              </w:rPr>
            </w:pPr>
            <w:r w:rsidRPr="00EB22F7">
              <w:t xml:space="preserve">Projekta </w:t>
            </w:r>
            <w:r w:rsidR="006836AB" w:rsidRPr="00EB22F7">
              <w:t>9</w:t>
            </w:r>
            <w:r w:rsidRPr="00EB22F7">
              <w:t>.</w:t>
            </w:r>
            <w:r w:rsidR="00EB5BB4" w:rsidRPr="00EB22F7">
              <w:t>p</w:t>
            </w:r>
            <w:r w:rsidRPr="00EB22F7">
              <w:t>unkts</w:t>
            </w:r>
          </w:p>
        </w:tc>
        <w:tc>
          <w:tcPr>
            <w:tcW w:w="956" w:type="pct"/>
            <w:gridSpan w:val="2"/>
          </w:tcPr>
          <w:p w14:paraId="1941F17B" w14:textId="77777777" w:rsidR="000C01C3" w:rsidRPr="00EB22F7" w:rsidRDefault="000C01C3" w:rsidP="000C01C3">
            <w:pPr>
              <w:pStyle w:val="naiskr"/>
              <w:spacing w:before="0" w:beforeAutospacing="0" w:after="0" w:afterAutospacing="0"/>
            </w:pPr>
            <w:r w:rsidRPr="00EB22F7">
              <w:t>Direktīvas norma ieviesta pilnībā</w:t>
            </w:r>
          </w:p>
          <w:p w14:paraId="378F6D20" w14:textId="0559F8AD" w:rsidR="000C01C3" w:rsidRPr="00EB22F7" w:rsidRDefault="000C01C3" w:rsidP="000C01C3">
            <w:pPr>
              <w:pStyle w:val="naiskr"/>
              <w:spacing w:before="0" w:beforeAutospacing="0" w:after="0" w:afterAutospacing="0"/>
            </w:pPr>
          </w:p>
        </w:tc>
        <w:tc>
          <w:tcPr>
            <w:tcW w:w="1688" w:type="pct"/>
          </w:tcPr>
          <w:p w14:paraId="145A236C" w14:textId="11D9C1F8" w:rsidR="000C01C3" w:rsidRPr="00EB22F7" w:rsidRDefault="000C01C3" w:rsidP="000C01C3">
            <w:pPr>
              <w:pStyle w:val="naiskr"/>
              <w:spacing w:before="0" w:beforeAutospacing="0" w:after="0" w:afterAutospacing="0"/>
            </w:pPr>
            <w:r w:rsidRPr="00EB22F7">
              <w:t>Projekts neparedz stingrākas prasības</w:t>
            </w:r>
          </w:p>
        </w:tc>
      </w:tr>
      <w:tr w:rsidR="000C01C3" w:rsidRPr="00D067BC" w14:paraId="05961664"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60BD9913" w14:textId="3259B154" w:rsidR="000C01C3" w:rsidRPr="00EB22F7" w:rsidRDefault="006B6B2F" w:rsidP="000C01C3">
            <w:pPr>
              <w:jc w:val="both"/>
            </w:pPr>
            <w:r w:rsidRPr="00EB22F7">
              <w:t>11</w:t>
            </w:r>
            <w:r w:rsidR="000C01C3" w:rsidRPr="00EB22F7">
              <w:t>. panta 5. punkts</w:t>
            </w:r>
          </w:p>
        </w:tc>
        <w:tc>
          <w:tcPr>
            <w:tcW w:w="1226" w:type="pct"/>
            <w:gridSpan w:val="2"/>
          </w:tcPr>
          <w:p w14:paraId="64A64F28" w14:textId="2637F943" w:rsidR="000C01C3" w:rsidRPr="00EB22F7" w:rsidRDefault="00A73DA7" w:rsidP="00942DF3">
            <w:r w:rsidRPr="00EB22F7">
              <w:t xml:space="preserve">Projekta </w:t>
            </w:r>
            <w:r w:rsidR="00EB5BB4" w:rsidRPr="00EB22F7">
              <w:t>5.</w:t>
            </w:r>
            <w:r w:rsidR="00942DF3">
              <w:t xml:space="preserve">, 6., 7., 8. un </w:t>
            </w:r>
            <w:r w:rsidR="00AB0C7C" w:rsidRPr="00EB22F7">
              <w:t>9</w:t>
            </w:r>
            <w:r w:rsidR="00AF3D50" w:rsidRPr="00EB22F7">
              <w:t>.</w:t>
            </w:r>
            <w:r w:rsidRPr="00EB22F7">
              <w:t>punkts</w:t>
            </w:r>
          </w:p>
        </w:tc>
        <w:tc>
          <w:tcPr>
            <w:tcW w:w="956" w:type="pct"/>
            <w:gridSpan w:val="2"/>
          </w:tcPr>
          <w:p w14:paraId="69F3091A" w14:textId="77777777" w:rsidR="000C01C3" w:rsidRPr="00EB22F7" w:rsidRDefault="000C01C3" w:rsidP="000C01C3">
            <w:pPr>
              <w:pStyle w:val="naiskr"/>
              <w:spacing w:before="0" w:beforeAutospacing="0" w:after="0" w:afterAutospacing="0"/>
            </w:pPr>
            <w:r w:rsidRPr="00EB22F7">
              <w:t>Direktīvas norma ieviesta pilnībā</w:t>
            </w:r>
          </w:p>
          <w:p w14:paraId="5B37A8E4" w14:textId="336B004D" w:rsidR="000C01C3" w:rsidRPr="00EB22F7" w:rsidRDefault="000C01C3" w:rsidP="000C01C3">
            <w:pPr>
              <w:pStyle w:val="naiskr"/>
              <w:spacing w:before="0" w:beforeAutospacing="0" w:after="0" w:afterAutospacing="0"/>
            </w:pPr>
          </w:p>
        </w:tc>
        <w:tc>
          <w:tcPr>
            <w:tcW w:w="1688" w:type="pct"/>
          </w:tcPr>
          <w:p w14:paraId="01571A3C" w14:textId="2BB12BA0" w:rsidR="000C01C3" w:rsidRPr="00EB22F7" w:rsidRDefault="000C01C3" w:rsidP="000C01C3">
            <w:pPr>
              <w:pStyle w:val="naiskr"/>
              <w:spacing w:before="0" w:beforeAutospacing="0" w:after="0" w:afterAutospacing="0"/>
            </w:pPr>
            <w:r w:rsidRPr="00EB22F7">
              <w:t>Projekts neparedz stingrākas prasības</w:t>
            </w:r>
          </w:p>
        </w:tc>
      </w:tr>
      <w:tr w:rsidR="00A73DA7" w:rsidRPr="00D067BC" w14:paraId="5AA4641A"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69E59C58" w14:textId="67779EA2" w:rsidR="00A73DA7" w:rsidRPr="00EB22F7" w:rsidRDefault="006B6B2F" w:rsidP="00A73DA7">
            <w:pPr>
              <w:jc w:val="both"/>
            </w:pPr>
            <w:r w:rsidRPr="00EB22F7">
              <w:t>11</w:t>
            </w:r>
            <w:r w:rsidR="00A73DA7" w:rsidRPr="00EB22F7">
              <w:t>. panta 6. punkts</w:t>
            </w:r>
          </w:p>
        </w:tc>
        <w:tc>
          <w:tcPr>
            <w:tcW w:w="1226" w:type="pct"/>
            <w:gridSpan w:val="2"/>
          </w:tcPr>
          <w:p w14:paraId="28ABD324" w14:textId="3A7C6CF5" w:rsidR="00A73DA7" w:rsidRPr="00EB22F7" w:rsidRDefault="006B2493" w:rsidP="006B2493">
            <w:pPr>
              <w:pStyle w:val="naiskr"/>
              <w:spacing w:before="0" w:beforeAutospacing="0" w:after="0" w:afterAutospacing="0"/>
              <w:rPr>
                <w:spacing w:val="-3"/>
                <w:lang w:eastAsia="en-US"/>
              </w:rPr>
            </w:pPr>
            <w:r>
              <w:t>Projekta 13.punkts</w:t>
            </w:r>
          </w:p>
        </w:tc>
        <w:tc>
          <w:tcPr>
            <w:tcW w:w="956" w:type="pct"/>
            <w:gridSpan w:val="2"/>
          </w:tcPr>
          <w:p w14:paraId="10A9AA8D" w14:textId="77777777" w:rsidR="006B2493" w:rsidRPr="00EB22F7" w:rsidRDefault="006B2493" w:rsidP="006B2493">
            <w:pPr>
              <w:pStyle w:val="naiskr"/>
              <w:spacing w:before="0" w:beforeAutospacing="0" w:after="0" w:afterAutospacing="0"/>
            </w:pPr>
            <w:r w:rsidRPr="00EB22F7">
              <w:t>Direktīvas norma ieviesta pilnībā</w:t>
            </w:r>
          </w:p>
          <w:p w14:paraId="62CFC745" w14:textId="0C482E76" w:rsidR="00A73DA7" w:rsidRPr="00EB22F7" w:rsidRDefault="00A73DA7" w:rsidP="00A73DA7">
            <w:pPr>
              <w:pStyle w:val="naiskr"/>
              <w:spacing w:before="0" w:beforeAutospacing="0" w:after="0" w:afterAutospacing="0"/>
            </w:pPr>
          </w:p>
        </w:tc>
        <w:tc>
          <w:tcPr>
            <w:tcW w:w="1688" w:type="pct"/>
          </w:tcPr>
          <w:p w14:paraId="581C8EF0" w14:textId="1D51C617" w:rsidR="00A73DA7" w:rsidRPr="00EB22F7" w:rsidRDefault="0091120C" w:rsidP="00A73DA7">
            <w:pPr>
              <w:pStyle w:val="naiskr"/>
              <w:spacing w:before="0" w:beforeAutospacing="0" w:after="0" w:afterAutospacing="0"/>
            </w:pPr>
            <w:r w:rsidRPr="00EB22F7">
              <w:t>Projekts neparedz stingrākas prasības</w:t>
            </w:r>
          </w:p>
        </w:tc>
      </w:tr>
      <w:tr w:rsidR="00A73DA7" w:rsidRPr="00D067BC" w14:paraId="29BDCFF6"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2FAA3DB3" w14:textId="6C8CF397" w:rsidR="00A73DA7" w:rsidRPr="00EB22F7" w:rsidRDefault="006B6B2F" w:rsidP="00A73DA7">
            <w:pPr>
              <w:jc w:val="both"/>
            </w:pPr>
            <w:r w:rsidRPr="00EB22F7">
              <w:t>11</w:t>
            </w:r>
            <w:r w:rsidR="00A73DA7" w:rsidRPr="00EB22F7">
              <w:t>. panta 7. punkts</w:t>
            </w:r>
          </w:p>
        </w:tc>
        <w:tc>
          <w:tcPr>
            <w:tcW w:w="1226" w:type="pct"/>
            <w:gridSpan w:val="2"/>
          </w:tcPr>
          <w:p w14:paraId="310DC0D0" w14:textId="2E78602D" w:rsidR="00A73DA7" w:rsidRPr="00EB22F7" w:rsidRDefault="00A73DA7" w:rsidP="00AF3D50">
            <w:pPr>
              <w:pStyle w:val="naiskr"/>
              <w:spacing w:before="0" w:beforeAutospacing="0" w:after="0" w:afterAutospacing="0"/>
              <w:rPr>
                <w:spacing w:val="-3"/>
                <w:lang w:eastAsia="en-US"/>
              </w:rPr>
            </w:pPr>
            <w:r w:rsidRPr="00EB22F7">
              <w:t xml:space="preserve">Projekta </w:t>
            </w:r>
            <w:r w:rsidR="00AF3D50" w:rsidRPr="00EB22F7">
              <w:t>7.</w:t>
            </w:r>
            <w:r w:rsidRPr="00EB22F7">
              <w:t>punkts</w:t>
            </w:r>
          </w:p>
        </w:tc>
        <w:tc>
          <w:tcPr>
            <w:tcW w:w="956" w:type="pct"/>
            <w:gridSpan w:val="2"/>
          </w:tcPr>
          <w:p w14:paraId="33A6D37B" w14:textId="77777777" w:rsidR="00A73DA7" w:rsidRPr="00EB22F7" w:rsidRDefault="00A73DA7" w:rsidP="00A73DA7">
            <w:pPr>
              <w:pStyle w:val="naiskr"/>
              <w:spacing w:before="0" w:beforeAutospacing="0" w:after="0" w:afterAutospacing="0"/>
            </w:pPr>
            <w:r w:rsidRPr="00EB22F7">
              <w:t>Direktīvas norma ieviesta pilnībā</w:t>
            </w:r>
          </w:p>
          <w:p w14:paraId="77AABBA8" w14:textId="0517C738" w:rsidR="00A73DA7" w:rsidRPr="00EB22F7" w:rsidRDefault="00A73DA7" w:rsidP="00A73DA7">
            <w:pPr>
              <w:pStyle w:val="naiskr"/>
              <w:spacing w:before="0" w:beforeAutospacing="0" w:after="0" w:afterAutospacing="0"/>
            </w:pPr>
          </w:p>
        </w:tc>
        <w:tc>
          <w:tcPr>
            <w:tcW w:w="1688" w:type="pct"/>
          </w:tcPr>
          <w:p w14:paraId="6BEE22E6" w14:textId="220BDA05" w:rsidR="00A73DA7" w:rsidRPr="00EB22F7" w:rsidRDefault="00A73DA7" w:rsidP="00A73DA7">
            <w:pPr>
              <w:pStyle w:val="naiskr"/>
              <w:spacing w:before="0" w:beforeAutospacing="0" w:after="0" w:afterAutospacing="0"/>
            </w:pPr>
            <w:r w:rsidRPr="00EB22F7">
              <w:t>Projekts neparedz stingrākas prasības</w:t>
            </w:r>
          </w:p>
        </w:tc>
      </w:tr>
      <w:tr w:rsidR="00A73DA7" w:rsidRPr="00D067BC" w14:paraId="38BCC512"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5C1A11A1" w14:textId="54664252" w:rsidR="00A73DA7" w:rsidRPr="00EB22F7" w:rsidRDefault="006B6B2F" w:rsidP="00A73DA7">
            <w:pPr>
              <w:jc w:val="both"/>
            </w:pPr>
            <w:r w:rsidRPr="00EB22F7">
              <w:t>11</w:t>
            </w:r>
            <w:r w:rsidR="00A73DA7" w:rsidRPr="00EB22F7">
              <w:t>. panta 8. punkts</w:t>
            </w:r>
          </w:p>
        </w:tc>
        <w:tc>
          <w:tcPr>
            <w:tcW w:w="1226" w:type="pct"/>
            <w:gridSpan w:val="2"/>
          </w:tcPr>
          <w:p w14:paraId="6F2346B8" w14:textId="526CB9EC" w:rsidR="00A73DA7" w:rsidRPr="00EB22F7" w:rsidRDefault="00A73DA7" w:rsidP="00A511AB">
            <w:pPr>
              <w:pStyle w:val="naiskr"/>
              <w:spacing w:before="0" w:beforeAutospacing="0" w:after="0" w:afterAutospacing="0"/>
              <w:rPr>
                <w:spacing w:val="-3"/>
                <w:lang w:eastAsia="en-US"/>
              </w:rPr>
            </w:pPr>
            <w:r w:rsidRPr="00EB22F7">
              <w:t xml:space="preserve">Projekta </w:t>
            </w:r>
            <w:r w:rsidR="00A511AB">
              <w:t>10</w:t>
            </w:r>
            <w:r w:rsidRPr="00EB22F7">
              <w:t>.punkts</w:t>
            </w:r>
          </w:p>
        </w:tc>
        <w:tc>
          <w:tcPr>
            <w:tcW w:w="956" w:type="pct"/>
            <w:gridSpan w:val="2"/>
          </w:tcPr>
          <w:p w14:paraId="3BB7BE78" w14:textId="77777777" w:rsidR="00A73DA7" w:rsidRPr="00EB22F7" w:rsidRDefault="00A73DA7" w:rsidP="00A73DA7">
            <w:pPr>
              <w:pStyle w:val="naiskr"/>
              <w:spacing w:before="0" w:beforeAutospacing="0" w:after="0" w:afterAutospacing="0"/>
            </w:pPr>
            <w:r w:rsidRPr="00EB22F7">
              <w:t>Direktīvas norma ieviesta pilnībā</w:t>
            </w:r>
          </w:p>
          <w:p w14:paraId="375CFD00" w14:textId="23C5930B" w:rsidR="00A73DA7" w:rsidRPr="00EB22F7" w:rsidRDefault="00A73DA7" w:rsidP="00A73DA7">
            <w:pPr>
              <w:pStyle w:val="naiskr"/>
              <w:spacing w:before="0" w:beforeAutospacing="0" w:after="0" w:afterAutospacing="0"/>
            </w:pPr>
          </w:p>
        </w:tc>
        <w:tc>
          <w:tcPr>
            <w:tcW w:w="1688" w:type="pct"/>
          </w:tcPr>
          <w:p w14:paraId="0562C218" w14:textId="1312D478" w:rsidR="00A73DA7" w:rsidRPr="00EB22F7" w:rsidRDefault="00A73DA7" w:rsidP="00A73DA7">
            <w:pPr>
              <w:pStyle w:val="naiskr"/>
              <w:spacing w:before="0" w:beforeAutospacing="0" w:after="0" w:afterAutospacing="0"/>
            </w:pPr>
            <w:r w:rsidRPr="00EB22F7">
              <w:t>Projekts neparedz stingrākas prasības</w:t>
            </w:r>
          </w:p>
        </w:tc>
      </w:tr>
      <w:tr w:rsidR="00A73DA7" w:rsidRPr="00D067BC" w14:paraId="25F31CEB"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6FA12E42" w14:textId="5A3AF9F6" w:rsidR="00A73DA7" w:rsidRPr="00EB22F7" w:rsidRDefault="00B94334" w:rsidP="00A73DA7">
            <w:pPr>
              <w:jc w:val="both"/>
            </w:pPr>
            <w:r w:rsidRPr="00EB22F7">
              <w:t>12</w:t>
            </w:r>
            <w:r w:rsidR="00A73DA7" w:rsidRPr="00EB22F7">
              <w:t>. panta 1. punkts</w:t>
            </w:r>
          </w:p>
        </w:tc>
        <w:tc>
          <w:tcPr>
            <w:tcW w:w="1226" w:type="pct"/>
            <w:gridSpan w:val="2"/>
          </w:tcPr>
          <w:p w14:paraId="15787AA3" w14:textId="112EF4FA" w:rsidR="00A73DA7" w:rsidRPr="00EB22F7" w:rsidRDefault="00A73DA7" w:rsidP="00BA31D3">
            <w:pPr>
              <w:pStyle w:val="naiskr"/>
              <w:spacing w:before="0" w:beforeAutospacing="0" w:after="0" w:afterAutospacing="0"/>
              <w:rPr>
                <w:spacing w:val="-3"/>
                <w:lang w:eastAsia="en-US"/>
              </w:rPr>
            </w:pPr>
            <w:r w:rsidRPr="00EB22F7">
              <w:t xml:space="preserve">Projekta </w:t>
            </w:r>
            <w:r w:rsidR="00BA31D3">
              <w:t>1</w:t>
            </w:r>
            <w:r w:rsidRPr="00EB22F7">
              <w:t>.punkts</w:t>
            </w:r>
          </w:p>
        </w:tc>
        <w:tc>
          <w:tcPr>
            <w:tcW w:w="956" w:type="pct"/>
            <w:gridSpan w:val="2"/>
          </w:tcPr>
          <w:p w14:paraId="546DAF06" w14:textId="77777777" w:rsidR="00A73DA7" w:rsidRPr="00EB22F7" w:rsidRDefault="00A73DA7" w:rsidP="00A73DA7">
            <w:pPr>
              <w:pStyle w:val="naiskr"/>
              <w:spacing w:before="0" w:beforeAutospacing="0" w:after="0" w:afterAutospacing="0"/>
            </w:pPr>
            <w:r w:rsidRPr="00EB22F7">
              <w:t>Direktīvas norma ieviesta pilnībā</w:t>
            </w:r>
          </w:p>
          <w:p w14:paraId="4A057EFB" w14:textId="3E288DC0" w:rsidR="00A73DA7" w:rsidRPr="00EB22F7" w:rsidRDefault="00A73DA7" w:rsidP="00A73DA7">
            <w:pPr>
              <w:pStyle w:val="naiskr"/>
              <w:spacing w:before="0" w:beforeAutospacing="0" w:after="0" w:afterAutospacing="0"/>
            </w:pPr>
          </w:p>
        </w:tc>
        <w:tc>
          <w:tcPr>
            <w:tcW w:w="1688" w:type="pct"/>
          </w:tcPr>
          <w:p w14:paraId="4FE52CC3" w14:textId="0EE05233" w:rsidR="00A73DA7" w:rsidRPr="00EB22F7" w:rsidRDefault="00A73DA7" w:rsidP="00A73DA7">
            <w:pPr>
              <w:pStyle w:val="naiskr"/>
              <w:spacing w:before="0" w:beforeAutospacing="0" w:after="0" w:afterAutospacing="0"/>
            </w:pPr>
            <w:r w:rsidRPr="00EB22F7">
              <w:lastRenderedPageBreak/>
              <w:t>Projekts neparedz stingrākas prasības</w:t>
            </w:r>
          </w:p>
        </w:tc>
      </w:tr>
      <w:tr w:rsidR="00A73DA7" w:rsidRPr="00D067BC" w14:paraId="50986634"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7AA9224F" w14:textId="477D6227" w:rsidR="00A73DA7" w:rsidRPr="00EB22F7" w:rsidRDefault="00B94334" w:rsidP="00A73DA7">
            <w:pPr>
              <w:jc w:val="both"/>
            </w:pPr>
            <w:r w:rsidRPr="00EB22F7">
              <w:lastRenderedPageBreak/>
              <w:t>12.</w:t>
            </w:r>
            <w:r w:rsidR="00A73DA7" w:rsidRPr="00EB22F7">
              <w:t xml:space="preserve"> panta 2. punkts</w:t>
            </w:r>
          </w:p>
        </w:tc>
        <w:tc>
          <w:tcPr>
            <w:tcW w:w="1226" w:type="pct"/>
            <w:gridSpan w:val="2"/>
          </w:tcPr>
          <w:p w14:paraId="459620B8" w14:textId="30257CD6" w:rsidR="00A73DA7" w:rsidRPr="00EB22F7" w:rsidRDefault="00A73DA7" w:rsidP="00F510CA">
            <w:pPr>
              <w:pStyle w:val="naiskr"/>
              <w:spacing w:before="0" w:beforeAutospacing="0" w:after="0" w:afterAutospacing="0"/>
              <w:rPr>
                <w:spacing w:val="-3"/>
                <w:lang w:eastAsia="en-US"/>
              </w:rPr>
            </w:pPr>
            <w:r w:rsidRPr="00EB22F7">
              <w:t xml:space="preserve">Projekta </w:t>
            </w:r>
            <w:r w:rsidR="003B3A65" w:rsidRPr="00EB22F7">
              <w:t>3.</w:t>
            </w:r>
            <w:r w:rsidR="00942DF3">
              <w:t xml:space="preserve">, </w:t>
            </w:r>
            <w:r w:rsidR="003B3A65" w:rsidRPr="00EB22F7">
              <w:t>4.</w:t>
            </w:r>
            <w:r w:rsidR="00942DF3">
              <w:t>,</w:t>
            </w:r>
            <w:r w:rsidR="003B3A65" w:rsidRPr="00EB22F7">
              <w:t xml:space="preserve"> 8.</w:t>
            </w:r>
            <w:r w:rsidR="00F510CA">
              <w:t>,</w:t>
            </w:r>
            <w:r w:rsidR="00942DF3">
              <w:t xml:space="preserve"> </w:t>
            </w:r>
            <w:r w:rsidR="003B3A65" w:rsidRPr="00EB22F7">
              <w:t>9</w:t>
            </w:r>
            <w:r w:rsidRPr="00EB22F7">
              <w:t>.</w:t>
            </w:r>
            <w:r w:rsidR="00F510CA">
              <w:t xml:space="preserve"> un 11.</w:t>
            </w:r>
            <w:r w:rsidRPr="00EB22F7">
              <w:t>punkts</w:t>
            </w:r>
          </w:p>
        </w:tc>
        <w:tc>
          <w:tcPr>
            <w:tcW w:w="956" w:type="pct"/>
            <w:gridSpan w:val="2"/>
          </w:tcPr>
          <w:p w14:paraId="4EBE19E9" w14:textId="77777777" w:rsidR="00A73DA7" w:rsidRPr="00EB22F7" w:rsidRDefault="00A73DA7" w:rsidP="00A73DA7">
            <w:pPr>
              <w:pStyle w:val="naiskr"/>
              <w:spacing w:before="0" w:beforeAutospacing="0" w:after="0" w:afterAutospacing="0"/>
            </w:pPr>
            <w:r w:rsidRPr="00EB22F7">
              <w:t>Direktīvas norma ieviesta pilnībā</w:t>
            </w:r>
          </w:p>
          <w:p w14:paraId="2B71FB9A" w14:textId="01043134" w:rsidR="00A73DA7" w:rsidRPr="00EB22F7" w:rsidRDefault="00A73DA7" w:rsidP="00A73DA7">
            <w:pPr>
              <w:pStyle w:val="naiskr"/>
              <w:spacing w:before="0" w:beforeAutospacing="0" w:after="0" w:afterAutospacing="0"/>
            </w:pPr>
          </w:p>
        </w:tc>
        <w:tc>
          <w:tcPr>
            <w:tcW w:w="1688" w:type="pct"/>
          </w:tcPr>
          <w:p w14:paraId="4ECE04BB" w14:textId="6DF4E000" w:rsidR="00A73DA7" w:rsidRPr="00EB22F7" w:rsidRDefault="00A73DA7" w:rsidP="00A73DA7">
            <w:pPr>
              <w:pStyle w:val="naiskr"/>
              <w:spacing w:before="0" w:beforeAutospacing="0" w:after="0" w:afterAutospacing="0"/>
            </w:pPr>
            <w:r w:rsidRPr="00EB22F7">
              <w:t>Projekts neparedz stingrākas prasības</w:t>
            </w:r>
          </w:p>
        </w:tc>
      </w:tr>
      <w:tr w:rsidR="00A73DA7" w:rsidRPr="00D067BC" w14:paraId="22770282"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0195C4CB" w14:textId="3D531336" w:rsidR="00A73DA7" w:rsidRPr="00EB22F7" w:rsidRDefault="00B94334" w:rsidP="00A73DA7">
            <w:pPr>
              <w:jc w:val="both"/>
            </w:pPr>
            <w:r w:rsidRPr="00EB22F7">
              <w:t>12. panta 3</w:t>
            </w:r>
            <w:r w:rsidR="00A73DA7" w:rsidRPr="00EB22F7">
              <w:t>. punkts</w:t>
            </w:r>
          </w:p>
        </w:tc>
        <w:tc>
          <w:tcPr>
            <w:tcW w:w="1226" w:type="pct"/>
            <w:gridSpan w:val="2"/>
          </w:tcPr>
          <w:p w14:paraId="69AB4270" w14:textId="58EC812B" w:rsidR="00A73DA7" w:rsidRPr="00EB22F7" w:rsidRDefault="003B3A65" w:rsidP="006836AB">
            <w:pPr>
              <w:pStyle w:val="naiskr"/>
              <w:spacing w:before="0" w:beforeAutospacing="0" w:after="0" w:afterAutospacing="0"/>
              <w:rPr>
                <w:spacing w:val="-3"/>
                <w:lang w:eastAsia="en-US"/>
              </w:rPr>
            </w:pPr>
            <w:r w:rsidRPr="00EB22F7">
              <w:t>Nav attiecināms</w:t>
            </w:r>
          </w:p>
        </w:tc>
        <w:tc>
          <w:tcPr>
            <w:tcW w:w="956" w:type="pct"/>
            <w:gridSpan w:val="2"/>
          </w:tcPr>
          <w:p w14:paraId="6A20A059" w14:textId="2E7393F5" w:rsidR="00A73DA7" w:rsidRPr="00EB22F7" w:rsidRDefault="00A73DA7" w:rsidP="00A73DA7">
            <w:pPr>
              <w:pStyle w:val="naiskr"/>
              <w:spacing w:before="0" w:beforeAutospacing="0" w:after="0" w:afterAutospacing="0"/>
            </w:pPr>
          </w:p>
        </w:tc>
        <w:tc>
          <w:tcPr>
            <w:tcW w:w="1688" w:type="pct"/>
          </w:tcPr>
          <w:p w14:paraId="00B45D96" w14:textId="3B61139F" w:rsidR="00A73DA7" w:rsidRPr="00EB22F7" w:rsidRDefault="00A73DA7" w:rsidP="00A73DA7">
            <w:pPr>
              <w:pStyle w:val="naiskr"/>
              <w:spacing w:before="0" w:beforeAutospacing="0" w:after="0" w:afterAutospacing="0"/>
            </w:pPr>
          </w:p>
        </w:tc>
      </w:tr>
      <w:tr w:rsidR="00A73DA7" w:rsidRPr="00D067BC" w14:paraId="12911F8C"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2E968EEC" w14:textId="3564D651" w:rsidR="00A73DA7" w:rsidRPr="00EB22F7" w:rsidRDefault="00B94334" w:rsidP="00A73DA7">
            <w:pPr>
              <w:jc w:val="both"/>
            </w:pPr>
            <w:r w:rsidRPr="00EB22F7">
              <w:t>12. panta 4</w:t>
            </w:r>
            <w:r w:rsidR="00A73DA7" w:rsidRPr="00EB22F7">
              <w:t>. punkts</w:t>
            </w:r>
          </w:p>
        </w:tc>
        <w:tc>
          <w:tcPr>
            <w:tcW w:w="1226" w:type="pct"/>
            <w:gridSpan w:val="2"/>
          </w:tcPr>
          <w:p w14:paraId="60F5C4BB" w14:textId="7E755764" w:rsidR="00A73DA7" w:rsidRPr="00EB22F7" w:rsidRDefault="003B3A65" w:rsidP="006836AB">
            <w:pPr>
              <w:pStyle w:val="naiskr"/>
              <w:spacing w:before="0" w:beforeAutospacing="0" w:after="0" w:afterAutospacing="0"/>
              <w:rPr>
                <w:spacing w:val="-3"/>
                <w:lang w:eastAsia="en-US"/>
              </w:rPr>
            </w:pPr>
            <w:r w:rsidRPr="00EB22F7">
              <w:t>Nav attiecināms</w:t>
            </w:r>
          </w:p>
        </w:tc>
        <w:tc>
          <w:tcPr>
            <w:tcW w:w="956" w:type="pct"/>
            <w:gridSpan w:val="2"/>
          </w:tcPr>
          <w:p w14:paraId="4F892156" w14:textId="5804D0C4" w:rsidR="00A73DA7" w:rsidRPr="00EB22F7" w:rsidRDefault="00A73DA7" w:rsidP="00A73DA7">
            <w:pPr>
              <w:pStyle w:val="naiskr"/>
              <w:spacing w:before="0" w:beforeAutospacing="0" w:after="0" w:afterAutospacing="0"/>
            </w:pPr>
          </w:p>
        </w:tc>
        <w:tc>
          <w:tcPr>
            <w:tcW w:w="1688" w:type="pct"/>
          </w:tcPr>
          <w:p w14:paraId="5AD0AD31" w14:textId="2AFF3C33" w:rsidR="00A73DA7" w:rsidRPr="00EB22F7" w:rsidRDefault="00A73DA7" w:rsidP="00A73DA7">
            <w:pPr>
              <w:pStyle w:val="naiskr"/>
              <w:spacing w:before="0" w:beforeAutospacing="0" w:after="0" w:afterAutospacing="0"/>
            </w:pPr>
          </w:p>
        </w:tc>
      </w:tr>
      <w:tr w:rsidR="000C01C3" w:rsidRPr="00D067BC" w14:paraId="76564442"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4AA805DA" w14:textId="2D95D766" w:rsidR="000C01C3" w:rsidRPr="00EB22F7" w:rsidRDefault="00B94334" w:rsidP="000C01C3">
            <w:pPr>
              <w:jc w:val="both"/>
            </w:pPr>
            <w:r w:rsidRPr="00EB22F7">
              <w:t>12. panta 5</w:t>
            </w:r>
            <w:r w:rsidR="000C01C3" w:rsidRPr="00EB22F7">
              <w:t>. punkts</w:t>
            </w:r>
          </w:p>
        </w:tc>
        <w:tc>
          <w:tcPr>
            <w:tcW w:w="1226" w:type="pct"/>
            <w:gridSpan w:val="2"/>
          </w:tcPr>
          <w:p w14:paraId="2AF54C42" w14:textId="30942E79" w:rsidR="000C01C3" w:rsidRPr="00EB22F7" w:rsidRDefault="00A73DA7" w:rsidP="002A5C09">
            <w:pPr>
              <w:pStyle w:val="naiskr"/>
              <w:spacing w:before="0" w:beforeAutospacing="0" w:after="0" w:afterAutospacing="0"/>
              <w:rPr>
                <w:spacing w:val="-3"/>
                <w:lang w:eastAsia="en-US"/>
              </w:rPr>
            </w:pPr>
            <w:r w:rsidRPr="00EB22F7">
              <w:t xml:space="preserve">Projekta </w:t>
            </w:r>
            <w:r w:rsidR="00813EF0">
              <w:t>1</w:t>
            </w:r>
            <w:r w:rsidR="002A5C09">
              <w:t>1</w:t>
            </w:r>
            <w:r w:rsidRPr="00EB22F7">
              <w:t>.punkts</w:t>
            </w:r>
          </w:p>
        </w:tc>
        <w:tc>
          <w:tcPr>
            <w:tcW w:w="956" w:type="pct"/>
            <w:gridSpan w:val="2"/>
          </w:tcPr>
          <w:p w14:paraId="651569F0" w14:textId="77777777" w:rsidR="000C01C3" w:rsidRPr="00EB22F7" w:rsidRDefault="000C01C3" w:rsidP="000C01C3">
            <w:pPr>
              <w:pStyle w:val="naiskr"/>
              <w:spacing w:before="0" w:beforeAutospacing="0" w:after="0" w:afterAutospacing="0"/>
            </w:pPr>
            <w:r w:rsidRPr="00EB22F7">
              <w:t>Direktīvas norma ieviesta pilnībā</w:t>
            </w:r>
          </w:p>
          <w:p w14:paraId="1F7B49DC" w14:textId="0CF78907" w:rsidR="000C01C3" w:rsidRPr="00EB22F7" w:rsidRDefault="000C01C3" w:rsidP="000C01C3">
            <w:pPr>
              <w:pStyle w:val="naiskr"/>
              <w:spacing w:before="0" w:beforeAutospacing="0" w:after="0" w:afterAutospacing="0"/>
            </w:pPr>
          </w:p>
        </w:tc>
        <w:tc>
          <w:tcPr>
            <w:tcW w:w="1688" w:type="pct"/>
          </w:tcPr>
          <w:p w14:paraId="57CD3425" w14:textId="018E0A09" w:rsidR="000C01C3" w:rsidRPr="00EB22F7" w:rsidRDefault="000C01C3" w:rsidP="000C01C3">
            <w:pPr>
              <w:pStyle w:val="naiskr"/>
              <w:spacing w:before="0" w:beforeAutospacing="0" w:after="0" w:afterAutospacing="0"/>
            </w:pPr>
            <w:r w:rsidRPr="00EB22F7">
              <w:t>Projekts neparedz stingrākas prasības</w:t>
            </w:r>
          </w:p>
        </w:tc>
      </w:tr>
      <w:tr w:rsidR="000C01C3" w:rsidRPr="00D067BC" w14:paraId="301012E3"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528DA948" w14:textId="798F5043" w:rsidR="000C01C3" w:rsidRPr="00EB22F7" w:rsidRDefault="003B3A65" w:rsidP="003B3A65">
            <w:pPr>
              <w:jc w:val="both"/>
            </w:pPr>
            <w:r w:rsidRPr="00EB22F7">
              <w:t>13</w:t>
            </w:r>
            <w:r w:rsidR="000C01C3" w:rsidRPr="00EB22F7">
              <w:t>. pant</w:t>
            </w:r>
            <w:r w:rsidRPr="00EB22F7">
              <w:t>s</w:t>
            </w:r>
          </w:p>
        </w:tc>
        <w:tc>
          <w:tcPr>
            <w:tcW w:w="1226" w:type="pct"/>
            <w:gridSpan w:val="2"/>
          </w:tcPr>
          <w:p w14:paraId="1FA42180" w14:textId="68DACE89" w:rsidR="000C01C3" w:rsidRPr="00EB22F7" w:rsidRDefault="00A73DA7" w:rsidP="00B01B15">
            <w:pPr>
              <w:pStyle w:val="naiskr"/>
              <w:spacing w:before="0" w:beforeAutospacing="0" w:after="0" w:afterAutospacing="0"/>
            </w:pPr>
            <w:r w:rsidRPr="00EB22F7">
              <w:t xml:space="preserve">Projekta </w:t>
            </w:r>
            <w:r w:rsidR="00B01B15">
              <w:t>14</w:t>
            </w:r>
            <w:r w:rsidR="003B3A65" w:rsidRPr="00EB22F7">
              <w:t xml:space="preserve">.punkta 4.apakšpunkts, </w:t>
            </w:r>
            <w:r w:rsidR="00B01B15">
              <w:t>15</w:t>
            </w:r>
            <w:r w:rsidR="003B3A65" w:rsidRPr="00EB22F7">
              <w:t xml:space="preserve">.punkta 3.apakšpunkts, </w:t>
            </w:r>
            <w:r w:rsidR="00B01B15">
              <w:t>16</w:t>
            </w:r>
            <w:r w:rsidR="003B3A65" w:rsidRPr="00EB22F7">
              <w:t xml:space="preserve">.punkta 3.apakšpunkts un </w:t>
            </w:r>
            <w:r w:rsidR="00B01B15">
              <w:t>17</w:t>
            </w:r>
            <w:r w:rsidR="00EB22F7" w:rsidRPr="00EB22F7">
              <w:t>.punkts</w:t>
            </w:r>
          </w:p>
        </w:tc>
        <w:tc>
          <w:tcPr>
            <w:tcW w:w="956" w:type="pct"/>
            <w:gridSpan w:val="2"/>
          </w:tcPr>
          <w:p w14:paraId="4123B9AF" w14:textId="77777777" w:rsidR="000C01C3" w:rsidRPr="00EB22F7" w:rsidRDefault="000C01C3" w:rsidP="000C01C3">
            <w:pPr>
              <w:pStyle w:val="naiskr"/>
              <w:spacing w:before="0" w:beforeAutospacing="0" w:after="0" w:afterAutospacing="0"/>
            </w:pPr>
            <w:r w:rsidRPr="00EB22F7">
              <w:t>Direktīvas norma ieviesta pilnībā</w:t>
            </w:r>
          </w:p>
          <w:p w14:paraId="76A5E604" w14:textId="0C886B55" w:rsidR="000C01C3" w:rsidRPr="00EB22F7" w:rsidRDefault="000C01C3" w:rsidP="000C01C3">
            <w:pPr>
              <w:pStyle w:val="naiskr"/>
              <w:spacing w:before="0" w:beforeAutospacing="0" w:after="0" w:afterAutospacing="0"/>
            </w:pPr>
          </w:p>
        </w:tc>
        <w:tc>
          <w:tcPr>
            <w:tcW w:w="1688" w:type="pct"/>
          </w:tcPr>
          <w:p w14:paraId="55762256" w14:textId="1297542E" w:rsidR="000C01C3" w:rsidRPr="00EB22F7" w:rsidRDefault="000C01C3" w:rsidP="000C01C3">
            <w:pPr>
              <w:pStyle w:val="naiskr"/>
              <w:spacing w:before="0" w:beforeAutospacing="0" w:after="0" w:afterAutospacing="0"/>
            </w:pPr>
            <w:r w:rsidRPr="00EB22F7">
              <w:t>Projekts neparedz stingrākas prasības</w:t>
            </w:r>
          </w:p>
        </w:tc>
      </w:tr>
      <w:tr w:rsidR="000C01C3" w:rsidRPr="00D067BC" w14:paraId="61B820C7"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4779DABB" w14:textId="3D5118F2" w:rsidR="000C01C3" w:rsidRPr="00EB22F7" w:rsidRDefault="00EB22F7" w:rsidP="00EB22F7">
            <w:pPr>
              <w:jc w:val="both"/>
            </w:pPr>
            <w:r w:rsidRPr="00EB22F7">
              <w:t>14</w:t>
            </w:r>
            <w:r w:rsidR="000C01C3" w:rsidRPr="00EB22F7">
              <w:t>. pants</w:t>
            </w:r>
          </w:p>
        </w:tc>
        <w:tc>
          <w:tcPr>
            <w:tcW w:w="1226" w:type="pct"/>
            <w:gridSpan w:val="2"/>
          </w:tcPr>
          <w:p w14:paraId="28C90496" w14:textId="7D802B54" w:rsidR="000C01C3" w:rsidRPr="00EB22F7" w:rsidRDefault="00A73DA7" w:rsidP="00786C53">
            <w:pPr>
              <w:pStyle w:val="naiskr"/>
              <w:spacing w:before="0" w:beforeAutospacing="0" w:after="0" w:afterAutospacing="0"/>
            </w:pPr>
            <w:r w:rsidRPr="00EB22F7">
              <w:t xml:space="preserve">Projekta </w:t>
            </w:r>
            <w:r w:rsidR="00786C53">
              <w:t>20</w:t>
            </w:r>
            <w:r w:rsidRPr="00EB22F7">
              <w:t>.punkts</w:t>
            </w:r>
          </w:p>
        </w:tc>
        <w:tc>
          <w:tcPr>
            <w:tcW w:w="956" w:type="pct"/>
            <w:gridSpan w:val="2"/>
          </w:tcPr>
          <w:p w14:paraId="52853357" w14:textId="77777777" w:rsidR="000C01C3" w:rsidRPr="00EB22F7" w:rsidRDefault="000C01C3" w:rsidP="000C01C3">
            <w:pPr>
              <w:pStyle w:val="naiskr"/>
              <w:spacing w:before="0" w:beforeAutospacing="0" w:after="0" w:afterAutospacing="0"/>
            </w:pPr>
            <w:r w:rsidRPr="00EB22F7">
              <w:t>Direktīvas norma ieviesta pilnībā</w:t>
            </w:r>
          </w:p>
          <w:p w14:paraId="42C1C15D" w14:textId="4BD463EE" w:rsidR="000C01C3" w:rsidRPr="00EB22F7" w:rsidRDefault="000C01C3" w:rsidP="000C01C3">
            <w:pPr>
              <w:pStyle w:val="naiskr"/>
              <w:spacing w:before="0" w:beforeAutospacing="0" w:after="0" w:afterAutospacing="0"/>
            </w:pPr>
          </w:p>
        </w:tc>
        <w:tc>
          <w:tcPr>
            <w:tcW w:w="1688" w:type="pct"/>
          </w:tcPr>
          <w:p w14:paraId="1E23E295" w14:textId="5B0F6725" w:rsidR="000C01C3" w:rsidRPr="00EB22F7" w:rsidRDefault="000C01C3" w:rsidP="000C01C3">
            <w:pPr>
              <w:pStyle w:val="naiskr"/>
              <w:spacing w:before="0" w:beforeAutospacing="0" w:after="0" w:afterAutospacing="0"/>
            </w:pPr>
            <w:r w:rsidRPr="00EB22F7">
              <w:t>Projekts neparedz stingrākas prasības</w:t>
            </w:r>
          </w:p>
        </w:tc>
      </w:tr>
      <w:tr w:rsidR="008D6077" w:rsidRPr="00D067BC" w14:paraId="7DF6EED5"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281"/>
          <w:jc w:val="center"/>
        </w:trPr>
        <w:tc>
          <w:tcPr>
            <w:tcW w:w="1104" w:type="pct"/>
            <w:gridSpan w:val="3"/>
            <w:vAlign w:val="center"/>
          </w:tcPr>
          <w:p w14:paraId="3335A921" w14:textId="77777777" w:rsidR="008D6077" w:rsidRPr="00D067BC" w:rsidRDefault="008D6077" w:rsidP="008D6077">
            <w:pPr>
              <w:pStyle w:val="naiskr"/>
              <w:spacing w:before="0" w:beforeAutospacing="0" w:after="0" w:afterAutospacing="0"/>
              <w:jc w:val="both"/>
            </w:pPr>
            <w:proofErr w:type="gramStart"/>
            <w:r w:rsidRPr="00D067BC">
              <w:t>Kā ir izmantota ES tiesību aktā paredzētā rīcības brīvība dalībvalstij pārņemt vai ieviest</w:t>
            </w:r>
            <w:proofErr w:type="gramEnd"/>
            <w:r w:rsidRPr="00D067BC">
              <w:t xml:space="preserve"> noteiktas ES tiesību akta normas. Kādēļ?</w:t>
            </w:r>
          </w:p>
        </w:tc>
        <w:tc>
          <w:tcPr>
            <w:tcW w:w="3870" w:type="pct"/>
            <w:gridSpan w:val="5"/>
          </w:tcPr>
          <w:p w14:paraId="1CC0D041" w14:textId="3770FCD4" w:rsidR="0033459A" w:rsidRDefault="00E36C24" w:rsidP="00FC64B8">
            <w:pPr>
              <w:pStyle w:val="naiskr"/>
              <w:spacing w:before="0" w:beforeAutospacing="0" w:after="0" w:afterAutospacing="0"/>
              <w:ind w:firstLine="282"/>
              <w:jc w:val="both"/>
              <w:rPr>
                <w:rFonts w:eastAsia="Calibri"/>
                <w:lang w:eastAsia="en-US"/>
              </w:rPr>
            </w:pPr>
            <w:r>
              <w:rPr>
                <w:rFonts w:eastAsia="Calibri"/>
                <w:lang w:eastAsia="en-US"/>
              </w:rPr>
              <w:t xml:space="preserve">Direktīva </w:t>
            </w:r>
            <w:r w:rsidR="005D4C2A" w:rsidRPr="00017913">
              <w:t xml:space="preserve">2014/28/ES </w:t>
            </w:r>
            <w:r>
              <w:rPr>
                <w:rFonts w:eastAsia="Calibri"/>
                <w:lang w:eastAsia="en-US"/>
              </w:rPr>
              <w:t>dalībvalstīm paredz rīcības brīvību, proti, D</w:t>
            </w:r>
            <w:r w:rsidR="0033459A" w:rsidRPr="008A5CD4">
              <w:rPr>
                <w:rFonts w:eastAsia="Calibri"/>
                <w:lang w:eastAsia="en-US"/>
              </w:rPr>
              <w:t xml:space="preserve">irektīvas </w:t>
            </w:r>
            <w:proofErr w:type="gramStart"/>
            <w:r w:rsidR="0033459A" w:rsidRPr="008A5CD4">
              <w:rPr>
                <w:rFonts w:eastAsia="Calibri"/>
                <w:lang w:eastAsia="en-US"/>
              </w:rPr>
              <w:t>1</w:t>
            </w:r>
            <w:r w:rsidR="006B2493">
              <w:rPr>
                <w:rFonts w:eastAsia="Calibri"/>
                <w:lang w:eastAsia="en-US"/>
              </w:rPr>
              <w:t>2</w:t>
            </w:r>
            <w:r w:rsidR="0033459A" w:rsidRPr="008A5CD4">
              <w:rPr>
                <w:rFonts w:eastAsia="Calibri"/>
                <w:lang w:eastAsia="en-US"/>
              </w:rPr>
              <w:t>.panta</w:t>
            </w:r>
            <w:proofErr w:type="gramEnd"/>
            <w:r w:rsidR="0033459A" w:rsidRPr="008A5CD4">
              <w:rPr>
                <w:rFonts w:eastAsia="Calibri"/>
                <w:lang w:eastAsia="en-US"/>
              </w:rPr>
              <w:t xml:space="preserve"> </w:t>
            </w:r>
            <w:r w:rsidR="006B2493">
              <w:rPr>
                <w:rFonts w:eastAsia="Calibri"/>
                <w:lang w:eastAsia="en-US"/>
              </w:rPr>
              <w:t>3. un 4</w:t>
            </w:r>
            <w:r w:rsidR="0033459A" w:rsidRPr="008A5CD4">
              <w:rPr>
                <w:rFonts w:eastAsia="Calibri"/>
                <w:lang w:eastAsia="en-US"/>
              </w:rPr>
              <w:t xml:space="preserve">.punkts </w:t>
            </w:r>
            <w:r w:rsidR="0033459A">
              <w:rPr>
                <w:rFonts w:eastAsia="Calibri"/>
                <w:lang w:eastAsia="en-US"/>
              </w:rPr>
              <w:t xml:space="preserve">paredz </w:t>
            </w:r>
            <w:r>
              <w:rPr>
                <w:rFonts w:eastAsia="Calibri"/>
                <w:lang w:eastAsia="en-US"/>
              </w:rPr>
              <w:t xml:space="preserve">dalībvalstīm iespēju </w:t>
            </w:r>
            <w:r w:rsidR="004B6D30">
              <w:rPr>
                <w:rFonts w:eastAsia="Calibri"/>
                <w:lang w:eastAsia="en-US"/>
              </w:rPr>
              <w:t>piešķirt tirgotājiem tiesības no tās teritorijas veikt munīcijas nosūtīšanu tirgotājam, kurš reģistrēts citā dalībvalstī, iepriekš nesaņemot atļauju</w:t>
            </w:r>
            <w:r w:rsidR="005256CC">
              <w:rPr>
                <w:rFonts w:eastAsia="Calibri"/>
                <w:lang w:eastAsia="en-US"/>
              </w:rPr>
              <w:t xml:space="preserve"> </w:t>
            </w:r>
            <w:r w:rsidR="00C14308">
              <w:rPr>
                <w:rFonts w:eastAsia="Calibri"/>
                <w:lang w:eastAsia="en-US"/>
              </w:rPr>
              <w:t>vispārēj</w:t>
            </w:r>
            <w:r w:rsidR="005256CC">
              <w:rPr>
                <w:rFonts w:eastAsia="Calibri"/>
                <w:lang w:eastAsia="en-US"/>
              </w:rPr>
              <w:t>ā kārtībā</w:t>
            </w:r>
            <w:r w:rsidR="00FC64B8">
              <w:rPr>
                <w:rFonts w:eastAsia="Calibri"/>
                <w:lang w:eastAsia="en-US"/>
              </w:rPr>
              <w:t>. Tādā gadījumā dalībvalsts</w:t>
            </w:r>
            <w:r w:rsidR="005256CC">
              <w:rPr>
                <w:rFonts w:eastAsia="Calibri"/>
                <w:lang w:eastAsia="en-US"/>
              </w:rPr>
              <w:t xml:space="preserve"> </w:t>
            </w:r>
            <w:r w:rsidR="00FC64B8">
              <w:rPr>
                <w:rFonts w:eastAsia="Calibri"/>
                <w:lang w:eastAsia="en-US"/>
              </w:rPr>
              <w:t>izdod</w:t>
            </w:r>
            <w:r w:rsidR="005256CC">
              <w:rPr>
                <w:rFonts w:eastAsia="Calibri"/>
                <w:lang w:eastAsia="en-US"/>
              </w:rPr>
              <w:t xml:space="preserve"> </w:t>
            </w:r>
            <w:r w:rsidR="00FC64B8">
              <w:rPr>
                <w:rFonts w:eastAsia="Calibri"/>
                <w:lang w:eastAsia="en-US"/>
              </w:rPr>
              <w:t xml:space="preserve">īpašu </w:t>
            </w:r>
            <w:r w:rsidR="005256CC">
              <w:rPr>
                <w:rFonts w:eastAsia="Calibri"/>
                <w:lang w:eastAsia="en-US"/>
              </w:rPr>
              <w:t>atļauju uz 3 gadiem</w:t>
            </w:r>
            <w:r w:rsidR="005A68F7">
              <w:rPr>
                <w:rFonts w:eastAsia="Calibri"/>
                <w:lang w:eastAsia="en-US"/>
              </w:rPr>
              <w:t xml:space="preserve"> un informē pārējās dalībvalstis par munīcijas veidiem, kurus atļauts pārvietot</w:t>
            </w:r>
            <w:r w:rsidR="00EC4C72">
              <w:rPr>
                <w:rFonts w:eastAsia="Calibri"/>
                <w:lang w:eastAsia="en-US"/>
              </w:rPr>
              <w:t xml:space="preserve"> caur tās teritoriju bez iepriekšējas tās piekrišanas</w:t>
            </w:r>
            <w:r w:rsidR="005256CC">
              <w:rPr>
                <w:rFonts w:eastAsia="Calibri"/>
                <w:lang w:eastAsia="en-US"/>
              </w:rPr>
              <w:t>. Šāda kārtība munīcijas pār</w:t>
            </w:r>
            <w:r w:rsidR="00A14BA1">
              <w:rPr>
                <w:rFonts w:eastAsia="Calibri"/>
                <w:lang w:eastAsia="en-US"/>
              </w:rPr>
              <w:t>vietošanai</w:t>
            </w:r>
            <w:r w:rsidR="005256CC">
              <w:rPr>
                <w:rFonts w:eastAsia="Calibri"/>
                <w:lang w:eastAsia="en-US"/>
              </w:rPr>
              <w:t xml:space="preserve"> Projektā netiek paredzēta, jo </w:t>
            </w:r>
            <w:r w:rsidR="008E5A5E">
              <w:rPr>
                <w:rFonts w:eastAsia="Calibri"/>
                <w:lang w:eastAsia="en-US"/>
              </w:rPr>
              <w:t>saskaņā ar Valsts policijas</w:t>
            </w:r>
            <w:r w:rsidR="00ED321B">
              <w:rPr>
                <w:rFonts w:eastAsia="Calibri"/>
                <w:lang w:eastAsia="en-US"/>
              </w:rPr>
              <w:t xml:space="preserve"> </w:t>
            </w:r>
            <w:r w:rsidR="008E5A5E">
              <w:rPr>
                <w:rFonts w:eastAsia="Calibri"/>
                <w:lang w:eastAsia="en-US"/>
              </w:rPr>
              <w:t xml:space="preserve">sniegto informāciju </w:t>
            </w:r>
            <w:r w:rsidR="00ED321B">
              <w:rPr>
                <w:rFonts w:eastAsia="Calibri"/>
                <w:lang w:eastAsia="en-US"/>
              </w:rPr>
              <w:t>Latvijā nav lielu ražojošu uzņēmumu, kas darbo</w:t>
            </w:r>
            <w:r w:rsidR="00AC1916">
              <w:rPr>
                <w:rFonts w:eastAsia="Calibri"/>
                <w:lang w:eastAsia="en-US"/>
              </w:rPr>
              <w:t>jas</w:t>
            </w:r>
            <w:r w:rsidR="00ED321B">
              <w:rPr>
                <w:rFonts w:eastAsia="Calibri"/>
                <w:lang w:eastAsia="en-US"/>
              </w:rPr>
              <w:t xml:space="preserve"> šajā sfērā, līdz ar ko munīcijas pār</w:t>
            </w:r>
            <w:r w:rsidR="00A14BA1">
              <w:rPr>
                <w:rFonts w:eastAsia="Calibri"/>
                <w:lang w:eastAsia="en-US"/>
              </w:rPr>
              <w:t>vietošanas</w:t>
            </w:r>
            <w:r w:rsidR="00ED321B">
              <w:rPr>
                <w:rFonts w:eastAsia="Calibri"/>
                <w:lang w:eastAsia="en-US"/>
              </w:rPr>
              <w:t xml:space="preserve"> apjomi ir salīdzinoši nelieli. Lai nodrošinātu drošu un kontrolētu munīcijas pārv</w:t>
            </w:r>
            <w:r w:rsidR="00A14BA1">
              <w:rPr>
                <w:rFonts w:eastAsia="Calibri"/>
                <w:lang w:eastAsia="en-US"/>
              </w:rPr>
              <w:t>ietošanu</w:t>
            </w:r>
            <w:r w:rsidR="00ED321B">
              <w:rPr>
                <w:rFonts w:eastAsia="Calibri"/>
                <w:lang w:eastAsia="en-US"/>
              </w:rPr>
              <w:t xml:space="preserve">, Valsts policijai ir būtiski saņemt Direktīvā </w:t>
            </w:r>
            <w:r w:rsidR="00EC4C72" w:rsidRPr="00017913">
              <w:t xml:space="preserve">2014/28/ES </w:t>
            </w:r>
            <w:r w:rsidR="00ED321B">
              <w:rPr>
                <w:rFonts w:eastAsia="Calibri"/>
                <w:lang w:eastAsia="en-US"/>
              </w:rPr>
              <w:t>paredzēto informāciju, kas jāiesniedz pirms munīcijas pār</w:t>
            </w:r>
            <w:r w:rsidR="00B51706">
              <w:rPr>
                <w:rFonts w:eastAsia="Calibri"/>
                <w:lang w:eastAsia="en-US"/>
              </w:rPr>
              <w:t>vietošanas</w:t>
            </w:r>
            <w:r w:rsidR="00290BBD">
              <w:rPr>
                <w:rFonts w:eastAsia="Calibri"/>
                <w:lang w:eastAsia="en-US"/>
              </w:rPr>
              <w:t xml:space="preserve"> </w:t>
            </w:r>
            <w:r w:rsidR="00FC64B8">
              <w:rPr>
                <w:rFonts w:eastAsia="Calibri"/>
                <w:lang w:eastAsia="en-US"/>
              </w:rPr>
              <w:t>par to</w:t>
            </w:r>
            <w:r w:rsidR="00EC4C72">
              <w:rPr>
                <w:rFonts w:eastAsia="Calibri"/>
                <w:lang w:eastAsia="en-US"/>
              </w:rPr>
              <w:t>,</w:t>
            </w:r>
            <w:r w:rsidR="00FC64B8">
              <w:rPr>
                <w:rFonts w:eastAsia="Calibri"/>
                <w:lang w:eastAsia="en-US"/>
              </w:rPr>
              <w:t xml:space="preserve"> </w:t>
            </w:r>
            <w:r w:rsidR="00290BBD">
              <w:rPr>
                <w:rFonts w:eastAsia="Calibri"/>
                <w:lang w:eastAsia="en-US"/>
              </w:rPr>
              <w:t>kas vei</w:t>
            </w:r>
            <w:r w:rsidR="0017435D">
              <w:rPr>
                <w:rFonts w:eastAsia="Calibri"/>
                <w:lang w:eastAsia="en-US"/>
              </w:rPr>
              <w:t>ks</w:t>
            </w:r>
            <w:r w:rsidR="00290BBD">
              <w:rPr>
                <w:rFonts w:eastAsia="Calibri"/>
                <w:lang w:eastAsia="en-US"/>
              </w:rPr>
              <w:t xml:space="preserve"> mun</w:t>
            </w:r>
            <w:r w:rsidR="00061497">
              <w:rPr>
                <w:rFonts w:eastAsia="Calibri"/>
                <w:lang w:eastAsia="en-US"/>
              </w:rPr>
              <w:t>īcijas pār</w:t>
            </w:r>
            <w:r w:rsidR="00B51706">
              <w:rPr>
                <w:rFonts w:eastAsia="Calibri"/>
                <w:lang w:eastAsia="en-US"/>
              </w:rPr>
              <w:t>vietošanu</w:t>
            </w:r>
            <w:r w:rsidR="00290BBD">
              <w:rPr>
                <w:rFonts w:eastAsia="Calibri"/>
                <w:lang w:eastAsia="en-US"/>
              </w:rPr>
              <w:t>, kād</w:t>
            </w:r>
            <w:r w:rsidR="00B51706">
              <w:rPr>
                <w:rFonts w:eastAsia="Calibri"/>
                <w:lang w:eastAsia="en-US"/>
              </w:rPr>
              <w:t>u</w:t>
            </w:r>
            <w:r w:rsidR="00290BBD">
              <w:rPr>
                <w:rFonts w:eastAsia="Calibri"/>
                <w:lang w:eastAsia="en-US"/>
              </w:rPr>
              <w:t xml:space="preserve"> munīciju </w:t>
            </w:r>
            <w:r w:rsidR="00EC4C72">
              <w:rPr>
                <w:rFonts w:eastAsia="Calibri"/>
                <w:lang w:eastAsia="en-US"/>
              </w:rPr>
              <w:t xml:space="preserve">un kādā daudzumā </w:t>
            </w:r>
            <w:r w:rsidR="00290BBD">
              <w:rPr>
                <w:rFonts w:eastAsia="Calibri"/>
                <w:lang w:eastAsia="en-US"/>
              </w:rPr>
              <w:t>tiek plānots pār</w:t>
            </w:r>
            <w:r w:rsidR="00B51706">
              <w:rPr>
                <w:rFonts w:eastAsia="Calibri"/>
                <w:lang w:eastAsia="en-US"/>
              </w:rPr>
              <w:t>vietot</w:t>
            </w:r>
            <w:r w:rsidR="00290BBD">
              <w:rPr>
                <w:rFonts w:eastAsia="Calibri"/>
                <w:lang w:eastAsia="en-US"/>
              </w:rPr>
              <w:t xml:space="preserve"> u.</w:t>
            </w:r>
            <w:r w:rsidR="00493E0F">
              <w:rPr>
                <w:rFonts w:eastAsia="Calibri"/>
                <w:lang w:eastAsia="en-US"/>
              </w:rPr>
              <w:t>c</w:t>
            </w:r>
            <w:r w:rsidR="00ED321B">
              <w:rPr>
                <w:rFonts w:eastAsia="Calibri"/>
                <w:lang w:eastAsia="en-US"/>
              </w:rPr>
              <w:t>. Ņemot vērā minēto</w:t>
            </w:r>
            <w:r w:rsidR="00B709D7">
              <w:rPr>
                <w:rFonts w:eastAsia="Calibri"/>
                <w:lang w:eastAsia="en-US"/>
              </w:rPr>
              <w:t xml:space="preserve">, Direktīvā </w:t>
            </w:r>
            <w:r w:rsidR="00B51706" w:rsidRPr="00017913">
              <w:t xml:space="preserve">2014/28/ES </w:t>
            </w:r>
            <w:r w:rsidR="00B709D7">
              <w:rPr>
                <w:rFonts w:eastAsia="Calibri"/>
                <w:lang w:eastAsia="en-US"/>
              </w:rPr>
              <w:t xml:space="preserve">paredzētā rīcības brīvība tiek izmantota, paredzot Projektā </w:t>
            </w:r>
            <w:r w:rsidR="00EC4C72">
              <w:rPr>
                <w:rFonts w:eastAsia="Calibri"/>
                <w:lang w:eastAsia="en-US"/>
              </w:rPr>
              <w:t>vispārējo</w:t>
            </w:r>
            <w:r w:rsidR="00B709D7">
              <w:rPr>
                <w:rFonts w:eastAsia="Calibri"/>
                <w:lang w:eastAsia="en-US"/>
              </w:rPr>
              <w:t xml:space="preserve"> </w:t>
            </w:r>
            <w:r w:rsidR="00F94633">
              <w:rPr>
                <w:rFonts w:eastAsia="Calibri"/>
                <w:lang w:eastAsia="en-US"/>
              </w:rPr>
              <w:t xml:space="preserve">munīcijas pārvietošanas </w:t>
            </w:r>
            <w:r w:rsidR="00B709D7">
              <w:rPr>
                <w:rFonts w:eastAsia="Calibri"/>
                <w:lang w:eastAsia="en-US"/>
              </w:rPr>
              <w:t>atļauju saņemšanas kārtību.</w:t>
            </w:r>
          </w:p>
          <w:p w14:paraId="2CA62C1C" w14:textId="15CE0C76" w:rsidR="00FC64B8" w:rsidRPr="00017913" w:rsidRDefault="00FC64B8" w:rsidP="00FC64B8">
            <w:pPr>
              <w:pStyle w:val="naiskr"/>
              <w:spacing w:before="0" w:beforeAutospacing="0" w:after="0" w:afterAutospacing="0"/>
              <w:ind w:firstLine="282"/>
              <w:jc w:val="both"/>
            </w:pPr>
          </w:p>
        </w:tc>
      </w:tr>
      <w:tr w:rsidR="008D6077" w:rsidRPr="00D067BC" w14:paraId="34983746"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246"/>
          <w:jc w:val="center"/>
        </w:trPr>
        <w:tc>
          <w:tcPr>
            <w:tcW w:w="1104" w:type="pct"/>
            <w:gridSpan w:val="3"/>
            <w:vAlign w:val="center"/>
          </w:tcPr>
          <w:p w14:paraId="05355838" w14:textId="77777777" w:rsidR="008D6077" w:rsidRPr="00D067BC" w:rsidRDefault="008D6077" w:rsidP="008D6077">
            <w:pPr>
              <w:pStyle w:val="naiskr"/>
              <w:spacing w:before="0" w:beforeAutospacing="0" w:after="0" w:afterAutospacing="0"/>
              <w:jc w:val="both"/>
              <w:rPr>
                <w:i/>
              </w:rPr>
            </w:pPr>
            <w:r w:rsidRPr="00D067BC">
              <w:t xml:space="preserve">Saistības sniegt paziņojumu ES institūcijām un ES dalībvalstīm atbilstoši normatīvajiem aktiem, kas regulē informācijas sniegšanu par tehnisko noteikumu, valsts atbalsta piešķiršanas un finanšu noteikumu </w:t>
            </w:r>
            <w:r w:rsidRPr="00D067BC">
              <w:lastRenderedPageBreak/>
              <w:t>(attiecībā uz monetāro politiku) projektiem</w:t>
            </w:r>
          </w:p>
        </w:tc>
        <w:tc>
          <w:tcPr>
            <w:tcW w:w="3870" w:type="pct"/>
            <w:gridSpan w:val="5"/>
          </w:tcPr>
          <w:p w14:paraId="6A86131D" w14:textId="77777777" w:rsidR="008D6077" w:rsidRPr="00017913" w:rsidRDefault="008D6077" w:rsidP="008D6077">
            <w:pPr>
              <w:pStyle w:val="naiskr"/>
              <w:spacing w:before="0" w:beforeAutospacing="0" w:after="0" w:afterAutospacing="0"/>
              <w:ind w:firstLine="282"/>
            </w:pPr>
            <w:r w:rsidRPr="00017913">
              <w:lastRenderedPageBreak/>
              <w:t>Projekts šo jomu neskar.</w:t>
            </w:r>
          </w:p>
        </w:tc>
      </w:tr>
      <w:tr w:rsidR="008D6077" w:rsidRPr="00D067BC" w14:paraId="3F09BB61"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47"/>
          <w:jc w:val="center"/>
        </w:trPr>
        <w:tc>
          <w:tcPr>
            <w:tcW w:w="1104" w:type="pct"/>
            <w:gridSpan w:val="3"/>
          </w:tcPr>
          <w:p w14:paraId="4E8D35F2" w14:textId="77777777" w:rsidR="008D6077" w:rsidRPr="00D067BC" w:rsidRDefault="008D6077" w:rsidP="008D6077">
            <w:pPr>
              <w:pStyle w:val="naiskr"/>
              <w:spacing w:before="0" w:beforeAutospacing="0" w:after="0" w:afterAutospacing="0"/>
              <w:jc w:val="both"/>
            </w:pPr>
            <w:r w:rsidRPr="00D067BC">
              <w:lastRenderedPageBreak/>
              <w:t>Cita informācija</w:t>
            </w:r>
          </w:p>
        </w:tc>
        <w:tc>
          <w:tcPr>
            <w:tcW w:w="3870" w:type="pct"/>
            <w:gridSpan w:val="5"/>
          </w:tcPr>
          <w:p w14:paraId="1A5B63A0" w14:textId="77777777" w:rsidR="008D6077" w:rsidRPr="00D067BC" w:rsidRDefault="008D6077" w:rsidP="008D6077">
            <w:pPr>
              <w:pStyle w:val="naiskr"/>
              <w:spacing w:before="0" w:beforeAutospacing="0" w:after="0" w:afterAutospacing="0"/>
              <w:ind w:firstLine="282"/>
            </w:pPr>
            <w:r w:rsidRPr="00D067BC">
              <w:t>Nav</w:t>
            </w:r>
          </w:p>
        </w:tc>
      </w:tr>
      <w:tr w:rsidR="00752095" w:rsidRPr="00D067BC" w14:paraId="72F7489C"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47"/>
          <w:jc w:val="center"/>
        </w:trPr>
        <w:tc>
          <w:tcPr>
            <w:tcW w:w="1104" w:type="pct"/>
            <w:gridSpan w:val="3"/>
          </w:tcPr>
          <w:p w14:paraId="3EF6B0A6" w14:textId="77777777" w:rsidR="00752095" w:rsidRPr="00D067BC" w:rsidRDefault="00752095" w:rsidP="008D6077">
            <w:pPr>
              <w:pStyle w:val="naiskr"/>
              <w:spacing w:before="0" w:beforeAutospacing="0" w:after="0" w:afterAutospacing="0"/>
              <w:jc w:val="both"/>
            </w:pPr>
          </w:p>
        </w:tc>
        <w:tc>
          <w:tcPr>
            <w:tcW w:w="3870" w:type="pct"/>
            <w:gridSpan w:val="5"/>
          </w:tcPr>
          <w:p w14:paraId="18E3B72F" w14:textId="77777777" w:rsidR="00752095" w:rsidRPr="00D067BC" w:rsidRDefault="00752095" w:rsidP="008D6077">
            <w:pPr>
              <w:pStyle w:val="naiskr"/>
              <w:spacing w:before="0" w:beforeAutospacing="0" w:after="0" w:afterAutospacing="0"/>
              <w:ind w:firstLine="282"/>
            </w:pPr>
          </w:p>
        </w:tc>
      </w:tr>
      <w:tr w:rsidR="00752095" w:rsidRPr="00D067BC" w14:paraId="532A7B14"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906"/>
          <w:jc w:val="center"/>
        </w:trPr>
        <w:tc>
          <w:tcPr>
            <w:tcW w:w="1104" w:type="pct"/>
            <w:gridSpan w:val="3"/>
            <w:vAlign w:val="center"/>
          </w:tcPr>
          <w:p w14:paraId="0F18F513" w14:textId="77777777" w:rsidR="00752095" w:rsidRPr="00D067BC" w:rsidRDefault="00752095" w:rsidP="00B12C18">
            <w:pPr>
              <w:pStyle w:val="naiskr"/>
              <w:spacing w:before="0" w:beforeAutospacing="0" w:after="0" w:afterAutospacing="0"/>
              <w:ind w:hanging="10"/>
              <w:jc w:val="center"/>
            </w:pPr>
            <w:r w:rsidRPr="00D067BC">
              <w:t>Attiecīgā ES tiesību akta datums, numurs un nosaukums</w:t>
            </w:r>
          </w:p>
        </w:tc>
        <w:tc>
          <w:tcPr>
            <w:tcW w:w="3870" w:type="pct"/>
            <w:gridSpan w:val="5"/>
          </w:tcPr>
          <w:p w14:paraId="4B7E9BC4" w14:textId="74D54BA1" w:rsidR="00752095" w:rsidRPr="00D067BC" w:rsidRDefault="0024294A" w:rsidP="00026D43">
            <w:pPr>
              <w:pStyle w:val="naiskr"/>
              <w:jc w:val="both"/>
            </w:pPr>
            <w:r>
              <w:t xml:space="preserve">Padomes </w:t>
            </w:r>
            <w:proofErr w:type="gramStart"/>
            <w:r>
              <w:t>1991.gada</w:t>
            </w:r>
            <w:proofErr w:type="gramEnd"/>
            <w:r>
              <w:t xml:space="preserve"> 26.februāra direktīva 91/477/EEK par ieroču iegādes un glabāšanas kontroli.</w:t>
            </w:r>
          </w:p>
        </w:tc>
      </w:tr>
      <w:tr w:rsidR="00752095" w:rsidRPr="00D067BC" w14:paraId="6D02C45F"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65"/>
          <w:jc w:val="center"/>
        </w:trPr>
        <w:tc>
          <w:tcPr>
            <w:tcW w:w="1104" w:type="pct"/>
            <w:gridSpan w:val="3"/>
            <w:vAlign w:val="center"/>
          </w:tcPr>
          <w:p w14:paraId="1FC0960B" w14:textId="77777777" w:rsidR="00752095" w:rsidRPr="00D067BC" w:rsidRDefault="00752095" w:rsidP="00B12C18">
            <w:pPr>
              <w:pStyle w:val="naiskr"/>
              <w:spacing w:before="0" w:beforeAutospacing="0" w:after="0" w:afterAutospacing="0"/>
              <w:jc w:val="center"/>
            </w:pPr>
            <w:r w:rsidRPr="00D067BC">
              <w:t>A</w:t>
            </w:r>
          </w:p>
        </w:tc>
        <w:tc>
          <w:tcPr>
            <w:tcW w:w="1226" w:type="pct"/>
            <w:gridSpan w:val="2"/>
            <w:vAlign w:val="center"/>
          </w:tcPr>
          <w:p w14:paraId="3A48ED6D" w14:textId="77777777" w:rsidR="00752095" w:rsidRPr="00D067BC" w:rsidRDefault="00752095" w:rsidP="00B12C18">
            <w:pPr>
              <w:pStyle w:val="naiskr"/>
              <w:spacing w:before="0" w:beforeAutospacing="0" w:after="0" w:afterAutospacing="0"/>
              <w:jc w:val="center"/>
            </w:pPr>
            <w:r w:rsidRPr="00D067BC">
              <w:t>B</w:t>
            </w:r>
          </w:p>
        </w:tc>
        <w:tc>
          <w:tcPr>
            <w:tcW w:w="956" w:type="pct"/>
            <w:gridSpan w:val="2"/>
            <w:vAlign w:val="center"/>
          </w:tcPr>
          <w:p w14:paraId="1AC948BD" w14:textId="77777777" w:rsidR="00752095" w:rsidRPr="00D067BC" w:rsidRDefault="00752095" w:rsidP="00B12C18">
            <w:pPr>
              <w:pStyle w:val="naiskr"/>
              <w:spacing w:before="0" w:beforeAutospacing="0" w:after="0" w:afterAutospacing="0"/>
              <w:jc w:val="center"/>
            </w:pPr>
            <w:r w:rsidRPr="00D067BC">
              <w:t>C</w:t>
            </w:r>
          </w:p>
        </w:tc>
        <w:tc>
          <w:tcPr>
            <w:tcW w:w="1688" w:type="pct"/>
            <w:vAlign w:val="center"/>
          </w:tcPr>
          <w:p w14:paraId="36F841D8" w14:textId="77777777" w:rsidR="00752095" w:rsidRPr="00D067BC" w:rsidRDefault="00752095" w:rsidP="00B12C18">
            <w:pPr>
              <w:pStyle w:val="naiskr"/>
              <w:spacing w:before="0" w:beforeAutospacing="0" w:after="0" w:afterAutospacing="0"/>
              <w:jc w:val="center"/>
            </w:pPr>
            <w:r w:rsidRPr="00D067BC">
              <w:t>D</w:t>
            </w:r>
          </w:p>
        </w:tc>
      </w:tr>
      <w:tr w:rsidR="00752095" w:rsidRPr="00D067BC" w14:paraId="1A084AB3"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65"/>
          <w:jc w:val="center"/>
        </w:trPr>
        <w:tc>
          <w:tcPr>
            <w:tcW w:w="1104" w:type="pct"/>
            <w:gridSpan w:val="3"/>
          </w:tcPr>
          <w:p w14:paraId="1E34669A" w14:textId="77777777" w:rsidR="00752095" w:rsidRPr="00D067BC" w:rsidRDefault="00752095" w:rsidP="00B12C18">
            <w:pPr>
              <w:pStyle w:val="naiskr"/>
              <w:spacing w:before="0" w:beforeAutospacing="0" w:after="0" w:afterAutospacing="0"/>
              <w:jc w:val="both"/>
            </w:pPr>
            <w:r w:rsidRPr="00D067BC">
              <w:t>Attiecīgā ES tiesību akta panta numurs (uzskaitot katru tiesību akta vienību – pantu, daļu, punktu, apakšpunktu)</w:t>
            </w:r>
          </w:p>
        </w:tc>
        <w:tc>
          <w:tcPr>
            <w:tcW w:w="1226" w:type="pct"/>
            <w:gridSpan w:val="2"/>
          </w:tcPr>
          <w:p w14:paraId="5B50DF9C" w14:textId="77777777" w:rsidR="00752095" w:rsidRPr="00D067BC" w:rsidRDefault="00752095" w:rsidP="00B12C18">
            <w:pPr>
              <w:pStyle w:val="naiskr"/>
              <w:spacing w:before="0" w:beforeAutospacing="0" w:after="0" w:afterAutospacing="0"/>
              <w:jc w:val="both"/>
            </w:pPr>
            <w:r w:rsidRPr="00D067BC">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D067BC">
                <w:t>akts</w:t>
              </w:r>
            </w:smartTag>
            <w:r w:rsidRPr="00D067BC">
              <w:t>, kur attiecīgā ES tiesību akta vienība pārņemta vai ieviesta</w:t>
            </w:r>
          </w:p>
        </w:tc>
        <w:tc>
          <w:tcPr>
            <w:tcW w:w="956" w:type="pct"/>
            <w:gridSpan w:val="2"/>
          </w:tcPr>
          <w:p w14:paraId="489F5051" w14:textId="77777777" w:rsidR="00752095" w:rsidRPr="00D067BC" w:rsidRDefault="00752095" w:rsidP="00B12C18">
            <w:pPr>
              <w:pStyle w:val="naiskr"/>
              <w:spacing w:before="0" w:beforeAutospacing="0" w:after="0" w:afterAutospacing="0"/>
              <w:jc w:val="both"/>
            </w:pPr>
            <w:r w:rsidRPr="00D067BC">
              <w:t>Informācija par to, vai šīs tabulas A ailē minētās ES tiesību akta vienības tiek pārņemtas vai ieviestas pilnībā vai daļēji.</w:t>
            </w:r>
          </w:p>
          <w:p w14:paraId="22D91BCE" w14:textId="77777777" w:rsidR="00752095" w:rsidRPr="00D067BC" w:rsidRDefault="00752095" w:rsidP="00B12C18">
            <w:pPr>
              <w:pStyle w:val="naiskr"/>
              <w:spacing w:before="0" w:beforeAutospacing="0" w:after="0" w:afterAutospacing="0"/>
              <w:jc w:val="both"/>
            </w:pPr>
            <w:r w:rsidRPr="00D067BC">
              <w:t>Ja attiecīgā ES tiesību akta vienība tiek pārņemta vai ieviesta daļēji,</w:t>
            </w:r>
            <w:proofErr w:type="gramStart"/>
            <w:r w:rsidRPr="00D067BC">
              <w:t xml:space="preserve">  </w:t>
            </w:r>
            <w:proofErr w:type="gramEnd"/>
            <w:r w:rsidRPr="00D067BC">
              <w:t>sniedz attiecīgu skaidrojumu, kā arī precīzi norāda, kad un kādā veidā ES tiesību akta vienība tiks pārņemta vai ieviesta pilnībā.</w:t>
            </w:r>
          </w:p>
          <w:p w14:paraId="7E0C6248" w14:textId="77777777" w:rsidR="00752095" w:rsidRPr="00D067BC" w:rsidRDefault="00752095" w:rsidP="00B12C18">
            <w:pPr>
              <w:pStyle w:val="naiskr"/>
              <w:spacing w:before="0" w:beforeAutospacing="0" w:after="0" w:afterAutospacing="0"/>
              <w:jc w:val="both"/>
            </w:pPr>
            <w:r w:rsidRPr="00D067BC">
              <w:t>Norāda institūciju, kas ir atbildīga par šo saistību izpildi pilnībā</w:t>
            </w:r>
          </w:p>
        </w:tc>
        <w:tc>
          <w:tcPr>
            <w:tcW w:w="1688" w:type="pct"/>
            <w:vAlign w:val="center"/>
          </w:tcPr>
          <w:p w14:paraId="3C236A0E" w14:textId="77777777" w:rsidR="00752095" w:rsidRPr="00D067BC" w:rsidRDefault="00752095" w:rsidP="00B12C18">
            <w:pPr>
              <w:pStyle w:val="naiskr"/>
              <w:spacing w:before="0" w:beforeAutospacing="0" w:after="0" w:afterAutospacing="0"/>
              <w:jc w:val="both"/>
            </w:pPr>
            <w:r w:rsidRPr="00D067BC">
              <w:t>Informācija par to, vai šīs tabulas B ailē minētās projekta vienības paredz stingrākas prasības nekā šīs tabulas A ailē minētās ES tiesību akta vienības.</w:t>
            </w:r>
          </w:p>
          <w:p w14:paraId="35A86557" w14:textId="77777777" w:rsidR="00752095" w:rsidRPr="00D067BC" w:rsidRDefault="00752095" w:rsidP="00B12C18">
            <w:pPr>
              <w:pStyle w:val="naiskr"/>
              <w:spacing w:before="0" w:beforeAutospacing="0" w:after="0" w:afterAutospacing="0"/>
              <w:jc w:val="both"/>
            </w:pPr>
            <w:r w:rsidRPr="00D067BC">
              <w:t xml:space="preserve">Ja projekts satur stingrākas prasības nekā attiecīgais ES tiesību </w:t>
            </w:r>
            <w:smartTag w:uri="schemas-tilde-lv/tildestengine" w:element="veidnes">
              <w:smartTagPr>
                <w:attr w:name="id" w:val="-1"/>
                <w:attr w:name="baseform" w:val="akts"/>
                <w:attr w:name="text" w:val="akts"/>
              </w:smartTagPr>
              <w:r w:rsidRPr="00D067BC">
                <w:t>akts</w:t>
              </w:r>
            </w:smartTag>
            <w:r w:rsidRPr="00D067BC">
              <w:t>, norāda pamatojumu un samērīgumu.</w:t>
            </w:r>
          </w:p>
          <w:p w14:paraId="184494AC" w14:textId="77777777" w:rsidR="00752095" w:rsidRPr="00D067BC" w:rsidRDefault="00752095" w:rsidP="00B12C18">
            <w:pPr>
              <w:pStyle w:val="naiskr"/>
              <w:spacing w:before="0" w:beforeAutospacing="0" w:after="0" w:afterAutospacing="0"/>
              <w:jc w:val="both"/>
            </w:pPr>
            <w:r w:rsidRPr="00D067BC">
              <w:t>Norāda iespējamās alternatīvas (t.sk. alternatīvas, kas neparedz tiesiskā regulējuma izstrādi) – kādos gadījumos būtu iespējams izvairīties no stingrāku prasību noteikšanas, nekā paredzēts attiecīgajos ES tiesību aktos</w:t>
            </w:r>
          </w:p>
        </w:tc>
      </w:tr>
      <w:tr w:rsidR="00752095" w:rsidRPr="00EB22F7" w14:paraId="5D8E8F86"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4B26820E" w14:textId="77777777" w:rsidR="00752095" w:rsidRPr="00EB22F7" w:rsidRDefault="00752095" w:rsidP="00B12C18">
            <w:pPr>
              <w:jc w:val="both"/>
            </w:pPr>
            <w:r w:rsidRPr="00EB22F7">
              <w:t>11. panta 1. punkts</w:t>
            </w:r>
          </w:p>
        </w:tc>
        <w:tc>
          <w:tcPr>
            <w:tcW w:w="1226" w:type="pct"/>
            <w:gridSpan w:val="2"/>
          </w:tcPr>
          <w:p w14:paraId="1F582270" w14:textId="5178C9A6" w:rsidR="00752095" w:rsidRPr="00EB22F7" w:rsidRDefault="001E1CEA" w:rsidP="00BA31D3">
            <w:pPr>
              <w:pStyle w:val="naiskr"/>
              <w:spacing w:before="0" w:beforeAutospacing="0" w:after="0" w:afterAutospacing="0"/>
              <w:rPr>
                <w:spacing w:val="-3"/>
                <w:lang w:eastAsia="en-US"/>
              </w:rPr>
            </w:pPr>
            <w:r>
              <w:rPr>
                <w:spacing w:val="-3"/>
                <w:lang w:eastAsia="en-US"/>
              </w:rPr>
              <w:t xml:space="preserve">Projekta </w:t>
            </w:r>
            <w:r w:rsidR="00BA31D3">
              <w:rPr>
                <w:spacing w:val="-3"/>
                <w:lang w:eastAsia="en-US"/>
              </w:rPr>
              <w:t>1</w:t>
            </w:r>
            <w:r>
              <w:rPr>
                <w:spacing w:val="-3"/>
                <w:lang w:eastAsia="en-US"/>
              </w:rPr>
              <w:t>.punkts</w:t>
            </w:r>
          </w:p>
        </w:tc>
        <w:tc>
          <w:tcPr>
            <w:tcW w:w="956" w:type="pct"/>
            <w:gridSpan w:val="2"/>
          </w:tcPr>
          <w:p w14:paraId="2B7A3080" w14:textId="77777777" w:rsidR="0092147D" w:rsidRPr="00EB22F7" w:rsidRDefault="0092147D" w:rsidP="0092147D">
            <w:pPr>
              <w:pStyle w:val="naiskr"/>
              <w:spacing w:before="0" w:beforeAutospacing="0" w:after="0" w:afterAutospacing="0"/>
            </w:pPr>
            <w:r w:rsidRPr="00EB22F7">
              <w:t>Direktīvas norma ieviesta pilnībā</w:t>
            </w:r>
          </w:p>
          <w:p w14:paraId="628BE343" w14:textId="77777777" w:rsidR="00752095" w:rsidRPr="00EB22F7" w:rsidRDefault="00752095" w:rsidP="00B12C18">
            <w:pPr>
              <w:pStyle w:val="naiskr"/>
              <w:spacing w:before="0" w:beforeAutospacing="0" w:after="0" w:afterAutospacing="0"/>
            </w:pPr>
          </w:p>
        </w:tc>
        <w:tc>
          <w:tcPr>
            <w:tcW w:w="1688" w:type="pct"/>
          </w:tcPr>
          <w:p w14:paraId="2B9A67D8" w14:textId="056FBDE5" w:rsidR="00752095" w:rsidRPr="00EB22F7" w:rsidRDefault="0092147D" w:rsidP="00B12C18">
            <w:pPr>
              <w:pStyle w:val="naiskr"/>
              <w:spacing w:before="0" w:beforeAutospacing="0" w:after="0" w:afterAutospacing="0"/>
            </w:pPr>
            <w:r w:rsidRPr="00EB22F7">
              <w:t>Projekts neparedz stingrākas prasības</w:t>
            </w:r>
          </w:p>
        </w:tc>
      </w:tr>
      <w:tr w:rsidR="00752095" w:rsidRPr="00EB22F7" w14:paraId="12160DB0"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41250183" w14:textId="77777777" w:rsidR="00752095" w:rsidRPr="00EB22F7" w:rsidRDefault="00752095" w:rsidP="00B12C18">
            <w:pPr>
              <w:jc w:val="both"/>
            </w:pPr>
            <w:r w:rsidRPr="00EB22F7">
              <w:t>11. panta 2. punkts</w:t>
            </w:r>
          </w:p>
        </w:tc>
        <w:tc>
          <w:tcPr>
            <w:tcW w:w="1226" w:type="pct"/>
            <w:gridSpan w:val="2"/>
          </w:tcPr>
          <w:p w14:paraId="43B7E5C4" w14:textId="5961A77A" w:rsidR="00752095" w:rsidRPr="00EB22F7" w:rsidRDefault="00D1196F" w:rsidP="00B12C18">
            <w:pPr>
              <w:pStyle w:val="naiskr"/>
              <w:spacing w:before="0" w:beforeAutospacing="0" w:after="0" w:afterAutospacing="0"/>
              <w:rPr>
                <w:spacing w:val="-3"/>
                <w:lang w:eastAsia="en-US"/>
              </w:rPr>
            </w:pPr>
            <w:r w:rsidRPr="00EB22F7">
              <w:t xml:space="preserve">Projekta </w:t>
            </w:r>
            <w:r w:rsidR="00B321C7">
              <w:t>3., 4., 7., 8.,</w:t>
            </w:r>
            <w:r w:rsidR="0092147D">
              <w:t xml:space="preserve"> </w:t>
            </w:r>
            <w:r w:rsidRPr="00EB22F7">
              <w:t>9.</w:t>
            </w:r>
            <w:r w:rsidR="0092147D">
              <w:t xml:space="preserve"> un 11.</w:t>
            </w:r>
            <w:r w:rsidRPr="00EB22F7">
              <w:t>punkts</w:t>
            </w:r>
          </w:p>
        </w:tc>
        <w:tc>
          <w:tcPr>
            <w:tcW w:w="956" w:type="pct"/>
            <w:gridSpan w:val="2"/>
          </w:tcPr>
          <w:p w14:paraId="19200B07" w14:textId="77777777" w:rsidR="0092147D" w:rsidRPr="00EB22F7" w:rsidRDefault="0092147D" w:rsidP="0092147D">
            <w:pPr>
              <w:pStyle w:val="naiskr"/>
              <w:spacing w:before="0" w:beforeAutospacing="0" w:after="0" w:afterAutospacing="0"/>
            </w:pPr>
            <w:r w:rsidRPr="00EB22F7">
              <w:t>Direktīvas norma ieviesta pilnībā</w:t>
            </w:r>
          </w:p>
          <w:p w14:paraId="08FE51C8" w14:textId="77777777" w:rsidR="00752095" w:rsidRPr="00EB22F7" w:rsidRDefault="00752095" w:rsidP="00B12C18">
            <w:pPr>
              <w:pStyle w:val="naiskr"/>
              <w:spacing w:before="0" w:beforeAutospacing="0" w:after="0" w:afterAutospacing="0"/>
            </w:pPr>
          </w:p>
        </w:tc>
        <w:tc>
          <w:tcPr>
            <w:tcW w:w="1688" w:type="pct"/>
          </w:tcPr>
          <w:p w14:paraId="1F9429D8" w14:textId="3D9A6D01" w:rsidR="00752095" w:rsidRPr="00EB22F7" w:rsidRDefault="0092147D" w:rsidP="00B12C18">
            <w:pPr>
              <w:pStyle w:val="naiskr"/>
              <w:spacing w:before="0" w:beforeAutospacing="0" w:after="0" w:afterAutospacing="0"/>
            </w:pPr>
            <w:r w:rsidRPr="00EB22F7">
              <w:t>Projekts neparedz stingrākas prasības</w:t>
            </w:r>
          </w:p>
        </w:tc>
      </w:tr>
      <w:tr w:rsidR="00752095" w:rsidRPr="00EB22F7" w14:paraId="0AA976F4"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7317DC55" w14:textId="77777777" w:rsidR="00752095" w:rsidRPr="00EB22F7" w:rsidRDefault="00752095" w:rsidP="00B12C18">
            <w:pPr>
              <w:jc w:val="both"/>
            </w:pPr>
            <w:r w:rsidRPr="00EB22F7">
              <w:t>11. panta 3. punkts</w:t>
            </w:r>
          </w:p>
        </w:tc>
        <w:tc>
          <w:tcPr>
            <w:tcW w:w="1226" w:type="pct"/>
            <w:gridSpan w:val="2"/>
          </w:tcPr>
          <w:p w14:paraId="756CA4B2" w14:textId="5D33BD66" w:rsidR="00752095" w:rsidRPr="00EB22F7" w:rsidRDefault="0092147D" w:rsidP="00B12C18">
            <w:r w:rsidRPr="00EB22F7">
              <w:t>Nav attiecināms</w:t>
            </w:r>
          </w:p>
        </w:tc>
        <w:tc>
          <w:tcPr>
            <w:tcW w:w="956" w:type="pct"/>
            <w:gridSpan w:val="2"/>
          </w:tcPr>
          <w:p w14:paraId="1D91ECA4" w14:textId="77777777" w:rsidR="00752095" w:rsidRPr="00EB22F7" w:rsidRDefault="00752095" w:rsidP="00B12C18">
            <w:pPr>
              <w:pStyle w:val="naiskr"/>
              <w:spacing w:before="0" w:beforeAutospacing="0" w:after="0" w:afterAutospacing="0"/>
            </w:pPr>
          </w:p>
        </w:tc>
        <w:tc>
          <w:tcPr>
            <w:tcW w:w="1688" w:type="pct"/>
          </w:tcPr>
          <w:p w14:paraId="02301BDC" w14:textId="4FA2CFF7" w:rsidR="00752095" w:rsidRPr="00EB22F7" w:rsidRDefault="00752095" w:rsidP="00B12C18">
            <w:pPr>
              <w:pStyle w:val="naiskr"/>
              <w:spacing w:before="0" w:beforeAutospacing="0" w:after="0" w:afterAutospacing="0"/>
            </w:pPr>
          </w:p>
        </w:tc>
      </w:tr>
      <w:tr w:rsidR="00752095" w:rsidRPr="00EB22F7" w14:paraId="566AD58A"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224532AE" w14:textId="77777777" w:rsidR="00752095" w:rsidRPr="00EB22F7" w:rsidRDefault="00752095" w:rsidP="00B12C18">
            <w:pPr>
              <w:jc w:val="both"/>
            </w:pPr>
            <w:r w:rsidRPr="00EB22F7">
              <w:t>11. panta 4. punkts</w:t>
            </w:r>
          </w:p>
        </w:tc>
        <w:tc>
          <w:tcPr>
            <w:tcW w:w="1226" w:type="pct"/>
            <w:gridSpan w:val="2"/>
          </w:tcPr>
          <w:p w14:paraId="53B604FB" w14:textId="112660CA" w:rsidR="00752095" w:rsidRPr="00EB22F7" w:rsidRDefault="0092147D" w:rsidP="00B12C18">
            <w:pPr>
              <w:pStyle w:val="naiskr"/>
              <w:spacing w:before="0" w:beforeAutospacing="0" w:after="0" w:afterAutospacing="0"/>
              <w:rPr>
                <w:spacing w:val="-3"/>
                <w:lang w:eastAsia="en-US"/>
              </w:rPr>
            </w:pPr>
            <w:r w:rsidRPr="00EB22F7">
              <w:t>Nav attiecināms</w:t>
            </w:r>
          </w:p>
        </w:tc>
        <w:tc>
          <w:tcPr>
            <w:tcW w:w="956" w:type="pct"/>
            <w:gridSpan w:val="2"/>
          </w:tcPr>
          <w:p w14:paraId="14721E25" w14:textId="77777777" w:rsidR="00752095" w:rsidRPr="00EB22F7" w:rsidRDefault="00752095" w:rsidP="00B12C18">
            <w:pPr>
              <w:pStyle w:val="naiskr"/>
              <w:spacing w:before="0" w:beforeAutospacing="0" w:after="0" w:afterAutospacing="0"/>
            </w:pPr>
          </w:p>
        </w:tc>
        <w:tc>
          <w:tcPr>
            <w:tcW w:w="1688" w:type="pct"/>
          </w:tcPr>
          <w:p w14:paraId="78FB2943" w14:textId="50319602" w:rsidR="00752095" w:rsidRPr="00EB22F7" w:rsidRDefault="00752095" w:rsidP="00B12C18">
            <w:pPr>
              <w:pStyle w:val="naiskr"/>
              <w:spacing w:before="0" w:beforeAutospacing="0" w:after="0" w:afterAutospacing="0"/>
            </w:pPr>
          </w:p>
        </w:tc>
      </w:tr>
      <w:tr w:rsidR="00752095" w:rsidRPr="00EB22F7" w14:paraId="74AF9445"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2DFCBA08" w14:textId="4D50EEF1" w:rsidR="00752095" w:rsidRPr="00EB22F7" w:rsidRDefault="00752095" w:rsidP="00026D43">
            <w:pPr>
              <w:jc w:val="both"/>
            </w:pPr>
            <w:r w:rsidRPr="00EB22F7">
              <w:t>1</w:t>
            </w:r>
            <w:r w:rsidR="00026D43">
              <w:t>3</w:t>
            </w:r>
            <w:r w:rsidRPr="00EB22F7">
              <w:t>. panta 1. punkts</w:t>
            </w:r>
          </w:p>
        </w:tc>
        <w:tc>
          <w:tcPr>
            <w:tcW w:w="1226" w:type="pct"/>
            <w:gridSpan w:val="2"/>
          </w:tcPr>
          <w:p w14:paraId="53799215" w14:textId="00A60E09" w:rsidR="00752095" w:rsidRPr="00EB22F7" w:rsidRDefault="002A5C09" w:rsidP="00B12C18">
            <w:pPr>
              <w:pStyle w:val="naiskr"/>
              <w:spacing w:before="0" w:beforeAutospacing="0" w:after="0" w:afterAutospacing="0"/>
              <w:rPr>
                <w:spacing w:val="-3"/>
                <w:lang w:eastAsia="en-US"/>
              </w:rPr>
            </w:pPr>
            <w:r>
              <w:rPr>
                <w:spacing w:val="-3"/>
                <w:lang w:eastAsia="en-US"/>
              </w:rPr>
              <w:t>Projekta 11.punkts</w:t>
            </w:r>
          </w:p>
        </w:tc>
        <w:tc>
          <w:tcPr>
            <w:tcW w:w="956" w:type="pct"/>
            <w:gridSpan w:val="2"/>
          </w:tcPr>
          <w:p w14:paraId="71E52F8A" w14:textId="77777777" w:rsidR="009C32D3" w:rsidRPr="00EB22F7" w:rsidRDefault="009C32D3" w:rsidP="009C32D3">
            <w:pPr>
              <w:pStyle w:val="naiskr"/>
              <w:spacing w:before="0" w:beforeAutospacing="0" w:after="0" w:afterAutospacing="0"/>
            </w:pPr>
            <w:r w:rsidRPr="00EB22F7">
              <w:t>Direktīvas norma ieviesta pilnībā</w:t>
            </w:r>
          </w:p>
          <w:p w14:paraId="098A4C52" w14:textId="77777777" w:rsidR="00752095" w:rsidRPr="00EB22F7" w:rsidRDefault="00752095" w:rsidP="00B12C18">
            <w:pPr>
              <w:pStyle w:val="naiskr"/>
              <w:spacing w:before="0" w:beforeAutospacing="0" w:after="0" w:afterAutospacing="0"/>
            </w:pPr>
          </w:p>
        </w:tc>
        <w:tc>
          <w:tcPr>
            <w:tcW w:w="1688" w:type="pct"/>
          </w:tcPr>
          <w:p w14:paraId="199E9B11" w14:textId="256A9F2B" w:rsidR="00752095" w:rsidRPr="00EB22F7" w:rsidRDefault="009C32D3" w:rsidP="00B12C18">
            <w:pPr>
              <w:pStyle w:val="naiskr"/>
              <w:spacing w:before="0" w:beforeAutospacing="0" w:after="0" w:afterAutospacing="0"/>
            </w:pPr>
            <w:r w:rsidRPr="00EB22F7">
              <w:t>Projekts neparedz stingrākas prasības</w:t>
            </w:r>
          </w:p>
        </w:tc>
      </w:tr>
      <w:tr w:rsidR="00752095" w:rsidRPr="00EB22F7" w14:paraId="7B57C981"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0ED804A5" w14:textId="49430ACF" w:rsidR="00752095" w:rsidRPr="00EB22F7" w:rsidRDefault="00752095" w:rsidP="00026D43">
            <w:pPr>
              <w:jc w:val="both"/>
            </w:pPr>
            <w:r w:rsidRPr="00EB22F7">
              <w:t>1</w:t>
            </w:r>
            <w:r w:rsidR="00026D43">
              <w:t>3</w:t>
            </w:r>
            <w:r w:rsidRPr="00EB22F7">
              <w:t>. panta 2. punkts</w:t>
            </w:r>
          </w:p>
        </w:tc>
        <w:tc>
          <w:tcPr>
            <w:tcW w:w="1226" w:type="pct"/>
            <w:gridSpan w:val="2"/>
          </w:tcPr>
          <w:p w14:paraId="1036DEDF" w14:textId="07EF2850" w:rsidR="00752095" w:rsidRPr="00EB22F7" w:rsidRDefault="00FA3F7E" w:rsidP="00B12C18">
            <w:pPr>
              <w:pStyle w:val="naiskr"/>
              <w:spacing w:before="0" w:beforeAutospacing="0" w:after="0" w:afterAutospacing="0"/>
              <w:rPr>
                <w:spacing w:val="-3"/>
                <w:lang w:eastAsia="en-US"/>
              </w:rPr>
            </w:pPr>
            <w:r>
              <w:rPr>
                <w:spacing w:val="-3"/>
                <w:lang w:eastAsia="en-US"/>
              </w:rPr>
              <w:t>Projekta 11.punkts</w:t>
            </w:r>
          </w:p>
        </w:tc>
        <w:tc>
          <w:tcPr>
            <w:tcW w:w="956" w:type="pct"/>
            <w:gridSpan w:val="2"/>
          </w:tcPr>
          <w:p w14:paraId="005DB14E" w14:textId="77777777" w:rsidR="009C32D3" w:rsidRPr="00EB22F7" w:rsidRDefault="009C32D3" w:rsidP="009C32D3">
            <w:pPr>
              <w:pStyle w:val="naiskr"/>
              <w:spacing w:before="0" w:beforeAutospacing="0" w:after="0" w:afterAutospacing="0"/>
            </w:pPr>
            <w:r w:rsidRPr="00EB22F7">
              <w:t>Direktīvas norma ieviesta pilnībā</w:t>
            </w:r>
          </w:p>
          <w:p w14:paraId="35D2789B" w14:textId="77777777" w:rsidR="00752095" w:rsidRPr="00EB22F7" w:rsidRDefault="00752095" w:rsidP="00B12C18">
            <w:pPr>
              <w:pStyle w:val="naiskr"/>
              <w:spacing w:before="0" w:beforeAutospacing="0" w:after="0" w:afterAutospacing="0"/>
            </w:pPr>
          </w:p>
        </w:tc>
        <w:tc>
          <w:tcPr>
            <w:tcW w:w="1688" w:type="pct"/>
          </w:tcPr>
          <w:p w14:paraId="666993CB" w14:textId="0668EE52" w:rsidR="00752095" w:rsidRPr="00EB22F7" w:rsidRDefault="009C32D3" w:rsidP="00B12C18">
            <w:pPr>
              <w:pStyle w:val="naiskr"/>
              <w:spacing w:before="0" w:beforeAutospacing="0" w:after="0" w:afterAutospacing="0"/>
            </w:pPr>
            <w:r w:rsidRPr="00EB22F7">
              <w:t>Projekts neparedz stingrākas prasības</w:t>
            </w:r>
          </w:p>
        </w:tc>
      </w:tr>
      <w:tr w:rsidR="00752095" w:rsidRPr="00EB22F7" w14:paraId="6CB02FCC"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191"/>
          <w:jc w:val="center"/>
        </w:trPr>
        <w:tc>
          <w:tcPr>
            <w:tcW w:w="1104" w:type="pct"/>
            <w:gridSpan w:val="3"/>
          </w:tcPr>
          <w:p w14:paraId="71DA563E" w14:textId="74A4CAC1" w:rsidR="00752095" w:rsidRPr="00EB22F7" w:rsidRDefault="00752095" w:rsidP="00026D43">
            <w:pPr>
              <w:jc w:val="both"/>
            </w:pPr>
            <w:r w:rsidRPr="00EB22F7">
              <w:t>1</w:t>
            </w:r>
            <w:r w:rsidR="00026D43">
              <w:t>3</w:t>
            </w:r>
            <w:r w:rsidRPr="00EB22F7">
              <w:t>. panta 3. punkts</w:t>
            </w:r>
          </w:p>
        </w:tc>
        <w:tc>
          <w:tcPr>
            <w:tcW w:w="1226" w:type="pct"/>
            <w:gridSpan w:val="2"/>
          </w:tcPr>
          <w:p w14:paraId="602B7671" w14:textId="4D26641C" w:rsidR="00752095" w:rsidRPr="00EB22F7" w:rsidRDefault="009C32D3" w:rsidP="009C32D3">
            <w:pPr>
              <w:pStyle w:val="naiskr"/>
              <w:spacing w:before="0" w:beforeAutospacing="0" w:after="0" w:afterAutospacing="0"/>
              <w:rPr>
                <w:spacing w:val="-3"/>
                <w:lang w:eastAsia="en-US"/>
              </w:rPr>
            </w:pPr>
            <w:r>
              <w:rPr>
                <w:spacing w:val="-3"/>
                <w:lang w:eastAsia="en-US"/>
              </w:rPr>
              <w:t>Projekta 20.punkts</w:t>
            </w:r>
          </w:p>
        </w:tc>
        <w:tc>
          <w:tcPr>
            <w:tcW w:w="956" w:type="pct"/>
            <w:gridSpan w:val="2"/>
          </w:tcPr>
          <w:p w14:paraId="2567ADAB" w14:textId="77777777" w:rsidR="009C32D3" w:rsidRPr="00EB22F7" w:rsidRDefault="009C32D3" w:rsidP="009C32D3">
            <w:pPr>
              <w:pStyle w:val="naiskr"/>
              <w:spacing w:before="0" w:beforeAutospacing="0" w:after="0" w:afterAutospacing="0"/>
            </w:pPr>
            <w:r w:rsidRPr="00EB22F7">
              <w:t>Direktīvas norma ieviesta pilnībā</w:t>
            </w:r>
          </w:p>
          <w:p w14:paraId="7E6BB8DE" w14:textId="77777777" w:rsidR="00752095" w:rsidRPr="00EB22F7" w:rsidRDefault="00752095" w:rsidP="00B12C18">
            <w:pPr>
              <w:pStyle w:val="naiskr"/>
              <w:spacing w:before="0" w:beforeAutospacing="0" w:after="0" w:afterAutospacing="0"/>
            </w:pPr>
          </w:p>
        </w:tc>
        <w:tc>
          <w:tcPr>
            <w:tcW w:w="1688" w:type="pct"/>
          </w:tcPr>
          <w:p w14:paraId="05A02B77" w14:textId="028B6E06" w:rsidR="00752095" w:rsidRPr="00EB22F7" w:rsidRDefault="009C32D3" w:rsidP="00B12C18">
            <w:pPr>
              <w:pStyle w:val="naiskr"/>
              <w:spacing w:before="0" w:beforeAutospacing="0" w:after="0" w:afterAutospacing="0"/>
            </w:pPr>
            <w:r w:rsidRPr="00EB22F7">
              <w:t>Projekts neparedz stingrākas prasības</w:t>
            </w:r>
          </w:p>
        </w:tc>
      </w:tr>
      <w:tr w:rsidR="00752095" w:rsidRPr="00017913" w14:paraId="7B099F44"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281"/>
          <w:jc w:val="center"/>
        </w:trPr>
        <w:tc>
          <w:tcPr>
            <w:tcW w:w="1104" w:type="pct"/>
            <w:gridSpan w:val="3"/>
            <w:vAlign w:val="center"/>
          </w:tcPr>
          <w:p w14:paraId="455B337D" w14:textId="77777777" w:rsidR="00752095" w:rsidRPr="00D067BC" w:rsidRDefault="00752095" w:rsidP="00B12C18">
            <w:pPr>
              <w:pStyle w:val="naiskr"/>
              <w:spacing w:before="0" w:beforeAutospacing="0" w:after="0" w:afterAutospacing="0"/>
              <w:jc w:val="both"/>
            </w:pPr>
            <w:proofErr w:type="gramStart"/>
            <w:r w:rsidRPr="00D067BC">
              <w:lastRenderedPageBreak/>
              <w:t>Kā ir izmantota ES tiesību aktā paredzētā rīcības brīvība dalībvalstij pārņemt vai ieviest</w:t>
            </w:r>
            <w:proofErr w:type="gramEnd"/>
            <w:r w:rsidRPr="00D067BC">
              <w:t xml:space="preserve"> noteiktas ES tiesību akta normas. Kādēļ?</w:t>
            </w:r>
          </w:p>
        </w:tc>
        <w:tc>
          <w:tcPr>
            <w:tcW w:w="3870" w:type="pct"/>
            <w:gridSpan w:val="5"/>
          </w:tcPr>
          <w:p w14:paraId="6A283C84" w14:textId="09070089" w:rsidR="009C32D3" w:rsidRDefault="009C32D3" w:rsidP="009C32D3">
            <w:pPr>
              <w:pStyle w:val="naiskr"/>
              <w:spacing w:before="0" w:beforeAutospacing="0" w:after="0" w:afterAutospacing="0"/>
              <w:ind w:firstLine="282"/>
              <w:jc w:val="both"/>
              <w:rPr>
                <w:rFonts w:eastAsia="Calibri"/>
                <w:lang w:eastAsia="en-US"/>
              </w:rPr>
            </w:pPr>
            <w:r>
              <w:rPr>
                <w:rFonts w:eastAsia="Calibri"/>
                <w:lang w:eastAsia="en-US"/>
              </w:rPr>
              <w:t xml:space="preserve">Direktīva </w:t>
            </w:r>
            <w:r>
              <w:t xml:space="preserve">91/477/EEK </w:t>
            </w:r>
            <w:r>
              <w:rPr>
                <w:rFonts w:eastAsia="Calibri"/>
                <w:lang w:eastAsia="en-US"/>
              </w:rPr>
              <w:t>dalībvalstīm paredz rīcības brīvību, proti, D</w:t>
            </w:r>
            <w:r w:rsidRPr="008A5CD4">
              <w:rPr>
                <w:rFonts w:eastAsia="Calibri"/>
                <w:lang w:eastAsia="en-US"/>
              </w:rPr>
              <w:t xml:space="preserve">irektīvas </w:t>
            </w:r>
            <w:proofErr w:type="gramStart"/>
            <w:r w:rsidRPr="008A5CD4">
              <w:rPr>
                <w:rFonts w:eastAsia="Calibri"/>
                <w:lang w:eastAsia="en-US"/>
              </w:rPr>
              <w:t>1</w:t>
            </w:r>
            <w:r>
              <w:rPr>
                <w:rFonts w:eastAsia="Calibri"/>
                <w:lang w:eastAsia="en-US"/>
              </w:rPr>
              <w:t>1</w:t>
            </w:r>
            <w:r w:rsidRPr="008A5CD4">
              <w:rPr>
                <w:rFonts w:eastAsia="Calibri"/>
                <w:lang w:eastAsia="en-US"/>
              </w:rPr>
              <w:t>.panta</w:t>
            </w:r>
            <w:proofErr w:type="gramEnd"/>
            <w:r w:rsidRPr="008A5CD4">
              <w:rPr>
                <w:rFonts w:eastAsia="Calibri"/>
                <w:lang w:eastAsia="en-US"/>
              </w:rPr>
              <w:t xml:space="preserve"> </w:t>
            </w:r>
            <w:r>
              <w:rPr>
                <w:rFonts w:eastAsia="Calibri"/>
                <w:lang w:eastAsia="en-US"/>
              </w:rPr>
              <w:t>3. un 4</w:t>
            </w:r>
            <w:r w:rsidRPr="008A5CD4">
              <w:rPr>
                <w:rFonts w:eastAsia="Calibri"/>
                <w:lang w:eastAsia="en-US"/>
              </w:rPr>
              <w:t xml:space="preserve">.punkts </w:t>
            </w:r>
            <w:r>
              <w:rPr>
                <w:rFonts w:eastAsia="Calibri"/>
                <w:lang w:eastAsia="en-US"/>
              </w:rPr>
              <w:t xml:space="preserve">paredz dalībvalstīm iespēju piešķirt tirgotājiem tiesības no tās teritorijas veikt šaujamieroču pārvešanu tirgotājam, kurš reģistrēts citā dalībvalstī, iepriekš nesaņemot atļauju </w:t>
            </w:r>
            <w:r w:rsidR="00C14308">
              <w:rPr>
                <w:rFonts w:eastAsia="Calibri"/>
                <w:lang w:eastAsia="en-US"/>
              </w:rPr>
              <w:t>vispārējā</w:t>
            </w:r>
            <w:r>
              <w:rPr>
                <w:rFonts w:eastAsia="Calibri"/>
                <w:lang w:eastAsia="en-US"/>
              </w:rPr>
              <w:t xml:space="preserve"> kārtībā. Tādā gadījumā dalībvalsts izdod īpašu atļauju</w:t>
            </w:r>
            <w:r w:rsidR="00C14308">
              <w:rPr>
                <w:rFonts w:eastAsia="Calibri"/>
                <w:lang w:eastAsia="en-US"/>
              </w:rPr>
              <w:t xml:space="preserve">, kas derīga ne vairāk kā </w:t>
            </w:r>
            <w:r>
              <w:rPr>
                <w:rFonts w:eastAsia="Calibri"/>
                <w:lang w:eastAsia="en-US"/>
              </w:rPr>
              <w:t>3 gad</w:t>
            </w:r>
            <w:r w:rsidR="00C14308">
              <w:rPr>
                <w:rFonts w:eastAsia="Calibri"/>
                <w:lang w:eastAsia="en-US"/>
              </w:rPr>
              <w:t>us</w:t>
            </w:r>
            <w:r>
              <w:rPr>
                <w:rFonts w:eastAsia="Calibri"/>
                <w:lang w:eastAsia="en-US"/>
              </w:rPr>
              <w:t xml:space="preserve"> un </w:t>
            </w:r>
            <w:r w:rsidR="00C14308">
              <w:rPr>
                <w:rFonts w:eastAsia="Calibri"/>
                <w:lang w:eastAsia="en-US"/>
              </w:rPr>
              <w:t xml:space="preserve">kuru jebkurā brīdī ar pamatotu lēmumu var pārtraukt vai anulēt. Pārvietojot šaujamieročus, </w:t>
            </w:r>
            <w:proofErr w:type="gramStart"/>
            <w:r w:rsidR="00C14308">
              <w:rPr>
                <w:rFonts w:eastAsia="Calibri"/>
                <w:lang w:eastAsia="en-US"/>
              </w:rPr>
              <w:t>tos</w:t>
            </w:r>
            <w:proofErr w:type="gramEnd"/>
            <w:r w:rsidR="00C14308">
              <w:rPr>
                <w:rFonts w:eastAsia="Calibri"/>
                <w:lang w:eastAsia="en-US"/>
              </w:rPr>
              <w:t xml:space="preserve"> jāpavada dokumentam, kas atsaucas uz šo atļauju. Dalībvalsts </w:t>
            </w:r>
            <w:r>
              <w:rPr>
                <w:rFonts w:eastAsia="Calibri"/>
                <w:lang w:eastAsia="en-US"/>
              </w:rPr>
              <w:t xml:space="preserve">informē pārējās dalībvalstis par </w:t>
            </w:r>
            <w:r w:rsidR="00C14308">
              <w:rPr>
                <w:rFonts w:eastAsia="Calibri"/>
                <w:lang w:eastAsia="en-US"/>
              </w:rPr>
              <w:t xml:space="preserve">šaujamieroču </w:t>
            </w:r>
            <w:r>
              <w:rPr>
                <w:rFonts w:eastAsia="Calibri"/>
                <w:lang w:eastAsia="en-US"/>
              </w:rPr>
              <w:t xml:space="preserve">veidiem, kurus </w:t>
            </w:r>
            <w:r w:rsidR="00C14308">
              <w:rPr>
                <w:rFonts w:eastAsia="Calibri"/>
                <w:lang w:eastAsia="en-US"/>
              </w:rPr>
              <w:t xml:space="preserve">nav </w:t>
            </w:r>
            <w:r>
              <w:rPr>
                <w:rFonts w:eastAsia="Calibri"/>
                <w:lang w:eastAsia="en-US"/>
              </w:rPr>
              <w:t xml:space="preserve">atļauts pārvietot caur tās teritoriju bez iepriekšējas tās piekrišanas. Šāda kārtība </w:t>
            </w:r>
            <w:r w:rsidR="00C14308">
              <w:rPr>
                <w:rFonts w:eastAsia="Calibri"/>
                <w:lang w:eastAsia="en-US"/>
              </w:rPr>
              <w:t xml:space="preserve">šaujamieroču </w:t>
            </w:r>
            <w:r>
              <w:rPr>
                <w:rFonts w:eastAsia="Calibri"/>
                <w:lang w:eastAsia="en-US"/>
              </w:rPr>
              <w:t>pārvietošanai Projektā netiek paredzēta, jo saskaņā ar Valsts policijas sniegto informāciju Latvijā nav lielu ražojošu uzņēmumu, kas darbo</w:t>
            </w:r>
            <w:r w:rsidR="00AC1916">
              <w:rPr>
                <w:rFonts w:eastAsia="Calibri"/>
                <w:lang w:eastAsia="en-US"/>
              </w:rPr>
              <w:t>jas</w:t>
            </w:r>
            <w:r>
              <w:rPr>
                <w:rFonts w:eastAsia="Calibri"/>
                <w:lang w:eastAsia="en-US"/>
              </w:rPr>
              <w:t xml:space="preserve"> šajā sfērā, līdz ar ko </w:t>
            </w:r>
            <w:r w:rsidR="00C14308">
              <w:rPr>
                <w:rFonts w:eastAsia="Calibri"/>
                <w:lang w:eastAsia="en-US"/>
              </w:rPr>
              <w:t>šaujamieroču</w:t>
            </w:r>
            <w:r>
              <w:rPr>
                <w:rFonts w:eastAsia="Calibri"/>
                <w:lang w:eastAsia="en-US"/>
              </w:rPr>
              <w:t xml:space="preserve"> pārvietošanas apjomi ir salīdzinoši nelieli. Lai nodrošinātu drošu un kontrolētu </w:t>
            </w:r>
            <w:r w:rsidR="00C14308">
              <w:rPr>
                <w:rFonts w:eastAsia="Calibri"/>
                <w:lang w:eastAsia="en-US"/>
              </w:rPr>
              <w:t>šaujamieroču</w:t>
            </w:r>
            <w:r>
              <w:rPr>
                <w:rFonts w:eastAsia="Calibri"/>
                <w:lang w:eastAsia="en-US"/>
              </w:rPr>
              <w:t xml:space="preserve"> pārvietošanu, Valsts policijai ir būtiski saņemt Direktīvā </w:t>
            </w:r>
            <w:r w:rsidR="00C14308">
              <w:t xml:space="preserve">91/477/EEK </w:t>
            </w:r>
            <w:r>
              <w:rPr>
                <w:rFonts w:eastAsia="Calibri"/>
                <w:lang w:eastAsia="en-US"/>
              </w:rPr>
              <w:t xml:space="preserve">paredzēto informāciju, kas jāiesniedz pirms </w:t>
            </w:r>
            <w:r w:rsidR="00C14308">
              <w:rPr>
                <w:rFonts w:eastAsia="Calibri"/>
                <w:lang w:eastAsia="en-US"/>
              </w:rPr>
              <w:t>šaujamieroču</w:t>
            </w:r>
            <w:r>
              <w:rPr>
                <w:rFonts w:eastAsia="Calibri"/>
                <w:lang w:eastAsia="en-US"/>
              </w:rPr>
              <w:t xml:space="preserve"> pārvietošanas par to, kas vei</w:t>
            </w:r>
            <w:r w:rsidR="005E01B8">
              <w:rPr>
                <w:rFonts w:eastAsia="Calibri"/>
                <w:lang w:eastAsia="en-US"/>
              </w:rPr>
              <w:t>ks</w:t>
            </w:r>
            <w:r>
              <w:rPr>
                <w:rFonts w:eastAsia="Calibri"/>
                <w:lang w:eastAsia="en-US"/>
              </w:rPr>
              <w:t xml:space="preserve"> </w:t>
            </w:r>
            <w:r w:rsidR="00C14308">
              <w:rPr>
                <w:rFonts w:eastAsia="Calibri"/>
                <w:lang w:eastAsia="en-US"/>
              </w:rPr>
              <w:t>šaujamieroču</w:t>
            </w:r>
            <w:r>
              <w:rPr>
                <w:rFonts w:eastAsia="Calibri"/>
                <w:lang w:eastAsia="en-US"/>
              </w:rPr>
              <w:t xml:space="preserve"> pārvietošanu, kādu</w:t>
            </w:r>
            <w:r w:rsidR="00C14308">
              <w:rPr>
                <w:rFonts w:eastAsia="Calibri"/>
                <w:lang w:eastAsia="en-US"/>
              </w:rPr>
              <w:t>s</w:t>
            </w:r>
            <w:r>
              <w:rPr>
                <w:rFonts w:eastAsia="Calibri"/>
                <w:lang w:eastAsia="en-US"/>
              </w:rPr>
              <w:t xml:space="preserve"> </w:t>
            </w:r>
            <w:r w:rsidR="00C14308">
              <w:rPr>
                <w:rFonts w:eastAsia="Calibri"/>
                <w:lang w:eastAsia="en-US"/>
              </w:rPr>
              <w:t>šaujamieročus</w:t>
            </w:r>
            <w:r>
              <w:rPr>
                <w:rFonts w:eastAsia="Calibri"/>
                <w:lang w:eastAsia="en-US"/>
              </w:rPr>
              <w:t xml:space="preserve"> un kādā daudzumā tiek plānots pārvietot u.</w:t>
            </w:r>
            <w:r w:rsidR="00761F3E">
              <w:rPr>
                <w:rFonts w:eastAsia="Calibri"/>
                <w:lang w:eastAsia="en-US"/>
              </w:rPr>
              <w:t>c</w:t>
            </w:r>
            <w:r>
              <w:rPr>
                <w:rFonts w:eastAsia="Calibri"/>
                <w:lang w:eastAsia="en-US"/>
              </w:rPr>
              <w:t xml:space="preserve">. Ņemot vērā minēto, Direktīvā </w:t>
            </w:r>
            <w:r w:rsidR="00C14308">
              <w:t xml:space="preserve">91/477/EEK </w:t>
            </w:r>
            <w:r>
              <w:rPr>
                <w:rFonts w:eastAsia="Calibri"/>
                <w:lang w:eastAsia="en-US"/>
              </w:rPr>
              <w:t xml:space="preserve">paredzētā rīcības brīvība tiek izmantota, paredzot Projektā vispārējo </w:t>
            </w:r>
            <w:r w:rsidR="00F94633">
              <w:rPr>
                <w:rFonts w:eastAsia="Calibri"/>
                <w:lang w:eastAsia="en-US"/>
              </w:rPr>
              <w:t xml:space="preserve">šaujamieroču pārvietošanas </w:t>
            </w:r>
            <w:r>
              <w:rPr>
                <w:rFonts w:eastAsia="Calibri"/>
                <w:lang w:eastAsia="en-US"/>
              </w:rPr>
              <w:t>atļauju saņemšanas kārtību.</w:t>
            </w:r>
          </w:p>
          <w:p w14:paraId="56D31641" w14:textId="5B844B44" w:rsidR="00752095" w:rsidRPr="00017913" w:rsidRDefault="00752095" w:rsidP="00B12C18">
            <w:pPr>
              <w:pStyle w:val="naiskr"/>
              <w:spacing w:before="0" w:beforeAutospacing="0" w:after="0" w:afterAutospacing="0"/>
              <w:ind w:firstLine="282"/>
              <w:jc w:val="both"/>
            </w:pPr>
          </w:p>
        </w:tc>
      </w:tr>
      <w:tr w:rsidR="00752095" w:rsidRPr="00017913" w14:paraId="08CBB14D"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246"/>
          <w:jc w:val="center"/>
        </w:trPr>
        <w:tc>
          <w:tcPr>
            <w:tcW w:w="1104" w:type="pct"/>
            <w:gridSpan w:val="3"/>
            <w:vAlign w:val="center"/>
          </w:tcPr>
          <w:p w14:paraId="3B2FE3DF" w14:textId="77777777" w:rsidR="00752095" w:rsidRPr="00D067BC" w:rsidRDefault="00752095" w:rsidP="00B12C18">
            <w:pPr>
              <w:pStyle w:val="naiskr"/>
              <w:spacing w:before="0" w:beforeAutospacing="0" w:after="0" w:afterAutospacing="0"/>
              <w:jc w:val="both"/>
              <w:rPr>
                <w:i/>
              </w:rPr>
            </w:pPr>
            <w:r w:rsidRPr="00D067B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0" w:type="pct"/>
            <w:gridSpan w:val="5"/>
          </w:tcPr>
          <w:p w14:paraId="3745B8B4" w14:textId="77777777" w:rsidR="00752095" w:rsidRPr="00017913" w:rsidRDefault="00752095" w:rsidP="00B12C18">
            <w:pPr>
              <w:pStyle w:val="naiskr"/>
              <w:spacing w:before="0" w:beforeAutospacing="0" w:after="0" w:afterAutospacing="0"/>
              <w:ind w:firstLine="282"/>
            </w:pPr>
            <w:r w:rsidRPr="00017913">
              <w:t>Projekts šo jomu neskar.</w:t>
            </w:r>
          </w:p>
        </w:tc>
      </w:tr>
      <w:tr w:rsidR="00752095" w:rsidRPr="00D067BC" w14:paraId="10B40C2E"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47"/>
          <w:jc w:val="center"/>
        </w:trPr>
        <w:tc>
          <w:tcPr>
            <w:tcW w:w="1104" w:type="pct"/>
            <w:gridSpan w:val="3"/>
          </w:tcPr>
          <w:p w14:paraId="095D9DA2" w14:textId="77777777" w:rsidR="00752095" w:rsidRPr="00D067BC" w:rsidRDefault="00752095" w:rsidP="00B12C18">
            <w:pPr>
              <w:pStyle w:val="naiskr"/>
              <w:spacing w:before="0" w:beforeAutospacing="0" w:after="0" w:afterAutospacing="0"/>
              <w:jc w:val="both"/>
            </w:pPr>
            <w:r w:rsidRPr="00D067BC">
              <w:t>Cita informācija</w:t>
            </w:r>
          </w:p>
        </w:tc>
        <w:tc>
          <w:tcPr>
            <w:tcW w:w="3870" w:type="pct"/>
            <w:gridSpan w:val="5"/>
          </w:tcPr>
          <w:p w14:paraId="67750E57" w14:textId="77777777" w:rsidR="00752095" w:rsidRPr="00D067BC" w:rsidRDefault="00752095" w:rsidP="00B12C18">
            <w:pPr>
              <w:pStyle w:val="naiskr"/>
              <w:spacing w:before="0" w:beforeAutospacing="0" w:after="0" w:afterAutospacing="0"/>
              <w:ind w:firstLine="282"/>
            </w:pPr>
            <w:r w:rsidRPr="00D067BC">
              <w:t>Nav</w:t>
            </w:r>
          </w:p>
        </w:tc>
      </w:tr>
      <w:tr w:rsidR="00752095" w:rsidRPr="00D067BC" w14:paraId="5667969F" w14:textId="77777777" w:rsidTr="00620A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6" w:type="pct"/>
          <w:trHeight w:val="47"/>
          <w:jc w:val="center"/>
        </w:trPr>
        <w:tc>
          <w:tcPr>
            <w:tcW w:w="1104" w:type="pct"/>
            <w:gridSpan w:val="3"/>
          </w:tcPr>
          <w:p w14:paraId="3A35A9E3" w14:textId="77777777" w:rsidR="00752095" w:rsidRPr="00D067BC" w:rsidRDefault="00752095" w:rsidP="008D6077">
            <w:pPr>
              <w:pStyle w:val="naiskr"/>
              <w:spacing w:before="0" w:beforeAutospacing="0" w:after="0" w:afterAutospacing="0"/>
              <w:jc w:val="both"/>
            </w:pPr>
          </w:p>
        </w:tc>
        <w:tc>
          <w:tcPr>
            <w:tcW w:w="3870" w:type="pct"/>
            <w:gridSpan w:val="5"/>
          </w:tcPr>
          <w:p w14:paraId="37C33225" w14:textId="77777777" w:rsidR="00752095" w:rsidRPr="00D067BC" w:rsidRDefault="00752095" w:rsidP="008D6077">
            <w:pPr>
              <w:pStyle w:val="naiskr"/>
              <w:spacing w:before="0" w:beforeAutospacing="0" w:after="0" w:afterAutospacing="0"/>
              <w:ind w:firstLine="282"/>
            </w:pPr>
          </w:p>
        </w:tc>
      </w:tr>
      <w:tr w:rsidR="008D6077" w:rsidRPr="00D067BC" w14:paraId="114C3201" w14:textId="77777777" w:rsidTr="00620AD3">
        <w:tblPrEx>
          <w:jc w:val="center"/>
          <w:tblCellSpacing w:w="15" w:type="dxa"/>
          <w:tblInd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40C2EEB3" w14:textId="77777777" w:rsidR="008D6077" w:rsidRPr="00D067BC" w:rsidRDefault="008D6077" w:rsidP="008D6077">
            <w:pPr>
              <w:spacing w:before="100" w:beforeAutospacing="1" w:after="100" w:afterAutospacing="1"/>
              <w:jc w:val="center"/>
              <w:rPr>
                <w:b/>
                <w:bCs/>
              </w:rPr>
            </w:pPr>
            <w:r w:rsidRPr="00D067BC">
              <w:rPr>
                <w:b/>
                <w:bCs/>
              </w:rPr>
              <w:t>2.tabula</w:t>
            </w:r>
            <w:r w:rsidRPr="00D067BC">
              <w:rPr>
                <w:b/>
                <w:bCs/>
              </w:rPr>
              <w:br/>
              <w:t>Ar tiesību akta projektu izpildītās vai uzņemtās saistības, kas izriet no starptautiskajiem tiesību aktiem vai starptautiskas institūcijas vai organizācijas dokumentiem.</w:t>
            </w:r>
            <w:r w:rsidRPr="00D067BC">
              <w:rPr>
                <w:b/>
                <w:bCs/>
              </w:rPr>
              <w:br/>
              <w:t>Pasākumi šo saistību izpildei</w:t>
            </w:r>
          </w:p>
        </w:tc>
      </w:tr>
      <w:tr w:rsidR="008D6077" w:rsidRPr="00D067BC" w14:paraId="6718A2E5" w14:textId="77777777" w:rsidTr="00620AD3">
        <w:tblPrEx>
          <w:jc w:val="center"/>
          <w:tblCellSpacing w:w="15" w:type="dxa"/>
          <w:tblInd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jc w:val="center"/>
        </w:trPr>
        <w:tc>
          <w:tcPr>
            <w:tcW w:w="1900" w:type="pct"/>
            <w:gridSpan w:val="5"/>
            <w:tcBorders>
              <w:top w:val="single" w:sz="4" w:space="0" w:color="auto"/>
              <w:left w:val="single" w:sz="4" w:space="0" w:color="auto"/>
              <w:bottom w:val="single" w:sz="4" w:space="0" w:color="auto"/>
              <w:right w:val="single" w:sz="4" w:space="0" w:color="auto"/>
            </w:tcBorders>
            <w:vAlign w:val="center"/>
          </w:tcPr>
          <w:p w14:paraId="33271633" w14:textId="77777777" w:rsidR="008D6077" w:rsidRPr="00D067BC" w:rsidRDefault="008D6077" w:rsidP="008D6077">
            <w:r w:rsidRPr="00D067BC">
              <w:t>Attiecīgā starptautiskā tiesību akta vai starptautiskas institūcijas vai organizācijas dokumenta (turpmāk – starptautiskais dokuments) datums, numurs un nosaukums</w:t>
            </w:r>
          </w:p>
        </w:tc>
        <w:tc>
          <w:tcPr>
            <w:tcW w:w="3100" w:type="pct"/>
            <w:gridSpan w:val="4"/>
            <w:tcBorders>
              <w:top w:val="single" w:sz="4" w:space="0" w:color="auto"/>
              <w:left w:val="single" w:sz="4" w:space="0" w:color="auto"/>
              <w:bottom w:val="single" w:sz="4" w:space="0" w:color="auto"/>
              <w:right w:val="single" w:sz="4" w:space="0" w:color="auto"/>
            </w:tcBorders>
          </w:tcPr>
          <w:p w14:paraId="7D8B6117" w14:textId="2707CA73" w:rsidR="008D6077" w:rsidRPr="00C475ED" w:rsidRDefault="008D6077" w:rsidP="008D6077"/>
        </w:tc>
      </w:tr>
      <w:tr w:rsidR="008D6077" w:rsidRPr="00D067BC" w14:paraId="01E89E91" w14:textId="77777777" w:rsidTr="00620AD3">
        <w:tblPrEx>
          <w:jc w:val="center"/>
          <w:tblCellSpacing w:w="15" w:type="dxa"/>
          <w:tblInd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jc w:val="center"/>
        </w:trPr>
        <w:tc>
          <w:tcPr>
            <w:tcW w:w="1900" w:type="pct"/>
            <w:gridSpan w:val="5"/>
            <w:tcBorders>
              <w:top w:val="single" w:sz="4" w:space="0" w:color="auto"/>
              <w:left w:val="single" w:sz="4" w:space="0" w:color="auto"/>
              <w:bottom w:val="single" w:sz="4" w:space="0" w:color="auto"/>
              <w:right w:val="single" w:sz="4" w:space="0" w:color="auto"/>
            </w:tcBorders>
            <w:vAlign w:val="center"/>
          </w:tcPr>
          <w:p w14:paraId="372E08A1" w14:textId="77777777" w:rsidR="008D6077" w:rsidRPr="00D067BC" w:rsidRDefault="008D6077" w:rsidP="008D6077">
            <w:pPr>
              <w:spacing w:before="100" w:beforeAutospacing="1" w:after="100" w:afterAutospacing="1"/>
              <w:jc w:val="center"/>
            </w:pPr>
            <w:r w:rsidRPr="00D067BC">
              <w:t>A</w:t>
            </w: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7C0DCF5E" w14:textId="77777777" w:rsidR="008D6077" w:rsidRPr="00D067BC" w:rsidRDefault="008D6077" w:rsidP="008D6077">
            <w:pPr>
              <w:spacing w:before="100" w:beforeAutospacing="1" w:after="100" w:afterAutospacing="1"/>
              <w:jc w:val="center"/>
            </w:pPr>
            <w:r w:rsidRPr="00D067BC">
              <w:t>B</w:t>
            </w:r>
          </w:p>
        </w:tc>
        <w:tc>
          <w:tcPr>
            <w:tcW w:w="2033" w:type="pct"/>
            <w:gridSpan w:val="2"/>
            <w:tcBorders>
              <w:top w:val="single" w:sz="4" w:space="0" w:color="auto"/>
              <w:left w:val="single" w:sz="4" w:space="0" w:color="auto"/>
              <w:bottom w:val="single" w:sz="4" w:space="0" w:color="auto"/>
              <w:right w:val="single" w:sz="4" w:space="0" w:color="auto"/>
            </w:tcBorders>
            <w:vAlign w:val="center"/>
          </w:tcPr>
          <w:p w14:paraId="38D942E8" w14:textId="77777777" w:rsidR="008D6077" w:rsidRPr="00D067BC" w:rsidRDefault="008D6077" w:rsidP="008D6077">
            <w:pPr>
              <w:spacing w:before="100" w:beforeAutospacing="1" w:after="100" w:afterAutospacing="1"/>
              <w:jc w:val="center"/>
            </w:pPr>
            <w:r w:rsidRPr="00D067BC">
              <w:t>C</w:t>
            </w:r>
          </w:p>
        </w:tc>
      </w:tr>
      <w:tr w:rsidR="008D6077" w:rsidRPr="00D067BC" w14:paraId="799F767C" w14:textId="77777777" w:rsidTr="00620AD3">
        <w:tblPrEx>
          <w:jc w:val="center"/>
          <w:tblCellSpacing w:w="15" w:type="dxa"/>
          <w:tblInd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jc w:val="center"/>
        </w:trPr>
        <w:tc>
          <w:tcPr>
            <w:tcW w:w="1900" w:type="pct"/>
            <w:gridSpan w:val="5"/>
            <w:tcBorders>
              <w:top w:val="single" w:sz="4" w:space="0" w:color="auto"/>
              <w:left w:val="single" w:sz="4" w:space="0" w:color="auto"/>
              <w:bottom w:val="single" w:sz="4" w:space="0" w:color="auto"/>
              <w:right w:val="single" w:sz="4" w:space="0" w:color="auto"/>
            </w:tcBorders>
          </w:tcPr>
          <w:p w14:paraId="5417E3D0" w14:textId="77777777" w:rsidR="008D6077" w:rsidRPr="00D067BC" w:rsidRDefault="008D6077" w:rsidP="008D6077">
            <w:r w:rsidRPr="00D067BC">
              <w:t xml:space="preserve">Starptautiskās saistības (pēc būtības), kas izriet no norādītā starptautiskā dokumenta. </w:t>
            </w:r>
          </w:p>
          <w:p w14:paraId="338B72D0" w14:textId="77777777" w:rsidR="008D6077" w:rsidRPr="00D067BC" w:rsidRDefault="008D6077" w:rsidP="008D6077">
            <w:pPr>
              <w:spacing w:before="100" w:beforeAutospacing="1" w:after="100" w:afterAutospacing="1"/>
            </w:pPr>
            <w:r w:rsidRPr="00D067BC">
              <w:lastRenderedPageBreak/>
              <w:t>Konkrēti veicamie pasākumi vai uzdevumi, kas nepieciešami šo starptautisko saistību izpildei</w:t>
            </w:r>
          </w:p>
        </w:tc>
        <w:tc>
          <w:tcPr>
            <w:tcW w:w="1067" w:type="pct"/>
            <w:gridSpan w:val="2"/>
            <w:tcBorders>
              <w:top w:val="single" w:sz="4" w:space="0" w:color="auto"/>
              <w:left w:val="single" w:sz="4" w:space="0" w:color="auto"/>
              <w:bottom w:val="single" w:sz="4" w:space="0" w:color="auto"/>
              <w:right w:val="single" w:sz="4" w:space="0" w:color="auto"/>
            </w:tcBorders>
          </w:tcPr>
          <w:p w14:paraId="07C074A6" w14:textId="77777777" w:rsidR="008D6077" w:rsidRPr="00D067BC" w:rsidRDefault="008D6077" w:rsidP="008D6077">
            <w:r w:rsidRPr="00D067BC">
              <w:lastRenderedPageBreak/>
              <w:t xml:space="preserve">Ja pasākumi vai uzdevumi, ar ko tiks izpildītas starptautiskās </w:t>
            </w:r>
            <w:r w:rsidRPr="00D067BC">
              <w:lastRenderedPageBreak/>
              <w:t>saistības, tiek noteikti projektā, norāda attiecīgo projekta vienību vai dokumentu, kurā sniegts izvērsts skaidrojums, kādā veidā tiks nodrošināta starptautisko saistību izpilde</w:t>
            </w:r>
          </w:p>
        </w:tc>
        <w:tc>
          <w:tcPr>
            <w:tcW w:w="2033" w:type="pct"/>
            <w:gridSpan w:val="2"/>
            <w:tcBorders>
              <w:top w:val="single" w:sz="4" w:space="0" w:color="auto"/>
              <w:left w:val="single" w:sz="4" w:space="0" w:color="auto"/>
              <w:bottom w:val="single" w:sz="4" w:space="0" w:color="auto"/>
              <w:right w:val="single" w:sz="4" w:space="0" w:color="auto"/>
            </w:tcBorders>
          </w:tcPr>
          <w:p w14:paraId="7D47CB09" w14:textId="77777777" w:rsidR="008D6077" w:rsidRPr="00D067BC" w:rsidRDefault="008D6077" w:rsidP="008D6077">
            <w:r w:rsidRPr="00D067BC">
              <w:lastRenderedPageBreak/>
              <w:t xml:space="preserve">Informācija par to, vai starptautiskās saistības, kas minētas šīs tabulas A ailē, tiek izpildītas pilnībā vai daļēji. </w:t>
            </w:r>
          </w:p>
          <w:p w14:paraId="46450417" w14:textId="77777777" w:rsidR="008D6077" w:rsidRPr="00D067BC" w:rsidRDefault="008D6077" w:rsidP="008D6077">
            <w:pPr>
              <w:spacing w:before="100" w:beforeAutospacing="1" w:after="100" w:afterAutospacing="1"/>
            </w:pPr>
            <w:r w:rsidRPr="00D067BC">
              <w:lastRenderedPageBreak/>
              <w:t>Ja attiecīgās starptautiskās saistības tiek izpildītas daļēji, sniedz skaidrojumu, kā arī precīzi norāda, kad un kādā veidā starptautiskās saistības tiks izpildītas pilnībā.</w:t>
            </w:r>
          </w:p>
          <w:p w14:paraId="60BACEE1" w14:textId="77777777" w:rsidR="008D6077" w:rsidRPr="00D067BC" w:rsidRDefault="008D6077" w:rsidP="008D6077">
            <w:pPr>
              <w:spacing w:before="100" w:beforeAutospacing="1" w:after="100" w:afterAutospacing="1"/>
            </w:pPr>
            <w:r w:rsidRPr="00D067BC">
              <w:t>Norāda institūciju, kas ir atbildīga par šo saistību izpildi pilnībā</w:t>
            </w:r>
          </w:p>
        </w:tc>
      </w:tr>
      <w:tr w:rsidR="008D6077" w:rsidRPr="00D067BC" w14:paraId="3FF51EB8" w14:textId="77777777" w:rsidTr="00620AD3">
        <w:tblPrEx>
          <w:jc w:val="center"/>
          <w:tblCellSpacing w:w="15" w:type="dxa"/>
          <w:tblInd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jc w:val="center"/>
        </w:trPr>
        <w:tc>
          <w:tcPr>
            <w:tcW w:w="1900" w:type="pct"/>
            <w:gridSpan w:val="5"/>
            <w:tcBorders>
              <w:top w:val="single" w:sz="4" w:space="0" w:color="auto"/>
              <w:left w:val="single" w:sz="4" w:space="0" w:color="auto"/>
              <w:bottom w:val="single" w:sz="4" w:space="0" w:color="auto"/>
              <w:right w:val="single" w:sz="4" w:space="0" w:color="auto"/>
            </w:tcBorders>
          </w:tcPr>
          <w:p w14:paraId="759170B3" w14:textId="1F45A36D" w:rsidR="0076538A" w:rsidRPr="0076538A" w:rsidRDefault="00107045" w:rsidP="0076538A">
            <w:r w:rsidRPr="00017913">
              <w:lastRenderedPageBreak/>
              <w:t>Projekts šo jomu neskar.</w:t>
            </w:r>
          </w:p>
        </w:tc>
        <w:tc>
          <w:tcPr>
            <w:tcW w:w="1067" w:type="pct"/>
            <w:gridSpan w:val="2"/>
            <w:tcBorders>
              <w:top w:val="single" w:sz="4" w:space="0" w:color="auto"/>
              <w:left w:val="single" w:sz="4" w:space="0" w:color="auto"/>
              <w:bottom w:val="single" w:sz="4" w:space="0" w:color="auto"/>
              <w:right w:val="single" w:sz="4" w:space="0" w:color="auto"/>
            </w:tcBorders>
          </w:tcPr>
          <w:p w14:paraId="6454307F" w14:textId="77777777" w:rsidR="008D6077" w:rsidRDefault="00107045" w:rsidP="008D6077">
            <w:r w:rsidRPr="00017913">
              <w:t>Projekts šo jomu neskar.</w:t>
            </w:r>
          </w:p>
          <w:p w14:paraId="679D7464" w14:textId="5C90758D" w:rsidR="00107045" w:rsidRPr="0076538A" w:rsidRDefault="00107045" w:rsidP="008D6077"/>
        </w:tc>
        <w:tc>
          <w:tcPr>
            <w:tcW w:w="2033" w:type="pct"/>
            <w:gridSpan w:val="2"/>
            <w:tcBorders>
              <w:top w:val="single" w:sz="4" w:space="0" w:color="auto"/>
              <w:left w:val="single" w:sz="4" w:space="0" w:color="auto"/>
              <w:bottom w:val="single" w:sz="4" w:space="0" w:color="auto"/>
              <w:right w:val="single" w:sz="4" w:space="0" w:color="auto"/>
            </w:tcBorders>
          </w:tcPr>
          <w:p w14:paraId="1E8719CA" w14:textId="2025C71C" w:rsidR="008D6077" w:rsidRPr="004244CB" w:rsidRDefault="00107045" w:rsidP="0076538A">
            <w:pPr>
              <w:spacing w:before="100" w:beforeAutospacing="1" w:after="100" w:afterAutospacing="1"/>
              <w:rPr>
                <w:color w:val="FF0000"/>
              </w:rPr>
            </w:pPr>
            <w:r w:rsidRPr="00017913">
              <w:t>Projekts šo jomu neskar.</w:t>
            </w:r>
          </w:p>
        </w:tc>
      </w:tr>
      <w:tr w:rsidR="008D6077" w:rsidRPr="00D067BC" w14:paraId="2B30DE85" w14:textId="77777777" w:rsidTr="00620AD3">
        <w:tblPrEx>
          <w:jc w:val="center"/>
          <w:tblCellSpacing w:w="15" w:type="dxa"/>
          <w:tblInd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jc w:val="center"/>
        </w:trPr>
        <w:tc>
          <w:tcPr>
            <w:tcW w:w="1900" w:type="pct"/>
            <w:gridSpan w:val="5"/>
            <w:tcBorders>
              <w:top w:val="single" w:sz="4" w:space="0" w:color="auto"/>
              <w:left w:val="single" w:sz="4" w:space="0" w:color="auto"/>
              <w:bottom w:val="single" w:sz="4" w:space="0" w:color="auto"/>
              <w:right w:val="single" w:sz="4" w:space="0" w:color="auto"/>
            </w:tcBorders>
          </w:tcPr>
          <w:p w14:paraId="39A8457F" w14:textId="77777777" w:rsidR="008D6077" w:rsidRPr="00D067BC" w:rsidRDefault="008D6077" w:rsidP="008D6077">
            <w:r w:rsidRPr="00D067BC">
              <w:t>Vai starptautiskajā dokumentā paredzētās saistības nav pretrunā ar jau esošajām Latvijas Republikas starptautiskajām saistībām</w:t>
            </w:r>
          </w:p>
        </w:tc>
        <w:tc>
          <w:tcPr>
            <w:tcW w:w="3100" w:type="pct"/>
            <w:gridSpan w:val="4"/>
            <w:tcBorders>
              <w:top w:val="single" w:sz="4" w:space="0" w:color="auto"/>
              <w:left w:val="single" w:sz="4" w:space="0" w:color="auto"/>
              <w:bottom w:val="single" w:sz="4" w:space="0" w:color="auto"/>
              <w:right w:val="single" w:sz="4" w:space="0" w:color="auto"/>
            </w:tcBorders>
          </w:tcPr>
          <w:p w14:paraId="077EEC03" w14:textId="6C0D3E6F" w:rsidR="008D6077" w:rsidRPr="004244CB" w:rsidRDefault="00107045" w:rsidP="008D6077">
            <w:pPr>
              <w:ind w:firstLine="144"/>
              <w:rPr>
                <w:color w:val="FF0000"/>
              </w:rPr>
            </w:pPr>
            <w:r w:rsidRPr="00017913">
              <w:t>Projekts šo jomu neskar.</w:t>
            </w:r>
          </w:p>
        </w:tc>
      </w:tr>
      <w:tr w:rsidR="008D6077" w:rsidRPr="00D067BC" w14:paraId="368D057C" w14:textId="77777777" w:rsidTr="00620AD3">
        <w:tblPrEx>
          <w:jc w:val="center"/>
          <w:tblCellSpacing w:w="15" w:type="dxa"/>
          <w:tblInd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396"/>
          <w:tblCellSpacing w:w="15" w:type="dxa"/>
          <w:jc w:val="center"/>
        </w:trPr>
        <w:tc>
          <w:tcPr>
            <w:tcW w:w="1900" w:type="pct"/>
            <w:gridSpan w:val="5"/>
            <w:tcBorders>
              <w:top w:val="single" w:sz="4" w:space="0" w:color="auto"/>
              <w:left w:val="single" w:sz="4" w:space="0" w:color="auto"/>
              <w:bottom w:val="single" w:sz="4" w:space="0" w:color="auto"/>
              <w:right w:val="single" w:sz="4" w:space="0" w:color="auto"/>
            </w:tcBorders>
          </w:tcPr>
          <w:p w14:paraId="0CD56D56" w14:textId="77777777" w:rsidR="008D6077" w:rsidRPr="00D067BC" w:rsidRDefault="008D6077" w:rsidP="008D6077">
            <w:r w:rsidRPr="00D067BC">
              <w:t>Cita informācija</w:t>
            </w:r>
          </w:p>
        </w:tc>
        <w:tc>
          <w:tcPr>
            <w:tcW w:w="3100" w:type="pct"/>
            <w:gridSpan w:val="4"/>
            <w:tcBorders>
              <w:top w:val="single" w:sz="4" w:space="0" w:color="auto"/>
              <w:left w:val="single" w:sz="4" w:space="0" w:color="auto"/>
              <w:bottom w:val="single" w:sz="4" w:space="0" w:color="auto"/>
              <w:right w:val="single" w:sz="4" w:space="0" w:color="auto"/>
            </w:tcBorders>
          </w:tcPr>
          <w:p w14:paraId="72D0279F" w14:textId="77777777" w:rsidR="008D6077" w:rsidRPr="004244CB" w:rsidRDefault="008D6077" w:rsidP="008D6077">
            <w:pPr>
              <w:ind w:firstLine="144"/>
              <w:rPr>
                <w:color w:val="FF0000"/>
              </w:rPr>
            </w:pPr>
            <w:r w:rsidRPr="005C11DB">
              <w:t>Nav</w:t>
            </w:r>
          </w:p>
        </w:tc>
      </w:tr>
    </w:tbl>
    <w:p w14:paraId="5B18304D" w14:textId="77777777" w:rsidR="0016547D" w:rsidRPr="00D067BC" w:rsidDel="009D1634" w:rsidRDefault="0016547D" w:rsidP="00E56BB0"/>
    <w:p w14:paraId="1B805CD0" w14:textId="77777777" w:rsidR="0016547D" w:rsidRPr="00D067BC" w:rsidRDefault="0016547D" w:rsidP="00E56BB0"/>
    <w:tbl>
      <w:tblPr>
        <w:tblW w:w="97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0"/>
        <w:gridCol w:w="4242"/>
        <w:gridCol w:w="4938"/>
      </w:tblGrid>
      <w:tr w:rsidR="0016547D" w:rsidRPr="00D067BC" w14:paraId="00C062C9" w14:textId="77777777" w:rsidTr="00857626">
        <w:tc>
          <w:tcPr>
            <w:tcW w:w="9720" w:type="dxa"/>
            <w:gridSpan w:val="3"/>
          </w:tcPr>
          <w:p w14:paraId="2675656A" w14:textId="77777777" w:rsidR="0016547D" w:rsidRPr="00C96F17" w:rsidRDefault="0016547D" w:rsidP="00074F9F">
            <w:pPr>
              <w:pStyle w:val="naisnod"/>
              <w:spacing w:before="0" w:after="0"/>
              <w:ind w:left="57" w:right="57"/>
              <w:jc w:val="center"/>
              <w:rPr>
                <w:b/>
              </w:rPr>
            </w:pPr>
            <w:r w:rsidRPr="00C96F17">
              <w:rPr>
                <w:b/>
              </w:rPr>
              <w:t>VII. Tiesību akta projekta izpildes nodrošināšana un tās ietekme uz institūcijām</w:t>
            </w:r>
          </w:p>
        </w:tc>
      </w:tr>
      <w:tr w:rsidR="0016547D" w:rsidRPr="00D067BC" w14:paraId="3430706A" w14:textId="77777777" w:rsidTr="00857626">
        <w:trPr>
          <w:trHeight w:val="427"/>
        </w:trPr>
        <w:tc>
          <w:tcPr>
            <w:tcW w:w="540" w:type="dxa"/>
          </w:tcPr>
          <w:p w14:paraId="6F9A733C" w14:textId="77777777" w:rsidR="0016547D" w:rsidRPr="00C96F17" w:rsidRDefault="0016547D" w:rsidP="00C83BF1">
            <w:pPr>
              <w:pStyle w:val="naisnod"/>
              <w:spacing w:before="0" w:after="0"/>
              <w:ind w:left="57" w:right="57"/>
            </w:pPr>
            <w:r w:rsidRPr="00C96F17">
              <w:t>1.</w:t>
            </w:r>
          </w:p>
        </w:tc>
        <w:tc>
          <w:tcPr>
            <w:tcW w:w="4242" w:type="dxa"/>
          </w:tcPr>
          <w:p w14:paraId="1343CA2C" w14:textId="77777777" w:rsidR="0016547D" w:rsidRPr="00C96F17" w:rsidRDefault="0016547D" w:rsidP="00C83BF1">
            <w:pPr>
              <w:pStyle w:val="naisf"/>
              <w:spacing w:before="0" w:after="0"/>
              <w:ind w:left="57" w:right="57" w:firstLine="0"/>
              <w:jc w:val="left"/>
            </w:pPr>
            <w:r w:rsidRPr="00C96F17">
              <w:t xml:space="preserve">Projekta izpildē iesaistītās institūcijas </w:t>
            </w:r>
          </w:p>
        </w:tc>
        <w:tc>
          <w:tcPr>
            <w:tcW w:w="4938" w:type="dxa"/>
          </w:tcPr>
          <w:p w14:paraId="2AAFC54A" w14:textId="29096BBF" w:rsidR="0016547D" w:rsidRPr="005C11DB" w:rsidRDefault="003412F7" w:rsidP="003412F7">
            <w:pPr>
              <w:pStyle w:val="naisnod"/>
              <w:spacing w:before="0" w:after="0"/>
              <w:ind w:right="57" w:firstLine="195"/>
              <w:jc w:val="both"/>
            </w:pPr>
            <w:r>
              <w:t>Valsts policija</w:t>
            </w:r>
            <w:r w:rsidR="00BE6A1D" w:rsidRPr="005C11DB">
              <w:t>.</w:t>
            </w:r>
          </w:p>
        </w:tc>
      </w:tr>
      <w:tr w:rsidR="0016547D" w:rsidRPr="00D067BC" w14:paraId="309D4F7F" w14:textId="77777777" w:rsidTr="00857626">
        <w:trPr>
          <w:trHeight w:val="463"/>
        </w:trPr>
        <w:tc>
          <w:tcPr>
            <w:tcW w:w="540" w:type="dxa"/>
          </w:tcPr>
          <w:p w14:paraId="415565C1" w14:textId="77777777" w:rsidR="0016547D" w:rsidRPr="00C96F17" w:rsidRDefault="0016547D" w:rsidP="00C83BF1">
            <w:pPr>
              <w:pStyle w:val="naisnod"/>
              <w:spacing w:before="0" w:after="0"/>
              <w:ind w:left="57" w:right="57"/>
            </w:pPr>
            <w:r w:rsidRPr="00C96F17">
              <w:t>2.</w:t>
            </w:r>
          </w:p>
        </w:tc>
        <w:tc>
          <w:tcPr>
            <w:tcW w:w="4242" w:type="dxa"/>
          </w:tcPr>
          <w:p w14:paraId="632796F3" w14:textId="77777777" w:rsidR="008610C0" w:rsidRPr="008610C0" w:rsidRDefault="008610C0" w:rsidP="005C11DB">
            <w:pPr>
              <w:pStyle w:val="naisf"/>
              <w:ind w:left="57" w:right="57" w:firstLine="0"/>
              <w:jc w:val="left"/>
            </w:pPr>
            <w:r w:rsidRPr="008610C0">
              <w:t>Projekta izpildes ietekme uz pārvaldes funkcijām un institucionālo struktūru.</w:t>
            </w:r>
          </w:p>
          <w:p w14:paraId="00D6C5A4" w14:textId="77777777" w:rsidR="008610C0" w:rsidRPr="008610C0" w:rsidRDefault="008610C0" w:rsidP="005C11DB">
            <w:pPr>
              <w:pStyle w:val="naisf"/>
              <w:spacing w:before="0" w:after="0"/>
              <w:ind w:left="57" w:right="57" w:firstLine="0"/>
            </w:pPr>
            <w:r w:rsidRPr="008610C0">
              <w:t>Jaunu institūciju izveide, esošu institūciju likvidācija vai reorganizācija, to ietekme uz institūcijas cilvēkresursiem</w:t>
            </w:r>
          </w:p>
          <w:p w14:paraId="042D6F63" w14:textId="4E02F96D" w:rsidR="0016547D" w:rsidRPr="00C96F17" w:rsidRDefault="0016547D" w:rsidP="00C83BF1">
            <w:pPr>
              <w:pStyle w:val="naisf"/>
              <w:spacing w:before="0" w:after="0"/>
              <w:ind w:left="57" w:right="57" w:firstLine="0"/>
              <w:jc w:val="left"/>
            </w:pPr>
          </w:p>
        </w:tc>
        <w:tc>
          <w:tcPr>
            <w:tcW w:w="4938" w:type="dxa"/>
          </w:tcPr>
          <w:p w14:paraId="5E16ED5F" w14:textId="3201BD13" w:rsidR="008610C0" w:rsidRPr="005C11DB" w:rsidRDefault="005A65E0" w:rsidP="003412F7">
            <w:pPr>
              <w:pStyle w:val="naisnod"/>
              <w:ind w:left="57" w:right="57" w:firstLine="138"/>
              <w:jc w:val="both"/>
            </w:pPr>
            <w:r w:rsidRPr="005C11DB">
              <w:t>Netiek paplašinātas vai sašaurinātas esošo institūciju funkcijas, kā arī nav nepieciešams veidot jaunas institūcijas, likvidēt vai reorganizēt esošās institūcijas.</w:t>
            </w:r>
          </w:p>
        </w:tc>
      </w:tr>
      <w:tr w:rsidR="0016547D" w:rsidRPr="00D067BC" w14:paraId="02221A16" w14:textId="77777777" w:rsidTr="00857626">
        <w:trPr>
          <w:trHeight w:val="476"/>
        </w:trPr>
        <w:tc>
          <w:tcPr>
            <w:tcW w:w="540" w:type="dxa"/>
          </w:tcPr>
          <w:p w14:paraId="6453BE43" w14:textId="5AC84F4D" w:rsidR="0016547D" w:rsidRPr="00C96F17" w:rsidRDefault="008610C0" w:rsidP="009F5A5F">
            <w:pPr>
              <w:pStyle w:val="naiskr"/>
              <w:ind w:left="57" w:right="57"/>
            </w:pPr>
            <w:r>
              <w:t>3</w:t>
            </w:r>
            <w:r w:rsidR="0016547D" w:rsidRPr="00C96F17">
              <w:t>.</w:t>
            </w:r>
          </w:p>
        </w:tc>
        <w:tc>
          <w:tcPr>
            <w:tcW w:w="4242" w:type="dxa"/>
          </w:tcPr>
          <w:p w14:paraId="7BB6EADA" w14:textId="77777777" w:rsidR="0016547D" w:rsidRPr="00C96F17" w:rsidRDefault="0016547D" w:rsidP="00C83BF1">
            <w:pPr>
              <w:pStyle w:val="naiskr"/>
              <w:spacing w:before="0" w:after="0"/>
              <w:ind w:left="57" w:right="57"/>
            </w:pPr>
            <w:r w:rsidRPr="00C96F17">
              <w:t>Cita informācija</w:t>
            </w:r>
          </w:p>
        </w:tc>
        <w:tc>
          <w:tcPr>
            <w:tcW w:w="4938" w:type="dxa"/>
          </w:tcPr>
          <w:p w14:paraId="335C9738" w14:textId="77777777" w:rsidR="0016547D" w:rsidRPr="005C11DB" w:rsidRDefault="0016547D" w:rsidP="00630765">
            <w:pPr>
              <w:pStyle w:val="naiskr"/>
              <w:spacing w:before="0" w:after="0"/>
              <w:ind w:left="57" w:right="57" w:firstLine="138"/>
            </w:pPr>
            <w:r w:rsidRPr="005C11DB">
              <w:t>Nav</w:t>
            </w:r>
          </w:p>
        </w:tc>
      </w:tr>
    </w:tbl>
    <w:p w14:paraId="714F7031" w14:textId="77777777" w:rsidR="0016547D" w:rsidRDefault="0016547D" w:rsidP="00074F9F">
      <w:pPr>
        <w:pStyle w:val="naisf"/>
        <w:tabs>
          <w:tab w:val="left" w:pos="5760"/>
        </w:tabs>
        <w:spacing w:before="0" w:after="0"/>
        <w:ind w:firstLine="720"/>
        <w:rPr>
          <w:sz w:val="28"/>
          <w:szCs w:val="28"/>
        </w:rPr>
      </w:pPr>
    </w:p>
    <w:p w14:paraId="0EA957CC" w14:textId="2D6F69D6" w:rsidR="0016547D" w:rsidRDefault="0016547D" w:rsidP="00C974AC">
      <w:pPr>
        <w:rPr>
          <w:szCs w:val="28"/>
        </w:rPr>
      </w:pPr>
      <w:r w:rsidRPr="00D067BC">
        <w:rPr>
          <w:szCs w:val="28"/>
        </w:rPr>
        <w:t>Anotācijas III</w:t>
      </w:r>
      <w:r w:rsidR="00630765">
        <w:rPr>
          <w:szCs w:val="28"/>
        </w:rPr>
        <w:t>, IV</w:t>
      </w:r>
      <w:r w:rsidR="00FE7ECF">
        <w:rPr>
          <w:szCs w:val="28"/>
        </w:rPr>
        <w:t xml:space="preserve"> un </w:t>
      </w:r>
      <w:r w:rsidR="00630765">
        <w:rPr>
          <w:szCs w:val="28"/>
        </w:rPr>
        <w:t xml:space="preserve">VI </w:t>
      </w:r>
      <w:r w:rsidRPr="00D067BC">
        <w:rPr>
          <w:bCs/>
          <w:szCs w:val="28"/>
        </w:rPr>
        <w:t xml:space="preserve">sadaļa </w:t>
      </w:r>
      <w:r w:rsidRPr="00D067BC">
        <w:rPr>
          <w:szCs w:val="28"/>
        </w:rPr>
        <w:t>–</w:t>
      </w:r>
      <w:r w:rsidRPr="00D067BC">
        <w:rPr>
          <w:bCs/>
          <w:szCs w:val="28"/>
        </w:rPr>
        <w:t xml:space="preserve"> p</w:t>
      </w:r>
      <w:r w:rsidRPr="00D067BC">
        <w:rPr>
          <w:szCs w:val="28"/>
        </w:rPr>
        <w:t>rojekts šo jomu neskar.</w:t>
      </w:r>
    </w:p>
    <w:p w14:paraId="6EA8D8AE" w14:textId="77777777" w:rsidR="00AD3820" w:rsidRDefault="00AD3820" w:rsidP="00C974AC">
      <w:pPr>
        <w:rPr>
          <w:szCs w:val="28"/>
        </w:rPr>
      </w:pPr>
    </w:p>
    <w:p w14:paraId="5BDEC721" w14:textId="77777777" w:rsidR="00C974AC" w:rsidRDefault="00C974AC" w:rsidP="006D4064">
      <w:pPr>
        <w:jc w:val="both"/>
        <w:rPr>
          <w:b/>
          <w:bCs/>
          <w:sz w:val="28"/>
          <w:szCs w:val="28"/>
        </w:rPr>
      </w:pPr>
    </w:p>
    <w:p w14:paraId="0C8A1AE0" w14:textId="77777777" w:rsidR="00C974AC" w:rsidRDefault="00C974AC" w:rsidP="006D4064">
      <w:pPr>
        <w:jc w:val="both"/>
        <w:rPr>
          <w:b/>
          <w:bCs/>
          <w:sz w:val="28"/>
          <w:szCs w:val="28"/>
        </w:rPr>
      </w:pPr>
    </w:p>
    <w:p w14:paraId="22A0209F" w14:textId="1021536D" w:rsidR="0016547D" w:rsidRPr="00D64794" w:rsidRDefault="0016547D" w:rsidP="006D4064">
      <w:pPr>
        <w:jc w:val="both"/>
        <w:rPr>
          <w:sz w:val="28"/>
          <w:szCs w:val="28"/>
        </w:rPr>
      </w:pPr>
      <w:r w:rsidRPr="00D64794">
        <w:rPr>
          <w:sz w:val="28"/>
          <w:szCs w:val="28"/>
        </w:rPr>
        <w:t>Iekšlietu ministrs</w:t>
      </w:r>
      <w:r w:rsidRPr="00D64794">
        <w:rPr>
          <w:sz w:val="28"/>
          <w:szCs w:val="28"/>
        </w:rPr>
        <w:tab/>
      </w:r>
      <w:r w:rsidRPr="00D64794">
        <w:rPr>
          <w:sz w:val="28"/>
          <w:szCs w:val="28"/>
        </w:rPr>
        <w:tab/>
      </w:r>
      <w:r w:rsidRPr="00D64794">
        <w:rPr>
          <w:sz w:val="28"/>
          <w:szCs w:val="28"/>
        </w:rPr>
        <w:tab/>
      </w:r>
      <w:r w:rsidRPr="00D64794">
        <w:rPr>
          <w:sz w:val="28"/>
          <w:szCs w:val="28"/>
        </w:rPr>
        <w:tab/>
      </w:r>
      <w:r w:rsidRPr="00D64794">
        <w:rPr>
          <w:sz w:val="28"/>
          <w:szCs w:val="28"/>
        </w:rPr>
        <w:tab/>
      </w:r>
      <w:r w:rsidR="006D4064">
        <w:rPr>
          <w:sz w:val="28"/>
          <w:szCs w:val="28"/>
        </w:rPr>
        <w:tab/>
      </w:r>
      <w:r w:rsidR="00C974AC">
        <w:rPr>
          <w:sz w:val="28"/>
          <w:szCs w:val="28"/>
        </w:rPr>
        <w:tab/>
      </w:r>
      <w:r w:rsidRPr="00D64794">
        <w:rPr>
          <w:sz w:val="28"/>
          <w:szCs w:val="28"/>
        </w:rPr>
        <w:t>R. Kozlovskis</w:t>
      </w:r>
    </w:p>
    <w:p w14:paraId="741044D5" w14:textId="77777777" w:rsidR="0016547D" w:rsidRPr="00D067BC" w:rsidRDefault="0016547D" w:rsidP="00616AA6">
      <w:pPr>
        <w:pStyle w:val="naisf"/>
        <w:rPr>
          <w:sz w:val="28"/>
          <w:szCs w:val="28"/>
        </w:rPr>
      </w:pPr>
    </w:p>
    <w:p w14:paraId="2F2D8DC0" w14:textId="77777777" w:rsidR="0016547D" w:rsidRPr="00D067BC" w:rsidRDefault="0016547D" w:rsidP="00616AA6">
      <w:pPr>
        <w:pStyle w:val="naisf"/>
        <w:rPr>
          <w:sz w:val="28"/>
          <w:szCs w:val="28"/>
        </w:rPr>
      </w:pPr>
    </w:p>
    <w:p w14:paraId="01A3C7A9" w14:textId="7EEC21DD" w:rsidR="0016547D" w:rsidRPr="00D067BC" w:rsidRDefault="0016547D" w:rsidP="006D4064">
      <w:pPr>
        <w:pStyle w:val="naisf"/>
        <w:ind w:firstLine="0"/>
        <w:rPr>
          <w:sz w:val="28"/>
          <w:szCs w:val="28"/>
        </w:rPr>
      </w:pPr>
      <w:r w:rsidRPr="00D067BC">
        <w:rPr>
          <w:sz w:val="28"/>
          <w:szCs w:val="28"/>
        </w:rPr>
        <w:t>Vīza: valsts sekretār</w:t>
      </w:r>
      <w:r w:rsidR="005938D7">
        <w:rPr>
          <w:sz w:val="28"/>
          <w:szCs w:val="28"/>
        </w:rPr>
        <w:t>e</w:t>
      </w:r>
      <w:r w:rsidR="005938D7">
        <w:rPr>
          <w:sz w:val="28"/>
          <w:szCs w:val="28"/>
        </w:rPr>
        <w:tab/>
      </w:r>
      <w:r w:rsidRPr="00D067BC">
        <w:rPr>
          <w:sz w:val="28"/>
          <w:szCs w:val="28"/>
        </w:rPr>
        <w:tab/>
      </w:r>
      <w:r w:rsidR="006D4064">
        <w:rPr>
          <w:sz w:val="28"/>
          <w:szCs w:val="28"/>
        </w:rPr>
        <w:tab/>
      </w:r>
      <w:r w:rsidR="005938D7">
        <w:rPr>
          <w:sz w:val="28"/>
          <w:szCs w:val="28"/>
        </w:rPr>
        <w:tab/>
      </w:r>
      <w:r w:rsidR="005938D7">
        <w:rPr>
          <w:sz w:val="28"/>
          <w:szCs w:val="28"/>
        </w:rPr>
        <w:tab/>
      </w:r>
      <w:r w:rsidR="00C974AC">
        <w:rPr>
          <w:sz w:val="28"/>
          <w:szCs w:val="28"/>
        </w:rPr>
        <w:tab/>
      </w:r>
      <w:r w:rsidR="005938D7">
        <w:rPr>
          <w:sz w:val="28"/>
          <w:szCs w:val="28"/>
        </w:rPr>
        <w:t>I.Pētersone-Godmane</w:t>
      </w:r>
    </w:p>
    <w:p w14:paraId="338F50FF" w14:textId="77777777" w:rsidR="0016547D" w:rsidRPr="00D067BC" w:rsidRDefault="0016547D" w:rsidP="00B85402">
      <w:pPr>
        <w:jc w:val="both"/>
        <w:rPr>
          <w:sz w:val="28"/>
          <w:szCs w:val="28"/>
        </w:rPr>
      </w:pPr>
    </w:p>
    <w:p w14:paraId="13105358" w14:textId="7C968D29" w:rsidR="00C9403B" w:rsidRPr="00256F8A" w:rsidRDefault="00DA516E" w:rsidP="00C9403B">
      <w:pPr>
        <w:rPr>
          <w:sz w:val="20"/>
          <w:szCs w:val="20"/>
        </w:rPr>
      </w:pPr>
      <w:r>
        <w:rPr>
          <w:sz w:val="20"/>
          <w:szCs w:val="20"/>
        </w:rPr>
        <w:t>2016.</w:t>
      </w:r>
      <w:r w:rsidR="00DF00E3">
        <w:rPr>
          <w:sz w:val="20"/>
          <w:szCs w:val="20"/>
        </w:rPr>
        <w:t>07.0</w:t>
      </w:r>
      <w:r w:rsidR="00D735B6">
        <w:rPr>
          <w:sz w:val="20"/>
          <w:szCs w:val="20"/>
        </w:rPr>
        <w:t>7</w:t>
      </w:r>
      <w:r w:rsidR="00C9403B">
        <w:rPr>
          <w:sz w:val="20"/>
          <w:szCs w:val="20"/>
        </w:rPr>
        <w:t xml:space="preserve">. </w:t>
      </w:r>
      <w:r w:rsidR="001556E1">
        <w:rPr>
          <w:sz w:val="20"/>
          <w:szCs w:val="20"/>
        </w:rPr>
        <w:t>09:00</w:t>
      </w:r>
    </w:p>
    <w:p w14:paraId="745A1216" w14:textId="74B6AC7B" w:rsidR="00C9403B" w:rsidRPr="00DF2C99" w:rsidRDefault="00DF00E3" w:rsidP="00C9403B">
      <w:pPr>
        <w:rPr>
          <w:sz w:val="20"/>
          <w:szCs w:val="20"/>
        </w:rPr>
      </w:pPr>
      <w:r>
        <w:rPr>
          <w:sz w:val="20"/>
          <w:szCs w:val="20"/>
        </w:rPr>
        <w:t>2762</w:t>
      </w:r>
    </w:p>
    <w:p w14:paraId="3E74BBE5" w14:textId="50019BFB" w:rsidR="00C9403B" w:rsidRPr="00256F8A" w:rsidRDefault="004244CB" w:rsidP="00C9403B">
      <w:pPr>
        <w:rPr>
          <w:sz w:val="20"/>
          <w:szCs w:val="20"/>
        </w:rPr>
      </w:pPr>
      <w:r>
        <w:rPr>
          <w:sz w:val="20"/>
          <w:szCs w:val="20"/>
        </w:rPr>
        <w:t>R.Stulpāns</w:t>
      </w:r>
      <w:r w:rsidR="00C9403B" w:rsidRPr="00256F8A">
        <w:rPr>
          <w:sz w:val="20"/>
          <w:szCs w:val="20"/>
        </w:rPr>
        <w:tab/>
      </w:r>
    </w:p>
    <w:p w14:paraId="1F591B3B" w14:textId="64BC188F" w:rsidR="00C9403B" w:rsidRDefault="00C9403B" w:rsidP="00C9403B">
      <w:pPr>
        <w:rPr>
          <w:sz w:val="20"/>
          <w:szCs w:val="20"/>
        </w:rPr>
      </w:pPr>
      <w:r w:rsidRPr="00256F8A">
        <w:rPr>
          <w:sz w:val="20"/>
          <w:szCs w:val="20"/>
        </w:rPr>
        <w:t>67219</w:t>
      </w:r>
      <w:r w:rsidR="004244CB">
        <w:rPr>
          <w:sz w:val="20"/>
          <w:szCs w:val="20"/>
        </w:rPr>
        <w:t>3</w:t>
      </w:r>
      <w:r w:rsidRPr="00256F8A">
        <w:rPr>
          <w:sz w:val="20"/>
          <w:szCs w:val="20"/>
        </w:rPr>
        <w:t>1</w:t>
      </w:r>
      <w:r w:rsidR="004244CB">
        <w:rPr>
          <w:sz w:val="20"/>
          <w:szCs w:val="20"/>
        </w:rPr>
        <w:t>0</w:t>
      </w:r>
      <w:r w:rsidRPr="00256F8A">
        <w:rPr>
          <w:sz w:val="20"/>
          <w:szCs w:val="20"/>
        </w:rPr>
        <w:t xml:space="preserve">, </w:t>
      </w:r>
      <w:r w:rsidR="004244CB">
        <w:rPr>
          <w:sz w:val="20"/>
          <w:szCs w:val="20"/>
        </w:rPr>
        <w:t>raimonds.stulpans</w:t>
      </w:r>
      <w:r w:rsidRPr="00256F8A">
        <w:rPr>
          <w:sz w:val="20"/>
          <w:szCs w:val="20"/>
        </w:rPr>
        <w:t>@iem.gov.lv</w:t>
      </w:r>
    </w:p>
    <w:sectPr w:rsidR="00C9403B" w:rsidSect="00C01B10">
      <w:headerReference w:type="even" r:id="rId15"/>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9E408" w14:textId="77777777" w:rsidR="00810788" w:rsidRDefault="00810788" w:rsidP="00616AA6">
      <w:r>
        <w:separator/>
      </w:r>
    </w:p>
  </w:endnote>
  <w:endnote w:type="continuationSeparator" w:id="0">
    <w:p w14:paraId="188C813A" w14:textId="77777777" w:rsidR="00810788" w:rsidRDefault="00810788"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7" w:usb1="00000000" w:usb2="00000000" w:usb3="00000000" w:csb0="00000003"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D248" w14:textId="30E24247" w:rsidR="00A31D5D" w:rsidRPr="00A31D5D" w:rsidRDefault="00A31D5D" w:rsidP="00A31D5D">
    <w:pPr>
      <w:pStyle w:val="Footer"/>
      <w:rPr>
        <w:sz w:val="20"/>
        <w:szCs w:val="20"/>
      </w:rPr>
    </w:pPr>
    <w:r w:rsidRPr="00A31D5D">
      <w:rPr>
        <w:sz w:val="20"/>
        <w:szCs w:val="20"/>
      </w:rPr>
      <w:t>IeM</w:t>
    </w:r>
    <w:r>
      <w:rPr>
        <w:sz w:val="20"/>
        <w:szCs w:val="20"/>
      </w:rPr>
      <w:t>An</w:t>
    </w:r>
    <w:r w:rsidRPr="00A31D5D">
      <w:rPr>
        <w:sz w:val="20"/>
        <w:szCs w:val="20"/>
      </w:rPr>
      <w:t>ot_</w:t>
    </w:r>
    <w:r w:rsidR="0092489F" w:rsidRPr="0092489F">
      <w:rPr>
        <w:sz w:val="20"/>
        <w:szCs w:val="20"/>
      </w:rPr>
      <w:t>IerSprES</w:t>
    </w:r>
    <w:r w:rsidRPr="00A31D5D">
      <w:rPr>
        <w:sz w:val="20"/>
        <w:szCs w:val="20"/>
      </w:rPr>
      <w:t>_</w:t>
    </w:r>
    <w:r w:rsidR="00034EB7">
      <w:rPr>
        <w:sz w:val="20"/>
        <w:szCs w:val="20"/>
      </w:rPr>
      <w:t>07</w:t>
    </w:r>
    <w:r w:rsidR="00F13FDC">
      <w:rPr>
        <w:sz w:val="20"/>
        <w:szCs w:val="20"/>
      </w:rPr>
      <w:t>07</w:t>
    </w:r>
    <w:r w:rsidR="00F13FDC" w:rsidRPr="00A31D5D">
      <w:rPr>
        <w:sz w:val="20"/>
        <w:szCs w:val="20"/>
      </w:rPr>
      <w:t>2016</w:t>
    </w:r>
    <w:r w:rsidRPr="00A31D5D">
      <w:rPr>
        <w:sz w:val="20"/>
        <w:szCs w:val="20"/>
      </w:rPr>
      <w:t>.docx; Ministru kabineta noteikumu projekts „Iepriekšējās piekrišanas dokumenta šaujamieroču un munīcijas vai sprāgstvielu pārvietošanai starp Eiropas Savienības dalībvalstīm izsniegšanas, apturēšanas un anulēšanas prasības”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4D09D" w14:textId="5E853169" w:rsidR="00A31D5D" w:rsidRPr="00A31D5D" w:rsidRDefault="00A31D5D" w:rsidP="00A31D5D">
    <w:pPr>
      <w:pStyle w:val="Footer"/>
      <w:rPr>
        <w:sz w:val="20"/>
        <w:szCs w:val="20"/>
      </w:rPr>
    </w:pPr>
    <w:r w:rsidRPr="00A31D5D">
      <w:rPr>
        <w:sz w:val="20"/>
        <w:szCs w:val="20"/>
      </w:rPr>
      <w:t>IeM</w:t>
    </w:r>
    <w:r>
      <w:rPr>
        <w:sz w:val="20"/>
        <w:szCs w:val="20"/>
      </w:rPr>
      <w:t>An</w:t>
    </w:r>
    <w:r w:rsidRPr="00A31D5D">
      <w:rPr>
        <w:sz w:val="20"/>
        <w:szCs w:val="20"/>
      </w:rPr>
      <w:t>ot_</w:t>
    </w:r>
    <w:r w:rsidR="0092489F" w:rsidRPr="0092489F">
      <w:rPr>
        <w:sz w:val="20"/>
        <w:szCs w:val="20"/>
      </w:rPr>
      <w:t>IerSprES</w:t>
    </w:r>
    <w:r w:rsidRPr="00A31D5D">
      <w:rPr>
        <w:sz w:val="20"/>
        <w:szCs w:val="20"/>
      </w:rPr>
      <w:t>_</w:t>
    </w:r>
    <w:r w:rsidR="00F13FDC">
      <w:rPr>
        <w:sz w:val="20"/>
        <w:szCs w:val="20"/>
      </w:rPr>
      <w:t>0</w:t>
    </w:r>
    <w:r w:rsidR="00034EB7">
      <w:rPr>
        <w:sz w:val="20"/>
        <w:szCs w:val="20"/>
      </w:rPr>
      <w:t>7</w:t>
    </w:r>
    <w:r w:rsidR="00F13FDC">
      <w:rPr>
        <w:sz w:val="20"/>
        <w:szCs w:val="20"/>
      </w:rPr>
      <w:t>07</w:t>
    </w:r>
    <w:r w:rsidR="00F13FDC" w:rsidRPr="00A31D5D">
      <w:rPr>
        <w:sz w:val="20"/>
        <w:szCs w:val="20"/>
      </w:rPr>
      <w:t>2016</w:t>
    </w:r>
    <w:r w:rsidRPr="00A31D5D">
      <w:rPr>
        <w:sz w:val="20"/>
        <w:szCs w:val="20"/>
      </w:rPr>
      <w:t>.docx; Ministru kabineta noteikumu projekts „Iepriekšējās piekrišanas dokumenta šaujamieroču un munīcijas vai sprāgstvielu pārvietošanai starp Eiropas Savienības dalībvalstīm izsniegšanas, apturēšanas un anulēšanas prasības”</w:t>
    </w:r>
  </w:p>
  <w:p w14:paraId="7463F4EB" w14:textId="77777777" w:rsidR="00A31D5D" w:rsidRPr="00A31D5D" w:rsidRDefault="00A31D5D" w:rsidP="00A31D5D">
    <w:pPr>
      <w:pStyle w:val="Footer"/>
      <w:rPr>
        <w:sz w:val="20"/>
        <w:szCs w:val="20"/>
        <w:lang w:val="en-US"/>
      </w:rPr>
    </w:pPr>
  </w:p>
  <w:p w14:paraId="51963280" w14:textId="16B281A8" w:rsidR="00810788" w:rsidRPr="00A31D5D" w:rsidRDefault="00810788" w:rsidP="00A31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0BCE6" w14:textId="77777777" w:rsidR="00810788" w:rsidRDefault="00810788" w:rsidP="00616AA6">
      <w:r>
        <w:separator/>
      </w:r>
    </w:p>
  </w:footnote>
  <w:footnote w:type="continuationSeparator" w:id="0">
    <w:p w14:paraId="74EFB4D3" w14:textId="77777777" w:rsidR="00810788" w:rsidRDefault="00810788"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CD7C" w14:textId="77777777" w:rsidR="00810788" w:rsidRDefault="00810788"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6069B" w14:textId="77777777" w:rsidR="00810788" w:rsidRDefault="00810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CC47" w14:textId="77777777" w:rsidR="00810788" w:rsidRDefault="00810788"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3D3">
      <w:rPr>
        <w:rStyle w:val="PageNumber"/>
        <w:noProof/>
      </w:rPr>
      <w:t>9</w:t>
    </w:r>
    <w:r>
      <w:rPr>
        <w:rStyle w:val="PageNumber"/>
      </w:rPr>
      <w:fldChar w:fldCharType="end"/>
    </w:r>
  </w:p>
  <w:p w14:paraId="50C58E2B" w14:textId="77777777" w:rsidR="00810788" w:rsidRDefault="00810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1654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AAD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4CD6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E02F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56F4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B44F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E62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C81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46AC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14931A"/>
    <w:lvl w:ilvl="0">
      <w:start w:val="1"/>
      <w:numFmt w:val="bullet"/>
      <w:lvlText w:val=""/>
      <w:lvlJc w:val="left"/>
      <w:pPr>
        <w:tabs>
          <w:tab w:val="num" w:pos="360"/>
        </w:tabs>
        <w:ind w:left="360" w:hanging="360"/>
      </w:pPr>
      <w:rPr>
        <w:rFonts w:ascii="Symbol" w:hAnsi="Symbol" w:hint="default"/>
      </w:rPr>
    </w:lvl>
  </w:abstractNum>
  <w:abstractNum w:abstractNumId="10">
    <w:nsid w:val="1D1C5F4B"/>
    <w:multiLevelType w:val="hybridMultilevel"/>
    <w:tmpl w:val="87BA4C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1EF8377A"/>
    <w:multiLevelType w:val="hybridMultilevel"/>
    <w:tmpl w:val="5C3CDAB8"/>
    <w:lvl w:ilvl="0" w:tplc="1E0AC7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278F4508"/>
    <w:multiLevelType w:val="hybridMultilevel"/>
    <w:tmpl w:val="FFA86E04"/>
    <w:lvl w:ilvl="0" w:tplc="3CB43274">
      <w:start w:val="1"/>
      <w:numFmt w:val="decimal"/>
      <w:lvlText w:val="%1)"/>
      <w:lvlJc w:val="left"/>
      <w:pPr>
        <w:tabs>
          <w:tab w:val="num" w:pos="1241"/>
        </w:tabs>
        <w:ind w:left="1241" w:hanging="825"/>
      </w:pPr>
      <w:rPr>
        <w:rFonts w:hint="default"/>
      </w:rPr>
    </w:lvl>
    <w:lvl w:ilvl="1" w:tplc="04260019" w:tentative="1">
      <w:start w:val="1"/>
      <w:numFmt w:val="lowerLetter"/>
      <w:lvlText w:val="%2."/>
      <w:lvlJc w:val="left"/>
      <w:pPr>
        <w:tabs>
          <w:tab w:val="num" w:pos="1496"/>
        </w:tabs>
        <w:ind w:left="1496" w:hanging="360"/>
      </w:pPr>
    </w:lvl>
    <w:lvl w:ilvl="2" w:tplc="0426001B" w:tentative="1">
      <w:start w:val="1"/>
      <w:numFmt w:val="lowerRoman"/>
      <w:lvlText w:val="%3."/>
      <w:lvlJc w:val="right"/>
      <w:pPr>
        <w:tabs>
          <w:tab w:val="num" w:pos="2216"/>
        </w:tabs>
        <w:ind w:left="2216" w:hanging="180"/>
      </w:pPr>
    </w:lvl>
    <w:lvl w:ilvl="3" w:tplc="0426000F" w:tentative="1">
      <w:start w:val="1"/>
      <w:numFmt w:val="decimal"/>
      <w:lvlText w:val="%4."/>
      <w:lvlJc w:val="left"/>
      <w:pPr>
        <w:tabs>
          <w:tab w:val="num" w:pos="2936"/>
        </w:tabs>
        <w:ind w:left="2936" w:hanging="360"/>
      </w:pPr>
    </w:lvl>
    <w:lvl w:ilvl="4" w:tplc="04260019" w:tentative="1">
      <w:start w:val="1"/>
      <w:numFmt w:val="lowerLetter"/>
      <w:lvlText w:val="%5."/>
      <w:lvlJc w:val="left"/>
      <w:pPr>
        <w:tabs>
          <w:tab w:val="num" w:pos="3656"/>
        </w:tabs>
        <w:ind w:left="3656" w:hanging="360"/>
      </w:pPr>
    </w:lvl>
    <w:lvl w:ilvl="5" w:tplc="0426001B" w:tentative="1">
      <w:start w:val="1"/>
      <w:numFmt w:val="lowerRoman"/>
      <w:lvlText w:val="%6."/>
      <w:lvlJc w:val="right"/>
      <w:pPr>
        <w:tabs>
          <w:tab w:val="num" w:pos="4376"/>
        </w:tabs>
        <w:ind w:left="4376" w:hanging="180"/>
      </w:pPr>
    </w:lvl>
    <w:lvl w:ilvl="6" w:tplc="0426000F" w:tentative="1">
      <w:start w:val="1"/>
      <w:numFmt w:val="decimal"/>
      <w:lvlText w:val="%7."/>
      <w:lvlJc w:val="left"/>
      <w:pPr>
        <w:tabs>
          <w:tab w:val="num" w:pos="5096"/>
        </w:tabs>
        <w:ind w:left="5096" w:hanging="360"/>
      </w:pPr>
    </w:lvl>
    <w:lvl w:ilvl="7" w:tplc="04260019" w:tentative="1">
      <w:start w:val="1"/>
      <w:numFmt w:val="lowerLetter"/>
      <w:lvlText w:val="%8."/>
      <w:lvlJc w:val="left"/>
      <w:pPr>
        <w:tabs>
          <w:tab w:val="num" w:pos="5816"/>
        </w:tabs>
        <w:ind w:left="5816" w:hanging="360"/>
      </w:pPr>
    </w:lvl>
    <w:lvl w:ilvl="8" w:tplc="0426001B" w:tentative="1">
      <w:start w:val="1"/>
      <w:numFmt w:val="lowerRoman"/>
      <w:lvlText w:val="%9."/>
      <w:lvlJc w:val="right"/>
      <w:pPr>
        <w:tabs>
          <w:tab w:val="num" w:pos="6536"/>
        </w:tabs>
        <w:ind w:left="6536" w:hanging="180"/>
      </w:pPr>
    </w:lvl>
  </w:abstractNum>
  <w:abstractNum w:abstractNumId="13">
    <w:nsid w:val="73B07C72"/>
    <w:multiLevelType w:val="hybridMultilevel"/>
    <w:tmpl w:val="6A2A6FBE"/>
    <w:lvl w:ilvl="0" w:tplc="0426000F">
      <w:start w:val="1"/>
      <w:numFmt w:val="decimal"/>
      <w:lvlText w:val="%1."/>
      <w:lvlJc w:val="left"/>
      <w:pPr>
        <w:ind w:left="556" w:hanging="360"/>
      </w:pPr>
      <w:rPr>
        <w:rFonts w:cs="Times New Roman" w:hint="default"/>
      </w:rPr>
    </w:lvl>
    <w:lvl w:ilvl="1" w:tplc="04260019">
      <w:start w:val="1"/>
      <w:numFmt w:val="lowerLetter"/>
      <w:lvlText w:val="%2."/>
      <w:lvlJc w:val="left"/>
      <w:pPr>
        <w:ind w:left="1276" w:hanging="360"/>
      </w:pPr>
      <w:rPr>
        <w:rFonts w:cs="Times New Roman"/>
      </w:rPr>
    </w:lvl>
    <w:lvl w:ilvl="2" w:tplc="0426001B" w:tentative="1">
      <w:start w:val="1"/>
      <w:numFmt w:val="lowerRoman"/>
      <w:lvlText w:val="%3."/>
      <w:lvlJc w:val="right"/>
      <w:pPr>
        <w:ind w:left="1996" w:hanging="180"/>
      </w:pPr>
      <w:rPr>
        <w:rFonts w:cs="Times New Roman"/>
      </w:rPr>
    </w:lvl>
    <w:lvl w:ilvl="3" w:tplc="0426000F" w:tentative="1">
      <w:start w:val="1"/>
      <w:numFmt w:val="decimal"/>
      <w:lvlText w:val="%4."/>
      <w:lvlJc w:val="left"/>
      <w:pPr>
        <w:ind w:left="2716" w:hanging="360"/>
      </w:pPr>
      <w:rPr>
        <w:rFonts w:cs="Times New Roman"/>
      </w:rPr>
    </w:lvl>
    <w:lvl w:ilvl="4" w:tplc="04260019" w:tentative="1">
      <w:start w:val="1"/>
      <w:numFmt w:val="lowerLetter"/>
      <w:lvlText w:val="%5."/>
      <w:lvlJc w:val="left"/>
      <w:pPr>
        <w:ind w:left="3436" w:hanging="360"/>
      </w:pPr>
      <w:rPr>
        <w:rFonts w:cs="Times New Roman"/>
      </w:rPr>
    </w:lvl>
    <w:lvl w:ilvl="5" w:tplc="0426001B" w:tentative="1">
      <w:start w:val="1"/>
      <w:numFmt w:val="lowerRoman"/>
      <w:lvlText w:val="%6."/>
      <w:lvlJc w:val="right"/>
      <w:pPr>
        <w:ind w:left="4156" w:hanging="180"/>
      </w:pPr>
      <w:rPr>
        <w:rFonts w:cs="Times New Roman"/>
      </w:rPr>
    </w:lvl>
    <w:lvl w:ilvl="6" w:tplc="0426000F" w:tentative="1">
      <w:start w:val="1"/>
      <w:numFmt w:val="decimal"/>
      <w:lvlText w:val="%7."/>
      <w:lvlJc w:val="left"/>
      <w:pPr>
        <w:ind w:left="4876" w:hanging="360"/>
      </w:pPr>
      <w:rPr>
        <w:rFonts w:cs="Times New Roman"/>
      </w:rPr>
    </w:lvl>
    <w:lvl w:ilvl="7" w:tplc="04260019" w:tentative="1">
      <w:start w:val="1"/>
      <w:numFmt w:val="lowerLetter"/>
      <w:lvlText w:val="%8."/>
      <w:lvlJc w:val="left"/>
      <w:pPr>
        <w:ind w:left="5596" w:hanging="360"/>
      </w:pPr>
      <w:rPr>
        <w:rFonts w:cs="Times New Roman"/>
      </w:rPr>
    </w:lvl>
    <w:lvl w:ilvl="8" w:tplc="0426001B" w:tentative="1">
      <w:start w:val="1"/>
      <w:numFmt w:val="lowerRoman"/>
      <w:lvlText w:val="%9."/>
      <w:lvlJc w:val="right"/>
      <w:pPr>
        <w:ind w:left="6316" w:hanging="180"/>
      </w:pPr>
      <w:rPr>
        <w:rFonts w:cs="Times New Roman"/>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1D7"/>
    <w:rsid w:val="000009B8"/>
    <w:rsid w:val="00000A33"/>
    <w:rsid w:val="00001796"/>
    <w:rsid w:val="00001852"/>
    <w:rsid w:val="00001F00"/>
    <w:rsid w:val="00004830"/>
    <w:rsid w:val="00004DCA"/>
    <w:rsid w:val="00006D8B"/>
    <w:rsid w:val="00006EC8"/>
    <w:rsid w:val="00010C80"/>
    <w:rsid w:val="0001297F"/>
    <w:rsid w:val="00013DFC"/>
    <w:rsid w:val="0001404D"/>
    <w:rsid w:val="000147B6"/>
    <w:rsid w:val="00014DEC"/>
    <w:rsid w:val="0001593C"/>
    <w:rsid w:val="000159C7"/>
    <w:rsid w:val="0001739D"/>
    <w:rsid w:val="00017913"/>
    <w:rsid w:val="00017C5D"/>
    <w:rsid w:val="00021DEB"/>
    <w:rsid w:val="0002334F"/>
    <w:rsid w:val="00026D43"/>
    <w:rsid w:val="00026D4B"/>
    <w:rsid w:val="0002708F"/>
    <w:rsid w:val="00030050"/>
    <w:rsid w:val="00034EB7"/>
    <w:rsid w:val="00034F23"/>
    <w:rsid w:val="00035018"/>
    <w:rsid w:val="0003548F"/>
    <w:rsid w:val="00035CC2"/>
    <w:rsid w:val="00036C8D"/>
    <w:rsid w:val="0003713D"/>
    <w:rsid w:val="00037E3A"/>
    <w:rsid w:val="00040056"/>
    <w:rsid w:val="0004015B"/>
    <w:rsid w:val="00040835"/>
    <w:rsid w:val="000408A5"/>
    <w:rsid w:val="00040C8B"/>
    <w:rsid w:val="00040CF2"/>
    <w:rsid w:val="00040FAF"/>
    <w:rsid w:val="0004153C"/>
    <w:rsid w:val="00041748"/>
    <w:rsid w:val="000421B8"/>
    <w:rsid w:val="0004258A"/>
    <w:rsid w:val="00042AF7"/>
    <w:rsid w:val="0004411D"/>
    <w:rsid w:val="000442D7"/>
    <w:rsid w:val="000446B8"/>
    <w:rsid w:val="0004571F"/>
    <w:rsid w:val="000463AB"/>
    <w:rsid w:val="00050361"/>
    <w:rsid w:val="00050E19"/>
    <w:rsid w:val="00053D8C"/>
    <w:rsid w:val="00054C27"/>
    <w:rsid w:val="00054CA4"/>
    <w:rsid w:val="00055DDA"/>
    <w:rsid w:val="00056B9B"/>
    <w:rsid w:val="00057271"/>
    <w:rsid w:val="000573B4"/>
    <w:rsid w:val="00061497"/>
    <w:rsid w:val="000639FB"/>
    <w:rsid w:val="00064154"/>
    <w:rsid w:val="00065E0A"/>
    <w:rsid w:val="00065E77"/>
    <w:rsid w:val="00066148"/>
    <w:rsid w:val="00066BE1"/>
    <w:rsid w:val="00066F71"/>
    <w:rsid w:val="00067E39"/>
    <w:rsid w:val="00070155"/>
    <w:rsid w:val="00070A48"/>
    <w:rsid w:val="00070C02"/>
    <w:rsid w:val="00071E03"/>
    <w:rsid w:val="0007200E"/>
    <w:rsid w:val="00073356"/>
    <w:rsid w:val="00074F9F"/>
    <w:rsid w:val="00076016"/>
    <w:rsid w:val="00077338"/>
    <w:rsid w:val="00077B94"/>
    <w:rsid w:val="00077C99"/>
    <w:rsid w:val="00081265"/>
    <w:rsid w:val="00082234"/>
    <w:rsid w:val="000856E7"/>
    <w:rsid w:val="00085D15"/>
    <w:rsid w:val="000860E0"/>
    <w:rsid w:val="00086543"/>
    <w:rsid w:val="000867B8"/>
    <w:rsid w:val="00086A6B"/>
    <w:rsid w:val="00087F46"/>
    <w:rsid w:val="00090B30"/>
    <w:rsid w:val="00091E0B"/>
    <w:rsid w:val="0009318D"/>
    <w:rsid w:val="000947AE"/>
    <w:rsid w:val="0009583B"/>
    <w:rsid w:val="00096B77"/>
    <w:rsid w:val="00096E41"/>
    <w:rsid w:val="00097C31"/>
    <w:rsid w:val="000A33F7"/>
    <w:rsid w:val="000A3CAF"/>
    <w:rsid w:val="000A3D37"/>
    <w:rsid w:val="000A4AE6"/>
    <w:rsid w:val="000B1C0B"/>
    <w:rsid w:val="000B1FC1"/>
    <w:rsid w:val="000B2239"/>
    <w:rsid w:val="000B4D98"/>
    <w:rsid w:val="000B50A6"/>
    <w:rsid w:val="000C01C3"/>
    <w:rsid w:val="000C040F"/>
    <w:rsid w:val="000C08E4"/>
    <w:rsid w:val="000C558C"/>
    <w:rsid w:val="000C6DA0"/>
    <w:rsid w:val="000D0EC3"/>
    <w:rsid w:val="000D186F"/>
    <w:rsid w:val="000D3722"/>
    <w:rsid w:val="000D526B"/>
    <w:rsid w:val="000D5994"/>
    <w:rsid w:val="000D6F67"/>
    <w:rsid w:val="000D702A"/>
    <w:rsid w:val="000E0071"/>
    <w:rsid w:val="000E0570"/>
    <w:rsid w:val="000E2024"/>
    <w:rsid w:val="000E4664"/>
    <w:rsid w:val="000E4C57"/>
    <w:rsid w:val="000E6137"/>
    <w:rsid w:val="000E777A"/>
    <w:rsid w:val="000F1605"/>
    <w:rsid w:val="000F1984"/>
    <w:rsid w:val="000F38BC"/>
    <w:rsid w:val="000F4DDD"/>
    <w:rsid w:val="0010045B"/>
    <w:rsid w:val="0010312F"/>
    <w:rsid w:val="00103169"/>
    <w:rsid w:val="00104736"/>
    <w:rsid w:val="00106DC1"/>
    <w:rsid w:val="00107045"/>
    <w:rsid w:val="00110EFD"/>
    <w:rsid w:val="00111012"/>
    <w:rsid w:val="001122B8"/>
    <w:rsid w:val="00114E30"/>
    <w:rsid w:val="00114FC7"/>
    <w:rsid w:val="00115F08"/>
    <w:rsid w:val="0011756A"/>
    <w:rsid w:val="00120078"/>
    <w:rsid w:val="001203CA"/>
    <w:rsid w:val="00121F19"/>
    <w:rsid w:val="00122392"/>
    <w:rsid w:val="00122B97"/>
    <w:rsid w:val="00124F86"/>
    <w:rsid w:val="00127B33"/>
    <w:rsid w:val="00130452"/>
    <w:rsid w:val="00130972"/>
    <w:rsid w:val="00130D3F"/>
    <w:rsid w:val="00132F8E"/>
    <w:rsid w:val="001345C3"/>
    <w:rsid w:val="0013469F"/>
    <w:rsid w:val="00136711"/>
    <w:rsid w:val="001370D2"/>
    <w:rsid w:val="001406E9"/>
    <w:rsid w:val="00141105"/>
    <w:rsid w:val="00142B1F"/>
    <w:rsid w:val="00143A2B"/>
    <w:rsid w:val="0014443A"/>
    <w:rsid w:val="001465A5"/>
    <w:rsid w:val="00150BE3"/>
    <w:rsid w:val="00155388"/>
    <w:rsid w:val="001556E1"/>
    <w:rsid w:val="001600D1"/>
    <w:rsid w:val="00160122"/>
    <w:rsid w:val="001634F6"/>
    <w:rsid w:val="001639F7"/>
    <w:rsid w:val="00164681"/>
    <w:rsid w:val="00164B6A"/>
    <w:rsid w:val="0016547D"/>
    <w:rsid w:val="0016599C"/>
    <w:rsid w:val="00165E54"/>
    <w:rsid w:val="00167872"/>
    <w:rsid w:val="00173ECF"/>
    <w:rsid w:val="0017435D"/>
    <w:rsid w:val="001747D5"/>
    <w:rsid w:val="001752CF"/>
    <w:rsid w:val="00175C6E"/>
    <w:rsid w:val="001811E7"/>
    <w:rsid w:val="0018196C"/>
    <w:rsid w:val="00181C30"/>
    <w:rsid w:val="00182248"/>
    <w:rsid w:val="001829D4"/>
    <w:rsid w:val="001863DA"/>
    <w:rsid w:val="0018711E"/>
    <w:rsid w:val="00190D99"/>
    <w:rsid w:val="001912B2"/>
    <w:rsid w:val="00194D9C"/>
    <w:rsid w:val="00195C02"/>
    <w:rsid w:val="00195EA6"/>
    <w:rsid w:val="001A0E9E"/>
    <w:rsid w:val="001A1CD4"/>
    <w:rsid w:val="001A2CFB"/>
    <w:rsid w:val="001A36CA"/>
    <w:rsid w:val="001A499F"/>
    <w:rsid w:val="001B0E59"/>
    <w:rsid w:val="001B33BE"/>
    <w:rsid w:val="001B3E26"/>
    <w:rsid w:val="001B7689"/>
    <w:rsid w:val="001C0168"/>
    <w:rsid w:val="001C14C0"/>
    <w:rsid w:val="001C277F"/>
    <w:rsid w:val="001C2D6B"/>
    <w:rsid w:val="001C337E"/>
    <w:rsid w:val="001C4D0C"/>
    <w:rsid w:val="001C5505"/>
    <w:rsid w:val="001C596D"/>
    <w:rsid w:val="001D064E"/>
    <w:rsid w:val="001D16D4"/>
    <w:rsid w:val="001D18DB"/>
    <w:rsid w:val="001D4E52"/>
    <w:rsid w:val="001D5700"/>
    <w:rsid w:val="001D58CA"/>
    <w:rsid w:val="001D695B"/>
    <w:rsid w:val="001D7478"/>
    <w:rsid w:val="001D78CC"/>
    <w:rsid w:val="001E18D4"/>
    <w:rsid w:val="001E1CEA"/>
    <w:rsid w:val="001E2E1D"/>
    <w:rsid w:val="001E2FA4"/>
    <w:rsid w:val="001E3021"/>
    <w:rsid w:val="001E4E4A"/>
    <w:rsid w:val="001E6D1C"/>
    <w:rsid w:val="001E7926"/>
    <w:rsid w:val="001F0D9F"/>
    <w:rsid w:val="001F13E2"/>
    <w:rsid w:val="001F230F"/>
    <w:rsid w:val="001F2545"/>
    <w:rsid w:val="001F31D7"/>
    <w:rsid w:val="001F367E"/>
    <w:rsid w:val="001F5B5B"/>
    <w:rsid w:val="001F5BA3"/>
    <w:rsid w:val="001F60D5"/>
    <w:rsid w:val="00200E9E"/>
    <w:rsid w:val="002012B7"/>
    <w:rsid w:val="002042B9"/>
    <w:rsid w:val="002042FE"/>
    <w:rsid w:val="00204875"/>
    <w:rsid w:val="00204E43"/>
    <w:rsid w:val="002067DB"/>
    <w:rsid w:val="00206B67"/>
    <w:rsid w:val="00206ED0"/>
    <w:rsid w:val="00211B10"/>
    <w:rsid w:val="0021277F"/>
    <w:rsid w:val="00214087"/>
    <w:rsid w:val="0021446F"/>
    <w:rsid w:val="002144A8"/>
    <w:rsid w:val="00214E10"/>
    <w:rsid w:val="0021768C"/>
    <w:rsid w:val="00217789"/>
    <w:rsid w:val="0022039F"/>
    <w:rsid w:val="00221755"/>
    <w:rsid w:val="00222327"/>
    <w:rsid w:val="002231F7"/>
    <w:rsid w:val="00223C61"/>
    <w:rsid w:val="00225ED1"/>
    <w:rsid w:val="002271B6"/>
    <w:rsid w:val="00231180"/>
    <w:rsid w:val="00231FB6"/>
    <w:rsid w:val="00232B27"/>
    <w:rsid w:val="002341BC"/>
    <w:rsid w:val="00234CBF"/>
    <w:rsid w:val="00234CCB"/>
    <w:rsid w:val="002356B7"/>
    <w:rsid w:val="00235EA8"/>
    <w:rsid w:val="00236135"/>
    <w:rsid w:val="00237715"/>
    <w:rsid w:val="002377B7"/>
    <w:rsid w:val="00241BA9"/>
    <w:rsid w:val="00241FCA"/>
    <w:rsid w:val="0024294A"/>
    <w:rsid w:val="002438D9"/>
    <w:rsid w:val="00243D01"/>
    <w:rsid w:val="002452D2"/>
    <w:rsid w:val="002454B7"/>
    <w:rsid w:val="00247839"/>
    <w:rsid w:val="00250753"/>
    <w:rsid w:val="00251CEF"/>
    <w:rsid w:val="002538B2"/>
    <w:rsid w:val="0025564B"/>
    <w:rsid w:val="00256AE9"/>
    <w:rsid w:val="002577A8"/>
    <w:rsid w:val="00260027"/>
    <w:rsid w:val="002605D8"/>
    <w:rsid w:val="0026080D"/>
    <w:rsid w:val="00261F62"/>
    <w:rsid w:val="00263662"/>
    <w:rsid w:val="00264704"/>
    <w:rsid w:val="00265313"/>
    <w:rsid w:val="00265636"/>
    <w:rsid w:val="002656A2"/>
    <w:rsid w:val="00266427"/>
    <w:rsid w:val="00266A4E"/>
    <w:rsid w:val="002714AB"/>
    <w:rsid w:val="00271C1A"/>
    <w:rsid w:val="00272A29"/>
    <w:rsid w:val="00273925"/>
    <w:rsid w:val="00273F01"/>
    <w:rsid w:val="00275F04"/>
    <w:rsid w:val="00277C90"/>
    <w:rsid w:val="00281F65"/>
    <w:rsid w:val="00285604"/>
    <w:rsid w:val="002902AC"/>
    <w:rsid w:val="00290896"/>
    <w:rsid w:val="00290A3E"/>
    <w:rsid w:val="00290BBD"/>
    <w:rsid w:val="00290E72"/>
    <w:rsid w:val="002910EE"/>
    <w:rsid w:val="002918E2"/>
    <w:rsid w:val="00291B18"/>
    <w:rsid w:val="0029256F"/>
    <w:rsid w:val="00293AEC"/>
    <w:rsid w:val="00293B83"/>
    <w:rsid w:val="00295A0F"/>
    <w:rsid w:val="002970CA"/>
    <w:rsid w:val="0029784A"/>
    <w:rsid w:val="00297B83"/>
    <w:rsid w:val="002A5C09"/>
    <w:rsid w:val="002A6022"/>
    <w:rsid w:val="002A6893"/>
    <w:rsid w:val="002A74E0"/>
    <w:rsid w:val="002A7B87"/>
    <w:rsid w:val="002B010E"/>
    <w:rsid w:val="002B059B"/>
    <w:rsid w:val="002B10DC"/>
    <w:rsid w:val="002B1B4E"/>
    <w:rsid w:val="002B1CF3"/>
    <w:rsid w:val="002B2D27"/>
    <w:rsid w:val="002B3AEE"/>
    <w:rsid w:val="002B3EDC"/>
    <w:rsid w:val="002B7C7F"/>
    <w:rsid w:val="002C00AA"/>
    <w:rsid w:val="002C15AA"/>
    <w:rsid w:val="002C6EC0"/>
    <w:rsid w:val="002D11A1"/>
    <w:rsid w:val="002D15E8"/>
    <w:rsid w:val="002D1A49"/>
    <w:rsid w:val="002D2779"/>
    <w:rsid w:val="002D29D6"/>
    <w:rsid w:val="002D6344"/>
    <w:rsid w:val="002D6CFF"/>
    <w:rsid w:val="002E764A"/>
    <w:rsid w:val="002F1DFE"/>
    <w:rsid w:val="002F25AF"/>
    <w:rsid w:val="002F3742"/>
    <w:rsid w:val="002F51BB"/>
    <w:rsid w:val="002F7319"/>
    <w:rsid w:val="002F7780"/>
    <w:rsid w:val="0030341A"/>
    <w:rsid w:val="003042FD"/>
    <w:rsid w:val="003046ED"/>
    <w:rsid w:val="00304D8C"/>
    <w:rsid w:val="00305D66"/>
    <w:rsid w:val="0031148F"/>
    <w:rsid w:val="00311FD8"/>
    <w:rsid w:val="0031384A"/>
    <w:rsid w:val="00313EAE"/>
    <w:rsid w:val="00317905"/>
    <w:rsid w:val="003202F5"/>
    <w:rsid w:val="003204B6"/>
    <w:rsid w:val="00320DF1"/>
    <w:rsid w:val="00320E12"/>
    <w:rsid w:val="003222BF"/>
    <w:rsid w:val="00326F7F"/>
    <w:rsid w:val="003274CF"/>
    <w:rsid w:val="00330962"/>
    <w:rsid w:val="00331F35"/>
    <w:rsid w:val="003336AC"/>
    <w:rsid w:val="00334480"/>
    <w:rsid w:val="0033459A"/>
    <w:rsid w:val="0033467F"/>
    <w:rsid w:val="00335996"/>
    <w:rsid w:val="00335EF4"/>
    <w:rsid w:val="003360CF"/>
    <w:rsid w:val="00336185"/>
    <w:rsid w:val="003412F7"/>
    <w:rsid w:val="00342627"/>
    <w:rsid w:val="00343100"/>
    <w:rsid w:val="0034450E"/>
    <w:rsid w:val="00345158"/>
    <w:rsid w:val="003454CA"/>
    <w:rsid w:val="00350CC6"/>
    <w:rsid w:val="00352F71"/>
    <w:rsid w:val="00353961"/>
    <w:rsid w:val="003558C4"/>
    <w:rsid w:val="003569EE"/>
    <w:rsid w:val="00357508"/>
    <w:rsid w:val="00361E9B"/>
    <w:rsid w:val="003636DE"/>
    <w:rsid w:val="00363702"/>
    <w:rsid w:val="00364CA0"/>
    <w:rsid w:val="00365054"/>
    <w:rsid w:val="00366156"/>
    <w:rsid w:val="003702F1"/>
    <w:rsid w:val="003742AF"/>
    <w:rsid w:val="003774CF"/>
    <w:rsid w:val="0038170F"/>
    <w:rsid w:val="00382360"/>
    <w:rsid w:val="003823D7"/>
    <w:rsid w:val="00383B56"/>
    <w:rsid w:val="003843C6"/>
    <w:rsid w:val="0038703D"/>
    <w:rsid w:val="003907AC"/>
    <w:rsid w:val="00392AF0"/>
    <w:rsid w:val="00393640"/>
    <w:rsid w:val="003953C0"/>
    <w:rsid w:val="00395648"/>
    <w:rsid w:val="0039624B"/>
    <w:rsid w:val="00396E8C"/>
    <w:rsid w:val="003A3D30"/>
    <w:rsid w:val="003A5062"/>
    <w:rsid w:val="003A5227"/>
    <w:rsid w:val="003A526B"/>
    <w:rsid w:val="003A5291"/>
    <w:rsid w:val="003A59C9"/>
    <w:rsid w:val="003A5FF3"/>
    <w:rsid w:val="003A7FBB"/>
    <w:rsid w:val="003B1348"/>
    <w:rsid w:val="003B35DF"/>
    <w:rsid w:val="003B3898"/>
    <w:rsid w:val="003B3A65"/>
    <w:rsid w:val="003B5FCF"/>
    <w:rsid w:val="003B64FB"/>
    <w:rsid w:val="003C046F"/>
    <w:rsid w:val="003C2312"/>
    <w:rsid w:val="003C2FE1"/>
    <w:rsid w:val="003C354F"/>
    <w:rsid w:val="003C52CA"/>
    <w:rsid w:val="003C5D9B"/>
    <w:rsid w:val="003C75FA"/>
    <w:rsid w:val="003C7B0E"/>
    <w:rsid w:val="003D0169"/>
    <w:rsid w:val="003D0E12"/>
    <w:rsid w:val="003D1256"/>
    <w:rsid w:val="003D3E63"/>
    <w:rsid w:val="003D498A"/>
    <w:rsid w:val="003D690A"/>
    <w:rsid w:val="003D7671"/>
    <w:rsid w:val="003E0535"/>
    <w:rsid w:val="003E248F"/>
    <w:rsid w:val="003E3738"/>
    <w:rsid w:val="003E491E"/>
    <w:rsid w:val="003E5388"/>
    <w:rsid w:val="003E56D0"/>
    <w:rsid w:val="003E6F83"/>
    <w:rsid w:val="003E78E5"/>
    <w:rsid w:val="003F0251"/>
    <w:rsid w:val="003F0D57"/>
    <w:rsid w:val="003F10CA"/>
    <w:rsid w:val="003F1CE5"/>
    <w:rsid w:val="003F3C5B"/>
    <w:rsid w:val="003F4109"/>
    <w:rsid w:val="003F7A9A"/>
    <w:rsid w:val="003F7D8F"/>
    <w:rsid w:val="0040196F"/>
    <w:rsid w:val="00404286"/>
    <w:rsid w:val="004043CB"/>
    <w:rsid w:val="00406B67"/>
    <w:rsid w:val="00411D84"/>
    <w:rsid w:val="00412EA7"/>
    <w:rsid w:val="00413B47"/>
    <w:rsid w:val="004140DF"/>
    <w:rsid w:val="00414C2F"/>
    <w:rsid w:val="00415BDD"/>
    <w:rsid w:val="004162D8"/>
    <w:rsid w:val="00416DBB"/>
    <w:rsid w:val="00420275"/>
    <w:rsid w:val="00421CDF"/>
    <w:rsid w:val="00421CF7"/>
    <w:rsid w:val="00421EE0"/>
    <w:rsid w:val="004244CB"/>
    <w:rsid w:val="00424F59"/>
    <w:rsid w:val="00425EE8"/>
    <w:rsid w:val="00426801"/>
    <w:rsid w:val="00427621"/>
    <w:rsid w:val="00430439"/>
    <w:rsid w:val="00431C6E"/>
    <w:rsid w:val="00432BB0"/>
    <w:rsid w:val="00435C0C"/>
    <w:rsid w:val="0043757D"/>
    <w:rsid w:val="00440BD8"/>
    <w:rsid w:val="004420A2"/>
    <w:rsid w:val="00443203"/>
    <w:rsid w:val="004432D9"/>
    <w:rsid w:val="00444189"/>
    <w:rsid w:val="004441B5"/>
    <w:rsid w:val="004442BF"/>
    <w:rsid w:val="00445E4C"/>
    <w:rsid w:val="00446F6E"/>
    <w:rsid w:val="00450285"/>
    <w:rsid w:val="00450605"/>
    <w:rsid w:val="00450C0C"/>
    <w:rsid w:val="00456D58"/>
    <w:rsid w:val="00456D5C"/>
    <w:rsid w:val="00457D87"/>
    <w:rsid w:val="00457D9B"/>
    <w:rsid w:val="00457FB0"/>
    <w:rsid w:val="00460AE2"/>
    <w:rsid w:val="00462162"/>
    <w:rsid w:val="00463371"/>
    <w:rsid w:val="0046566C"/>
    <w:rsid w:val="00467191"/>
    <w:rsid w:val="0047027C"/>
    <w:rsid w:val="004723FA"/>
    <w:rsid w:val="00472572"/>
    <w:rsid w:val="00472BA1"/>
    <w:rsid w:val="00473AF7"/>
    <w:rsid w:val="00475B2C"/>
    <w:rsid w:val="00476475"/>
    <w:rsid w:val="00481776"/>
    <w:rsid w:val="00483567"/>
    <w:rsid w:val="00485681"/>
    <w:rsid w:val="00486E27"/>
    <w:rsid w:val="00487D68"/>
    <w:rsid w:val="004906D6"/>
    <w:rsid w:val="004908F5"/>
    <w:rsid w:val="00490AC0"/>
    <w:rsid w:val="00490FD2"/>
    <w:rsid w:val="00491C15"/>
    <w:rsid w:val="004923A7"/>
    <w:rsid w:val="00493A2D"/>
    <w:rsid w:val="00493A93"/>
    <w:rsid w:val="00493E0F"/>
    <w:rsid w:val="00493EDE"/>
    <w:rsid w:val="00495748"/>
    <w:rsid w:val="0049656D"/>
    <w:rsid w:val="00496CCB"/>
    <w:rsid w:val="004A07F9"/>
    <w:rsid w:val="004A23A1"/>
    <w:rsid w:val="004A2C19"/>
    <w:rsid w:val="004A35A6"/>
    <w:rsid w:val="004A37FA"/>
    <w:rsid w:val="004A5A83"/>
    <w:rsid w:val="004A6628"/>
    <w:rsid w:val="004B0734"/>
    <w:rsid w:val="004B10B4"/>
    <w:rsid w:val="004B3800"/>
    <w:rsid w:val="004B39D2"/>
    <w:rsid w:val="004B511A"/>
    <w:rsid w:val="004B695C"/>
    <w:rsid w:val="004B6D30"/>
    <w:rsid w:val="004C075E"/>
    <w:rsid w:val="004C0B83"/>
    <w:rsid w:val="004C125D"/>
    <w:rsid w:val="004C1776"/>
    <w:rsid w:val="004C1D67"/>
    <w:rsid w:val="004C1F15"/>
    <w:rsid w:val="004D1861"/>
    <w:rsid w:val="004D2D83"/>
    <w:rsid w:val="004D3494"/>
    <w:rsid w:val="004D5564"/>
    <w:rsid w:val="004D6B06"/>
    <w:rsid w:val="004E0608"/>
    <w:rsid w:val="004E2436"/>
    <w:rsid w:val="004E38ED"/>
    <w:rsid w:val="004E3A06"/>
    <w:rsid w:val="004E4E6B"/>
    <w:rsid w:val="004E5C7A"/>
    <w:rsid w:val="004E65A1"/>
    <w:rsid w:val="004F1400"/>
    <w:rsid w:val="004F23DD"/>
    <w:rsid w:val="004F575C"/>
    <w:rsid w:val="004F6311"/>
    <w:rsid w:val="005004EF"/>
    <w:rsid w:val="00500BD9"/>
    <w:rsid w:val="005010DA"/>
    <w:rsid w:val="005039B3"/>
    <w:rsid w:val="00505B4D"/>
    <w:rsid w:val="00506DC5"/>
    <w:rsid w:val="0050735E"/>
    <w:rsid w:val="00507C0A"/>
    <w:rsid w:val="005103DC"/>
    <w:rsid w:val="005110A9"/>
    <w:rsid w:val="005110E7"/>
    <w:rsid w:val="00513027"/>
    <w:rsid w:val="00513127"/>
    <w:rsid w:val="005131C9"/>
    <w:rsid w:val="005143CC"/>
    <w:rsid w:val="00514D3F"/>
    <w:rsid w:val="00514F74"/>
    <w:rsid w:val="00515C23"/>
    <w:rsid w:val="00515C7F"/>
    <w:rsid w:val="005166E1"/>
    <w:rsid w:val="00517E45"/>
    <w:rsid w:val="005208EE"/>
    <w:rsid w:val="00520920"/>
    <w:rsid w:val="00524028"/>
    <w:rsid w:val="005244C8"/>
    <w:rsid w:val="005256CC"/>
    <w:rsid w:val="00525807"/>
    <w:rsid w:val="00527ACE"/>
    <w:rsid w:val="00530057"/>
    <w:rsid w:val="00533A48"/>
    <w:rsid w:val="00534F7D"/>
    <w:rsid w:val="00541771"/>
    <w:rsid w:val="00542B03"/>
    <w:rsid w:val="005452D8"/>
    <w:rsid w:val="0054679F"/>
    <w:rsid w:val="00551D95"/>
    <w:rsid w:val="005548C7"/>
    <w:rsid w:val="005556F7"/>
    <w:rsid w:val="0055669B"/>
    <w:rsid w:val="00556850"/>
    <w:rsid w:val="00561F82"/>
    <w:rsid w:val="00562A8F"/>
    <w:rsid w:val="005651F4"/>
    <w:rsid w:val="00565813"/>
    <w:rsid w:val="00565F04"/>
    <w:rsid w:val="00566B37"/>
    <w:rsid w:val="00567D37"/>
    <w:rsid w:val="005707C1"/>
    <w:rsid w:val="00571335"/>
    <w:rsid w:val="00571C82"/>
    <w:rsid w:val="005735A3"/>
    <w:rsid w:val="00575141"/>
    <w:rsid w:val="00575292"/>
    <w:rsid w:val="0057530F"/>
    <w:rsid w:val="00577992"/>
    <w:rsid w:val="00577BDF"/>
    <w:rsid w:val="00580172"/>
    <w:rsid w:val="0058237E"/>
    <w:rsid w:val="0058761A"/>
    <w:rsid w:val="005919D2"/>
    <w:rsid w:val="00592A12"/>
    <w:rsid w:val="005932A2"/>
    <w:rsid w:val="005938D7"/>
    <w:rsid w:val="00593DDD"/>
    <w:rsid w:val="00594CB0"/>
    <w:rsid w:val="00596AF5"/>
    <w:rsid w:val="00597187"/>
    <w:rsid w:val="00597FE2"/>
    <w:rsid w:val="005A05A6"/>
    <w:rsid w:val="005A14CB"/>
    <w:rsid w:val="005A3522"/>
    <w:rsid w:val="005A421F"/>
    <w:rsid w:val="005A5212"/>
    <w:rsid w:val="005A615C"/>
    <w:rsid w:val="005A65E0"/>
    <w:rsid w:val="005A68F7"/>
    <w:rsid w:val="005A7A77"/>
    <w:rsid w:val="005B1E68"/>
    <w:rsid w:val="005B2685"/>
    <w:rsid w:val="005B2CE7"/>
    <w:rsid w:val="005B2DC9"/>
    <w:rsid w:val="005B51C2"/>
    <w:rsid w:val="005B5CA4"/>
    <w:rsid w:val="005B6ED1"/>
    <w:rsid w:val="005B706B"/>
    <w:rsid w:val="005C04DC"/>
    <w:rsid w:val="005C11DB"/>
    <w:rsid w:val="005C2F9C"/>
    <w:rsid w:val="005C61B0"/>
    <w:rsid w:val="005C6AE2"/>
    <w:rsid w:val="005C71B8"/>
    <w:rsid w:val="005C73A4"/>
    <w:rsid w:val="005D1383"/>
    <w:rsid w:val="005D1583"/>
    <w:rsid w:val="005D19D4"/>
    <w:rsid w:val="005D1CA5"/>
    <w:rsid w:val="005D38F3"/>
    <w:rsid w:val="005D3AAB"/>
    <w:rsid w:val="005D4C2A"/>
    <w:rsid w:val="005D57D0"/>
    <w:rsid w:val="005D6011"/>
    <w:rsid w:val="005D7D4D"/>
    <w:rsid w:val="005E01B8"/>
    <w:rsid w:val="005E2C45"/>
    <w:rsid w:val="005E459E"/>
    <w:rsid w:val="005E4B14"/>
    <w:rsid w:val="005E593B"/>
    <w:rsid w:val="005E5DC1"/>
    <w:rsid w:val="005E636B"/>
    <w:rsid w:val="005E73DF"/>
    <w:rsid w:val="005F1189"/>
    <w:rsid w:val="005F2ABB"/>
    <w:rsid w:val="005F4FB6"/>
    <w:rsid w:val="005F6E48"/>
    <w:rsid w:val="005F71F8"/>
    <w:rsid w:val="005F77BD"/>
    <w:rsid w:val="005F7E11"/>
    <w:rsid w:val="00600364"/>
    <w:rsid w:val="00600A6D"/>
    <w:rsid w:val="00600ABD"/>
    <w:rsid w:val="00603E10"/>
    <w:rsid w:val="00604330"/>
    <w:rsid w:val="00606544"/>
    <w:rsid w:val="00607EFB"/>
    <w:rsid w:val="0061012E"/>
    <w:rsid w:val="00611AA7"/>
    <w:rsid w:val="00612EE7"/>
    <w:rsid w:val="0061531B"/>
    <w:rsid w:val="00616AA6"/>
    <w:rsid w:val="00616B68"/>
    <w:rsid w:val="00616DAB"/>
    <w:rsid w:val="00620AD3"/>
    <w:rsid w:val="006222E4"/>
    <w:rsid w:val="00622AFF"/>
    <w:rsid w:val="00622C41"/>
    <w:rsid w:val="006246CA"/>
    <w:rsid w:val="00627857"/>
    <w:rsid w:val="00627C4F"/>
    <w:rsid w:val="0063051F"/>
    <w:rsid w:val="00630765"/>
    <w:rsid w:val="00632483"/>
    <w:rsid w:val="0063728D"/>
    <w:rsid w:val="00637FD4"/>
    <w:rsid w:val="00641630"/>
    <w:rsid w:val="00641C66"/>
    <w:rsid w:val="0064240E"/>
    <w:rsid w:val="00642E39"/>
    <w:rsid w:val="0064587E"/>
    <w:rsid w:val="00645E4D"/>
    <w:rsid w:val="006477B3"/>
    <w:rsid w:val="00647DF3"/>
    <w:rsid w:val="006508BE"/>
    <w:rsid w:val="00650CE6"/>
    <w:rsid w:val="00652C73"/>
    <w:rsid w:val="00652F2D"/>
    <w:rsid w:val="00653A4A"/>
    <w:rsid w:val="00655231"/>
    <w:rsid w:val="00656534"/>
    <w:rsid w:val="00656996"/>
    <w:rsid w:val="00657709"/>
    <w:rsid w:val="0066008A"/>
    <w:rsid w:val="006606F9"/>
    <w:rsid w:val="006632FC"/>
    <w:rsid w:val="00664277"/>
    <w:rsid w:val="00667E08"/>
    <w:rsid w:val="00671DB8"/>
    <w:rsid w:val="0067231D"/>
    <w:rsid w:val="006725BE"/>
    <w:rsid w:val="00672AFD"/>
    <w:rsid w:val="00674B01"/>
    <w:rsid w:val="00676B1C"/>
    <w:rsid w:val="0067726F"/>
    <w:rsid w:val="006811D5"/>
    <w:rsid w:val="00681500"/>
    <w:rsid w:val="006836AB"/>
    <w:rsid w:val="006837D9"/>
    <w:rsid w:val="00683A23"/>
    <w:rsid w:val="006840BC"/>
    <w:rsid w:val="00684214"/>
    <w:rsid w:val="00684CE2"/>
    <w:rsid w:val="00684D5B"/>
    <w:rsid w:val="006866CB"/>
    <w:rsid w:val="00692F4F"/>
    <w:rsid w:val="0069430F"/>
    <w:rsid w:val="0069486D"/>
    <w:rsid w:val="00694CF2"/>
    <w:rsid w:val="00696BD8"/>
    <w:rsid w:val="00697A1E"/>
    <w:rsid w:val="006A2005"/>
    <w:rsid w:val="006A3BA4"/>
    <w:rsid w:val="006A4F03"/>
    <w:rsid w:val="006A5023"/>
    <w:rsid w:val="006A5334"/>
    <w:rsid w:val="006B0846"/>
    <w:rsid w:val="006B13D9"/>
    <w:rsid w:val="006B20DC"/>
    <w:rsid w:val="006B239F"/>
    <w:rsid w:val="006B2493"/>
    <w:rsid w:val="006B508D"/>
    <w:rsid w:val="006B560C"/>
    <w:rsid w:val="006B6B2F"/>
    <w:rsid w:val="006C0801"/>
    <w:rsid w:val="006C0D6E"/>
    <w:rsid w:val="006C3D83"/>
    <w:rsid w:val="006C5ADE"/>
    <w:rsid w:val="006C5C60"/>
    <w:rsid w:val="006C6076"/>
    <w:rsid w:val="006D0DD9"/>
    <w:rsid w:val="006D1141"/>
    <w:rsid w:val="006D12F9"/>
    <w:rsid w:val="006D132C"/>
    <w:rsid w:val="006D2F8A"/>
    <w:rsid w:val="006D3E18"/>
    <w:rsid w:val="006D4064"/>
    <w:rsid w:val="006D4563"/>
    <w:rsid w:val="006D6CC1"/>
    <w:rsid w:val="006E2F7D"/>
    <w:rsid w:val="006E3A20"/>
    <w:rsid w:val="006E41BB"/>
    <w:rsid w:val="006E545F"/>
    <w:rsid w:val="006E731F"/>
    <w:rsid w:val="006E73CF"/>
    <w:rsid w:val="006F05BC"/>
    <w:rsid w:val="006F255D"/>
    <w:rsid w:val="006F4112"/>
    <w:rsid w:val="006F47DA"/>
    <w:rsid w:val="006F51F9"/>
    <w:rsid w:val="0070042D"/>
    <w:rsid w:val="00700A10"/>
    <w:rsid w:val="00701BD0"/>
    <w:rsid w:val="00702AF9"/>
    <w:rsid w:val="0070399C"/>
    <w:rsid w:val="00704C8B"/>
    <w:rsid w:val="00704D8E"/>
    <w:rsid w:val="00706D99"/>
    <w:rsid w:val="00707642"/>
    <w:rsid w:val="00707650"/>
    <w:rsid w:val="00711F59"/>
    <w:rsid w:val="007132F8"/>
    <w:rsid w:val="00715B06"/>
    <w:rsid w:val="0071733B"/>
    <w:rsid w:val="00720EB2"/>
    <w:rsid w:val="00724DB6"/>
    <w:rsid w:val="00725A68"/>
    <w:rsid w:val="00731395"/>
    <w:rsid w:val="0073199E"/>
    <w:rsid w:val="007319A2"/>
    <w:rsid w:val="00733123"/>
    <w:rsid w:val="0073571F"/>
    <w:rsid w:val="007410CD"/>
    <w:rsid w:val="007433E5"/>
    <w:rsid w:val="00746119"/>
    <w:rsid w:val="007502E6"/>
    <w:rsid w:val="00751675"/>
    <w:rsid w:val="00752095"/>
    <w:rsid w:val="00752214"/>
    <w:rsid w:val="007530CE"/>
    <w:rsid w:val="007541AF"/>
    <w:rsid w:val="007541EA"/>
    <w:rsid w:val="00755274"/>
    <w:rsid w:val="007553F4"/>
    <w:rsid w:val="00760010"/>
    <w:rsid w:val="00761F3E"/>
    <w:rsid w:val="0076327A"/>
    <w:rsid w:val="0076538A"/>
    <w:rsid w:val="007676DC"/>
    <w:rsid w:val="007711F0"/>
    <w:rsid w:val="007739C9"/>
    <w:rsid w:val="00773B45"/>
    <w:rsid w:val="0077476C"/>
    <w:rsid w:val="00774B6E"/>
    <w:rsid w:val="00775A02"/>
    <w:rsid w:val="00776679"/>
    <w:rsid w:val="00777FB0"/>
    <w:rsid w:val="007801D7"/>
    <w:rsid w:val="007801DF"/>
    <w:rsid w:val="00782063"/>
    <w:rsid w:val="00783918"/>
    <w:rsid w:val="00786C53"/>
    <w:rsid w:val="00790552"/>
    <w:rsid w:val="00790EAD"/>
    <w:rsid w:val="00792E7C"/>
    <w:rsid w:val="00792F51"/>
    <w:rsid w:val="0079346F"/>
    <w:rsid w:val="00793D3F"/>
    <w:rsid w:val="00795970"/>
    <w:rsid w:val="00796642"/>
    <w:rsid w:val="00797AF2"/>
    <w:rsid w:val="007A062C"/>
    <w:rsid w:val="007A3C85"/>
    <w:rsid w:val="007A7506"/>
    <w:rsid w:val="007A79BD"/>
    <w:rsid w:val="007B07CF"/>
    <w:rsid w:val="007B0C26"/>
    <w:rsid w:val="007B0E69"/>
    <w:rsid w:val="007B17CB"/>
    <w:rsid w:val="007B26AC"/>
    <w:rsid w:val="007B3422"/>
    <w:rsid w:val="007B3DE3"/>
    <w:rsid w:val="007B474B"/>
    <w:rsid w:val="007B6B3F"/>
    <w:rsid w:val="007B70B0"/>
    <w:rsid w:val="007C0F2C"/>
    <w:rsid w:val="007C1902"/>
    <w:rsid w:val="007C1B50"/>
    <w:rsid w:val="007C5470"/>
    <w:rsid w:val="007C5603"/>
    <w:rsid w:val="007C6375"/>
    <w:rsid w:val="007C750D"/>
    <w:rsid w:val="007D0965"/>
    <w:rsid w:val="007D0C91"/>
    <w:rsid w:val="007D16AD"/>
    <w:rsid w:val="007D3D62"/>
    <w:rsid w:val="007D4962"/>
    <w:rsid w:val="007D5882"/>
    <w:rsid w:val="007D71D1"/>
    <w:rsid w:val="007D7D4B"/>
    <w:rsid w:val="007E23CA"/>
    <w:rsid w:val="007E27F1"/>
    <w:rsid w:val="007E6E30"/>
    <w:rsid w:val="007E73FC"/>
    <w:rsid w:val="007E7B6E"/>
    <w:rsid w:val="007E7F28"/>
    <w:rsid w:val="007F0B0D"/>
    <w:rsid w:val="007F0E26"/>
    <w:rsid w:val="007F264A"/>
    <w:rsid w:val="007F27B0"/>
    <w:rsid w:val="007F37C0"/>
    <w:rsid w:val="007F69DD"/>
    <w:rsid w:val="00800176"/>
    <w:rsid w:val="00800177"/>
    <w:rsid w:val="00800B8F"/>
    <w:rsid w:val="00802491"/>
    <w:rsid w:val="00802E38"/>
    <w:rsid w:val="00803998"/>
    <w:rsid w:val="00803B74"/>
    <w:rsid w:val="00803D6F"/>
    <w:rsid w:val="00804AFC"/>
    <w:rsid w:val="0080525A"/>
    <w:rsid w:val="00806DFA"/>
    <w:rsid w:val="00810788"/>
    <w:rsid w:val="00810B60"/>
    <w:rsid w:val="00810DC6"/>
    <w:rsid w:val="00811BF5"/>
    <w:rsid w:val="00812E2B"/>
    <w:rsid w:val="00813E76"/>
    <w:rsid w:val="00813EF0"/>
    <w:rsid w:val="008157B9"/>
    <w:rsid w:val="008218E2"/>
    <w:rsid w:val="008219AF"/>
    <w:rsid w:val="0082538E"/>
    <w:rsid w:val="00825E4E"/>
    <w:rsid w:val="008268AF"/>
    <w:rsid w:val="00826C80"/>
    <w:rsid w:val="00830469"/>
    <w:rsid w:val="008306B6"/>
    <w:rsid w:val="00831FC2"/>
    <w:rsid w:val="00832881"/>
    <w:rsid w:val="008330E1"/>
    <w:rsid w:val="00834EE2"/>
    <w:rsid w:val="00836419"/>
    <w:rsid w:val="00836947"/>
    <w:rsid w:val="00836986"/>
    <w:rsid w:val="00837F1F"/>
    <w:rsid w:val="00840918"/>
    <w:rsid w:val="00845696"/>
    <w:rsid w:val="008502B2"/>
    <w:rsid w:val="00850C0A"/>
    <w:rsid w:val="0085305E"/>
    <w:rsid w:val="00853CBF"/>
    <w:rsid w:val="008548CA"/>
    <w:rsid w:val="00857626"/>
    <w:rsid w:val="00857C4D"/>
    <w:rsid w:val="008605EF"/>
    <w:rsid w:val="008610C0"/>
    <w:rsid w:val="00861CFF"/>
    <w:rsid w:val="008662BA"/>
    <w:rsid w:val="008663EE"/>
    <w:rsid w:val="008664EC"/>
    <w:rsid w:val="00867477"/>
    <w:rsid w:val="00870518"/>
    <w:rsid w:val="008710B0"/>
    <w:rsid w:val="00871556"/>
    <w:rsid w:val="00873745"/>
    <w:rsid w:val="00875352"/>
    <w:rsid w:val="00876FEC"/>
    <w:rsid w:val="00877EE5"/>
    <w:rsid w:val="00880914"/>
    <w:rsid w:val="00881A84"/>
    <w:rsid w:val="00884E06"/>
    <w:rsid w:val="0088716C"/>
    <w:rsid w:val="00890559"/>
    <w:rsid w:val="00890DBB"/>
    <w:rsid w:val="00892383"/>
    <w:rsid w:val="00892EFA"/>
    <w:rsid w:val="00894AAA"/>
    <w:rsid w:val="00896D3E"/>
    <w:rsid w:val="008A08E8"/>
    <w:rsid w:val="008A19B1"/>
    <w:rsid w:val="008A2A0D"/>
    <w:rsid w:val="008A301E"/>
    <w:rsid w:val="008A3E4D"/>
    <w:rsid w:val="008A497D"/>
    <w:rsid w:val="008A5006"/>
    <w:rsid w:val="008A561C"/>
    <w:rsid w:val="008A6C95"/>
    <w:rsid w:val="008A76CC"/>
    <w:rsid w:val="008B002E"/>
    <w:rsid w:val="008B0FA7"/>
    <w:rsid w:val="008B685D"/>
    <w:rsid w:val="008C1BC1"/>
    <w:rsid w:val="008C643B"/>
    <w:rsid w:val="008C6FE1"/>
    <w:rsid w:val="008C7112"/>
    <w:rsid w:val="008D0382"/>
    <w:rsid w:val="008D1A3A"/>
    <w:rsid w:val="008D1A96"/>
    <w:rsid w:val="008D2F99"/>
    <w:rsid w:val="008D5A11"/>
    <w:rsid w:val="008D6077"/>
    <w:rsid w:val="008D61E3"/>
    <w:rsid w:val="008D6497"/>
    <w:rsid w:val="008D6A7A"/>
    <w:rsid w:val="008D6EF0"/>
    <w:rsid w:val="008E0D7B"/>
    <w:rsid w:val="008E19BF"/>
    <w:rsid w:val="008E1F10"/>
    <w:rsid w:val="008E2A16"/>
    <w:rsid w:val="008E5157"/>
    <w:rsid w:val="008E5A5E"/>
    <w:rsid w:val="008F4564"/>
    <w:rsid w:val="008F5225"/>
    <w:rsid w:val="00900B31"/>
    <w:rsid w:val="00902483"/>
    <w:rsid w:val="0090504C"/>
    <w:rsid w:val="009058BD"/>
    <w:rsid w:val="00905AE2"/>
    <w:rsid w:val="00905DFD"/>
    <w:rsid w:val="0091120C"/>
    <w:rsid w:val="00911492"/>
    <w:rsid w:val="00911578"/>
    <w:rsid w:val="009132B9"/>
    <w:rsid w:val="00914DFB"/>
    <w:rsid w:val="0091586C"/>
    <w:rsid w:val="00916108"/>
    <w:rsid w:val="00916B2D"/>
    <w:rsid w:val="0092147D"/>
    <w:rsid w:val="0092489F"/>
    <w:rsid w:val="009273DB"/>
    <w:rsid w:val="00930124"/>
    <w:rsid w:val="00931DDB"/>
    <w:rsid w:val="009325AF"/>
    <w:rsid w:val="009329E7"/>
    <w:rsid w:val="0093768E"/>
    <w:rsid w:val="009401D9"/>
    <w:rsid w:val="00942DF3"/>
    <w:rsid w:val="009440F3"/>
    <w:rsid w:val="009442BF"/>
    <w:rsid w:val="009462B7"/>
    <w:rsid w:val="0094795B"/>
    <w:rsid w:val="00952843"/>
    <w:rsid w:val="00953328"/>
    <w:rsid w:val="0095348F"/>
    <w:rsid w:val="00954F38"/>
    <w:rsid w:val="009554F6"/>
    <w:rsid w:val="00955DBA"/>
    <w:rsid w:val="00957F39"/>
    <w:rsid w:val="00961011"/>
    <w:rsid w:val="009613DC"/>
    <w:rsid w:val="00962692"/>
    <w:rsid w:val="00966461"/>
    <w:rsid w:val="00966D7B"/>
    <w:rsid w:val="00970081"/>
    <w:rsid w:val="009715DE"/>
    <w:rsid w:val="00972031"/>
    <w:rsid w:val="009723A5"/>
    <w:rsid w:val="00972BEE"/>
    <w:rsid w:val="009742B6"/>
    <w:rsid w:val="009748D6"/>
    <w:rsid w:val="009763B7"/>
    <w:rsid w:val="009778B2"/>
    <w:rsid w:val="00981966"/>
    <w:rsid w:val="00981993"/>
    <w:rsid w:val="00984417"/>
    <w:rsid w:val="0098784C"/>
    <w:rsid w:val="00987925"/>
    <w:rsid w:val="00987F51"/>
    <w:rsid w:val="00991675"/>
    <w:rsid w:val="0099674A"/>
    <w:rsid w:val="00996B11"/>
    <w:rsid w:val="009A106D"/>
    <w:rsid w:val="009A1088"/>
    <w:rsid w:val="009A1128"/>
    <w:rsid w:val="009A3B05"/>
    <w:rsid w:val="009A5156"/>
    <w:rsid w:val="009B0DBB"/>
    <w:rsid w:val="009B517A"/>
    <w:rsid w:val="009B6B75"/>
    <w:rsid w:val="009B769C"/>
    <w:rsid w:val="009C00F0"/>
    <w:rsid w:val="009C0757"/>
    <w:rsid w:val="009C13ED"/>
    <w:rsid w:val="009C1FA4"/>
    <w:rsid w:val="009C32D3"/>
    <w:rsid w:val="009C34BC"/>
    <w:rsid w:val="009C34EB"/>
    <w:rsid w:val="009C53EF"/>
    <w:rsid w:val="009C5E21"/>
    <w:rsid w:val="009C6DA7"/>
    <w:rsid w:val="009C7129"/>
    <w:rsid w:val="009C734B"/>
    <w:rsid w:val="009C7B69"/>
    <w:rsid w:val="009D1634"/>
    <w:rsid w:val="009D25D6"/>
    <w:rsid w:val="009D47D2"/>
    <w:rsid w:val="009D4EC3"/>
    <w:rsid w:val="009D74EB"/>
    <w:rsid w:val="009E17A7"/>
    <w:rsid w:val="009E1F25"/>
    <w:rsid w:val="009E3234"/>
    <w:rsid w:val="009E32BD"/>
    <w:rsid w:val="009E4DAC"/>
    <w:rsid w:val="009E60D1"/>
    <w:rsid w:val="009E7F88"/>
    <w:rsid w:val="009F012C"/>
    <w:rsid w:val="009F20A3"/>
    <w:rsid w:val="009F2357"/>
    <w:rsid w:val="009F262F"/>
    <w:rsid w:val="009F3B75"/>
    <w:rsid w:val="009F5A5F"/>
    <w:rsid w:val="009F625B"/>
    <w:rsid w:val="009F6A6C"/>
    <w:rsid w:val="00A01216"/>
    <w:rsid w:val="00A03545"/>
    <w:rsid w:val="00A1039C"/>
    <w:rsid w:val="00A10B2B"/>
    <w:rsid w:val="00A12E61"/>
    <w:rsid w:val="00A14BA1"/>
    <w:rsid w:val="00A14DF4"/>
    <w:rsid w:val="00A1588D"/>
    <w:rsid w:val="00A16086"/>
    <w:rsid w:val="00A16768"/>
    <w:rsid w:val="00A168F7"/>
    <w:rsid w:val="00A205B4"/>
    <w:rsid w:val="00A2060A"/>
    <w:rsid w:val="00A20B96"/>
    <w:rsid w:val="00A22B1B"/>
    <w:rsid w:val="00A22B66"/>
    <w:rsid w:val="00A23D67"/>
    <w:rsid w:val="00A24277"/>
    <w:rsid w:val="00A24ED2"/>
    <w:rsid w:val="00A24ED5"/>
    <w:rsid w:val="00A25399"/>
    <w:rsid w:val="00A27E7F"/>
    <w:rsid w:val="00A301A8"/>
    <w:rsid w:val="00A30C1E"/>
    <w:rsid w:val="00A30DC9"/>
    <w:rsid w:val="00A314A2"/>
    <w:rsid w:val="00A31D5D"/>
    <w:rsid w:val="00A3257A"/>
    <w:rsid w:val="00A327FE"/>
    <w:rsid w:val="00A32E03"/>
    <w:rsid w:val="00A33845"/>
    <w:rsid w:val="00A35AF0"/>
    <w:rsid w:val="00A3716C"/>
    <w:rsid w:val="00A379A9"/>
    <w:rsid w:val="00A37E53"/>
    <w:rsid w:val="00A402BF"/>
    <w:rsid w:val="00A40776"/>
    <w:rsid w:val="00A438CE"/>
    <w:rsid w:val="00A43A1F"/>
    <w:rsid w:val="00A43D1B"/>
    <w:rsid w:val="00A477B9"/>
    <w:rsid w:val="00A511AB"/>
    <w:rsid w:val="00A5186B"/>
    <w:rsid w:val="00A5483A"/>
    <w:rsid w:val="00A564E2"/>
    <w:rsid w:val="00A569D0"/>
    <w:rsid w:val="00A56A31"/>
    <w:rsid w:val="00A57F9C"/>
    <w:rsid w:val="00A61474"/>
    <w:rsid w:val="00A6297F"/>
    <w:rsid w:val="00A63F64"/>
    <w:rsid w:val="00A6430B"/>
    <w:rsid w:val="00A6475B"/>
    <w:rsid w:val="00A64CB0"/>
    <w:rsid w:val="00A6584E"/>
    <w:rsid w:val="00A6707F"/>
    <w:rsid w:val="00A7059B"/>
    <w:rsid w:val="00A714CE"/>
    <w:rsid w:val="00A71D28"/>
    <w:rsid w:val="00A724DB"/>
    <w:rsid w:val="00A73DA7"/>
    <w:rsid w:val="00A73F74"/>
    <w:rsid w:val="00A74540"/>
    <w:rsid w:val="00A74C44"/>
    <w:rsid w:val="00A76237"/>
    <w:rsid w:val="00A76561"/>
    <w:rsid w:val="00A76A37"/>
    <w:rsid w:val="00A779BE"/>
    <w:rsid w:val="00A80AC3"/>
    <w:rsid w:val="00A817E1"/>
    <w:rsid w:val="00A85518"/>
    <w:rsid w:val="00A8641E"/>
    <w:rsid w:val="00A86791"/>
    <w:rsid w:val="00A87A9E"/>
    <w:rsid w:val="00A91F4C"/>
    <w:rsid w:val="00A92BF9"/>
    <w:rsid w:val="00A94F86"/>
    <w:rsid w:val="00A969FA"/>
    <w:rsid w:val="00A96B5A"/>
    <w:rsid w:val="00AA1A6F"/>
    <w:rsid w:val="00AA29E6"/>
    <w:rsid w:val="00AA2C15"/>
    <w:rsid w:val="00AA594F"/>
    <w:rsid w:val="00AA5DD0"/>
    <w:rsid w:val="00AA628C"/>
    <w:rsid w:val="00AA68A8"/>
    <w:rsid w:val="00AA6BE0"/>
    <w:rsid w:val="00AB0895"/>
    <w:rsid w:val="00AB0C7C"/>
    <w:rsid w:val="00AB2A5C"/>
    <w:rsid w:val="00AB3543"/>
    <w:rsid w:val="00AB3EE2"/>
    <w:rsid w:val="00AB416C"/>
    <w:rsid w:val="00AB50EF"/>
    <w:rsid w:val="00AB6199"/>
    <w:rsid w:val="00AB7D10"/>
    <w:rsid w:val="00AC1916"/>
    <w:rsid w:val="00AC1B8E"/>
    <w:rsid w:val="00AC2F1B"/>
    <w:rsid w:val="00AC3C8D"/>
    <w:rsid w:val="00AC4623"/>
    <w:rsid w:val="00AC494F"/>
    <w:rsid w:val="00AC6329"/>
    <w:rsid w:val="00AC73A0"/>
    <w:rsid w:val="00AD3820"/>
    <w:rsid w:val="00AD41D4"/>
    <w:rsid w:val="00AD4D85"/>
    <w:rsid w:val="00AD5E05"/>
    <w:rsid w:val="00AD6CEE"/>
    <w:rsid w:val="00AD750E"/>
    <w:rsid w:val="00AE007F"/>
    <w:rsid w:val="00AE056B"/>
    <w:rsid w:val="00AE065E"/>
    <w:rsid w:val="00AE3F46"/>
    <w:rsid w:val="00AE768D"/>
    <w:rsid w:val="00AF021D"/>
    <w:rsid w:val="00AF0598"/>
    <w:rsid w:val="00AF2E8A"/>
    <w:rsid w:val="00AF39B1"/>
    <w:rsid w:val="00AF3D50"/>
    <w:rsid w:val="00AF4851"/>
    <w:rsid w:val="00AF4EBE"/>
    <w:rsid w:val="00AF5C45"/>
    <w:rsid w:val="00B0068E"/>
    <w:rsid w:val="00B00B46"/>
    <w:rsid w:val="00B0121E"/>
    <w:rsid w:val="00B01B15"/>
    <w:rsid w:val="00B037B1"/>
    <w:rsid w:val="00B05AED"/>
    <w:rsid w:val="00B05D67"/>
    <w:rsid w:val="00B05F43"/>
    <w:rsid w:val="00B06F3B"/>
    <w:rsid w:val="00B075AA"/>
    <w:rsid w:val="00B1047F"/>
    <w:rsid w:val="00B17655"/>
    <w:rsid w:val="00B20442"/>
    <w:rsid w:val="00B220A0"/>
    <w:rsid w:val="00B2243D"/>
    <w:rsid w:val="00B228CD"/>
    <w:rsid w:val="00B267D3"/>
    <w:rsid w:val="00B26D54"/>
    <w:rsid w:val="00B2720E"/>
    <w:rsid w:val="00B31E39"/>
    <w:rsid w:val="00B321C7"/>
    <w:rsid w:val="00B32BFB"/>
    <w:rsid w:val="00B36FE3"/>
    <w:rsid w:val="00B40256"/>
    <w:rsid w:val="00B4134D"/>
    <w:rsid w:val="00B4376C"/>
    <w:rsid w:val="00B44D91"/>
    <w:rsid w:val="00B467A0"/>
    <w:rsid w:val="00B50028"/>
    <w:rsid w:val="00B51706"/>
    <w:rsid w:val="00B5311D"/>
    <w:rsid w:val="00B53F20"/>
    <w:rsid w:val="00B54E6E"/>
    <w:rsid w:val="00B557DA"/>
    <w:rsid w:val="00B55E0D"/>
    <w:rsid w:val="00B563A2"/>
    <w:rsid w:val="00B56F7C"/>
    <w:rsid w:val="00B5743D"/>
    <w:rsid w:val="00B5752C"/>
    <w:rsid w:val="00B61A1C"/>
    <w:rsid w:val="00B645C4"/>
    <w:rsid w:val="00B65238"/>
    <w:rsid w:val="00B66CCD"/>
    <w:rsid w:val="00B678EC"/>
    <w:rsid w:val="00B67A4F"/>
    <w:rsid w:val="00B709D7"/>
    <w:rsid w:val="00B7140C"/>
    <w:rsid w:val="00B74BB7"/>
    <w:rsid w:val="00B770B5"/>
    <w:rsid w:val="00B77FB3"/>
    <w:rsid w:val="00B8017D"/>
    <w:rsid w:val="00B83B2B"/>
    <w:rsid w:val="00B845F8"/>
    <w:rsid w:val="00B84BDB"/>
    <w:rsid w:val="00B85402"/>
    <w:rsid w:val="00B85D21"/>
    <w:rsid w:val="00B86445"/>
    <w:rsid w:val="00B87C8A"/>
    <w:rsid w:val="00B92BBB"/>
    <w:rsid w:val="00B94334"/>
    <w:rsid w:val="00B94B1B"/>
    <w:rsid w:val="00B94E52"/>
    <w:rsid w:val="00B959D7"/>
    <w:rsid w:val="00B9684D"/>
    <w:rsid w:val="00B968F0"/>
    <w:rsid w:val="00BA2A04"/>
    <w:rsid w:val="00BA31D3"/>
    <w:rsid w:val="00BA4D1D"/>
    <w:rsid w:val="00BA56AE"/>
    <w:rsid w:val="00BA5E65"/>
    <w:rsid w:val="00BB01CD"/>
    <w:rsid w:val="00BB2667"/>
    <w:rsid w:val="00BC4976"/>
    <w:rsid w:val="00BC5E23"/>
    <w:rsid w:val="00BC5F07"/>
    <w:rsid w:val="00BC63C6"/>
    <w:rsid w:val="00BC7F86"/>
    <w:rsid w:val="00BD3D26"/>
    <w:rsid w:val="00BD4EA4"/>
    <w:rsid w:val="00BD64F2"/>
    <w:rsid w:val="00BE044A"/>
    <w:rsid w:val="00BE0551"/>
    <w:rsid w:val="00BE07CC"/>
    <w:rsid w:val="00BE3294"/>
    <w:rsid w:val="00BE3E75"/>
    <w:rsid w:val="00BE4A2B"/>
    <w:rsid w:val="00BE541D"/>
    <w:rsid w:val="00BE5ACD"/>
    <w:rsid w:val="00BE6A1D"/>
    <w:rsid w:val="00BE7D03"/>
    <w:rsid w:val="00BF0C76"/>
    <w:rsid w:val="00C004B9"/>
    <w:rsid w:val="00C0057F"/>
    <w:rsid w:val="00C00A39"/>
    <w:rsid w:val="00C01B10"/>
    <w:rsid w:val="00C06ED0"/>
    <w:rsid w:val="00C10C66"/>
    <w:rsid w:val="00C12518"/>
    <w:rsid w:val="00C1290E"/>
    <w:rsid w:val="00C14308"/>
    <w:rsid w:val="00C178B5"/>
    <w:rsid w:val="00C205A1"/>
    <w:rsid w:val="00C21180"/>
    <w:rsid w:val="00C228AE"/>
    <w:rsid w:val="00C253CA"/>
    <w:rsid w:val="00C26022"/>
    <w:rsid w:val="00C27FCB"/>
    <w:rsid w:val="00C30444"/>
    <w:rsid w:val="00C31103"/>
    <w:rsid w:val="00C32570"/>
    <w:rsid w:val="00C32B47"/>
    <w:rsid w:val="00C33920"/>
    <w:rsid w:val="00C345A1"/>
    <w:rsid w:val="00C34899"/>
    <w:rsid w:val="00C3598A"/>
    <w:rsid w:val="00C37A43"/>
    <w:rsid w:val="00C4130C"/>
    <w:rsid w:val="00C4199F"/>
    <w:rsid w:val="00C42164"/>
    <w:rsid w:val="00C43D68"/>
    <w:rsid w:val="00C44E2C"/>
    <w:rsid w:val="00C4529C"/>
    <w:rsid w:val="00C45663"/>
    <w:rsid w:val="00C45891"/>
    <w:rsid w:val="00C45B8F"/>
    <w:rsid w:val="00C464A4"/>
    <w:rsid w:val="00C469F2"/>
    <w:rsid w:val="00C475ED"/>
    <w:rsid w:val="00C51051"/>
    <w:rsid w:val="00C51AB9"/>
    <w:rsid w:val="00C52109"/>
    <w:rsid w:val="00C540C1"/>
    <w:rsid w:val="00C5410F"/>
    <w:rsid w:val="00C55643"/>
    <w:rsid w:val="00C56F84"/>
    <w:rsid w:val="00C57DC7"/>
    <w:rsid w:val="00C605E8"/>
    <w:rsid w:val="00C62432"/>
    <w:rsid w:val="00C6287B"/>
    <w:rsid w:val="00C6431D"/>
    <w:rsid w:val="00C657C0"/>
    <w:rsid w:val="00C7066E"/>
    <w:rsid w:val="00C70B0A"/>
    <w:rsid w:val="00C71640"/>
    <w:rsid w:val="00C718A3"/>
    <w:rsid w:val="00C7269D"/>
    <w:rsid w:val="00C72FD5"/>
    <w:rsid w:val="00C73C51"/>
    <w:rsid w:val="00C747AB"/>
    <w:rsid w:val="00C74C0D"/>
    <w:rsid w:val="00C751C6"/>
    <w:rsid w:val="00C75B53"/>
    <w:rsid w:val="00C75E17"/>
    <w:rsid w:val="00C75F80"/>
    <w:rsid w:val="00C76A2E"/>
    <w:rsid w:val="00C76C75"/>
    <w:rsid w:val="00C802F1"/>
    <w:rsid w:val="00C80369"/>
    <w:rsid w:val="00C82AE8"/>
    <w:rsid w:val="00C83BF1"/>
    <w:rsid w:val="00C8612D"/>
    <w:rsid w:val="00C90CC1"/>
    <w:rsid w:val="00C9133D"/>
    <w:rsid w:val="00C93E7C"/>
    <w:rsid w:val="00C9403B"/>
    <w:rsid w:val="00C941B0"/>
    <w:rsid w:val="00C95567"/>
    <w:rsid w:val="00C95884"/>
    <w:rsid w:val="00C96F17"/>
    <w:rsid w:val="00C97295"/>
    <w:rsid w:val="00C9732C"/>
    <w:rsid w:val="00C974AC"/>
    <w:rsid w:val="00C97D00"/>
    <w:rsid w:val="00CA058A"/>
    <w:rsid w:val="00CA06A5"/>
    <w:rsid w:val="00CA3769"/>
    <w:rsid w:val="00CA77A9"/>
    <w:rsid w:val="00CB1A0A"/>
    <w:rsid w:val="00CB4D19"/>
    <w:rsid w:val="00CB5E45"/>
    <w:rsid w:val="00CB74A4"/>
    <w:rsid w:val="00CB7D70"/>
    <w:rsid w:val="00CC6338"/>
    <w:rsid w:val="00CC6B4A"/>
    <w:rsid w:val="00CD095F"/>
    <w:rsid w:val="00CD138C"/>
    <w:rsid w:val="00CD2D10"/>
    <w:rsid w:val="00CD50B8"/>
    <w:rsid w:val="00CD54B5"/>
    <w:rsid w:val="00CD6268"/>
    <w:rsid w:val="00CD6840"/>
    <w:rsid w:val="00CD756D"/>
    <w:rsid w:val="00CE0811"/>
    <w:rsid w:val="00CE1612"/>
    <w:rsid w:val="00CE36C0"/>
    <w:rsid w:val="00CE3A3B"/>
    <w:rsid w:val="00CE4F97"/>
    <w:rsid w:val="00CE53C3"/>
    <w:rsid w:val="00CE75A3"/>
    <w:rsid w:val="00CF0055"/>
    <w:rsid w:val="00CF11C1"/>
    <w:rsid w:val="00CF205D"/>
    <w:rsid w:val="00CF4359"/>
    <w:rsid w:val="00CF5477"/>
    <w:rsid w:val="00CF5605"/>
    <w:rsid w:val="00D011DE"/>
    <w:rsid w:val="00D01CA8"/>
    <w:rsid w:val="00D02A89"/>
    <w:rsid w:val="00D02E86"/>
    <w:rsid w:val="00D05D84"/>
    <w:rsid w:val="00D067BC"/>
    <w:rsid w:val="00D1196F"/>
    <w:rsid w:val="00D156D8"/>
    <w:rsid w:val="00D1636A"/>
    <w:rsid w:val="00D2030E"/>
    <w:rsid w:val="00D208AB"/>
    <w:rsid w:val="00D20B9E"/>
    <w:rsid w:val="00D20BD2"/>
    <w:rsid w:val="00D21370"/>
    <w:rsid w:val="00D21DFF"/>
    <w:rsid w:val="00D224BB"/>
    <w:rsid w:val="00D22685"/>
    <w:rsid w:val="00D249AF"/>
    <w:rsid w:val="00D24ECF"/>
    <w:rsid w:val="00D253E9"/>
    <w:rsid w:val="00D25534"/>
    <w:rsid w:val="00D25D4A"/>
    <w:rsid w:val="00D2606D"/>
    <w:rsid w:val="00D268D2"/>
    <w:rsid w:val="00D32188"/>
    <w:rsid w:val="00D33C1A"/>
    <w:rsid w:val="00D34A2E"/>
    <w:rsid w:val="00D35093"/>
    <w:rsid w:val="00D3635C"/>
    <w:rsid w:val="00D37629"/>
    <w:rsid w:val="00D37B69"/>
    <w:rsid w:val="00D40B07"/>
    <w:rsid w:val="00D40D5E"/>
    <w:rsid w:val="00D41F72"/>
    <w:rsid w:val="00D421EE"/>
    <w:rsid w:val="00D42F4B"/>
    <w:rsid w:val="00D4637F"/>
    <w:rsid w:val="00D46A52"/>
    <w:rsid w:val="00D47CE4"/>
    <w:rsid w:val="00D509A9"/>
    <w:rsid w:val="00D527C8"/>
    <w:rsid w:val="00D53034"/>
    <w:rsid w:val="00D5605E"/>
    <w:rsid w:val="00D575D5"/>
    <w:rsid w:val="00D57A78"/>
    <w:rsid w:val="00D60367"/>
    <w:rsid w:val="00D61973"/>
    <w:rsid w:val="00D61B0E"/>
    <w:rsid w:val="00D64794"/>
    <w:rsid w:val="00D66447"/>
    <w:rsid w:val="00D714D7"/>
    <w:rsid w:val="00D735B6"/>
    <w:rsid w:val="00D74A8F"/>
    <w:rsid w:val="00D77A61"/>
    <w:rsid w:val="00D77EAF"/>
    <w:rsid w:val="00D80097"/>
    <w:rsid w:val="00D829D1"/>
    <w:rsid w:val="00D83B10"/>
    <w:rsid w:val="00D83F01"/>
    <w:rsid w:val="00D85598"/>
    <w:rsid w:val="00D85BBC"/>
    <w:rsid w:val="00D87164"/>
    <w:rsid w:val="00D87360"/>
    <w:rsid w:val="00D87EC3"/>
    <w:rsid w:val="00D91CDD"/>
    <w:rsid w:val="00D925AC"/>
    <w:rsid w:val="00D933B5"/>
    <w:rsid w:val="00D93466"/>
    <w:rsid w:val="00D96076"/>
    <w:rsid w:val="00DA0533"/>
    <w:rsid w:val="00DA1310"/>
    <w:rsid w:val="00DA2119"/>
    <w:rsid w:val="00DA37AB"/>
    <w:rsid w:val="00DA3CDB"/>
    <w:rsid w:val="00DA4611"/>
    <w:rsid w:val="00DA516E"/>
    <w:rsid w:val="00DA69F2"/>
    <w:rsid w:val="00DA7819"/>
    <w:rsid w:val="00DB0B50"/>
    <w:rsid w:val="00DB2E55"/>
    <w:rsid w:val="00DB3775"/>
    <w:rsid w:val="00DB4F44"/>
    <w:rsid w:val="00DB6012"/>
    <w:rsid w:val="00DB74A2"/>
    <w:rsid w:val="00DC0164"/>
    <w:rsid w:val="00DC27A7"/>
    <w:rsid w:val="00DD0BC9"/>
    <w:rsid w:val="00DD1CE8"/>
    <w:rsid w:val="00DD49B6"/>
    <w:rsid w:val="00DD4B88"/>
    <w:rsid w:val="00DD5262"/>
    <w:rsid w:val="00DD5D29"/>
    <w:rsid w:val="00DD697B"/>
    <w:rsid w:val="00DD741B"/>
    <w:rsid w:val="00DE4421"/>
    <w:rsid w:val="00DE485F"/>
    <w:rsid w:val="00DE4B68"/>
    <w:rsid w:val="00DE77F2"/>
    <w:rsid w:val="00DF00E3"/>
    <w:rsid w:val="00DF0F06"/>
    <w:rsid w:val="00DF23B9"/>
    <w:rsid w:val="00DF2C99"/>
    <w:rsid w:val="00DF3D5C"/>
    <w:rsid w:val="00DF59FE"/>
    <w:rsid w:val="00E03270"/>
    <w:rsid w:val="00E03634"/>
    <w:rsid w:val="00E0584B"/>
    <w:rsid w:val="00E070C9"/>
    <w:rsid w:val="00E07EDB"/>
    <w:rsid w:val="00E128EA"/>
    <w:rsid w:val="00E149EC"/>
    <w:rsid w:val="00E171A6"/>
    <w:rsid w:val="00E17C4D"/>
    <w:rsid w:val="00E2149C"/>
    <w:rsid w:val="00E220D3"/>
    <w:rsid w:val="00E22760"/>
    <w:rsid w:val="00E22F9A"/>
    <w:rsid w:val="00E2301E"/>
    <w:rsid w:val="00E24279"/>
    <w:rsid w:val="00E246AC"/>
    <w:rsid w:val="00E25399"/>
    <w:rsid w:val="00E253CA"/>
    <w:rsid w:val="00E27C14"/>
    <w:rsid w:val="00E36A54"/>
    <w:rsid w:val="00E36C24"/>
    <w:rsid w:val="00E37F89"/>
    <w:rsid w:val="00E41517"/>
    <w:rsid w:val="00E42549"/>
    <w:rsid w:val="00E470DC"/>
    <w:rsid w:val="00E556CD"/>
    <w:rsid w:val="00E56BB0"/>
    <w:rsid w:val="00E570A0"/>
    <w:rsid w:val="00E572F2"/>
    <w:rsid w:val="00E57567"/>
    <w:rsid w:val="00E57B77"/>
    <w:rsid w:val="00E57BE9"/>
    <w:rsid w:val="00E616A4"/>
    <w:rsid w:val="00E61D5F"/>
    <w:rsid w:val="00E62598"/>
    <w:rsid w:val="00E63E98"/>
    <w:rsid w:val="00E65202"/>
    <w:rsid w:val="00E6683B"/>
    <w:rsid w:val="00E670DF"/>
    <w:rsid w:val="00E67ADB"/>
    <w:rsid w:val="00E67D5E"/>
    <w:rsid w:val="00E706C3"/>
    <w:rsid w:val="00E70A69"/>
    <w:rsid w:val="00E718F7"/>
    <w:rsid w:val="00E71D22"/>
    <w:rsid w:val="00E72EDD"/>
    <w:rsid w:val="00E7458A"/>
    <w:rsid w:val="00E750F6"/>
    <w:rsid w:val="00E75DA4"/>
    <w:rsid w:val="00E76084"/>
    <w:rsid w:val="00E77022"/>
    <w:rsid w:val="00E77E74"/>
    <w:rsid w:val="00E8033B"/>
    <w:rsid w:val="00E8214C"/>
    <w:rsid w:val="00E8274F"/>
    <w:rsid w:val="00E83B00"/>
    <w:rsid w:val="00E84267"/>
    <w:rsid w:val="00E87AD7"/>
    <w:rsid w:val="00E90CEF"/>
    <w:rsid w:val="00E914F4"/>
    <w:rsid w:val="00E915BD"/>
    <w:rsid w:val="00E92ACE"/>
    <w:rsid w:val="00EA1734"/>
    <w:rsid w:val="00EA22A7"/>
    <w:rsid w:val="00EA3F26"/>
    <w:rsid w:val="00EA48D9"/>
    <w:rsid w:val="00EA5A95"/>
    <w:rsid w:val="00EA6D5D"/>
    <w:rsid w:val="00EA7014"/>
    <w:rsid w:val="00EB0DA2"/>
    <w:rsid w:val="00EB0F29"/>
    <w:rsid w:val="00EB22F7"/>
    <w:rsid w:val="00EB3C47"/>
    <w:rsid w:val="00EB58D9"/>
    <w:rsid w:val="00EB5BB4"/>
    <w:rsid w:val="00EB5DDB"/>
    <w:rsid w:val="00EC000A"/>
    <w:rsid w:val="00EC1230"/>
    <w:rsid w:val="00EC23AD"/>
    <w:rsid w:val="00EC26FA"/>
    <w:rsid w:val="00EC2DB9"/>
    <w:rsid w:val="00EC2E66"/>
    <w:rsid w:val="00EC4652"/>
    <w:rsid w:val="00EC4C72"/>
    <w:rsid w:val="00EC7E9C"/>
    <w:rsid w:val="00ED09EA"/>
    <w:rsid w:val="00ED321B"/>
    <w:rsid w:val="00ED3F63"/>
    <w:rsid w:val="00ED47E0"/>
    <w:rsid w:val="00ED4E4C"/>
    <w:rsid w:val="00ED62B9"/>
    <w:rsid w:val="00ED6DB4"/>
    <w:rsid w:val="00ED6FB9"/>
    <w:rsid w:val="00ED7625"/>
    <w:rsid w:val="00ED777D"/>
    <w:rsid w:val="00EE001A"/>
    <w:rsid w:val="00EE0FAE"/>
    <w:rsid w:val="00EE1C0E"/>
    <w:rsid w:val="00EE32AB"/>
    <w:rsid w:val="00EE546A"/>
    <w:rsid w:val="00EE70B9"/>
    <w:rsid w:val="00EF050B"/>
    <w:rsid w:val="00EF3B1F"/>
    <w:rsid w:val="00EF4CD4"/>
    <w:rsid w:val="00EF5759"/>
    <w:rsid w:val="00EF7CC0"/>
    <w:rsid w:val="00F001F1"/>
    <w:rsid w:val="00F016D4"/>
    <w:rsid w:val="00F04438"/>
    <w:rsid w:val="00F05678"/>
    <w:rsid w:val="00F07E7A"/>
    <w:rsid w:val="00F13A28"/>
    <w:rsid w:val="00F13FDC"/>
    <w:rsid w:val="00F145E5"/>
    <w:rsid w:val="00F173C2"/>
    <w:rsid w:val="00F17D71"/>
    <w:rsid w:val="00F20BEB"/>
    <w:rsid w:val="00F21027"/>
    <w:rsid w:val="00F2278C"/>
    <w:rsid w:val="00F26CB2"/>
    <w:rsid w:val="00F311DF"/>
    <w:rsid w:val="00F32740"/>
    <w:rsid w:val="00F334D6"/>
    <w:rsid w:val="00F34697"/>
    <w:rsid w:val="00F34F8A"/>
    <w:rsid w:val="00F35AD8"/>
    <w:rsid w:val="00F36983"/>
    <w:rsid w:val="00F41535"/>
    <w:rsid w:val="00F42004"/>
    <w:rsid w:val="00F42019"/>
    <w:rsid w:val="00F421E6"/>
    <w:rsid w:val="00F43CDC"/>
    <w:rsid w:val="00F44CBF"/>
    <w:rsid w:val="00F45135"/>
    <w:rsid w:val="00F468EF"/>
    <w:rsid w:val="00F4752D"/>
    <w:rsid w:val="00F510CA"/>
    <w:rsid w:val="00F52229"/>
    <w:rsid w:val="00F52620"/>
    <w:rsid w:val="00F532A7"/>
    <w:rsid w:val="00F5361A"/>
    <w:rsid w:val="00F54180"/>
    <w:rsid w:val="00F605D0"/>
    <w:rsid w:val="00F6280F"/>
    <w:rsid w:val="00F6294D"/>
    <w:rsid w:val="00F64D45"/>
    <w:rsid w:val="00F66012"/>
    <w:rsid w:val="00F66E11"/>
    <w:rsid w:val="00F6770D"/>
    <w:rsid w:val="00F71FF8"/>
    <w:rsid w:val="00F75A4C"/>
    <w:rsid w:val="00F868A2"/>
    <w:rsid w:val="00F91459"/>
    <w:rsid w:val="00F91ACB"/>
    <w:rsid w:val="00F94633"/>
    <w:rsid w:val="00F94D97"/>
    <w:rsid w:val="00F96D27"/>
    <w:rsid w:val="00F97439"/>
    <w:rsid w:val="00F9761C"/>
    <w:rsid w:val="00F978FB"/>
    <w:rsid w:val="00FA0107"/>
    <w:rsid w:val="00FA10F4"/>
    <w:rsid w:val="00FA21EF"/>
    <w:rsid w:val="00FA2309"/>
    <w:rsid w:val="00FA26DE"/>
    <w:rsid w:val="00FA2C9B"/>
    <w:rsid w:val="00FA3654"/>
    <w:rsid w:val="00FA3B7B"/>
    <w:rsid w:val="00FA3EE4"/>
    <w:rsid w:val="00FA3F7E"/>
    <w:rsid w:val="00FA46F9"/>
    <w:rsid w:val="00FA4967"/>
    <w:rsid w:val="00FA73D3"/>
    <w:rsid w:val="00FB1EE6"/>
    <w:rsid w:val="00FB3DE9"/>
    <w:rsid w:val="00FB4861"/>
    <w:rsid w:val="00FB685B"/>
    <w:rsid w:val="00FB6A05"/>
    <w:rsid w:val="00FC108E"/>
    <w:rsid w:val="00FC13EC"/>
    <w:rsid w:val="00FC42AA"/>
    <w:rsid w:val="00FC4BB9"/>
    <w:rsid w:val="00FC4F63"/>
    <w:rsid w:val="00FC573D"/>
    <w:rsid w:val="00FC64B8"/>
    <w:rsid w:val="00FC6CE1"/>
    <w:rsid w:val="00FC7289"/>
    <w:rsid w:val="00FD1162"/>
    <w:rsid w:val="00FD1EFE"/>
    <w:rsid w:val="00FD2B6E"/>
    <w:rsid w:val="00FD3649"/>
    <w:rsid w:val="00FD5895"/>
    <w:rsid w:val="00FD700F"/>
    <w:rsid w:val="00FD7A34"/>
    <w:rsid w:val="00FE206A"/>
    <w:rsid w:val="00FE2B0A"/>
    <w:rsid w:val="00FE38B1"/>
    <w:rsid w:val="00FE3A4F"/>
    <w:rsid w:val="00FE68AF"/>
    <w:rsid w:val="00FE79FB"/>
    <w:rsid w:val="00FE7ECF"/>
    <w:rsid w:val="00FF012C"/>
    <w:rsid w:val="00FF01BE"/>
    <w:rsid w:val="00FF26B1"/>
    <w:rsid w:val="00FF34F9"/>
    <w:rsid w:val="00FF4E2A"/>
    <w:rsid w:val="00FF519C"/>
    <w:rsid w:val="00FF57CF"/>
    <w:rsid w:val="00FF657D"/>
    <w:rsid w:val="00FF6E9E"/>
    <w:rsid w:val="00FF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4:docId w14:val="154A4C63"/>
  <w15:docId w15:val="{0DDB6D33-44CE-44EA-AE7C-157D206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7F"/>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B85402"/>
    <w:rPr>
      <w:rFonts w:cs="Times New Roman"/>
      <w:color w:val="0000FF"/>
      <w:u w:val="single"/>
    </w:rPr>
  </w:style>
  <w:style w:type="paragraph" w:styleId="BalloonText">
    <w:name w:val="Balloon Text"/>
    <w:basedOn w:val="Normal"/>
    <w:link w:val="BalloonTextChar"/>
    <w:uiPriority w:val="99"/>
    <w:semiHidden/>
    <w:rsid w:val="00B61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9D1"/>
    <w:rPr>
      <w:rFonts w:ascii="Times New Roman" w:hAnsi="Times New Roman" w:cs="Times New Roman"/>
      <w:sz w:val="2"/>
      <w:lang w:val="lv-LV"/>
    </w:rPr>
  </w:style>
  <w:style w:type="paragraph" w:customStyle="1" w:styleId="naisnod">
    <w:name w:val="naisnod"/>
    <w:basedOn w:val="Normal"/>
    <w:uiPriority w:val="99"/>
    <w:rsid w:val="00E56BB0"/>
    <w:pPr>
      <w:spacing w:before="100" w:beforeAutospacing="1" w:after="100" w:afterAutospacing="1"/>
    </w:pPr>
    <w:rPr>
      <w:lang w:eastAsia="lv-LV"/>
    </w:rPr>
  </w:style>
  <w:style w:type="paragraph" w:styleId="ListParagraph">
    <w:name w:val="List Paragraph"/>
    <w:basedOn w:val="Normal"/>
    <w:uiPriority w:val="99"/>
    <w:qFormat/>
    <w:rsid w:val="00E56BB0"/>
    <w:pPr>
      <w:spacing w:after="200" w:line="276" w:lineRule="auto"/>
      <w:ind w:left="720"/>
      <w:contextualSpacing/>
    </w:pPr>
    <w:rPr>
      <w:rFonts w:ascii="Calibri" w:eastAsia="Calibri" w:hAnsi="Calibri"/>
      <w:sz w:val="22"/>
      <w:szCs w:val="22"/>
    </w:rPr>
  </w:style>
  <w:style w:type="paragraph" w:customStyle="1" w:styleId="naiskr">
    <w:name w:val="naiskr"/>
    <w:basedOn w:val="Normal"/>
    <w:rsid w:val="00E56BB0"/>
    <w:pPr>
      <w:spacing w:before="100" w:beforeAutospacing="1" w:after="100" w:afterAutospacing="1"/>
    </w:pPr>
    <w:rPr>
      <w:lang w:eastAsia="lv-LV"/>
    </w:rPr>
  </w:style>
  <w:style w:type="paragraph" w:customStyle="1" w:styleId="naisc">
    <w:name w:val="naisc"/>
    <w:basedOn w:val="Normal"/>
    <w:rsid w:val="00103169"/>
    <w:pPr>
      <w:spacing w:before="75" w:after="75"/>
      <w:jc w:val="center"/>
    </w:pPr>
    <w:rPr>
      <w:rFonts w:eastAsia="Calibri"/>
      <w:lang w:eastAsia="lv-LV"/>
    </w:rPr>
  </w:style>
  <w:style w:type="paragraph" w:customStyle="1" w:styleId="tv213tvp">
    <w:name w:val="tv213 tvp"/>
    <w:basedOn w:val="Normal"/>
    <w:uiPriority w:val="99"/>
    <w:rsid w:val="00B87C8A"/>
    <w:pPr>
      <w:spacing w:before="100" w:beforeAutospacing="1" w:after="100" w:afterAutospacing="1"/>
    </w:pPr>
    <w:rPr>
      <w:rFonts w:eastAsia="Calibri"/>
      <w:lang w:eastAsia="lv-LV"/>
    </w:rPr>
  </w:style>
  <w:style w:type="paragraph" w:customStyle="1" w:styleId="tv213limenis2">
    <w:name w:val="tv213 limenis2"/>
    <w:basedOn w:val="Normal"/>
    <w:uiPriority w:val="99"/>
    <w:rsid w:val="00B87C8A"/>
    <w:pPr>
      <w:spacing w:before="100" w:beforeAutospacing="1" w:after="100" w:afterAutospacing="1"/>
    </w:pPr>
    <w:rPr>
      <w:rFonts w:eastAsia="Calibri"/>
      <w:lang w:eastAsia="lv-LV"/>
    </w:rPr>
  </w:style>
  <w:style w:type="paragraph" w:customStyle="1" w:styleId="tv213limenis3">
    <w:name w:val="tv213 limenis3"/>
    <w:basedOn w:val="Normal"/>
    <w:uiPriority w:val="99"/>
    <w:rsid w:val="00B87C8A"/>
    <w:pPr>
      <w:spacing w:before="100" w:beforeAutospacing="1" w:after="100" w:afterAutospacing="1"/>
    </w:pPr>
    <w:rPr>
      <w:rFonts w:eastAsia="Calibri"/>
      <w:lang w:eastAsia="lv-LV"/>
    </w:rPr>
  </w:style>
  <w:style w:type="paragraph" w:customStyle="1" w:styleId="CM1">
    <w:name w:val="CM1"/>
    <w:basedOn w:val="Normal"/>
    <w:next w:val="Normal"/>
    <w:uiPriority w:val="99"/>
    <w:rsid w:val="008306B6"/>
    <w:pPr>
      <w:autoSpaceDE w:val="0"/>
      <w:autoSpaceDN w:val="0"/>
      <w:adjustRightInd w:val="0"/>
    </w:pPr>
    <w:rPr>
      <w:rFonts w:ascii="EUAlbertina" w:eastAsia="Calibri" w:hAnsi="EUAlbertina"/>
    </w:rPr>
  </w:style>
  <w:style w:type="paragraph" w:customStyle="1" w:styleId="CM3">
    <w:name w:val="CM3"/>
    <w:basedOn w:val="Normal"/>
    <w:next w:val="Normal"/>
    <w:uiPriority w:val="99"/>
    <w:rsid w:val="008306B6"/>
    <w:pPr>
      <w:autoSpaceDE w:val="0"/>
      <w:autoSpaceDN w:val="0"/>
      <w:adjustRightInd w:val="0"/>
    </w:pPr>
    <w:rPr>
      <w:rFonts w:ascii="EUAlbertina" w:eastAsia="Calibri" w:hAnsi="EUAlbertina"/>
    </w:rPr>
  </w:style>
  <w:style w:type="paragraph" w:customStyle="1" w:styleId="CharCharCharChar">
    <w:name w:val="Char Char Char Char"/>
    <w:basedOn w:val="Normal"/>
    <w:uiPriority w:val="99"/>
    <w:rsid w:val="00F71FF8"/>
    <w:pPr>
      <w:spacing w:after="160" w:line="240" w:lineRule="exact"/>
    </w:pPr>
    <w:rPr>
      <w:rFonts w:ascii="Dutch TL" w:hAnsi="Dutch TL"/>
      <w:sz w:val="28"/>
      <w:szCs w:val="20"/>
      <w:lang w:eastAsia="zh-TW"/>
    </w:rPr>
  </w:style>
  <w:style w:type="paragraph" w:customStyle="1" w:styleId="basetext">
    <w:name w:val="base text"/>
    <w:uiPriority w:val="99"/>
    <w:rsid w:val="00165E54"/>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rFonts w:ascii="Times New Roman" w:hAnsi="Times New Roman"/>
      <w:sz w:val="24"/>
      <w:szCs w:val="20"/>
      <w:lang w:val="en-US" w:eastAsia="en-US"/>
    </w:rPr>
  </w:style>
  <w:style w:type="paragraph" w:customStyle="1" w:styleId="TableContents">
    <w:name w:val="Table Contents"/>
    <w:basedOn w:val="Normal"/>
    <w:uiPriority w:val="99"/>
    <w:rsid w:val="00F145E5"/>
    <w:pPr>
      <w:suppressLineNumbers/>
      <w:suppressAutoHyphens/>
    </w:pPr>
    <w:rPr>
      <w:lang w:eastAsia="ar-SA"/>
    </w:rPr>
  </w:style>
  <w:style w:type="character" w:styleId="Strong">
    <w:name w:val="Strong"/>
    <w:basedOn w:val="DefaultParagraphFont"/>
    <w:uiPriority w:val="99"/>
    <w:qFormat/>
    <w:locked/>
    <w:rsid w:val="00C45B8F"/>
    <w:rPr>
      <w:rFonts w:cs="Times New Roman"/>
      <w:b/>
      <w:bCs/>
    </w:rPr>
  </w:style>
  <w:style w:type="character" w:styleId="CommentReference">
    <w:name w:val="annotation reference"/>
    <w:basedOn w:val="DefaultParagraphFont"/>
    <w:uiPriority w:val="99"/>
    <w:semiHidden/>
    <w:unhideWhenUsed/>
    <w:rsid w:val="005E5DC1"/>
    <w:rPr>
      <w:sz w:val="16"/>
      <w:szCs w:val="16"/>
    </w:rPr>
  </w:style>
  <w:style w:type="paragraph" w:styleId="CommentText">
    <w:name w:val="annotation text"/>
    <w:basedOn w:val="Normal"/>
    <w:link w:val="CommentTextChar"/>
    <w:uiPriority w:val="99"/>
    <w:unhideWhenUsed/>
    <w:rsid w:val="005E5DC1"/>
    <w:rPr>
      <w:sz w:val="20"/>
      <w:szCs w:val="20"/>
    </w:rPr>
  </w:style>
  <w:style w:type="character" w:customStyle="1" w:styleId="CommentTextChar">
    <w:name w:val="Comment Text Char"/>
    <w:basedOn w:val="DefaultParagraphFont"/>
    <w:link w:val="CommentText"/>
    <w:uiPriority w:val="99"/>
    <w:rsid w:val="005E5DC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E5DC1"/>
    <w:rPr>
      <w:b/>
      <w:bCs/>
    </w:rPr>
  </w:style>
  <w:style w:type="character" w:customStyle="1" w:styleId="CommentSubjectChar">
    <w:name w:val="Comment Subject Char"/>
    <w:basedOn w:val="CommentTextChar"/>
    <w:link w:val="CommentSubject"/>
    <w:uiPriority w:val="99"/>
    <w:semiHidden/>
    <w:rsid w:val="005E5DC1"/>
    <w:rPr>
      <w:rFonts w:ascii="Times New Roman" w:eastAsia="Times New Roman" w:hAnsi="Times New Roman"/>
      <w:b/>
      <w:bCs/>
      <w:sz w:val="20"/>
      <w:szCs w:val="20"/>
      <w:lang w:eastAsia="en-US"/>
    </w:rPr>
  </w:style>
  <w:style w:type="paragraph" w:styleId="FootnoteText">
    <w:name w:val="footnote text"/>
    <w:basedOn w:val="Normal"/>
    <w:link w:val="FootnoteTextChar"/>
    <w:uiPriority w:val="99"/>
    <w:semiHidden/>
    <w:unhideWhenUsed/>
    <w:rsid w:val="00684CE2"/>
    <w:rPr>
      <w:sz w:val="20"/>
      <w:szCs w:val="20"/>
    </w:rPr>
  </w:style>
  <w:style w:type="character" w:customStyle="1" w:styleId="FootnoteTextChar">
    <w:name w:val="Footnote Text Char"/>
    <w:basedOn w:val="DefaultParagraphFont"/>
    <w:link w:val="FootnoteText"/>
    <w:uiPriority w:val="99"/>
    <w:semiHidden/>
    <w:rsid w:val="00684CE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rsid w:val="00684CE2"/>
    <w:rPr>
      <w:vertAlign w:val="superscript"/>
    </w:rPr>
  </w:style>
  <w:style w:type="paragraph" w:customStyle="1" w:styleId="naispant">
    <w:name w:val="naispant"/>
    <w:basedOn w:val="Normal"/>
    <w:rsid w:val="00BD4EA4"/>
    <w:pPr>
      <w:spacing w:before="75" w:after="75"/>
      <w:ind w:left="375" w:firstLine="375"/>
      <w:jc w:val="both"/>
    </w:pPr>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0460">
      <w:bodyDiv w:val="1"/>
      <w:marLeft w:val="0"/>
      <w:marRight w:val="0"/>
      <w:marTop w:val="0"/>
      <w:marBottom w:val="0"/>
      <w:divBdr>
        <w:top w:val="none" w:sz="0" w:space="0" w:color="auto"/>
        <w:left w:val="none" w:sz="0" w:space="0" w:color="auto"/>
        <w:bottom w:val="none" w:sz="0" w:space="0" w:color="auto"/>
        <w:right w:val="none" w:sz="0" w:space="0" w:color="auto"/>
      </w:divBdr>
      <w:divsChild>
        <w:div w:id="489255261">
          <w:marLeft w:val="0"/>
          <w:marRight w:val="0"/>
          <w:marTop w:val="0"/>
          <w:marBottom w:val="0"/>
          <w:divBdr>
            <w:top w:val="none" w:sz="0" w:space="0" w:color="auto"/>
            <w:left w:val="none" w:sz="0" w:space="0" w:color="auto"/>
            <w:bottom w:val="none" w:sz="0" w:space="0" w:color="auto"/>
            <w:right w:val="none" w:sz="0" w:space="0" w:color="auto"/>
          </w:divBdr>
        </w:div>
        <w:div w:id="1683698819">
          <w:marLeft w:val="0"/>
          <w:marRight w:val="0"/>
          <w:marTop w:val="0"/>
          <w:marBottom w:val="0"/>
          <w:divBdr>
            <w:top w:val="none" w:sz="0" w:space="0" w:color="auto"/>
            <w:left w:val="none" w:sz="0" w:space="0" w:color="auto"/>
            <w:bottom w:val="none" w:sz="0" w:space="0" w:color="auto"/>
            <w:right w:val="none" w:sz="0" w:space="0" w:color="auto"/>
          </w:divBdr>
        </w:div>
      </w:divsChild>
    </w:div>
    <w:div w:id="377976345">
      <w:bodyDiv w:val="1"/>
      <w:marLeft w:val="0"/>
      <w:marRight w:val="0"/>
      <w:marTop w:val="0"/>
      <w:marBottom w:val="0"/>
      <w:divBdr>
        <w:top w:val="none" w:sz="0" w:space="0" w:color="auto"/>
        <w:left w:val="none" w:sz="0" w:space="0" w:color="auto"/>
        <w:bottom w:val="none" w:sz="0" w:space="0" w:color="auto"/>
        <w:right w:val="none" w:sz="0" w:space="0" w:color="auto"/>
      </w:divBdr>
    </w:div>
    <w:div w:id="449976984">
      <w:bodyDiv w:val="1"/>
      <w:marLeft w:val="0"/>
      <w:marRight w:val="0"/>
      <w:marTop w:val="0"/>
      <w:marBottom w:val="0"/>
      <w:divBdr>
        <w:top w:val="none" w:sz="0" w:space="0" w:color="auto"/>
        <w:left w:val="none" w:sz="0" w:space="0" w:color="auto"/>
        <w:bottom w:val="none" w:sz="0" w:space="0" w:color="auto"/>
        <w:right w:val="none" w:sz="0" w:space="0" w:color="auto"/>
      </w:divBdr>
      <w:divsChild>
        <w:div w:id="1809080320">
          <w:marLeft w:val="0"/>
          <w:marRight w:val="0"/>
          <w:marTop w:val="0"/>
          <w:marBottom w:val="0"/>
          <w:divBdr>
            <w:top w:val="none" w:sz="0" w:space="0" w:color="auto"/>
            <w:left w:val="none" w:sz="0" w:space="0" w:color="auto"/>
            <w:bottom w:val="none" w:sz="0" w:space="0" w:color="auto"/>
            <w:right w:val="none" w:sz="0" w:space="0" w:color="auto"/>
          </w:divBdr>
        </w:div>
        <w:div w:id="2139180602">
          <w:marLeft w:val="0"/>
          <w:marRight w:val="0"/>
          <w:marTop w:val="0"/>
          <w:marBottom w:val="0"/>
          <w:divBdr>
            <w:top w:val="none" w:sz="0" w:space="0" w:color="auto"/>
            <w:left w:val="none" w:sz="0" w:space="0" w:color="auto"/>
            <w:bottom w:val="none" w:sz="0" w:space="0" w:color="auto"/>
            <w:right w:val="none" w:sz="0" w:space="0" w:color="auto"/>
          </w:divBdr>
        </w:div>
      </w:divsChild>
    </w:div>
    <w:div w:id="525631376">
      <w:bodyDiv w:val="1"/>
      <w:marLeft w:val="0"/>
      <w:marRight w:val="0"/>
      <w:marTop w:val="0"/>
      <w:marBottom w:val="0"/>
      <w:divBdr>
        <w:top w:val="none" w:sz="0" w:space="0" w:color="auto"/>
        <w:left w:val="none" w:sz="0" w:space="0" w:color="auto"/>
        <w:bottom w:val="none" w:sz="0" w:space="0" w:color="auto"/>
        <w:right w:val="none" w:sz="0" w:space="0" w:color="auto"/>
      </w:divBdr>
      <w:divsChild>
        <w:div w:id="47994827">
          <w:marLeft w:val="0"/>
          <w:marRight w:val="0"/>
          <w:marTop w:val="0"/>
          <w:marBottom w:val="0"/>
          <w:divBdr>
            <w:top w:val="none" w:sz="0" w:space="0" w:color="auto"/>
            <w:left w:val="none" w:sz="0" w:space="0" w:color="auto"/>
            <w:bottom w:val="none" w:sz="0" w:space="0" w:color="auto"/>
            <w:right w:val="none" w:sz="0" w:space="0" w:color="auto"/>
          </w:divBdr>
        </w:div>
        <w:div w:id="142085381">
          <w:marLeft w:val="0"/>
          <w:marRight w:val="0"/>
          <w:marTop w:val="0"/>
          <w:marBottom w:val="0"/>
          <w:divBdr>
            <w:top w:val="none" w:sz="0" w:space="0" w:color="auto"/>
            <w:left w:val="none" w:sz="0" w:space="0" w:color="auto"/>
            <w:bottom w:val="none" w:sz="0" w:space="0" w:color="auto"/>
            <w:right w:val="none" w:sz="0" w:space="0" w:color="auto"/>
          </w:divBdr>
        </w:div>
        <w:div w:id="224490741">
          <w:marLeft w:val="0"/>
          <w:marRight w:val="0"/>
          <w:marTop w:val="0"/>
          <w:marBottom w:val="0"/>
          <w:divBdr>
            <w:top w:val="none" w:sz="0" w:space="0" w:color="auto"/>
            <w:left w:val="none" w:sz="0" w:space="0" w:color="auto"/>
            <w:bottom w:val="none" w:sz="0" w:space="0" w:color="auto"/>
            <w:right w:val="none" w:sz="0" w:space="0" w:color="auto"/>
          </w:divBdr>
        </w:div>
        <w:div w:id="250549779">
          <w:marLeft w:val="0"/>
          <w:marRight w:val="0"/>
          <w:marTop w:val="0"/>
          <w:marBottom w:val="0"/>
          <w:divBdr>
            <w:top w:val="none" w:sz="0" w:space="0" w:color="auto"/>
            <w:left w:val="none" w:sz="0" w:space="0" w:color="auto"/>
            <w:bottom w:val="none" w:sz="0" w:space="0" w:color="auto"/>
            <w:right w:val="none" w:sz="0" w:space="0" w:color="auto"/>
          </w:divBdr>
        </w:div>
        <w:div w:id="309797330">
          <w:marLeft w:val="0"/>
          <w:marRight w:val="0"/>
          <w:marTop w:val="0"/>
          <w:marBottom w:val="0"/>
          <w:divBdr>
            <w:top w:val="none" w:sz="0" w:space="0" w:color="auto"/>
            <w:left w:val="none" w:sz="0" w:space="0" w:color="auto"/>
            <w:bottom w:val="none" w:sz="0" w:space="0" w:color="auto"/>
            <w:right w:val="none" w:sz="0" w:space="0" w:color="auto"/>
          </w:divBdr>
        </w:div>
        <w:div w:id="659041374">
          <w:marLeft w:val="0"/>
          <w:marRight w:val="0"/>
          <w:marTop w:val="0"/>
          <w:marBottom w:val="0"/>
          <w:divBdr>
            <w:top w:val="none" w:sz="0" w:space="0" w:color="auto"/>
            <w:left w:val="none" w:sz="0" w:space="0" w:color="auto"/>
            <w:bottom w:val="none" w:sz="0" w:space="0" w:color="auto"/>
            <w:right w:val="none" w:sz="0" w:space="0" w:color="auto"/>
          </w:divBdr>
        </w:div>
        <w:div w:id="712581696">
          <w:marLeft w:val="0"/>
          <w:marRight w:val="0"/>
          <w:marTop w:val="0"/>
          <w:marBottom w:val="0"/>
          <w:divBdr>
            <w:top w:val="none" w:sz="0" w:space="0" w:color="auto"/>
            <w:left w:val="none" w:sz="0" w:space="0" w:color="auto"/>
            <w:bottom w:val="none" w:sz="0" w:space="0" w:color="auto"/>
            <w:right w:val="none" w:sz="0" w:space="0" w:color="auto"/>
          </w:divBdr>
        </w:div>
        <w:div w:id="865214737">
          <w:marLeft w:val="0"/>
          <w:marRight w:val="0"/>
          <w:marTop w:val="0"/>
          <w:marBottom w:val="0"/>
          <w:divBdr>
            <w:top w:val="none" w:sz="0" w:space="0" w:color="auto"/>
            <w:left w:val="none" w:sz="0" w:space="0" w:color="auto"/>
            <w:bottom w:val="none" w:sz="0" w:space="0" w:color="auto"/>
            <w:right w:val="none" w:sz="0" w:space="0" w:color="auto"/>
          </w:divBdr>
        </w:div>
        <w:div w:id="930234742">
          <w:marLeft w:val="0"/>
          <w:marRight w:val="0"/>
          <w:marTop w:val="0"/>
          <w:marBottom w:val="0"/>
          <w:divBdr>
            <w:top w:val="none" w:sz="0" w:space="0" w:color="auto"/>
            <w:left w:val="none" w:sz="0" w:space="0" w:color="auto"/>
            <w:bottom w:val="none" w:sz="0" w:space="0" w:color="auto"/>
            <w:right w:val="none" w:sz="0" w:space="0" w:color="auto"/>
          </w:divBdr>
        </w:div>
        <w:div w:id="974525651">
          <w:marLeft w:val="0"/>
          <w:marRight w:val="0"/>
          <w:marTop w:val="0"/>
          <w:marBottom w:val="0"/>
          <w:divBdr>
            <w:top w:val="none" w:sz="0" w:space="0" w:color="auto"/>
            <w:left w:val="none" w:sz="0" w:space="0" w:color="auto"/>
            <w:bottom w:val="none" w:sz="0" w:space="0" w:color="auto"/>
            <w:right w:val="none" w:sz="0" w:space="0" w:color="auto"/>
          </w:divBdr>
        </w:div>
        <w:div w:id="1078864529">
          <w:marLeft w:val="0"/>
          <w:marRight w:val="0"/>
          <w:marTop w:val="0"/>
          <w:marBottom w:val="0"/>
          <w:divBdr>
            <w:top w:val="none" w:sz="0" w:space="0" w:color="auto"/>
            <w:left w:val="none" w:sz="0" w:space="0" w:color="auto"/>
            <w:bottom w:val="none" w:sz="0" w:space="0" w:color="auto"/>
            <w:right w:val="none" w:sz="0" w:space="0" w:color="auto"/>
          </w:divBdr>
        </w:div>
        <w:div w:id="1121072760">
          <w:marLeft w:val="0"/>
          <w:marRight w:val="0"/>
          <w:marTop w:val="0"/>
          <w:marBottom w:val="0"/>
          <w:divBdr>
            <w:top w:val="none" w:sz="0" w:space="0" w:color="auto"/>
            <w:left w:val="none" w:sz="0" w:space="0" w:color="auto"/>
            <w:bottom w:val="none" w:sz="0" w:space="0" w:color="auto"/>
            <w:right w:val="none" w:sz="0" w:space="0" w:color="auto"/>
          </w:divBdr>
        </w:div>
        <w:div w:id="1630164970">
          <w:marLeft w:val="0"/>
          <w:marRight w:val="0"/>
          <w:marTop w:val="0"/>
          <w:marBottom w:val="0"/>
          <w:divBdr>
            <w:top w:val="none" w:sz="0" w:space="0" w:color="auto"/>
            <w:left w:val="none" w:sz="0" w:space="0" w:color="auto"/>
            <w:bottom w:val="none" w:sz="0" w:space="0" w:color="auto"/>
            <w:right w:val="none" w:sz="0" w:space="0" w:color="auto"/>
          </w:divBdr>
        </w:div>
        <w:div w:id="1920406955">
          <w:marLeft w:val="0"/>
          <w:marRight w:val="0"/>
          <w:marTop w:val="0"/>
          <w:marBottom w:val="0"/>
          <w:divBdr>
            <w:top w:val="none" w:sz="0" w:space="0" w:color="auto"/>
            <w:left w:val="none" w:sz="0" w:space="0" w:color="auto"/>
            <w:bottom w:val="none" w:sz="0" w:space="0" w:color="auto"/>
            <w:right w:val="none" w:sz="0" w:space="0" w:color="auto"/>
          </w:divBdr>
        </w:div>
        <w:div w:id="1933120872">
          <w:marLeft w:val="0"/>
          <w:marRight w:val="0"/>
          <w:marTop w:val="0"/>
          <w:marBottom w:val="0"/>
          <w:divBdr>
            <w:top w:val="none" w:sz="0" w:space="0" w:color="auto"/>
            <w:left w:val="none" w:sz="0" w:space="0" w:color="auto"/>
            <w:bottom w:val="none" w:sz="0" w:space="0" w:color="auto"/>
            <w:right w:val="none" w:sz="0" w:space="0" w:color="auto"/>
          </w:divBdr>
        </w:div>
        <w:div w:id="2018388824">
          <w:marLeft w:val="0"/>
          <w:marRight w:val="0"/>
          <w:marTop w:val="0"/>
          <w:marBottom w:val="0"/>
          <w:divBdr>
            <w:top w:val="none" w:sz="0" w:space="0" w:color="auto"/>
            <w:left w:val="none" w:sz="0" w:space="0" w:color="auto"/>
            <w:bottom w:val="none" w:sz="0" w:space="0" w:color="auto"/>
            <w:right w:val="none" w:sz="0" w:space="0" w:color="auto"/>
          </w:divBdr>
        </w:div>
        <w:div w:id="2069300766">
          <w:marLeft w:val="0"/>
          <w:marRight w:val="0"/>
          <w:marTop w:val="0"/>
          <w:marBottom w:val="0"/>
          <w:divBdr>
            <w:top w:val="none" w:sz="0" w:space="0" w:color="auto"/>
            <w:left w:val="none" w:sz="0" w:space="0" w:color="auto"/>
            <w:bottom w:val="none" w:sz="0" w:space="0" w:color="auto"/>
            <w:right w:val="none" w:sz="0" w:space="0" w:color="auto"/>
          </w:divBdr>
        </w:div>
      </w:divsChild>
    </w:div>
    <w:div w:id="775636577">
      <w:bodyDiv w:val="1"/>
      <w:marLeft w:val="0"/>
      <w:marRight w:val="0"/>
      <w:marTop w:val="0"/>
      <w:marBottom w:val="0"/>
      <w:divBdr>
        <w:top w:val="none" w:sz="0" w:space="0" w:color="auto"/>
        <w:left w:val="none" w:sz="0" w:space="0" w:color="auto"/>
        <w:bottom w:val="none" w:sz="0" w:space="0" w:color="auto"/>
        <w:right w:val="none" w:sz="0" w:space="0" w:color="auto"/>
      </w:divBdr>
    </w:div>
    <w:div w:id="808788155">
      <w:marLeft w:val="0"/>
      <w:marRight w:val="0"/>
      <w:marTop w:val="0"/>
      <w:marBottom w:val="0"/>
      <w:divBdr>
        <w:top w:val="none" w:sz="0" w:space="0" w:color="auto"/>
        <w:left w:val="none" w:sz="0" w:space="0" w:color="auto"/>
        <w:bottom w:val="none" w:sz="0" w:space="0" w:color="auto"/>
        <w:right w:val="none" w:sz="0" w:space="0" w:color="auto"/>
      </w:divBdr>
    </w:div>
    <w:div w:id="808788156">
      <w:marLeft w:val="0"/>
      <w:marRight w:val="0"/>
      <w:marTop w:val="0"/>
      <w:marBottom w:val="0"/>
      <w:divBdr>
        <w:top w:val="none" w:sz="0" w:space="0" w:color="auto"/>
        <w:left w:val="none" w:sz="0" w:space="0" w:color="auto"/>
        <w:bottom w:val="none" w:sz="0" w:space="0" w:color="auto"/>
        <w:right w:val="none" w:sz="0" w:space="0" w:color="auto"/>
      </w:divBdr>
    </w:div>
    <w:div w:id="808788157">
      <w:marLeft w:val="0"/>
      <w:marRight w:val="0"/>
      <w:marTop w:val="0"/>
      <w:marBottom w:val="0"/>
      <w:divBdr>
        <w:top w:val="none" w:sz="0" w:space="0" w:color="auto"/>
        <w:left w:val="none" w:sz="0" w:space="0" w:color="auto"/>
        <w:bottom w:val="none" w:sz="0" w:space="0" w:color="auto"/>
        <w:right w:val="none" w:sz="0" w:space="0" w:color="auto"/>
      </w:divBdr>
    </w:div>
    <w:div w:id="808788158">
      <w:marLeft w:val="0"/>
      <w:marRight w:val="0"/>
      <w:marTop w:val="0"/>
      <w:marBottom w:val="0"/>
      <w:divBdr>
        <w:top w:val="none" w:sz="0" w:space="0" w:color="auto"/>
        <w:left w:val="none" w:sz="0" w:space="0" w:color="auto"/>
        <w:bottom w:val="none" w:sz="0" w:space="0" w:color="auto"/>
        <w:right w:val="none" w:sz="0" w:space="0" w:color="auto"/>
      </w:divBdr>
    </w:div>
    <w:div w:id="808788159">
      <w:marLeft w:val="0"/>
      <w:marRight w:val="0"/>
      <w:marTop w:val="0"/>
      <w:marBottom w:val="0"/>
      <w:divBdr>
        <w:top w:val="none" w:sz="0" w:space="0" w:color="auto"/>
        <w:left w:val="none" w:sz="0" w:space="0" w:color="auto"/>
        <w:bottom w:val="none" w:sz="0" w:space="0" w:color="auto"/>
        <w:right w:val="none" w:sz="0" w:space="0" w:color="auto"/>
      </w:divBdr>
    </w:div>
    <w:div w:id="808788160">
      <w:marLeft w:val="0"/>
      <w:marRight w:val="0"/>
      <w:marTop w:val="0"/>
      <w:marBottom w:val="0"/>
      <w:divBdr>
        <w:top w:val="none" w:sz="0" w:space="0" w:color="auto"/>
        <w:left w:val="none" w:sz="0" w:space="0" w:color="auto"/>
        <w:bottom w:val="none" w:sz="0" w:space="0" w:color="auto"/>
        <w:right w:val="none" w:sz="0" w:space="0" w:color="auto"/>
      </w:divBdr>
    </w:div>
    <w:div w:id="808788161">
      <w:marLeft w:val="0"/>
      <w:marRight w:val="0"/>
      <w:marTop w:val="0"/>
      <w:marBottom w:val="0"/>
      <w:divBdr>
        <w:top w:val="none" w:sz="0" w:space="0" w:color="auto"/>
        <w:left w:val="none" w:sz="0" w:space="0" w:color="auto"/>
        <w:bottom w:val="none" w:sz="0" w:space="0" w:color="auto"/>
        <w:right w:val="none" w:sz="0" w:space="0" w:color="auto"/>
      </w:divBdr>
    </w:div>
    <w:div w:id="808788162">
      <w:marLeft w:val="0"/>
      <w:marRight w:val="0"/>
      <w:marTop w:val="0"/>
      <w:marBottom w:val="0"/>
      <w:divBdr>
        <w:top w:val="none" w:sz="0" w:space="0" w:color="auto"/>
        <w:left w:val="none" w:sz="0" w:space="0" w:color="auto"/>
        <w:bottom w:val="none" w:sz="0" w:space="0" w:color="auto"/>
        <w:right w:val="none" w:sz="0" w:space="0" w:color="auto"/>
      </w:divBdr>
    </w:div>
    <w:div w:id="1529024899">
      <w:bodyDiv w:val="1"/>
      <w:marLeft w:val="0"/>
      <w:marRight w:val="0"/>
      <w:marTop w:val="0"/>
      <w:marBottom w:val="0"/>
      <w:divBdr>
        <w:top w:val="none" w:sz="0" w:space="0" w:color="auto"/>
        <w:left w:val="none" w:sz="0" w:space="0" w:color="auto"/>
        <w:bottom w:val="none" w:sz="0" w:space="0" w:color="auto"/>
        <w:right w:val="none" w:sz="0" w:space="0" w:color="auto"/>
      </w:divBdr>
    </w:div>
    <w:div w:id="1596940785">
      <w:bodyDiv w:val="1"/>
      <w:marLeft w:val="0"/>
      <w:marRight w:val="0"/>
      <w:marTop w:val="0"/>
      <w:marBottom w:val="0"/>
      <w:divBdr>
        <w:top w:val="none" w:sz="0" w:space="0" w:color="auto"/>
        <w:left w:val="none" w:sz="0" w:space="0" w:color="auto"/>
        <w:bottom w:val="none" w:sz="0" w:space="0" w:color="auto"/>
        <w:right w:val="none" w:sz="0" w:space="0" w:color="auto"/>
      </w:divBdr>
      <w:divsChild>
        <w:div w:id="128671546">
          <w:marLeft w:val="0"/>
          <w:marRight w:val="0"/>
          <w:marTop w:val="0"/>
          <w:marBottom w:val="0"/>
          <w:divBdr>
            <w:top w:val="none" w:sz="0" w:space="0" w:color="auto"/>
            <w:left w:val="none" w:sz="0" w:space="0" w:color="auto"/>
            <w:bottom w:val="none" w:sz="0" w:space="0" w:color="auto"/>
            <w:right w:val="none" w:sz="0" w:space="0" w:color="auto"/>
          </w:divBdr>
          <w:divsChild>
            <w:div w:id="2426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0970">
      <w:bodyDiv w:val="1"/>
      <w:marLeft w:val="0"/>
      <w:marRight w:val="0"/>
      <w:marTop w:val="0"/>
      <w:marBottom w:val="0"/>
      <w:divBdr>
        <w:top w:val="none" w:sz="0" w:space="0" w:color="auto"/>
        <w:left w:val="none" w:sz="0" w:space="0" w:color="auto"/>
        <w:bottom w:val="none" w:sz="0" w:space="0" w:color="auto"/>
        <w:right w:val="none" w:sz="0" w:space="0" w:color="auto"/>
      </w:divBdr>
      <w:divsChild>
        <w:div w:id="1064521853">
          <w:marLeft w:val="0"/>
          <w:marRight w:val="0"/>
          <w:marTop w:val="0"/>
          <w:marBottom w:val="0"/>
          <w:divBdr>
            <w:top w:val="none" w:sz="0" w:space="0" w:color="auto"/>
            <w:left w:val="none" w:sz="0" w:space="0" w:color="auto"/>
            <w:bottom w:val="none" w:sz="0" w:space="0" w:color="auto"/>
            <w:right w:val="none" w:sz="0" w:space="0" w:color="auto"/>
          </w:divBdr>
        </w:div>
        <w:div w:id="133425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1/477?locale=LV" TargetMode="External"/><Relationship Id="rId13" Type="http://schemas.openxmlformats.org/officeDocument/2006/relationships/hyperlink" Target="http://eur-lex.europa.eu/eli/dir/1991/477?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1/477?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1/477?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dir/1991/477?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1991/477?locale=LV" TargetMode="External"/><Relationship Id="rId14" Type="http://schemas.openxmlformats.org/officeDocument/2006/relationships/hyperlink" Target="http://eur-lex.europa.eu/eli/dir/1991/47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BC8F-C056-4E71-9C16-7836927F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9</Pages>
  <Words>2762</Words>
  <Characters>20032</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Ministru kabineta noteikumu projekta sākotnējās ietekmes novērtējuma ziņojums (anotācija)</vt:lpstr>
    </vt:vector>
  </TitlesOfParts>
  <Company>DP</Company>
  <LinksUpToDate>false</LinksUpToDate>
  <CharactersWithSpaces>22749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
  <dc:creator>DP</dc:creator>
  <cp:keywords/>
  <dc:description/>
  <cp:lastModifiedBy>Raimonds Stulpāns</cp:lastModifiedBy>
  <cp:revision>144</cp:revision>
  <cp:lastPrinted>2016-02-25T12:06:00Z</cp:lastPrinted>
  <dcterms:created xsi:type="dcterms:W3CDTF">2016-04-28T07:05:00Z</dcterms:created>
  <dcterms:modified xsi:type="dcterms:W3CDTF">2016-07-07T08:01:00Z</dcterms:modified>
</cp:coreProperties>
</file>